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011426">
      <w:pPr>
        <w:tabs>
          <w:tab w:val="left" w:pos="5580"/>
        </w:tabs>
        <w:spacing w:line="360" w:lineRule="auto"/>
        <w:jc w:val="center"/>
        <w:rPr>
          <w:rFonts w:asciiTheme="minorEastAsia" w:hAnsiTheme="minorEastAsia" w:eastAsiaTheme="minorEastAsia"/>
          <w:color w:val="auto"/>
          <w:sz w:val="36"/>
          <w:szCs w:val="36"/>
          <w:highlight w:val="none"/>
        </w:rPr>
      </w:pPr>
      <w:r>
        <w:rPr>
          <w:rFonts w:hint="eastAsia" w:asciiTheme="minorEastAsia" w:hAnsiTheme="minorEastAsia" w:eastAsiaTheme="minorEastAsia"/>
          <w:color w:val="auto"/>
          <w:sz w:val="36"/>
          <w:szCs w:val="36"/>
          <w:highlight w:val="none"/>
        </w:rPr>
        <w:t xml:space="preserve">                                         </w:t>
      </w:r>
    </w:p>
    <w:p w14:paraId="2A40CEA7">
      <w:pPr>
        <w:snapToGrid w:val="0"/>
        <w:spacing w:line="360" w:lineRule="auto"/>
        <w:jc w:val="center"/>
        <w:rPr>
          <w:rFonts w:asciiTheme="minorEastAsia" w:hAnsiTheme="minorEastAsia" w:eastAsiaTheme="minorEastAsia"/>
          <w:b/>
          <w:color w:val="auto"/>
          <w:sz w:val="40"/>
          <w:szCs w:val="40"/>
          <w:highlight w:val="none"/>
        </w:rPr>
      </w:pPr>
      <w:bookmarkStart w:id="0" w:name="_Hlt162751967"/>
      <w:bookmarkEnd w:id="0"/>
    </w:p>
    <w:p w14:paraId="14246371">
      <w:pPr>
        <w:pStyle w:val="29"/>
        <w:spacing w:line="480" w:lineRule="auto"/>
        <w:jc w:val="center"/>
        <w:rPr>
          <w:rFonts w:hint="eastAsia" w:asciiTheme="minorEastAsia" w:hAnsiTheme="minorEastAsia" w:eastAsiaTheme="minorEastAsia"/>
          <w:b/>
          <w:color w:val="auto"/>
          <w:kern w:val="0"/>
          <w:sz w:val="52"/>
          <w:szCs w:val="52"/>
          <w:highlight w:val="none"/>
          <w:lang w:eastAsia="zh-CN"/>
        </w:rPr>
      </w:pPr>
      <w:r>
        <w:rPr>
          <w:rFonts w:hint="eastAsia" w:asciiTheme="minorEastAsia" w:hAnsiTheme="minorEastAsia" w:eastAsiaTheme="minorEastAsia"/>
          <w:b/>
          <w:color w:val="auto"/>
          <w:kern w:val="0"/>
          <w:sz w:val="52"/>
          <w:szCs w:val="52"/>
          <w:highlight w:val="none"/>
          <w:lang w:eastAsia="zh-CN"/>
        </w:rPr>
        <w:t>新城派出所院内翻新改造</w:t>
      </w:r>
    </w:p>
    <w:p w14:paraId="48C41E59">
      <w:pPr>
        <w:pStyle w:val="29"/>
        <w:spacing w:line="480" w:lineRule="auto"/>
        <w:jc w:val="center"/>
        <w:rPr>
          <w:rFonts w:asciiTheme="minorEastAsia" w:hAnsiTheme="minorEastAsia" w:eastAsiaTheme="minorEastAsia"/>
          <w:color w:val="auto"/>
          <w:sz w:val="52"/>
          <w:szCs w:val="52"/>
          <w:highlight w:val="none"/>
        </w:rPr>
      </w:pPr>
    </w:p>
    <w:p w14:paraId="1EF7EEDC">
      <w:pPr>
        <w:jc w:val="center"/>
        <w:rPr>
          <w:color w:val="auto"/>
          <w:highlight w:val="none"/>
        </w:rPr>
      </w:pPr>
    </w:p>
    <w:p w14:paraId="0BDD5D1F">
      <w:pPr>
        <w:jc w:val="center"/>
        <w:rPr>
          <w:color w:val="auto"/>
          <w:highlight w:val="none"/>
        </w:rPr>
      </w:pPr>
    </w:p>
    <w:p w14:paraId="28098141">
      <w:pPr>
        <w:spacing w:line="360" w:lineRule="auto"/>
        <w:jc w:val="center"/>
        <w:rPr>
          <w:rFonts w:asciiTheme="minorEastAsia" w:hAnsiTheme="minorEastAsia" w:eastAsiaTheme="minorEastAsia"/>
          <w:b/>
          <w:color w:val="auto"/>
          <w:sz w:val="44"/>
          <w:szCs w:val="44"/>
          <w:highlight w:val="none"/>
        </w:rPr>
      </w:pPr>
    </w:p>
    <w:p w14:paraId="51A952D0">
      <w:pPr>
        <w:spacing w:line="360" w:lineRule="auto"/>
        <w:jc w:val="center"/>
        <w:rPr>
          <w:rFonts w:asciiTheme="minorEastAsia" w:hAnsiTheme="minorEastAsia" w:eastAsiaTheme="minorEastAsia"/>
          <w:b/>
          <w:color w:val="auto"/>
          <w:sz w:val="44"/>
          <w:szCs w:val="44"/>
          <w:highlight w:val="none"/>
        </w:rPr>
      </w:pPr>
      <w:r>
        <w:rPr>
          <w:rFonts w:hint="eastAsia" w:asciiTheme="minorEastAsia" w:hAnsiTheme="minorEastAsia" w:eastAsiaTheme="minorEastAsia"/>
          <w:b/>
          <w:color w:val="auto"/>
          <w:sz w:val="44"/>
          <w:szCs w:val="44"/>
          <w:highlight w:val="none"/>
        </w:rPr>
        <w:t>竞 争 性 磋 商</w:t>
      </w:r>
    </w:p>
    <w:p w14:paraId="7DC8E6AC">
      <w:pPr>
        <w:spacing w:line="360" w:lineRule="auto"/>
        <w:jc w:val="center"/>
        <w:rPr>
          <w:rFonts w:asciiTheme="minorEastAsia" w:hAnsiTheme="minorEastAsia" w:eastAsiaTheme="minorEastAsia"/>
          <w:b/>
          <w:color w:val="auto"/>
          <w:sz w:val="44"/>
          <w:szCs w:val="44"/>
          <w:highlight w:val="none"/>
        </w:rPr>
      </w:pPr>
      <w:r>
        <w:rPr>
          <w:rFonts w:hint="eastAsia" w:asciiTheme="minorEastAsia" w:hAnsiTheme="minorEastAsia" w:eastAsiaTheme="minorEastAsia"/>
          <w:b/>
          <w:color w:val="auto"/>
          <w:sz w:val="44"/>
          <w:szCs w:val="44"/>
          <w:highlight w:val="none"/>
        </w:rPr>
        <w:t>（电子招投标）</w:t>
      </w:r>
    </w:p>
    <w:p w14:paraId="77D64CED">
      <w:pPr>
        <w:pStyle w:val="29"/>
        <w:spacing w:line="480" w:lineRule="auto"/>
        <w:jc w:val="center"/>
        <w:rPr>
          <w:rFonts w:asciiTheme="minorEastAsia" w:hAnsiTheme="minorEastAsia" w:eastAsiaTheme="minorEastAsia"/>
          <w:color w:val="auto"/>
          <w:sz w:val="52"/>
          <w:szCs w:val="52"/>
          <w:highlight w:val="none"/>
        </w:rPr>
      </w:pPr>
    </w:p>
    <w:p w14:paraId="1CF52EC8">
      <w:pPr>
        <w:pStyle w:val="29"/>
        <w:spacing w:line="480" w:lineRule="auto"/>
        <w:jc w:val="center"/>
        <w:rPr>
          <w:rFonts w:asciiTheme="minorEastAsia" w:hAnsiTheme="minorEastAsia" w:eastAsiaTheme="minorEastAsia"/>
          <w:color w:val="auto"/>
          <w:sz w:val="52"/>
          <w:szCs w:val="52"/>
          <w:highlight w:val="none"/>
        </w:rPr>
      </w:pPr>
    </w:p>
    <w:p w14:paraId="4B23CB28">
      <w:pPr>
        <w:pStyle w:val="29"/>
        <w:spacing w:line="480" w:lineRule="auto"/>
        <w:jc w:val="center"/>
        <w:rPr>
          <w:rFonts w:asciiTheme="minorEastAsia" w:hAnsiTheme="minorEastAsia" w:eastAsiaTheme="minorEastAsia"/>
          <w:color w:val="auto"/>
          <w:sz w:val="52"/>
          <w:szCs w:val="52"/>
          <w:highlight w:val="none"/>
        </w:rPr>
      </w:pPr>
    </w:p>
    <w:p w14:paraId="5C42E33A">
      <w:pPr>
        <w:pStyle w:val="29"/>
        <w:spacing w:line="480" w:lineRule="auto"/>
        <w:rPr>
          <w:rFonts w:asciiTheme="minorEastAsia" w:hAnsiTheme="minorEastAsia" w:eastAsiaTheme="minorEastAsia"/>
          <w:color w:val="auto"/>
          <w:sz w:val="52"/>
          <w:szCs w:val="52"/>
          <w:highlight w:val="none"/>
        </w:rPr>
      </w:pPr>
    </w:p>
    <w:p w14:paraId="5E2EFA95">
      <w:pPr>
        <w:spacing w:line="360" w:lineRule="auto"/>
        <w:ind w:firstLine="855" w:firstLineChars="300"/>
        <w:jc w:val="center"/>
        <w:rPr>
          <w:rFonts w:asciiTheme="minorEastAsia" w:hAnsiTheme="minorEastAsia" w:eastAsiaTheme="minorEastAsia"/>
          <w:bCs/>
          <w:color w:val="auto"/>
          <w:w w:val="95"/>
          <w:kern w:val="2"/>
          <w:sz w:val="30"/>
          <w:szCs w:val="30"/>
          <w:highlight w:val="none"/>
        </w:rPr>
      </w:pPr>
    </w:p>
    <w:p w14:paraId="465CB24B">
      <w:pPr>
        <w:spacing w:line="360" w:lineRule="auto"/>
        <w:ind w:firstLine="855" w:firstLineChars="300"/>
        <w:rPr>
          <w:rFonts w:hint="eastAsia" w:asciiTheme="minorEastAsia" w:hAnsiTheme="minorEastAsia" w:eastAsiaTheme="minorEastAsia"/>
          <w:bCs/>
          <w:color w:val="auto"/>
          <w:w w:val="95"/>
          <w:kern w:val="2"/>
          <w:sz w:val="30"/>
          <w:szCs w:val="30"/>
          <w:highlight w:val="none"/>
          <w:lang w:eastAsia="zh-CN"/>
        </w:rPr>
      </w:pPr>
      <w:r>
        <w:rPr>
          <w:rFonts w:hint="eastAsia" w:asciiTheme="minorEastAsia" w:hAnsiTheme="minorEastAsia" w:eastAsiaTheme="minorEastAsia"/>
          <w:bCs/>
          <w:color w:val="auto"/>
          <w:w w:val="95"/>
          <w:kern w:val="2"/>
          <w:sz w:val="30"/>
          <w:szCs w:val="30"/>
          <w:highlight w:val="none"/>
        </w:rPr>
        <w:t>项目编号：</w:t>
      </w:r>
      <w:r>
        <w:rPr>
          <w:rFonts w:hint="eastAsia" w:asciiTheme="minorEastAsia" w:hAnsiTheme="minorEastAsia" w:eastAsiaTheme="minorEastAsia"/>
          <w:bCs/>
          <w:color w:val="auto"/>
          <w:w w:val="95"/>
          <w:kern w:val="2"/>
          <w:sz w:val="30"/>
          <w:szCs w:val="30"/>
          <w:highlight w:val="none"/>
          <w:lang w:eastAsia="zh-CN"/>
        </w:rPr>
        <w:t>银建-JXYJ（2025）28号</w:t>
      </w:r>
    </w:p>
    <w:p w14:paraId="3D18DDB4">
      <w:pPr>
        <w:spacing w:line="360" w:lineRule="auto"/>
        <w:ind w:firstLine="855" w:firstLineChars="300"/>
        <w:rPr>
          <w:rFonts w:asciiTheme="minorEastAsia" w:hAnsiTheme="minorEastAsia" w:eastAsiaTheme="minorEastAsia"/>
          <w:bCs/>
          <w:color w:val="auto"/>
          <w:w w:val="95"/>
          <w:kern w:val="2"/>
          <w:sz w:val="30"/>
          <w:szCs w:val="30"/>
          <w:highlight w:val="none"/>
        </w:rPr>
      </w:pPr>
      <w:r>
        <w:rPr>
          <w:rFonts w:hint="eastAsia" w:asciiTheme="minorEastAsia" w:hAnsiTheme="minorEastAsia" w:eastAsiaTheme="minorEastAsia"/>
          <w:bCs/>
          <w:color w:val="auto"/>
          <w:w w:val="95"/>
          <w:kern w:val="2"/>
          <w:sz w:val="30"/>
          <w:szCs w:val="30"/>
          <w:highlight w:val="none"/>
        </w:rPr>
        <w:t>采购单位：嘉兴市秀洲区人民政府新城街道办事处</w:t>
      </w:r>
    </w:p>
    <w:p w14:paraId="1E06DE9C">
      <w:pPr>
        <w:spacing w:line="360" w:lineRule="auto"/>
        <w:ind w:firstLine="855" w:firstLineChars="300"/>
        <w:rPr>
          <w:rFonts w:asciiTheme="minorEastAsia" w:hAnsiTheme="minorEastAsia" w:eastAsiaTheme="minorEastAsia"/>
          <w:bCs/>
          <w:color w:val="auto"/>
          <w:w w:val="95"/>
          <w:kern w:val="2"/>
          <w:sz w:val="30"/>
          <w:szCs w:val="30"/>
          <w:highlight w:val="none"/>
        </w:rPr>
      </w:pPr>
      <w:r>
        <w:rPr>
          <w:rFonts w:hint="eastAsia" w:asciiTheme="minorEastAsia" w:hAnsiTheme="minorEastAsia" w:eastAsiaTheme="minorEastAsia"/>
          <w:bCs/>
          <w:color w:val="auto"/>
          <w:w w:val="95"/>
          <w:kern w:val="2"/>
          <w:sz w:val="30"/>
          <w:szCs w:val="30"/>
          <w:highlight w:val="none"/>
        </w:rPr>
        <w:t>代理机构：嘉兴市银建工程咨询评估有限公司</w:t>
      </w:r>
    </w:p>
    <w:p w14:paraId="23F854AC">
      <w:pPr>
        <w:spacing w:line="360" w:lineRule="auto"/>
        <w:ind w:firstLine="855" w:firstLineChars="300"/>
        <w:jc w:val="center"/>
        <w:rPr>
          <w:rFonts w:asciiTheme="minorEastAsia" w:hAnsiTheme="minorEastAsia" w:eastAsiaTheme="minorEastAsia"/>
          <w:bCs/>
          <w:color w:val="auto"/>
          <w:w w:val="95"/>
          <w:kern w:val="2"/>
          <w:sz w:val="30"/>
          <w:szCs w:val="30"/>
          <w:highlight w:val="none"/>
        </w:rPr>
      </w:pPr>
      <w:r>
        <w:rPr>
          <w:rFonts w:hint="eastAsia" w:asciiTheme="minorEastAsia" w:hAnsiTheme="minorEastAsia" w:eastAsiaTheme="minorEastAsia"/>
          <w:bCs/>
          <w:color w:val="auto"/>
          <w:w w:val="95"/>
          <w:kern w:val="2"/>
          <w:sz w:val="30"/>
          <w:szCs w:val="30"/>
          <w:highlight w:val="none"/>
        </w:rPr>
        <w:t>202</w:t>
      </w:r>
      <w:r>
        <w:rPr>
          <w:rFonts w:hint="eastAsia" w:asciiTheme="minorEastAsia" w:hAnsiTheme="minorEastAsia" w:eastAsiaTheme="minorEastAsia"/>
          <w:bCs/>
          <w:color w:val="auto"/>
          <w:w w:val="95"/>
          <w:kern w:val="2"/>
          <w:sz w:val="30"/>
          <w:szCs w:val="30"/>
          <w:highlight w:val="none"/>
          <w:lang w:val="en-US" w:eastAsia="zh-CN"/>
        </w:rPr>
        <w:t>5</w:t>
      </w:r>
      <w:r>
        <w:rPr>
          <w:rFonts w:hint="eastAsia" w:asciiTheme="minorEastAsia" w:hAnsiTheme="minorEastAsia" w:eastAsiaTheme="minorEastAsia"/>
          <w:bCs/>
          <w:color w:val="auto"/>
          <w:w w:val="95"/>
          <w:kern w:val="2"/>
          <w:sz w:val="30"/>
          <w:szCs w:val="30"/>
          <w:highlight w:val="none"/>
        </w:rPr>
        <w:t>年</w:t>
      </w:r>
      <w:r>
        <w:rPr>
          <w:rFonts w:hint="eastAsia" w:asciiTheme="minorEastAsia" w:hAnsiTheme="minorEastAsia" w:eastAsiaTheme="minorEastAsia"/>
          <w:bCs/>
          <w:color w:val="auto"/>
          <w:w w:val="95"/>
          <w:kern w:val="2"/>
          <w:sz w:val="30"/>
          <w:szCs w:val="30"/>
          <w:highlight w:val="none"/>
          <w:lang w:val="en-US" w:eastAsia="zh-CN"/>
        </w:rPr>
        <w:t>6</w:t>
      </w:r>
      <w:r>
        <w:rPr>
          <w:rFonts w:hint="eastAsia" w:asciiTheme="minorEastAsia" w:hAnsiTheme="minorEastAsia" w:eastAsiaTheme="minorEastAsia"/>
          <w:bCs/>
          <w:color w:val="auto"/>
          <w:w w:val="95"/>
          <w:kern w:val="2"/>
          <w:sz w:val="30"/>
          <w:szCs w:val="30"/>
          <w:highlight w:val="none"/>
        </w:rPr>
        <w:t>月</w:t>
      </w:r>
      <w:r>
        <w:rPr>
          <w:rFonts w:hint="eastAsia" w:asciiTheme="minorEastAsia" w:hAnsiTheme="minorEastAsia" w:eastAsiaTheme="minorEastAsia"/>
          <w:bCs/>
          <w:color w:val="auto"/>
          <w:w w:val="95"/>
          <w:kern w:val="2"/>
          <w:sz w:val="30"/>
          <w:szCs w:val="30"/>
          <w:highlight w:val="none"/>
          <w:lang w:val="en-US" w:eastAsia="zh-CN"/>
        </w:rPr>
        <w:t>24</w:t>
      </w:r>
      <w:r>
        <w:rPr>
          <w:rFonts w:hint="eastAsia" w:asciiTheme="minorEastAsia" w:hAnsiTheme="minorEastAsia" w:eastAsiaTheme="minorEastAsia"/>
          <w:bCs/>
          <w:color w:val="auto"/>
          <w:w w:val="95"/>
          <w:kern w:val="2"/>
          <w:sz w:val="30"/>
          <w:szCs w:val="30"/>
          <w:highlight w:val="none"/>
        </w:rPr>
        <w:t>日</w:t>
      </w:r>
    </w:p>
    <w:p w14:paraId="70EB1970">
      <w:pPr>
        <w:spacing w:line="360" w:lineRule="auto"/>
        <w:rPr>
          <w:rFonts w:asciiTheme="minorEastAsia" w:hAnsiTheme="minorEastAsia" w:eastAsiaTheme="minorEastAsia"/>
          <w:b/>
          <w:bCs/>
          <w:color w:val="auto"/>
          <w:w w:val="95"/>
          <w:kern w:val="2"/>
          <w:sz w:val="30"/>
          <w:szCs w:val="30"/>
          <w:highlight w:val="none"/>
        </w:rPr>
      </w:pPr>
      <w:r>
        <w:rPr>
          <w:rFonts w:asciiTheme="minorEastAsia" w:hAnsiTheme="minorEastAsia" w:eastAsiaTheme="minorEastAsia"/>
          <w:b/>
          <w:bCs/>
          <w:color w:val="auto"/>
          <w:w w:val="95"/>
          <w:kern w:val="2"/>
          <w:sz w:val="30"/>
          <w:szCs w:val="30"/>
          <w:highlight w:val="none"/>
        </w:rPr>
        <w:t xml:space="preserve">                                </w:t>
      </w:r>
    </w:p>
    <w:p w14:paraId="5759131F">
      <w:pPr>
        <w:spacing w:line="360" w:lineRule="auto"/>
        <w:rPr>
          <w:rFonts w:asciiTheme="minorEastAsia" w:hAnsiTheme="minorEastAsia" w:eastAsiaTheme="minorEastAsia"/>
          <w:color w:val="auto"/>
          <w:szCs w:val="21"/>
          <w:highlight w:val="none"/>
        </w:rPr>
      </w:pPr>
    </w:p>
    <w:p w14:paraId="0F8450E1">
      <w:pPr>
        <w:rPr>
          <w:rFonts w:hint="eastAsia" w:asciiTheme="minorEastAsia" w:hAnsiTheme="minorEastAsia" w:eastAsiaTheme="minorEastAsia"/>
          <w:b/>
          <w:bCs/>
          <w:color w:val="auto"/>
          <w:kern w:val="44"/>
          <w:sz w:val="44"/>
          <w:szCs w:val="44"/>
          <w:highlight w:val="none"/>
          <w:lang w:val="zh-CN"/>
        </w:rPr>
      </w:pPr>
      <w:r>
        <w:rPr>
          <w:rFonts w:hint="eastAsia" w:asciiTheme="minorEastAsia" w:hAnsiTheme="minorEastAsia" w:eastAsiaTheme="minorEastAsia"/>
          <w:b/>
          <w:bCs/>
          <w:color w:val="auto"/>
          <w:kern w:val="44"/>
          <w:sz w:val="44"/>
          <w:szCs w:val="44"/>
          <w:highlight w:val="none"/>
          <w:lang w:val="zh-CN"/>
        </w:rPr>
        <w:br w:type="page"/>
      </w:r>
    </w:p>
    <w:p w14:paraId="775EA2CD">
      <w:pPr>
        <w:jc w:val="center"/>
        <w:rPr>
          <w:rFonts w:asciiTheme="minorEastAsia" w:hAnsiTheme="minorEastAsia" w:eastAsiaTheme="minorEastAsia"/>
          <w:b/>
          <w:bCs/>
          <w:color w:val="auto"/>
          <w:kern w:val="44"/>
          <w:sz w:val="44"/>
          <w:szCs w:val="44"/>
          <w:highlight w:val="none"/>
          <w:lang w:val="zh-CN"/>
        </w:rPr>
      </w:pPr>
      <w:r>
        <w:rPr>
          <w:rFonts w:hint="eastAsia" w:asciiTheme="minorEastAsia" w:hAnsiTheme="minorEastAsia" w:eastAsiaTheme="minorEastAsia"/>
          <w:b/>
          <w:bCs/>
          <w:color w:val="auto"/>
          <w:kern w:val="44"/>
          <w:sz w:val="44"/>
          <w:szCs w:val="44"/>
          <w:highlight w:val="none"/>
          <w:lang w:val="zh-CN"/>
        </w:rPr>
        <w:t>目  录</w:t>
      </w:r>
    </w:p>
    <w:p w14:paraId="3BC0D675">
      <w:pPr>
        <w:pStyle w:val="29"/>
        <w:spacing w:before="156" w:beforeLines="50" w:line="360" w:lineRule="auto"/>
        <w:rPr>
          <w:rFonts w:asciiTheme="minorEastAsia" w:hAnsiTheme="minorEastAsia" w:eastAsiaTheme="minorEastAsia"/>
          <w:b/>
          <w:color w:val="auto"/>
          <w:sz w:val="32"/>
          <w:szCs w:val="32"/>
          <w:highlight w:val="none"/>
        </w:rPr>
      </w:pPr>
    </w:p>
    <w:p w14:paraId="7B5FCF36">
      <w:pPr>
        <w:pStyle w:val="37"/>
        <w:tabs>
          <w:tab w:val="right" w:leader="dot" w:pos="9638"/>
        </w:tabs>
        <w:rPr>
          <w:color w:val="auto"/>
          <w:highlight w:val="none"/>
        </w:rPr>
      </w:pPr>
      <w:r>
        <w:rPr>
          <w:rFonts w:hint="eastAsia" w:asciiTheme="minorEastAsia" w:hAnsiTheme="minorEastAsia" w:eastAsiaTheme="minorEastAsia"/>
          <w:b w:val="0"/>
          <w:bCs w:val="0"/>
          <w:caps w:val="0"/>
          <w:color w:val="auto"/>
          <w:kern w:val="2"/>
          <w:sz w:val="28"/>
          <w:szCs w:val="28"/>
          <w:highlight w:val="none"/>
        </w:rPr>
        <w:fldChar w:fldCharType="begin"/>
      </w:r>
      <w:r>
        <w:rPr>
          <w:rStyle w:val="65"/>
          <w:rFonts w:hint="eastAsia" w:asciiTheme="minorEastAsia" w:hAnsiTheme="minorEastAsia" w:eastAsiaTheme="minorEastAsia"/>
          <w:b w:val="0"/>
          <w:bCs w:val="0"/>
          <w:caps w:val="0"/>
          <w:color w:val="auto"/>
          <w:kern w:val="2"/>
          <w:sz w:val="28"/>
          <w:szCs w:val="28"/>
          <w:highlight w:val="none"/>
        </w:rPr>
        <w:instrText xml:space="preserve"> TOC \o "1-1" \h \z \u </w:instrText>
      </w:r>
      <w:r>
        <w:rPr>
          <w:rFonts w:hint="eastAsia" w:asciiTheme="minorEastAsia" w:hAnsiTheme="minorEastAsia" w:eastAsiaTheme="minorEastAsia"/>
          <w:b w:val="0"/>
          <w:bCs w:val="0"/>
          <w:caps w:val="0"/>
          <w:color w:val="auto"/>
          <w:kern w:val="2"/>
          <w:sz w:val="28"/>
          <w:szCs w:val="28"/>
          <w:highlight w:val="none"/>
        </w:rPr>
        <w:fldChar w:fldCharType="separate"/>
      </w:r>
      <w:r>
        <w:rPr>
          <w:color w:val="auto"/>
          <w:highlight w:val="none"/>
        </w:rPr>
        <w:fldChar w:fldCharType="begin"/>
      </w:r>
      <w:r>
        <w:rPr>
          <w:color w:val="auto"/>
          <w:highlight w:val="none"/>
        </w:rPr>
        <w:instrText xml:space="preserve"> HYPERLINK \l "_Toc20323" </w:instrText>
      </w:r>
      <w:r>
        <w:rPr>
          <w:color w:val="auto"/>
          <w:highlight w:val="none"/>
        </w:rPr>
        <w:fldChar w:fldCharType="separate"/>
      </w:r>
      <w:r>
        <w:rPr>
          <w:rFonts w:hint="eastAsia" w:asciiTheme="minorEastAsia" w:hAnsiTheme="minorEastAsia" w:eastAsiaTheme="minorEastAsia"/>
          <w:color w:val="auto"/>
          <w:szCs w:val="28"/>
          <w:highlight w:val="none"/>
        </w:rPr>
        <w:t>第一章 竞争性磋商公告</w:t>
      </w:r>
      <w:r>
        <w:rPr>
          <w:color w:val="auto"/>
          <w:highlight w:val="none"/>
        </w:rPr>
        <w:tab/>
      </w:r>
      <w:r>
        <w:rPr>
          <w:color w:val="auto"/>
          <w:highlight w:val="none"/>
        </w:rPr>
        <w:fldChar w:fldCharType="begin"/>
      </w:r>
      <w:r>
        <w:rPr>
          <w:color w:val="auto"/>
          <w:highlight w:val="none"/>
        </w:rPr>
        <w:instrText xml:space="preserve"> PAGEREF _Toc20323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559500EE">
      <w:pPr>
        <w:pStyle w:val="37"/>
        <w:tabs>
          <w:tab w:val="right" w:leader="dot" w:pos="9638"/>
        </w:tabs>
        <w:rPr>
          <w:color w:val="auto"/>
          <w:highlight w:val="none"/>
        </w:rPr>
      </w:pPr>
      <w:r>
        <w:rPr>
          <w:color w:val="auto"/>
          <w:highlight w:val="none"/>
        </w:rPr>
        <w:fldChar w:fldCharType="begin"/>
      </w:r>
      <w:r>
        <w:rPr>
          <w:color w:val="auto"/>
          <w:highlight w:val="none"/>
        </w:rPr>
        <w:instrText xml:space="preserve"> HYPERLINK \l "_Toc29127" </w:instrText>
      </w:r>
      <w:r>
        <w:rPr>
          <w:color w:val="auto"/>
          <w:highlight w:val="none"/>
        </w:rPr>
        <w:fldChar w:fldCharType="separate"/>
      </w:r>
      <w:r>
        <w:rPr>
          <w:rFonts w:hint="eastAsia" w:asciiTheme="minorEastAsia" w:hAnsiTheme="minorEastAsia" w:eastAsiaTheme="minorEastAsia"/>
          <w:color w:val="auto"/>
          <w:szCs w:val="28"/>
          <w:highlight w:val="none"/>
        </w:rPr>
        <w:t>第二章  招标需求</w:t>
      </w:r>
      <w:r>
        <w:rPr>
          <w:color w:val="auto"/>
          <w:highlight w:val="none"/>
        </w:rPr>
        <w:tab/>
      </w:r>
      <w:r>
        <w:rPr>
          <w:color w:val="auto"/>
          <w:highlight w:val="none"/>
        </w:rPr>
        <w:fldChar w:fldCharType="begin"/>
      </w:r>
      <w:r>
        <w:rPr>
          <w:color w:val="auto"/>
          <w:highlight w:val="none"/>
        </w:rPr>
        <w:instrText xml:space="preserve"> PAGEREF _Toc29127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6B1A157C">
      <w:pPr>
        <w:pStyle w:val="37"/>
        <w:tabs>
          <w:tab w:val="right" w:leader="dot" w:pos="9638"/>
        </w:tabs>
        <w:rPr>
          <w:color w:val="auto"/>
          <w:highlight w:val="none"/>
        </w:rPr>
      </w:pPr>
      <w:r>
        <w:rPr>
          <w:color w:val="auto"/>
          <w:highlight w:val="none"/>
        </w:rPr>
        <w:fldChar w:fldCharType="begin"/>
      </w:r>
      <w:r>
        <w:rPr>
          <w:color w:val="auto"/>
          <w:highlight w:val="none"/>
        </w:rPr>
        <w:instrText xml:space="preserve"> HYPERLINK \l "_Toc6290" </w:instrText>
      </w:r>
      <w:r>
        <w:rPr>
          <w:color w:val="auto"/>
          <w:highlight w:val="none"/>
        </w:rPr>
        <w:fldChar w:fldCharType="separate"/>
      </w:r>
      <w:r>
        <w:rPr>
          <w:rFonts w:hint="eastAsia" w:asciiTheme="minorEastAsia" w:hAnsiTheme="minorEastAsia" w:eastAsiaTheme="minorEastAsia"/>
          <w:color w:val="auto"/>
          <w:szCs w:val="28"/>
          <w:highlight w:val="none"/>
        </w:rPr>
        <w:t>第三章  供应商须知</w:t>
      </w:r>
      <w:r>
        <w:rPr>
          <w:color w:val="auto"/>
          <w:highlight w:val="none"/>
        </w:rPr>
        <w:tab/>
      </w:r>
      <w:r>
        <w:rPr>
          <w:color w:val="auto"/>
          <w:highlight w:val="none"/>
        </w:rPr>
        <w:fldChar w:fldCharType="begin"/>
      </w:r>
      <w:r>
        <w:rPr>
          <w:color w:val="auto"/>
          <w:highlight w:val="none"/>
        </w:rPr>
        <w:instrText xml:space="preserve"> PAGEREF _Toc6290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58EFC87B">
      <w:pPr>
        <w:pStyle w:val="37"/>
        <w:tabs>
          <w:tab w:val="right" w:leader="dot" w:pos="9638"/>
        </w:tabs>
        <w:rPr>
          <w:color w:val="auto"/>
          <w:highlight w:val="none"/>
        </w:rPr>
      </w:pPr>
      <w:r>
        <w:rPr>
          <w:color w:val="auto"/>
          <w:highlight w:val="none"/>
        </w:rPr>
        <w:fldChar w:fldCharType="begin"/>
      </w:r>
      <w:r>
        <w:rPr>
          <w:color w:val="auto"/>
          <w:highlight w:val="none"/>
        </w:rPr>
        <w:instrText xml:space="preserve"> HYPERLINK \l "_Toc5936" </w:instrText>
      </w:r>
      <w:r>
        <w:rPr>
          <w:color w:val="auto"/>
          <w:highlight w:val="none"/>
        </w:rPr>
        <w:fldChar w:fldCharType="separate"/>
      </w:r>
      <w:r>
        <w:rPr>
          <w:rFonts w:hint="eastAsia" w:asciiTheme="minorEastAsia" w:hAnsiTheme="minorEastAsia" w:eastAsiaTheme="minorEastAsia"/>
          <w:color w:val="auto"/>
          <w:szCs w:val="28"/>
          <w:highlight w:val="none"/>
        </w:rPr>
        <w:t>第四章 评标办法</w:t>
      </w:r>
      <w:r>
        <w:rPr>
          <w:color w:val="auto"/>
          <w:highlight w:val="none"/>
        </w:rPr>
        <w:tab/>
      </w:r>
      <w:r>
        <w:rPr>
          <w:color w:val="auto"/>
          <w:highlight w:val="none"/>
        </w:rPr>
        <w:fldChar w:fldCharType="begin"/>
      </w:r>
      <w:r>
        <w:rPr>
          <w:color w:val="auto"/>
          <w:highlight w:val="none"/>
        </w:rPr>
        <w:instrText xml:space="preserve"> PAGEREF _Toc5936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14:paraId="3D7D52E6">
      <w:pPr>
        <w:pStyle w:val="37"/>
        <w:tabs>
          <w:tab w:val="right" w:leader="dot" w:pos="9638"/>
        </w:tabs>
        <w:rPr>
          <w:color w:val="auto"/>
          <w:highlight w:val="none"/>
        </w:rPr>
      </w:pPr>
      <w:r>
        <w:rPr>
          <w:color w:val="auto"/>
          <w:highlight w:val="none"/>
        </w:rPr>
        <w:fldChar w:fldCharType="begin"/>
      </w:r>
      <w:r>
        <w:rPr>
          <w:color w:val="auto"/>
          <w:highlight w:val="none"/>
        </w:rPr>
        <w:instrText xml:space="preserve"> HYPERLINK \l "_Toc32553" </w:instrText>
      </w:r>
      <w:r>
        <w:rPr>
          <w:color w:val="auto"/>
          <w:highlight w:val="none"/>
        </w:rPr>
        <w:fldChar w:fldCharType="separate"/>
      </w:r>
      <w:r>
        <w:rPr>
          <w:rFonts w:hint="eastAsia" w:asciiTheme="minorEastAsia" w:hAnsiTheme="minorEastAsia" w:eastAsiaTheme="minorEastAsia"/>
          <w:color w:val="auto"/>
          <w:szCs w:val="28"/>
          <w:highlight w:val="none"/>
        </w:rPr>
        <w:t>第五章  嘉兴市政府采购合同（指引）</w:t>
      </w:r>
      <w:r>
        <w:rPr>
          <w:color w:val="auto"/>
          <w:highlight w:val="none"/>
        </w:rPr>
        <w:tab/>
      </w:r>
      <w:r>
        <w:rPr>
          <w:color w:val="auto"/>
          <w:highlight w:val="none"/>
        </w:rPr>
        <w:fldChar w:fldCharType="begin"/>
      </w:r>
      <w:r>
        <w:rPr>
          <w:color w:val="auto"/>
          <w:highlight w:val="none"/>
        </w:rPr>
        <w:instrText xml:space="preserve"> PAGEREF _Toc32553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14:paraId="308CC1FC">
      <w:pPr>
        <w:pStyle w:val="37"/>
        <w:tabs>
          <w:tab w:val="right" w:leader="dot" w:pos="9638"/>
        </w:tabs>
        <w:rPr>
          <w:color w:val="auto"/>
          <w:highlight w:val="none"/>
        </w:rPr>
      </w:pPr>
      <w:r>
        <w:rPr>
          <w:color w:val="auto"/>
          <w:highlight w:val="none"/>
        </w:rPr>
        <w:fldChar w:fldCharType="begin"/>
      </w:r>
      <w:r>
        <w:rPr>
          <w:color w:val="auto"/>
          <w:highlight w:val="none"/>
        </w:rPr>
        <w:instrText xml:space="preserve"> HYPERLINK \l "_Toc21187" </w:instrText>
      </w:r>
      <w:r>
        <w:rPr>
          <w:color w:val="auto"/>
          <w:highlight w:val="none"/>
        </w:rPr>
        <w:fldChar w:fldCharType="separate"/>
      </w:r>
      <w:r>
        <w:rPr>
          <w:rFonts w:hint="eastAsia" w:asciiTheme="minorEastAsia" w:hAnsiTheme="minorEastAsia" w:eastAsiaTheme="minorEastAsia"/>
          <w:color w:val="auto"/>
          <w:szCs w:val="28"/>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_Toc21187 \h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14:paraId="37F1FAED">
      <w:pPr>
        <w:spacing w:line="360" w:lineRule="auto"/>
        <w:rPr>
          <w:rFonts w:asciiTheme="minorEastAsia" w:hAnsiTheme="minorEastAsia" w:eastAsiaTheme="minorEastAsia"/>
          <w:color w:val="auto"/>
          <w:szCs w:val="21"/>
          <w:highlight w:val="none"/>
        </w:rPr>
        <w:sectPr>
          <w:headerReference r:id="rId3" w:type="default"/>
          <w:footerReference r:id="rId4" w:type="default"/>
          <w:pgSz w:w="11906" w:h="16838"/>
          <w:pgMar w:top="1134" w:right="1134" w:bottom="1134" w:left="1134" w:header="680" w:footer="992" w:gutter="0"/>
          <w:pgNumType w:start="0"/>
          <w:cols w:space="720" w:num="1"/>
          <w:titlePg/>
          <w:docGrid w:type="lines" w:linePitch="312" w:charSpace="0"/>
        </w:sectPr>
      </w:pPr>
      <w:r>
        <w:rPr>
          <w:rFonts w:hint="eastAsia" w:asciiTheme="minorEastAsia" w:hAnsiTheme="minorEastAsia" w:eastAsiaTheme="minorEastAsia"/>
          <w:color w:val="auto"/>
          <w:kern w:val="2"/>
          <w:szCs w:val="28"/>
          <w:highlight w:val="none"/>
        </w:rPr>
        <w:fldChar w:fldCharType="end"/>
      </w:r>
    </w:p>
    <w:p w14:paraId="7235CFCF">
      <w:pPr>
        <w:snapToGrid w:val="0"/>
        <w:spacing w:before="120" w:after="120" w:line="360" w:lineRule="auto"/>
        <w:jc w:val="center"/>
        <w:outlineLvl w:val="0"/>
        <w:rPr>
          <w:rFonts w:asciiTheme="minorEastAsia" w:hAnsiTheme="minorEastAsia" w:eastAsiaTheme="minorEastAsia"/>
          <w:b/>
          <w:color w:val="auto"/>
          <w:sz w:val="28"/>
          <w:szCs w:val="28"/>
          <w:highlight w:val="none"/>
        </w:rPr>
      </w:pPr>
      <w:bookmarkStart w:id="1" w:name="_Toc20323"/>
      <w:r>
        <w:rPr>
          <w:rFonts w:hint="eastAsia" w:asciiTheme="minorEastAsia" w:hAnsiTheme="minorEastAsia" w:eastAsiaTheme="minorEastAsia"/>
          <w:b/>
          <w:color w:val="auto"/>
          <w:sz w:val="28"/>
          <w:szCs w:val="28"/>
          <w:highlight w:val="none"/>
        </w:rPr>
        <w:t>第一章 竞争性磋商公告</w:t>
      </w:r>
      <w:bookmarkEnd w:id="1"/>
    </w:p>
    <w:p w14:paraId="2FAC5B47">
      <w:pPr>
        <w:spacing w:line="360" w:lineRule="auto"/>
        <w:ind w:firstLine="420" w:firstLineChars="200"/>
        <w:jc w:val="both"/>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根据《中华人民共和国政府采购法》</w:t>
      </w:r>
      <w:r>
        <w:rPr>
          <w:rFonts w:hint="eastAsia" w:asciiTheme="minorEastAsia" w:hAnsiTheme="minorEastAsia" w:eastAsiaTheme="minorEastAsia"/>
          <w:color w:val="auto"/>
          <w:kern w:val="2"/>
          <w:szCs w:val="21"/>
          <w:highlight w:val="none"/>
        </w:rPr>
        <w:t>、《</w:t>
      </w:r>
      <w:r>
        <w:rPr>
          <w:rFonts w:asciiTheme="minorEastAsia" w:hAnsiTheme="minorEastAsia" w:eastAsiaTheme="minorEastAsia"/>
          <w:color w:val="auto"/>
          <w:kern w:val="2"/>
          <w:szCs w:val="21"/>
          <w:highlight w:val="none"/>
        </w:rPr>
        <w:t>中华人民共和国政府采购法实施条例</w:t>
      </w:r>
      <w:r>
        <w:rPr>
          <w:rFonts w:hint="eastAsia" w:asciiTheme="minorEastAsia" w:hAnsiTheme="minorEastAsia" w:eastAsiaTheme="minorEastAsia"/>
          <w:color w:val="auto"/>
          <w:kern w:val="2"/>
          <w:szCs w:val="21"/>
          <w:highlight w:val="none"/>
        </w:rPr>
        <w:t>》和</w:t>
      </w:r>
      <w:r>
        <w:rPr>
          <w:rFonts w:asciiTheme="minorEastAsia" w:hAnsiTheme="minorEastAsia" w:eastAsiaTheme="minorEastAsia"/>
          <w:color w:val="auto"/>
          <w:kern w:val="2"/>
          <w:szCs w:val="21"/>
          <w:highlight w:val="none"/>
        </w:rPr>
        <w:t>《</w:t>
      </w:r>
      <w:r>
        <w:rPr>
          <w:rFonts w:hint="eastAsia" w:asciiTheme="minorEastAsia" w:hAnsiTheme="minorEastAsia" w:eastAsiaTheme="minorEastAsia"/>
          <w:color w:val="auto"/>
          <w:kern w:val="2"/>
          <w:szCs w:val="21"/>
          <w:highlight w:val="none"/>
        </w:rPr>
        <w:t>政府采购竞争性磋商采购方式管理暂行办法</w:t>
      </w:r>
      <w:r>
        <w:rPr>
          <w:rFonts w:asciiTheme="minorEastAsia" w:hAnsiTheme="minorEastAsia" w:eastAsiaTheme="minorEastAsia"/>
          <w:color w:val="auto"/>
          <w:kern w:val="2"/>
          <w:szCs w:val="21"/>
          <w:highlight w:val="none"/>
        </w:rPr>
        <w:t>》</w:t>
      </w:r>
      <w:r>
        <w:rPr>
          <w:rFonts w:hint="eastAsia" w:asciiTheme="minorEastAsia" w:hAnsiTheme="minorEastAsia" w:eastAsiaTheme="minorEastAsia"/>
          <w:color w:val="auto"/>
          <w:kern w:val="2"/>
          <w:szCs w:val="21"/>
          <w:highlight w:val="none"/>
        </w:rPr>
        <w:t>、《浙江省</w:t>
      </w:r>
      <w:r>
        <w:rPr>
          <w:rFonts w:asciiTheme="minorEastAsia" w:hAnsiTheme="minorEastAsia" w:eastAsiaTheme="minorEastAsia"/>
          <w:color w:val="auto"/>
          <w:kern w:val="2"/>
          <w:szCs w:val="21"/>
          <w:highlight w:val="none"/>
        </w:rPr>
        <w:t>政府采购项目电子交易管理暂行办法</w:t>
      </w:r>
      <w:r>
        <w:rPr>
          <w:rFonts w:hint="eastAsia" w:asciiTheme="minorEastAsia" w:hAnsiTheme="minorEastAsia" w:eastAsiaTheme="minorEastAsia"/>
          <w:color w:val="auto"/>
          <w:kern w:val="2"/>
          <w:szCs w:val="21"/>
          <w:highlight w:val="none"/>
        </w:rPr>
        <w:t>》</w:t>
      </w:r>
      <w:r>
        <w:rPr>
          <w:rFonts w:asciiTheme="minorEastAsia" w:hAnsiTheme="minorEastAsia" w:eastAsiaTheme="minorEastAsia"/>
          <w:color w:val="auto"/>
          <w:kern w:val="2"/>
          <w:szCs w:val="21"/>
          <w:highlight w:val="none"/>
        </w:rPr>
        <w:t>等规定</w:t>
      </w:r>
      <w:r>
        <w:rPr>
          <w:rFonts w:hint="eastAsia" w:asciiTheme="minorEastAsia" w:hAnsiTheme="minorEastAsia" w:eastAsiaTheme="minorEastAsia"/>
          <w:color w:val="auto"/>
          <w:kern w:val="2"/>
          <w:szCs w:val="21"/>
          <w:highlight w:val="none"/>
        </w:rPr>
        <w:t>，嘉兴市银建工程咨询评估有限公司受采购人的委托，经</w:t>
      </w:r>
      <w:r>
        <w:rPr>
          <w:color w:val="auto"/>
          <w:highlight w:val="none"/>
        </w:rPr>
        <w:fldChar w:fldCharType="begin"/>
      </w:r>
      <w:r>
        <w:rPr>
          <w:color w:val="auto"/>
          <w:highlight w:val="none"/>
        </w:rPr>
        <w:instrText xml:space="preserve"> HYPERLINK "https://pay.zcygov.cn/purchaseplan_front/" \l "/plan/list/detail?id=1000000000002282602&amp;encrypt=1e5477abfa673c79e3081f0aaad08698" \t "_blank" </w:instrText>
      </w:r>
      <w:r>
        <w:rPr>
          <w:color w:val="auto"/>
          <w:highlight w:val="none"/>
        </w:rPr>
        <w:fldChar w:fldCharType="separate"/>
      </w:r>
      <w:r>
        <w:rPr>
          <w:rFonts w:hint="eastAsia" w:asciiTheme="minorEastAsia" w:hAnsiTheme="minorEastAsia" w:eastAsiaTheme="minorEastAsia"/>
          <w:color w:val="auto"/>
          <w:kern w:val="2"/>
          <w:szCs w:val="21"/>
          <w:highlight w:val="none"/>
        </w:rPr>
        <w:t>秀洲区财政局</w:t>
      </w:r>
      <w:r>
        <w:rPr>
          <w:rFonts w:hint="eastAsia" w:asciiTheme="minorEastAsia" w:hAnsiTheme="minorEastAsia" w:eastAsiaTheme="minorEastAsia"/>
          <w:color w:val="auto"/>
          <w:kern w:val="2"/>
          <w:szCs w:val="21"/>
          <w:highlight w:val="none"/>
        </w:rPr>
        <w:fldChar w:fldCharType="end"/>
      </w:r>
      <w:r>
        <w:rPr>
          <w:color w:val="auto"/>
          <w:highlight w:val="none"/>
        </w:rPr>
        <w:fldChar w:fldCharType="begin"/>
      </w:r>
      <w:r>
        <w:rPr>
          <w:color w:val="auto"/>
          <w:highlight w:val="none"/>
        </w:rPr>
        <w:instrText xml:space="preserve"> HYPERLINK "https://pay.zcygov.cn/purchaseplan_front/" \l "/plan/list/detail?id=1000000000009800608&amp;encrypt=7d9401d2d09842e8441b4f9d7d888649" \t "_blank" </w:instrText>
      </w:r>
      <w:r>
        <w:rPr>
          <w:color w:val="auto"/>
          <w:highlight w:val="none"/>
        </w:rPr>
        <w:fldChar w:fldCharType="separate"/>
      </w:r>
      <w:r>
        <w:rPr>
          <w:rFonts w:hint="eastAsia" w:asciiTheme="minorEastAsia" w:hAnsiTheme="minorEastAsia" w:eastAsiaTheme="minorEastAsia"/>
          <w:b/>
          <w:color w:val="auto"/>
          <w:kern w:val="2"/>
          <w:szCs w:val="21"/>
          <w:highlight w:val="none"/>
          <w:u w:val="single"/>
          <w:lang w:eastAsia="zh-CN"/>
        </w:rPr>
        <w:t>临[2025]1064号</w:t>
      </w:r>
      <w:r>
        <w:rPr>
          <w:rFonts w:hint="eastAsia" w:asciiTheme="minorEastAsia" w:hAnsiTheme="minorEastAsia" w:eastAsiaTheme="minorEastAsia"/>
          <w:b/>
          <w:color w:val="auto"/>
          <w:kern w:val="2"/>
          <w:szCs w:val="21"/>
          <w:highlight w:val="none"/>
          <w:u w:val="single"/>
        </w:rPr>
        <w:fldChar w:fldCharType="end"/>
      </w:r>
      <w:r>
        <w:rPr>
          <w:rFonts w:hint="eastAsia" w:asciiTheme="minorEastAsia" w:hAnsiTheme="minorEastAsia" w:eastAsiaTheme="minorEastAsia"/>
          <w:color w:val="auto"/>
          <w:kern w:val="2"/>
          <w:szCs w:val="21"/>
          <w:highlight w:val="none"/>
        </w:rPr>
        <w:t>确认书批准，现就以下项目</w:t>
      </w:r>
      <w:r>
        <w:rPr>
          <w:rFonts w:asciiTheme="minorEastAsia" w:hAnsiTheme="minorEastAsia" w:eastAsiaTheme="minorEastAsia"/>
          <w:color w:val="auto"/>
          <w:kern w:val="2"/>
          <w:szCs w:val="21"/>
          <w:highlight w:val="none"/>
        </w:rPr>
        <w:t>进行</w:t>
      </w:r>
      <w:r>
        <w:rPr>
          <w:rFonts w:hint="eastAsia" w:asciiTheme="minorEastAsia" w:hAnsiTheme="minorEastAsia" w:eastAsiaTheme="minorEastAsia"/>
          <w:b/>
          <w:color w:val="auto"/>
          <w:kern w:val="2"/>
          <w:szCs w:val="21"/>
          <w:highlight w:val="none"/>
          <w:u w:val="single"/>
        </w:rPr>
        <w:t>竞争性磋商</w:t>
      </w:r>
      <w:r>
        <w:rPr>
          <w:rFonts w:hint="eastAsia" w:asciiTheme="minorEastAsia" w:hAnsiTheme="minorEastAsia" w:eastAsiaTheme="minorEastAsia"/>
          <w:color w:val="auto"/>
          <w:kern w:val="2"/>
          <w:szCs w:val="21"/>
          <w:highlight w:val="none"/>
        </w:rPr>
        <w:t>招标</w:t>
      </w:r>
      <w:r>
        <w:rPr>
          <w:rFonts w:asciiTheme="minorEastAsia" w:hAnsiTheme="minorEastAsia" w:eastAsiaTheme="minorEastAsia"/>
          <w:color w:val="auto"/>
          <w:kern w:val="2"/>
          <w:szCs w:val="21"/>
          <w:highlight w:val="none"/>
        </w:rPr>
        <w:t>，</w:t>
      </w:r>
      <w:r>
        <w:rPr>
          <w:rFonts w:hint="eastAsia" w:asciiTheme="minorEastAsia" w:hAnsiTheme="minorEastAsia" w:eastAsiaTheme="minorEastAsia"/>
          <w:color w:val="auto"/>
          <w:kern w:val="2"/>
          <w:szCs w:val="21"/>
          <w:highlight w:val="none"/>
        </w:rPr>
        <w:t>欢迎合格供应商前来投标，现将有关事项公告如下：</w:t>
      </w:r>
    </w:p>
    <w:p w14:paraId="074EBB60">
      <w:pPr>
        <w:pStyle w:val="341"/>
        <w:widowControl w:val="0"/>
        <w:spacing w:line="360" w:lineRule="auto"/>
        <w:ind w:firstLine="0" w:firstLineChars="0"/>
        <w:jc w:val="both"/>
        <w:rPr>
          <w:rFonts w:hint="eastAsia" w:asciiTheme="minorEastAsia" w:hAnsiTheme="minorEastAsia" w:eastAsiaTheme="minorEastAsia"/>
          <w:color w:val="auto"/>
          <w:kern w:val="2"/>
          <w:szCs w:val="21"/>
          <w:highlight w:val="none"/>
          <w:lang w:eastAsia="zh-CN"/>
        </w:rPr>
      </w:pPr>
      <w:r>
        <w:rPr>
          <w:rFonts w:hint="eastAsia" w:asciiTheme="minorEastAsia" w:hAnsiTheme="minorEastAsia" w:eastAsiaTheme="minorEastAsia"/>
          <w:b/>
          <w:color w:val="auto"/>
          <w:kern w:val="2"/>
          <w:szCs w:val="21"/>
          <w:highlight w:val="none"/>
        </w:rPr>
        <w:t>一、</w:t>
      </w:r>
      <w:r>
        <w:rPr>
          <w:rFonts w:asciiTheme="minorEastAsia" w:hAnsiTheme="minorEastAsia" w:eastAsiaTheme="minorEastAsia"/>
          <w:b/>
          <w:color w:val="auto"/>
          <w:kern w:val="2"/>
          <w:szCs w:val="21"/>
          <w:highlight w:val="none"/>
        </w:rPr>
        <w:t>项目编号：</w:t>
      </w:r>
      <w:r>
        <w:rPr>
          <w:rFonts w:hint="eastAsia" w:asciiTheme="minorEastAsia" w:hAnsiTheme="minorEastAsia" w:eastAsiaTheme="minorEastAsia"/>
          <w:color w:val="auto"/>
          <w:kern w:val="2"/>
          <w:szCs w:val="21"/>
          <w:highlight w:val="none"/>
          <w:lang w:eastAsia="zh-CN"/>
        </w:rPr>
        <w:t>银建-JXYJ（2025）28号</w:t>
      </w:r>
    </w:p>
    <w:p w14:paraId="2B4CA510">
      <w:pPr>
        <w:pStyle w:val="341"/>
        <w:widowControl w:val="0"/>
        <w:spacing w:line="360" w:lineRule="auto"/>
        <w:ind w:firstLine="0" w:firstLineChars="0"/>
        <w:jc w:val="both"/>
        <w:rPr>
          <w:rFonts w:asciiTheme="minorEastAsia" w:hAnsiTheme="minorEastAsia" w:eastAsiaTheme="minorEastAsia"/>
          <w:color w:val="auto"/>
          <w:kern w:val="2"/>
          <w:szCs w:val="21"/>
          <w:highlight w:val="none"/>
        </w:rPr>
      </w:pPr>
      <w:r>
        <w:rPr>
          <w:rFonts w:hint="eastAsia" w:asciiTheme="minorEastAsia" w:hAnsiTheme="minorEastAsia" w:eastAsiaTheme="minorEastAsia"/>
          <w:b/>
          <w:color w:val="auto"/>
          <w:kern w:val="2"/>
          <w:szCs w:val="21"/>
          <w:highlight w:val="none"/>
        </w:rPr>
        <w:t>二、采购组织类型：</w:t>
      </w:r>
      <w:r>
        <w:rPr>
          <w:rFonts w:hint="eastAsia" w:asciiTheme="minorEastAsia" w:hAnsiTheme="minorEastAsia" w:eastAsiaTheme="minorEastAsia"/>
          <w:color w:val="auto"/>
          <w:kern w:val="2"/>
          <w:szCs w:val="21"/>
          <w:highlight w:val="none"/>
        </w:rPr>
        <w:t xml:space="preserve">分散采购委托代理 </w:t>
      </w:r>
    </w:p>
    <w:p w14:paraId="039245FD">
      <w:pPr>
        <w:pStyle w:val="341"/>
        <w:widowControl w:val="0"/>
        <w:spacing w:line="360" w:lineRule="auto"/>
        <w:ind w:firstLine="0" w:firstLineChars="0"/>
        <w:jc w:val="both"/>
        <w:rPr>
          <w:rFonts w:asciiTheme="minorEastAsia" w:hAnsiTheme="minorEastAsia" w:eastAsiaTheme="minorEastAsia"/>
          <w:color w:val="auto"/>
          <w:kern w:val="2"/>
          <w:szCs w:val="21"/>
          <w:highlight w:val="none"/>
        </w:rPr>
      </w:pPr>
      <w:r>
        <w:rPr>
          <w:rFonts w:hint="eastAsia" w:asciiTheme="minorEastAsia" w:hAnsiTheme="minorEastAsia" w:eastAsiaTheme="minorEastAsia"/>
          <w:b/>
          <w:color w:val="auto"/>
          <w:kern w:val="2"/>
          <w:szCs w:val="21"/>
          <w:highlight w:val="none"/>
        </w:rPr>
        <w:t>三、采购方式：</w:t>
      </w:r>
      <w:r>
        <w:rPr>
          <w:rFonts w:hint="eastAsia" w:asciiTheme="minorEastAsia" w:hAnsiTheme="minorEastAsia" w:eastAsiaTheme="minorEastAsia"/>
          <w:color w:val="auto"/>
          <w:kern w:val="2"/>
          <w:szCs w:val="21"/>
          <w:highlight w:val="none"/>
        </w:rPr>
        <w:t>竞争性磋商</w:t>
      </w:r>
    </w:p>
    <w:p w14:paraId="5E86D612">
      <w:pPr>
        <w:pStyle w:val="341"/>
        <w:widowControl w:val="0"/>
        <w:spacing w:line="360" w:lineRule="auto"/>
        <w:ind w:firstLine="0" w:firstLineChars="0"/>
        <w:jc w:val="both"/>
        <w:rPr>
          <w:rFonts w:hint="default" w:asciiTheme="minorEastAsia" w:hAnsiTheme="minorEastAsia" w:eastAsiaTheme="minorEastAsia"/>
          <w:b/>
          <w:color w:val="auto"/>
          <w:kern w:val="2"/>
          <w:szCs w:val="21"/>
          <w:highlight w:val="none"/>
          <w:lang w:val="en-US" w:eastAsia="zh-CN"/>
        </w:rPr>
      </w:pPr>
      <w:r>
        <w:rPr>
          <w:rFonts w:hint="eastAsia" w:asciiTheme="minorEastAsia" w:hAnsiTheme="minorEastAsia" w:eastAsiaTheme="minorEastAsia"/>
          <w:b/>
          <w:color w:val="auto"/>
          <w:kern w:val="2"/>
          <w:szCs w:val="21"/>
          <w:highlight w:val="none"/>
        </w:rPr>
        <w:t>四、采购预算：</w:t>
      </w:r>
      <w:r>
        <w:rPr>
          <w:rFonts w:hint="eastAsia" w:asciiTheme="minorEastAsia" w:hAnsiTheme="minorEastAsia" w:eastAsiaTheme="minorEastAsia"/>
          <w:bCs/>
          <w:color w:val="auto"/>
          <w:kern w:val="2"/>
          <w:szCs w:val="21"/>
          <w:highlight w:val="none"/>
          <w:lang w:val="en-US" w:eastAsia="zh-CN"/>
        </w:rPr>
        <w:t>150.0000</w:t>
      </w:r>
      <w:r>
        <w:rPr>
          <w:rFonts w:hint="eastAsia" w:asciiTheme="minorEastAsia" w:hAnsiTheme="minorEastAsia" w:eastAsiaTheme="minorEastAsia"/>
          <w:color w:val="auto"/>
          <w:kern w:val="2"/>
          <w:szCs w:val="21"/>
          <w:highlight w:val="none"/>
        </w:rPr>
        <w:t>万元</w:t>
      </w:r>
      <w:r>
        <w:rPr>
          <w:rFonts w:hint="eastAsia" w:asciiTheme="minorEastAsia" w:hAnsiTheme="minorEastAsia" w:eastAsiaTheme="minorEastAsia"/>
          <w:color w:val="auto"/>
          <w:kern w:val="2"/>
          <w:szCs w:val="21"/>
          <w:highlight w:val="none"/>
          <w:lang w:eastAsia="zh-CN"/>
        </w:rPr>
        <w:t>，</w:t>
      </w:r>
      <w:r>
        <w:rPr>
          <w:rFonts w:hint="eastAsia" w:asciiTheme="minorEastAsia" w:hAnsiTheme="minorEastAsia" w:eastAsiaTheme="minorEastAsia"/>
          <w:color w:val="auto"/>
          <w:kern w:val="2"/>
          <w:szCs w:val="21"/>
          <w:highlight w:val="none"/>
          <w:lang w:val="en-US" w:eastAsia="zh-CN"/>
        </w:rPr>
        <w:t>招标控制价：148.8939万元</w:t>
      </w:r>
    </w:p>
    <w:p w14:paraId="2211684F">
      <w:pPr>
        <w:pStyle w:val="341"/>
        <w:widowControl w:val="0"/>
        <w:spacing w:line="360" w:lineRule="auto"/>
        <w:ind w:firstLine="0" w:firstLineChars="0"/>
        <w:jc w:val="both"/>
        <w:rPr>
          <w:rFonts w:hint="eastAsia" w:asciiTheme="minorEastAsia" w:hAnsiTheme="minorEastAsia" w:eastAsiaTheme="minorEastAsia"/>
          <w:b/>
          <w:color w:val="auto"/>
          <w:kern w:val="2"/>
          <w:szCs w:val="21"/>
          <w:highlight w:val="none"/>
          <w:lang w:eastAsia="zh-CN"/>
        </w:rPr>
      </w:pPr>
      <w:r>
        <w:rPr>
          <w:rFonts w:hint="eastAsia" w:asciiTheme="minorEastAsia" w:hAnsiTheme="minorEastAsia" w:eastAsiaTheme="minorEastAsia"/>
          <w:b/>
          <w:color w:val="auto"/>
          <w:kern w:val="2"/>
          <w:szCs w:val="21"/>
          <w:highlight w:val="none"/>
        </w:rPr>
        <w:t>五、项目名称：</w:t>
      </w:r>
      <w:r>
        <w:rPr>
          <w:rFonts w:hint="eastAsia" w:asciiTheme="minorEastAsia" w:hAnsiTheme="minorEastAsia" w:eastAsiaTheme="minorEastAsia"/>
          <w:color w:val="auto"/>
          <w:kern w:val="2"/>
          <w:szCs w:val="21"/>
          <w:highlight w:val="none"/>
          <w:lang w:eastAsia="zh-CN"/>
        </w:rPr>
        <w:t>新城派出所院内翻新改造</w:t>
      </w:r>
    </w:p>
    <w:p w14:paraId="4B6CEECE">
      <w:pPr>
        <w:pStyle w:val="341"/>
        <w:widowControl w:val="0"/>
        <w:spacing w:line="360" w:lineRule="auto"/>
        <w:ind w:firstLine="0" w:firstLineChars="0"/>
        <w:jc w:val="both"/>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六、采购内容:</w:t>
      </w:r>
    </w:p>
    <w:tbl>
      <w:tblPr>
        <w:tblStyle w:val="54"/>
        <w:tblW w:w="97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646"/>
        <w:gridCol w:w="3379"/>
        <w:gridCol w:w="685"/>
        <w:gridCol w:w="876"/>
        <w:gridCol w:w="2697"/>
        <w:gridCol w:w="1468"/>
      </w:tblGrid>
      <w:tr w14:paraId="3D36A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31" w:hRule="atLeast"/>
        </w:trPr>
        <w:tc>
          <w:tcPr>
            <w:tcW w:w="646" w:type="dxa"/>
            <w:tcBorders>
              <w:top w:val="single" w:color="auto" w:sz="4" w:space="0"/>
              <w:left w:val="single" w:color="auto" w:sz="4" w:space="0"/>
              <w:bottom w:val="single" w:color="auto" w:sz="4" w:space="0"/>
              <w:right w:val="single" w:color="auto" w:sz="4" w:space="0"/>
            </w:tcBorders>
            <w:vAlign w:val="center"/>
          </w:tcPr>
          <w:p w14:paraId="3552A9C5">
            <w:pPr>
              <w:snapToGrid w:val="0"/>
              <w:spacing w:line="360" w:lineRule="auto"/>
              <w:jc w:val="center"/>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序号</w:t>
            </w:r>
          </w:p>
        </w:tc>
        <w:tc>
          <w:tcPr>
            <w:tcW w:w="3379" w:type="dxa"/>
            <w:tcBorders>
              <w:top w:val="single" w:color="auto" w:sz="4" w:space="0"/>
              <w:left w:val="single" w:color="auto" w:sz="4" w:space="0"/>
              <w:bottom w:val="single" w:color="auto" w:sz="4" w:space="0"/>
              <w:right w:val="single" w:color="auto" w:sz="4" w:space="0"/>
            </w:tcBorders>
            <w:vAlign w:val="center"/>
          </w:tcPr>
          <w:p w14:paraId="1BC35DF1">
            <w:pPr>
              <w:snapToGrid w:val="0"/>
              <w:spacing w:line="360" w:lineRule="auto"/>
              <w:jc w:val="center"/>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项目名称</w:t>
            </w:r>
          </w:p>
        </w:tc>
        <w:tc>
          <w:tcPr>
            <w:tcW w:w="685" w:type="dxa"/>
            <w:tcBorders>
              <w:top w:val="single" w:color="auto" w:sz="4" w:space="0"/>
              <w:left w:val="single" w:color="auto" w:sz="4" w:space="0"/>
              <w:bottom w:val="single" w:color="auto" w:sz="4" w:space="0"/>
              <w:right w:val="single" w:color="auto" w:sz="4" w:space="0"/>
            </w:tcBorders>
            <w:vAlign w:val="center"/>
          </w:tcPr>
          <w:p w14:paraId="16BD3836">
            <w:pPr>
              <w:snapToGrid w:val="0"/>
              <w:spacing w:line="360" w:lineRule="auto"/>
              <w:jc w:val="center"/>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数量</w:t>
            </w:r>
          </w:p>
        </w:tc>
        <w:tc>
          <w:tcPr>
            <w:tcW w:w="876" w:type="dxa"/>
            <w:tcBorders>
              <w:top w:val="single" w:color="auto" w:sz="4" w:space="0"/>
              <w:left w:val="single" w:color="auto" w:sz="4" w:space="0"/>
              <w:bottom w:val="single" w:color="auto" w:sz="4" w:space="0"/>
              <w:right w:val="single" w:color="auto" w:sz="4" w:space="0"/>
            </w:tcBorders>
            <w:vAlign w:val="center"/>
          </w:tcPr>
          <w:p w14:paraId="2E137AB9">
            <w:pPr>
              <w:snapToGrid w:val="0"/>
              <w:spacing w:line="360" w:lineRule="auto"/>
              <w:jc w:val="center"/>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单位</w:t>
            </w:r>
          </w:p>
        </w:tc>
        <w:tc>
          <w:tcPr>
            <w:tcW w:w="2697" w:type="dxa"/>
            <w:tcBorders>
              <w:top w:val="single" w:color="auto" w:sz="4" w:space="0"/>
              <w:left w:val="single" w:color="auto" w:sz="4" w:space="0"/>
              <w:bottom w:val="single" w:color="auto" w:sz="4" w:space="0"/>
              <w:right w:val="single" w:color="auto" w:sz="4" w:space="0"/>
            </w:tcBorders>
            <w:vAlign w:val="center"/>
          </w:tcPr>
          <w:p w14:paraId="5A6A479C">
            <w:pPr>
              <w:snapToGrid w:val="0"/>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工期</w:t>
            </w:r>
          </w:p>
        </w:tc>
        <w:tc>
          <w:tcPr>
            <w:tcW w:w="1468" w:type="dxa"/>
            <w:tcBorders>
              <w:top w:val="single" w:color="auto" w:sz="4" w:space="0"/>
              <w:left w:val="single" w:color="auto" w:sz="4" w:space="0"/>
              <w:bottom w:val="single" w:color="auto" w:sz="4" w:space="0"/>
              <w:right w:val="single" w:color="auto" w:sz="4" w:space="0"/>
            </w:tcBorders>
            <w:vAlign w:val="center"/>
          </w:tcPr>
          <w:p w14:paraId="0B82A690">
            <w:pPr>
              <w:snapToGrid w:val="0"/>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备注</w:t>
            </w:r>
          </w:p>
        </w:tc>
      </w:tr>
      <w:tr w14:paraId="0EF3A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72" w:hRule="atLeast"/>
        </w:trPr>
        <w:tc>
          <w:tcPr>
            <w:tcW w:w="646" w:type="dxa"/>
            <w:tcBorders>
              <w:top w:val="single" w:color="auto" w:sz="4" w:space="0"/>
              <w:left w:val="single" w:color="auto" w:sz="4" w:space="0"/>
              <w:bottom w:val="single" w:color="auto" w:sz="4" w:space="0"/>
              <w:right w:val="single" w:color="auto" w:sz="4" w:space="0"/>
            </w:tcBorders>
            <w:vAlign w:val="center"/>
          </w:tcPr>
          <w:p w14:paraId="3C82349A">
            <w:pPr>
              <w:snapToGrid w:val="0"/>
              <w:spacing w:line="360" w:lineRule="auto"/>
              <w:jc w:val="center"/>
              <w:rPr>
                <w:rFonts w:asciiTheme="minorEastAsia" w:hAnsiTheme="minorEastAsia" w:eastAsiaTheme="minorEastAsia"/>
                <w:bCs/>
                <w:color w:val="auto"/>
                <w:szCs w:val="21"/>
                <w:highlight w:val="none"/>
              </w:rPr>
            </w:pPr>
            <w:r>
              <w:rPr>
                <w:rFonts w:asciiTheme="minorEastAsia" w:hAnsiTheme="minorEastAsia" w:eastAsiaTheme="minorEastAsia"/>
                <w:bCs/>
                <w:color w:val="auto"/>
                <w:szCs w:val="21"/>
                <w:highlight w:val="none"/>
              </w:rPr>
              <w:t>1</w:t>
            </w:r>
          </w:p>
        </w:tc>
        <w:tc>
          <w:tcPr>
            <w:tcW w:w="3379" w:type="dxa"/>
            <w:tcBorders>
              <w:top w:val="single" w:color="auto" w:sz="4" w:space="0"/>
              <w:left w:val="single" w:color="auto" w:sz="4" w:space="0"/>
              <w:bottom w:val="single" w:color="auto" w:sz="4" w:space="0"/>
              <w:right w:val="single" w:color="auto" w:sz="4" w:space="0"/>
            </w:tcBorders>
            <w:vAlign w:val="center"/>
          </w:tcPr>
          <w:p w14:paraId="58B1F483">
            <w:pPr>
              <w:snapToGrid w:val="0"/>
              <w:spacing w:line="360" w:lineRule="auto"/>
              <w:jc w:val="center"/>
              <w:rPr>
                <w:rFonts w:hint="eastAsia" w:asciiTheme="minorEastAsia" w:hAnsiTheme="minorEastAsia" w:eastAsiaTheme="minorEastAsia"/>
                <w:bCs/>
                <w:color w:val="auto"/>
                <w:szCs w:val="21"/>
                <w:highlight w:val="none"/>
                <w:lang w:eastAsia="zh-CN"/>
              </w:rPr>
            </w:pPr>
            <w:r>
              <w:rPr>
                <w:rFonts w:hint="eastAsia" w:cs="Arial" w:asciiTheme="minorEastAsia" w:hAnsiTheme="minorEastAsia" w:eastAsiaTheme="minorEastAsia"/>
                <w:color w:val="auto"/>
                <w:szCs w:val="21"/>
                <w:highlight w:val="none"/>
                <w:lang w:eastAsia="zh-CN"/>
              </w:rPr>
              <w:t>新城派出所院内翻新改造</w:t>
            </w:r>
          </w:p>
        </w:tc>
        <w:tc>
          <w:tcPr>
            <w:tcW w:w="685" w:type="dxa"/>
            <w:tcBorders>
              <w:top w:val="single" w:color="auto" w:sz="4" w:space="0"/>
              <w:left w:val="single" w:color="auto" w:sz="4" w:space="0"/>
              <w:bottom w:val="single" w:color="auto" w:sz="4" w:space="0"/>
              <w:right w:val="single" w:color="auto" w:sz="4" w:space="0"/>
            </w:tcBorders>
            <w:vAlign w:val="center"/>
          </w:tcPr>
          <w:p w14:paraId="074E1222">
            <w:pPr>
              <w:snapToGrid w:val="0"/>
              <w:spacing w:line="360" w:lineRule="auto"/>
              <w:jc w:val="center"/>
              <w:rPr>
                <w:rFonts w:asciiTheme="minorEastAsia" w:hAnsiTheme="minorEastAsia" w:eastAsiaTheme="minorEastAsia"/>
                <w:bCs/>
                <w:color w:val="auto"/>
                <w:szCs w:val="21"/>
                <w:highlight w:val="none"/>
              </w:rPr>
            </w:pPr>
            <w:r>
              <w:rPr>
                <w:rFonts w:asciiTheme="minorEastAsia" w:hAnsiTheme="minorEastAsia" w:eastAsiaTheme="minorEastAsia"/>
                <w:bCs/>
                <w:color w:val="auto"/>
                <w:szCs w:val="21"/>
                <w:highlight w:val="none"/>
              </w:rPr>
              <w:t>1</w:t>
            </w:r>
          </w:p>
        </w:tc>
        <w:tc>
          <w:tcPr>
            <w:tcW w:w="876" w:type="dxa"/>
            <w:tcBorders>
              <w:top w:val="single" w:color="auto" w:sz="4" w:space="0"/>
              <w:left w:val="single" w:color="auto" w:sz="4" w:space="0"/>
              <w:bottom w:val="single" w:color="auto" w:sz="4" w:space="0"/>
              <w:right w:val="single" w:color="auto" w:sz="4" w:space="0"/>
            </w:tcBorders>
            <w:vAlign w:val="center"/>
          </w:tcPr>
          <w:p w14:paraId="5428D861">
            <w:pPr>
              <w:snapToGrid w:val="0"/>
              <w:spacing w:line="360" w:lineRule="auto"/>
              <w:jc w:val="center"/>
              <w:rPr>
                <w:rFonts w:asciiTheme="minorEastAsia" w:hAnsiTheme="minorEastAsia" w:eastAsiaTheme="minorEastAsia"/>
                <w:bCs/>
                <w:color w:val="auto"/>
                <w:szCs w:val="21"/>
                <w:highlight w:val="none"/>
              </w:rPr>
            </w:pPr>
            <w:r>
              <w:rPr>
                <w:rFonts w:asciiTheme="minorEastAsia" w:hAnsiTheme="minorEastAsia" w:eastAsiaTheme="minorEastAsia"/>
                <w:bCs/>
                <w:color w:val="auto"/>
                <w:szCs w:val="21"/>
                <w:highlight w:val="none"/>
              </w:rPr>
              <w:t>项</w:t>
            </w:r>
          </w:p>
        </w:tc>
        <w:tc>
          <w:tcPr>
            <w:tcW w:w="2697" w:type="dxa"/>
            <w:tcBorders>
              <w:top w:val="single" w:color="auto" w:sz="4" w:space="0"/>
              <w:left w:val="single" w:color="auto" w:sz="4" w:space="0"/>
              <w:bottom w:val="single" w:color="auto" w:sz="4" w:space="0"/>
              <w:right w:val="single" w:color="auto" w:sz="4" w:space="0"/>
            </w:tcBorders>
            <w:vAlign w:val="center"/>
          </w:tcPr>
          <w:p w14:paraId="4FDC078F">
            <w:pPr>
              <w:adjustRightInd w:val="0"/>
              <w:snapToGrid w:val="0"/>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eastAsia="zh-CN"/>
              </w:rPr>
              <w:t>合同签订后70天内完成</w:t>
            </w:r>
            <w:r>
              <w:rPr>
                <w:rFonts w:hint="eastAsia" w:asciiTheme="minorEastAsia" w:hAnsiTheme="minorEastAsia" w:eastAsiaTheme="minorEastAsia"/>
                <w:color w:val="auto"/>
                <w:szCs w:val="21"/>
                <w:highlight w:val="none"/>
              </w:rPr>
              <w:t>。</w:t>
            </w:r>
          </w:p>
        </w:tc>
        <w:tc>
          <w:tcPr>
            <w:tcW w:w="1468" w:type="dxa"/>
            <w:tcBorders>
              <w:top w:val="single" w:color="auto" w:sz="4" w:space="0"/>
              <w:left w:val="single" w:color="auto" w:sz="4" w:space="0"/>
              <w:bottom w:val="single" w:color="auto" w:sz="4" w:space="0"/>
              <w:right w:val="single" w:color="auto" w:sz="4" w:space="0"/>
            </w:tcBorders>
            <w:vAlign w:val="center"/>
          </w:tcPr>
          <w:p w14:paraId="5072FCF3">
            <w:pPr>
              <w:adjustRightInd w:val="0"/>
              <w:snapToGrid w:val="0"/>
              <w:spacing w:line="360" w:lineRule="auto"/>
              <w:jc w:val="center"/>
              <w:rPr>
                <w:rFonts w:hint="eastAsia" w:asciiTheme="minorEastAsia" w:hAnsiTheme="minorEastAsia" w:eastAsiaTheme="minorEastAsia"/>
                <w:color w:val="auto"/>
                <w:szCs w:val="21"/>
                <w:highlight w:val="none"/>
                <w:lang w:eastAsia="zh-CN"/>
              </w:rPr>
            </w:pPr>
          </w:p>
        </w:tc>
      </w:tr>
    </w:tbl>
    <w:p w14:paraId="3CF8DCEF">
      <w:pPr>
        <w:pStyle w:val="341"/>
        <w:widowControl w:val="0"/>
        <w:spacing w:line="360" w:lineRule="auto"/>
        <w:ind w:firstLine="0" w:firstLineChars="0"/>
        <w:jc w:val="both"/>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七、供应商的资格要求:</w:t>
      </w:r>
    </w:p>
    <w:p w14:paraId="074D0531">
      <w:pPr>
        <w:spacing w:before="52" w:after="52" w:line="360" w:lineRule="auto"/>
        <w:ind w:right="52" w:firstLine="210" w:firstLineChars="1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（一）符合政府采购法第二十二条规定的供应商资格条件：</w:t>
      </w:r>
    </w:p>
    <w:p w14:paraId="5A6B2F6A">
      <w:pPr>
        <w:spacing w:before="52" w:after="52" w:line="360" w:lineRule="auto"/>
        <w:ind w:left="239" w:leftChars="114" w:right="52"/>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 xml:space="preserve">1.具有独立承担民事责任的能力； </w:t>
      </w:r>
    </w:p>
    <w:p w14:paraId="6A54D08D">
      <w:pPr>
        <w:spacing w:before="52" w:after="52" w:line="360" w:lineRule="auto"/>
        <w:ind w:left="239" w:leftChars="114" w:right="52"/>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 xml:space="preserve">2.具有良好的商业信誉和健全的财务会计制度； </w:t>
      </w:r>
    </w:p>
    <w:p w14:paraId="509B180C">
      <w:pPr>
        <w:spacing w:before="52" w:after="52" w:line="360" w:lineRule="auto"/>
        <w:ind w:left="239" w:leftChars="114" w:right="52"/>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 xml:space="preserve">3.具有履行合同所必需的设备和专业技术能力； </w:t>
      </w:r>
    </w:p>
    <w:p w14:paraId="381C222D">
      <w:pPr>
        <w:spacing w:before="52" w:after="52" w:line="360" w:lineRule="auto"/>
        <w:ind w:left="239" w:leftChars="114" w:right="52"/>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 xml:space="preserve">4.有依法缴纳税收和社会保障资金的良好记录； </w:t>
      </w:r>
    </w:p>
    <w:p w14:paraId="467492B1">
      <w:pPr>
        <w:spacing w:before="52" w:after="52" w:line="360" w:lineRule="auto"/>
        <w:ind w:left="239" w:leftChars="114" w:right="52"/>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 xml:space="preserve">5.参加政府采购活动前三年内，在经营活动中没有重大违法记录； </w:t>
      </w:r>
    </w:p>
    <w:p w14:paraId="77371554">
      <w:pPr>
        <w:spacing w:before="52" w:after="52" w:line="360" w:lineRule="auto"/>
        <w:ind w:left="239" w:leftChars="114" w:right="52"/>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6.符合法律、行政法规规定的其他条件；</w:t>
      </w:r>
    </w:p>
    <w:p w14:paraId="6B39472A">
      <w:pPr>
        <w:snapToGrid w:val="0"/>
        <w:spacing w:line="360" w:lineRule="auto"/>
        <w:ind w:firstLine="211" w:firstLineChars="100"/>
        <w:rPr>
          <w:rFonts w:cs="Arial" w:asciiTheme="minorEastAsia" w:hAnsiTheme="minorEastAsia" w:eastAsiaTheme="minorEastAsia"/>
          <w:b/>
          <w:color w:val="auto"/>
          <w:szCs w:val="21"/>
          <w:highlight w:val="none"/>
          <w:u w:val="single"/>
        </w:rPr>
      </w:pPr>
      <w:r>
        <w:rPr>
          <w:rFonts w:hint="eastAsia" w:cs="Arial" w:asciiTheme="minorEastAsia" w:hAnsiTheme="minorEastAsia" w:eastAsiaTheme="minorEastAsia"/>
          <w:b/>
          <w:color w:val="auto"/>
          <w:szCs w:val="21"/>
          <w:highlight w:val="none"/>
          <w:u w:val="single"/>
        </w:rPr>
        <w:t>（二）落实政府采购政策需满足的资格要求：</w:t>
      </w:r>
    </w:p>
    <w:p w14:paraId="4825A53C">
      <w:pPr>
        <w:snapToGrid w:val="0"/>
        <w:spacing w:line="360" w:lineRule="auto"/>
        <w:rPr>
          <w:rFonts w:cs="Arial" w:asciiTheme="minorEastAsia" w:hAnsiTheme="minorEastAsia" w:eastAsiaTheme="minorEastAsia"/>
          <w:b/>
          <w:color w:val="auto"/>
          <w:szCs w:val="21"/>
          <w:highlight w:val="none"/>
          <w:u w:val="single"/>
        </w:rPr>
      </w:pPr>
      <w:r>
        <w:rPr>
          <w:rFonts w:hint="eastAsia" w:cs="Arial" w:asciiTheme="minorEastAsia" w:hAnsiTheme="minorEastAsia" w:eastAsiaTheme="minorEastAsia"/>
          <w:b/>
          <w:color w:val="auto"/>
          <w:szCs w:val="21"/>
          <w:highlight w:val="none"/>
          <w:u w:val="single"/>
        </w:rPr>
        <w:sym w:font="Wingdings" w:char="00A8"/>
      </w:r>
      <w:r>
        <w:rPr>
          <w:rFonts w:hint="eastAsia" w:cs="Arial" w:asciiTheme="minorEastAsia" w:hAnsiTheme="minorEastAsia" w:eastAsiaTheme="minorEastAsia"/>
          <w:b/>
          <w:color w:val="auto"/>
          <w:szCs w:val="21"/>
          <w:highlight w:val="none"/>
          <w:u w:val="single"/>
        </w:rPr>
        <w:t xml:space="preserve">无； </w:t>
      </w:r>
    </w:p>
    <w:p w14:paraId="757790F0">
      <w:pPr>
        <w:snapToGrid w:val="0"/>
        <w:spacing w:line="360" w:lineRule="auto"/>
        <w:rPr>
          <w:rFonts w:cs="Arial" w:asciiTheme="minorEastAsia" w:hAnsiTheme="minorEastAsia" w:eastAsiaTheme="minorEastAsia"/>
          <w:b/>
          <w:color w:val="auto"/>
          <w:szCs w:val="21"/>
          <w:highlight w:val="none"/>
          <w:u w:val="single"/>
        </w:rPr>
      </w:pPr>
      <w:r>
        <w:rPr>
          <w:rFonts w:hint="eastAsia" w:cs="Arial" w:asciiTheme="minorEastAsia" w:hAnsiTheme="minorEastAsia" w:eastAsiaTheme="minorEastAsia"/>
          <w:b/>
          <w:color w:val="auto"/>
          <w:szCs w:val="21"/>
          <w:highlight w:val="none"/>
          <w:u w:val="single"/>
        </w:rPr>
        <w:sym w:font="Wingdings" w:char="00FE"/>
      </w:r>
      <w:r>
        <w:rPr>
          <w:rFonts w:hint="eastAsia" w:cs="Arial" w:asciiTheme="minorEastAsia" w:hAnsiTheme="minorEastAsia" w:eastAsiaTheme="minorEastAsia"/>
          <w:b/>
          <w:color w:val="auto"/>
          <w:szCs w:val="21"/>
          <w:highlight w:val="none"/>
          <w:u w:val="single"/>
        </w:rPr>
        <w:t>专门面向中小企业</w:t>
      </w:r>
    </w:p>
    <w:p w14:paraId="705224FD">
      <w:pPr>
        <w:spacing w:before="52" w:after="52" w:line="360" w:lineRule="auto"/>
        <w:ind w:left="239" w:leftChars="114" w:right="52"/>
        <w:rPr>
          <w:rFonts w:hint="eastAsia" w:eastAsia="宋体" w:asciiTheme="minorEastAsia" w:hAnsiTheme="minorEastAsia"/>
          <w:color w:val="auto"/>
          <w:kern w:val="2"/>
          <w:szCs w:val="21"/>
          <w:highlight w:val="none"/>
          <w:lang w:eastAsia="zh-CN"/>
        </w:rPr>
      </w:pPr>
      <w:r>
        <w:rPr>
          <w:rFonts w:hint="eastAsia" w:asciiTheme="minorEastAsia" w:hAnsiTheme="minorEastAsia" w:eastAsiaTheme="minorEastAsia"/>
          <w:b/>
          <w:bCs/>
          <w:color w:val="auto"/>
          <w:kern w:val="2"/>
          <w:szCs w:val="21"/>
          <w:highlight w:val="none"/>
        </w:rPr>
        <w:t>（三）本项目的特定资格要求：企业资质：具有</w:t>
      </w:r>
      <w:r>
        <w:rPr>
          <w:rFonts w:hint="eastAsia" w:asciiTheme="minorEastAsia" w:hAnsiTheme="minorEastAsia" w:eastAsiaTheme="minorEastAsia"/>
          <w:b/>
          <w:bCs/>
          <w:color w:val="auto"/>
          <w:kern w:val="2"/>
          <w:szCs w:val="21"/>
          <w:highlight w:val="none"/>
          <w:lang w:eastAsia="zh-CN"/>
        </w:rPr>
        <w:t>市政公用工程施工总承包三级</w:t>
      </w:r>
      <w:r>
        <w:rPr>
          <w:rFonts w:hint="eastAsia" w:asciiTheme="minorEastAsia" w:hAnsiTheme="minorEastAsia" w:eastAsiaTheme="minorEastAsia"/>
          <w:b/>
          <w:bCs/>
          <w:color w:val="auto"/>
          <w:kern w:val="2"/>
          <w:szCs w:val="21"/>
          <w:highlight w:val="none"/>
        </w:rPr>
        <w:t>及以上资质和有效的企业安全生产许可证。</w:t>
      </w:r>
      <w:r>
        <w:rPr>
          <w:rFonts w:hint="eastAsia" w:ascii="宋体" w:hAnsi="宋体" w:eastAsia="宋体" w:cs="宋体"/>
          <w:b/>
          <w:color w:val="auto"/>
          <w:szCs w:val="21"/>
          <w:highlight w:val="none"/>
        </w:rPr>
        <w:t>项目负责人：拟派项目负责人具有注册在投标人单位的</w:t>
      </w:r>
      <w:r>
        <w:rPr>
          <w:rFonts w:hint="eastAsia" w:ascii="宋体" w:hAnsi="宋体" w:cs="宋体"/>
          <w:b/>
          <w:color w:val="auto"/>
          <w:szCs w:val="21"/>
          <w:highlight w:val="none"/>
          <w:lang w:eastAsia="zh-CN"/>
        </w:rPr>
        <w:t>市政工程</w:t>
      </w:r>
      <w:r>
        <w:rPr>
          <w:rFonts w:hint="eastAsia" w:ascii="宋体" w:hAnsi="宋体" w:eastAsia="宋体" w:cs="宋体"/>
          <w:b/>
          <w:color w:val="auto"/>
          <w:szCs w:val="21"/>
          <w:highlight w:val="none"/>
        </w:rPr>
        <w:t>二级及以上注册建造师执业资格， 同时具有有效的专职安全生产管理人员B类证书</w:t>
      </w:r>
      <w:r>
        <w:rPr>
          <w:rFonts w:hint="eastAsia" w:ascii="宋体" w:hAnsi="宋体" w:eastAsia="宋体" w:cs="宋体"/>
          <w:b/>
          <w:color w:val="auto"/>
          <w:szCs w:val="21"/>
          <w:highlight w:val="none"/>
          <w:lang w:eastAsia="zh-CN"/>
        </w:rPr>
        <w:t>。</w:t>
      </w:r>
    </w:p>
    <w:p w14:paraId="34D6927A">
      <w:pPr>
        <w:spacing w:before="52" w:after="52" w:line="360" w:lineRule="auto"/>
        <w:ind w:left="239" w:leftChars="114" w:right="52"/>
        <w:rPr>
          <w:rFonts w:cs="Arial" w:asciiTheme="minorEastAsia" w:hAnsiTheme="minorEastAsia" w:eastAsiaTheme="minorEastAsia"/>
          <w:color w:val="auto"/>
          <w:szCs w:val="21"/>
          <w:highlight w:val="none"/>
        </w:rPr>
      </w:pPr>
      <w:r>
        <w:rPr>
          <w:rFonts w:hint="eastAsia" w:asciiTheme="minorEastAsia" w:hAnsiTheme="minorEastAsia" w:eastAsiaTheme="minorEastAsia"/>
          <w:color w:val="auto"/>
          <w:kern w:val="2"/>
          <w:szCs w:val="21"/>
          <w:highlight w:val="none"/>
        </w:rPr>
        <w:t>（四）承诺：符合浙财采监【2013】24号《关于规范政府采购供应商资格设定及资格审查的通知》第六条规定,且未被“信用中国”（www.creditchina.gov.c</w:t>
      </w:r>
      <w:r>
        <w:rPr>
          <w:rFonts w:hint="eastAsia" w:cs="Arial" w:asciiTheme="minorEastAsia" w:hAnsiTheme="minorEastAsia" w:eastAsiaTheme="minorEastAsia"/>
          <w:color w:val="auto"/>
          <w:szCs w:val="21"/>
          <w:highlight w:val="none"/>
        </w:rPr>
        <w:t>n）和中国政府采购网（www.ccgp.gov.cn）列入失信被执行人、重大税收违法案件当事人名单、政府采购严重违法失信行为记录名单。（供应商提交投标文件时可提供自招标公告发布之日起至投标截止日内任意时间的“信用中国”网站（www.creditchina.gov.cn）和中国政府采购网（www.ccgp.gov.cn）供应商信用查询网页截图。）</w:t>
      </w:r>
    </w:p>
    <w:p w14:paraId="437A914F">
      <w:pPr>
        <w:snapToGrid w:val="0"/>
        <w:spacing w:line="360" w:lineRule="auto"/>
        <w:rPr>
          <w:rFonts w:cs="Arial" w:asciiTheme="minorEastAsia" w:hAnsiTheme="minorEastAsia" w:eastAsiaTheme="minorEastAsia"/>
          <w:b/>
          <w:color w:val="auto"/>
          <w:szCs w:val="21"/>
          <w:highlight w:val="none"/>
        </w:rPr>
      </w:pPr>
      <w:r>
        <w:rPr>
          <w:rFonts w:hint="eastAsia" w:asciiTheme="minorEastAsia" w:hAnsiTheme="minorEastAsia" w:eastAsiaTheme="minorEastAsia"/>
          <w:b/>
          <w:color w:val="auto"/>
          <w:highlight w:val="none"/>
        </w:rPr>
        <w:t>（五）</w:t>
      </w:r>
      <w:r>
        <w:rPr>
          <w:rFonts w:hint="eastAsia" w:cs="Arial" w:asciiTheme="minorEastAsia" w:hAnsiTheme="minorEastAsia" w:eastAsiaTheme="minorEastAsia"/>
          <w:b/>
          <w:color w:val="auto"/>
          <w:szCs w:val="21"/>
          <w:highlight w:val="none"/>
        </w:rPr>
        <w:t>本项目不接受联合体投标。</w:t>
      </w:r>
    </w:p>
    <w:p w14:paraId="4A5BFEEC">
      <w:pPr>
        <w:snapToGrid w:val="0"/>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 xml:space="preserve">注：本采购项目，中标单位与采购单位签订的政府采购合同适用于嘉兴市政府采购贷款政策，简称“政采贷”，具体内容可参阅政府采购贷款流程： </w:t>
      </w:r>
      <w:r>
        <w:rPr>
          <w:color w:val="auto"/>
          <w:highlight w:val="none"/>
        </w:rPr>
        <w:fldChar w:fldCharType="begin"/>
      </w:r>
      <w:r>
        <w:rPr>
          <w:color w:val="auto"/>
          <w:highlight w:val="none"/>
        </w:rPr>
        <w:instrText xml:space="preserve"> HYPERLINK "http://www.jxzbtb.cn/zxfw/005012/20181016/7e541bf4-ad29-4286-ace8-d12c1b2c54fc.html?tdsourcetag=s_pcqq_aiomsg" </w:instrText>
      </w:r>
      <w:r>
        <w:rPr>
          <w:color w:val="auto"/>
          <w:highlight w:val="none"/>
        </w:rPr>
        <w:fldChar w:fldCharType="separate"/>
      </w:r>
      <w:r>
        <w:rPr>
          <w:rFonts w:asciiTheme="minorEastAsia" w:hAnsiTheme="minorEastAsia" w:eastAsiaTheme="minorEastAsia"/>
          <w:color w:val="auto"/>
          <w:kern w:val="2"/>
          <w:szCs w:val="21"/>
          <w:highlight w:val="none"/>
        </w:rPr>
        <w:t>http://www.jxzbtb.cn/zxfw/005012/20181016/7e541bf4-ad29-4286-ace8-d12c1b2c54fc.html?tdsourcetag=s_pcqq_aiomsg</w:t>
      </w:r>
      <w:r>
        <w:rPr>
          <w:rFonts w:asciiTheme="minorEastAsia" w:hAnsiTheme="minorEastAsia" w:eastAsiaTheme="minorEastAsia"/>
          <w:color w:val="auto"/>
          <w:kern w:val="2"/>
          <w:szCs w:val="21"/>
          <w:highlight w:val="none"/>
        </w:rPr>
        <w:fldChar w:fldCharType="end"/>
      </w:r>
    </w:p>
    <w:p w14:paraId="42E71397">
      <w:pPr>
        <w:spacing w:line="360" w:lineRule="auto"/>
        <w:rPr>
          <w:rFonts w:cs="宋体" w:asciiTheme="minorEastAsia" w:hAnsiTheme="minorEastAsia" w:eastAsiaTheme="minorEastAsia"/>
          <w:b/>
          <w:color w:val="auto"/>
          <w:szCs w:val="21"/>
          <w:highlight w:val="none"/>
          <w:u w:val="single"/>
        </w:rPr>
      </w:pPr>
      <w:r>
        <w:rPr>
          <w:rFonts w:hint="eastAsia" w:asciiTheme="minorEastAsia" w:hAnsiTheme="minorEastAsia" w:eastAsiaTheme="minorEastAsia"/>
          <w:b/>
          <w:color w:val="auto"/>
          <w:kern w:val="2"/>
          <w:szCs w:val="21"/>
          <w:highlight w:val="none"/>
        </w:rPr>
        <w:t>八、公告期限：</w:t>
      </w:r>
      <w:r>
        <w:rPr>
          <w:rFonts w:hint="eastAsia" w:cs="宋体" w:asciiTheme="minorEastAsia" w:hAnsiTheme="minorEastAsia" w:eastAsiaTheme="minorEastAsia"/>
          <w:b/>
          <w:color w:val="auto"/>
          <w:szCs w:val="21"/>
          <w:highlight w:val="none"/>
          <w:u w:val="single"/>
        </w:rPr>
        <w:t xml:space="preserve">   自公告发布之日至投标截止时间止  </w:t>
      </w:r>
    </w:p>
    <w:p w14:paraId="69CB3744">
      <w:pPr>
        <w:spacing w:line="360" w:lineRule="auto"/>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九、磋商说明：</w:t>
      </w:r>
    </w:p>
    <w:p w14:paraId="782A66F9">
      <w:pPr>
        <w:snapToGrid w:val="0"/>
        <w:spacing w:line="360" w:lineRule="auto"/>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一）本项目按照《浙江省财政厅关于印发浙江省政府采购项电子交易管理暂行办法的通知》实行电子交易。供应商在使用系统过程中遇到涉及平台使用的任何问题，可致电政采云平台技术支持热线咨询，联系方式：</w:t>
      </w:r>
      <w:r>
        <w:rPr>
          <w:rFonts w:hint="eastAsia" w:asciiTheme="minorEastAsia" w:hAnsiTheme="minorEastAsia" w:eastAsiaTheme="minorEastAsia"/>
          <w:b/>
          <w:color w:val="auto"/>
          <w:kern w:val="2"/>
          <w:szCs w:val="21"/>
          <w:highlight w:val="none"/>
        </w:rPr>
        <w:t>400-881-7190。</w:t>
      </w:r>
    </w:p>
    <w:p w14:paraId="17243C9F">
      <w:pPr>
        <w:spacing w:line="360" w:lineRule="auto"/>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（二）获取磋商文件（报名）</w:t>
      </w:r>
      <w:r>
        <w:rPr>
          <w:rFonts w:asciiTheme="minorEastAsia" w:hAnsiTheme="minorEastAsia" w:eastAsiaTheme="minorEastAsia"/>
          <w:color w:val="auto"/>
          <w:kern w:val="2"/>
          <w:szCs w:val="21"/>
          <w:highlight w:val="none"/>
        </w:rPr>
        <w:t>：</w:t>
      </w:r>
    </w:p>
    <w:p w14:paraId="5FDD2BFD">
      <w:pPr>
        <w:snapToGrid w:val="0"/>
        <w:spacing w:line="360" w:lineRule="auto"/>
        <w:ind w:firstLine="210" w:firstLineChars="1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1.获取方式：磋商公告发布后，在政采云平台已完成注册的供应商登陆系统，申请获取磋商文件，待审核通过后，可下载磋商文件。如果“已申请”标签页显示状态为“审核通过”即为报名成功。路径：用户中心——项目采购——获取磋商文件管理。在“已获取”的状态下，供应商可下载查看磋商文件。</w:t>
      </w:r>
    </w:p>
    <w:p w14:paraId="5A0B2A0D">
      <w:pPr>
        <w:snapToGrid w:val="0"/>
        <w:spacing w:line="360" w:lineRule="auto"/>
        <w:ind w:firstLine="210" w:firstLineChars="1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2.获取网址：浙江政府采购网</w:t>
      </w:r>
      <w:r>
        <w:rPr>
          <w:color w:val="auto"/>
          <w:highlight w:val="none"/>
        </w:rPr>
        <w:fldChar w:fldCharType="begin"/>
      </w:r>
      <w:r>
        <w:rPr>
          <w:color w:val="auto"/>
          <w:highlight w:val="none"/>
        </w:rPr>
        <w:instrText xml:space="preserve"> HYPERLINK "https://login.zcygov.cn/login" \t "_blank" </w:instrText>
      </w:r>
      <w:r>
        <w:rPr>
          <w:color w:val="auto"/>
          <w:highlight w:val="none"/>
        </w:rPr>
        <w:fldChar w:fldCharType="separate"/>
      </w:r>
      <w:r>
        <w:rPr>
          <w:rFonts w:hint="eastAsia" w:asciiTheme="minorEastAsia" w:hAnsiTheme="minorEastAsia" w:eastAsiaTheme="minorEastAsia"/>
          <w:color w:val="auto"/>
          <w:kern w:val="2"/>
          <w:szCs w:val="21"/>
          <w:highlight w:val="none"/>
        </w:rPr>
        <w:t>https://login.zcygov.cn/login</w:t>
      </w:r>
      <w:r>
        <w:rPr>
          <w:rFonts w:hint="eastAsia" w:asciiTheme="minorEastAsia" w:hAnsiTheme="minorEastAsia" w:eastAsiaTheme="minorEastAsia"/>
          <w:color w:val="auto"/>
          <w:kern w:val="2"/>
          <w:szCs w:val="21"/>
          <w:highlight w:val="none"/>
        </w:rPr>
        <w:fldChar w:fldCharType="end"/>
      </w:r>
    </w:p>
    <w:p w14:paraId="2BD9B527">
      <w:pPr>
        <w:spacing w:line="360" w:lineRule="auto"/>
        <w:ind w:firstLine="210" w:firstLineChars="100"/>
        <w:rPr>
          <w:rFonts w:asciiTheme="minorEastAsia" w:hAnsiTheme="minorEastAsia" w:eastAsiaTheme="minorEastAsia"/>
          <w:b/>
          <w:color w:val="auto"/>
          <w:szCs w:val="21"/>
          <w:highlight w:val="none"/>
          <w:shd w:val="clear" w:color="auto" w:fill="FFFFFF"/>
        </w:rPr>
      </w:pPr>
      <w:r>
        <w:rPr>
          <w:rFonts w:hint="eastAsia" w:asciiTheme="minorEastAsia" w:hAnsiTheme="minorEastAsia" w:eastAsiaTheme="minorEastAsia"/>
          <w:color w:val="auto"/>
          <w:kern w:val="2"/>
          <w:szCs w:val="21"/>
          <w:highlight w:val="none"/>
        </w:rPr>
        <w:t>3.获取时间：</w:t>
      </w:r>
      <w:r>
        <w:rPr>
          <w:rFonts w:hint="eastAsia" w:asciiTheme="minorEastAsia" w:hAnsiTheme="minorEastAsia" w:eastAsiaTheme="minorEastAsia"/>
          <w:b/>
          <w:color w:val="auto"/>
          <w:szCs w:val="21"/>
          <w:highlight w:val="none"/>
          <w:shd w:val="clear" w:color="auto" w:fill="FFFFFF"/>
          <w:lang w:eastAsia="zh-CN"/>
        </w:rPr>
        <w:t>2025年7月4日</w:t>
      </w:r>
      <w:r>
        <w:rPr>
          <w:rFonts w:hint="eastAsia" w:asciiTheme="minorEastAsia" w:hAnsiTheme="minorEastAsia" w:eastAsiaTheme="minorEastAsia"/>
          <w:b/>
          <w:color w:val="auto"/>
          <w:szCs w:val="21"/>
          <w:highlight w:val="none"/>
          <w:shd w:val="clear" w:color="auto" w:fill="FFFFFF"/>
          <w:lang w:val="en-US" w:eastAsia="zh-CN"/>
        </w:rPr>
        <w:t>9</w:t>
      </w:r>
      <w:r>
        <w:rPr>
          <w:rFonts w:hint="eastAsia" w:asciiTheme="minorEastAsia" w:hAnsiTheme="minorEastAsia" w:eastAsiaTheme="minorEastAsia"/>
          <w:b/>
          <w:color w:val="auto"/>
          <w:szCs w:val="21"/>
          <w:highlight w:val="none"/>
          <w:shd w:val="clear" w:color="auto" w:fill="FFFFFF"/>
          <w:lang w:eastAsia="zh-CN"/>
        </w:rPr>
        <w:t>时00分</w:t>
      </w:r>
      <w:r>
        <w:rPr>
          <w:rFonts w:hint="eastAsia" w:cs="宋体" w:asciiTheme="minorEastAsia" w:hAnsiTheme="minorEastAsia" w:eastAsiaTheme="minorEastAsia"/>
          <w:b/>
          <w:bCs/>
          <w:color w:val="auto"/>
          <w:szCs w:val="21"/>
          <w:highlight w:val="none"/>
        </w:rPr>
        <w:t>整</w:t>
      </w:r>
      <w:r>
        <w:rPr>
          <w:rFonts w:hint="eastAsia" w:cs="宋体" w:asciiTheme="minorEastAsia" w:hAnsiTheme="minorEastAsia" w:eastAsiaTheme="minorEastAsia"/>
          <w:bCs/>
          <w:color w:val="auto"/>
          <w:szCs w:val="21"/>
          <w:highlight w:val="none"/>
        </w:rPr>
        <w:t>前在上述时间内供应商均可获取招标文件。</w:t>
      </w:r>
    </w:p>
    <w:p w14:paraId="0E789239">
      <w:pPr>
        <w:snapToGrid w:val="0"/>
        <w:spacing w:line="360" w:lineRule="auto"/>
        <w:ind w:firstLine="210" w:firstLineChars="1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4.供应商注册网址：</w:t>
      </w:r>
    </w:p>
    <w:p w14:paraId="2B27BC06">
      <w:pPr>
        <w:snapToGrid w:val="0"/>
        <w:spacing w:line="360" w:lineRule="auto"/>
        <w:ind w:firstLine="210" w:firstLineChars="1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浙江政府采购网：</w:t>
      </w:r>
      <w:r>
        <w:rPr>
          <w:color w:val="auto"/>
          <w:highlight w:val="none"/>
        </w:rPr>
        <w:fldChar w:fldCharType="begin"/>
      </w:r>
      <w:r>
        <w:rPr>
          <w:color w:val="auto"/>
          <w:highlight w:val="none"/>
        </w:rPr>
        <w:instrText xml:space="preserve"> HYPERLINK "https://middle.zcygov.cn/settle-front/" \l "/registry" </w:instrText>
      </w:r>
      <w:r>
        <w:rPr>
          <w:color w:val="auto"/>
          <w:highlight w:val="none"/>
        </w:rPr>
        <w:fldChar w:fldCharType="separate"/>
      </w:r>
      <w:r>
        <w:rPr>
          <w:rFonts w:hint="eastAsia" w:asciiTheme="minorEastAsia" w:hAnsiTheme="minorEastAsia" w:eastAsiaTheme="minorEastAsia"/>
          <w:color w:val="auto"/>
          <w:kern w:val="2"/>
          <w:highlight w:val="none"/>
        </w:rPr>
        <w:t>https://middle.zcygov.cn/settle-front/#/registry</w:t>
      </w:r>
      <w:r>
        <w:rPr>
          <w:rFonts w:hint="eastAsia" w:asciiTheme="minorEastAsia" w:hAnsiTheme="minorEastAsia" w:eastAsiaTheme="minorEastAsia"/>
          <w:color w:val="auto"/>
          <w:kern w:val="2"/>
          <w:highlight w:val="none"/>
        </w:rPr>
        <w:fldChar w:fldCharType="end"/>
      </w:r>
    </w:p>
    <w:p w14:paraId="7BDEB46C">
      <w:pPr>
        <w:spacing w:line="360" w:lineRule="auto"/>
        <w:ind w:firstLine="422"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b/>
          <w:color w:val="auto"/>
          <w:kern w:val="2"/>
          <w:szCs w:val="21"/>
          <w:highlight w:val="none"/>
        </w:rPr>
        <w:t>政采云咨询电话：95763</w:t>
      </w:r>
      <w:r>
        <w:rPr>
          <w:rFonts w:hint="eastAsia" w:asciiTheme="minorEastAsia" w:hAnsiTheme="minorEastAsia" w:eastAsiaTheme="minorEastAsia"/>
          <w:color w:val="auto"/>
          <w:kern w:val="2"/>
          <w:szCs w:val="21"/>
          <w:highlight w:val="none"/>
        </w:rPr>
        <w:t>，政采云平台服务中心：</w:t>
      </w:r>
      <w:r>
        <w:rPr>
          <w:color w:val="auto"/>
          <w:highlight w:val="none"/>
        </w:rPr>
        <w:fldChar w:fldCharType="begin"/>
      </w:r>
      <w:r>
        <w:rPr>
          <w:color w:val="auto"/>
          <w:highlight w:val="none"/>
        </w:rPr>
        <w:instrText xml:space="preserve"> HYPERLINK "https://service.zcygov.cn/" \l "/" \t "_blank" </w:instrText>
      </w:r>
      <w:r>
        <w:rPr>
          <w:color w:val="auto"/>
          <w:highlight w:val="none"/>
        </w:rPr>
        <w:fldChar w:fldCharType="separate"/>
      </w:r>
      <w:r>
        <w:rPr>
          <w:rFonts w:hint="eastAsia" w:asciiTheme="minorEastAsia" w:hAnsiTheme="minorEastAsia" w:eastAsiaTheme="minorEastAsia"/>
          <w:color w:val="auto"/>
          <w:kern w:val="2"/>
          <w:szCs w:val="21"/>
          <w:highlight w:val="none"/>
        </w:rPr>
        <w:t>https://service.zcygov.cn/#/</w:t>
      </w:r>
      <w:r>
        <w:rPr>
          <w:rFonts w:hint="eastAsia" w:asciiTheme="minorEastAsia" w:hAnsiTheme="minorEastAsia" w:eastAsiaTheme="minorEastAsia"/>
          <w:color w:val="auto"/>
          <w:kern w:val="2"/>
          <w:szCs w:val="21"/>
          <w:highlight w:val="none"/>
        </w:rPr>
        <w:fldChar w:fldCharType="end"/>
      </w:r>
    </w:p>
    <w:p w14:paraId="1E000BEC">
      <w:pPr>
        <w:spacing w:line="360" w:lineRule="auto"/>
        <w:ind w:firstLine="422" w:firstLineChars="200"/>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汇信（ＣＡ）客服电话：400-888-4636</w:t>
      </w:r>
    </w:p>
    <w:p w14:paraId="235C2DC6">
      <w:pPr>
        <w:pStyle w:val="515"/>
        <w:spacing w:line="360" w:lineRule="auto"/>
        <w:ind w:firstLine="210" w:firstLineChars="100"/>
        <w:rPr>
          <w:rFonts w:cs="Times New Roman" w:asciiTheme="minorEastAsia" w:hAnsiTheme="minorEastAsia" w:eastAsiaTheme="minorEastAsia"/>
          <w:color w:val="auto"/>
          <w:kern w:val="2"/>
          <w:sz w:val="21"/>
          <w:szCs w:val="21"/>
          <w:highlight w:val="none"/>
        </w:rPr>
      </w:pPr>
      <w:r>
        <w:rPr>
          <w:rFonts w:hint="eastAsia" w:cs="Times New Roman" w:asciiTheme="minorEastAsia" w:hAnsiTheme="minorEastAsia" w:eastAsiaTheme="minorEastAsia"/>
          <w:color w:val="auto"/>
          <w:kern w:val="2"/>
          <w:sz w:val="21"/>
          <w:szCs w:val="21"/>
          <w:highlight w:val="none"/>
        </w:rPr>
        <w:t>5.响应文件</w:t>
      </w:r>
      <w:r>
        <w:rPr>
          <w:rFonts w:cs="Times New Roman" w:asciiTheme="minorEastAsia" w:hAnsiTheme="minorEastAsia" w:eastAsiaTheme="minorEastAsia"/>
          <w:color w:val="auto"/>
          <w:kern w:val="2"/>
          <w:sz w:val="21"/>
          <w:szCs w:val="21"/>
          <w:highlight w:val="none"/>
        </w:rPr>
        <w:t>制作</w:t>
      </w:r>
      <w:r>
        <w:rPr>
          <w:rFonts w:hint="eastAsia" w:cs="Times New Roman" w:asciiTheme="minorEastAsia" w:hAnsiTheme="minorEastAsia" w:eastAsiaTheme="minorEastAsia"/>
          <w:color w:val="auto"/>
          <w:kern w:val="2"/>
          <w:sz w:val="21"/>
          <w:szCs w:val="21"/>
          <w:highlight w:val="none"/>
        </w:rPr>
        <w:t>注意事项：</w:t>
      </w:r>
    </w:p>
    <w:p w14:paraId="076E61AC">
      <w:pPr>
        <w:pStyle w:val="515"/>
        <w:spacing w:line="360" w:lineRule="auto"/>
        <w:ind w:firstLine="210" w:firstLineChars="100"/>
        <w:rPr>
          <w:rFonts w:cs="Times New Roman" w:asciiTheme="minorEastAsia" w:hAnsiTheme="minorEastAsia" w:eastAsiaTheme="minorEastAsia"/>
          <w:color w:val="auto"/>
          <w:kern w:val="2"/>
          <w:sz w:val="21"/>
          <w:szCs w:val="21"/>
          <w:highlight w:val="none"/>
        </w:rPr>
      </w:pPr>
      <w:r>
        <w:rPr>
          <w:rFonts w:hint="eastAsia" w:cs="Times New Roman" w:asciiTheme="minorEastAsia" w:hAnsiTheme="minorEastAsia" w:eastAsiaTheme="minorEastAsia"/>
          <w:color w:val="auto"/>
          <w:kern w:val="2"/>
          <w:sz w:val="21"/>
          <w:szCs w:val="21"/>
          <w:highlight w:val="none"/>
        </w:rPr>
        <w:t>5.1供应商将政采云电子交易客户端下载、安装完成后，可通过账号密码或CA登录客户端进行投标文件制作。</w:t>
      </w:r>
    </w:p>
    <w:p w14:paraId="15F42402">
      <w:pPr>
        <w:pStyle w:val="515"/>
        <w:spacing w:line="360" w:lineRule="auto"/>
        <w:ind w:firstLine="210" w:firstLineChars="100"/>
        <w:rPr>
          <w:rFonts w:cs="Times New Roman" w:asciiTheme="minorEastAsia" w:hAnsiTheme="minorEastAsia" w:eastAsiaTheme="minorEastAsia"/>
          <w:color w:val="auto"/>
          <w:kern w:val="2"/>
          <w:sz w:val="21"/>
          <w:szCs w:val="21"/>
          <w:highlight w:val="none"/>
        </w:rPr>
      </w:pPr>
      <w:r>
        <w:rPr>
          <w:rFonts w:hint="eastAsia" w:asciiTheme="minorEastAsia" w:hAnsiTheme="minorEastAsia" w:eastAsiaTheme="minorEastAsia"/>
          <w:color w:val="auto"/>
          <w:sz w:val="21"/>
          <w:szCs w:val="21"/>
          <w:highlight w:val="none"/>
          <w:shd w:val="clear" w:color="auto" w:fill="FFFFFF"/>
        </w:rPr>
        <w:t>　　</w:t>
      </w:r>
      <w:r>
        <w:rPr>
          <w:rFonts w:hint="eastAsia" w:cs="Times New Roman" w:asciiTheme="minorEastAsia" w:hAnsiTheme="minorEastAsia" w:eastAsiaTheme="minorEastAsia"/>
          <w:color w:val="auto"/>
          <w:kern w:val="2"/>
          <w:sz w:val="21"/>
          <w:szCs w:val="21"/>
          <w:highlight w:val="none"/>
        </w:rPr>
        <w:t>注：供应商先要申领CA，拿到CA后需要在政采云平台进行绑定，CA相关操作可参考《CA申领操作指南》和《CA管理操作指南》。完成CA数字证书办理在资料齐全的情况下预计7个工作日左右，建议供应商获取招标文件后立即办理。　　　</w:t>
      </w:r>
    </w:p>
    <w:p w14:paraId="5AAACF5A">
      <w:pPr>
        <w:pStyle w:val="515"/>
        <w:spacing w:line="360" w:lineRule="auto"/>
        <w:ind w:left="210" w:leftChars="100" w:firstLine="105" w:firstLineChars="50"/>
        <w:rPr>
          <w:rFonts w:cs="Times New Roman" w:asciiTheme="minorEastAsia" w:hAnsiTheme="minorEastAsia" w:eastAsiaTheme="minorEastAsia"/>
          <w:color w:val="auto"/>
          <w:kern w:val="2"/>
          <w:sz w:val="21"/>
          <w:szCs w:val="21"/>
          <w:highlight w:val="none"/>
        </w:rPr>
      </w:pPr>
      <w:r>
        <w:rPr>
          <w:rFonts w:hint="eastAsia" w:cs="Times New Roman" w:asciiTheme="minorEastAsia" w:hAnsiTheme="minorEastAsia" w:eastAsiaTheme="minorEastAsia"/>
          <w:color w:val="auto"/>
          <w:kern w:val="2"/>
          <w:sz w:val="21"/>
          <w:szCs w:val="21"/>
          <w:highlight w:val="none"/>
        </w:rPr>
        <w:t>5.2电子交易操作指南：</w:t>
      </w:r>
      <w:r>
        <w:rPr>
          <w:color w:val="auto"/>
          <w:highlight w:val="none"/>
        </w:rPr>
        <w:fldChar w:fldCharType="begin"/>
      </w:r>
      <w:r>
        <w:rPr>
          <w:color w:val="auto"/>
          <w:highlight w:val="none"/>
        </w:rPr>
        <w:instrText xml:space="preserve"> HYPERLINK "https://help.zcygov.cn/web/site_2/2018/12-28/2573.html" \t "_blank" </w:instrText>
      </w:r>
      <w:r>
        <w:rPr>
          <w:color w:val="auto"/>
          <w:highlight w:val="none"/>
        </w:rPr>
        <w:fldChar w:fldCharType="separate"/>
      </w:r>
      <w:r>
        <w:rPr>
          <w:rFonts w:hint="eastAsia" w:cs="Times New Roman" w:asciiTheme="minorEastAsia" w:hAnsiTheme="minorEastAsia" w:eastAsiaTheme="minorEastAsia"/>
          <w:color w:val="auto"/>
          <w:kern w:val="2"/>
          <w:sz w:val="21"/>
          <w:szCs w:val="21"/>
          <w:highlight w:val="none"/>
        </w:rPr>
        <w:t>https://help.zcygov.cn/web/site_2/2018/12-28/2573.html</w:t>
      </w:r>
      <w:r>
        <w:rPr>
          <w:rFonts w:hint="eastAsia" w:cs="Times New Roman" w:asciiTheme="minorEastAsia" w:hAnsiTheme="minorEastAsia" w:eastAsiaTheme="minorEastAsia"/>
          <w:color w:val="auto"/>
          <w:kern w:val="2"/>
          <w:sz w:val="21"/>
          <w:szCs w:val="21"/>
          <w:highlight w:val="none"/>
        </w:rPr>
        <w:fldChar w:fldCharType="end"/>
      </w:r>
    </w:p>
    <w:p w14:paraId="78C7E988">
      <w:pPr>
        <w:pStyle w:val="515"/>
        <w:spacing w:line="360" w:lineRule="auto"/>
        <w:ind w:left="210" w:leftChars="100" w:firstLine="105" w:firstLineChars="50"/>
        <w:rPr>
          <w:rFonts w:cs="Times New Roman" w:asciiTheme="minorEastAsia" w:hAnsiTheme="minorEastAsia" w:eastAsiaTheme="minorEastAsia"/>
          <w:color w:val="auto"/>
          <w:kern w:val="2"/>
          <w:sz w:val="21"/>
          <w:szCs w:val="21"/>
          <w:highlight w:val="none"/>
        </w:rPr>
      </w:pPr>
      <w:r>
        <w:rPr>
          <w:rFonts w:hint="eastAsia" w:cs="Times New Roman" w:asciiTheme="minorEastAsia" w:hAnsiTheme="minorEastAsia" w:eastAsiaTheme="minorEastAsia"/>
          <w:color w:val="auto"/>
          <w:kern w:val="2"/>
          <w:sz w:val="21"/>
          <w:szCs w:val="21"/>
          <w:highlight w:val="none"/>
        </w:rPr>
        <w:t>《CA申领操作指南》：</w:t>
      </w:r>
      <w:r>
        <w:rPr>
          <w:color w:val="auto"/>
          <w:highlight w:val="none"/>
        </w:rPr>
        <w:fldChar w:fldCharType="begin"/>
      </w:r>
      <w:r>
        <w:rPr>
          <w:color w:val="auto"/>
          <w:highlight w:val="none"/>
        </w:rPr>
        <w:instrText xml:space="preserve"> HYPERLINK "https://help.zcygov.cn/web/site_2/2018/11-29/2452.html" \t "_blank" </w:instrText>
      </w:r>
      <w:r>
        <w:rPr>
          <w:color w:val="auto"/>
          <w:highlight w:val="none"/>
        </w:rPr>
        <w:fldChar w:fldCharType="separate"/>
      </w:r>
      <w:r>
        <w:rPr>
          <w:rFonts w:hint="eastAsia" w:cs="Times New Roman" w:asciiTheme="minorEastAsia" w:hAnsiTheme="minorEastAsia" w:eastAsiaTheme="minorEastAsia"/>
          <w:color w:val="auto"/>
          <w:kern w:val="2"/>
          <w:sz w:val="21"/>
          <w:szCs w:val="21"/>
          <w:highlight w:val="none"/>
        </w:rPr>
        <w:t>https://help.zcygov.cn/web/site_2/2018/11-29/2452.html</w:t>
      </w:r>
      <w:r>
        <w:rPr>
          <w:rFonts w:hint="eastAsia" w:cs="Times New Roman" w:asciiTheme="minorEastAsia" w:hAnsiTheme="minorEastAsia" w:eastAsiaTheme="minorEastAsia"/>
          <w:color w:val="auto"/>
          <w:kern w:val="2"/>
          <w:sz w:val="21"/>
          <w:szCs w:val="21"/>
          <w:highlight w:val="none"/>
        </w:rPr>
        <w:fldChar w:fldCharType="end"/>
      </w:r>
    </w:p>
    <w:p w14:paraId="09E1C5F3">
      <w:pPr>
        <w:pStyle w:val="515"/>
        <w:spacing w:line="360" w:lineRule="auto"/>
        <w:ind w:left="210" w:leftChars="100" w:firstLine="105" w:firstLineChars="50"/>
        <w:rPr>
          <w:rFonts w:cs="Times New Roman" w:asciiTheme="minorEastAsia" w:hAnsiTheme="minorEastAsia" w:eastAsiaTheme="minorEastAsia"/>
          <w:color w:val="auto"/>
          <w:kern w:val="2"/>
          <w:sz w:val="21"/>
          <w:szCs w:val="21"/>
          <w:highlight w:val="none"/>
        </w:rPr>
      </w:pPr>
      <w:r>
        <w:rPr>
          <w:rFonts w:hint="eastAsia" w:cs="Times New Roman" w:asciiTheme="minorEastAsia" w:hAnsiTheme="minorEastAsia" w:eastAsiaTheme="minorEastAsia"/>
          <w:color w:val="auto"/>
          <w:kern w:val="2"/>
          <w:sz w:val="21"/>
          <w:szCs w:val="21"/>
          <w:highlight w:val="none"/>
        </w:rPr>
        <w:t>《CA管理操作指南》：</w:t>
      </w:r>
      <w:r>
        <w:rPr>
          <w:color w:val="auto"/>
          <w:highlight w:val="none"/>
        </w:rPr>
        <w:fldChar w:fldCharType="begin"/>
      </w:r>
      <w:r>
        <w:rPr>
          <w:color w:val="auto"/>
          <w:highlight w:val="none"/>
        </w:rPr>
        <w:instrText xml:space="preserve"> HYPERLINK "https://help.zcygov.cn/web/site_2/2019/08-20/3405.html" \t "_blank" </w:instrText>
      </w:r>
      <w:r>
        <w:rPr>
          <w:color w:val="auto"/>
          <w:highlight w:val="none"/>
        </w:rPr>
        <w:fldChar w:fldCharType="separate"/>
      </w:r>
      <w:r>
        <w:rPr>
          <w:rFonts w:hint="eastAsia" w:cs="Times New Roman" w:asciiTheme="minorEastAsia" w:hAnsiTheme="minorEastAsia" w:eastAsiaTheme="minorEastAsia"/>
          <w:color w:val="auto"/>
          <w:kern w:val="2"/>
          <w:sz w:val="21"/>
          <w:szCs w:val="21"/>
          <w:highlight w:val="none"/>
        </w:rPr>
        <w:t>https://help.zcygov.cn/web/site_2/2019/08-20/3405.html</w:t>
      </w:r>
      <w:r>
        <w:rPr>
          <w:rFonts w:hint="eastAsia" w:cs="Times New Roman" w:asciiTheme="minorEastAsia" w:hAnsiTheme="minorEastAsia" w:eastAsiaTheme="minorEastAsia"/>
          <w:color w:val="auto"/>
          <w:kern w:val="2"/>
          <w:sz w:val="21"/>
          <w:szCs w:val="21"/>
          <w:highlight w:val="none"/>
        </w:rPr>
        <w:fldChar w:fldCharType="end"/>
      </w:r>
    </w:p>
    <w:p w14:paraId="39D1901A">
      <w:pPr>
        <w:pStyle w:val="515"/>
        <w:spacing w:line="360" w:lineRule="auto"/>
        <w:ind w:left="210" w:leftChars="100" w:firstLine="105" w:firstLineChars="50"/>
        <w:rPr>
          <w:rFonts w:cs="Times New Roman" w:asciiTheme="minorEastAsia" w:hAnsiTheme="minorEastAsia" w:eastAsiaTheme="minorEastAsia"/>
          <w:color w:val="auto"/>
          <w:kern w:val="2"/>
          <w:sz w:val="21"/>
          <w:szCs w:val="21"/>
          <w:highlight w:val="none"/>
        </w:rPr>
      </w:pPr>
      <w:r>
        <w:rPr>
          <w:rFonts w:hint="eastAsia" w:cs="Times New Roman" w:asciiTheme="minorEastAsia" w:hAnsiTheme="minorEastAsia" w:eastAsiaTheme="minorEastAsia"/>
          <w:color w:val="auto"/>
          <w:kern w:val="2"/>
          <w:sz w:val="21"/>
          <w:szCs w:val="21"/>
          <w:highlight w:val="none"/>
        </w:rPr>
        <w:t xml:space="preserve">《CA驱动和申领流程》 </w:t>
      </w:r>
      <w:r>
        <w:rPr>
          <w:color w:val="auto"/>
          <w:highlight w:val="none"/>
        </w:rPr>
        <w:fldChar w:fldCharType="begin"/>
      </w:r>
      <w:r>
        <w:rPr>
          <w:color w:val="auto"/>
          <w:highlight w:val="none"/>
        </w:rPr>
        <w:instrText xml:space="preserve"> HYPERLINK "http://www.zjzfcg.gov.cn/bidClientTemplate/2019-05-27/12945.html" \t "_blank" </w:instrText>
      </w:r>
      <w:r>
        <w:rPr>
          <w:color w:val="auto"/>
          <w:highlight w:val="none"/>
        </w:rPr>
        <w:fldChar w:fldCharType="separate"/>
      </w:r>
      <w:r>
        <w:rPr>
          <w:rFonts w:hint="eastAsia" w:cs="Times New Roman" w:asciiTheme="minorEastAsia" w:hAnsiTheme="minorEastAsia" w:eastAsiaTheme="minorEastAsia"/>
          <w:color w:val="auto"/>
          <w:kern w:val="2"/>
          <w:sz w:val="21"/>
          <w:szCs w:val="21"/>
          <w:highlight w:val="none"/>
        </w:rPr>
        <w:t>http://www.zjzfcg.gov.cn/bidClientTemplate/2019-05-27/12945.html</w:t>
      </w:r>
      <w:r>
        <w:rPr>
          <w:rFonts w:hint="eastAsia" w:cs="Times New Roman" w:asciiTheme="minorEastAsia" w:hAnsiTheme="minorEastAsia" w:eastAsiaTheme="minorEastAsia"/>
          <w:color w:val="auto"/>
          <w:kern w:val="2"/>
          <w:sz w:val="21"/>
          <w:szCs w:val="21"/>
          <w:highlight w:val="none"/>
        </w:rPr>
        <w:fldChar w:fldCharType="end"/>
      </w:r>
    </w:p>
    <w:p w14:paraId="3BA1345B">
      <w:pPr>
        <w:pStyle w:val="515"/>
        <w:spacing w:line="360" w:lineRule="auto"/>
        <w:ind w:left="210" w:leftChars="100" w:firstLine="105" w:firstLineChars="50"/>
        <w:rPr>
          <w:rFonts w:cs="Times New Roman" w:asciiTheme="minorEastAsia" w:hAnsiTheme="minorEastAsia" w:eastAsiaTheme="minorEastAsia"/>
          <w:color w:val="auto"/>
          <w:kern w:val="2"/>
          <w:sz w:val="21"/>
          <w:szCs w:val="21"/>
          <w:highlight w:val="none"/>
        </w:rPr>
      </w:pPr>
      <w:r>
        <w:rPr>
          <w:rFonts w:hint="eastAsia" w:cs="Times New Roman" w:asciiTheme="minorEastAsia" w:hAnsiTheme="minorEastAsia" w:eastAsiaTheme="minorEastAsia"/>
          <w:color w:val="auto"/>
          <w:kern w:val="2"/>
          <w:sz w:val="21"/>
          <w:szCs w:val="21"/>
          <w:highlight w:val="none"/>
        </w:rPr>
        <w:t>注：ＣＡ证书遗失补办、延期、解锁、质保等业务可以在联连客户端上进行操作；使用政采云投标客户端时，建议使用WIN7及以上操作系统。</w:t>
      </w:r>
    </w:p>
    <w:p w14:paraId="19B3836A">
      <w:pPr>
        <w:pStyle w:val="515"/>
        <w:spacing w:line="360" w:lineRule="auto"/>
        <w:rPr>
          <w:rFonts w:cs="Times New Roman" w:asciiTheme="minorEastAsia" w:hAnsiTheme="minorEastAsia" w:eastAsiaTheme="minorEastAsia"/>
          <w:b/>
          <w:color w:val="auto"/>
          <w:kern w:val="2"/>
          <w:sz w:val="21"/>
          <w:szCs w:val="21"/>
          <w:highlight w:val="none"/>
        </w:rPr>
      </w:pPr>
      <w:r>
        <w:rPr>
          <w:rFonts w:hint="eastAsia" w:cs="Times New Roman" w:asciiTheme="minorEastAsia" w:hAnsiTheme="minorEastAsia" w:eastAsiaTheme="minorEastAsia"/>
          <w:b/>
          <w:color w:val="auto"/>
          <w:kern w:val="2"/>
          <w:sz w:val="21"/>
          <w:szCs w:val="21"/>
          <w:highlight w:val="none"/>
        </w:rPr>
        <w:t>十、注意事项</w:t>
      </w:r>
    </w:p>
    <w:p w14:paraId="289C3159">
      <w:pPr>
        <w:snapToGrid w:val="0"/>
        <w:spacing w:line="360" w:lineRule="auto"/>
        <w:ind w:firstLine="411" w:firstLineChars="196"/>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1.供应商进行电子投标应安装客户端软件，并按照招标文件和电子交易平台的要求编制并加密投标文件。供应商未按规定加密的投标文件，代理机构应当拒收。</w:t>
      </w:r>
    </w:p>
    <w:p w14:paraId="5E8A10E0">
      <w:pPr>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2.供应商应当在提交首次响应文件截止时间前完成电子响应文件的传输，提交首次响应文件截止时间前可以补充、修改或者撤回电子响应文件。补充或者修改电子响应文件的，应当先行撤回原文件，补充、修改后重新传输递交。提交首次响应文件截止时间前未完成传输的，视为撤回响应文件。投标截止时间后提交的响应文件，视为无效。</w:t>
      </w:r>
    </w:p>
    <w:p w14:paraId="5A165CCD">
      <w:pPr>
        <w:spacing w:before="120" w:beforeLines="50" w:after="120" w:afterLines="50" w:line="360" w:lineRule="auto"/>
        <w:rPr>
          <w:rFonts w:asciiTheme="minorEastAsia" w:hAnsiTheme="minorEastAsia" w:eastAsiaTheme="minorEastAsia"/>
          <w:color w:val="auto"/>
          <w:kern w:val="2"/>
          <w:szCs w:val="21"/>
          <w:highlight w:val="none"/>
        </w:rPr>
      </w:pPr>
      <w:r>
        <w:rPr>
          <w:rFonts w:hint="eastAsia" w:asciiTheme="minorEastAsia" w:hAnsiTheme="minorEastAsia" w:eastAsiaTheme="minorEastAsia"/>
          <w:b/>
          <w:color w:val="auto"/>
          <w:kern w:val="2"/>
          <w:szCs w:val="21"/>
          <w:highlight w:val="none"/>
        </w:rPr>
        <w:t>十一、磋商公告发布于</w:t>
      </w:r>
      <w:r>
        <w:rPr>
          <w:rFonts w:hint="eastAsia" w:asciiTheme="minorEastAsia" w:hAnsiTheme="minorEastAsia" w:eastAsiaTheme="minorEastAsia"/>
          <w:color w:val="auto"/>
          <w:kern w:val="2"/>
          <w:szCs w:val="21"/>
          <w:highlight w:val="none"/>
        </w:rPr>
        <w:t>：浙江政府采购网(</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Style w:val="65"/>
          <w:rFonts w:asciiTheme="minorEastAsia" w:hAnsiTheme="minorEastAsia" w:eastAsiaTheme="minorEastAsia"/>
          <w:color w:val="auto"/>
          <w:kern w:val="2"/>
          <w:szCs w:val="21"/>
          <w:highlight w:val="none"/>
        </w:rPr>
        <w:t>http://www.zjzfcg.gov.cn/</w:t>
      </w:r>
      <w:r>
        <w:rPr>
          <w:rStyle w:val="65"/>
          <w:rFonts w:asciiTheme="minorEastAsia" w:hAnsiTheme="minorEastAsia" w:eastAsiaTheme="minorEastAsia"/>
          <w:color w:val="auto"/>
          <w:kern w:val="2"/>
          <w:szCs w:val="21"/>
          <w:highlight w:val="none"/>
        </w:rPr>
        <w:fldChar w:fldCharType="end"/>
      </w:r>
      <w:r>
        <w:rPr>
          <w:rFonts w:hint="eastAsia" w:asciiTheme="minorEastAsia" w:hAnsiTheme="minorEastAsia" w:eastAsiaTheme="minorEastAsia"/>
          <w:color w:val="auto"/>
          <w:kern w:val="2"/>
          <w:szCs w:val="21"/>
          <w:highlight w:val="none"/>
        </w:rPr>
        <w:t>)。</w:t>
      </w:r>
    </w:p>
    <w:p w14:paraId="776EB5AE">
      <w:pPr>
        <w:snapToGrid w:val="0"/>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kern w:val="2"/>
          <w:szCs w:val="21"/>
          <w:highlight w:val="none"/>
        </w:rPr>
        <w:t>十二、开标时间及地点：</w:t>
      </w:r>
      <w:r>
        <w:rPr>
          <w:rFonts w:hint="eastAsia" w:cs="Arial" w:asciiTheme="minorEastAsia" w:hAnsiTheme="minorEastAsia" w:eastAsiaTheme="minorEastAsia"/>
          <w:color w:val="auto"/>
          <w:szCs w:val="21"/>
          <w:highlight w:val="none"/>
        </w:rPr>
        <w:t>本次招标将于</w:t>
      </w:r>
      <w:r>
        <w:rPr>
          <w:rFonts w:hint="eastAsia" w:asciiTheme="minorEastAsia" w:hAnsiTheme="minorEastAsia" w:eastAsiaTheme="minorEastAsia"/>
          <w:b/>
          <w:color w:val="auto"/>
          <w:szCs w:val="21"/>
          <w:highlight w:val="none"/>
          <w:shd w:val="clear" w:color="auto" w:fill="FFFFFF"/>
          <w:lang w:eastAsia="zh-CN"/>
        </w:rPr>
        <w:t>2025年7月4日</w:t>
      </w:r>
      <w:r>
        <w:rPr>
          <w:rFonts w:hint="eastAsia" w:asciiTheme="minorEastAsia" w:hAnsiTheme="minorEastAsia" w:eastAsiaTheme="minorEastAsia"/>
          <w:b/>
          <w:color w:val="auto"/>
          <w:szCs w:val="21"/>
          <w:highlight w:val="none"/>
          <w:shd w:val="clear" w:color="auto" w:fill="FFFFFF"/>
          <w:lang w:val="en-US" w:eastAsia="zh-CN"/>
        </w:rPr>
        <w:t>9</w:t>
      </w:r>
      <w:r>
        <w:rPr>
          <w:rFonts w:hint="eastAsia" w:asciiTheme="minorEastAsia" w:hAnsiTheme="minorEastAsia" w:eastAsiaTheme="minorEastAsia"/>
          <w:b/>
          <w:color w:val="auto"/>
          <w:szCs w:val="21"/>
          <w:highlight w:val="none"/>
          <w:shd w:val="clear" w:color="auto" w:fill="FFFFFF"/>
          <w:lang w:eastAsia="zh-CN"/>
        </w:rPr>
        <w:t>时00分</w:t>
      </w:r>
      <w:r>
        <w:rPr>
          <w:rFonts w:hint="eastAsia" w:cs="宋体" w:asciiTheme="minorEastAsia" w:hAnsiTheme="minorEastAsia" w:eastAsiaTheme="minorEastAsia"/>
          <w:b/>
          <w:bCs/>
          <w:color w:val="auto"/>
          <w:szCs w:val="21"/>
          <w:highlight w:val="none"/>
        </w:rPr>
        <w:t>整</w:t>
      </w:r>
      <w:r>
        <w:rPr>
          <w:rFonts w:hint="eastAsia" w:asciiTheme="minorEastAsia" w:hAnsiTheme="minorEastAsia" w:eastAsiaTheme="minorEastAsia"/>
          <w:color w:val="auto"/>
          <w:kern w:val="2"/>
          <w:szCs w:val="21"/>
          <w:highlight w:val="none"/>
        </w:rPr>
        <w:t>在浙江省浙江省嘉兴市秀洲区</w:t>
      </w:r>
      <w:r>
        <w:rPr>
          <w:rFonts w:hint="eastAsia" w:asciiTheme="minorEastAsia" w:hAnsiTheme="minorEastAsia" w:eastAsiaTheme="minorEastAsia"/>
          <w:color w:val="auto"/>
          <w:kern w:val="2"/>
          <w:szCs w:val="21"/>
          <w:highlight w:val="none"/>
          <w:lang w:eastAsia="zh-CN"/>
        </w:rPr>
        <w:t>洪兴路</w:t>
      </w:r>
      <w:r>
        <w:rPr>
          <w:rFonts w:hint="eastAsia" w:asciiTheme="minorEastAsia" w:hAnsiTheme="minorEastAsia" w:eastAsiaTheme="minorEastAsia"/>
          <w:color w:val="auto"/>
          <w:kern w:val="2"/>
          <w:szCs w:val="21"/>
          <w:highlight w:val="none"/>
          <w:lang w:val="en-US" w:eastAsia="zh-CN"/>
        </w:rPr>
        <w:t>2399号宝地大厦15楼1506室</w:t>
      </w:r>
      <w:r>
        <w:rPr>
          <w:rFonts w:hint="eastAsia" w:asciiTheme="minorEastAsia" w:hAnsiTheme="minorEastAsia" w:eastAsiaTheme="minorEastAsia"/>
          <w:color w:val="auto"/>
          <w:kern w:val="2"/>
          <w:szCs w:val="21"/>
          <w:highlight w:val="none"/>
        </w:rPr>
        <w:t>。</w:t>
      </w:r>
      <w:r>
        <w:rPr>
          <w:rFonts w:hint="eastAsia" w:asciiTheme="minorEastAsia" w:hAnsiTheme="minorEastAsia" w:eastAsiaTheme="minorEastAsia"/>
          <w:b/>
          <w:color w:val="auto"/>
          <w:szCs w:val="21"/>
          <w:highlight w:val="none"/>
          <w:u w:val="single"/>
        </w:rPr>
        <w:t>供应商无需到开标现场，但须准时在线参加，直至评审结束</w:t>
      </w:r>
      <w:r>
        <w:rPr>
          <w:rFonts w:hint="eastAsia" w:asciiTheme="minorEastAsia" w:hAnsiTheme="minorEastAsia" w:eastAsiaTheme="minorEastAsia"/>
          <w:b/>
          <w:color w:val="auto"/>
          <w:szCs w:val="21"/>
          <w:highlight w:val="none"/>
        </w:rPr>
        <w:t>。</w:t>
      </w:r>
      <w:r>
        <w:rPr>
          <w:rFonts w:hint="eastAsia" w:cs="Arial" w:asciiTheme="minorEastAsia" w:hAnsiTheme="minorEastAsia" w:eastAsiaTheme="minorEastAsia"/>
          <w:color w:val="auto"/>
          <w:szCs w:val="21"/>
          <w:highlight w:val="none"/>
        </w:rPr>
        <w:t>开标时间后半小时内</w:t>
      </w:r>
      <w:r>
        <w:rPr>
          <w:rFonts w:cs="Arial" w:asciiTheme="minorEastAsia" w:hAnsiTheme="minorEastAsia" w:eastAsiaTheme="minorEastAsia"/>
          <w:color w:val="auto"/>
          <w:szCs w:val="21"/>
          <w:highlight w:val="none"/>
        </w:rPr>
        <w:t>供应商可以登录“</w:t>
      </w:r>
      <w:r>
        <w:rPr>
          <w:rFonts w:hint="eastAsia" w:cs="Arial" w:asciiTheme="minorEastAsia" w:hAnsiTheme="minorEastAsia" w:eastAsiaTheme="minorEastAsia"/>
          <w:color w:val="auto"/>
          <w:szCs w:val="21"/>
          <w:highlight w:val="none"/>
        </w:rPr>
        <w:t>政采云</w:t>
      </w:r>
      <w:r>
        <w:rPr>
          <w:rFonts w:cs="Arial" w:asciiTheme="minorEastAsia" w:hAnsiTheme="minorEastAsia" w:eastAsiaTheme="minorEastAsia"/>
          <w:color w:val="auto"/>
          <w:szCs w:val="21"/>
          <w:highlight w:val="none"/>
        </w:rPr>
        <w:t>”</w:t>
      </w:r>
      <w:r>
        <w:rPr>
          <w:rFonts w:hint="eastAsia" w:cs="Arial" w:asciiTheme="minorEastAsia" w:hAnsiTheme="minorEastAsia" w:eastAsiaTheme="minorEastAsia"/>
          <w:color w:val="auto"/>
          <w:szCs w:val="21"/>
          <w:highlight w:val="none"/>
        </w:rPr>
        <w:t>平台</w:t>
      </w:r>
      <w:r>
        <w:rPr>
          <w:rFonts w:cs="Arial" w:asciiTheme="minorEastAsia" w:hAnsiTheme="minorEastAsia" w:eastAsiaTheme="minorEastAsia"/>
          <w:color w:val="auto"/>
          <w:szCs w:val="21"/>
          <w:highlight w:val="none"/>
        </w:rPr>
        <w:t>，用“</w:t>
      </w:r>
      <w:r>
        <w:rPr>
          <w:rFonts w:hint="eastAsia" w:cs="Arial" w:asciiTheme="minorEastAsia" w:hAnsiTheme="minorEastAsia" w:eastAsiaTheme="minorEastAsia"/>
          <w:color w:val="auto"/>
          <w:szCs w:val="21"/>
          <w:highlight w:val="none"/>
        </w:rPr>
        <w:t>项目采购-开标评标</w:t>
      </w:r>
      <w:r>
        <w:rPr>
          <w:rFonts w:cs="Arial" w:asciiTheme="minorEastAsia" w:hAnsiTheme="minorEastAsia" w:eastAsiaTheme="minorEastAsia"/>
          <w:color w:val="auto"/>
          <w:szCs w:val="21"/>
          <w:highlight w:val="none"/>
        </w:rPr>
        <w:t>”功能</w:t>
      </w:r>
      <w:r>
        <w:rPr>
          <w:rFonts w:hint="eastAsia" w:cs="Arial" w:asciiTheme="minorEastAsia" w:hAnsiTheme="minorEastAsia" w:eastAsiaTheme="minorEastAsia"/>
          <w:color w:val="auto"/>
          <w:szCs w:val="21"/>
          <w:highlight w:val="none"/>
        </w:rPr>
        <w:t>进行解密投标文件</w:t>
      </w:r>
      <w:r>
        <w:rPr>
          <w:rFonts w:cs="Arial" w:asciiTheme="minorEastAsia" w:hAnsiTheme="minorEastAsia" w:eastAsiaTheme="minorEastAsia"/>
          <w:color w:val="auto"/>
          <w:szCs w:val="21"/>
          <w:highlight w:val="none"/>
        </w:rPr>
        <w:t>。</w:t>
      </w:r>
      <w:r>
        <w:rPr>
          <w:rFonts w:hint="eastAsia" w:cs="Arial" w:asciiTheme="minorEastAsia" w:hAnsiTheme="minorEastAsia" w:eastAsiaTheme="minorEastAsia"/>
          <w:color w:val="auto"/>
          <w:szCs w:val="21"/>
          <w:highlight w:val="none"/>
        </w:rPr>
        <w:t>若供应商在规定时间内投</w:t>
      </w:r>
      <w:r>
        <w:rPr>
          <w:rFonts w:cs="Arial" w:asciiTheme="minorEastAsia" w:hAnsiTheme="minorEastAsia" w:eastAsiaTheme="minorEastAsia"/>
          <w:color w:val="auto"/>
          <w:szCs w:val="21"/>
          <w:highlight w:val="none"/>
        </w:rPr>
        <w:t>标文件</w:t>
      </w:r>
      <w:r>
        <w:rPr>
          <w:rFonts w:hint="eastAsia" w:cs="Arial" w:asciiTheme="minorEastAsia" w:hAnsiTheme="minorEastAsia" w:eastAsiaTheme="minorEastAsia"/>
          <w:color w:val="auto"/>
          <w:szCs w:val="21"/>
          <w:highlight w:val="none"/>
        </w:rPr>
        <w:t>无法解密或解密失败</w:t>
      </w:r>
      <w:r>
        <w:rPr>
          <w:rFonts w:cs="Arial" w:asciiTheme="minorEastAsia" w:hAnsiTheme="minorEastAsia" w:eastAsiaTheme="minorEastAsia"/>
          <w:color w:val="auto"/>
          <w:szCs w:val="21"/>
          <w:highlight w:val="none"/>
        </w:rPr>
        <w:t>（含未</w:t>
      </w:r>
      <w:r>
        <w:rPr>
          <w:rFonts w:hint="eastAsia" w:cs="Arial" w:asciiTheme="minorEastAsia" w:hAnsiTheme="minorEastAsia" w:eastAsiaTheme="minorEastAsia"/>
          <w:color w:val="auto"/>
          <w:szCs w:val="21"/>
          <w:highlight w:val="none"/>
        </w:rPr>
        <w:t>提交</w:t>
      </w:r>
      <w:r>
        <w:rPr>
          <w:rFonts w:cs="Arial" w:asciiTheme="minorEastAsia" w:hAnsiTheme="minorEastAsia" w:eastAsiaTheme="minorEastAsia"/>
          <w:color w:val="auto"/>
          <w:szCs w:val="21"/>
          <w:highlight w:val="none"/>
        </w:rPr>
        <w:t>），</w:t>
      </w:r>
      <w:r>
        <w:rPr>
          <w:rFonts w:hint="eastAsia" w:cs="Arial" w:asciiTheme="minorEastAsia" w:hAnsiTheme="minorEastAsia" w:eastAsiaTheme="minorEastAsia"/>
          <w:color w:val="auto"/>
          <w:szCs w:val="21"/>
          <w:highlight w:val="none"/>
        </w:rPr>
        <w:t>则投标无效。</w:t>
      </w:r>
    </w:p>
    <w:p w14:paraId="53B50D14">
      <w:pPr>
        <w:snapToGrid w:val="0"/>
        <w:spacing w:line="360" w:lineRule="auto"/>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十三、采购人</w:t>
      </w:r>
    </w:p>
    <w:p w14:paraId="1C9E1B37">
      <w:pPr>
        <w:snapToGrid w:val="0"/>
        <w:spacing w:line="360" w:lineRule="auto"/>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采购单位：嘉兴市秀洲区人民政府新城街道办事处</w:t>
      </w:r>
    </w:p>
    <w:p w14:paraId="0C13695A">
      <w:pPr>
        <w:spacing w:line="360" w:lineRule="auto"/>
        <w:rPr>
          <w:rFonts w:asciiTheme="minorEastAsia" w:hAnsiTheme="minorEastAsia" w:eastAsiaTheme="minorEastAsia"/>
          <w:color w:val="auto"/>
          <w:szCs w:val="21"/>
          <w:highlight w:val="none"/>
        </w:rPr>
      </w:pPr>
      <w:bookmarkStart w:id="2" w:name="_Toc5218"/>
      <w:bookmarkStart w:id="3" w:name="_Toc528441152"/>
      <w:bookmarkStart w:id="4" w:name="_Toc31529"/>
      <w:r>
        <w:rPr>
          <w:rFonts w:hint="eastAsia" w:asciiTheme="minorEastAsia" w:hAnsiTheme="minorEastAsia" w:eastAsiaTheme="minorEastAsia"/>
          <w:color w:val="auto"/>
          <w:szCs w:val="21"/>
          <w:highlight w:val="none"/>
        </w:rPr>
        <w:t>联系人：</w:t>
      </w:r>
      <w:r>
        <w:rPr>
          <w:rFonts w:hint="eastAsia" w:asciiTheme="minorEastAsia" w:hAnsiTheme="minorEastAsia" w:eastAsiaTheme="minorEastAsia"/>
          <w:color w:val="auto"/>
          <w:szCs w:val="21"/>
          <w:highlight w:val="none"/>
          <w:lang w:val="en-US" w:eastAsia="zh-CN"/>
        </w:rPr>
        <w:t>唐</w:t>
      </w:r>
      <w:r>
        <w:rPr>
          <w:rFonts w:hint="eastAsia" w:asciiTheme="minorEastAsia" w:hAnsiTheme="minorEastAsia" w:eastAsiaTheme="minorEastAsia"/>
          <w:color w:val="auto"/>
          <w:szCs w:val="21"/>
          <w:highlight w:val="none"/>
        </w:rPr>
        <w:t xml:space="preserve">先生           </w:t>
      </w:r>
    </w:p>
    <w:p w14:paraId="37A1BE3B">
      <w:pPr>
        <w:spacing w:line="360" w:lineRule="auto"/>
        <w:rPr>
          <w:rFonts w:hint="default"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rPr>
        <w:t>地    址：</w:t>
      </w:r>
      <w:r>
        <w:rPr>
          <w:rFonts w:hint="eastAsia" w:ascii="宋体" w:hAnsi="宋体" w:eastAsia="宋体" w:cs="宋体"/>
          <w:color w:val="auto"/>
          <w:sz w:val="21"/>
          <w:szCs w:val="21"/>
          <w:highlight w:val="none"/>
        </w:rPr>
        <w:t>浙江省嘉兴市</w:t>
      </w:r>
      <w:r>
        <w:rPr>
          <w:rFonts w:hint="eastAsia" w:ascii="宋体" w:hAnsi="宋体" w:cs="宋体"/>
          <w:color w:val="auto"/>
          <w:sz w:val="21"/>
          <w:szCs w:val="21"/>
          <w:highlight w:val="none"/>
          <w:lang w:val="en-US" w:eastAsia="zh-CN"/>
        </w:rPr>
        <w:t>聚贤路393号</w:t>
      </w:r>
    </w:p>
    <w:p w14:paraId="5447B715">
      <w:pPr>
        <w:spacing w:line="360" w:lineRule="auto"/>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rPr>
        <w:t>联系电话：</w:t>
      </w:r>
      <w:r>
        <w:rPr>
          <w:rFonts w:hint="eastAsia" w:asciiTheme="minorEastAsia" w:hAnsiTheme="minorEastAsia" w:eastAsiaTheme="minorEastAsia"/>
          <w:color w:val="auto"/>
          <w:szCs w:val="21"/>
          <w:highlight w:val="none"/>
          <w:lang w:val="en-US" w:eastAsia="zh-CN"/>
        </w:rPr>
        <w:t xml:space="preserve">0573-  </w:t>
      </w:r>
    </w:p>
    <w:p w14:paraId="1277BE93">
      <w:pPr>
        <w:spacing w:line="360" w:lineRule="auto"/>
        <w:rPr>
          <w:rFonts w:cs="Arial" w:asciiTheme="minorEastAsia" w:hAnsiTheme="minorEastAsia" w:eastAsiaTheme="minorEastAsia"/>
          <w:b/>
          <w:bCs/>
          <w:color w:val="auto"/>
          <w:szCs w:val="21"/>
          <w:highlight w:val="none"/>
        </w:rPr>
      </w:pPr>
      <w:r>
        <w:rPr>
          <w:rFonts w:hint="eastAsia" w:cs="Arial" w:asciiTheme="minorEastAsia" w:hAnsiTheme="minorEastAsia" w:eastAsiaTheme="minorEastAsia"/>
          <w:b/>
          <w:color w:val="auto"/>
          <w:szCs w:val="21"/>
          <w:highlight w:val="none"/>
        </w:rPr>
        <w:t>十四、代理机构</w:t>
      </w:r>
    </w:p>
    <w:p w14:paraId="351AA0FF">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名称：嘉兴市银建工程咨询评估有限公司</w:t>
      </w:r>
    </w:p>
    <w:p w14:paraId="1927BC00">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地址：嘉兴市洪兴路2399号宝地大厦1205室</w:t>
      </w:r>
    </w:p>
    <w:p w14:paraId="02C510D0">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传    真：/             </w:t>
      </w:r>
    </w:p>
    <w:p w14:paraId="46009114">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项目联系人（询问）：</w:t>
      </w:r>
      <w:r>
        <w:rPr>
          <w:rFonts w:hint="eastAsia" w:asciiTheme="minorEastAsia" w:hAnsiTheme="minorEastAsia" w:eastAsiaTheme="minorEastAsia"/>
          <w:color w:val="auto"/>
          <w:szCs w:val="21"/>
          <w:highlight w:val="none"/>
          <w:lang w:val="en-US" w:eastAsia="zh-CN"/>
        </w:rPr>
        <w:t>谢女士</w:t>
      </w:r>
      <w:r>
        <w:rPr>
          <w:rFonts w:hint="eastAsia" w:asciiTheme="minorEastAsia" w:hAnsiTheme="minorEastAsia" w:eastAsiaTheme="minorEastAsia"/>
          <w:color w:val="auto"/>
          <w:szCs w:val="21"/>
          <w:highlight w:val="none"/>
        </w:rPr>
        <w:t xml:space="preserve"> </w:t>
      </w:r>
    </w:p>
    <w:p w14:paraId="66014B48">
      <w:pPr>
        <w:spacing w:line="360" w:lineRule="auto"/>
        <w:rPr>
          <w:rFonts w:hint="default" w:asciiTheme="minorEastAsia" w:hAnsiTheme="minorEastAsia" w:eastAsiaTheme="minorEastAsia"/>
          <w:color w:val="auto"/>
          <w:szCs w:val="21"/>
          <w:highlight w:val="none"/>
          <w:lang w:val="en-US" w:eastAsia="zh-CN"/>
        </w:rPr>
      </w:pPr>
      <w:r>
        <w:rPr>
          <w:rFonts w:asciiTheme="minorEastAsia" w:hAnsiTheme="minorEastAsia" w:eastAsiaTheme="minorEastAsia"/>
          <w:color w:val="auto"/>
          <w:szCs w:val="21"/>
          <w:highlight w:val="none"/>
        </w:rPr>
        <w:t>项目联系方式（询问）：</w:t>
      </w:r>
      <w:r>
        <w:rPr>
          <w:rFonts w:hint="eastAsia" w:asciiTheme="minorEastAsia" w:hAnsiTheme="minorEastAsia" w:eastAsiaTheme="minorEastAsia"/>
          <w:color w:val="auto"/>
          <w:szCs w:val="21"/>
          <w:highlight w:val="none"/>
          <w:lang w:val="en-US" w:eastAsia="zh-CN"/>
        </w:rPr>
        <w:t>15868399512</w:t>
      </w:r>
    </w:p>
    <w:p w14:paraId="1C57255A">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质疑联系人：</w:t>
      </w:r>
      <w:r>
        <w:rPr>
          <w:rFonts w:hint="eastAsia"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Cs w:val="21"/>
          <w:highlight w:val="none"/>
          <w:lang w:val="en-US" w:eastAsia="zh-CN"/>
        </w:rPr>
        <w:t>李先生</w:t>
      </w:r>
    </w:p>
    <w:p w14:paraId="627F1C6E">
      <w:pPr>
        <w:spacing w:line="360" w:lineRule="auto"/>
        <w:rPr>
          <w:rFonts w:hint="default" w:asciiTheme="minorEastAsia" w:hAnsiTheme="minorEastAsia" w:eastAsiaTheme="minorEastAsia"/>
          <w:color w:val="auto"/>
          <w:szCs w:val="21"/>
          <w:highlight w:val="none"/>
          <w:lang w:val="en-US"/>
        </w:rPr>
      </w:pPr>
      <w:r>
        <w:rPr>
          <w:rFonts w:asciiTheme="minorEastAsia" w:hAnsiTheme="minorEastAsia" w:eastAsiaTheme="minorEastAsia"/>
          <w:color w:val="auto"/>
          <w:szCs w:val="21"/>
          <w:highlight w:val="none"/>
        </w:rPr>
        <w:t>质疑联系方式：</w:t>
      </w:r>
      <w:r>
        <w:rPr>
          <w:rFonts w:hint="eastAsia"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Cs w:val="21"/>
          <w:highlight w:val="none"/>
          <w:lang w:val="en-US" w:eastAsia="zh-CN"/>
        </w:rPr>
        <w:t>18006615280</w:t>
      </w:r>
    </w:p>
    <w:p w14:paraId="78919AC6">
      <w:pPr>
        <w:numPr>
          <w:ilvl w:val="0"/>
          <w:numId w:val="4"/>
        </w:numPr>
        <w:snapToGrid w:val="0"/>
        <w:spacing w:line="360" w:lineRule="auto"/>
        <w:rPr>
          <w:rFonts w:cs="Arial" w:asciiTheme="minorEastAsia" w:hAnsiTheme="minorEastAsia" w:eastAsiaTheme="minorEastAsia"/>
          <w:b/>
          <w:bCs/>
          <w:color w:val="auto"/>
          <w:szCs w:val="21"/>
          <w:highlight w:val="none"/>
        </w:rPr>
      </w:pPr>
      <w:r>
        <w:rPr>
          <w:rFonts w:hint="eastAsia" w:cs="Arial" w:asciiTheme="minorEastAsia" w:hAnsiTheme="minorEastAsia" w:eastAsiaTheme="minorEastAsia"/>
          <w:b/>
          <w:bCs/>
          <w:color w:val="auto"/>
          <w:szCs w:val="21"/>
          <w:highlight w:val="none"/>
        </w:rPr>
        <w:t>政府采购监督管理部门：</w:t>
      </w:r>
    </w:p>
    <w:p w14:paraId="6CB2805D">
      <w:pPr>
        <w:snapToGrid w:val="0"/>
        <w:spacing w:line="360" w:lineRule="auto"/>
        <w:rPr>
          <w:rFonts w:cs="Arial" w:asciiTheme="minorEastAsia" w:hAnsiTheme="minorEastAsia" w:eastAsiaTheme="minorEastAsia"/>
          <w:bCs/>
          <w:color w:val="auto"/>
          <w:szCs w:val="21"/>
          <w:highlight w:val="none"/>
        </w:rPr>
      </w:pPr>
      <w:r>
        <w:rPr>
          <w:rFonts w:hint="eastAsia" w:cs="Arial" w:asciiTheme="minorEastAsia" w:hAnsiTheme="minorEastAsia" w:eastAsiaTheme="minorEastAsia"/>
          <w:bCs/>
          <w:color w:val="auto"/>
          <w:szCs w:val="21"/>
          <w:highlight w:val="none"/>
        </w:rPr>
        <w:t>名    称：嘉兴市秀洲区财政局</w:t>
      </w:r>
    </w:p>
    <w:p w14:paraId="71F3CC3D">
      <w:pPr>
        <w:snapToGrid w:val="0"/>
        <w:spacing w:line="360" w:lineRule="auto"/>
        <w:rPr>
          <w:rFonts w:cs="Arial" w:asciiTheme="minorEastAsia" w:hAnsiTheme="minorEastAsia" w:eastAsiaTheme="minorEastAsia"/>
          <w:bCs/>
          <w:color w:val="auto"/>
          <w:szCs w:val="21"/>
          <w:highlight w:val="none"/>
        </w:rPr>
      </w:pPr>
      <w:r>
        <w:rPr>
          <w:rFonts w:hint="eastAsia" w:cs="Arial" w:asciiTheme="minorEastAsia" w:hAnsiTheme="minorEastAsia" w:eastAsiaTheme="minorEastAsia"/>
          <w:bCs/>
          <w:color w:val="auto"/>
          <w:szCs w:val="21"/>
          <w:highlight w:val="none"/>
        </w:rPr>
        <w:t>联系人 ：宋</w:t>
      </w:r>
      <w:bookmarkStart w:id="111" w:name="_GoBack"/>
      <w:bookmarkEnd w:id="111"/>
      <w:r>
        <w:rPr>
          <w:rFonts w:hint="eastAsia" w:cs="Arial" w:asciiTheme="minorEastAsia" w:hAnsiTheme="minorEastAsia" w:eastAsiaTheme="minorEastAsia"/>
          <w:bCs/>
          <w:color w:val="auto"/>
          <w:szCs w:val="21"/>
          <w:highlight w:val="none"/>
        </w:rPr>
        <w:t>女士</w:t>
      </w:r>
    </w:p>
    <w:p w14:paraId="21DAB213">
      <w:pPr>
        <w:snapToGrid w:val="0"/>
        <w:spacing w:line="360" w:lineRule="auto"/>
        <w:rPr>
          <w:rFonts w:hint="eastAsia" w:cs="Arial" w:asciiTheme="minorEastAsia" w:hAnsiTheme="minorEastAsia" w:eastAsiaTheme="minorEastAsia"/>
          <w:b/>
          <w:color w:val="auto"/>
          <w:szCs w:val="21"/>
          <w:highlight w:val="none"/>
          <w:lang w:eastAsia="zh-CN"/>
        </w:rPr>
      </w:pPr>
      <w:r>
        <w:rPr>
          <w:rFonts w:hint="eastAsia" w:cs="Arial" w:asciiTheme="minorEastAsia" w:hAnsiTheme="minorEastAsia" w:eastAsiaTheme="minorEastAsia"/>
          <w:bCs/>
          <w:color w:val="auto"/>
          <w:szCs w:val="21"/>
          <w:highlight w:val="none"/>
        </w:rPr>
        <w:t>监督投诉电话：0573-8272008</w:t>
      </w:r>
      <w:r>
        <w:rPr>
          <w:rFonts w:hint="eastAsia" w:cs="Arial" w:asciiTheme="minorEastAsia" w:hAnsiTheme="minorEastAsia" w:eastAsiaTheme="minorEastAsia"/>
          <w:bCs/>
          <w:color w:val="auto"/>
          <w:szCs w:val="21"/>
          <w:highlight w:val="none"/>
          <w:lang w:val="en-US" w:eastAsia="zh-CN"/>
        </w:rPr>
        <w:t>5</w:t>
      </w:r>
    </w:p>
    <w:p w14:paraId="5A8FE63E">
      <w:pPr>
        <w:snapToGrid w:val="0"/>
        <w:spacing w:line="360" w:lineRule="auto"/>
        <w:rPr>
          <w:rFonts w:cs="Arial" w:asciiTheme="minorEastAsia" w:hAnsiTheme="minorEastAsia" w:eastAsiaTheme="minorEastAsia"/>
          <w:b/>
          <w:bCs/>
          <w:color w:val="auto"/>
          <w:szCs w:val="21"/>
          <w:highlight w:val="none"/>
        </w:rPr>
      </w:pPr>
      <w:r>
        <w:rPr>
          <w:rFonts w:cs="Arial" w:asciiTheme="minorEastAsia" w:hAnsiTheme="minorEastAsia" w:eastAsiaTheme="minorEastAsia"/>
          <w:b/>
          <w:bCs/>
          <w:color w:val="auto"/>
          <w:szCs w:val="21"/>
          <w:highlight w:val="none"/>
        </w:rPr>
        <w:t>十</w:t>
      </w:r>
      <w:r>
        <w:rPr>
          <w:rFonts w:hint="eastAsia" w:cs="Arial" w:asciiTheme="minorEastAsia" w:hAnsiTheme="minorEastAsia" w:eastAsiaTheme="minorEastAsia"/>
          <w:b/>
          <w:bCs/>
          <w:color w:val="auto"/>
          <w:szCs w:val="21"/>
          <w:highlight w:val="none"/>
        </w:rPr>
        <w:t>六</w:t>
      </w:r>
      <w:r>
        <w:rPr>
          <w:rFonts w:cs="Arial" w:asciiTheme="minorEastAsia" w:hAnsiTheme="minorEastAsia" w:eastAsiaTheme="minorEastAsia"/>
          <w:b/>
          <w:bCs/>
          <w:color w:val="auto"/>
          <w:szCs w:val="21"/>
          <w:highlight w:val="none"/>
        </w:rPr>
        <w:t>、其他事项：</w:t>
      </w:r>
    </w:p>
    <w:p w14:paraId="76355668">
      <w:pPr>
        <w:snapToGrid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本项目公告期限为</w:t>
      </w:r>
      <w:r>
        <w:rPr>
          <w:rFonts w:hint="eastAsia" w:asciiTheme="minorEastAsia" w:hAnsiTheme="minorEastAsia" w:eastAsiaTheme="minorEastAsia"/>
          <w:color w:val="auto"/>
          <w:szCs w:val="21"/>
          <w:highlight w:val="none"/>
        </w:rPr>
        <w:t>自公告发布之日起至投标截止时间</w:t>
      </w:r>
      <w:r>
        <w:rPr>
          <w:rFonts w:asciiTheme="minorEastAsia" w:hAnsiTheme="minorEastAsia" w:eastAsiaTheme="minorEastAsia"/>
          <w:color w:val="auto"/>
          <w:szCs w:val="21"/>
          <w:highlight w:val="none"/>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E9F813F">
      <w:pPr>
        <w:snapToGrid w:val="0"/>
        <w:spacing w:line="360" w:lineRule="auto"/>
        <w:jc w:val="righ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w:t>
      </w:r>
    </w:p>
    <w:p w14:paraId="022C3EDD">
      <w:pPr>
        <w:snapToGrid w:val="0"/>
        <w:spacing w:line="360" w:lineRule="auto"/>
        <w:jc w:val="right"/>
        <w:rPr>
          <w:rFonts w:asciiTheme="minorEastAsia" w:hAnsiTheme="minorEastAsia" w:eastAsiaTheme="minorEastAsia"/>
          <w:color w:val="auto"/>
          <w:szCs w:val="21"/>
          <w:highlight w:val="none"/>
        </w:rPr>
      </w:pPr>
    </w:p>
    <w:p w14:paraId="27E22F95">
      <w:pPr>
        <w:snapToGrid w:val="0"/>
        <w:spacing w:line="360" w:lineRule="auto"/>
        <w:jc w:val="righ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采购</w:t>
      </w:r>
      <w:r>
        <w:rPr>
          <w:rFonts w:asciiTheme="minorEastAsia" w:hAnsiTheme="minorEastAsia" w:eastAsiaTheme="minorEastAsia"/>
          <w:color w:val="auto"/>
          <w:szCs w:val="21"/>
          <w:highlight w:val="none"/>
        </w:rPr>
        <w:t>单位：</w:t>
      </w:r>
      <w:r>
        <w:rPr>
          <w:rFonts w:hint="eastAsia" w:asciiTheme="minorEastAsia" w:hAnsiTheme="minorEastAsia" w:eastAsiaTheme="minorEastAsia"/>
          <w:color w:val="auto"/>
          <w:szCs w:val="21"/>
          <w:highlight w:val="none"/>
        </w:rPr>
        <w:t>嘉兴市秀洲区人民政府新城街道办事处</w:t>
      </w:r>
    </w:p>
    <w:p w14:paraId="5AF4958B">
      <w:pPr>
        <w:snapToGrid w:val="0"/>
        <w:spacing w:line="360" w:lineRule="auto"/>
        <w:jc w:val="righ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代理机构：嘉兴市银建工程咨询评估有限公司</w:t>
      </w:r>
    </w:p>
    <w:p w14:paraId="4D79FF0B">
      <w:pPr>
        <w:snapToGrid w:val="0"/>
        <w:spacing w:line="360" w:lineRule="auto"/>
        <w:jc w:val="righ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202</w:t>
      </w:r>
      <w:r>
        <w:rPr>
          <w:rFonts w:hint="eastAsia" w:asciiTheme="minorEastAsia" w:hAnsiTheme="minorEastAsia" w:eastAsiaTheme="minorEastAsia"/>
          <w:color w:val="auto"/>
          <w:szCs w:val="21"/>
          <w:highlight w:val="none"/>
          <w:lang w:val="en-US" w:eastAsia="zh-CN"/>
        </w:rPr>
        <w:t>5</w:t>
      </w:r>
      <w:r>
        <w:rPr>
          <w:rFonts w:hint="eastAsia" w:asciiTheme="minorEastAsia" w:hAnsiTheme="minorEastAsia" w:eastAsiaTheme="minorEastAsia"/>
          <w:color w:val="auto"/>
          <w:szCs w:val="21"/>
          <w:highlight w:val="none"/>
        </w:rPr>
        <w:t>年</w:t>
      </w:r>
      <w:r>
        <w:rPr>
          <w:rFonts w:hint="eastAsia" w:asciiTheme="minorEastAsia" w:hAnsiTheme="minorEastAsia" w:eastAsiaTheme="minorEastAsia"/>
          <w:color w:val="auto"/>
          <w:szCs w:val="21"/>
          <w:highlight w:val="none"/>
          <w:lang w:val="en-US" w:eastAsia="zh-CN"/>
        </w:rPr>
        <w:t>6</w:t>
      </w:r>
      <w:r>
        <w:rPr>
          <w:rFonts w:hint="eastAsia" w:asciiTheme="minorEastAsia" w:hAnsiTheme="minorEastAsia" w:eastAsiaTheme="minorEastAsia"/>
          <w:color w:val="auto"/>
          <w:szCs w:val="21"/>
          <w:highlight w:val="none"/>
        </w:rPr>
        <w:t>月</w:t>
      </w:r>
      <w:r>
        <w:rPr>
          <w:rFonts w:hint="eastAsia" w:asciiTheme="minorEastAsia" w:hAnsiTheme="minorEastAsia" w:eastAsiaTheme="minorEastAsia"/>
          <w:color w:val="auto"/>
          <w:szCs w:val="21"/>
          <w:highlight w:val="none"/>
          <w:lang w:val="en-US" w:eastAsia="zh-CN"/>
        </w:rPr>
        <w:t>24</w:t>
      </w:r>
      <w:r>
        <w:rPr>
          <w:rFonts w:asciiTheme="minorEastAsia" w:hAnsiTheme="minorEastAsia" w:eastAsiaTheme="minorEastAsia"/>
          <w:color w:val="auto"/>
          <w:szCs w:val="21"/>
          <w:highlight w:val="none"/>
        </w:rPr>
        <w:t>日</w:t>
      </w:r>
    </w:p>
    <w:p w14:paraId="71AEE3E4">
      <w:pPr>
        <w:pStyle w:val="4"/>
        <w:spacing w:line="360" w:lineRule="auto"/>
        <w:rPr>
          <w:rFonts w:asciiTheme="minorEastAsia" w:hAnsiTheme="minorEastAsia" w:eastAsiaTheme="minorEastAsia"/>
          <w:color w:val="auto"/>
          <w:highlight w:val="none"/>
        </w:rPr>
        <w:sectPr>
          <w:pgSz w:w="11906" w:h="16838"/>
          <w:pgMar w:top="1440" w:right="1440" w:bottom="1440" w:left="1440" w:header="851" w:footer="567" w:gutter="0"/>
          <w:cols w:space="720" w:num="1"/>
          <w:docGrid w:linePitch="312" w:charSpace="0"/>
        </w:sectPr>
      </w:pPr>
    </w:p>
    <w:p w14:paraId="3EF88080">
      <w:pPr>
        <w:snapToGrid w:val="0"/>
        <w:spacing w:before="120" w:beforeLines="50" w:after="120" w:afterLines="50" w:line="360" w:lineRule="auto"/>
        <w:ind w:left="238"/>
        <w:jc w:val="center"/>
        <w:outlineLvl w:val="0"/>
        <w:rPr>
          <w:rFonts w:asciiTheme="minorEastAsia" w:hAnsiTheme="minorEastAsia" w:eastAsiaTheme="minorEastAsia"/>
          <w:b/>
          <w:color w:val="auto"/>
          <w:sz w:val="28"/>
          <w:szCs w:val="28"/>
          <w:highlight w:val="none"/>
        </w:rPr>
      </w:pPr>
      <w:bookmarkStart w:id="5" w:name="_Toc29127"/>
      <w:r>
        <w:rPr>
          <w:rFonts w:hint="eastAsia" w:asciiTheme="minorEastAsia" w:hAnsiTheme="minorEastAsia" w:eastAsiaTheme="minorEastAsia"/>
          <w:b/>
          <w:color w:val="auto"/>
          <w:sz w:val="28"/>
          <w:szCs w:val="28"/>
          <w:highlight w:val="none"/>
        </w:rPr>
        <w:t>第二章  招标需求</w:t>
      </w:r>
      <w:bookmarkEnd w:id="5"/>
    </w:p>
    <w:p w14:paraId="37FAEE18">
      <w:pPr>
        <w:spacing w:line="360" w:lineRule="auto"/>
        <w:ind w:firstLine="420" w:firstLineChars="200"/>
        <w:contextualSpacing/>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银建-JXYJ（2025）28号</w:t>
      </w:r>
    </w:p>
    <w:p w14:paraId="0FCD5272">
      <w:pPr>
        <w:spacing w:line="360" w:lineRule="auto"/>
        <w:ind w:firstLine="420" w:firstLineChars="200"/>
        <w:contextualSpacing/>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新城派出所院内翻新改造</w:t>
      </w:r>
    </w:p>
    <w:p w14:paraId="2EB96F5F">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采购人名称：嘉兴市秀洲区人民政府新城街道办事处</w:t>
      </w:r>
    </w:p>
    <w:p w14:paraId="6FA2A576">
      <w:pPr>
        <w:rPr>
          <w:rFonts w:ascii="宋体" w:hAnsi="宋体" w:cs="宋体"/>
          <w:color w:val="auto"/>
          <w:szCs w:val="21"/>
          <w:highlight w:val="none"/>
        </w:rPr>
      </w:pPr>
      <w:r>
        <w:rPr>
          <w:rFonts w:hint="eastAsia" w:ascii="宋体" w:hAnsi="宋体" w:cs="宋体"/>
          <w:color w:val="auto"/>
          <w:szCs w:val="21"/>
          <w:highlight w:val="none"/>
        </w:rPr>
        <w:t xml:space="preserve">   项目基本情况：</w:t>
      </w:r>
      <w:r>
        <w:rPr>
          <w:rFonts w:hint="eastAsia" w:ascii="宋体" w:hAnsi="宋体" w:cs="宋体"/>
          <w:color w:val="auto"/>
          <w:szCs w:val="21"/>
          <w:highlight w:val="none"/>
          <w:lang w:eastAsia="zh-CN"/>
        </w:rPr>
        <w:t>新城派出所院内翻新改造</w:t>
      </w:r>
      <w:r>
        <w:rPr>
          <w:rFonts w:hint="eastAsia" w:ascii="宋体" w:hAnsi="宋体" w:cs="宋体"/>
          <w:color w:val="auto"/>
          <w:szCs w:val="21"/>
          <w:highlight w:val="none"/>
        </w:rPr>
        <w:t>，具体详见工程量清单</w:t>
      </w:r>
    </w:p>
    <w:p w14:paraId="3AC3C7FC">
      <w:pPr>
        <w:numPr>
          <w:ilvl w:val="0"/>
          <w:numId w:val="0"/>
        </w:numPr>
        <w:spacing w:line="440" w:lineRule="exact"/>
        <w:ind w:leftChars="200"/>
        <w:jc w:val="left"/>
        <w:outlineLvl w:val="0"/>
        <w:rPr>
          <w:rFonts w:hint="eastAsia" w:ascii="宋体" w:hAnsi="宋体" w:eastAsia="宋体" w:cs="宋体"/>
          <w:b/>
          <w:color w:val="auto"/>
          <w:szCs w:val="21"/>
          <w:highlight w:val="none"/>
        </w:rPr>
      </w:pPr>
      <w:bookmarkStart w:id="6" w:name="_Toc95393309"/>
      <w:bookmarkStart w:id="7" w:name="_Toc160452775"/>
      <w:bookmarkStart w:id="8" w:name="_Toc160454514"/>
      <w:r>
        <w:rPr>
          <w:rFonts w:hint="eastAsia" w:ascii="宋体" w:hAnsi="宋体" w:eastAsia="宋体" w:cs="宋体"/>
          <w:b/>
          <w:color w:val="auto"/>
          <w:szCs w:val="21"/>
          <w:highlight w:val="none"/>
          <w:lang w:eastAsia="zh-CN"/>
        </w:rPr>
        <w:t>实施要求</w:t>
      </w:r>
      <w:bookmarkEnd w:id="6"/>
      <w:bookmarkEnd w:id="7"/>
      <w:bookmarkEnd w:id="8"/>
    </w:p>
    <w:p w14:paraId="6D591AF7">
      <w:pPr>
        <w:spacing w:line="440" w:lineRule="exact"/>
        <w:ind w:firstLine="420" w:firstLineChars="200"/>
        <w:jc w:val="left"/>
        <w:outlineLvl w:val="0"/>
        <w:rPr>
          <w:rFonts w:hint="eastAsia" w:ascii="宋体" w:hAnsi="宋体" w:eastAsia="宋体" w:cs="宋体"/>
          <w:color w:val="auto"/>
          <w:szCs w:val="21"/>
          <w:highlight w:val="none"/>
        </w:rPr>
      </w:pPr>
      <w:bookmarkStart w:id="9" w:name="_Toc160452776"/>
      <w:bookmarkStart w:id="10" w:name="_Toc160454515"/>
      <w:r>
        <w:rPr>
          <w:rFonts w:hint="eastAsia" w:ascii="宋体" w:hAnsi="宋体" w:eastAsia="宋体" w:cs="宋体"/>
          <w:color w:val="auto"/>
          <w:szCs w:val="21"/>
          <w:highlight w:val="none"/>
        </w:rPr>
        <w:t>1.投标报价应是招标文件所确定的招标范围内全部工作内容的价格表现，除非合同中另有规定，投标人在投标总价中的价格均包括完成该工程项目的分部分项工程费、措施项目费、其他项目费、规费、税金及政策性文件规定等所有费用以及合同明示或暗示的所有责任、义务和一切风险。</w:t>
      </w:r>
    </w:p>
    <w:p w14:paraId="03BE3F6D">
      <w:pPr>
        <w:spacing w:line="440" w:lineRule="exact"/>
        <w:ind w:firstLine="482"/>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应按清单中列出的工程项目填报单价和合价。每一项目只允许有一个报价。任何有选择的报价不予接受，投标人未填单价或合价的工程项目，在实施后，招标人将不予支付，并视作该项费用已包括在其它有价款的单价或合价内。投标人在填报价格及费用时应充分考虑国家现行工程建设标准、技术规范要求及有关要求，投标报价时投标人认为必须或可能发生的费用应全部考虑在总报价中，未在总报价中体现的视作已综合在单价中或已全部优惠。</w:t>
      </w:r>
      <w:bookmarkEnd w:id="9"/>
      <w:bookmarkEnd w:id="10"/>
    </w:p>
    <w:p w14:paraId="1C33F6DB">
      <w:pPr>
        <w:spacing w:line="440" w:lineRule="exact"/>
        <w:ind w:firstLine="482"/>
        <w:rPr>
          <w:rFonts w:hint="eastAsia" w:ascii="宋体" w:hAnsi="宋体" w:eastAsia="宋体" w:cs="宋体"/>
          <w:color w:val="auto"/>
          <w:szCs w:val="21"/>
          <w:highlight w:val="none"/>
        </w:rPr>
      </w:pPr>
      <w:r>
        <w:rPr>
          <w:rFonts w:hint="eastAsia" w:ascii="宋体" w:hAnsi="宋体" w:eastAsia="宋体" w:cs="宋体"/>
          <w:color w:val="auto"/>
          <w:szCs w:val="21"/>
          <w:highlight w:val="none"/>
        </w:rPr>
        <w:t>3.工程量清单中只描述了分项工程计量范围内完成本分项工程应有的主要工作内容，但投标人填报的综合单价应是包含了分项工程计量范围内的所有工作内容的价格，无论工程量清单有无明确列项或表示，只要是为完成该分项工程所需要做的工作和为了满足该分项工程的完整性所需要做的工作，均视为该分项工程所包含的内容。投标人在填写工程量清单的每一项的综合单价和合价时应结合投标须知及构成招标文件的施工合同、技术规范和现场勘察情况进行报价。</w:t>
      </w:r>
    </w:p>
    <w:p w14:paraId="4A432734">
      <w:pPr>
        <w:spacing w:line="440" w:lineRule="exact"/>
        <w:ind w:firstLine="482"/>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4.本工程报价采用</w:t>
      </w:r>
      <w:r>
        <w:rPr>
          <w:rFonts w:hint="eastAsia" w:ascii="宋体" w:hAnsi="宋体" w:eastAsia="宋体" w:cs="宋体"/>
          <w:b/>
          <w:color w:val="auto"/>
          <w:szCs w:val="21"/>
          <w:highlight w:val="none"/>
          <w:u w:val="single"/>
        </w:rPr>
        <w:t xml:space="preserve"> 综合单价固定 </w:t>
      </w:r>
      <w:r>
        <w:rPr>
          <w:rFonts w:hint="eastAsia" w:ascii="宋体" w:hAnsi="宋体" w:eastAsia="宋体" w:cs="宋体"/>
          <w:color w:val="auto"/>
          <w:szCs w:val="21"/>
          <w:highlight w:val="none"/>
        </w:rPr>
        <w:t>方式进行编制。</w:t>
      </w:r>
    </w:p>
    <w:p w14:paraId="6D71C5B4">
      <w:pPr>
        <w:spacing w:line="440" w:lineRule="exact"/>
        <w:ind w:right="-59" w:rightChars="-28" w:firstLine="420" w:firstLineChars="200"/>
        <w:jc w:val="left"/>
        <w:rPr>
          <w:rFonts w:hint="eastAsia" w:ascii="宋体" w:hAnsi="宋体" w:eastAsia="宋体" w:cs="宋体"/>
          <w:b/>
          <w:bCs/>
          <w:color w:val="auto"/>
          <w:szCs w:val="21"/>
          <w:highlight w:val="none"/>
          <w:u w:val="single"/>
        </w:rPr>
      </w:pPr>
      <w:r>
        <w:rPr>
          <w:rFonts w:hint="eastAsia" w:ascii="宋体" w:hAnsi="宋体" w:eastAsia="宋体" w:cs="宋体"/>
          <w:color w:val="auto"/>
          <w:szCs w:val="21"/>
          <w:highlight w:val="none"/>
        </w:rPr>
        <w:t>综合单价是为完成一个规定清单项目（或定额项目）所需的人工费、材料费、机械费、和对应的企业管理费、利润及一定范围内的风险费用。各投标人投标报价时应按招标人统一提供的工程量清单</w:t>
      </w:r>
      <w:r>
        <w:rPr>
          <w:rFonts w:hint="eastAsia" w:ascii="宋体" w:hAnsi="宋体" w:eastAsia="宋体" w:cs="宋体"/>
          <w:b/>
          <w:color w:val="auto"/>
          <w:szCs w:val="21"/>
          <w:highlight w:val="none"/>
          <w:u w:val="single"/>
        </w:rPr>
        <w:t>采用综合单价法</w:t>
      </w:r>
      <w:r>
        <w:rPr>
          <w:rFonts w:hint="eastAsia" w:ascii="宋体" w:hAnsi="宋体" w:eastAsia="宋体" w:cs="宋体"/>
          <w:color w:val="auto"/>
          <w:szCs w:val="21"/>
          <w:highlight w:val="none"/>
        </w:rPr>
        <w:t>进行计价。</w:t>
      </w:r>
      <w:r>
        <w:rPr>
          <w:rFonts w:hint="eastAsia" w:ascii="宋体" w:hAnsi="宋体" w:eastAsia="宋体" w:cs="宋体"/>
          <w:b/>
          <w:bCs/>
          <w:color w:val="auto"/>
          <w:szCs w:val="21"/>
          <w:highlight w:val="none"/>
          <w:u w:val="single"/>
        </w:rPr>
        <w:t>结算时综合单价固定，工程量按实计算（明确一次性包干或结算不作调整的项目和费用除外）。</w:t>
      </w:r>
    </w:p>
    <w:p w14:paraId="3A258A5B">
      <w:pPr>
        <w:spacing w:line="440" w:lineRule="exact"/>
        <w:ind w:right="-59" w:rightChars="-28"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（1）本工程计价方法采用“国标清单计价”，</w:t>
      </w:r>
      <w:r>
        <w:rPr>
          <w:rFonts w:hint="eastAsia" w:ascii="宋体" w:hAnsi="宋体" w:eastAsia="宋体" w:cs="宋体"/>
          <w:color w:val="auto"/>
          <w:highlight w:val="none"/>
        </w:rPr>
        <w:t xml:space="preserve"> </w:t>
      </w:r>
      <w:r>
        <w:rPr>
          <w:rFonts w:hint="eastAsia" w:ascii="宋体" w:hAnsi="宋体" w:eastAsia="宋体" w:cs="宋体"/>
          <w:color w:val="auto"/>
          <w:szCs w:val="21"/>
          <w:highlight w:val="none"/>
        </w:rPr>
        <w:t>报价编制各投标人应根据企业自身实力，按照《建设工程工程量清单计价规范》（GB50500-2013）、《市政工程工程量计算规范》（GB50857-2013）、《浙江省市政工程预算定额》（2018版）、《浙江省建设工程施工机械台班费用定额》（2018版）、《浙江省建设工程计价规则》（2018版）、《浙江省建筑安装材料基期价格》（2018版）等计价依据及省、市相关补充规定进行投标报价。</w:t>
      </w:r>
    </w:p>
    <w:p w14:paraId="0591FB8C">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（2）安全文明施工费为必须计取的措施项目，本工程为</w:t>
      </w:r>
      <w:r>
        <w:rPr>
          <w:rFonts w:hint="eastAsia" w:ascii="宋体" w:hAnsi="宋体" w:eastAsia="宋体" w:cs="宋体"/>
          <w:b/>
          <w:color w:val="auto"/>
          <w:szCs w:val="21"/>
          <w:highlight w:val="none"/>
        </w:rPr>
        <w:t>市区</w:t>
      </w:r>
      <w:r>
        <w:rPr>
          <w:rFonts w:hint="eastAsia" w:ascii="宋体" w:hAnsi="宋体" w:eastAsia="宋体" w:cs="宋体"/>
          <w:color w:val="auto"/>
          <w:szCs w:val="21"/>
          <w:highlight w:val="none"/>
        </w:rPr>
        <w:t>工程，安全文明施工基本费报价按《浙江省建设工程计价规则》（2018版）取费规定（不得低于下限值）和《省建设厅关于调整建筑工程安全文明施工费的通知》（浙建建发〔2022〕37号文）文件的规定。</w:t>
      </w:r>
    </w:p>
    <w:p w14:paraId="346861F2">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规费按《关于转发省住建厅、省发改委、省财政厅&lt;关于颁发浙江省建设工程计价依据（2018版）的通知&gt;的通知》（嘉建办[2019]34号文）执行，投标人报价时可根据自身项目缴纳规费的实际情况，自主确定其投标费率，但不得低于《浙江省建设工程计价规则》（2018版）规定的标准费率的30%。</w:t>
      </w:r>
    </w:p>
    <w:p w14:paraId="7E773419">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税金属不可竞争费用，按《浙江省建设工程计价规则》（2018版）及《关于增值税调整后我省建设工程计价依据增值税税率及有关计价调整的通知》（浙建建发[2019]92号文）规定的一般计税方法的税率计取，税金费率为9%。</w:t>
      </w:r>
    </w:p>
    <w:p w14:paraId="3F5B568F">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人工工日单价可参照《浙江省建筑工程预算定额》（2018版）及近期《嘉兴造价管理》，材料价格可参考近期《嘉兴造价管理》、《浙江造价信息》（正刊）信息价及浙建建发[2019]92号文件规定，机械费按照《浙江省建设工程施工机械台班费用定额》（2018版）及浙建建发[2019]92号文件规定，结算时单价均不作调整。</w:t>
      </w:r>
    </w:p>
    <w:p w14:paraId="6BBD9677">
      <w:pPr>
        <w:spacing w:line="440" w:lineRule="exact"/>
        <w:ind w:firstLine="420" w:firstLineChars="200"/>
        <w:jc w:val="left"/>
        <w:rPr>
          <w:rFonts w:hint="eastAsia" w:ascii="宋体" w:hAnsi="宋体" w:eastAsia="宋体" w:cs="宋体"/>
          <w:b/>
          <w:color w:val="auto"/>
          <w:szCs w:val="21"/>
          <w:highlight w:val="none"/>
          <w:u w:val="single"/>
        </w:rPr>
      </w:pPr>
      <w:r>
        <w:rPr>
          <w:rFonts w:hint="eastAsia" w:ascii="宋体" w:hAnsi="宋体" w:eastAsia="宋体" w:cs="宋体"/>
          <w:color w:val="auto"/>
          <w:szCs w:val="21"/>
          <w:highlight w:val="none"/>
        </w:rPr>
        <w:t>5.投标时投标人不得擅自调整工程量清单中的项目编码、项目名称、项目特征描述、计量单位、工程数量，否则按不响应招标文件处理。</w:t>
      </w:r>
    </w:p>
    <w:p w14:paraId="156F5EDA">
      <w:pPr>
        <w:spacing w:line="440" w:lineRule="exact"/>
        <w:ind w:firstLine="420" w:firstLineChars="200"/>
        <w:jc w:val="left"/>
        <w:rPr>
          <w:rFonts w:hint="eastAsia" w:ascii="宋体" w:hAnsi="宋体" w:eastAsia="宋体" w:cs="宋体"/>
          <w:color w:val="auto"/>
          <w:highlight w:val="none"/>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.施工期间的用水、用电、电讯线路、材料堆放场地、临时设施搭设、临时便道等由施工单位自行解决，所需费用（包括用水、用电涨价风险因素）投标人报价时自行综合考虑，结算时不增加费用。</w:t>
      </w:r>
    </w:p>
    <w:p w14:paraId="51746E6F">
      <w:pPr>
        <w:spacing w:line="440" w:lineRule="exact"/>
        <w:ind w:firstLine="482"/>
        <w:rPr>
          <w:rFonts w:hint="eastAsia" w:ascii="宋体" w:hAnsi="宋体" w:eastAsia="宋体" w:cs="宋体"/>
          <w:b/>
          <w:bCs/>
          <w:color w:val="auto"/>
          <w:szCs w:val="21"/>
          <w:highlight w:val="none"/>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.投标人应自行认真踏勘现场，凡施工范围内和临设区域内需要布置的临时围墙、临时道路、与公共道路连接的临时道路等产生的费用由投标人报价时自行综合考虑，结算时不增加费用。</w:t>
      </w:r>
    </w:p>
    <w:p w14:paraId="7181FD60">
      <w:pPr>
        <w:spacing w:line="440" w:lineRule="exact"/>
        <w:ind w:firstLine="482"/>
        <w:rPr>
          <w:rFonts w:hint="eastAsia" w:ascii="宋体" w:hAnsi="宋体" w:eastAsia="宋体" w:cs="宋体"/>
          <w:color w:val="auto"/>
          <w:highlight w:val="none"/>
        </w:rPr>
      </w:pP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w:t>
      </w:r>
      <w:r>
        <w:rPr>
          <w:rFonts w:hint="eastAsia" w:ascii="宋体" w:hAnsi="宋体" w:eastAsia="宋体" w:cs="宋体"/>
          <w:color w:val="auto"/>
          <w:highlight w:val="none"/>
        </w:rPr>
        <w:t>缩短工期增加费、文明施工费、行车干扰因素所产生的费用均由投标人报价时自行综合考虑，结算时不增加费用。</w:t>
      </w:r>
    </w:p>
    <w:p w14:paraId="3BDD80B5">
      <w:pPr>
        <w:spacing w:line="440" w:lineRule="exact"/>
        <w:ind w:firstLine="482"/>
        <w:jc w:val="left"/>
        <w:rPr>
          <w:rFonts w:hint="eastAsia" w:ascii="宋体" w:hAnsi="宋体" w:eastAsia="宋体" w:cs="宋体"/>
          <w:color w:val="auto"/>
          <w:highlight w:val="none"/>
        </w:rPr>
      </w:pPr>
      <w:r>
        <w:rPr>
          <w:rFonts w:hint="eastAsia" w:ascii="宋体" w:hAnsi="宋体" w:cs="宋体"/>
          <w:color w:val="auto"/>
          <w:highlight w:val="none"/>
          <w:lang w:val="en-US" w:eastAsia="zh-CN"/>
        </w:rPr>
        <w:t>9</w:t>
      </w:r>
      <w:r>
        <w:rPr>
          <w:rFonts w:hint="eastAsia" w:ascii="宋体" w:hAnsi="宋体" w:eastAsia="宋体" w:cs="宋体"/>
          <w:color w:val="auto"/>
          <w:highlight w:val="none"/>
        </w:rPr>
        <w:t>.承包人应做好施工现场及附近的安全维护措施，由于承包人措施不力，导致事故频发造成重大影响，引起索赔，赔偿、诉讼费用及工程拖延或施工费用增加的，一切责任和费用均由承包人承担。</w:t>
      </w:r>
    </w:p>
    <w:p w14:paraId="54E41CAA">
      <w:pPr>
        <w:spacing w:line="440" w:lineRule="exact"/>
        <w:ind w:firstLine="482"/>
        <w:jc w:val="left"/>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0</w:t>
      </w:r>
      <w:r>
        <w:rPr>
          <w:rFonts w:hint="eastAsia" w:ascii="宋体" w:hAnsi="宋体" w:eastAsia="宋体" w:cs="宋体"/>
          <w:color w:val="auto"/>
          <w:highlight w:val="none"/>
        </w:rPr>
        <w:t>.在施工过程中，由于非发包人也非承包人原因造成工程暂停施工，如果有相关行政部门的相关政策，按政策执行；如果没有相关行政部门的相关政策，暂停施工引起的工期延误可以顺延，但暂停施工引起的所有费用和利润损失由承包人承担。投标人在投标时应自行考虑相应的风险。</w:t>
      </w:r>
    </w:p>
    <w:p w14:paraId="6395FEAC">
      <w:pPr>
        <w:spacing w:line="440" w:lineRule="exact"/>
        <w:ind w:firstLine="482"/>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1</w:t>
      </w:r>
      <w:r>
        <w:rPr>
          <w:rFonts w:hint="eastAsia" w:ascii="宋体" w:hAnsi="宋体" w:eastAsia="宋体" w:cs="宋体"/>
          <w:color w:val="auto"/>
          <w:highlight w:val="none"/>
        </w:rPr>
        <w:t>.投标人务必自行踏勘现场，并充分考虑施工现场条件差、交通不便等因素所产生的费用，报价时自行综合考虑，结算时不增加费用。</w:t>
      </w:r>
    </w:p>
    <w:p w14:paraId="710AB42A">
      <w:pPr>
        <w:spacing w:line="440" w:lineRule="exact"/>
        <w:ind w:firstLine="482"/>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2</w:t>
      </w:r>
      <w:r>
        <w:rPr>
          <w:rFonts w:hint="eastAsia" w:ascii="宋体" w:hAnsi="宋体" w:eastAsia="宋体" w:cs="宋体"/>
          <w:color w:val="auto"/>
          <w:highlight w:val="none"/>
        </w:rPr>
        <w:t>.项目施工期间或施工后对原有道路或绿化有损坏的，须恢复原样，费用由承包人承担。</w:t>
      </w:r>
    </w:p>
    <w:p w14:paraId="5EF60A53">
      <w:pPr>
        <w:spacing w:line="440" w:lineRule="exact"/>
        <w:ind w:firstLine="482"/>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3</w:t>
      </w:r>
      <w:r>
        <w:rPr>
          <w:rFonts w:hint="eastAsia" w:ascii="宋体" w:hAnsi="宋体" w:eastAsia="宋体" w:cs="宋体"/>
          <w:color w:val="auto"/>
          <w:highlight w:val="none"/>
        </w:rPr>
        <w:t>.</w:t>
      </w:r>
      <w:r>
        <w:rPr>
          <w:rFonts w:hint="eastAsia" w:ascii="宋体" w:hAnsi="宋体" w:eastAsia="宋体" w:cs="宋体"/>
          <w:color w:val="auto"/>
          <w:szCs w:val="21"/>
          <w:highlight w:val="none"/>
        </w:rPr>
        <w:t>承包人在施工过程中应注意对原有建筑物、基础设施及各类公用管线、井盖的保护，如有损坏，应由承包人及时修复并承担一切费用，如不及时修复的，招标人将请专业单位进行修复,费用从承包人工程款中直接扣除（管线的保护措施按相关管线部门的要求，费用投标人报价时自行综合考虑，结算时不增加费用）。</w:t>
      </w:r>
    </w:p>
    <w:p w14:paraId="474FD594">
      <w:pPr>
        <w:spacing w:line="440" w:lineRule="exact"/>
        <w:ind w:firstLine="482"/>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.施工过程中及施工结束后注意施工场地的保洁，要满足环卫要求，临时便道、建筑垃圾、废弃物等应及时清运，所需费用投标人报价时自行综合考虑，结算时不增加费用。</w:t>
      </w:r>
    </w:p>
    <w:p w14:paraId="35161776">
      <w:pPr>
        <w:spacing w:line="440" w:lineRule="exact"/>
        <w:ind w:firstLine="482"/>
        <w:rPr>
          <w:rFonts w:hint="eastAsia" w:ascii="宋体" w:hAnsi="宋体" w:eastAsia="宋体" w:cs="宋体"/>
          <w:color w:val="auto"/>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highlight w:val="none"/>
        </w:rPr>
        <w:t>投标人应充分考虑市政、环保、排污、交通、治安、绿化、卫生及运输等方面与现场施工有关的情况及处理周边关系等可能发生的费用，其费用投标人报价时自行综合考虑，结算时不增加费用。</w:t>
      </w:r>
    </w:p>
    <w:p w14:paraId="2EF1D01E">
      <w:pPr>
        <w:spacing w:line="440" w:lineRule="exact"/>
        <w:ind w:firstLine="482"/>
        <w:rPr>
          <w:rFonts w:hint="eastAsia" w:ascii="宋体" w:hAnsi="宋体" w:eastAsia="宋体" w:cs="宋体"/>
          <w:color w:val="auto"/>
          <w:highlight w:val="none"/>
        </w:rPr>
      </w:pPr>
      <w:bookmarkStart w:id="11" w:name="_Toc396891428"/>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highlight w:val="none"/>
        </w:rPr>
        <w:t>其他内容：</w:t>
      </w:r>
      <w:bookmarkEnd w:id="11"/>
    </w:p>
    <w:p w14:paraId="3B66CD42">
      <w:pPr>
        <w:spacing w:line="440" w:lineRule="exact"/>
        <w:ind w:firstLine="482"/>
        <w:rPr>
          <w:rFonts w:hint="eastAsia" w:ascii="宋体" w:hAnsi="宋体" w:eastAsia="宋体" w:cs="宋体"/>
          <w:color w:val="auto"/>
          <w:highlight w:val="none"/>
        </w:rPr>
      </w:pPr>
      <w:bookmarkStart w:id="12" w:name="_Toc396891429"/>
      <w:r>
        <w:rPr>
          <w:rFonts w:hint="eastAsia" w:ascii="宋体" w:hAnsi="宋体" w:eastAsia="宋体" w:cs="宋体"/>
          <w:color w:val="auto"/>
          <w:highlight w:val="none"/>
        </w:rPr>
        <w:t>①对于施工附近可能影响的周围建筑物，构筑物的保护所发生的费用，投标人报价时自行综合考虑，结算时不增加费用。</w:t>
      </w:r>
      <w:bookmarkEnd w:id="12"/>
    </w:p>
    <w:p w14:paraId="7017A407">
      <w:pPr>
        <w:spacing w:line="440" w:lineRule="exact"/>
        <w:ind w:firstLine="482"/>
        <w:rPr>
          <w:rFonts w:hint="eastAsia" w:ascii="宋体" w:hAnsi="宋体" w:eastAsia="宋体" w:cs="宋体"/>
          <w:color w:val="auto"/>
          <w:highlight w:val="none"/>
        </w:rPr>
      </w:pPr>
      <w:bookmarkStart w:id="13" w:name="_Toc396891431"/>
      <w:r>
        <w:rPr>
          <w:rFonts w:hint="eastAsia" w:ascii="宋体" w:hAnsi="宋体" w:eastAsia="宋体" w:cs="宋体"/>
          <w:color w:val="auto"/>
          <w:highlight w:val="none"/>
        </w:rPr>
        <w:t>②施工期间引起的扰民（包括：行车、噪音、污染、损坏居民物品等影响民众生活的因素）投标人报价时自行综合考虑，结算时不增加费用。</w:t>
      </w:r>
      <w:bookmarkEnd w:id="13"/>
    </w:p>
    <w:p w14:paraId="3D302EF8">
      <w:pPr>
        <w:spacing w:line="440" w:lineRule="exact"/>
        <w:ind w:firstLine="482"/>
        <w:rPr>
          <w:rFonts w:hint="eastAsia" w:ascii="宋体" w:hAnsi="宋体" w:eastAsia="宋体" w:cs="宋体"/>
          <w:color w:val="auto"/>
          <w:highlight w:val="none"/>
        </w:rPr>
      </w:pPr>
      <w:bookmarkStart w:id="14" w:name="_Toc396891432"/>
      <w:r>
        <w:rPr>
          <w:rFonts w:hint="eastAsia" w:ascii="宋体" w:hAnsi="宋体" w:eastAsia="宋体" w:cs="宋体"/>
          <w:color w:val="auto"/>
          <w:highlight w:val="none"/>
        </w:rPr>
        <w:t>③投标活动中所发生的其他费用则为投标人非投标报价费用而自行另担。</w:t>
      </w:r>
      <w:bookmarkEnd w:id="14"/>
    </w:p>
    <w:p w14:paraId="64F1C3ED">
      <w:pPr>
        <w:pStyle w:val="29"/>
        <w:numPr>
          <w:ilvl w:val="0"/>
          <w:numId w:val="0"/>
        </w:numPr>
        <w:spacing w:line="44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1</w:t>
      </w:r>
      <w:r>
        <w:rPr>
          <w:rFonts w:hint="eastAsia" w:hAnsi="宋体" w:cs="宋体"/>
          <w:b/>
          <w:color w:val="auto"/>
          <w:szCs w:val="21"/>
          <w:highlight w:val="none"/>
          <w:lang w:val="en-US" w:eastAsia="zh-CN"/>
        </w:rPr>
        <w:t>7</w:t>
      </w:r>
      <w:r>
        <w:rPr>
          <w:rFonts w:hint="eastAsia" w:ascii="宋体" w:hAnsi="宋体" w:eastAsia="宋体" w:cs="宋体"/>
          <w:b/>
          <w:color w:val="auto"/>
          <w:szCs w:val="21"/>
          <w:highlight w:val="none"/>
          <w:lang w:val="en-US" w:eastAsia="zh-CN"/>
        </w:rPr>
        <w:t>.</w:t>
      </w:r>
      <w:r>
        <w:rPr>
          <w:rFonts w:hint="eastAsia" w:ascii="宋体" w:hAnsi="宋体" w:eastAsia="宋体" w:cs="宋体"/>
          <w:b/>
          <w:color w:val="auto"/>
          <w:szCs w:val="21"/>
          <w:highlight w:val="none"/>
        </w:rPr>
        <w:t>投标人在施工过程中发生一切安全事故均</w:t>
      </w:r>
      <w:r>
        <w:rPr>
          <w:rFonts w:hint="eastAsia" w:hAnsi="宋体" w:cs="宋体"/>
          <w:b/>
          <w:color w:val="auto"/>
          <w:szCs w:val="21"/>
          <w:highlight w:val="none"/>
          <w:lang w:val="en-US" w:eastAsia="zh-CN"/>
        </w:rPr>
        <w:t>全部</w:t>
      </w:r>
      <w:r>
        <w:rPr>
          <w:rFonts w:hint="eastAsia" w:ascii="宋体" w:hAnsi="宋体" w:eastAsia="宋体" w:cs="宋体"/>
          <w:b/>
          <w:color w:val="auto"/>
          <w:szCs w:val="21"/>
          <w:highlight w:val="none"/>
        </w:rPr>
        <w:t>由投标人自行解决，若造成不良影响的，须承担法律责任。</w:t>
      </w:r>
    </w:p>
    <w:p w14:paraId="15F43B09">
      <w:pPr>
        <w:pStyle w:val="29"/>
        <w:spacing w:line="440" w:lineRule="exact"/>
        <w:rPr>
          <w:rFonts w:hAnsi="宋体" w:cs="宋体"/>
          <w:color w:val="auto"/>
          <w:kern w:val="0"/>
          <w:sz w:val="22"/>
          <w:szCs w:val="22"/>
          <w:highlight w:val="none"/>
        </w:rPr>
      </w:pPr>
      <w:r>
        <w:rPr>
          <w:rFonts w:hint="eastAsia" w:hAnsi="宋体" w:cs="宋体"/>
          <w:color w:val="auto"/>
          <w:kern w:val="0"/>
          <w:sz w:val="22"/>
          <w:szCs w:val="22"/>
          <w:highlight w:val="none"/>
        </w:rPr>
        <w:t>商务要求表</w:t>
      </w:r>
    </w:p>
    <w:tbl>
      <w:tblPr>
        <w:tblStyle w:val="54"/>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7912"/>
      </w:tblGrid>
      <w:tr w14:paraId="622CE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36" w:type="dxa"/>
            <w:vAlign w:val="center"/>
          </w:tcPr>
          <w:p w14:paraId="4524B7BD">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施工工期</w:t>
            </w:r>
          </w:p>
        </w:tc>
        <w:tc>
          <w:tcPr>
            <w:tcW w:w="7912" w:type="dxa"/>
            <w:vAlign w:val="center"/>
          </w:tcPr>
          <w:p w14:paraId="04669372">
            <w:pPr>
              <w:spacing w:line="400" w:lineRule="exact"/>
              <w:rPr>
                <w:rFonts w:ascii="宋体" w:hAnsi="宋体" w:cs="宋体"/>
                <w:bCs/>
                <w:color w:val="auto"/>
                <w:szCs w:val="21"/>
                <w:highlight w:val="none"/>
              </w:rPr>
            </w:pPr>
            <w:r>
              <w:rPr>
                <w:rFonts w:hint="eastAsia" w:ascii="宋体" w:hAnsi="宋体" w:cs="宋体"/>
                <w:color w:val="auto"/>
                <w:szCs w:val="21"/>
                <w:highlight w:val="none"/>
                <w:lang w:eastAsia="zh-CN"/>
              </w:rPr>
              <w:t>合同签订后70天内完成</w:t>
            </w:r>
            <w:r>
              <w:rPr>
                <w:rFonts w:hint="eastAsia" w:ascii="宋体" w:hAnsi="宋体" w:cs="宋体"/>
                <w:color w:val="auto"/>
                <w:szCs w:val="21"/>
                <w:highlight w:val="none"/>
              </w:rPr>
              <w:t>。</w:t>
            </w:r>
          </w:p>
        </w:tc>
      </w:tr>
      <w:tr w14:paraId="46F8E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36" w:type="dxa"/>
            <w:vAlign w:val="center"/>
          </w:tcPr>
          <w:p w14:paraId="230141FD">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项目实施地点</w:t>
            </w:r>
          </w:p>
        </w:tc>
        <w:tc>
          <w:tcPr>
            <w:tcW w:w="7912" w:type="dxa"/>
            <w:vAlign w:val="center"/>
          </w:tcPr>
          <w:p w14:paraId="1C5D9B41">
            <w:pPr>
              <w:spacing w:line="40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新城街道派出所</w:t>
            </w:r>
          </w:p>
        </w:tc>
      </w:tr>
      <w:tr w14:paraId="3761F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36" w:type="dxa"/>
            <w:vAlign w:val="center"/>
          </w:tcPr>
          <w:p w14:paraId="1151B363">
            <w:pPr>
              <w:spacing w:line="34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缺陷责任期</w:t>
            </w:r>
          </w:p>
        </w:tc>
        <w:tc>
          <w:tcPr>
            <w:tcW w:w="7912" w:type="dxa"/>
            <w:vAlign w:val="center"/>
          </w:tcPr>
          <w:p w14:paraId="79AE35AC">
            <w:pPr>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2年</w:t>
            </w:r>
          </w:p>
        </w:tc>
      </w:tr>
      <w:tr w14:paraId="1C037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36" w:type="dxa"/>
            <w:vAlign w:val="center"/>
          </w:tcPr>
          <w:p w14:paraId="78758DE4">
            <w:pPr>
              <w:spacing w:line="340" w:lineRule="exact"/>
              <w:jc w:val="center"/>
              <w:rPr>
                <w:rFonts w:ascii="宋体" w:hAnsi="宋体" w:cs="宋体"/>
                <w:color w:val="auto"/>
                <w:szCs w:val="21"/>
                <w:highlight w:val="none"/>
              </w:rPr>
            </w:pPr>
            <w:r>
              <w:rPr>
                <w:rFonts w:hint="eastAsia" w:ascii="宋体" w:hAnsi="宋体" w:cs="宋体"/>
                <w:color w:val="auto"/>
                <w:szCs w:val="21"/>
                <w:highlight w:val="none"/>
                <w:lang w:eastAsia="zh-CN"/>
              </w:rPr>
              <w:t>价款</w:t>
            </w:r>
            <w:r>
              <w:rPr>
                <w:rFonts w:hint="eastAsia" w:ascii="宋体" w:hAnsi="宋体" w:cs="宋体"/>
                <w:color w:val="auto"/>
                <w:szCs w:val="21"/>
                <w:highlight w:val="none"/>
              </w:rPr>
              <w:t>支付</w:t>
            </w:r>
          </w:p>
        </w:tc>
        <w:tc>
          <w:tcPr>
            <w:tcW w:w="7912" w:type="dxa"/>
            <w:vAlign w:val="center"/>
          </w:tcPr>
          <w:p w14:paraId="1CFCFB2D">
            <w:pPr>
              <w:spacing w:line="34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1.在合同生效以及具备实施条件后7个工作日内支付合同金额的40%预付款；</w:t>
            </w:r>
          </w:p>
          <w:p w14:paraId="3EC630B5">
            <w:pPr>
              <w:spacing w:line="34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2.项目完成</w:t>
            </w:r>
            <w:r>
              <w:rPr>
                <w:rFonts w:hint="eastAsia" w:asciiTheme="minorEastAsia" w:hAnsiTheme="minorEastAsia" w:cstheme="minorEastAsia"/>
                <w:color w:val="auto"/>
                <w:szCs w:val="21"/>
                <w:highlight w:val="none"/>
                <w:lang w:eastAsia="zh-CN"/>
              </w:rPr>
              <w:t>且</w:t>
            </w:r>
            <w:r>
              <w:rPr>
                <w:rFonts w:hint="eastAsia" w:asciiTheme="minorEastAsia" w:hAnsiTheme="minorEastAsia" w:cstheme="minorEastAsia"/>
                <w:color w:val="auto"/>
                <w:szCs w:val="21"/>
                <w:highlight w:val="none"/>
              </w:rPr>
              <w:t>验收合格后30个工作日内支付至合同价的85%；</w:t>
            </w:r>
            <w:r>
              <w:rPr>
                <w:rFonts w:hint="eastAsia" w:asciiTheme="minorEastAsia" w:hAnsiTheme="minorEastAsia" w:cstheme="minorEastAsia"/>
                <w:color w:val="auto"/>
                <w:szCs w:val="21"/>
                <w:highlight w:val="none"/>
                <w:lang w:val="en-US" w:eastAsia="zh-CN"/>
              </w:rPr>
              <w:t>余款在结算审计完成后承包人向发包人支付结算价1.5%的质量保证金后支付至结算价的100%</w:t>
            </w:r>
            <w:r>
              <w:rPr>
                <w:rFonts w:hint="eastAsia" w:asciiTheme="minorEastAsia" w:hAnsiTheme="minorEastAsia" w:cstheme="minorEastAsia"/>
                <w:color w:val="auto"/>
                <w:szCs w:val="21"/>
                <w:highlight w:val="none"/>
              </w:rPr>
              <w:t>。</w:t>
            </w:r>
          </w:p>
          <w:p w14:paraId="0A4F90DD">
            <w:pPr>
              <w:spacing w:line="340" w:lineRule="exact"/>
              <w:rPr>
                <w:rFonts w:ascii="宋体" w:hAnsi="宋体" w:cs="宋体"/>
                <w:color w:val="auto"/>
                <w:szCs w:val="21"/>
                <w:highlight w:val="none"/>
              </w:rPr>
            </w:pPr>
            <w:r>
              <w:rPr>
                <w:rFonts w:hint="eastAsia" w:asciiTheme="minorEastAsia" w:hAnsiTheme="minorEastAsia" w:cstheme="minorEastAsia"/>
                <w:color w:val="auto"/>
                <w:szCs w:val="21"/>
                <w:highlight w:val="none"/>
              </w:rPr>
              <w:t>注1.中标人根据采购人的要求提供相关结算资料，及相应税务发票；</w:t>
            </w:r>
          </w:p>
        </w:tc>
      </w:tr>
      <w:tr w14:paraId="630A5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736" w:type="dxa"/>
            <w:vAlign w:val="center"/>
          </w:tcPr>
          <w:p w14:paraId="51C75817">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7912" w:type="dxa"/>
            <w:vAlign w:val="center"/>
          </w:tcPr>
          <w:p w14:paraId="039DA91F">
            <w:pPr>
              <w:snapToGrid w:val="0"/>
              <w:spacing w:line="340" w:lineRule="exact"/>
              <w:rPr>
                <w:rFonts w:ascii="宋体" w:hAnsi="宋体" w:cs="宋体"/>
                <w:color w:val="auto"/>
                <w:szCs w:val="21"/>
                <w:highlight w:val="none"/>
              </w:rPr>
            </w:pPr>
            <w:r>
              <w:rPr>
                <w:rFonts w:hint="eastAsia" w:ascii="宋体" w:hAnsi="宋体" w:cs="宋体"/>
                <w:color w:val="auto"/>
                <w:szCs w:val="21"/>
                <w:highlight w:val="none"/>
              </w:rPr>
              <w:t>本项目不设置</w:t>
            </w:r>
          </w:p>
        </w:tc>
      </w:tr>
      <w:tr w14:paraId="4AF1C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vAlign w:val="center"/>
          </w:tcPr>
          <w:p w14:paraId="64DBB91E">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投标报价</w:t>
            </w:r>
          </w:p>
        </w:tc>
        <w:tc>
          <w:tcPr>
            <w:tcW w:w="7912" w:type="dxa"/>
            <w:vAlign w:val="center"/>
          </w:tcPr>
          <w:p w14:paraId="39ED6B42">
            <w:pPr>
              <w:autoSpaceDE w:val="0"/>
              <w:autoSpaceDN w:val="0"/>
              <w:spacing w:line="340" w:lineRule="exact"/>
              <w:rPr>
                <w:rFonts w:ascii="宋体" w:hAnsi="宋体" w:cs="宋体"/>
                <w:color w:val="auto"/>
                <w:szCs w:val="21"/>
                <w:highlight w:val="none"/>
              </w:rPr>
            </w:pPr>
            <w:r>
              <w:rPr>
                <w:rFonts w:hint="eastAsia" w:ascii="宋体" w:hAnsi="宋体" w:cs="宋体"/>
                <w:color w:val="auto"/>
                <w:szCs w:val="21"/>
                <w:highlight w:val="none"/>
                <w:lang w:val="zh-CN"/>
              </w:rPr>
              <w:t>有关本项目实施</w:t>
            </w:r>
            <w:r>
              <w:rPr>
                <w:rFonts w:hint="eastAsia" w:ascii="宋体" w:hAnsi="宋体" w:cs="宋体"/>
                <w:color w:val="auto"/>
                <w:szCs w:val="21"/>
                <w:highlight w:val="none"/>
              </w:rPr>
              <w:t>及质保期内</w:t>
            </w:r>
            <w:r>
              <w:rPr>
                <w:rFonts w:hint="eastAsia" w:ascii="宋体" w:hAnsi="宋体" w:cs="宋体"/>
                <w:color w:val="auto"/>
                <w:szCs w:val="21"/>
                <w:highlight w:val="none"/>
                <w:lang w:val="zh-CN"/>
              </w:rPr>
              <w:t>所需的所有费用（含税费）均计入报价，</w:t>
            </w:r>
            <w:r>
              <w:rPr>
                <w:rFonts w:hint="eastAsia" w:ascii="宋体" w:hAnsi="宋体" w:cs="宋体"/>
                <w:color w:val="auto"/>
                <w:szCs w:val="21"/>
                <w:highlight w:val="none"/>
              </w:rPr>
              <w:t>投标报价是履行合同的最终价格。</w:t>
            </w:r>
          </w:p>
        </w:tc>
      </w:tr>
      <w:tr w14:paraId="296CF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736" w:type="dxa"/>
            <w:vAlign w:val="center"/>
          </w:tcPr>
          <w:p w14:paraId="3EAFF69D">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安全生产责任</w:t>
            </w:r>
          </w:p>
        </w:tc>
        <w:tc>
          <w:tcPr>
            <w:tcW w:w="7912" w:type="dxa"/>
            <w:vAlign w:val="center"/>
          </w:tcPr>
          <w:p w14:paraId="2AC7AC45">
            <w:pPr>
              <w:spacing w:line="340" w:lineRule="exact"/>
              <w:rPr>
                <w:rFonts w:ascii="宋体" w:hAnsi="宋体" w:cs="宋体"/>
                <w:color w:val="auto"/>
                <w:szCs w:val="21"/>
                <w:highlight w:val="none"/>
              </w:rPr>
            </w:pPr>
            <w:r>
              <w:rPr>
                <w:rFonts w:hint="eastAsia" w:ascii="宋体" w:hAnsi="宋体" w:cs="宋体"/>
                <w:color w:val="auto"/>
                <w:szCs w:val="21"/>
                <w:highlight w:val="none"/>
              </w:rPr>
              <w:t>中标人应自行承担项目实施过程中安全生产责任，采购人任何情况下均不承担因此产生的任何法律责任和经济责任。</w:t>
            </w:r>
          </w:p>
        </w:tc>
      </w:tr>
    </w:tbl>
    <w:p w14:paraId="6088F5B8">
      <w:pPr>
        <w:snapToGrid w:val="0"/>
        <w:spacing w:line="400" w:lineRule="exact"/>
        <w:ind w:firstLine="420"/>
        <w:rPr>
          <w:color w:val="auto"/>
          <w:highlight w:val="none"/>
        </w:rPr>
      </w:pPr>
    </w:p>
    <w:p w14:paraId="70CEA5BC">
      <w:pPr>
        <w:snapToGrid w:val="0"/>
        <w:spacing w:before="120" w:after="120" w:line="360" w:lineRule="auto"/>
        <w:outlineLvl w:val="0"/>
        <w:rPr>
          <w:rFonts w:asciiTheme="minorEastAsia" w:hAnsiTheme="minorEastAsia" w:eastAsiaTheme="minorEastAsia"/>
          <w:b/>
          <w:color w:val="auto"/>
          <w:sz w:val="28"/>
          <w:szCs w:val="28"/>
          <w:highlight w:val="none"/>
        </w:rPr>
      </w:pPr>
    </w:p>
    <w:p w14:paraId="345789AF">
      <w:pP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br w:type="page"/>
      </w:r>
    </w:p>
    <w:p w14:paraId="49195584">
      <w:pPr>
        <w:snapToGrid w:val="0"/>
        <w:spacing w:before="120" w:after="120" w:line="360" w:lineRule="auto"/>
        <w:jc w:val="center"/>
        <w:outlineLvl w:val="0"/>
        <w:rPr>
          <w:rFonts w:asciiTheme="minorEastAsia" w:hAnsiTheme="minorEastAsia" w:eastAsiaTheme="minorEastAsia"/>
          <w:b/>
          <w:color w:val="auto"/>
          <w:sz w:val="28"/>
          <w:szCs w:val="28"/>
          <w:highlight w:val="none"/>
        </w:rPr>
      </w:pPr>
      <w:bookmarkStart w:id="15" w:name="_Toc6290"/>
      <w:r>
        <w:rPr>
          <w:rFonts w:hint="eastAsia" w:asciiTheme="minorEastAsia" w:hAnsiTheme="minorEastAsia" w:eastAsiaTheme="minorEastAsia"/>
          <w:b/>
          <w:color w:val="auto"/>
          <w:sz w:val="28"/>
          <w:szCs w:val="28"/>
          <w:highlight w:val="none"/>
        </w:rPr>
        <w:t>第三章  供应商须知</w:t>
      </w:r>
      <w:bookmarkEnd w:id="15"/>
    </w:p>
    <w:p w14:paraId="6F125448">
      <w:pPr>
        <w:snapToGrid w:val="0"/>
        <w:spacing w:before="120" w:after="120" w:line="360" w:lineRule="auto"/>
        <w:jc w:val="center"/>
        <w:outlineLvl w:val="0"/>
        <w:rPr>
          <w:rFonts w:asciiTheme="minorEastAsia" w:hAnsiTheme="minorEastAsia" w:eastAsiaTheme="minorEastAsia"/>
          <w:b/>
          <w:color w:val="auto"/>
          <w:sz w:val="28"/>
          <w:szCs w:val="28"/>
          <w:highlight w:val="none"/>
        </w:rPr>
      </w:pPr>
      <w:bookmarkStart w:id="16" w:name="_Toc27073"/>
      <w:r>
        <w:rPr>
          <w:rFonts w:hint="eastAsia" w:asciiTheme="minorEastAsia" w:hAnsiTheme="minorEastAsia" w:eastAsiaTheme="minorEastAsia"/>
          <w:b/>
          <w:color w:val="auto"/>
          <w:sz w:val="28"/>
          <w:szCs w:val="28"/>
          <w:highlight w:val="none"/>
        </w:rPr>
        <w:t>电子交易注意事项</w:t>
      </w:r>
      <w:bookmarkEnd w:id="16"/>
    </w:p>
    <w:p w14:paraId="5E0229DE">
      <w:pPr>
        <w:spacing w:line="360" w:lineRule="auto"/>
        <w:ind w:firstLine="210" w:firstLineChars="100"/>
        <w:rPr>
          <w:rFonts w:cs="宋体" w:asciiTheme="minorEastAsia" w:hAnsiTheme="minorEastAsia" w:eastAsiaTheme="minorEastAsia"/>
          <w:color w:val="auto"/>
          <w:szCs w:val="21"/>
          <w:highlight w:val="none"/>
          <w:shd w:val="clear" w:color="auto" w:fill="FFFFFF"/>
        </w:rPr>
      </w:pPr>
    </w:p>
    <w:p w14:paraId="018FF1D3">
      <w:pPr>
        <w:spacing w:line="360" w:lineRule="auto"/>
        <w:ind w:firstLine="210" w:firstLineChars="100"/>
        <w:rPr>
          <w:rFonts w:cs="宋体" w:asciiTheme="minorEastAsia" w:hAnsiTheme="minorEastAsia" w:eastAsiaTheme="minorEastAsia"/>
          <w:color w:val="auto"/>
          <w:szCs w:val="21"/>
          <w:highlight w:val="none"/>
          <w:shd w:val="clear" w:color="auto" w:fill="FFFFFF"/>
        </w:rPr>
      </w:pPr>
      <w:r>
        <w:rPr>
          <w:rFonts w:hint="eastAsia" w:cs="宋体" w:asciiTheme="minorEastAsia" w:hAnsiTheme="minorEastAsia" w:eastAsiaTheme="minorEastAsia"/>
          <w:color w:val="auto"/>
          <w:szCs w:val="21"/>
          <w:highlight w:val="none"/>
          <w:shd w:val="clear" w:color="auto" w:fill="FFFFFF"/>
        </w:rPr>
        <w:t>政府采购项目电子交易活动适用《浙江省政府采购项目电子交易管理暂行办法》，现将相关注意事项告知如下：</w:t>
      </w:r>
    </w:p>
    <w:p w14:paraId="6911206C">
      <w:pPr>
        <w:spacing w:line="360" w:lineRule="auto"/>
        <w:ind w:firstLine="210" w:firstLineChars="100"/>
        <w:rPr>
          <w:rFonts w:cs="宋体" w:asciiTheme="minorEastAsia" w:hAnsiTheme="minorEastAsia" w:eastAsiaTheme="minorEastAsia"/>
          <w:color w:val="auto"/>
          <w:szCs w:val="21"/>
          <w:highlight w:val="none"/>
          <w:shd w:val="clear" w:color="auto" w:fill="FFFFFF"/>
        </w:rPr>
      </w:pPr>
      <w:r>
        <w:rPr>
          <w:rFonts w:hint="eastAsia" w:cs="宋体" w:asciiTheme="minorEastAsia" w:hAnsiTheme="minorEastAsia" w:eastAsiaTheme="minorEastAsia"/>
          <w:color w:val="auto"/>
          <w:szCs w:val="21"/>
          <w:highlight w:val="none"/>
          <w:shd w:val="clear" w:color="auto" w:fill="FFFFFF"/>
        </w:rPr>
        <w:t>　1.代理机构按照招标文件规定的时间通过电子交易平台组织开标、开启投标文件，所有供应商均应当准时在线参加，直至评审结束。</w:t>
      </w:r>
    </w:p>
    <w:p w14:paraId="035DD592">
      <w:pPr>
        <w:spacing w:line="360" w:lineRule="auto"/>
        <w:ind w:firstLine="210" w:firstLineChars="100"/>
        <w:rPr>
          <w:rFonts w:cs="宋体" w:asciiTheme="minorEastAsia" w:hAnsiTheme="minorEastAsia" w:eastAsiaTheme="minorEastAsia"/>
          <w:color w:val="auto"/>
          <w:szCs w:val="21"/>
          <w:highlight w:val="none"/>
          <w:shd w:val="clear" w:color="auto" w:fill="FFFFFF"/>
        </w:rPr>
      </w:pPr>
      <w:r>
        <w:rPr>
          <w:rFonts w:hint="eastAsia" w:cs="宋体" w:asciiTheme="minorEastAsia" w:hAnsiTheme="minorEastAsia" w:eastAsiaTheme="minorEastAsia"/>
          <w:color w:val="auto"/>
          <w:szCs w:val="21"/>
          <w:highlight w:val="none"/>
          <w:shd w:val="clear" w:color="auto" w:fill="FFFFFF"/>
        </w:rPr>
        <w:t>　2.投标文件未按时解密，供应商如提供备份投标文件的，以符合要求的备份投标文件作为依据，否则视为投标文件撤回。投标文件已按时解密的，备份投标文件自动失效。</w:t>
      </w:r>
    </w:p>
    <w:p w14:paraId="490C7A17">
      <w:pPr>
        <w:spacing w:line="360" w:lineRule="auto"/>
        <w:ind w:firstLine="210" w:firstLineChars="100"/>
        <w:rPr>
          <w:rFonts w:cs="宋体" w:asciiTheme="minorEastAsia" w:hAnsiTheme="minorEastAsia" w:eastAsiaTheme="minorEastAsia"/>
          <w:color w:val="auto"/>
          <w:szCs w:val="21"/>
          <w:highlight w:val="none"/>
          <w:shd w:val="clear" w:color="auto" w:fill="FFFFFF"/>
        </w:rPr>
      </w:pPr>
      <w:r>
        <w:rPr>
          <w:rFonts w:hint="eastAsia" w:cs="宋体" w:asciiTheme="minorEastAsia" w:hAnsiTheme="minorEastAsia" w:eastAsiaTheme="minorEastAsia"/>
          <w:color w:val="auto"/>
          <w:szCs w:val="21"/>
          <w:highlight w:val="none"/>
          <w:shd w:val="clear" w:color="auto" w:fill="FFFFFF"/>
        </w:rPr>
        <w:t>　3.采购过程中出现以下情形，导致电子交易平台无法正常运行，或者无法保证电子交易的公平、公正和安全时，代理机构可中止电子交易活动：</w:t>
      </w:r>
    </w:p>
    <w:p w14:paraId="79556BBF">
      <w:pPr>
        <w:spacing w:line="360" w:lineRule="auto"/>
        <w:ind w:firstLine="210" w:firstLineChars="100"/>
        <w:rPr>
          <w:rFonts w:cs="宋体" w:asciiTheme="minorEastAsia" w:hAnsiTheme="minorEastAsia" w:eastAsiaTheme="minorEastAsia"/>
          <w:color w:val="auto"/>
          <w:szCs w:val="21"/>
          <w:highlight w:val="none"/>
          <w:shd w:val="clear" w:color="auto" w:fill="FFFFFF"/>
        </w:rPr>
      </w:pPr>
      <w:r>
        <w:rPr>
          <w:rFonts w:hint="eastAsia" w:cs="宋体" w:asciiTheme="minorEastAsia" w:hAnsiTheme="minorEastAsia" w:eastAsiaTheme="minorEastAsia"/>
          <w:color w:val="auto"/>
          <w:szCs w:val="21"/>
          <w:highlight w:val="none"/>
          <w:shd w:val="clear" w:color="auto" w:fill="FFFFFF"/>
        </w:rPr>
        <w:t>（一）电子交易平台发生故障而无法登录访问的； </w:t>
      </w:r>
    </w:p>
    <w:p w14:paraId="646451A1">
      <w:pPr>
        <w:spacing w:line="360" w:lineRule="auto"/>
        <w:ind w:firstLine="210" w:firstLineChars="100"/>
        <w:rPr>
          <w:rFonts w:cs="宋体" w:asciiTheme="minorEastAsia" w:hAnsiTheme="minorEastAsia" w:eastAsiaTheme="minorEastAsia"/>
          <w:color w:val="auto"/>
          <w:szCs w:val="21"/>
          <w:highlight w:val="none"/>
          <w:shd w:val="clear" w:color="auto" w:fill="FFFFFF"/>
        </w:rPr>
      </w:pPr>
      <w:r>
        <w:rPr>
          <w:rFonts w:hint="eastAsia" w:cs="宋体" w:asciiTheme="minorEastAsia" w:hAnsiTheme="minorEastAsia" w:eastAsiaTheme="minorEastAsia"/>
          <w:color w:val="auto"/>
          <w:szCs w:val="21"/>
          <w:highlight w:val="none"/>
          <w:shd w:val="clear" w:color="auto" w:fill="FFFFFF"/>
        </w:rPr>
        <w:t>（二）电子交易平台应用或数据库出现错误，不能进行正常操作的；</w:t>
      </w:r>
    </w:p>
    <w:p w14:paraId="27AAF570">
      <w:pPr>
        <w:spacing w:line="360" w:lineRule="auto"/>
        <w:ind w:firstLine="210" w:firstLineChars="100"/>
        <w:rPr>
          <w:rFonts w:cs="宋体" w:asciiTheme="minorEastAsia" w:hAnsiTheme="minorEastAsia" w:eastAsiaTheme="minorEastAsia"/>
          <w:color w:val="auto"/>
          <w:szCs w:val="21"/>
          <w:highlight w:val="none"/>
          <w:shd w:val="clear" w:color="auto" w:fill="FFFFFF"/>
        </w:rPr>
      </w:pPr>
      <w:r>
        <w:rPr>
          <w:rFonts w:hint="eastAsia" w:cs="宋体" w:asciiTheme="minorEastAsia" w:hAnsiTheme="minorEastAsia" w:eastAsiaTheme="minorEastAsia"/>
          <w:color w:val="auto"/>
          <w:szCs w:val="21"/>
          <w:highlight w:val="none"/>
          <w:shd w:val="clear" w:color="auto" w:fill="FFFFFF"/>
        </w:rPr>
        <w:t>（三）电子交易平台发现严重安全漏洞，有潜在泄密危险的；</w:t>
      </w:r>
    </w:p>
    <w:p w14:paraId="650D58AD">
      <w:pPr>
        <w:spacing w:line="360" w:lineRule="auto"/>
        <w:ind w:firstLine="210" w:firstLineChars="100"/>
        <w:rPr>
          <w:rFonts w:cs="宋体" w:asciiTheme="minorEastAsia" w:hAnsiTheme="minorEastAsia" w:eastAsiaTheme="minorEastAsia"/>
          <w:color w:val="auto"/>
          <w:szCs w:val="21"/>
          <w:highlight w:val="none"/>
          <w:shd w:val="clear" w:color="auto" w:fill="FFFFFF"/>
        </w:rPr>
      </w:pPr>
      <w:r>
        <w:rPr>
          <w:rFonts w:hint="eastAsia" w:cs="宋体" w:asciiTheme="minorEastAsia" w:hAnsiTheme="minorEastAsia" w:eastAsiaTheme="minorEastAsia"/>
          <w:color w:val="auto"/>
          <w:szCs w:val="21"/>
          <w:highlight w:val="none"/>
          <w:shd w:val="clear" w:color="auto" w:fill="FFFFFF"/>
        </w:rPr>
        <w:t>（四）病毒发作导致不能进行正常操作的； </w:t>
      </w:r>
    </w:p>
    <w:p w14:paraId="45705324">
      <w:pPr>
        <w:spacing w:line="360" w:lineRule="auto"/>
        <w:ind w:firstLine="210" w:firstLineChars="100"/>
        <w:rPr>
          <w:rFonts w:cs="宋体" w:asciiTheme="minorEastAsia" w:hAnsiTheme="minorEastAsia" w:eastAsiaTheme="minorEastAsia"/>
          <w:color w:val="auto"/>
          <w:szCs w:val="21"/>
          <w:highlight w:val="none"/>
          <w:shd w:val="clear" w:color="auto" w:fill="FFFFFF"/>
        </w:rPr>
      </w:pPr>
      <w:r>
        <w:rPr>
          <w:rFonts w:hint="eastAsia" w:cs="宋体" w:asciiTheme="minorEastAsia" w:hAnsiTheme="minorEastAsia" w:eastAsiaTheme="minorEastAsia"/>
          <w:color w:val="auto"/>
          <w:szCs w:val="21"/>
          <w:highlight w:val="none"/>
          <w:shd w:val="clear" w:color="auto" w:fill="FFFFFF"/>
        </w:rPr>
        <w:t>（五）其他无法保证电子交易的公平、公正和安全的情况。</w:t>
      </w:r>
    </w:p>
    <w:p w14:paraId="23DAE15F">
      <w:pPr>
        <w:spacing w:line="360" w:lineRule="auto"/>
        <w:ind w:firstLine="210" w:firstLineChars="100"/>
        <w:rPr>
          <w:rFonts w:cs="宋体" w:asciiTheme="minorEastAsia" w:hAnsiTheme="minorEastAsia" w:eastAsiaTheme="minorEastAsia"/>
          <w:color w:val="auto"/>
          <w:szCs w:val="21"/>
          <w:highlight w:val="none"/>
          <w:shd w:val="clear" w:color="auto" w:fill="FFFFFF"/>
        </w:rPr>
      </w:pPr>
      <w:r>
        <w:rPr>
          <w:rFonts w:hint="eastAsia" w:cs="宋体" w:asciiTheme="minorEastAsia" w:hAnsiTheme="minorEastAsia" w:eastAsiaTheme="minorEastAsia"/>
          <w:color w:val="auto"/>
          <w:szCs w:val="21"/>
          <w:highlight w:val="none"/>
          <w:shd w:val="clear" w:color="auto" w:fill="FFFFFF"/>
        </w:rPr>
        <w:t>出现前款规定情形，不影响采购公平、公正性的，代理机构可以待上述情形消除后继续组织电子交易活动，也可以决定某些环节以纸质形式进行；影响或可能影响采购公平、公正性的，应当重新采购。</w:t>
      </w:r>
    </w:p>
    <w:p w14:paraId="57FEF287">
      <w:pPr>
        <w:spacing w:line="360" w:lineRule="auto"/>
        <w:ind w:firstLine="210" w:firstLineChars="100"/>
        <w:rPr>
          <w:rFonts w:cs="宋体" w:asciiTheme="minorEastAsia" w:hAnsiTheme="minorEastAsia" w:eastAsiaTheme="minorEastAsia"/>
          <w:color w:val="auto"/>
          <w:szCs w:val="21"/>
          <w:highlight w:val="none"/>
          <w:shd w:val="clear" w:color="auto" w:fill="FFFFFF"/>
        </w:rPr>
      </w:pPr>
      <w:r>
        <w:rPr>
          <w:rFonts w:hint="eastAsia" w:cs="宋体" w:asciiTheme="minorEastAsia" w:hAnsiTheme="minorEastAsia" w:eastAsiaTheme="minorEastAsia"/>
          <w:color w:val="auto"/>
          <w:szCs w:val="21"/>
          <w:highlight w:val="none"/>
          <w:shd w:val="clear" w:color="auto" w:fill="FFFFFF"/>
        </w:rPr>
        <w:t>4.评审中需要供应商对投标文件作出澄清、说明或者补正的，评审小组和供应商应当通过电子交易平台交换数据电文。供应商需在半小时内提交澄清说明或补正，供应商已经明确表示澄清说明或补正完毕的除外。</w:t>
      </w:r>
    </w:p>
    <w:p w14:paraId="03D619A2">
      <w:pPr>
        <w:spacing w:line="360" w:lineRule="auto"/>
        <w:jc w:val="center"/>
        <w:rPr>
          <w:rFonts w:asciiTheme="minorEastAsia" w:hAnsiTheme="minorEastAsia" w:eastAsiaTheme="minorEastAsia"/>
          <w:b/>
          <w:bCs/>
          <w:color w:val="auto"/>
          <w:kern w:val="2"/>
          <w:szCs w:val="21"/>
          <w:highlight w:val="none"/>
        </w:rPr>
      </w:pPr>
    </w:p>
    <w:p w14:paraId="63F92D5E">
      <w:pPr>
        <w:spacing w:line="360" w:lineRule="auto"/>
        <w:jc w:val="center"/>
        <w:rPr>
          <w:rFonts w:asciiTheme="minorEastAsia" w:hAnsiTheme="minorEastAsia" w:eastAsiaTheme="minorEastAsia"/>
          <w:b/>
          <w:bCs/>
          <w:color w:val="auto"/>
          <w:kern w:val="2"/>
          <w:szCs w:val="21"/>
          <w:highlight w:val="none"/>
        </w:rPr>
      </w:pPr>
    </w:p>
    <w:p w14:paraId="6788DFE6">
      <w:pPr>
        <w:spacing w:line="360" w:lineRule="auto"/>
        <w:jc w:val="center"/>
        <w:rPr>
          <w:rFonts w:asciiTheme="minorEastAsia" w:hAnsiTheme="minorEastAsia" w:eastAsiaTheme="minorEastAsia"/>
          <w:b/>
          <w:bCs/>
          <w:color w:val="auto"/>
          <w:kern w:val="2"/>
          <w:szCs w:val="21"/>
          <w:highlight w:val="none"/>
        </w:rPr>
      </w:pPr>
    </w:p>
    <w:p w14:paraId="28ACFC1A">
      <w:pPr>
        <w:spacing w:line="360" w:lineRule="auto"/>
        <w:jc w:val="center"/>
        <w:rPr>
          <w:rFonts w:asciiTheme="minorEastAsia" w:hAnsiTheme="minorEastAsia" w:eastAsiaTheme="minorEastAsia"/>
          <w:b/>
          <w:bCs/>
          <w:color w:val="auto"/>
          <w:kern w:val="2"/>
          <w:szCs w:val="21"/>
          <w:highlight w:val="none"/>
        </w:rPr>
      </w:pPr>
    </w:p>
    <w:p w14:paraId="1DC93B1B">
      <w:pPr>
        <w:spacing w:line="360" w:lineRule="auto"/>
        <w:jc w:val="center"/>
        <w:rPr>
          <w:rFonts w:asciiTheme="minorEastAsia" w:hAnsiTheme="minorEastAsia" w:eastAsiaTheme="minorEastAsia"/>
          <w:b/>
          <w:bCs/>
          <w:color w:val="auto"/>
          <w:kern w:val="2"/>
          <w:szCs w:val="21"/>
          <w:highlight w:val="none"/>
        </w:rPr>
      </w:pPr>
    </w:p>
    <w:p w14:paraId="52A220CA">
      <w:pPr>
        <w:spacing w:line="360" w:lineRule="auto"/>
        <w:jc w:val="center"/>
        <w:rPr>
          <w:rFonts w:asciiTheme="minorEastAsia" w:hAnsiTheme="minorEastAsia" w:eastAsiaTheme="minorEastAsia"/>
          <w:b/>
          <w:bCs/>
          <w:color w:val="auto"/>
          <w:kern w:val="2"/>
          <w:szCs w:val="21"/>
          <w:highlight w:val="none"/>
        </w:rPr>
      </w:pPr>
    </w:p>
    <w:p w14:paraId="5CCE6521">
      <w:pPr>
        <w:spacing w:line="360" w:lineRule="auto"/>
        <w:jc w:val="center"/>
        <w:rPr>
          <w:rFonts w:asciiTheme="minorEastAsia" w:hAnsiTheme="minorEastAsia" w:eastAsiaTheme="minorEastAsia"/>
          <w:b/>
          <w:bCs/>
          <w:color w:val="auto"/>
          <w:kern w:val="2"/>
          <w:szCs w:val="21"/>
          <w:highlight w:val="none"/>
        </w:rPr>
      </w:pPr>
    </w:p>
    <w:p w14:paraId="5BCBCC4A">
      <w:pPr>
        <w:spacing w:line="360" w:lineRule="auto"/>
        <w:jc w:val="center"/>
        <w:rPr>
          <w:rFonts w:asciiTheme="minorEastAsia" w:hAnsiTheme="minorEastAsia" w:eastAsiaTheme="minorEastAsia"/>
          <w:b/>
          <w:bCs/>
          <w:color w:val="auto"/>
          <w:kern w:val="2"/>
          <w:szCs w:val="21"/>
          <w:highlight w:val="none"/>
        </w:rPr>
      </w:pPr>
    </w:p>
    <w:p w14:paraId="320E5F3C">
      <w:pPr>
        <w:spacing w:line="360" w:lineRule="auto"/>
        <w:jc w:val="center"/>
        <w:rPr>
          <w:rFonts w:asciiTheme="minorEastAsia" w:hAnsiTheme="minorEastAsia" w:eastAsiaTheme="minorEastAsia"/>
          <w:b/>
          <w:bCs/>
          <w:color w:val="auto"/>
          <w:kern w:val="2"/>
          <w:szCs w:val="21"/>
          <w:highlight w:val="none"/>
        </w:rPr>
      </w:pPr>
    </w:p>
    <w:p w14:paraId="60BDA5C4">
      <w:pPr>
        <w:spacing w:line="360" w:lineRule="auto"/>
        <w:jc w:val="both"/>
        <w:rPr>
          <w:rFonts w:asciiTheme="minorEastAsia" w:hAnsiTheme="minorEastAsia" w:eastAsiaTheme="minorEastAsia"/>
          <w:b/>
          <w:bCs/>
          <w:color w:val="auto"/>
          <w:kern w:val="2"/>
          <w:szCs w:val="21"/>
          <w:highlight w:val="none"/>
        </w:rPr>
      </w:pPr>
    </w:p>
    <w:p w14:paraId="633E04D4">
      <w:pPr>
        <w:spacing w:line="360" w:lineRule="auto"/>
        <w:jc w:val="center"/>
        <w:rPr>
          <w:rFonts w:asciiTheme="minorEastAsia" w:hAnsiTheme="minorEastAsia" w:eastAsiaTheme="minorEastAsia"/>
          <w:b/>
          <w:bCs/>
          <w:color w:val="auto"/>
          <w:kern w:val="2"/>
          <w:szCs w:val="21"/>
          <w:highlight w:val="none"/>
        </w:rPr>
      </w:pPr>
    </w:p>
    <w:p w14:paraId="060FAE36">
      <w:pPr>
        <w:spacing w:line="360" w:lineRule="auto"/>
        <w:jc w:val="center"/>
        <w:rPr>
          <w:rFonts w:asciiTheme="minorEastAsia" w:hAnsiTheme="minorEastAsia" w:eastAsiaTheme="minorEastAsia"/>
          <w:b/>
          <w:bCs/>
          <w:color w:val="auto"/>
          <w:kern w:val="2"/>
          <w:szCs w:val="21"/>
          <w:highlight w:val="none"/>
        </w:rPr>
      </w:pPr>
    </w:p>
    <w:p w14:paraId="0419B4BA">
      <w:pPr>
        <w:spacing w:line="360" w:lineRule="auto"/>
        <w:jc w:val="center"/>
        <w:rPr>
          <w:rFonts w:asciiTheme="minorEastAsia" w:hAnsiTheme="minorEastAsia" w:eastAsiaTheme="minorEastAsia"/>
          <w:b/>
          <w:bCs/>
          <w:color w:val="auto"/>
          <w:kern w:val="2"/>
          <w:szCs w:val="21"/>
          <w:highlight w:val="none"/>
        </w:rPr>
      </w:pPr>
      <w:r>
        <w:rPr>
          <w:rFonts w:hint="eastAsia" w:asciiTheme="minorEastAsia" w:hAnsiTheme="minorEastAsia" w:eastAsiaTheme="minorEastAsia"/>
          <w:b/>
          <w:bCs/>
          <w:color w:val="auto"/>
          <w:kern w:val="2"/>
          <w:szCs w:val="21"/>
          <w:highlight w:val="none"/>
        </w:rPr>
        <w:t>前附表</w:t>
      </w:r>
    </w:p>
    <w:tbl>
      <w:tblPr>
        <w:tblStyle w:val="54"/>
        <w:tblW w:w="924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371"/>
      </w:tblGrid>
      <w:tr w14:paraId="36EFF9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69" w:type="dxa"/>
            <w:tcBorders>
              <w:top w:val="single" w:color="auto" w:sz="4" w:space="0"/>
              <w:left w:val="single" w:color="auto" w:sz="4" w:space="0"/>
              <w:bottom w:val="single" w:color="auto" w:sz="4" w:space="0"/>
              <w:right w:val="single" w:color="auto" w:sz="4" w:space="0"/>
            </w:tcBorders>
            <w:vAlign w:val="bottom"/>
          </w:tcPr>
          <w:p w14:paraId="25A72B46">
            <w:pPr>
              <w:snapToGrid w:val="0"/>
              <w:spacing w:line="360" w:lineRule="auto"/>
              <w:jc w:val="center"/>
              <w:rPr>
                <w:rFonts w:asciiTheme="minorEastAsia" w:hAnsiTheme="minorEastAsia" w:eastAsiaTheme="minorEastAsia"/>
                <w:b/>
                <w:color w:val="auto"/>
                <w:kern w:val="2"/>
                <w:szCs w:val="21"/>
                <w:highlight w:val="none"/>
              </w:rPr>
            </w:pPr>
            <w:bookmarkStart w:id="17" w:name="_Toc177870536"/>
            <w:r>
              <w:rPr>
                <w:rFonts w:hint="eastAsia" w:asciiTheme="minorEastAsia" w:hAnsiTheme="minorEastAsia" w:eastAsiaTheme="minorEastAsia"/>
                <w:b/>
                <w:color w:val="auto"/>
                <w:kern w:val="2"/>
                <w:szCs w:val="21"/>
                <w:highlight w:val="none"/>
              </w:rPr>
              <w:t>序号</w:t>
            </w:r>
          </w:p>
        </w:tc>
        <w:tc>
          <w:tcPr>
            <w:tcW w:w="8371" w:type="dxa"/>
            <w:tcBorders>
              <w:top w:val="single" w:color="auto" w:sz="4" w:space="0"/>
              <w:left w:val="single" w:color="auto" w:sz="4" w:space="0"/>
              <w:bottom w:val="single" w:color="auto" w:sz="4" w:space="0"/>
              <w:right w:val="single" w:color="auto" w:sz="4" w:space="0"/>
            </w:tcBorders>
            <w:vAlign w:val="bottom"/>
          </w:tcPr>
          <w:p w14:paraId="44CAC338">
            <w:pPr>
              <w:snapToGrid w:val="0"/>
              <w:spacing w:line="360" w:lineRule="auto"/>
              <w:jc w:val="center"/>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内容、要求</w:t>
            </w:r>
          </w:p>
        </w:tc>
      </w:tr>
      <w:tr w14:paraId="5ED19A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69" w:type="dxa"/>
            <w:tcBorders>
              <w:top w:val="single" w:color="auto" w:sz="4" w:space="0"/>
              <w:left w:val="single" w:color="auto" w:sz="4" w:space="0"/>
              <w:bottom w:val="single" w:color="auto" w:sz="4" w:space="0"/>
              <w:right w:val="single" w:color="auto" w:sz="4" w:space="0"/>
            </w:tcBorders>
            <w:vAlign w:val="center"/>
          </w:tcPr>
          <w:p w14:paraId="4E7D27F6">
            <w:pPr>
              <w:snapToGrid w:val="0"/>
              <w:spacing w:line="360" w:lineRule="auto"/>
              <w:jc w:val="center"/>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1</w:t>
            </w:r>
          </w:p>
        </w:tc>
        <w:tc>
          <w:tcPr>
            <w:tcW w:w="8371" w:type="dxa"/>
            <w:tcBorders>
              <w:top w:val="single" w:color="auto" w:sz="4" w:space="0"/>
              <w:left w:val="single" w:color="auto" w:sz="4" w:space="0"/>
              <w:bottom w:val="single" w:color="auto" w:sz="4" w:space="0"/>
              <w:right w:val="single" w:color="auto" w:sz="4" w:space="0"/>
            </w:tcBorders>
            <w:vAlign w:val="center"/>
          </w:tcPr>
          <w:p w14:paraId="48F48106">
            <w:pPr>
              <w:pStyle w:val="341"/>
              <w:widowControl w:val="0"/>
              <w:spacing w:line="360" w:lineRule="auto"/>
              <w:ind w:firstLine="0" w:firstLineChars="0"/>
              <w:jc w:val="both"/>
              <w:rPr>
                <w:rFonts w:hint="eastAsia" w:asciiTheme="minorEastAsia" w:hAnsiTheme="minorEastAsia" w:eastAsiaTheme="minorEastAsia"/>
                <w:b/>
                <w:color w:val="auto"/>
                <w:kern w:val="2"/>
                <w:szCs w:val="21"/>
                <w:highlight w:val="none"/>
                <w:lang w:eastAsia="zh-CN"/>
              </w:rPr>
            </w:pPr>
            <w:r>
              <w:rPr>
                <w:rFonts w:hint="eastAsia" w:asciiTheme="minorEastAsia" w:hAnsiTheme="minorEastAsia" w:eastAsiaTheme="minorEastAsia"/>
                <w:color w:val="auto"/>
                <w:szCs w:val="21"/>
                <w:highlight w:val="none"/>
              </w:rPr>
              <w:t>项目名称：</w:t>
            </w:r>
            <w:r>
              <w:rPr>
                <w:rFonts w:hint="eastAsia" w:asciiTheme="minorEastAsia" w:hAnsiTheme="minorEastAsia" w:eastAsiaTheme="minorEastAsia"/>
                <w:color w:val="auto"/>
                <w:kern w:val="2"/>
                <w:szCs w:val="21"/>
                <w:highlight w:val="none"/>
                <w:lang w:eastAsia="zh-CN"/>
              </w:rPr>
              <w:t>新城派出所院内翻新改造</w:t>
            </w:r>
          </w:p>
        </w:tc>
      </w:tr>
      <w:tr w14:paraId="37B85E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869" w:type="dxa"/>
            <w:tcBorders>
              <w:top w:val="single" w:color="auto" w:sz="4" w:space="0"/>
              <w:left w:val="single" w:color="auto" w:sz="4" w:space="0"/>
              <w:bottom w:val="single" w:color="auto" w:sz="4" w:space="0"/>
              <w:right w:val="single" w:color="auto" w:sz="4" w:space="0"/>
            </w:tcBorders>
            <w:vAlign w:val="center"/>
          </w:tcPr>
          <w:p w14:paraId="7C3794D3">
            <w:pPr>
              <w:snapToGrid w:val="0"/>
              <w:spacing w:line="360" w:lineRule="auto"/>
              <w:jc w:val="center"/>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2</w:t>
            </w:r>
          </w:p>
        </w:tc>
        <w:tc>
          <w:tcPr>
            <w:tcW w:w="8371" w:type="dxa"/>
            <w:tcBorders>
              <w:top w:val="single" w:color="auto" w:sz="4" w:space="0"/>
              <w:left w:val="single" w:color="auto" w:sz="4" w:space="0"/>
              <w:bottom w:val="single" w:color="auto" w:sz="4" w:space="0"/>
              <w:right w:val="single" w:color="auto" w:sz="4" w:space="0"/>
            </w:tcBorders>
            <w:vAlign w:val="center"/>
          </w:tcPr>
          <w:p w14:paraId="2A980B99">
            <w:pPr>
              <w:spacing w:line="360" w:lineRule="auto"/>
              <w:jc w:val="both"/>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采购内容：详见第二章磋商需求。</w:t>
            </w:r>
          </w:p>
        </w:tc>
      </w:tr>
      <w:tr w14:paraId="02ED6F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vAlign w:val="center"/>
          </w:tcPr>
          <w:p w14:paraId="518938C1">
            <w:pPr>
              <w:snapToGrid w:val="0"/>
              <w:spacing w:line="360" w:lineRule="auto"/>
              <w:jc w:val="center"/>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3</w:t>
            </w:r>
          </w:p>
        </w:tc>
        <w:tc>
          <w:tcPr>
            <w:tcW w:w="8371" w:type="dxa"/>
            <w:tcBorders>
              <w:top w:val="single" w:color="auto" w:sz="4" w:space="0"/>
              <w:left w:val="single" w:color="auto" w:sz="4" w:space="0"/>
              <w:bottom w:val="single" w:color="auto" w:sz="4" w:space="0"/>
              <w:right w:val="single" w:color="auto" w:sz="4" w:space="0"/>
            </w:tcBorders>
            <w:vAlign w:val="center"/>
          </w:tcPr>
          <w:p w14:paraId="229819C4">
            <w:pPr>
              <w:snapToGrid w:val="0"/>
              <w:spacing w:line="360" w:lineRule="auto"/>
              <w:jc w:val="both"/>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磋商报价及费用：</w:t>
            </w:r>
          </w:p>
          <w:p w14:paraId="15E68232">
            <w:pPr>
              <w:snapToGrid w:val="0"/>
              <w:spacing w:line="360" w:lineRule="auto"/>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1</w:t>
            </w:r>
            <w:r>
              <w:rPr>
                <w:rFonts w:hint="eastAsia" w:asciiTheme="minorEastAsia" w:hAnsiTheme="minorEastAsia" w:eastAsiaTheme="minorEastAsia"/>
                <w:color w:val="auto"/>
                <w:kern w:val="2"/>
                <w:szCs w:val="21"/>
                <w:highlight w:val="none"/>
              </w:rPr>
              <w:t>、本项目投标应以人民币报价；</w:t>
            </w:r>
          </w:p>
          <w:p w14:paraId="56B0FE28">
            <w:pPr>
              <w:snapToGrid w:val="0"/>
              <w:spacing w:line="360" w:lineRule="auto"/>
              <w:jc w:val="both"/>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2</w:t>
            </w:r>
            <w:r>
              <w:rPr>
                <w:rFonts w:hint="eastAsia" w:asciiTheme="minorEastAsia" w:hAnsiTheme="minorEastAsia" w:eastAsiaTheme="minorEastAsia"/>
                <w:color w:val="auto"/>
                <w:kern w:val="2"/>
                <w:szCs w:val="21"/>
                <w:highlight w:val="none"/>
              </w:rPr>
              <w:t>、不论投标结果如何，投标人均应自行承担所有与投标有关的全部费用。</w:t>
            </w:r>
          </w:p>
          <w:p w14:paraId="48FE3DFF">
            <w:pPr>
              <w:snapToGrid w:val="0"/>
              <w:spacing w:line="360" w:lineRule="auto"/>
              <w:jc w:val="both"/>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3</w:t>
            </w:r>
            <w:r>
              <w:rPr>
                <w:rFonts w:hint="eastAsia" w:asciiTheme="minorEastAsia" w:hAnsiTheme="minorEastAsia" w:eastAsiaTheme="minorEastAsia"/>
                <w:color w:val="auto"/>
                <w:kern w:val="2"/>
                <w:szCs w:val="21"/>
                <w:highlight w:val="none"/>
              </w:rPr>
              <w:t>、响应文件只允许有一个报价，有选择的或有条件的报价将不予接受。</w:t>
            </w:r>
          </w:p>
        </w:tc>
      </w:tr>
      <w:tr w14:paraId="72F682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trPr>
        <w:tc>
          <w:tcPr>
            <w:tcW w:w="869" w:type="dxa"/>
            <w:tcBorders>
              <w:top w:val="single" w:color="auto" w:sz="4" w:space="0"/>
              <w:left w:val="single" w:color="auto" w:sz="4" w:space="0"/>
              <w:bottom w:val="single" w:color="auto" w:sz="4" w:space="0"/>
              <w:right w:val="single" w:color="auto" w:sz="4" w:space="0"/>
            </w:tcBorders>
            <w:vAlign w:val="center"/>
          </w:tcPr>
          <w:p w14:paraId="2E962DD1">
            <w:pPr>
              <w:snapToGrid w:val="0"/>
              <w:spacing w:line="360" w:lineRule="auto"/>
              <w:jc w:val="center"/>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4</w:t>
            </w:r>
          </w:p>
        </w:tc>
        <w:tc>
          <w:tcPr>
            <w:tcW w:w="8371" w:type="dxa"/>
            <w:tcBorders>
              <w:top w:val="single" w:color="auto" w:sz="4" w:space="0"/>
              <w:left w:val="single" w:color="auto" w:sz="4" w:space="0"/>
              <w:bottom w:val="single" w:color="auto" w:sz="4" w:space="0"/>
              <w:right w:val="single" w:color="auto" w:sz="4" w:space="0"/>
            </w:tcBorders>
            <w:vAlign w:val="center"/>
          </w:tcPr>
          <w:p w14:paraId="2F3787E7">
            <w:pPr>
              <w:snapToGrid w:val="0"/>
              <w:spacing w:line="360" w:lineRule="auto"/>
              <w:jc w:val="both"/>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投标保证金：无</w:t>
            </w:r>
          </w:p>
        </w:tc>
      </w:tr>
      <w:tr w14:paraId="714AB0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869" w:type="dxa"/>
            <w:tcBorders>
              <w:top w:val="single" w:color="auto" w:sz="4" w:space="0"/>
              <w:left w:val="single" w:color="auto" w:sz="4" w:space="0"/>
              <w:bottom w:val="single" w:color="auto" w:sz="4" w:space="0"/>
              <w:right w:val="single" w:color="auto" w:sz="4" w:space="0"/>
            </w:tcBorders>
            <w:vAlign w:val="center"/>
          </w:tcPr>
          <w:p w14:paraId="32B62BC6">
            <w:pPr>
              <w:snapToGrid w:val="0"/>
              <w:spacing w:line="360" w:lineRule="auto"/>
              <w:jc w:val="center"/>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5</w:t>
            </w:r>
          </w:p>
        </w:tc>
        <w:tc>
          <w:tcPr>
            <w:tcW w:w="8371" w:type="dxa"/>
            <w:tcBorders>
              <w:top w:val="single" w:color="auto" w:sz="4" w:space="0"/>
              <w:left w:val="single" w:color="auto" w:sz="4" w:space="0"/>
              <w:bottom w:val="single" w:color="auto" w:sz="4" w:space="0"/>
              <w:right w:val="single" w:color="auto" w:sz="4" w:space="0"/>
            </w:tcBorders>
            <w:vAlign w:val="center"/>
          </w:tcPr>
          <w:p w14:paraId="77353710">
            <w:pPr>
              <w:snapToGrid w:val="0"/>
              <w:spacing w:line="360" w:lineRule="auto"/>
              <w:jc w:val="both"/>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 xml:space="preserve">供应商获取磋商文件后可与采购人联系，沟通相关事宜。 </w:t>
            </w:r>
          </w:p>
        </w:tc>
      </w:tr>
      <w:tr w14:paraId="7DF1E9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869" w:type="dxa"/>
            <w:tcBorders>
              <w:top w:val="single" w:color="auto" w:sz="4" w:space="0"/>
              <w:left w:val="single" w:color="auto" w:sz="4" w:space="0"/>
              <w:bottom w:val="single" w:color="auto" w:sz="4" w:space="0"/>
              <w:right w:val="single" w:color="auto" w:sz="4" w:space="0"/>
            </w:tcBorders>
            <w:vAlign w:val="center"/>
          </w:tcPr>
          <w:p w14:paraId="6DB48F34">
            <w:pPr>
              <w:snapToGrid w:val="0"/>
              <w:spacing w:line="360" w:lineRule="auto"/>
              <w:jc w:val="center"/>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6</w:t>
            </w:r>
          </w:p>
        </w:tc>
        <w:tc>
          <w:tcPr>
            <w:tcW w:w="8371" w:type="dxa"/>
            <w:tcBorders>
              <w:top w:val="single" w:color="auto" w:sz="4" w:space="0"/>
              <w:left w:val="single" w:color="auto" w:sz="4" w:space="0"/>
              <w:bottom w:val="single" w:color="auto" w:sz="4" w:space="0"/>
              <w:right w:val="single" w:color="auto" w:sz="4" w:space="0"/>
            </w:tcBorders>
            <w:vAlign w:val="center"/>
          </w:tcPr>
          <w:p w14:paraId="69B9BA2C">
            <w:pPr>
              <w:snapToGrid w:val="0"/>
              <w:spacing w:line="360" w:lineRule="auto"/>
              <w:jc w:val="both"/>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现场踏勘：无。</w:t>
            </w:r>
          </w:p>
        </w:tc>
      </w:tr>
      <w:tr w14:paraId="3EF8D5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vAlign w:val="center"/>
          </w:tcPr>
          <w:p w14:paraId="71343E1C">
            <w:pPr>
              <w:snapToGrid w:val="0"/>
              <w:spacing w:line="360" w:lineRule="auto"/>
              <w:jc w:val="center"/>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7</w:t>
            </w:r>
          </w:p>
        </w:tc>
        <w:tc>
          <w:tcPr>
            <w:tcW w:w="8371" w:type="dxa"/>
            <w:tcBorders>
              <w:top w:val="single" w:color="auto" w:sz="4" w:space="0"/>
              <w:left w:val="single" w:color="auto" w:sz="4" w:space="0"/>
              <w:bottom w:val="single" w:color="auto" w:sz="4" w:space="0"/>
              <w:right w:val="single" w:color="auto" w:sz="4" w:space="0"/>
            </w:tcBorders>
            <w:vAlign w:val="center"/>
          </w:tcPr>
          <w:p w14:paraId="7FAC0735">
            <w:pPr>
              <w:autoSpaceDE w:val="0"/>
              <w:autoSpaceDN w:val="0"/>
              <w:snapToGrid w:val="0"/>
              <w:spacing w:line="360" w:lineRule="auto"/>
              <w:jc w:val="both"/>
              <w:textAlignment w:val="bottom"/>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响应文件组成：由资信技术文件及投标报价文件两部份组成。</w:t>
            </w:r>
          </w:p>
        </w:tc>
      </w:tr>
      <w:tr w14:paraId="24A5BE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869" w:type="dxa"/>
            <w:tcBorders>
              <w:top w:val="single" w:color="auto" w:sz="4" w:space="0"/>
              <w:left w:val="single" w:color="auto" w:sz="4" w:space="0"/>
              <w:bottom w:val="single" w:color="auto" w:sz="4" w:space="0"/>
              <w:right w:val="single" w:color="auto" w:sz="4" w:space="0"/>
            </w:tcBorders>
            <w:vAlign w:val="center"/>
          </w:tcPr>
          <w:p w14:paraId="33094B12">
            <w:pPr>
              <w:snapToGrid w:val="0"/>
              <w:spacing w:line="360" w:lineRule="auto"/>
              <w:jc w:val="center"/>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8</w:t>
            </w:r>
          </w:p>
        </w:tc>
        <w:tc>
          <w:tcPr>
            <w:tcW w:w="8371" w:type="dxa"/>
            <w:tcBorders>
              <w:top w:val="single" w:color="auto" w:sz="4" w:space="0"/>
              <w:left w:val="single" w:color="auto" w:sz="4" w:space="0"/>
              <w:bottom w:val="single" w:color="auto" w:sz="4" w:space="0"/>
              <w:right w:val="single" w:color="auto" w:sz="4" w:space="0"/>
            </w:tcBorders>
            <w:vAlign w:val="center"/>
          </w:tcPr>
          <w:p w14:paraId="778C882A">
            <w:pPr>
              <w:snapToGrid w:val="0"/>
              <w:spacing w:line="360" w:lineRule="auto"/>
              <w:jc w:val="both"/>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提交首次响应文件截止时间：</w:t>
            </w:r>
            <w:r>
              <w:rPr>
                <w:rFonts w:hint="eastAsia" w:asciiTheme="minorEastAsia" w:hAnsiTheme="minorEastAsia" w:eastAsiaTheme="minorEastAsia"/>
                <w:b/>
                <w:color w:val="auto"/>
                <w:szCs w:val="21"/>
                <w:highlight w:val="none"/>
                <w:shd w:val="clear" w:color="auto" w:fill="FFFFFF"/>
                <w:lang w:eastAsia="zh-CN"/>
              </w:rPr>
              <w:t>2025年7月4日</w:t>
            </w:r>
            <w:r>
              <w:rPr>
                <w:rFonts w:hint="eastAsia" w:asciiTheme="minorEastAsia" w:hAnsiTheme="minorEastAsia" w:eastAsiaTheme="minorEastAsia"/>
                <w:b/>
                <w:color w:val="auto"/>
                <w:szCs w:val="21"/>
                <w:highlight w:val="none"/>
                <w:shd w:val="clear" w:color="auto" w:fill="FFFFFF"/>
                <w:lang w:val="en-US" w:eastAsia="zh-CN"/>
              </w:rPr>
              <w:t>9</w:t>
            </w:r>
            <w:r>
              <w:rPr>
                <w:rFonts w:hint="eastAsia" w:asciiTheme="minorEastAsia" w:hAnsiTheme="minorEastAsia" w:eastAsiaTheme="minorEastAsia"/>
                <w:b/>
                <w:color w:val="auto"/>
                <w:szCs w:val="21"/>
                <w:highlight w:val="none"/>
                <w:shd w:val="clear" w:color="auto" w:fill="FFFFFF"/>
                <w:lang w:eastAsia="zh-CN"/>
              </w:rPr>
              <w:t>时00分</w:t>
            </w:r>
            <w:r>
              <w:rPr>
                <w:rFonts w:hint="eastAsia" w:asciiTheme="minorEastAsia" w:hAnsiTheme="minorEastAsia" w:eastAsiaTheme="minorEastAsia"/>
                <w:b/>
                <w:color w:val="auto"/>
                <w:kern w:val="2"/>
                <w:szCs w:val="21"/>
                <w:highlight w:val="none"/>
              </w:rPr>
              <w:t xml:space="preserve">整。 </w:t>
            </w:r>
          </w:p>
        </w:tc>
      </w:tr>
      <w:tr w14:paraId="11E6F7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77" w:hRule="atLeast"/>
        </w:trPr>
        <w:tc>
          <w:tcPr>
            <w:tcW w:w="869" w:type="dxa"/>
            <w:tcBorders>
              <w:top w:val="single" w:color="auto" w:sz="4" w:space="0"/>
              <w:left w:val="single" w:color="auto" w:sz="4" w:space="0"/>
              <w:bottom w:val="single" w:color="auto" w:sz="4" w:space="0"/>
              <w:right w:val="single" w:color="auto" w:sz="4" w:space="0"/>
            </w:tcBorders>
            <w:vAlign w:val="center"/>
          </w:tcPr>
          <w:p w14:paraId="5EC11110">
            <w:pPr>
              <w:snapToGrid w:val="0"/>
              <w:spacing w:line="360" w:lineRule="auto"/>
              <w:jc w:val="center"/>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9</w:t>
            </w:r>
          </w:p>
        </w:tc>
        <w:tc>
          <w:tcPr>
            <w:tcW w:w="8371" w:type="dxa"/>
            <w:tcBorders>
              <w:top w:val="single" w:color="auto" w:sz="4" w:space="0"/>
              <w:left w:val="single" w:color="auto" w:sz="4" w:space="0"/>
              <w:bottom w:val="single" w:color="auto" w:sz="4" w:space="0"/>
              <w:right w:val="single" w:color="auto" w:sz="4" w:space="0"/>
            </w:tcBorders>
            <w:vAlign w:val="center"/>
          </w:tcPr>
          <w:p w14:paraId="79F27671">
            <w:pPr>
              <w:spacing w:line="360" w:lineRule="auto"/>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磋商时间及地点：</w:t>
            </w:r>
            <w:r>
              <w:rPr>
                <w:rFonts w:hint="eastAsia" w:asciiTheme="minorEastAsia" w:hAnsiTheme="minorEastAsia" w:eastAsiaTheme="minorEastAsia"/>
                <w:b/>
                <w:color w:val="auto"/>
                <w:szCs w:val="21"/>
                <w:highlight w:val="none"/>
                <w:shd w:val="clear" w:color="auto" w:fill="FFFFFF"/>
                <w:lang w:eastAsia="zh-CN"/>
              </w:rPr>
              <w:t>2025年7月4日</w:t>
            </w:r>
            <w:r>
              <w:rPr>
                <w:rFonts w:hint="eastAsia" w:asciiTheme="minorEastAsia" w:hAnsiTheme="minorEastAsia" w:eastAsiaTheme="minorEastAsia"/>
                <w:b/>
                <w:color w:val="auto"/>
                <w:szCs w:val="21"/>
                <w:highlight w:val="none"/>
                <w:shd w:val="clear" w:color="auto" w:fill="FFFFFF"/>
                <w:lang w:val="en-US" w:eastAsia="zh-CN"/>
              </w:rPr>
              <w:t>9</w:t>
            </w:r>
            <w:r>
              <w:rPr>
                <w:rFonts w:hint="eastAsia" w:asciiTheme="minorEastAsia" w:hAnsiTheme="minorEastAsia" w:eastAsiaTheme="minorEastAsia"/>
                <w:b/>
                <w:color w:val="auto"/>
                <w:szCs w:val="21"/>
                <w:highlight w:val="none"/>
                <w:shd w:val="clear" w:color="auto" w:fill="FFFFFF"/>
                <w:lang w:eastAsia="zh-CN"/>
              </w:rPr>
              <w:t>时00分</w:t>
            </w:r>
            <w:r>
              <w:rPr>
                <w:rFonts w:hint="eastAsia" w:asciiTheme="minorEastAsia" w:hAnsiTheme="minorEastAsia" w:eastAsiaTheme="minorEastAsia"/>
                <w:b/>
                <w:color w:val="auto"/>
                <w:kern w:val="2"/>
                <w:szCs w:val="21"/>
                <w:highlight w:val="none"/>
              </w:rPr>
              <w:t>整</w:t>
            </w:r>
            <w:r>
              <w:rPr>
                <w:rFonts w:hint="eastAsia" w:cs="Arial" w:asciiTheme="minorEastAsia" w:hAnsiTheme="minorEastAsia" w:eastAsiaTheme="minorEastAsia"/>
                <w:color w:val="auto"/>
                <w:szCs w:val="21"/>
                <w:highlight w:val="none"/>
              </w:rPr>
              <w:t>在</w:t>
            </w:r>
            <w:r>
              <w:rPr>
                <w:rFonts w:hint="eastAsia" w:asciiTheme="minorEastAsia" w:hAnsiTheme="minorEastAsia" w:eastAsiaTheme="minorEastAsia"/>
                <w:color w:val="auto"/>
                <w:szCs w:val="21"/>
                <w:highlight w:val="none"/>
              </w:rPr>
              <w:t>嘉兴市银建工程咨询评估有限公司洪兴路2399号宝地大厦15楼1506室</w:t>
            </w:r>
            <w:r>
              <w:rPr>
                <w:rFonts w:hint="eastAsia" w:cs="Arial" w:asciiTheme="minorEastAsia" w:hAnsiTheme="minorEastAsia" w:eastAsiaTheme="minorEastAsia"/>
                <w:color w:val="auto"/>
                <w:szCs w:val="21"/>
                <w:highlight w:val="none"/>
              </w:rPr>
              <w:t>。</w:t>
            </w:r>
            <w:r>
              <w:rPr>
                <w:rFonts w:hint="eastAsia" w:asciiTheme="minorEastAsia" w:hAnsiTheme="minorEastAsia" w:eastAsiaTheme="minorEastAsia"/>
                <w:b/>
                <w:color w:val="auto"/>
                <w:szCs w:val="21"/>
                <w:highlight w:val="none"/>
                <w:u w:val="single"/>
              </w:rPr>
              <w:t>供应商无需到开标现场，但须准时在线参加，直至评审结束</w:t>
            </w:r>
            <w:r>
              <w:rPr>
                <w:rFonts w:hint="eastAsia" w:asciiTheme="minorEastAsia" w:hAnsiTheme="minorEastAsia" w:eastAsiaTheme="minorEastAsia"/>
                <w:b/>
                <w:color w:val="auto"/>
                <w:szCs w:val="21"/>
                <w:highlight w:val="none"/>
              </w:rPr>
              <w:t>。</w:t>
            </w:r>
          </w:p>
        </w:tc>
      </w:tr>
      <w:tr w14:paraId="54980F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69" w:type="dxa"/>
            <w:tcBorders>
              <w:top w:val="single" w:color="auto" w:sz="4" w:space="0"/>
              <w:left w:val="single" w:color="auto" w:sz="4" w:space="0"/>
              <w:bottom w:val="single" w:color="auto" w:sz="4" w:space="0"/>
              <w:right w:val="single" w:color="auto" w:sz="4" w:space="0"/>
            </w:tcBorders>
            <w:vAlign w:val="center"/>
          </w:tcPr>
          <w:p w14:paraId="3B10AE08">
            <w:pPr>
              <w:snapToGrid w:val="0"/>
              <w:spacing w:line="360" w:lineRule="auto"/>
              <w:jc w:val="center"/>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10</w:t>
            </w:r>
          </w:p>
        </w:tc>
        <w:tc>
          <w:tcPr>
            <w:tcW w:w="8371" w:type="dxa"/>
            <w:tcBorders>
              <w:top w:val="single" w:color="auto" w:sz="4" w:space="0"/>
              <w:left w:val="single" w:color="auto" w:sz="4" w:space="0"/>
              <w:bottom w:val="single" w:color="auto" w:sz="4" w:space="0"/>
              <w:right w:val="single" w:color="auto" w:sz="4" w:space="0"/>
            </w:tcBorders>
            <w:vAlign w:val="center"/>
          </w:tcPr>
          <w:p w14:paraId="35E8101A">
            <w:pPr>
              <w:autoSpaceDE w:val="0"/>
              <w:autoSpaceDN w:val="0"/>
              <w:snapToGrid w:val="0"/>
              <w:spacing w:line="360" w:lineRule="auto"/>
              <w:jc w:val="both"/>
              <w:textAlignment w:val="bottom"/>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磋商办法及评分标准：详见磋商文件第四章。</w:t>
            </w:r>
          </w:p>
        </w:tc>
      </w:tr>
      <w:tr w14:paraId="6ABAC4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869" w:type="dxa"/>
            <w:tcBorders>
              <w:top w:val="single" w:color="auto" w:sz="4" w:space="0"/>
              <w:left w:val="single" w:color="auto" w:sz="4" w:space="0"/>
              <w:bottom w:val="single" w:color="auto" w:sz="4" w:space="0"/>
              <w:right w:val="single" w:color="auto" w:sz="4" w:space="0"/>
            </w:tcBorders>
            <w:vAlign w:val="center"/>
          </w:tcPr>
          <w:p w14:paraId="2EEB7C38">
            <w:pPr>
              <w:snapToGrid w:val="0"/>
              <w:spacing w:line="360" w:lineRule="auto"/>
              <w:jc w:val="center"/>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11</w:t>
            </w:r>
          </w:p>
        </w:tc>
        <w:tc>
          <w:tcPr>
            <w:tcW w:w="8371" w:type="dxa"/>
            <w:tcBorders>
              <w:top w:val="single" w:color="auto" w:sz="4" w:space="0"/>
              <w:left w:val="single" w:color="auto" w:sz="4" w:space="0"/>
              <w:bottom w:val="single" w:color="auto" w:sz="4" w:space="0"/>
              <w:right w:val="single" w:color="auto" w:sz="4" w:space="0"/>
            </w:tcBorders>
            <w:vAlign w:val="center"/>
          </w:tcPr>
          <w:p w14:paraId="07B75B78">
            <w:pPr>
              <w:snapToGrid w:val="0"/>
              <w:spacing w:line="360" w:lineRule="auto"/>
              <w:jc w:val="both"/>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评标结果公告：评标结束后</w:t>
            </w:r>
            <w:r>
              <w:rPr>
                <w:rFonts w:asciiTheme="minorEastAsia" w:hAnsiTheme="minorEastAsia" w:eastAsiaTheme="minorEastAsia"/>
                <w:color w:val="auto"/>
                <w:kern w:val="2"/>
                <w:szCs w:val="21"/>
                <w:highlight w:val="none"/>
              </w:rPr>
              <w:t>2</w:t>
            </w:r>
            <w:r>
              <w:rPr>
                <w:rFonts w:hint="eastAsia" w:asciiTheme="minorEastAsia" w:hAnsiTheme="minorEastAsia" w:eastAsiaTheme="minorEastAsia"/>
                <w:color w:val="auto"/>
                <w:kern w:val="2"/>
                <w:szCs w:val="21"/>
                <w:highlight w:val="none"/>
              </w:rPr>
              <w:t>个工作日内，评标结果公告于浙江政府采购网(http://www.zjzfcg.gov.cn/new/)。本项目公告期限为</w:t>
            </w:r>
            <w:r>
              <w:rPr>
                <w:rFonts w:asciiTheme="minorEastAsia" w:hAnsiTheme="minorEastAsia" w:eastAsiaTheme="minorEastAsia"/>
                <w:color w:val="auto"/>
                <w:kern w:val="2"/>
                <w:szCs w:val="21"/>
                <w:highlight w:val="none"/>
              </w:rPr>
              <w:t>1</w:t>
            </w:r>
            <w:r>
              <w:rPr>
                <w:rFonts w:hint="eastAsia" w:asciiTheme="minorEastAsia" w:hAnsiTheme="minorEastAsia" w:eastAsiaTheme="minorEastAsia"/>
                <w:color w:val="auto"/>
                <w:kern w:val="2"/>
                <w:szCs w:val="21"/>
                <w:highlight w:val="none"/>
              </w:rPr>
              <w:t>个工作日，各参加政府采购活动的供应商认为该成交结果和采购过程等使自己的权益受到损害的，可以自本公告期限届满之日（本公告发布之日后第</w:t>
            </w:r>
            <w:r>
              <w:rPr>
                <w:rFonts w:asciiTheme="minorEastAsia" w:hAnsiTheme="minorEastAsia" w:eastAsiaTheme="minorEastAsia"/>
                <w:color w:val="auto"/>
                <w:kern w:val="2"/>
                <w:szCs w:val="21"/>
                <w:highlight w:val="none"/>
              </w:rPr>
              <w:t>2</w:t>
            </w:r>
            <w:r>
              <w:rPr>
                <w:rFonts w:hint="eastAsia" w:asciiTheme="minorEastAsia" w:hAnsiTheme="minorEastAsia" w:eastAsiaTheme="minorEastAsia"/>
                <w:color w:val="auto"/>
                <w:kern w:val="2"/>
                <w:szCs w:val="21"/>
                <w:highlight w:val="none"/>
              </w:rPr>
              <w:t>个工作日）起</w:t>
            </w:r>
            <w:r>
              <w:rPr>
                <w:rFonts w:asciiTheme="minorEastAsia" w:hAnsiTheme="minorEastAsia" w:eastAsiaTheme="minorEastAsia"/>
                <w:color w:val="auto"/>
                <w:kern w:val="2"/>
                <w:szCs w:val="21"/>
                <w:highlight w:val="none"/>
              </w:rPr>
              <w:t>7</w:t>
            </w:r>
            <w:r>
              <w:rPr>
                <w:rFonts w:hint="eastAsia" w:asciiTheme="minorEastAsia" w:hAnsiTheme="minorEastAsia" w:eastAsiaTheme="minorEastAsia"/>
                <w:color w:val="auto"/>
                <w:kern w:val="2"/>
                <w:szCs w:val="21"/>
                <w:highlight w:val="none"/>
              </w:rPr>
              <w:t>个工作日内，以书面形式向采购人或受其委托的代理机构提出质疑。质疑供应商对采购人、代理机构的答复不满意或者采购人、代理机构未在规定的时间内作出答复的，可以在答复期满后十五个工作日内向同级政府采购监督管理部门投诉。质疑函范本、投诉书范本请到浙江政府采购网下载专区下载。</w:t>
            </w:r>
          </w:p>
        </w:tc>
      </w:tr>
      <w:tr w14:paraId="2B2117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869" w:type="dxa"/>
            <w:tcBorders>
              <w:top w:val="single" w:color="auto" w:sz="4" w:space="0"/>
              <w:left w:val="single" w:color="auto" w:sz="4" w:space="0"/>
              <w:bottom w:val="single" w:color="auto" w:sz="4" w:space="0"/>
              <w:right w:val="single" w:color="auto" w:sz="4" w:space="0"/>
            </w:tcBorders>
            <w:vAlign w:val="center"/>
          </w:tcPr>
          <w:p w14:paraId="4A480082">
            <w:pPr>
              <w:snapToGrid w:val="0"/>
              <w:spacing w:line="360" w:lineRule="auto"/>
              <w:jc w:val="center"/>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12</w:t>
            </w:r>
          </w:p>
        </w:tc>
        <w:tc>
          <w:tcPr>
            <w:tcW w:w="8371" w:type="dxa"/>
            <w:tcBorders>
              <w:top w:val="single" w:color="auto" w:sz="4" w:space="0"/>
              <w:left w:val="single" w:color="auto" w:sz="4" w:space="0"/>
              <w:bottom w:val="single" w:color="auto" w:sz="4" w:space="0"/>
              <w:right w:val="single" w:color="auto" w:sz="4" w:space="0"/>
            </w:tcBorders>
            <w:vAlign w:val="center"/>
          </w:tcPr>
          <w:p w14:paraId="38238578">
            <w:pPr>
              <w:autoSpaceDE w:val="0"/>
              <w:autoSpaceDN w:val="0"/>
              <w:snapToGrid w:val="0"/>
              <w:spacing w:line="360" w:lineRule="auto"/>
              <w:jc w:val="both"/>
              <w:textAlignment w:val="bottom"/>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成交公告及成交通知书：成交公告发布于浙江政府采购网(http://www.zjzfcg.gov.cn/new/)，成交公告期限为</w:t>
            </w:r>
            <w:r>
              <w:rPr>
                <w:rFonts w:asciiTheme="minorEastAsia" w:hAnsiTheme="minorEastAsia" w:eastAsiaTheme="minorEastAsia"/>
                <w:color w:val="auto"/>
                <w:kern w:val="2"/>
                <w:szCs w:val="21"/>
                <w:highlight w:val="none"/>
              </w:rPr>
              <w:t>1</w:t>
            </w:r>
            <w:r>
              <w:rPr>
                <w:rFonts w:hint="eastAsia" w:asciiTheme="minorEastAsia" w:hAnsiTheme="minorEastAsia" w:eastAsiaTheme="minorEastAsia"/>
                <w:color w:val="auto"/>
                <w:kern w:val="2"/>
                <w:szCs w:val="21"/>
                <w:highlight w:val="none"/>
              </w:rPr>
              <w:t>个工作日。在公告成交结果的同时，代理机构向成交人发出成交通知书。</w:t>
            </w:r>
          </w:p>
        </w:tc>
      </w:tr>
      <w:tr w14:paraId="0242D0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69" w:type="dxa"/>
            <w:tcBorders>
              <w:top w:val="single" w:color="auto" w:sz="4" w:space="0"/>
              <w:left w:val="single" w:color="auto" w:sz="4" w:space="0"/>
              <w:bottom w:val="single" w:color="auto" w:sz="4" w:space="0"/>
              <w:right w:val="single" w:color="auto" w:sz="4" w:space="0"/>
            </w:tcBorders>
            <w:vAlign w:val="center"/>
          </w:tcPr>
          <w:p w14:paraId="00887AE4">
            <w:pPr>
              <w:snapToGrid w:val="0"/>
              <w:spacing w:line="360" w:lineRule="auto"/>
              <w:jc w:val="center"/>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13</w:t>
            </w:r>
          </w:p>
        </w:tc>
        <w:tc>
          <w:tcPr>
            <w:tcW w:w="8371" w:type="dxa"/>
            <w:tcBorders>
              <w:top w:val="single" w:color="auto" w:sz="4" w:space="0"/>
              <w:left w:val="single" w:color="auto" w:sz="4" w:space="0"/>
              <w:bottom w:val="single" w:color="auto" w:sz="4" w:space="0"/>
              <w:right w:val="single" w:color="auto" w:sz="4" w:space="0"/>
            </w:tcBorders>
            <w:vAlign w:val="center"/>
          </w:tcPr>
          <w:p w14:paraId="4D26D2D4">
            <w:pPr>
              <w:pStyle w:val="29"/>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签订合同时间：中标通知书发出后30日内。</w:t>
            </w:r>
          </w:p>
        </w:tc>
      </w:tr>
      <w:tr w14:paraId="43C46F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69" w:type="dxa"/>
            <w:tcBorders>
              <w:top w:val="single" w:color="auto" w:sz="4" w:space="0"/>
              <w:left w:val="single" w:color="auto" w:sz="4" w:space="0"/>
              <w:bottom w:val="single" w:color="auto" w:sz="4" w:space="0"/>
              <w:right w:val="single" w:color="auto" w:sz="4" w:space="0"/>
            </w:tcBorders>
            <w:vAlign w:val="center"/>
          </w:tcPr>
          <w:p w14:paraId="3927C7AF">
            <w:pPr>
              <w:snapToGrid w:val="0"/>
              <w:spacing w:line="360" w:lineRule="auto"/>
              <w:jc w:val="center"/>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14</w:t>
            </w:r>
          </w:p>
        </w:tc>
        <w:tc>
          <w:tcPr>
            <w:tcW w:w="8371" w:type="dxa"/>
            <w:tcBorders>
              <w:top w:val="single" w:color="auto" w:sz="4" w:space="0"/>
              <w:left w:val="single" w:color="auto" w:sz="4" w:space="0"/>
              <w:bottom w:val="single" w:color="auto" w:sz="4" w:space="0"/>
              <w:right w:val="single" w:color="auto" w:sz="4" w:space="0"/>
            </w:tcBorders>
            <w:vAlign w:val="center"/>
          </w:tcPr>
          <w:p w14:paraId="4A13FA89">
            <w:pPr>
              <w:autoSpaceDE w:val="0"/>
              <w:autoSpaceDN w:val="0"/>
              <w:snapToGrid w:val="0"/>
              <w:spacing w:line="360" w:lineRule="auto"/>
              <w:jc w:val="both"/>
              <w:textAlignment w:val="bottom"/>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本项目上限价：</w:t>
            </w:r>
            <w:r>
              <w:rPr>
                <w:rFonts w:hint="eastAsia" w:asciiTheme="minorEastAsia" w:hAnsiTheme="minorEastAsia" w:eastAsiaTheme="minorEastAsia"/>
                <w:color w:val="auto"/>
                <w:kern w:val="2"/>
                <w:szCs w:val="21"/>
                <w:highlight w:val="none"/>
                <w:lang w:val="en-US" w:eastAsia="zh-CN"/>
              </w:rPr>
              <w:t>148.8939</w:t>
            </w:r>
            <w:r>
              <w:rPr>
                <w:rFonts w:hint="eastAsia" w:asciiTheme="minorEastAsia" w:hAnsiTheme="minorEastAsia" w:eastAsiaTheme="minorEastAsia"/>
                <w:color w:val="auto"/>
                <w:kern w:val="2"/>
                <w:szCs w:val="21"/>
                <w:highlight w:val="none"/>
              </w:rPr>
              <w:t>万元；超上限价的响应文件无效。</w:t>
            </w:r>
          </w:p>
        </w:tc>
      </w:tr>
      <w:tr w14:paraId="6A75F1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869" w:type="dxa"/>
            <w:tcBorders>
              <w:top w:val="single" w:color="auto" w:sz="4" w:space="0"/>
              <w:left w:val="single" w:color="auto" w:sz="4" w:space="0"/>
              <w:bottom w:val="single" w:color="auto" w:sz="4" w:space="0"/>
              <w:right w:val="single" w:color="auto" w:sz="4" w:space="0"/>
            </w:tcBorders>
            <w:vAlign w:val="center"/>
          </w:tcPr>
          <w:p w14:paraId="3973AC50">
            <w:pPr>
              <w:snapToGrid w:val="0"/>
              <w:spacing w:line="360" w:lineRule="auto"/>
              <w:jc w:val="center"/>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1</w:t>
            </w:r>
            <w:r>
              <w:rPr>
                <w:rFonts w:hint="eastAsia" w:asciiTheme="minorEastAsia" w:hAnsiTheme="minorEastAsia" w:eastAsiaTheme="minorEastAsia"/>
                <w:color w:val="auto"/>
                <w:kern w:val="2"/>
                <w:szCs w:val="21"/>
                <w:highlight w:val="none"/>
              </w:rPr>
              <w:t>5</w:t>
            </w:r>
          </w:p>
        </w:tc>
        <w:tc>
          <w:tcPr>
            <w:tcW w:w="8371" w:type="dxa"/>
            <w:tcBorders>
              <w:top w:val="single" w:color="auto" w:sz="4" w:space="0"/>
              <w:left w:val="single" w:color="auto" w:sz="4" w:space="0"/>
              <w:bottom w:val="single" w:color="auto" w:sz="4" w:space="0"/>
              <w:right w:val="single" w:color="auto" w:sz="4" w:space="0"/>
            </w:tcBorders>
            <w:vAlign w:val="center"/>
          </w:tcPr>
          <w:p w14:paraId="10989516">
            <w:pPr>
              <w:autoSpaceDE w:val="0"/>
              <w:autoSpaceDN w:val="0"/>
              <w:snapToGrid w:val="0"/>
              <w:spacing w:line="360" w:lineRule="auto"/>
              <w:jc w:val="both"/>
              <w:textAlignment w:val="bottom"/>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付款方式：详见第二章磋商需求。</w:t>
            </w:r>
          </w:p>
        </w:tc>
      </w:tr>
      <w:tr w14:paraId="32111C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869" w:type="dxa"/>
            <w:tcBorders>
              <w:top w:val="single" w:color="auto" w:sz="4" w:space="0"/>
              <w:left w:val="single" w:color="auto" w:sz="4" w:space="0"/>
              <w:bottom w:val="single" w:color="auto" w:sz="4" w:space="0"/>
              <w:right w:val="single" w:color="auto" w:sz="4" w:space="0"/>
            </w:tcBorders>
            <w:vAlign w:val="center"/>
          </w:tcPr>
          <w:p w14:paraId="56D0D718">
            <w:pPr>
              <w:snapToGrid w:val="0"/>
              <w:spacing w:line="360" w:lineRule="auto"/>
              <w:jc w:val="center"/>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1</w:t>
            </w:r>
            <w:r>
              <w:rPr>
                <w:rFonts w:hint="eastAsia" w:asciiTheme="minorEastAsia" w:hAnsiTheme="minorEastAsia" w:eastAsiaTheme="minorEastAsia"/>
                <w:color w:val="auto"/>
                <w:kern w:val="2"/>
                <w:szCs w:val="21"/>
                <w:highlight w:val="none"/>
              </w:rPr>
              <w:t>6</w:t>
            </w:r>
          </w:p>
        </w:tc>
        <w:tc>
          <w:tcPr>
            <w:tcW w:w="8371" w:type="dxa"/>
            <w:tcBorders>
              <w:top w:val="single" w:color="auto" w:sz="4" w:space="0"/>
              <w:left w:val="single" w:color="auto" w:sz="4" w:space="0"/>
              <w:bottom w:val="single" w:color="auto" w:sz="4" w:space="0"/>
              <w:right w:val="single" w:color="auto" w:sz="4" w:space="0"/>
            </w:tcBorders>
            <w:vAlign w:val="center"/>
          </w:tcPr>
          <w:p w14:paraId="5E5AA90B">
            <w:pPr>
              <w:spacing w:line="360" w:lineRule="auto"/>
              <w:jc w:val="both"/>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响应文件有效期：</w:t>
            </w:r>
            <w:r>
              <w:rPr>
                <w:rFonts w:asciiTheme="minorEastAsia" w:hAnsiTheme="minorEastAsia" w:eastAsiaTheme="minorEastAsia"/>
                <w:color w:val="auto"/>
                <w:kern w:val="2"/>
                <w:szCs w:val="21"/>
                <w:highlight w:val="none"/>
              </w:rPr>
              <w:t>90</w:t>
            </w:r>
            <w:r>
              <w:rPr>
                <w:rFonts w:hint="eastAsia" w:asciiTheme="minorEastAsia" w:hAnsiTheme="minorEastAsia" w:eastAsiaTheme="minorEastAsia"/>
                <w:color w:val="auto"/>
                <w:kern w:val="2"/>
                <w:szCs w:val="21"/>
                <w:highlight w:val="none"/>
              </w:rPr>
              <w:t>天</w:t>
            </w:r>
          </w:p>
        </w:tc>
      </w:tr>
      <w:tr w14:paraId="1B5228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869" w:type="dxa"/>
            <w:tcBorders>
              <w:top w:val="single" w:color="auto" w:sz="4" w:space="0"/>
              <w:left w:val="single" w:color="auto" w:sz="4" w:space="0"/>
              <w:bottom w:val="single" w:color="auto" w:sz="4" w:space="0"/>
              <w:right w:val="single" w:color="auto" w:sz="4" w:space="0"/>
            </w:tcBorders>
            <w:vAlign w:val="center"/>
          </w:tcPr>
          <w:p w14:paraId="36B6C6F9">
            <w:pPr>
              <w:snapToGrid w:val="0"/>
              <w:spacing w:line="360" w:lineRule="auto"/>
              <w:jc w:val="center"/>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1</w:t>
            </w:r>
            <w:r>
              <w:rPr>
                <w:rFonts w:hint="eastAsia" w:asciiTheme="minorEastAsia" w:hAnsiTheme="minorEastAsia" w:eastAsiaTheme="minorEastAsia"/>
                <w:color w:val="auto"/>
                <w:kern w:val="2"/>
                <w:szCs w:val="21"/>
                <w:highlight w:val="none"/>
              </w:rPr>
              <w:t>7</w:t>
            </w:r>
          </w:p>
        </w:tc>
        <w:tc>
          <w:tcPr>
            <w:tcW w:w="8371" w:type="dxa"/>
            <w:tcBorders>
              <w:top w:val="single" w:color="auto" w:sz="4" w:space="0"/>
              <w:left w:val="single" w:color="auto" w:sz="4" w:space="0"/>
              <w:bottom w:val="single" w:color="auto" w:sz="4" w:space="0"/>
              <w:right w:val="single" w:color="auto" w:sz="4" w:space="0"/>
            </w:tcBorders>
            <w:vAlign w:val="center"/>
          </w:tcPr>
          <w:p w14:paraId="4C4FAF4C">
            <w:pPr>
              <w:spacing w:line="360" w:lineRule="auto"/>
              <w:jc w:val="both"/>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获取磋商文件（报名）</w:t>
            </w:r>
            <w:r>
              <w:rPr>
                <w:rFonts w:asciiTheme="minorEastAsia" w:hAnsiTheme="minorEastAsia" w:eastAsiaTheme="minorEastAsia"/>
                <w:color w:val="auto"/>
                <w:kern w:val="2"/>
                <w:szCs w:val="21"/>
                <w:highlight w:val="none"/>
              </w:rPr>
              <w:t>：</w:t>
            </w:r>
          </w:p>
          <w:p w14:paraId="5677FF57">
            <w:pPr>
              <w:snapToGrid w:val="0"/>
              <w:spacing w:line="360" w:lineRule="auto"/>
              <w:jc w:val="both"/>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获取方式：磋商公告发布后，在政采云平台已完成注册的供应商登陆系统，申请获取磋商文件，待审核通过后，可下载磋商文件。如果“已申请”标签页显示状态为“审核通过”即为报名成功。路径：用户中心——项目采购——获取磋商文件管理。在“已获取”的状态下，供应商可下载查看磋商文件。</w:t>
            </w:r>
          </w:p>
          <w:p w14:paraId="474C983C">
            <w:pPr>
              <w:snapToGrid w:val="0"/>
              <w:spacing w:line="360" w:lineRule="auto"/>
              <w:jc w:val="both"/>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获取网址：浙江政府采购网</w:t>
            </w:r>
            <w:r>
              <w:rPr>
                <w:color w:val="auto"/>
                <w:highlight w:val="none"/>
              </w:rPr>
              <w:fldChar w:fldCharType="begin"/>
            </w:r>
            <w:r>
              <w:rPr>
                <w:color w:val="auto"/>
                <w:highlight w:val="none"/>
              </w:rPr>
              <w:instrText xml:space="preserve"> HYPERLINK "https://login.zcygov.cn/login" </w:instrText>
            </w:r>
            <w:r>
              <w:rPr>
                <w:color w:val="auto"/>
                <w:highlight w:val="none"/>
              </w:rPr>
              <w:fldChar w:fldCharType="separate"/>
            </w:r>
            <w:r>
              <w:rPr>
                <w:rStyle w:val="65"/>
                <w:rFonts w:hint="eastAsia" w:asciiTheme="minorEastAsia" w:hAnsiTheme="minorEastAsia" w:eastAsiaTheme="minorEastAsia"/>
                <w:color w:val="auto"/>
                <w:kern w:val="2"/>
                <w:szCs w:val="21"/>
                <w:highlight w:val="none"/>
              </w:rPr>
              <w:t>https://login.zcygov.cn/login</w:t>
            </w:r>
            <w:r>
              <w:rPr>
                <w:rStyle w:val="65"/>
                <w:rFonts w:hint="eastAsia" w:asciiTheme="minorEastAsia" w:hAnsiTheme="minorEastAsia" w:eastAsiaTheme="minorEastAsia"/>
                <w:color w:val="auto"/>
                <w:kern w:val="2"/>
                <w:szCs w:val="21"/>
                <w:highlight w:val="none"/>
              </w:rPr>
              <w:fldChar w:fldCharType="end"/>
            </w:r>
          </w:p>
        </w:tc>
      </w:tr>
      <w:tr w14:paraId="6677DA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869" w:type="dxa"/>
            <w:tcBorders>
              <w:top w:val="single" w:color="auto" w:sz="4" w:space="0"/>
              <w:left w:val="single" w:color="auto" w:sz="4" w:space="0"/>
              <w:bottom w:val="single" w:color="auto" w:sz="4" w:space="0"/>
              <w:right w:val="single" w:color="auto" w:sz="4" w:space="0"/>
            </w:tcBorders>
            <w:vAlign w:val="center"/>
          </w:tcPr>
          <w:p w14:paraId="7B03468B">
            <w:pPr>
              <w:snapToGrid w:val="0"/>
              <w:spacing w:line="360" w:lineRule="auto"/>
              <w:jc w:val="center"/>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1</w:t>
            </w:r>
            <w:r>
              <w:rPr>
                <w:rFonts w:hint="eastAsia" w:asciiTheme="minorEastAsia" w:hAnsiTheme="minorEastAsia" w:eastAsiaTheme="minorEastAsia"/>
                <w:color w:val="auto"/>
                <w:kern w:val="2"/>
                <w:szCs w:val="21"/>
                <w:highlight w:val="none"/>
              </w:rPr>
              <w:t>8</w:t>
            </w:r>
          </w:p>
        </w:tc>
        <w:tc>
          <w:tcPr>
            <w:tcW w:w="8371" w:type="dxa"/>
            <w:tcBorders>
              <w:top w:val="single" w:color="auto" w:sz="4" w:space="0"/>
              <w:left w:val="single" w:color="auto" w:sz="4" w:space="0"/>
              <w:bottom w:val="single" w:color="auto" w:sz="4" w:space="0"/>
              <w:right w:val="single" w:color="auto" w:sz="4" w:space="0"/>
            </w:tcBorders>
            <w:vAlign w:val="center"/>
          </w:tcPr>
          <w:p w14:paraId="426B96DD">
            <w:pPr>
              <w:autoSpaceDE w:val="0"/>
              <w:autoSpaceDN w:val="0"/>
              <w:snapToGrid w:val="0"/>
              <w:spacing w:line="360" w:lineRule="auto"/>
              <w:jc w:val="both"/>
              <w:textAlignment w:val="bottom"/>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信用记录：符合浙财采监</w:t>
            </w:r>
            <w:r>
              <w:rPr>
                <w:rFonts w:asciiTheme="minorEastAsia" w:hAnsiTheme="minorEastAsia" w:eastAsiaTheme="minorEastAsia"/>
                <w:color w:val="auto"/>
                <w:kern w:val="2"/>
                <w:szCs w:val="21"/>
                <w:highlight w:val="none"/>
              </w:rPr>
              <w:t>【2013】24</w:t>
            </w:r>
            <w:r>
              <w:rPr>
                <w:rFonts w:hint="eastAsia" w:asciiTheme="minorEastAsia" w:hAnsiTheme="minorEastAsia" w:eastAsiaTheme="minorEastAsia"/>
                <w:color w:val="auto"/>
                <w:kern w:val="2"/>
                <w:szCs w:val="21"/>
                <w:highlight w:val="none"/>
              </w:rPr>
              <w:t>号《关于规范政府采购供应商资格设定及资格审查的通知》规定,且未被“信用中国”（www.creditchina.gov.cn）和中国政府采购网（www.ccgp.gov.cn）列入失信被执行人、重大税收违法案件当事人名单、政府采购严重违法失信行为记录名单。提交响应文件时同时提供自招标公告发布之日起至投标截止日内任意时间的“信用中国”网站（www.creditchina.gov.cn）和中国政府采购网（www.ccgp.gov.cn）供应商信用查询网页截图。</w:t>
            </w:r>
          </w:p>
        </w:tc>
      </w:tr>
      <w:tr w14:paraId="388DDC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869" w:type="dxa"/>
            <w:tcBorders>
              <w:top w:val="single" w:color="auto" w:sz="4" w:space="0"/>
              <w:left w:val="single" w:color="auto" w:sz="4" w:space="0"/>
              <w:bottom w:val="single" w:color="auto" w:sz="4" w:space="0"/>
              <w:right w:val="single" w:color="auto" w:sz="4" w:space="0"/>
            </w:tcBorders>
            <w:vAlign w:val="center"/>
          </w:tcPr>
          <w:p w14:paraId="3A2B94D3">
            <w:pPr>
              <w:snapToGrid w:val="0"/>
              <w:spacing w:line="360" w:lineRule="auto"/>
              <w:jc w:val="center"/>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1</w:t>
            </w:r>
            <w:r>
              <w:rPr>
                <w:rFonts w:hint="eastAsia" w:asciiTheme="minorEastAsia" w:hAnsiTheme="minorEastAsia" w:eastAsiaTheme="minorEastAsia"/>
                <w:color w:val="auto"/>
                <w:kern w:val="2"/>
                <w:szCs w:val="21"/>
                <w:highlight w:val="none"/>
              </w:rPr>
              <w:t>9</w:t>
            </w:r>
          </w:p>
        </w:tc>
        <w:tc>
          <w:tcPr>
            <w:tcW w:w="8371" w:type="dxa"/>
            <w:tcBorders>
              <w:top w:val="single" w:color="auto" w:sz="4" w:space="0"/>
              <w:left w:val="single" w:color="auto" w:sz="4" w:space="0"/>
              <w:bottom w:val="single" w:color="auto" w:sz="4" w:space="0"/>
              <w:right w:val="single" w:color="auto" w:sz="4" w:space="0"/>
            </w:tcBorders>
            <w:vAlign w:val="center"/>
          </w:tcPr>
          <w:p w14:paraId="33BA04BB">
            <w:pPr>
              <w:tabs>
                <w:tab w:val="left" w:pos="3870"/>
                <w:tab w:val="left" w:pos="4085"/>
              </w:tabs>
              <w:snapToGrid w:val="0"/>
              <w:spacing w:before="50" w:after="120" w:afterLines="50" w:line="360" w:lineRule="auto"/>
              <w:rPr>
                <w:rFonts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1.根</w:t>
            </w:r>
            <w:r>
              <w:rPr>
                <w:rFonts w:hint="eastAsia" w:asciiTheme="minorEastAsia" w:hAnsiTheme="minorEastAsia" w:eastAsiaTheme="minorEastAsia"/>
                <w:bCs/>
                <w:color w:val="auto"/>
                <w:szCs w:val="21"/>
                <w:highlight w:val="none"/>
              </w:rPr>
              <w:t>据〔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31AC80AF">
            <w:pPr>
              <w:autoSpaceDE w:val="0"/>
              <w:autoSpaceDN w:val="0"/>
              <w:snapToGrid w:val="0"/>
              <w:spacing w:line="360" w:lineRule="auto"/>
              <w:jc w:val="both"/>
              <w:textAlignment w:val="bottom"/>
              <w:rPr>
                <w:rFonts w:asciiTheme="minorEastAsia" w:hAnsiTheme="minorEastAsia" w:eastAsiaTheme="minorEastAsia"/>
                <w:color w:val="auto"/>
                <w:kern w:val="2"/>
                <w:szCs w:val="21"/>
                <w:highlight w:val="none"/>
              </w:rPr>
            </w:pPr>
            <w:r>
              <w:rPr>
                <w:rFonts w:hint="eastAsia" w:asciiTheme="minorEastAsia" w:hAnsiTheme="minorEastAsia" w:eastAsiaTheme="minorEastAsia"/>
                <w:bCs/>
                <w:color w:val="auto"/>
                <w:szCs w:val="21"/>
                <w:highlight w:val="none"/>
              </w:rPr>
              <w:t>2.</w:t>
            </w:r>
            <w:r>
              <w:rPr>
                <w:rFonts w:hint="eastAsia" w:asciiTheme="minorEastAsia" w:hAnsiTheme="minorEastAsia" w:eastAsiaTheme="minorEastAsia"/>
                <w:color w:val="auto"/>
                <w:szCs w:val="21"/>
                <w:highlight w:val="none"/>
              </w:rPr>
              <w:t>监狱企业同视为小型、微型企业，享受小微企业政策扶持。</w:t>
            </w:r>
          </w:p>
        </w:tc>
      </w:tr>
      <w:tr w14:paraId="2F80E1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869" w:type="dxa"/>
            <w:tcBorders>
              <w:top w:val="single" w:color="auto" w:sz="4" w:space="0"/>
              <w:left w:val="single" w:color="auto" w:sz="4" w:space="0"/>
              <w:bottom w:val="single" w:color="auto" w:sz="4" w:space="0"/>
              <w:right w:val="single" w:color="auto" w:sz="4" w:space="0"/>
            </w:tcBorders>
            <w:vAlign w:val="center"/>
          </w:tcPr>
          <w:p w14:paraId="1C7BA416">
            <w:pPr>
              <w:snapToGrid w:val="0"/>
              <w:spacing w:line="360" w:lineRule="auto"/>
              <w:jc w:val="center"/>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20</w:t>
            </w:r>
          </w:p>
        </w:tc>
        <w:tc>
          <w:tcPr>
            <w:tcW w:w="8371" w:type="dxa"/>
            <w:tcBorders>
              <w:top w:val="single" w:color="auto" w:sz="4" w:space="0"/>
              <w:left w:val="single" w:color="auto" w:sz="4" w:space="0"/>
              <w:bottom w:val="single" w:color="auto" w:sz="4" w:space="0"/>
              <w:right w:val="single" w:color="auto" w:sz="4" w:space="0"/>
            </w:tcBorders>
            <w:vAlign w:val="center"/>
          </w:tcPr>
          <w:p w14:paraId="5AD56A32">
            <w:pPr>
              <w:autoSpaceDE w:val="0"/>
              <w:autoSpaceDN w:val="0"/>
              <w:snapToGrid w:val="0"/>
              <w:spacing w:line="360" w:lineRule="auto"/>
              <w:jc w:val="both"/>
              <w:textAlignment w:val="bottom"/>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 xml:space="preserve">标的： </w:t>
            </w:r>
            <w:r>
              <w:rPr>
                <w:rFonts w:hint="eastAsia" w:asciiTheme="minorEastAsia" w:hAnsiTheme="minorEastAsia" w:eastAsiaTheme="minorEastAsia"/>
                <w:color w:val="auto"/>
                <w:kern w:val="2"/>
                <w:szCs w:val="21"/>
                <w:highlight w:val="none"/>
                <w:u w:val="single"/>
                <w:lang w:eastAsia="zh-CN"/>
              </w:rPr>
              <w:t>新城派出所院内翻新改造</w:t>
            </w:r>
            <w:r>
              <w:rPr>
                <w:rFonts w:hint="eastAsia" w:asciiTheme="minorEastAsia" w:hAnsiTheme="minorEastAsia" w:eastAsiaTheme="minorEastAsia"/>
                <w:color w:val="auto"/>
                <w:kern w:val="2"/>
                <w:szCs w:val="21"/>
                <w:highlight w:val="none"/>
              </w:rPr>
              <w:t xml:space="preserve"> ，属于</w:t>
            </w:r>
            <w:r>
              <w:rPr>
                <w:rFonts w:hint="eastAsia" w:asciiTheme="minorEastAsia" w:hAnsiTheme="minorEastAsia" w:eastAsiaTheme="minorEastAsia"/>
                <w:color w:val="auto"/>
                <w:kern w:val="2"/>
                <w:szCs w:val="21"/>
                <w:highlight w:val="none"/>
                <w:u w:val="single"/>
              </w:rPr>
              <w:t>（三）建筑业</w:t>
            </w:r>
            <w:r>
              <w:rPr>
                <w:rFonts w:hint="eastAsia" w:asciiTheme="minorEastAsia" w:hAnsiTheme="minorEastAsia" w:eastAsiaTheme="minorEastAsia"/>
                <w:color w:val="auto"/>
                <w:kern w:val="2"/>
                <w:szCs w:val="21"/>
                <w:highlight w:val="none"/>
              </w:rPr>
              <w:t>。</w:t>
            </w:r>
          </w:p>
        </w:tc>
      </w:tr>
      <w:tr w14:paraId="549D7E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869" w:type="dxa"/>
            <w:tcBorders>
              <w:top w:val="single" w:color="auto" w:sz="4" w:space="0"/>
              <w:left w:val="single" w:color="auto" w:sz="4" w:space="0"/>
              <w:bottom w:val="single" w:color="auto" w:sz="4" w:space="0"/>
              <w:right w:val="single" w:color="auto" w:sz="4" w:space="0"/>
            </w:tcBorders>
            <w:vAlign w:val="center"/>
          </w:tcPr>
          <w:p w14:paraId="1038D9BF">
            <w:pPr>
              <w:snapToGrid w:val="0"/>
              <w:spacing w:line="360" w:lineRule="auto"/>
              <w:jc w:val="center"/>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21</w:t>
            </w:r>
          </w:p>
        </w:tc>
        <w:tc>
          <w:tcPr>
            <w:tcW w:w="8371" w:type="dxa"/>
            <w:tcBorders>
              <w:top w:val="single" w:color="auto" w:sz="4" w:space="0"/>
              <w:left w:val="single" w:color="auto" w:sz="4" w:space="0"/>
              <w:bottom w:val="single" w:color="auto" w:sz="4" w:space="0"/>
              <w:right w:val="single" w:color="auto" w:sz="4" w:space="0"/>
            </w:tcBorders>
            <w:vAlign w:val="center"/>
          </w:tcPr>
          <w:p w14:paraId="5419DB18">
            <w:pPr>
              <w:autoSpaceDE w:val="0"/>
              <w:autoSpaceDN w:val="0"/>
              <w:snapToGrid w:val="0"/>
              <w:spacing w:line="360" w:lineRule="auto"/>
              <w:jc w:val="both"/>
              <w:textAlignment w:val="bottom"/>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解释：本磋商文件的解释权属于采购单位。</w:t>
            </w:r>
          </w:p>
        </w:tc>
      </w:tr>
      <w:tr w14:paraId="44DBC0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 w:hRule="atLeast"/>
        </w:trPr>
        <w:tc>
          <w:tcPr>
            <w:tcW w:w="869" w:type="dxa"/>
            <w:tcBorders>
              <w:top w:val="single" w:color="auto" w:sz="4" w:space="0"/>
              <w:left w:val="single" w:color="auto" w:sz="4" w:space="0"/>
              <w:bottom w:val="single" w:color="auto" w:sz="4" w:space="0"/>
              <w:right w:val="single" w:color="auto" w:sz="4" w:space="0"/>
            </w:tcBorders>
            <w:vAlign w:val="center"/>
          </w:tcPr>
          <w:p w14:paraId="01D5ABEC">
            <w:pPr>
              <w:snapToGrid w:val="0"/>
              <w:spacing w:line="360" w:lineRule="auto"/>
              <w:jc w:val="center"/>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22</w:t>
            </w:r>
          </w:p>
        </w:tc>
        <w:tc>
          <w:tcPr>
            <w:tcW w:w="8371" w:type="dxa"/>
            <w:tcBorders>
              <w:top w:val="single" w:color="auto" w:sz="4" w:space="0"/>
              <w:left w:val="single" w:color="auto" w:sz="4" w:space="0"/>
              <w:bottom w:val="single" w:color="auto" w:sz="4" w:space="0"/>
              <w:right w:val="single" w:color="auto" w:sz="4" w:space="0"/>
            </w:tcBorders>
            <w:vAlign w:val="center"/>
          </w:tcPr>
          <w:p w14:paraId="65A084CB">
            <w:pPr>
              <w:autoSpaceDE w:val="0"/>
              <w:autoSpaceDN w:val="0"/>
              <w:snapToGrid w:val="0"/>
              <w:spacing w:line="360" w:lineRule="auto"/>
              <w:jc w:val="both"/>
              <w:textAlignment w:val="bottom"/>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注：根据省财政厅相关规定采用竞争性磋商采购方式采购的政府购买服务项目，在采购过程中符合要求的供应商需要</w:t>
            </w:r>
            <w:r>
              <w:rPr>
                <w:rFonts w:asciiTheme="minorEastAsia" w:hAnsiTheme="minorEastAsia" w:eastAsiaTheme="minorEastAsia"/>
                <w:color w:val="auto"/>
                <w:kern w:val="2"/>
                <w:szCs w:val="21"/>
                <w:highlight w:val="none"/>
              </w:rPr>
              <w:t>3家或3家以上参加磋商，提交最后报价的供应商可以为2</w:t>
            </w:r>
            <w:r>
              <w:rPr>
                <w:rFonts w:hint="eastAsia" w:asciiTheme="minorEastAsia" w:hAnsiTheme="minorEastAsia" w:eastAsiaTheme="minorEastAsia"/>
                <w:color w:val="auto"/>
                <w:kern w:val="2"/>
                <w:szCs w:val="21"/>
                <w:highlight w:val="none"/>
              </w:rPr>
              <w:t>家。</w:t>
            </w:r>
          </w:p>
        </w:tc>
      </w:tr>
      <w:bookmarkEnd w:id="17"/>
    </w:tbl>
    <w:p w14:paraId="2B6F365B">
      <w:pPr>
        <w:pStyle w:val="3"/>
        <w:spacing w:line="360" w:lineRule="auto"/>
        <w:jc w:val="center"/>
        <w:rPr>
          <w:rFonts w:asciiTheme="minorEastAsia" w:hAnsiTheme="minorEastAsia" w:eastAsiaTheme="minorEastAsia"/>
          <w:color w:val="auto"/>
          <w:szCs w:val="21"/>
          <w:highlight w:val="none"/>
        </w:rPr>
      </w:pPr>
      <w:r>
        <w:rPr>
          <w:rFonts w:asciiTheme="minorEastAsia" w:hAnsiTheme="minorEastAsia" w:eastAsiaTheme="minorEastAsia"/>
          <w:color w:val="auto"/>
          <w:highlight w:val="none"/>
        </w:rPr>
        <w:br w:type="page"/>
      </w:r>
      <w:r>
        <w:rPr>
          <w:rFonts w:asciiTheme="minorEastAsia" w:hAnsiTheme="minorEastAsia" w:eastAsiaTheme="minorEastAsia"/>
          <w:color w:val="auto"/>
          <w:szCs w:val="21"/>
          <w:highlight w:val="none"/>
        </w:rPr>
        <w:t>一</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总则</w:t>
      </w:r>
    </w:p>
    <w:p w14:paraId="2A4FB69C">
      <w:pPr>
        <w:snapToGrid w:val="0"/>
        <w:spacing w:line="360" w:lineRule="auto"/>
        <w:rPr>
          <w:rFonts w:asciiTheme="minorEastAsia" w:hAnsiTheme="minorEastAsia" w:eastAsiaTheme="minorEastAsia"/>
          <w:b/>
          <w:color w:val="auto"/>
          <w:kern w:val="2"/>
          <w:szCs w:val="21"/>
          <w:highlight w:val="none"/>
        </w:rPr>
      </w:pPr>
      <w:bookmarkStart w:id="18" w:name="_Toc397670917"/>
      <w:bookmarkStart w:id="19" w:name="_Toc397670946"/>
      <w:r>
        <w:rPr>
          <w:rFonts w:hint="eastAsia" w:asciiTheme="minorEastAsia" w:hAnsiTheme="minorEastAsia" w:eastAsiaTheme="minorEastAsia"/>
          <w:b/>
          <w:color w:val="auto"/>
          <w:kern w:val="2"/>
          <w:szCs w:val="21"/>
          <w:highlight w:val="none"/>
        </w:rPr>
        <w:t>（一）</w:t>
      </w:r>
      <w:r>
        <w:rPr>
          <w:rFonts w:asciiTheme="minorEastAsia" w:hAnsiTheme="minorEastAsia" w:eastAsiaTheme="minorEastAsia"/>
          <w:b/>
          <w:color w:val="auto"/>
          <w:kern w:val="2"/>
          <w:szCs w:val="21"/>
          <w:highlight w:val="none"/>
        </w:rPr>
        <w:t>适用范围</w:t>
      </w:r>
      <w:bookmarkEnd w:id="18"/>
      <w:bookmarkEnd w:id="19"/>
    </w:p>
    <w:p w14:paraId="487D323B">
      <w:pPr>
        <w:snapToGrid w:val="0"/>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本磋商文件仅适用于本项目的磋商、响应、评标、定标、验收、合同履约等行为。</w:t>
      </w:r>
    </w:p>
    <w:p w14:paraId="1A9E075C">
      <w:pPr>
        <w:snapToGrid w:val="0"/>
        <w:spacing w:line="360" w:lineRule="auto"/>
        <w:rPr>
          <w:rFonts w:asciiTheme="minorEastAsia" w:hAnsiTheme="minorEastAsia" w:eastAsiaTheme="minorEastAsia"/>
          <w:b/>
          <w:color w:val="auto"/>
          <w:kern w:val="2"/>
          <w:szCs w:val="21"/>
          <w:highlight w:val="none"/>
        </w:rPr>
      </w:pPr>
      <w:bookmarkStart w:id="20" w:name="_Toc397670948"/>
      <w:bookmarkStart w:id="21" w:name="_Toc397670919"/>
      <w:r>
        <w:rPr>
          <w:rFonts w:hint="eastAsia" w:asciiTheme="minorEastAsia" w:hAnsiTheme="minorEastAsia" w:eastAsiaTheme="minorEastAsia"/>
          <w:b/>
          <w:color w:val="auto"/>
          <w:kern w:val="2"/>
          <w:szCs w:val="21"/>
          <w:highlight w:val="none"/>
        </w:rPr>
        <w:t>（二）定义</w:t>
      </w:r>
    </w:p>
    <w:p w14:paraId="469BDBEF">
      <w:pPr>
        <w:snapToGrid w:val="0"/>
        <w:spacing w:line="360" w:lineRule="auto"/>
        <w:ind w:firstLine="420" w:firstLineChars="200"/>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1</w:t>
      </w:r>
      <w:r>
        <w:rPr>
          <w:rFonts w:hint="eastAsia" w:asciiTheme="minorEastAsia" w:hAnsiTheme="minorEastAsia" w:eastAsiaTheme="minorEastAsia"/>
          <w:color w:val="auto"/>
          <w:kern w:val="2"/>
          <w:szCs w:val="21"/>
          <w:highlight w:val="none"/>
        </w:rPr>
        <w:t>.“采购人”</w:t>
      </w:r>
      <w:r>
        <w:rPr>
          <w:rFonts w:asciiTheme="minorEastAsia" w:hAnsiTheme="minorEastAsia" w:eastAsiaTheme="minorEastAsia"/>
          <w:color w:val="auto"/>
          <w:kern w:val="2"/>
          <w:szCs w:val="21"/>
          <w:highlight w:val="none"/>
        </w:rPr>
        <w:t>系指组织本次磋商的</w:t>
      </w:r>
      <w:r>
        <w:rPr>
          <w:rFonts w:hint="eastAsia" w:asciiTheme="minorEastAsia" w:hAnsiTheme="minorEastAsia" w:eastAsiaTheme="minorEastAsia"/>
          <w:color w:val="auto"/>
          <w:kern w:val="2"/>
          <w:szCs w:val="21"/>
          <w:highlight w:val="none"/>
        </w:rPr>
        <w:t>（招标单位）</w:t>
      </w:r>
      <w:r>
        <w:rPr>
          <w:rFonts w:asciiTheme="minorEastAsia" w:hAnsiTheme="minorEastAsia" w:eastAsiaTheme="minorEastAsia"/>
          <w:color w:val="auto"/>
          <w:kern w:val="2"/>
          <w:szCs w:val="21"/>
          <w:highlight w:val="none"/>
        </w:rPr>
        <w:t>。</w:t>
      </w:r>
    </w:p>
    <w:p w14:paraId="26FFE5DE">
      <w:pPr>
        <w:snapToGrid w:val="0"/>
        <w:spacing w:line="360" w:lineRule="auto"/>
        <w:ind w:firstLine="420" w:firstLineChars="200"/>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2</w:t>
      </w:r>
      <w:r>
        <w:rPr>
          <w:rFonts w:hint="eastAsia" w:asciiTheme="minorEastAsia" w:hAnsiTheme="minorEastAsia" w:eastAsiaTheme="minorEastAsia"/>
          <w:color w:val="auto"/>
          <w:kern w:val="2"/>
          <w:szCs w:val="21"/>
          <w:highlight w:val="none"/>
        </w:rPr>
        <w:t>.“供应商</w:t>
      </w:r>
      <w:r>
        <w:rPr>
          <w:rFonts w:asciiTheme="minorEastAsia" w:hAnsiTheme="minorEastAsia" w:eastAsiaTheme="minorEastAsia"/>
          <w:color w:val="auto"/>
          <w:kern w:val="2"/>
          <w:szCs w:val="21"/>
          <w:highlight w:val="none"/>
        </w:rPr>
        <w:t>”</w:t>
      </w:r>
      <w:r>
        <w:rPr>
          <w:rFonts w:hint="eastAsia" w:asciiTheme="minorEastAsia" w:hAnsiTheme="minorEastAsia" w:eastAsiaTheme="minorEastAsia"/>
          <w:color w:val="auto"/>
          <w:kern w:val="2"/>
          <w:szCs w:val="21"/>
          <w:highlight w:val="none"/>
        </w:rPr>
        <w:t>、“投标单位”</w:t>
      </w:r>
      <w:r>
        <w:rPr>
          <w:rFonts w:asciiTheme="minorEastAsia" w:hAnsiTheme="minorEastAsia" w:eastAsiaTheme="minorEastAsia"/>
          <w:color w:val="auto"/>
          <w:kern w:val="2"/>
          <w:szCs w:val="21"/>
          <w:highlight w:val="none"/>
        </w:rPr>
        <w:t>系指向</w:t>
      </w:r>
      <w:r>
        <w:rPr>
          <w:rFonts w:hint="eastAsia" w:asciiTheme="minorEastAsia" w:hAnsiTheme="minorEastAsia" w:eastAsiaTheme="minorEastAsia"/>
          <w:color w:val="auto"/>
          <w:kern w:val="2"/>
          <w:szCs w:val="21"/>
          <w:highlight w:val="none"/>
        </w:rPr>
        <w:t>采购人</w:t>
      </w:r>
      <w:r>
        <w:rPr>
          <w:rFonts w:asciiTheme="minorEastAsia" w:hAnsiTheme="minorEastAsia" w:eastAsiaTheme="minorEastAsia"/>
          <w:color w:val="auto"/>
          <w:kern w:val="2"/>
          <w:szCs w:val="21"/>
          <w:highlight w:val="none"/>
        </w:rPr>
        <w:t>提交</w:t>
      </w:r>
      <w:r>
        <w:rPr>
          <w:rFonts w:hint="eastAsia" w:asciiTheme="minorEastAsia" w:hAnsiTheme="minorEastAsia" w:eastAsiaTheme="minorEastAsia"/>
          <w:color w:val="auto"/>
          <w:kern w:val="2"/>
          <w:szCs w:val="21"/>
          <w:highlight w:val="none"/>
        </w:rPr>
        <w:t>响应文件</w:t>
      </w:r>
      <w:r>
        <w:rPr>
          <w:rFonts w:asciiTheme="minorEastAsia" w:hAnsiTheme="minorEastAsia" w:eastAsiaTheme="minorEastAsia"/>
          <w:color w:val="auto"/>
          <w:kern w:val="2"/>
          <w:szCs w:val="21"/>
          <w:highlight w:val="none"/>
        </w:rPr>
        <w:t>的单位。</w:t>
      </w:r>
    </w:p>
    <w:p w14:paraId="5508C6AA">
      <w:pPr>
        <w:snapToGrid w:val="0"/>
        <w:spacing w:line="360" w:lineRule="auto"/>
        <w:ind w:firstLine="420" w:firstLineChars="200"/>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3</w:t>
      </w:r>
      <w:r>
        <w:rPr>
          <w:rFonts w:hint="eastAsia" w:asciiTheme="minorEastAsia" w:hAnsiTheme="minorEastAsia" w:eastAsiaTheme="minorEastAsia"/>
          <w:color w:val="auto"/>
          <w:kern w:val="2"/>
          <w:szCs w:val="21"/>
          <w:highlight w:val="none"/>
        </w:rPr>
        <w:t>.</w:t>
      </w:r>
      <w:r>
        <w:rPr>
          <w:rFonts w:asciiTheme="minorEastAsia" w:hAnsiTheme="minorEastAsia" w:eastAsiaTheme="minorEastAsia"/>
          <w:color w:val="auto"/>
          <w:kern w:val="2"/>
          <w:szCs w:val="21"/>
          <w:highlight w:val="none"/>
        </w:rPr>
        <w:t>“产品”系指供方按磋商文件规定，须向采购人提供的一切</w:t>
      </w:r>
      <w:r>
        <w:rPr>
          <w:rFonts w:hint="eastAsia" w:asciiTheme="minorEastAsia" w:hAnsiTheme="minorEastAsia" w:eastAsiaTheme="minorEastAsia"/>
          <w:color w:val="auto"/>
          <w:kern w:val="2"/>
          <w:szCs w:val="21"/>
          <w:highlight w:val="none"/>
        </w:rPr>
        <w:t>服务</w:t>
      </w:r>
      <w:r>
        <w:rPr>
          <w:rFonts w:asciiTheme="minorEastAsia" w:hAnsiTheme="minorEastAsia" w:eastAsiaTheme="minorEastAsia"/>
          <w:color w:val="auto"/>
          <w:kern w:val="2"/>
          <w:szCs w:val="21"/>
          <w:highlight w:val="none"/>
        </w:rPr>
        <w:t>、</w:t>
      </w:r>
      <w:r>
        <w:rPr>
          <w:rFonts w:hint="eastAsia" w:asciiTheme="minorEastAsia" w:hAnsiTheme="minorEastAsia" w:eastAsiaTheme="minorEastAsia"/>
          <w:color w:val="auto"/>
          <w:kern w:val="2"/>
          <w:szCs w:val="21"/>
          <w:highlight w:val="none"/>
        </w:rPr>
        <w:t>人员、管理费、验收、</w:t>
      </w:r>
      <w:r>
        <w:rPr>
          <w:rFonts w:asciiTheme="minorEastAsia" w:hAnsiTheme="minorEastAsia" w:eastAsiaTheme="minorEastAsia"/>
          <w:color w:val="auto"/>
          <w:kern w:val="2"/>
          <w:szCs w:val="21"/>
          <w:highlight w:val="none"/>
        </w:rPr>
        <w:t>税金及其它有关技术资料和材料。</w:t>
      </w:r>
    </w:p>
    <w:p w14:paraId="126CAD04">
      <w:pPr>
        <w:snapToGrid w:val="0"/>
        <w:spacing w:line="360" w:lineRule="auto"/>
        <w:ind w:firstLine="420" w:firstLineChars="200"/>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4</w:t>
      </w:r>
      <w:r>
        <w:rPr>
          <w:rFonts w:hint="eastAsia" w:asciiTheme="minorEastAsia" w:hAnsiTheme="minorEastAsia" w:eastAsiaTheme="minorEastAsia"/>
          <w:color w:val="auto"/>
          <w:kern w:val="2"/>
          <w:szCs w:val="21"/>
          <w:highlight w:val="none"/>
        </w:rPr>
        <w:t>.</w:t>
      </w:r>
      <w:r>
        <w:rPr>
          <w:rFonts w:asciiTheme="minorEastAsia" w:hAnsiTheme="minorEastAsia" w:eastAsiaTheme="minorEastAsia"/>
          <w:color w:val="auto"/>
          <w:kern w:val="2"/>
          <w:szCs w:val="21"/>
          <w:highlight w:val="none"/>
        </w:rPr>
        <w:t>“服务”系指</w:t>
      </w:r>
      <w:r>
        <w:rPr>
          <w:rFonts w:hint="eastAsia" w:asciiTheme="minorEastAsia" w:hAnsiTheme="minorEastAsia" w:eastAsiaTheme="minorEastAsia"/>
          <w:color w:val="auto"/>
          <w:kern w:val="2"/>
          <w:szCs w:val="21"/>
          <w:highlight w:val="none"/>
        </w:rPr>
        <w:t>竞争性磋商文件规定供应商须承担的服务以及其他相关的义务。</w:t>
      </w:r>
    </w:p>
    <w:p w14:paraId="3F037519">
      <w:pPr>
        <w:snapToGrid w:val="0"/>
        <w:spacing w:line="360" w:lineRule="auto"/>
        <w:ind w:firstLine="420" w:firstLineChars="200"/>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5</w:t>
      </w:r>
      <w:r>
        <w:rPr>
          <w:rFonts w:hint="eastAsia" w:asciiTheme="minorEastAsia" w:hAnsiTheme="minorEastAsia" w:eastAsiaTheme="minorEastAsia"/>
          <w:color w:val="auto"/>
          <w:kern w:val="2"/>
          <w:szCs w:val="21"/>
          <w:highlight w:val="none"/>
        </w:rPr>
        <w:t>.</w:t>
      </w:r>
      <w:r>
        <w:rPr>
          <w:rFonts w:asciiTheme="minorEastAsia" w:hAnsiTheme="minorEastAsia" w:eastAsiaTheme="minorEastAsia"/>
          <w:color w:val="auto"/>
          <w:kern w:val="2"/>
          <w:szCs w:val="21"/>
          <w:highlight w:val="none"/>
        </w:rPr>
        <w:t>“项目”系指供应商按</w:t>
      </w:r>
      <w:r>
        <w:rPr>
          <w:rFonts w:hint="eastAsia" w:asciiTheme="minorEastAsia" w:hAnsiTheme="minorEastAsia" w:eastAsiaTheme="minorEastAsia"/>
          <w:color w:val="auto"/>
          <w:kern w:val="2"/>
          <w:szCs w:val="21"/>
          <w:highlight w:val="none"/>
        </w:rPr>
        <w:t>磋商文件</w:t>
      </w:r>
      <w:r>
        <w:rPr>
          <w:rFonts w:asciiTheme="minorEastAsia" w:hAnsiTheme="minorEastAsia" w:eastAsiaTheme="minorEastAsia"/>
          <w:color w:val="auto"/>
          <w:kern w:val="2"/>
          <w:szCs w:val="21"/>
          <w:highlight w:val="none"/>
        </w:rPr>
        <w:t>规定向采购人提供的产品和服务。</w:t>
      </w:r>
    </w:p>
    <w:p w14:paraId="738ECC19">
      <w:pPr>
        <w:snapToGrid w:val="0"/>
        <w:spacing w:line="360" w:lineRule="auto"/>
        <w:ind w:firstLine="420" w:firstLineChars="200"/>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6</w:t>
      </w:r>
      <w:r>
        <w:rPr>
          <w:rFonts w:hint="eastAsia" w:asciiTheme="minorEastAsia" w:hAnsiTheme="minorEastAsia" w:eastAsiaTheme="minorEastAsia"/>
          <w:color w:val="auto"/>
          <w:kern w:val="2"/>
          <w:szCs w:val="21"/>
          <w:highlight w:val="none"/>
        </w:rPr>
        <w:t>.</w:t>
      </w:r>
      <w:r>
        <w:rPr>
          <w:rFonts w:asciiTheme="minorEastAsia" w:hAnsiTheme="minorEastAsia" w:eastAsiaTheme="minorEastAsia"/>
          <w:color w:val="auto"/>
          <w:kern w:val="2"/>
          <w:szCs w:val="21"/>
          <w:highlight w:val="none"/>
        </w:rPr>
        <w:t>“书面形式”包括信函、传真、电报等。</w:t>
      </w:r>
    </w:p>
    <w:p w14:paraId="266B3568">
      <w:pPr>
        <w:snapToGrid w:val="0"/>
        <w:spacing w:line="360" w:lineRule="auto"/>
        <w:ind w:firstLine="420" w:firstLineChars="200"/>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7</w:t>
      </w:r>
      <w:r>
        <w:rPr>
          <w:rFonts w:hint="eastAsia" w:asciiTheme="minorEastAsia" w:hAnsiTheme="minorEastAsia" w:eastAsiaTheme="minorEastAsia"/>
          <w:color w:val="auto"/>
          <w:kern w:val="2"/>
          <w:szCs w:val="21"/>
          <w:highlight w:val="none"/>
        </w:rPr>
        <w:t>.</w:t>
      </w:r>
      <w:r>
        <w:rPr>
          <w:rFonts w:asciiTheme="minorEastAsia" w:hAnsiTheme="minorEastAsia" w:eastAsiaTheme="minorEastAsia"/>
          <w:color w:val="auto"/>
          <w:kern w:val="2"/>
          <w:szCs w:val="21"/>
          <w:highlight w:val="none"/>
        </w:rPr>
        <w:t>“▲”系指实质性要求条款</w:t>
      </w:r>
      <w:r>
        <w:rPr>
          <w:rFonts w:hint="eastAsia" w:asciiTheme="minorEastAsia" w:hAnsiTheme="minorEastAsia" w:eastAsiaTheme="minorEastAsia"/>
          <w:color w:val="auto"/>
          <w:kern w:val="2"/>
          <w:szCs w:val="21"/>
          <w:highlight w:val="none"/>
        </w:rPr>
        <w:t>，不满足</w:t>
      </w:r>
      <w:r>
        <w:rPr>
          <w:rFonts w:asciiTheme="minorEastAsia" w:hAnsiTheme="minorEastAsia" w:eastAsiaTheme="minorEastAsia"/>
          <w:color w:val="auto"/>
          <w:kern w:val="2"/>
          <w:szCs w:val="21"/>
          <w:highlight w:val="none"/>
        </w:rPr>
        <w:t>实质性</w:t>
      </w:r>
      <w:r>
        <w:rPr>
          <w:rFonts w:hint="eastAsia" w:asciiTheme="minorEastAsia" w:hAnsiTheme="minorEastAsia" w:eastAsiaTheme="minorEastAsia"/>
          <w:color w:val="auto"/>
          <w:kern w:val="2"/>
          <w:szCs w:val="21"/>
          <w:highlight w:val="none"/>
        </w:rPr>
        <w:t>要求条款的响应文件无效。</w:t>
      </w:r>
    </w:p>
    <w:p w14:paraId="03899004">
      <w:pPr>
        <w:snapToGrid w:val="0"/>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8、“★”系指的条款为核心技术要求。</w:t>
      </w:r>
    </w:p>
    <w:p w14:paraId="622B7E3F">
      <w:pPr>
        <w:snapToGrid w:val="0"/>
        <w:spacing w:line="360" w:lineRule="auto"/>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（三）招标方式</w:t>
      </w:r>
      <w:bookmarkEnd w:id="20"/>
      <w:bookmarkEnd w:id="21"/>
    </w:p>
    <w:p w14:paraId="64D695FF">
      <w:pPr>
        <w:snapToGrid w:val="0"/>
        <w:spacing w:line="360" w:lineRule="auto"/>
        <w:ind w:firstLine="420" w:firstLineChars="200"/>
        <w:rPr>
          <w:rFonts w:asciiTheme="minorEastAsia" w:hAnsiTheme="minorEastAsia" w:eastAsiaTheme="minorEastAsia"/>
          <w:color w:val="auto"/>
          <w:kern w:val="2"/>
          <w:szCs w:val="21"/>
          <w:highlight w:val="none"/>
        </w:rPr>
      </w:pPr>
      <w:bookmarkStart w:id="22" w:name="_Toc397670920"/>
      <w:bookmarkStart w:id="23" w:name="_Toc397670949"/>
      <w:r>
        <w:rPr>
          <w:rFonts w:asciiTheme="minorEastAsia" w:hAnsiTheme="minorEastAsia" w:eastAsiaTheme="minorEastAsia"/>
          <w:color w:val="auto"/>
          <w:kern w:val="2"/>
          <w:szCs w:val="21"/>
          <w:highlight w:val="none"/>
        </w:rPr>
        <w:t>本次招标采用</w:t>
      </w:r>
      <w:r>
        <w:rPr>
          <w:rFonts w:hint="eastAsia" w:asciiTheme="minorEastAsia" w:hAnsiTheme="minorEastAsia" w:eastAsiaTheme="minorEastAsia"/>
          <w:b/>
          <w:color w:val="auto"/>
          <w:kern w:val="2"/>
          <w:szCs w:val="21"/>
          <w:highlight w:val="none"/>
          <w:u w:val="single"/>
        </w:rPr>
        <w:t>竞争性磋商</w:t>
      </w:r>
      <w:r>
        <w:rPr>
          <w:rFonts w:asciiTheme="minorEastAsia" w:hAnsiTheme="minorEastAsia" w:eastAsiaTheme="minorEastAsia"/>
          <w:color w:val="auto"/>
          <w:kern w:val="2"/>
          <w:szCs w:val="21"/>
          <w:highlight w:val="none"/>
        </w:rPr>
        <w:t>方式进行。</w:t>
      </w:r>
    </w:p>
    <w:p w14:paraId="2F9D5711">
      <w:pPr>
        <w:snapToGrid w:val="0"/>
        <w:spacing w:line="360" w:lineRule="auto"/>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（四）投标委托</w:t>
      </w:r>
      <w:bookmarkEnd w:id="22"/>
      <w:bookmarkEnd w:id="23"/>
    </w:p>
    <w:p w14:paraId="4E4B6108">
      <w:pPr>
        <w:pStyle w:val="22"/>
        <w:snapToGrid w:val="0"/>
        <w:spacing w:line="360" w:lineRule="auto"/>
        <w:ind w:left="0" w:leftChars="0"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供应商</w:t>
      </w:r>
      <w:r>
        <w:rPr>
          <w:rFonts w:asciiTheme="minorEastAsia" w:hAnsiTheme="minorEastAsia" w:eastAsiaTheme="minorEastAsia"/>
          <w:color w:val="auto"/>
          <w:kern w:val="2"/>
          <w:szCs w:val="21"/>
          <w:highlight w:val="none"/>
        </w:rPr>
        <w:t>代表不是法定代表人，须有法定代表人出具的授权采购计划。</w:t>
      </w:r>
    </w:p>
    <w:p w14:paraId="4B06016A">
      <w:pPr>
        <w:snapToGrid w:val="0"/>
        <w:spacing w:line="360" w:lineRule="auto"/>
        <w:rPr>
          <w:rFonts w:asciiTheme="minorEastAsia" w:hAnsiTheme="minorEastAsia" w:eastAsiaTheme="minorEastAsia"/>
          <w:b/>
          <w:color w:val="auto"/>
          <w:kern w:val="2"/>
          <w:szCs w:val="21"/>
          <w:highlight w:val="none"/>
        </w:rPr>
      </w:pPr>
      <w:bookmarkStart w:id="24" w:name="_Toc397670950"/>
      <w:bookmarkStart w:id="25" w:name="_Toc397670921"/>
      <w:r>
        <w:rPr>
          <w:rFonts w:hint="eastAsia" w:asciiTheme="minorEastAsia" w:hAnsiTheme="minorEastAsia" w:eastAsiaTheme="minorEastAsia"/>
          <w:b/>
          <w:color w:val="auto"/>
          <w:kern w:val="2"/>
          <w:szCs w:val="21"/>
          <w:highlight w:val="none"/>
        </w:rPr>
        <w:t>（五）投标费用</w:t>
      </w:r>
      <w:bookmarkEnd w:id="24"/>
      <w:bookmarkEnd w:id="25"/>
    </w:p>
    <w:p w14:paraId="33755C8A">
      <w:pPr>
        <w:snapToGrid w:val="0"/>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不论投标结果如何，供应商均应自行承担所有与投标有关的费用（磋商文件有相反规定除外）。</w:t>
      </w:r>
    </w:p>
    <w:p w14:paraId="0617C7CC">
      <w:pPr>
        <w:snapToGrid w:val="0"/>
        <w:spacing w:line="360" w:lineRule="auto"/>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（六）联合体投标</w:t>
      </w:r>
    </w:p>
    <w:p w14:paraId="281A93D5">
      <w:pPr>
        <w:snapToGrid w:val="0"/>
        <w:spacing w:before="120" w:beforeLines="50" w:line="360" w:lineRule="auto"/>
        <w:ind w:firstLine="411" w:firstLineChars="196"/>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本项目不接受联合体投标。</w:t>
      </w:r>
    </w:p>
    <w:p w14:paraId="723899BB">
      <w:pPr>
        <w:snapToGrid w:val="0"/>
        <w:spacing w:line="360" w:lineRule="auto"/>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（八）是否允许采购进口产品</w:t>
      </w:r>
    </w:p>
    <w:p w14:paraId="2E3386C3">
      <w:pPr>
        <w:snapToGrid w:val="0"/>
        <w:spacing w:before="120" w:beforeLines="50" w:line="360" w:lineRule="auto"/>
        <w:ind w:firstLine="411" w:firstLineChars="196"/>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不</w:t>
      </w:r>
      <w:r>
        <w:rPr>
          <w:rFonts w:asciiTheme="minorEastAsia" w:hAnsiTheme="minorEastAsia" w:eastAsiaTheme="minorEastAsia"/>
          <w:color w:val="auto"/>
          <w:kern w:val="2"/>
          <w:szCs w:val="21"/>
          <w:highlight w:val="none"/>
        </w:rPr>
        <w:t>允许</w:t>
      </w:r>
      <w:r>
        <w:rPr>
          <w:rFonts w:hint="eastAsia" w:asciiTheme="minorEastAsia" w:hAnsiTheme="minorEastAsia" w:eastAsiaTheme="minorEastAsia"/>
          <w:color w:val="auto"/>
          <w:kern w:val="2"/>
          <w:szCs w:val="21"/>
          <w:highlight w:val="none"/>
        </w:rPr>
        <w:t>采购进口产品。</w:t>
      </w:r>
    </w:p>
    <w:p w14:paraId="31452DDB">
      <w:pPr>
        <w:snapToGrid w:val="0"/>
        <w:spacing w:before="120" w:beforeLines="50" w:line="360" w:lineRule="auto"/>
        <w:rPr>
          <w:rFonts w:asciiTheme="minorEastAsia" w:hAnsiTheme="minorEastAsia" w:eastAsiaTheme="minorEastAsia"/>
          <w:color w:val="auto"/>
          <w:kern w:val="2"/>
          <w:szCs w:val="21"/>
          <w:highlight w:val="none"/>
        </w:rPr>
      </w:pPr>
      <w:bookmarkStart w:id="26" w:name="_Toc444500048"/>
      <w:bookmarkStart w:id="27" w:name="_Toc405792813"/>
      <w:bookmarkStart w:id="28" w:name="_Toc397670952"/>
      <w:bookmarkStart w:id="29" w:name="_Toc397670923"/>
      <w:r>
        <w:rPr>
          <w:rFonts w:asciiTheme="minorEastAsia" w:hAnsiTheme="minorEastAsia" w:eastAsiaTheme="minorEastAsia"/>
          <w:color w:val="auto"/>
          <w:kern w:val="2"/>
          <w:szCs w:val="21"/>
          <w:highlight w:val="none"/>
        </w:rPr>
        <w:t>▲</w:t>
      </w:r>
      <w:r>
        <w:rPr>
          <w:rFonts w:hint="eastAsia" w:asciiTheme="minorEastAsia" w:hAnsiTheme="minorEastAsia" w:eastAsiaTheme="minorEastAsia"/>
          <w:b/>
          <w:color w:val="auto"/>
          <w:kern w:val="2"/>
          <w:szCs w:val="21"/>
          <w:highlight w:val="none"/>
        </w:rPr>
        <w:t>（九）特别说明：</w:t>
      </w:r>
    </w:p>
    <w:p w14:paraId="5B8F9230">
      <w:pPr>
        <w:pStyle w:val="29"/>
        <w:snapToGrid w:val="0"/>
        <w:spacing w:line="360" w:lineRule="auto"/>
        <w:ind w:left="2" w:leftChars="1"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供应商投标所使用的资格、信誉、荣誉、业绩与企业认证必须为本法人所拥有。</w:t>
      </w:r>
    </w:p>
    <w:p w14:paraId="781EFFDC">
      <w:pPr>
        <w:pStyle w:val="29"/>
        <w:snapToGrid w:val="0"/>
        <w:spacing w:line="360" w:lineRule="auto"/>
        <w:ind w:left="2" w:leftChars="1"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供应商应仔细阅读</w:t>
      </w:r>
      <w:r>
        <w:rPr>
          <w:rFonts w:hint="eastAsia" w:asciiTheme="minorEastAsia" w:hAnsiTheme="minorEastAsia" w:eastAsiaTheme="minorEastAsia"/>
          <w:color w:val="auto"/>
          <w:szCs w:val="21"/>
          <w:highlight w:val="none"/>
        </w:rPr>
        <w:t>磋商文件</w:t>
      </w:r>
      <w:r>
        <w:rPr>
          <w:rFonts w:asciiTheme="minorEastAsia" w:hAnsiTheme="minorEastAsia" w:eastAsiaTheme="minorEastAsia"/>
          <w:color w:val="auto"/>
          <w:szCs w:val="21"/>
          <w:highlight w:val="none"/>
        </w:rPr>
        <w:t>的所有内容，按照</w:t>
      </w:r>
      <w:r>
        <w:rPr>
          <w:rFonts w:hint="eastAsia" w:asciiTheme="minorEastAsia" w:hAnsiTheme="minorEastAsia" w:eastAsiaTheme="minorEastAsia"/>
          <w:color w:val="auto"/>
          <w:szCs w:val="21"/>
          <w:highlight w:val="none"/>
        </w:rPr>
        <w:t>磋商文件</w:t>
      </w:r>
      <w:r>
        <w:rPr>
          <w:rFonts w:asciiTheme="minorEastAsia" w:hAnsiTheme="minorEastAsia" w:eastAsiaTheme="minorEastAsia"/>
          <w:color w:val="auto"/>
          <w:szCs w:val="21"/>
          <w:highlight w:val="none"/>
        </w:rPr>
        <w:t>的要求提交</w:t>
      </w:r>
      <w:r>
        <w:rPr>
          <w:rFonts w:hint="eastAsia" w:asciiTheme="minorEastAsia" w:hAnsiTheme="minorEastAsia" w:eastAsiaTheme="minorEastAsia"/>
          <w:color w:val="auto"/>
          <w:szCs w:val="21"/>
          <w:highlight w:val="none"/>
        </w:rPr>
        <w:t>响应文件</w:t>
      </w:r>
      <w:r>
        <w:rPr>
          <w:rFonts w:asciiTheme="minorEastAsia" w:hAnsiTheme="minorEastAsia" w:eastAsiaTheme="minorEastAsia"/>
          <w:color w:val="auto"/>
          <w:szCs w:val="21"/>
          <w:highlight w:val="none"/>
        </w:rPr>
        <w:t>，并对所提供的全部资料的真实性承担法律责任。</w:t>
      </w:r>
    </w:p>
    <w:p w14:paraId="2BCB1CED">
      <w:pPr>
        <w:pStyle w:val="29"/>
        <w:snapToGrid w:val="0"/>
        <w:spacing w:line="360" w:lineRule="auto"/>
        <w:ind w:left="2" w:leftChars="1"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供应商在投标活动中提供任何虚假材料,其投标无效，并报监管部门查处；中标后发现的,</w:t>
      </w:r>
      <w:r>
        <w:rPr>
          <w:rFonts w:hint="eastAsia" w:asciiTheme="minorEastAsia" w:hAnsiTheme="minorEastAsia" w:eastAsiaTheme="minorEastAsia"/>
          <w:color w:val="auto"/>
          <w:szCs w:val="21"/>
          <w:highlight w:val="none"/>
        </w:rPr>
        <w:t>成交供应商</w:t>
      </w:r>
      <w:r>
        <w:rPr>
          <w:rFonts w:asciiTheme="minorEastAsia" w:hAnsiTheme="minorEastAsia" w:eastAsiaTheme="minorEastAsia"/>
          <w:color w:val="auto"/>
          <w:szCs w:val="21"/>
          <w:highlight w:val="none"/>
        </w:rPr>
        <w:t>须依照《中华人民共和国消费者权益保护法》第49条之规定双倍赔偿采购人</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且民事赔偿并不免除违法供应商的行政与刑事责任。</w:t>
      </w:r>
    </w:p>
    <w:p w14:paraId="3B465C59">
      <w:pPr>
        <w:pStyle w:val="29"/>
        <w:snapToGrid w:val="0"/>
        <w:spacing w:line="360" w:lineRule="auto"/>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w:t>
      </w:r>
      <w:r>
        <w:rPr>
          <w:rFonts w:hint="eastAsia" w:asciiTheme="minorEastAsia" w:hAnsiTheme="minorEastAsia" w:eastAsiaTheme="minorEastAsia"/>
          <w:b/>
          <w:color w:val="auto"/>
          <w:szCs w:val="21"/>
          <w:highlight w:val="none"/>
        </w:rPr>
        <w:t>十</w:t>
      </w:r>
      <w:r>
        <w:rPr>
          <w:rFonts w:asciiTheme="minorEastAsia" w:hAnsiTheme="minorEastAsia" w:eastAsiaTheme="minorEastAsia"/>
          <w:b/>
          <w:color w:val="auto"/>
          <w:szCs w:val="21"/>
          <w:highlight w:val="none"/>
        </w:rPr>
        <w:t>）质疑和投诉</w:t>
      </w:r>
    </w:p>
    <w:p w14:paraId="662B24F4">
      <w:pPr>
        <w:pStyle w:val="29"/>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供应商认为采购文件、采购过程、中标或者成交结果使自己的权益受到损害的，可以在知道或者应知其权益受到损害之日起7个工作日内，以书面形式一次性向采购人、集中采购机构提出针对同一采购程序环节的质疑。质疑供应商对采购人、代理机构的答复不满意，或者采购人、代理机构未在规定时间内作出答复的，可以在答复期满后15个工作日内向规定的财政部门提起投诉。</w:t>
      </w:r>
    </w:p>
    <w:p w14:paraId="2E70202C">
      <w:pPr>
        <w:pStyle w:val="29"/>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2.供应商须在法定质疑期内一次性提出针对同一采购程序环节的质疑。</w:t>
      </w:r>
    </w:p>
    <w:p w14:paraId="514DD7AC">
      <w:pPr>
        <w:pStyle w:val="29"/>
        <w:snapToGrid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供应商认为代理机构在质疑答复程序中启用的调查和复评等程序，在该程序操作过程未明显违反法律禁止性规定时，不得提出疑义。</w:t>
      </w:r>
    </w:p>
    <w:p w14:paraId="622CE146">
      <w:pPr>
        <w:pStyle w:val="29"/>
        <w:snapToGrid w:val="0"/>
        <w:spacing w:line="360" w:lineRule="auto"/>
        <w:ind w:firstLine="420" w:firstLineChars="200"/>
        <w:rPr>
          <w:rFonts w:asciiTheme="minorEastAsia" w:hAnsiTheme="minorEastAsia" w:eastAsiaTheme="minorEastAsia"/>
          <w:bCs/>
          <w:color w:val="auto"/>
          <w:kern w:val="0"/>
          <w:sz w:val="32"/>
          <w:szCs w:val="21"/>
          <w:highlight w:val="none"/>
        </w:rPr>
      </w:pPr>
      <w:r>
        <w:rPr>
          <w:rFonts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.质疑和投诉应当满足《政府采购质疑和投诉办法》（中华人民共和国财政部令第94号）要求。</w:t>
      </w:r>
    </w:p>
    <w:p w14:paraId="2D759956">
      <w:pPr>
        <w:pStyle w:val="29"/>
        <w:snapToGrid w:val="0"/>
        <w:spacing w:before="120" w:after="120" w:line="360" w:lineRule="auto"/>
        <w:ind w:firstLine="413" w:firstLineChars="196"/>
        <w:jc w:val="center"/>
        <w:outlineLvl w:val="1"/>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二、磋商文件</w:t>
      </w:r>
      <w:bookmarkEnd w:id="26"/>
      <w:bookmarkEnd w:id="27"/>
      <w:bookmarkEnd w:id="28"/>
      <w:bookmarkEnd w:id="29"/>
    </w:p>
    <w:p w14:paraId="035B1E5A">
      <w:pPr>
        <w:snapToGrid w:val="0"/>
        <w:spacing w:line="360" w:lineRule="auto"/>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（一）磋商文件的构成</w:t>
      </w:r>
    </w:p>
    <w:p w14:paraId="7F31DD01">
      <w:pPr>
        <w:snapToGrid w:val="0"/>
        <w:spacing w:line="360" w:lineRule="auto"/>
        <w:ind w:firstLine="420" w:firstLineChars="200"/>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1</w:t>
      </w:r>
      <w:r>
        <w:rPr>
          <w:rFonts w:hint="eastAsia" w:asciiTheme="minorEastAsia" w:hAnsiTheme="minorEastAsia" w:eastAsiaTheme="minorEastAsia"/>
          <w:color w:val="auto"/>
          <w:kern w:val="2"/>
          <w:szCs w:val="21"/>
          <w:highlight w:val="none"/>
        </w:rPr>
        <w:t>.</w:t>
      </w:r>
      <w:r>
        <w:rPr>
          <w:rFonts w:asciiTheme="minorEastAsia" w:hAnsiTheme="minorEastAsia" w:eastAsiaTheme="minorEastAsia"/>
          <w:color w:val="auto"/>
          <w:kern w:val="2"/>
          <w:szCs w:val="21"/>
          <w:highlight w:val="none"/>
        </w:rPr>
        <w:t>磋商公告</w:t>
      </w:r>
    </w:p>
    <w:p w14:paraId="5DCEDCB0">
      <w:pPr>
        <w:snapToGrid w:val="0"/>
        <w:spacing w:line="360" w:lineRule="auto"/>
        <w:ind w:firstLine="420" w:firstLineChars="200"/>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2</w:t>
      </w:r>
      <w:r>
        <w:rPr>
          <w:rFonts w:hint="eastAsia" w:asciiTheme="minorEastAsia" w:hAnsiTheme="minorEastAsia" w:eastAsiaTheme="minorEastAsia"/>
          <w:color w:val="auto"/>
          <w:kern w:val="2"/>
          <w:szCs w:val="21"/>
          <w:highlight w:val="none"/>
        </w:rPr>
        <w:t>.</w:t>
      </w:r>
      <w:r>
        <w:rPr>
          <w:rFonts w:asciiTheme="minorEastAsia" w:hAnsiTheme="minorEastAsia" w:eastAsiaTheme="minorEastAsia"/>
          <w:color w:val="auto"/>
          <w:kern w:val="2"/>
          <w:szCs w:val="21"/>
          <w:highlight w:val="none"/>
        </w:rPr>
        <w:t>磋商</w:t>
      </w:r>
      <w:r>
        <w:rPr>
          <w:rFonts w:hint="eastAsia" w:asciiTheme="minorEastAsia" w:hAnsiTheme="minorEastAsia" w:eastAsiaTheme="minorEastAsia"/>
          <w:color w:val="auto"/>
          <w:kern w:val="2"/>
          <w:szCs w:val="21"/>
          <w:highlight w:val="none"/>
        </w:rPr>
        <w:t>项目要求</w:t>
      </w:r>
    </w:p>
    <w:p w14:paraId="4BD297D1">
      <w:pPr>
        <w:snapToGrid w:val="0"/>
        <w:spacing w:line="360" w:lineRule="auto"/>
        <w:ind w:firstLine="420" w:firstLineChars="200"/>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3</w:t>
      </w:r>
      <w:r>
        <w:rPr>
          <w:rFonts w:hint="eastAsia" w:asciiTheme="minorEastAsia" w:hAnsiTheme="minorEastAsia" w:eastAsiaTheme="minorEastAsia"/>
          <w:color w:val="auto"/>
          <w:kern w:val="2"/>
          <w:szCs w:val="21"/>
          <w:highlight w:val="none"/>
        </w:rPr>
        <w:t>.供应商</w:t>
      </w:r>
      <w:r>
        <w:rPr>
          <w:rFonts w:asciiTheme="minorEastAsia" w:hAnsiTheme="minorEastAsia" w:eastAsiaTheme="minorEastAsia"/>
          <w:color w:val="auto"/>
          <w:kern w:val="2"/>
          <w:szCs w:val="21"/>
          <w:highlight w:val="none"/>
        </w:rPr>
        <w:t>须知</w:t>
      </w:r>
    </w:p>
    <w:p w14:paraId="683B29F2">
      <w:pPr>
        <w:snapToGrid w:val="0"/>
        <w:spacing w:line="360" w:lineRule="auto"/>
        <w:ind w:firstLine="420" w:firstLineChars="200"/>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4</w:t>
      </w:r>
      <w:r>
        <w:rPr>
          <w:rFonts w:hint="eastAsia" w:asciiTheme="minorEastAsia" w:hAnsiTheme="minorEastAsia" w:eastAsiaTheme="minorEastAsia"/>
          <w:color w:val="auto"/>
          <w:kern w:val="2"/>
          <w:szCs w:val="21"/>
          <w:highlight w:val="none"/>
        </w:rPr>
        <w:t>.</w:t>
      </w:r>
      <w:r>
        <w:rPr>
          <w:rFonts w:asciiTheme="minorEastAsia" w:hAnsiTheme="minorEastAsia" w:eastAsiaTheme="minorEastAsia"/>
          <w:color w:val="auto"/>
          <w:kern w:val="2"/>
          <w:szCs w:val="21"/>
          <w:highlight w:val="none"/>
        </w:rPr>
        <w:t>评标办法及标准</w:t>
      </w:r>
    </w:p>
    <w:p w14:paraId="26DA1647">
      <w:pPr>
        <w:snapToGrid w:val="0"/>
        <w:spacing w:line="360" w:lineRule="auto"/>
        <w:ind w:firstLine="420" w:firstLineChars="200"/>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5</w:t>
      </w:r>
      <w:r>
        <w:rPr>
          <w:rFonts w:hint="eastAsia" w:asciiTheme="minorEastAsia" w:hAnsiTheme="minorEastAsia" w:eastAsiaTheme="minorEastAsia"/>
          <w:color w:val="auto"/>
          <w:kern w:val="2"/>
          <w:szCs w:val="21"/>
          <w:highlight w:val="none"/>
        </w:rPr>
        <w:t>.</w:t>
      </w:r>
      <w:r>
        <w:rPr>
          <w:rFonts w:asciiTheme="minorEastAsia" w:hAnsiTheme="minorEastAsia" w:eastAsiaTheme="minorEastAsia"/>
          <w:color w:val="auto"/>
          <w:kern w:val="2"/>
          <w:szCs w:val="21"/>
          <w:highlight w:val="none"/>
        </w:rPr>
        <w:t>合同主要条款</w:t>
      </w:r>
    </w:p>
    <w:p w14:paraId="2A0FFE9B">
      <w:pPr>
        <w:snapToGrid w:val="0"/>
        <w:spacing w:line="360" w:lineRule="auto"/>
        <w:ind w:firstLine="420" w:firstLineChars="200"/>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6</w:t>
      </w:r>
      <w:r>
        <w:rPr>
          <w:rFonts w:hint="eastAsia" w:asciiTheme="minorEastAsia" w:hAnsiTheme="minorEastAsia" w:eastAsiaTheme="minorEastAsia"/>
          <w:color w:val="auto"/>
          <w:kern w:val="2"/>
          <w:szCs w:val="21"/>
          <w:highlight w:val="none"/>
        </w:rPr>
        <w:t>.响应文件</w:t>
      </w:r>
      <w:r>
        <w:rPr>
          <w:rFonts w:asciiTheme="minorEastAsia" w:hAnsiTheme="minorEastAsia" w:eastAsiaTheme="minorEastAsia"/>
          <w:color w:val="auto"/>
          <w:kern w:val="2"/>
          <w:szCs w:val="21"/>
          <w:highlight w:val="none"/>
        </w:rPr>
        <w:t>格式</w:t>
      </w:r>
    </w:p>
    <w:p w14:paraId="58636ECE">
      <w:pPr>
        <w:snapToGrid w:val="0"/>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7.本项目</w:t>
      </w:r>
      <w:r>
        <w:rPr>
          <w:rFonts w:asciiTheme="minorEastAsia" w:hAnsiTheme="minorEastAsia" w:eastAsiaTheme="minorEastAsia"/>
          <w:color w:val="auto"/>
          <w:kern w:val="2"/>
          <w:szCs w:val="21"/>
          <w:highlight w:val="none"/>
        </w:rPr>
        <w:t>磋商文件</w:t>
      </w:r>
      <w:r>
        <w:rPr>
          <w:rFonts w:hint="eastAsia" w:asciiTheme="minorEastAsia" w:hAnsiTheme="minorEastAsia" w:eastAsiaTheme="minorEastAsia"/>
          <w:color w:val="auto"/>
          <w:kern w:val="2"/>
          <w:szCs w:val="21"/>
          <w:highlight w:val="none"/>
        </w:rPr>
        <w:t>的</w:t>
      </w:r>
      <w:r>
        <w:rPr>
          <w:rFonts w:asciiTheme="minorEastAsia" w:hAnsiTheme="minorEastAsia" w:eastAsiaTheme="minorEastAsia"/>
          <w:color w:val="auto"/>
          <w:kern w:val="2"/>
          <w:szCs w:val="21"/>
          <w:highlight w:val="none"/>
        </w:rPr>
        <w:t>澄清、答复、修改、补充的内容</w:t>
      </w:r>
    </w:p>
    <w:p w14:paraId="5523A58F">
      <w:pPr>
        <w:snapToGrid w:val="0"/>
        <w:spacing w:before="120" w:beforeLines="50" w:line="360" w:lineRule="auto"/>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（二）供应商的风险</w:t>
      </w:r>
    </w:p>
    <w:p w14:paraId="1A5BFA43">
      <w:pPr>
        <w:snapToGrid w:val="0"/>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供应商没有按照磋商文件要求提供全部资料，或者供应商没有对磋商文件在各方面做出实质性响应是供应商的风险，并可能导致其投标为无效标。</w:t>
      </w:r>
    </w:p>
    <w:p w14:paraId="137A3F61">
      <w:pPr>
        <w:pStyle w:val="13"/>
        <w:numPr>
          <w:ilvl w:val="0"/>
          <w:numId w:val="0"/>
        </w:numPr>
        <w:tabs>
          <w:tab w:val="left" w:pos="720"/>
          <w:tab w:val="clear" w:pos="360"/>
        </w:tabs>
        <w:snapToGrid w:val="0"/>
        <w:spacing w:before="120" w:beforeLines="50" w:after="120"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（三）磋商文件的澄清与修改</w:t>
      </w:r>
    </w:p>
    <w:p w14:paraId="0317A259">
      <w:pPr>
        <w:pStyle w:val="29"/>
        <w:snapToGrid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供应商</w:t>
      </w:r>
      <w:r>
        <w:rPr>
          <w:rFonts w:asciiTheme="minorEastAsia" w:hAnsiTheme="minorEastAsia" w:eastAsiaTheme="minorEastAsia"/>
          <w:color w:val="auto"/>
          <w:szCs w:val="21"/>
          <w:highlight w:val="none"/>
        </w:rPr>
        <w:t>应认真阅读本磋商文件，发现其中有误或有不合理要求的，</w:t>
      </w:r>
      <w:r>
        <w:rPr>
          <w:rFonts w:hint="eastAsia" w:asciiTheme="minorEastAsia" w:hAnsiTheme="minorEastAsia" w:eastAsiaTheme="minorEastAsia"/>
          <w:color w:val="auto"/>
          <w:szCs w:val="21"/>
          <w:highlight w:val="none"/>
        </w:rPr>
        <w:t>供应商</w:t>
      </w:r>
      <w:r>
        <w:rPr>
          <w:rFonts w:asciiTheme="minorEastAsia" w:hAnsiTheme="minorEastAsia" w:eastAsiaTheme="minorEastAsia"/>
          <w:color w:val="auto"/>
          <w:szCs w:val="21"/>
          <w:highlight w:val="none"/>
        </w:rPr>
        <w:t>必须在规定时间内以书面形式要求磋商</w:t>
      </w:r>
      <w:r>
        <w:rPr>
          <w:rFonts w:hint="eastAsia" w:asciiTheme="minorEastAsia" w:hAnsiTheme="minorEastAsia" w:eastAsiaTheme="minorEastAsia"/>
          <w:color w:val="auto"/>
          <w:szCs w:val="21"/>
          <w:highlight w:val="none"/>
        </w:rPr>
        <w:t>采购人</w:t>
      </w:r>
      <w:r>
        <w:rPr>
          <w:rFonts w:asciiTheme="minorEastAsia" w:hAnsiTheme="minorEastAsia" w:eastAsiaTheme="minorEastAsia"/>
          <w:color w:val="auto"/>
          <w:szCs w:val="21"/>
          <w:highlight w:val="none"/>
        </w:rPr>
        <w:t>澄清。</w:t>
      </w:r>
      <w:r>
        <w:rPr>
          <w:rFonts w:hint="eastAsia" w:asciiTheme="minorEastAsia" w:hAnsiTheme="minorEastAsia" w:eastAsiaTheme="minorEastAsia"/>
          <w:color w:val="auto"/>
          <w:szCs w:val="21"/>
          <w:highlight w:val="none"/>
        </w:rPr>
        <w:t>代理</w:t>
      </w:r>
      <w:r>
        <w:rPr>
          <w:rFonts w:asciiTheme="minorEastAsia" w:hAnsiTheme="minorEastAsia" w:eastAsiaTheme="minorEastAsia"/>
          <w:color w:val="auto"/>
          <w:szCs w:val="21"/>
          <w:highlight w:val="none"/>
        </w:rPr>
        <w:t>机构对已发出的磋商文件进行必要澄清、答复、修改或补充的，应当在磋商文件要求提交</w:t>
      </w:r>
      <w:r>
        <w:rPr>
          <w:rFonts w:hint="eastAsia" w:asciiTheme="minorEastAsia" w:hAnsiTheme="minorEastAsia" w:eastAsiaTheme="minorEastAsia"/>
          <w:color w:val="auto"/>
          <w:szCs w:val="21"/>
          <w:highlight w:val="none"/>
        </w:rPr>
        <w:t>响应文件</w:t>
      </w:r>
      <w:r>
        <w:rPr>
          <w:rFonts w:asciiTheme="minorEastAsia" w:hAnsiTheme="minorEastAsia" w:eastAsiaTheme="minorEastAsia"/>
          <w:color w:val="auto"/>
          <w:szCs w:val="21"/>
          <w:highlight w:val="none"/>
        </w:rPr>
        <w:t>截止时间</w:t>
      </w:r>
      <w:r>
        <w:rPr>
          <w:rFonts w:hint="eastAsia" w:asciiTheme="minorEastAsia" w:hAnsiTheme="minorEastAsia" w:eastAsiaTheme="minorEastAsia"/>
          <w:color w:val="auto"/>
          <w:szCs w:val="21"/>
          <w:highlight w:val="none"/>
        </w:rPr>
        <w:t>三</w:t>
      </w:r>
      <w:r>
        <w:rPr>
          <w:rFonts w:asciiTheme="minorEastAsia" w:hAnsiTheme="minorEastAsia" w:eastAsiaTheme="minorEastAsia"/>
          <w:color w:val="auto"/>
          <w:szCs w:val="21"/>
          <w:highlight w:val="none"/>
        </w:rPr>
        <w:t>日前，在财政部门指定的政府采购信息发布媒体上发布更正公告，并以书面形式通知所有磋商文件收受人。</w:t>
      </w:r>
    </w:p>
    <w:p w14:paraId="049DB440">
      <w:pPr>
        <w:pStyle w:val="29"/>
        <w:snapToGrid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代理</w:t>
      </w:r>
      <w:r>
        <w:rPr>
          <w:rFonts w:asciiTheme="minorEastAsia" w:hAnsiTheme="minorEastAsia" w:eastAsiaTheme="minorEastAsia"/>
          <w:color w:val="auto"/>
          <w:szCs w:val="21"/>
          <w:highlight w:val="none"/>
        </w:rPr>
        <w:t>机构必须以书面形式答复</w:t>
      </w:r>
      <w:r>
        <w:rPr>
          <w:rFonts w:hint="eastAsia" w:asciiTheme="minorEastAsia" w:hAnsiTheme="minorEastAsia" w:eastAsiaTheme="minorEastAsia"/>
          <w:color w:val="auto"/>
          <w:szCs w:val="21"/>
          <w:highlight w:val="none"/>
        </w:rPr>
        <w:t>供应商</w:t>
      </w:r>
      <w:r>
        <w:rPr>
          <w:rFonts w:asciiTheme="minorEastAsia" w:hAnsiTheme="minorEastAsia" w:eastAsiaTheme="minorEastAsia"/>
          <w:color w:val="auto"/>
          <w:szCs w:val="21"/>
          <w:highlight w:val="none"/>
        </w:rPr>
        <w:t>要求澄清的问题，并将不包含问题来源的答复书面通知所有购买磋商文件的</w:t>
      </w:r>
      <w:r>
        <w:rPr>
          <w:rFonts w:hint="eastAsia" w:asciiTheme="minorEastAsia" w:hAnsiTheme="minorEastAsia" w:eastAsiaTheme="minorEastAsia"/>
          <w:color w:val="auto"/>
          <w:szCs w:val="21"/>
          <w:highlight w:val="none"/>
        </w:rPr>
        <w:t>供应商</w:t>
      </w:r>
      <w:r>
        <w:rPr>
          <w:rFonts w:asciiTheme="minorEastAsia" w:hAnsiTheme="minorEastAsia" w:eastAsiaTheme="minorEastAsia"/>
          <w:color w:val="auto"/>
          <w:szCs w:val="21"/>
          <w:highlight w:val="none"/>
        </w:rPr>
        <w:t>；除书面答复以外的其他澄清方式及澄清内容均无效。</w:t>
      </w:r>
    </w:p>
    <w:p w14:paraId="2582C016">
      <w:pPr>
        <w:pStyle w:val="29"/>
        <w:snapToGrid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3.磋商文件澄清、答复、修改、补充的内容为磋商文件的组成部分。当磋商文件与磋商文件的答复、澄清、修改、补充通知就同一内容的表述不一致时，以最后发出的书面文件为准。</w:t>
      </w:r>
    </w:p>
    <w:p w14:paraId="10E86427">
      <w:pPr>
        <w:pStyle w:val="29"/>
        <w:snapToGrid w:val="0"/>
        <w:spacing w:line="360" w:lineRule="auto"/>
        <w:ind w:firstLine="420" w:firstLineChars="200"/>
        <w:rPr>
          <w:rFonts w:asciiTheme="minorEastAsia" w:hAnsiTheme="minorEastAsia" w:eastAsiaTheme="minorEastAsia"/>
          <w:b/>
          <w:color w:val="auto"/>
          <w:szCs w:val="21"/>
          <w:highlight w:val="none"/>
        </w:rPr>
      </w:pPr>
      <w:r>
        <w:rPr>
          <w:rFonts w:asciiTheme="minorEastAsia" w:hAnsiTheme="minorEastAsia" w:eastAsiaTheme="minorEastAsia"/>
          <w:color w:val="auto"/>
          <w:szCs w:val="21"/>
          <w:highlight w:val="none"/>
        </w:rPr>
        <w:t>4.磋商文件的澄清、答复、修改或补充都应该通过本代理机构以法定形式发布，采购人非通过本机构，不得擅自澄清、答复、修改或补充磋商文件。</w:t>
      </w:r>
      <w:bookmarkStart w:id="30" w:name="_Toc397670924"/>
      <w:bookmarkStart w:id="31" w:name="_Toc397670953"/>
    </w:p>
    <w:bookmarkEnd w:id="30"/>
    <w:bookmarkEnd w:id="31"/>
    <w:p w14:paraId="71BBDF70">
      <w:pPr>
        <w:pStyle w:val="29"/>
        <w:snapToGrid w:val="0"/>
        <w:spacing w:before="120" w:after="120" w:line="360" w:lineRule="auto"/>
        <w:ind w:firstLine="413" w:firstLineChars="196"/>
        <w:jc w:val="center"/>
        <w:outlineLvl w:val="1"/>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三、投标文件的编制</w:t>
      </w:r>
    </w:p>
    <w:p w14:paraId="02C5ADC0">
      <w:pPr>
        <w:pStyle w:val="29"/>
        <w:snapToGrid w:val="0"/>
        <w:spacing w:before="120" w:after="120" w:line="360" w:lineRule="auto"/>
        <w:ind w:firstLine="413" w:firstLineChars="196"/>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本项目所涉投标文件格式请详见第六章，未给出的格式请自拟。资信技术文件中不得出现报价，否则投标文件将被视为无效。</w:t>
      </w:r>
    </w:p>
    <w:p w14:paraId="20F858AF">
      <w:pPr>
        <w:pStyle w:val="29"/>
        <w:snapToGrid w:val="0"/>
        <w:spacing w:before="120" w:after="120" w:line="360" w:lineRule="auto"/>
        <w:ind w:firstLine="413" w:firstLineChars="196"/>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总体要求</w:t>
      </w:r>
      <w:r>
        <w:rPr>
          <w:rFonts w:asciiTheme="minorEastAsia" w:hAnsiTheme="minorEastAsia" w:eastAsiaTheme="minorEastAsia"/>
          <w:b/>
          <w:color w:val="auto"/>
          <w:szCs w:val="21"/>
          <w:highlight w:val="none"/>
        </w:rPr>
        <w:t>：</w:t>
      </w:r>
    </w:p>
    <w:p w14:paraId="2B5259EC">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 xml:space="preserve">供应商应仔细阅读招标文件的所有内容，按本文件的要求提供投标文件，并保证所提供的全部资料的真实性，以使其投标文件对招标文件作出实质性响应，否则，投标文件可能视为无效投标文件。 </w:t>
      </w:r>
    </w:p>
    <w:p w14:paraId="11C8463A">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 投标文件及供应商与采购有关的来往通知，函件和文件均应使用中文。</w:t>
      </w:r>
    </w:p>
    <w:p w14:paraId="3F3A1C79">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 供应商应按本文件中提供的文件格式、内容和要求制作投标文件。</w:t>
      </w:r>
    </w:p>
    <w:p w14:paraId="45AD0D03">
      <w:pPr>
        <w:snapToGrid w:val="0"/>
        <w:spacing w:line="360" w:lineRule="auto"/>
        <w:ind w:firstLine="413" w:firstLineChars="196"/>
        <w:rPr>
          <w:rFonts w:asciiTheme="minorEastAsia" w:hAnsiTheme="minorEastAsia" w:eastAsiaTheme="minorEastAsia"/>
          <w:b/>
          <w:color w:val="auto"/>
          <w:szCs w:val="21"/>
          <w:highlight w:val="none"/>
        </w:rPr>
      </w:pPr>
      <w:bookmarkStart w:id="32" w:name="_Toc406402944"/>
      <w:bookmarkStart w:id="33" w:name="_Toc406402988"/>
      <w:r>
        <w:rPr>
          <w:rFonts w:hint="eastAsia" w:asciiTheme="minorEastAsia" w:hAnsiTheme="minorEastAsia" w:eastAsiaTheme="minorEastAsia"/>
          <w:b/>
          <w:color w:val="auto"/>
          <w:szCs w:val="21"/>
          <w:highlight w:val="none"/>
        </w:rPr>
        <w:t>（一）投标文件的组成</w:t>
      </w:r>
      <w:bookmarkEnd w:id="32"/>
      <w:bookmarkEnd w:id="33"/>
    </w:p>
    <w:p w14:paraId="44CBA048">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电子投标文件和备份投标文件均由资信技术文件、商务报价文件两部份组成。投标文件中所须加盖公章部分均采用CA签章。</w:t>
      </w:r>
    </w:p>
    <w:p w14:paraId="0A1874B7">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1、资信文件：</w:t>
      </w:r>
    </w:p>
    <w:p w14:paraId="58569A80">
      <w:pPr>
        <w:spacing w:line="360" w:lineRule="auto"/>
        <w:ind w:firstLine="420" w:firstLineChars="200"/>
        <w:rPr>
          <w:rFonts w:asciiTheme="minorEastAsia" w:hAnsiTheme="minorEastAsia" w:eastAsiaTheme="minorEastAsia"/>
          <w:color w:val="auto"/>
          <w:szCs w:val="21"/>
          <w:highlight w:val="none"/>
        </w:rPr>
      </w:pPr>
      <w:bookmarkStart w:id="34" w:name="_Toc406402945"/>
      <w:bookmarkStart w:id="35" w:name="_Toc406402989"/>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投标声明书</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（附件1）</w:t>
      </w:r>
    </w:p>
    <w:p w14:paraId="1F5C6C4B">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）法定代表人授权委托书；</w:t>
      </w:r>
      <w:r>
        <w:rPr>
          <w:rFonts w:hint="eastAsia" w:asciiTheme="minorEastAsia" w:hAnsiTheme="minorEastAsia" w:eastAsiaTheme="minorEastAsia"/>
          <w:color w:val="auto"/>
          <w:szCs w:val="21"/>
          <w:highlight w:val="none"/>
        </w:rPr>
        <w:t>（附件2）</w:t>
      </w:r>
    </w:p>
    <w:p w14:paraId="0E074226">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关于资格的声明函；（附件3）</w:t>
      </w:r>
    </w:p>
    <w:p w14:paraId="7C964AAA">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r>
        <w:rPr>
          <w:rFonts w:asciiTheme="minorEastAsia" w:hAnsiTheme="minorEastAsia" w:eastAsiaTheme="minorEastAsia"/>
          <w:color w:val="auto"/>
          <w:szCs w:val="21"/>
          <w:highlight w:val="none"/>
        </w:rPr>
        <w:t>）投标人基本情况；</w:t>
      </w:r>
      <w:r>
        <w:rPr>
          <w:rFonts w:hint="eastAsia" w:asciiTheme="minorEastAsia" w:hAnsiTheme="minorEastAsia" w:eastAsiaTheme="minorEastAsia"/>
          <w:color w:val="auto"/>
          <w:szCs w:val="21"/>
          <w:highlight w:val="none"/>
        </w:rPr>
        <w:t>（附件4）</w:t>
      </w:r>
    </w:p>
    <w:p w14:paraId="2F32C2E3">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r>
        <w:rPr>
          <w:rFonts w:asciiTheme="minorEastAsia" w:hAnsiTheme="minorEastAsia" w:eastAsiaTheme="minorEastAsia"/>
          <w:color w:val="auto"/>
          <w:szCs w:val="21"/>
          <w:highlight w:val="none"/>
        </w:rPr>
        <w:t>）业绩</w:t>
      </w:r>
      <w:r>
        <w:rPr>
          <w:rFonts w:hint="eastAsia" w:asciiTheme="minorEastAsia" w:hAnsiTheme="minorEastAsia" w:eastAsiaTheme="minorEastAsia"/>
          <w:color w:val="auto"/>
          <w:szCs w:val="21"/>
          <w:highlight w:val="none"/>
        </w:rPr>
        <w:t>表</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（附件5）</w:t>
      </w:r>
    </w:p>
    <w:p w14:paraId="6F53F395">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项目组</w:t>
      </w:r>
      <w:r>
        <w:rPr>
          <w:rFonts w:asciiTheme="minorEastAsia" w:hAnsiTheme="minorEastAsia" w:eastAsiaTheme="minorEastAsia"/>
          <w:color w:val="auto"/>
          <w:szCs w:val="21"/>
          <w:highlight w:val="none"/>
        </w:rPr>
        <w:t>人员配置</w:t>
      </w:r>
      <w:r>
        <w:rPr>
          <w:rFonts w:hint="eastAsia" w:asciiTheme="minorEastAsia" w:hAnsiTheme="minorEastAsia" w:eastAsiaTheme="minorEastAsia"/>
          <w:color w:val="auto"/>
          <w:szCs w:val="21"/>
          <w:highlight w:val="none"/>
        </w:rPr>
        <w:t>情况；（附件6）</w:t>
      </w:r>
    </w:p>
    <w:p w14:paraId="4B195B95">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（7）投标人符合政府采购法第二十二条资格的相关证明文件；</w:t>
      </w:r>
    </w:p>
    <w:p w14:paraId="7E8EBCD9">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（8）投标人符合特定条件的相关证明文件；</w:t>
      </w:r>
    </w:p>
    <w:p w14:paraId="60E82713">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9）提供自招标公告发布之日起至投标截止日内任意时间的“信用中国”网站（www.creditchina.gov.cn）、中国政府采购网（www.ccgp.gov.cn）供应商信用查询网页截图。（以开标当日采购单位或由采购单位委托的评标委员会核实的查询结果为准）。</w:t>
      </w:r>
    </w:p>
    <w:p w14:paraId="31286728">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（10）中小企业声明函、残疾人福利性单位声明函及其他符合政策性加分条件的承诺函或证明材料。（附件7、8）</w:t>
      </w:r>
    </w:p>
    <w:p w14:paraId="195501AC">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）商务偏离表、技术偏离表、（附件9、10）</w:t>
      </w:r>
    </w:p>
    <w:p w14:paraId="47601E8D">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）未尽事宜请各供应商按评分细则制作技术部份。</w:t>
      </w:r>
    </w:p>
    <w:p w14:paraId="6D73FF75">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2</w:t>
      </w:r>
      <w:r>
        <w:rPr>
          <w:rFonts w:hint="eastAsia" w:asciiTheme="minorEastAsia" w:hAnsiTheme="minorEastAsia" w:eastAsiaTheme="minorEastAsia"/>
          <w:b/>
          <w:color w:val="auto"/>
          <w:szCs w:val="21"/>
          <w:highlight w:val="none"/>
        </w:rPr>
        <w:t>、</w:t>
      </w:r>
      <w:r>
        <w:rPr>
          <w:rFonts w:asciiTheme="minorEastAsia" w:hAnsiTheme="minorEastAsia" w:eastAsiaTheme="minorEastAsia"/>
          <w:b/>
          <w:color w:val="auto"/>
          <w:szCs w:val="21"/>
          <w:highlight w:val="none"/>
        </w:rPr>
        <w:t>技术文件</w:t>
      </w:r>
    </w:p>
    <w:p w14:paraId="1054F68D">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项目理解</w:t>
      </w:r>
      <w:r>
        <w:rPr>
          <w:rFonts w:hint="eastAsia" w:asciiTheme="minorEastAsia" w:hAnsiTheme="minorEastAsia" w:eastAsiaTheme="minorEastAsia"/>
          <w:color w:val="auto"/>
          <w:szCs w:val="21"/>
          <w:highlight w:val="none"/>
        </w:rPr>
        <w:t>、实施方案、编制大纲、进度计划、服务质量；（格式自拟）</w:t>
      </w:r>
    </w:p>
    <w:p w14:paraId="184F8CE9">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投标人承诺给予招标人的各种优惠条件，包括售后服务等方面的优惠；</w:t>
      </w:r>
      <w:r>
        <w:rPr>
          <w:rFonts w:hint="eastAsia" w:asciiTheme="minorEastAsia" w:hAnsiTheme="minorEastAsia" w:eastAsiaTheme="minorEastAsia"/>
          <w:color w:val="auto"/>
          <w:szCs w:val="21"/>
          <w:highlight w:val="none"/>
        </w:rPr>
        <w:t>（格式自拟）</w:t>
      </w:r>
    </w:p>
    <w:p w14:paraId="3D577816">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（3）投标人认为有必要提供的声明及文件资料。</w:t>
      </w:r>
    </w:p>
    <w:p w14:paraId="3405AB20">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（4）未尽事宜请各投标人按评分细则制作。</w:t>
      </w:r>
    </w:p>
    <w:p w14:paraId="122B8C14">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（注：复印件应加盖投标人公章）</w:t>
      </w:r>
    </w:p>
    <w:p w14:paraId="4B314985">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3</w:t>
      </w:r>
      <w:r>
        <w:rPr>
          <w:rFonts w:hint="eastAsia" w:asciiTheme="minorEastAsia" w:hAnsiTheme="minorEastAsia" w:eastAsiaTheme="minorEastAsia"/>
          <w:b/>
          <w:color w:val="auto"/>
          <w:szCs w:val="21"/>
          <w:highlight w:val="none"/>
        </w:rPr>
        <w:t>、商务</w:t>
      </w:r>
      <w:r>
        <w:rPr>
          <w:rFonts w:asciiTheme="minorEastAsia" w:hAnsiTheme="minorEastAsia" w:eastAsiaTheme="minorEastAsia"/>
          <w:b/>
          <w:color w:val="auto"/>
          <w:szCs w:val="21"/>
          <w:highlight w:val="none"/>
        </w:rPr>
        <w:t>报价文件：</w:t>
      </w:r>
    </w:p>
    <w:p w14:paraId="4E2CD632">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（1）投标函；（附件11）</w:t>
      </w:r>
    </w:p>
    <w:p w14:paraId="2BDF0CA2">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）开标一览表；</w:t>
      </w:r>
      <w:r>
        <w:rPr>
          <w:rFonts w:hint="eastAsia" w:asciiTheme="minorEastAsia" w:hAnsiTheme="minorEastAsia" w:eastAsiaTheme="minorEastAsia"/>
          <w:color w:val="auto"/>
          <w:szCs w:val="21"/>
          <w:highlight w:val="none"/>
        </w:rPr>
        <w:t>（附件12）</w:t>
      </w:r>
    </w:p>
    <w:p w14:paraId="2CEE25B4">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（3）明细报价表；（附件13）</w:t>
      </w:r>
    </w:p>
    <w:p w14:paraId="69C792D6">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r>
        <w:rPr>
          <w:rFonts w:asciiTheme="minorEastAsia" w:hAnsiTheme="minorEastAsia" w:eastAsiaTheme="minorEastAsia"/>
          <w:color w:val="auto"/>
          <w:szCs w:val="21"/>
          <w:highlight w:val="none"/>
        </w:rPr>
        <w:t>）投标人</w:t>
      </w:r>
      <w:r>
        <w:rPr>
          <w:rFonts w:hint="eastAsia" w:asciiTheme="minorEastAsia" w:hAnsiTheme="minorEastAsia" w:eastAsiaTheme="minorEastAsia"/>
          <w:color w:val="auto"/>
          <w:szCs w:val="21"/>
          <w:highlight w:val="none"/>
        </w:rPr>
        <w:t>针对报价</w:t>
      </w:r>
      <w:r>
        <w:rPr>
          <w:rFonts w:asciiTheme="minorEastAsia" w:hAnsiTheme="minorEastAsia" w:eastAsiaTheme="minorEastAsia"/>
          <w:color w:val="auto"/>
          <w:szCs w:val="21"/>
          <w:highlight w:val="none"/>
        </w:rPr>
        <w:t>需要说明的其他文件和说明</w:t>
      </w:r>
      <w:r>
        <w:rPr>
          <w:rFonts w:hint="eastAsia" w:asciiTheme="minorEastAsia" w:hAnsiTheme="minorEastAsia" w:eastAsiaTheme="minorEastAsia"/>
          <w:color w:val="auto"/>
          <w:szCs w:val="21"/>
          <w:highlight w:val="none"/>
        </w:rPr>
        <w:t>；</w:t>
      </w:r>
      <w:bookmarkEnd w:id="34"/>
      <w:bookmarkEnd w:id="35"/>
    </w:p>
    <w:p w14:paraId="07D6B7AA">
      <w:pPr>
        <w:snapToGrid w:val="0"/>
        <w:spacing w:line="360" w:lineRule="auto"/>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注：</w:t>
      </w:r>
      <w:r>
        <w:rPr>
          <w:rFonts w:hint="eastAsia" w:asciiTheme="minorEastAsia" w:hAnsiTheme="minorEastAsia" w:eastAsiaTheme="minorEastAsia"/>
          <w:b/>
          <w:color w:val="auto"/>
          <w:szCs w:val="21"/>
          <w:highlight w:val="none"/>
        </w:rPr>
        <w:t>1、投标人可根据评分细则按排版自行编制目录。</w:t>
      </w:r>
    </w:p>
    <w:p w14:paraId="3C2D2C79">
      <w:pPr>
        <w:snapToGrid w:val="0"/>
        <w:spacing w:before="120" w:beforeLines="50" w:after="50" w:line="360" w:lineRule="auto"/>
        <w:rPr>
          <w:rFonts w:asciiTheme="minorEastAsia" w:hAnsiTheme="minorEastAsia" w:eastAsiaTheme="minorEastAsia"/>
          <w:b/>
          <w:color w:val="auto"/>
          <w:kern w:val="2"/>
          <w:szCs w:val="21"/>
          <w:highlight w:val="none"/>
        </w:rPr>
      </w:pPr>
      <w:r>
        <w:rPr>
          <w:rFonts w:hint="eastAsia" w:asciiTheme="minorEastAsia" w:hAnsiTheme="minorEastAsia" w:eastAsiaTheme="minorEastAsia"/>
          <w:color w:val="auto"/>
          <w:kern w:val="2"/>
          <w:szCs w:val="21"/>
          <w:highlight w:val="none"/>
        </w:rPr>
        <w:t>　</w:t>
      </w:r>
      <w:bookmarkStart w:id="36" w:name="_Toc444500050"/>
      <w:bookmarkStart w:id="37" w:name="_Toc397670926"/>
      <w:bookmarkStart w:id="38" w:name="_Toc397670955"/>
      <w:bookmarkStart w:id="39" w:name="_Toc405792815"/>
      <w:r>
        <w:rPr>
          <w:rFonts w:hint="eastAsia" w:asciiTheme="minorEastAsia" w:hAnsiTheme="minorEastAsia" w:eastAsiaTheme="minorEastAsia"/>
          <w:color w:val="auto"/>
          <w:kern w:val="2"/>
          <w:szCs w:val="21"/>
          <w:highlight w:val="none"/>
        </w:rPr>
        <w:t xml:space="preserve">  </w:t>
      </w:r>
      <w:r>
        <w:rPr>
          <w:rFonts w:asciiTheme="minorEastAsia" w:hAnsiTheme="minorEastAsia" w:eastAsiaTheme="minorEastAsia"/>
          <w:b/>
          <w:color w:val="auto"/>
          <w:kern w:val="2"/>
          <w:szCs w:val="21"/>
          <w:highlight w:val="none"/>
        </w:rPr>
        <w:t>法定代表人（负责人）授权委托书、</w:t>
      </w:r>
      <w:r>
        <w:rPr>
          <w:rFonts w:hint="eastAsia" w:asciiTheme="minorEastAsia" w:hAnsiTheme="minorEastAsia" w:eastAsiaTheme="minorEastAsia"/>
          <w:b/>
          <w:color w:val="auto"/>
          <w:kern w:val="2"/>
          <w:szCs w:val="21"/>
          <w:highlight w:val="none"/>
        </w:rPr>
        <w:t>磋商函、</w:t>
      </w:r>
      <w:r>
        <w:rPr>
          <w:rFonts w:asciiTheme="minorEastAsia" w:hAnsiTheme="minorEastAsia" w:eastAsiaTheme="minorEastAsia"/>
          <w:b/>
          <w:color w:val="auto"/>
          <w:kern w:val="2"/>
          <w:szCs w:val="21"/>
          <w:highlight w:val="none"/>
        </w:rPr>
        <w:t>磋商声明书、</w:t>
      </w:r>
      <w:r>
        <w:rPr>
          <w:rFonts w:hint="eastAsia" w:asciiTheme="minorEastAsia" w:hAnsiTheme="minorEastAsia" w:eastAsiaTheme="minorEastAsia"/>
          <w:b/>
          <w:color w:val="auto"/>
          <w:kern w:val="2"/>
          <w:szCs w:val="21"/>
          <w:highlight w:val="none"/>
        </w:rPr>
        <w:t>磋商报价表</w:t>
      </w:r>
      <w:r>
        <w:rPr>
          <w:rFonts w:asciiTheme="minorEastAsia" w:hAnsiTheme="minorEastAsia" w:eastAsiaTheme="minorEastAsia"/>
          <w:b/>
          <w:color w:val="auto"/>
          <w:kern w:val="2"/>
          <w:szCs w:val="21"/>
          <w:highlight w:val="none"/>
        </w:rPr>
        <w:t>须由法定代表人（负责人）</w:t>
      </w:r>
      <w:r>
        <w:rPr>
          <w:rFonts w:hint="eastAsia" w:asciiTheme="minorEastAsia" w:hAnsiTheme="minorEastAsia" w:eastAsiaTheme="minorEastAsia"/>
          <w:b/>
          <w:color w:val="auto"/>
          <w:kern w:val="2"/>
          <w:szCs w:val="21"/>
          <w:highlight w:val="none"/>
        </w:rPr>
        <w:t>或被授权人签字或盖章</w:t>
      </w:r>
      <w:r>
        <w:rPr>
          <w:rFonts w:asciiTheme="minorEastAsia" w:hAnsiTheme="minorEastAsia" w:eastAsiaTheme="minorEastAsia"/>
          <w:b/>
          <w:color w:val="auto"/>
          <w:kern w:val="2"/>
          <w:szCs w:val="21"/>
          <w:highlight w:val="none"/>
        </w:rPr>
        <w:t>并加盖单位公章。</w:t>
      </w:r>
    </w:p>
    <w:p w14:paraId="2457BCE3">
      <w:pPr>
        <w:spacing w:line="360" w:lineRule="auto"/>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（二）响应文件的语言及计量</w:t>
      </w:r>
      <w:bookmarkEnd w:id="36"/>
      <w:bookmarkEnd w:id="37"/>
      <w:bookmarkEnd w:id="38"/>
      <w:bookmarkEnd w:id="39"/>
    </w:p>
    <w:p w14:paraId="653BEDEB">
      <w:pPr>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1.响应文件以及供应商与磋商采购人就有关投标事宜的所有来往函电，均应以中文汉语书写。除签名、盖章、专用名称等特殊情形外，以中文汉语以外的文字表述的响应文件视同未提供。</w:t>
      </w:r>
    </w:p>
    <w:p w14:paraId="65C84A02">
      <w:pPr>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2.投标计量单位，磋商文件已有明确规定的，使用磋商文件规定的计量单位；磋商文件没有规定的，应采用中华人民共和国法定计量单位（货币单位：人民币元），否则视同未响应。</w:t>
      </w:r>
      <w:bookmarkStart w:id="40" w:name="_Toc405792816"/>
      <w:bookmarkStart w:id="41" w:name="_Toc397670956"/>
      <w:bookmarkStart w:id="42" w:name="_Toc444500051"/>
      <w:bookmarkStart w:id="43" w:name="_Toc397670927"/>
    </w:p>
    <w:p w14:paraId="06EF41A8">
      <w:pPr>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3.供应商应按本次磋商项目进行报价，不得缺项和漏项；</w:t>
      </w:r>
    </w:p>
    <w:p w14:paraId="768A0CFC">
      <w:pPr>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4.供应商应按磋商文件规定的，只允许有一个报价，任何有选择性的报价，将不予接受；</w:t>
      </w:r>
    </w:p>
    <w:p w14:paraId="467D0221">
      <w:pPr>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5.供应商的最终报价由供应商自担全部风险责任；</w:t>
      </w:r>
    </w:p>
    <w:p w14:paraId="3D9A4ED7">
      <w:pPr>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6.各供应商拟采取的竞争措施和提供给采购人的优惠条件应在磋商响应文件中列明；</w:t>
      </w:r>
    </w:p>
    <w:p w14:paraId="4998760A">
      <w:pPr>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7.供应商所有优惠条件和优惠费用不得降低和影响本项目质量；</w:t>
      </w:r>
    </w:p>
    <w:p w14:paraId="64BA4FCF">
      <w:pPr>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8.供应商对磋商文件里有关磋商报价的全部内容应仔细确认，若有个别异议，应在开标前提出修改意见，否则视同全部确认。</w:t>
      </w:r>
    </w:p>
    <w:p w14:paraId="75B7D3E9">
      <w:pPr>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9.供应商按照清单总说明报价要求及其他有关说明进行报价。</w:t>
      </w:r>
    </w:p>
    <w:p w14:paraId="46C53297">
      <w:pPr>
        <w:spacing w:line="360" w:lineRule="auto"/>
        <w:ind w:firstLine="422" w:firstLineChars="200"/>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（三）</w:t>
      </w:r>
      <w:bookmarkEnd w:id="40"/>
      <w:bookmarkEnd w:id="41"/>
      <w:bookmarkEnd w:id="42"/>
      <w:bookmarkEnd w:id="43"/>
      <w:r>
        <w:rPr>
          <w:rFonts w:hint="eastAsia" w:asciiTheme="minorEastAsia" w:hAnsiTheme="minorEastAsia" w:eastAsiaTheme="minorEastAsia"/>
          <w:b/>
          <w:color w:val="auto"/>
          <w:kern w:val="2"/>
          <w:szCs w:val="21"/>
          <w:highlight w:val="none"/>
        </w:rPr>
        <w:t>磋商报价</w:t>
      </w:r>
    </w:p>
    <w:p w14:paraId="27E309E9">
      <w:pPr>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1.磋商报价应按磋商文件中相关附表格式填写。</w:t>
      </w:r>
    </w:p>
    <w:p w14:paraId="408E8542">
      <w:pPr>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2.磋商报价是履行合同的最终价格，应包括为完成本项目所需要所有设备费用、投标费用及为完成本项目直至可以正常运行的等所有费用、税金、利润、及政策性文件规定等各项应有费用。</w:t>
      </w:r>
    </w:p>
    <w:p w14:paraId="2B5C02E8">
      <w:pPr>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3.响应文件只允许有一个报价，有选择的或有条件的报价将不予接受。</w:t>
      </w:r>
    </w:p>
    <w:p w14:paraId="7409D533">
      <w:pPr>
        <w:spacing w:line="360" w:lineRule="auto"/>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（四）响应文件的有效期</w:t>
      </w:r>
    </w:p>
    <w:p w14:paraId="5844795C">
      <w:pPr>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▲1.自提交首次响应文件截止时间截止日起90天响应文件应保持有效。有效期不足的响应文件将被拒绝。</w:t>
      </w:r>
    </w:p>
    <w:p w14:paraId="0283C9ED">
      <w:pPr>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2.在特殊情况下，采购人可与供应商协商延长投标书的有效期，这种要求和答复均以书面形式进行。</w:t>
      </w:r>
    </w:p>
    <w:p w14:paraId="4B6BE4CD">
      <w:pPr>
        <w:spacing w:line="360" w:lineRule="auto"/>
        <w:ind w:firstLine="420" w:firstLineChars="200"/>
        <w:rPr>
          <w:rFonts w:asciiTheme="minorEastAsia" w:hAnsiTheme="minorEastAsia" w:eastAsiaTheme="minorEastAsia"/>
          <w:color w:val="auto"/>
          <w:kern w:val="2"/>
          <w:szCs w:val="21"/>
          <w:highlight w:val="none"/>
        </w:rPr>
      </w:pPr>
      <w:bookmarkStart w:id="44" w:name="_Toc397670957"/>
      <w:bookmarkStart w:id="45" w:name="_Toc397670928"/>
      <w:bookmarkStart w:id="46" w:name="_Toc405792817"/>
      <w:bookmarkStart w:id="47" w:name="_Toc444005837"/>
      <w:bookmarkStart w:id="48" w:name="_Toc444500052"/>
      <w:r>
        <w:rPr>
          <w:rFonts w:hint="eastAsia" w:asciiTheme="minorEastAsia" w:hAnsiTheme="minorEastAsia" w:eastAsiaTheme="minorEastAsia"/>
          <w:color w:val="auto"/>
          <w:kern w:val="2"/>
          <w:szCs w:val="21"/>
          <w:highlight w:val="none"/>
        </w:rPr>
        <w:t>3.供应商可拒绝接受延期要求。同意延长有效期的供应商不能修改响应文件。</w:t>
      </w:r>
      <w:bookmarkEnd w:id="44"/>
      <w:bookmarkEnd w:id="45"/>
      <w:bookmarkEnd w:id="46"/>
      <w:bookmarkEnd w:id="47"/>
      <w:bookmarkEnd w:id="48"/>
      <w:r>
        <w:rPr>
          <w:rFonts w:hint="eastAsia" w:asciiTheme="minorEastAsia" w:hAnsiTheme="minorEastAsia" w:eastAsiaTheme="minorEastAsia"/>
          <w:color w:val="auto"/>
          <w:kern w:val="2"/>
          <w:szCs w:val="21"/>
          <w:highlight w:val="none"/>
        </w:rPr>
        <w:t xml:space="preserve"> </w:t>
      </w:r>
    </w:p>
    <w:p w14:paraId="65D0DD13">
      <w:pPr>
        <w:spacing w:line="360" w:lineRule="auto"/>
        <w:ind w:firstLine="420" w:firstLineChars="200"/>
        <w:rPr>
          <w:rFonts w:asciiTheme="minorEastAsia" w:hAnsiTheme="minorEastAsia" w:eastAsiaTheme="minorEastAsia"/>
          <w:color w:val="auto"/>
          <w:kern w:val="2"/>
          <w:szCs w:val="21"/>
          <w:highlight w:val="none"/>
        </w:rPr>
      </w:pPr>
      <w:bookmarkStart w:id="49" w:name="_Toc397670958"/>
      <w:bookmarkStart w:id="50" w:name="_Toc405792818"/>
      <w:bookmarkStart w:id="51" w:name="_Toc444005838"/>
      <w:bookmarkStart w:id="52" w:name="_Toc444500053"/>
      <w:bookmarkStart w:id="53" w:name="_Toc397670929"/>
      <w:r>
        <w:rPr>
          <w:rFonts w:hint="eastAsia" w:asciiTheme="minorEastAsia" w:hAnsiTheme="minorEastAsia" w:eastAsiaTheme="minorEastAsia"/>
          <w:color w:val="auto"/>
          <w:kern w:val="2"/>
          <w:szCs w:val="21"/>
          <w:highlight w:val="none"/>
        </w:rPr>
        <w:t>4.成交供应商的响应文件自开标之日起至合同履行完毕止均应保持有效。</w:t>
      </w:r>
      <w:bookmarkEnd w:id="49"/>
      <w:bookmarkEnd w:id="50"/>
      <w:bookmarkEnd w:id="51"/>
      <w:bookmarkEnd w:id="52"/>
      <w:bookmarkEnd w:id="53"/>
    </w:p>
    <w:p w14:paraId="696327D3">
      <w:pPr>
        <w:spacing w:line="360" w:lineRule="auto"/>
        <w:rPr>
          <w:rFonts w:asciiTheme="minorEastAsia" w:hAnsiTheme="minorEastAsia" w:eastAsiaTheme="minorEastAsia"/>
          <w:b/>
          <w:color w:val="auto"/>
          <w:kern w:val="2"/>
          <w:szCs w:val="21"/>
          <w:highlight w:val="none"/>
        </w:rPr>
      </w:pPr>
      <w:bookmarkStart w:id="54" w:name="_Toc444500055"/>
      <w:bookmarkStart w:id="55" w:name="_Toc397670931"/>
      <w:bookmarkStart w:id="56" w:name="_Toc405792820"/>
      <w:bookmarkStart w:id="57" w:name="_Toc397670960"/>
      <w:r>
        <w:rPr>
          <w:rFonts w:hint="eastAsia" w:asciiTheme="minorEastAsia" w:hAnsiTheme="minorEastAsia" w:eastAsiaTheme="minorEastAsia"/>
          <w:b/>
          <w:color w:val="auto"/>
          <w:kern w:val="2"/>
          <w:szCs w:val="21"/>
          <w:highlight w:val="none"/>
        </w:rPr>
        <w:t>（五）响应文件的签署和份数</w:t>
      </w:r>
    </w:p>
    <w:p w14:paraId="327D2780">
      <w:pPr>
        <w:pStyle w:val="136"/>
        <w:ind w:firstLine="420"/>
        <w:rPr>
          <w:rFonts w:cs="Times New Roman" w:asciiTheme="minorEastAsia" w:hAnsiTheme="minorEastAsia" w:eastAsiaTheme="minorEastAsia"/>
          <w:color w:val="auto"/>
          <w:kern w:val="2"/>
          <w:sz w:val="21"/>
          <w:szCs w:val="21"/>
          <w:highlight w:val="none"/>
        </w:rPr>
      </w:pPr>
      <w:r>
        <w:rPr>
          <w:rFonts w:hint="eastAsia" w:cs="Times New Roman" w:asciiTheme="minorEastAsia" w:hAnsiTheme="minorEastAsia" w:eastAsiaTheme="minorEastAsia"/>
          <w:color w:val="auto"/>
          <w:kern w:val="2"/>
          <w:sz w:val="21"/>
          <w:szCs w:val="21"/>
          <w:highlight w:val="none"/>
        </w:rPr>
        <w:t>电子交易文件按政采云平台供应商电子招投标操作指南（网址：https://help.zcygov.cn/web/site_2/2018/12-28/2573.html）及本磋商文件规定的格式和顺序编制电子交易文件并进行关联定位。</w:t>
      </w:r>
    </w:p>
    <w:bookmarkEnd w:id="54"/>
    <w:bookmarkEnd w:id="55"/>
    <w:bookmarkEnd w:id="56"/>
    <w:bookmarkEnd w:id="57"/>
    <w:p w14:paraId="3A0D0490">
      <w:pPr>
        <w:spacing w:line="360" w:lineRule="auto"/>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（六）响应文件的修改和撤回</w:t>
      </w:r>
    </w:p>
    <w:p w14:paraId="23A01223">
      <w:pPr>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供应商在提交首次响应文件截止时间之前，可以对已提交的响应文件进行修改或撤回，并书面通知磋商采购人；提交首次响应文件截止时间后，供应商不得撤回、修改响应文件。修改后重新递交的响应文件应当按本磋商文件的要求进行。</w:t>
      </w:r>
    </w:p>
    <w:p w14:paraId="1C29C8C5">
      <w:pPr>
        <w:spacing w:line="360" w:lineRule="auto"/>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（七）投标无效的情形</w:t>
      </w:r>
    </w:p>
    <w:p w14:paraId="6EE3BC36">
      <w:pPr>
        <w:snapToGrid w:val="0"/>
        <w:spacing w:line="360" w:lineRule="auto"/>
        <w:ind w:firstLine="422" w:firstLineChars="200"/>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1.有下列情形之一的，视为供应商串通投标，其投标无效：</w:t>
      </w:r>
    </w:p>
    <w:p w14:paraId="3288B7B0">
      <w:pPr>
        <w:snapToGrid w:val="0"/>
        <w:spacing w:line="360" w:lineRule="auto"/>
        <w:ind w:firstLine="42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1.1不同供应商的响应文件由同一单位或者个人编制；</w:t>
      </w:r>
    </w:p>
    <w:p w14:paraId="439E1777">
      <w:pPr>
        <w:snapToGrid w:val="0"/>
        <w:spacing w:line="360" w:lineRule="auto"/>
        <w:ind w:firstLine="42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1.2不同供应商委托同一单位或者个人办理投标事宜；</w:t>
      </w:r>
    </w:p>
    <w:p w14:paraId="1761171C">
      <w:pPr>
        <w:snapToGrid w:val="0"/>
        <w:spacing w:line="360" w:lineRule="auto"/>
        <w:ind w:firstLine="42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1.3不同供应商的响应文件载明的项目管理成员或者联系人员为同一人；</w:t>
      </w:r>
    </w:p>
    <w:p w14:paraId="3623761E">
      <w:pPr>
        <w:snapToGrid w:val="0"/>
        <w:spacing w:line="360" w:lineRule="auto"/>
        <w:ind w:firstLine="42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1.4不同供应商的响应文件异常一致或者磋商报价呈规律性差异；</w:t>
      </w:r>
    </w:p>
    <w:p w14:paraId="27350278">
      <w:pPr>
        <w:snapToGrid w:val="0"/>
        <w:spacing w:line="360" w:lineRule="auto"/>
        <w:ind w:firstLine="42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1.5不同供应商的响应文件相互混装。</w:t>
      </w:r>
    </w:p>
    <w:p w14:paraId="43BC6C17">
      <w:pPr>
        <w:snapToGrid w:val="0"/>
        <w:spacing w:line="360" w:lineRule="auto"/>
        <w:ind w:firstLine="422"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b/>
          <w:color w:val="auto"/>
          <w:kern w:val="2"/>
          <w:szCs w:val="21"/>
          <w:highlight w:val="none"/>
        </w:rPr>
        <w:t>2.实质上没有响应磋商文件要求的投标将被视为无效投标</w:t>
      </w:r>
      <w:r>
        <w:rPr>
          <w:rFonts w:hint="eastAsia" w:asciiTheme="minorEastAsia" w:hAnsiTheme="minorEastAsia" w:eastAsiaTheme="minorEastAsia"/>
          <w:color w:val="auto"/>
          <w:kern w:val="2"/>
          <w:szCs w:val="21"/>
          <w:highlight w:val="none"/>
        </w:rPr>
        <w:t>。供应商修改、补正投标文件后，不影响磋商小组对其投标文件所作的评价和评分结果。</w:t>
      </w:r>
    </w:p>
    <w:p w14:paraId="0008DDA6">
      <w:pPr>
        <w:snapToGrid w:val="0"/>
        <w:spacing w:line="360" w:lineRule="auto"/>
        <w:ind w:firstLine="413" w:firstLineChars="196"/>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3.电子交易</w:t>
      </w:r>
      <w:r>
        <w:rPr>
          <w:rFonts w:asciiTheme="minorEastAsia" w:hAnsiTheme="minorEastAsia" w:eastAsiaTheme="minorEastAsia"/>
          <w:b/>
          <w:color w:val="auto"/>
          <w:kern w:val="2"/>
          <w:szCs w:val="21"/>
          <w:highlight w:val="none"/>
        </w:rPr>
        <w:t>文件解密失败的，且未在规定时间内提交</w:t>
      </w:r>
      <w:r>
        <w:rPr>
          <w:rFonts w:hint="eastAsia" w:asciiTheme="minorEastAsia" w:hAnsiTheme="minorEastAsia" w:eastAsiaTheme="minorEastAsia"/>
          <w:b/>
          <w:color w:val="auto"/>
          <w:kern w:val="2"/>
          <w:szCs w:val="21"/>
          <w:highlight w:val="none"/>
        </w:rPr>
        <w:t>有效</w:t>
      </w:r>
      <w:r>
        <w:rPr>
          <w:rFonts w:asciiTheme="minorEastAsia" w:hAnsiTheme="minorEastAsia" w:eastAsiaTheme="minorEastAsia"/>
          <w:b/>
          <w:color w:val="auto"/>
          <w:kern w:val="2"/>
          <w:szCs w:val="21"/>
          <w:highlight w:val="none"/>
        </w:rPr>
        <w:t>备份</w:t>
      </w:r>
      <w:r>
        <w:rPr>
          <w:rFonts w:hint="eastAsia" w:asciiTheme="minorEastAsia" w:hAnsiTheme="minorEastAsia" w:eastAsiaTheme="minorEastAsia"/>
          <w:b/>
          <w:color w:val="auto"/>
          <w:kern w:val="2"/>
          <w:szCs w:val="21"/>
          <w:highlight w:val="none"/>
        </w:rPr>
        <w:t>响应文件</w:t>
      </w:r>
      <w:r>
        <w:rPr>
          <w:rFonts w:asciiTheme="minorEastAsia" w:hAnsiTheme="minorEastAsia" w:eastAsiaTheme="minorEastAsia"/>
          <w:b/>
          <w:color w:val="auto"/>
          <w:kern w:val="2"/>
          <w:szCs w:val="21"/>
          <w:highlight w:val="none"/>
        </w:rPr>
        <w:t>的</w:t>
      </w:r>
      <w:r>
        <w:rPr>
          <w:rFonts w:hint="eastAsia" w:asciiTheme="minorEastAsia" w:hAnsiTheme="minorEastAsia" w:eastAsiaTheme="minorEastAsia"/>
          <w:b/>
          <w:color w:val="auto"/>
          <w:kern w:val="2"/>
          <w:szCs w:val="21"/>
          <w:highlight w:val="none"/>
        </w:rPr>
        <w:t>。</w:t>
      </w:r>
    </w:p>
    <w:p w14:paraId="395C2239">
      <w:pPr>
        <w:snapToGrid w:val="0"/>
        <w:spacing w:line="360" w:lineRule="auto"/>
        <w:ind w:firstLine="413" w:firstLineChars="196"/>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4.没有通过资格审查的，响应文件</w:t>
      </w:r>
      <w:r>
        <w:rPr>
          <w:rFonts w:asciiTheme="minorEastAsia" w:hAnsiTheme="minorEastAsia" w:eastAsiaTheme="minorEastAsia"/>
          <w:b/>
          <w:color w:val="auto"/>
          <w:kern w:val="2"/>
          <w:szCs w:val="21"/>
          <w:highlight w:val="none"/>
        </w:rPr>
        <w:t>将被视为无效。</w:t>
      </w:r>
    </w:p>
    <w:p w14:paraId="2E1614DD">
      <w:pPr>
        <w:snapToGrid w:val="0"/>
        <w:spacing w:line="360" w:lineRule="auto"/>
        <w:ind w:firstLine="413" w:firstLineChars="196"/>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5.</w:t>
      </w:r>
      <w:r>
        <w:rPr>
          <w:rFonts w:asciiTheme="minorEastAsia" w:hAnsiTheme="minorEastAsia" w:eastAsiaTheme="minorEastAsia"/>
          <w:b/>
          <w:color w:val="auto"/>
          <w:kern w:val="2"/>
          <w:szCs w:val="21"/>
          <w:highlight w:val="none"/>
        </w:rPr>
        <w:t>在符合性审查和商务评审时，如发现下列情形之一的，</w:t>
      </w:r>
      <w:r>
        <w:rPr>
          <w:rFonts w:hint="eastAsia" w:asciiTheme="minorEastAsia" w:hAnsiTheme="minorEastAsia" w:eastAsiaTheme="minorEastAsia"/>
          <w:b/>
          <w:color w:val="auto"/>
          <w:kern w:val="2"/>
          <w:szCs w:val="21"/>
          <w:highlight w:val="none"/>
        </w:rPr>
        <w:t>响应文件</w:t>
      </w:r>
      <w:r>
        <w:rPr>
          <w:rFonts w:asciiTheme="minorEastAsia" w:hAnsiTheme="minorEastAsia" w:eastAsiaTheme="minorEastAsia"/>
          <w:b/>
          <w:color w:val="auto"/>
          <w:kern w:val="2"/>
          <w:szCs w:val="21"/>
          <w:highlight w:val="none"/>
        </w:rPr>
        <w:t>将被视为无效：</w:t>
      </w:r>
    </w:p>
    <w:p w14:paraId="27FAE0E2">
      <w:pPr>
        <w:snapToGrid w:val="0"/>
        <w:spacing w:line="360" w:lineRule="auto"/>
        <w:ind w:firstLine="411" w:firstLineChars="196"/>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5.1电子响应</w:t>
      </w:r>
      <w:r>
        <w:rPr>
          <w:rFonts w:asciiTheme="minorEastAsia" w:hAnsiTheme="minorEastAsia" w:eastAsiaTheme="minorEastAsia"/>
          <w:color w:val="auto"/>
          <w:kern w:val="2"/>
          <w:szCs w:val="21"/>
          <w:highlight w:val="none"/>
        </w:rPr>
        <w:t>文件未按规定要求提供电子签章的</w:t>
      </w:r>
      <w:r>
        <w:rPr>
          <w:rFonts w:hint="eastAsia" w:asciiTheme="minorEastAsia" w:hAnsiTheme="minorEastAsia" w:eastAsiaTheme="minorEastAsia"/>
          <w:color w:val="auto"/>
          <w:kern w:val="2"/>
          <w:szCs w:val="21"/>
          <w:highlight w:val="none"/>
        </w:rPr>
        <w:t>；</w:t>
      </w:r>
    </w:p>
    <w:p w14:paraId="311A948D">
      <w:pPr>
        <w:snapToGrid w:val="0"/>
        <w:spacing w:line="360" w:lineRule="auto"/>
        <w:ind w:firstLine="411" w:firstLineChars="196"/>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5.2在资信技术文件中出现报价的；</w:t>
      </w:r>
    </w:p>
    <w:p w14:paraId="51A3BBA7">
      <w:pPr>
        <w:snapToGrid w:val="0"/>
        <w:spacing w:line="360" w:lineRule="auto"/>
        <w:ind w:firstLine="411" w:firstLineChars="196"/>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5.3</w:t>
      </w:r>
      <w:r>
        <w:rPr>
          <w:rFonts w:asciiTheme="minorEastAsia" w:hAnsiTheme="minorEastAsia" w:eastAsiaTheme="minorEastAsia"/>
          <w:color w:val="auto"/>
          <w:kern w:val="2"/>
          <w:szCs w:val="21"/>
          <w:highlight w:val="none"/>
        </w:rPr>
        <w:t>资格证明文件不全的，或者不符合</w:t>
      </w:r>
      <w:r>
        <w:rPr>
          <w:rFonts w:hint="eastAsia" w:asciiTheme="minorEastAsia" w:hAnsiTheme="minorEastAsia" w:eastAsiaTheme="minorEastAsia"/>
          <w:color w:val="auto"/>
          <w:kern w:val="2"/>
          <w:szCs w:val="21"/>
          <w:highlight w:val="none"/>
        </w:rPr>
        <w:t>磋商文件</w:t>
      </w:r>
      <w:r>
        <w:rPr>
          <w:rFonts w:asciiTheme="minorEastAsia" w:hAnsiTheme="minorEastAsia" w:eastAsiaTheme="minorEastAsia"/>
          <w:color w:val="auto"/>
          <w:kern w:val="2"/>
          <w:szCs w:val="21"/>
          <w:highlight w:val="none"/>
        </w:rPr>
        <w:t>标明的资格要求的</w:t>
      </w:r>
      <w:r>
        <w:rPr>
          <w:rFonts w:hint="eastAsia" w:asciiTheme="minorEastAsia" w:hAnsiTheme="minorEastAsia" w:eastAsiaTheme="minorEastAsia"/>
          <w:color w:val="auto"/>
          <w:kern w:val="2"/>
          <w:szCs w:val="21"/>
          <w:highlight w:val="none"/>
        </w:rPr>
        <w:t>；</w:t>
      </w:r>
    </w:p>
    <w:p w14:paraId="37EC544D">
      <w:pPr>
        <w:snapToGrid w:val="0"/>
        <w:spacing w:line="360" w:lineRule="auto"/>
        <w:ind w:firstLine="411" w:firstLineChars="196"/>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5.4响应文件</w:t>
      </w:r>
      <w:r>
        <w:rPr>
          <w:rFonts w:asciiTheme="minorEastAsia" w:hAnsiTheme="minorEastAsia" w:eastAsiaTheme="minorEastAsia"/>
          <w:color w:val="auto"/>
          <w:kern w:val="2"/>
          <w:szCs w:val="21"/>
          <w:highlight w:val="none"/>
        </w:rPr>
        <w:t>无法定代表人签字</w:t>
      </w:r>
      <w:r>
        <w:rPr>
          <w:rFonts w:hint="eastAsia" w:asciiTheme="minorEastAsia" w:hAnsiTheme="minorEastAsia" w:eastAsiaTheme="minorEastAsia"/>
          <w:color w:val="auto"/>
          <w:kern w:val="2"/>
          <w:szCs w:val="21"/>
          <w:highlight w:val="none"/>
        </w:rPr>
        <w:t>（或盖章）</w:t>
      </w:r>
      <w:r>
        <w:rPr>
          <w:rFonts w:asciiTheme="minorEastAsia" w:hAnsiTheme="minorEastAsia" w:eastAsiaTheme="minorEastAsia"/>
          <w:color w:val="auto"/>
          <w:kern w:val="2"/>
          <w:szCs w:val="21"/>
          <w:highlight w:val="none"/>
        </w:rPr>
        <w:t>,或未</w:t>
      </w:r>
      <w:r>
        <w:rPr>
          <w:rFonts w:hint="eastAsia" w:asciiTheme="minorEastAsia" w:hAnsiTheme="minorEastAsia" w:eastAsiaTheme="minorEastAsia"/>
          <w:color w:val="auto"/>
          <w:kern w:val="2"/>
          <w:szCs w:val="21"/>
          <w:highlight w:val="none"/>
        </w:rPr>
        <w:t>提供法定代表人授权委托书、投标声明书或者填写项目不齐全的；</w:t>
      </w:r>
    </w:p>
    <w:p w14:paraId="1F352E9D">
      <w:pPr>
        <w:snapToGrid w:val="0"/>
        <w:spacing w:line="360" w:lineRule="auto"/>
        <w:ind w:firstLine="411" w:firstLineChars="196"/>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5.5投标代表人未能出具身份证明或与法定代表人授权委托人身份不符的；</w:t>
      </w:r>
      <w:r>
        <w:rPr>
          <w:rFonts w:asciiTheme="minorEastAsia" w:hAnsiTheme="minorEastAsia" w:eastAsiaTheme="minorEastAsia"/>
          <w:color w:val="auto"/>
          <w:kern w:val="2"/>
          <w:szCs w:val="21"/>
          <w:highlight w:val="none"/>
        </w:rPr>
        <w:t xml:space="preserve"> </w:t>
      </w:r>
    </w:p>
    <w:p w14:paraId="2F423051">
      <w:pPr>
        <w:snapToGrid w:val="0"/>
        <w:spacing w:line="360" w:lineRule="auto"/>
        <w:ind w:firstLine="411" w:firstLineChars="196"/>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5.6响应文件格式不规范、项目不齐全或者内容虚假的；</w:t>
      </w:r>
    </w:p>
    <w:p w14:paraId="296CFA0C">
      <w:pPr>
        <w:snapToGrid w:val="0"/>
        <w:spacing w:line="360" w:lineRule="auto"/>
        <w:ind w:firstLine="411" w:firstLineChars="196"/>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5.7响应文件的实质性内容未使用中文表述、意思表述不明确、前后矛盾或者使用计量单位不符合磋商文件要求的（经磋商小组认定并允许其当场更正的笔误除外）；</w:t>
      </w:r>
    </w:p>
    <w:p w14:paraId="2EC2322B">
      <w:pPr>
        <w:snapToGrid w:val="0"/>
        <w:spacing w:line="360" w:lineRule="auto"/>
        <w:ind w:firstLine="411" w:firstLineChars="196"/>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5.8投标有效期、工期、质保期等商务条款不能满足磋商文件要求的；</w:t>
      </w:r>
    </w:p>
    <w:p w14:paraId="2EE3256C">
      <w:pPr>
        <w:snapToGrid w:val="0"/>
        <w:spacing w:line="360" w:lineRule="auto"/>
        <w:ind w:firstLine="411" w:firstLineChars="196"/>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5.9未实质性响应磋商文件要求或者响应文件有招标方不能接受的附加条件的；</w:t>
      </w:r>
    </w:p>
    <w:p w14:paraId="19D5A863">
      <w:pPr>
        <w:pStyle w:val="22"/>
        <w:snapToGrid w:val="0"/>
        <w:spacing w:line="360" w:lineRule="auto"/>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5.10不符合本磋商文件中的实质性要求条款。</w:t>
      </w:r>
    </w:p>
    <w:p w14:paraId="43BE1508">
      <w:pPr>
        <w:pStyle w:val="22"/>
        <w:snapToGrid w:val="0"/>
        <w:spacing w:line="360" w:lineRule="auto"/>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6.</w:t>
      </w:r>
      <w:r>
        <w:rPr>
          <w:rFonts w:asciiTheme="minorEastAsia" w:hAnsiTheme="minorEastAsia" w:eastAsiaTheme="minorEastAsia"/>
          <w:b/>
          <w:color w:val="auto"/>
          <w:kern w:val="2"/>
          <w:szCs w:val="21"/>
          <w:highlight w:val="none"/>
        </w:rPr>
        <w:t>在技术评审时，如发现下列情形之一的，投标文件将被视为无效：</w:t>
      </w:r>
    </w:p>
    <w:p w14:paraId="1322178D">
      <w:pPr>
        <w:pStyle w:val="22"/>
        <w:snapToGrid w:val="0"/>
        <w:spacing w:line="360" w:lineRule="auto"/>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6.1</w:t>
      </w:r>
      <w:r>
        <w:rPr>
          <w:rFonts w:asciiTheme="minorEastAsia" w:hAnsiTheme="minorEastAsia" w:eastAsiaTheme="minorEastAsia"/>
          <w:color w:val="auto"/>
          <w:kern w:val="2"/>
          <w:szCs w:val="21"/>
          <w:highlight w:val="none"/>
        </w:rPr>
        <w:t>投标文件标明的响应或偏离与事实不符或虚假投标的；</w:t>
      </w:r>
    </w:p>
    <w:p w14:paraId="5267714E">
      <w:pPr>
        <w:pStyle w:val="22"/>
        <w:snapToGrid w:val="0"/>
        <w:spacing w:line="360" w:lineRule="auto"/>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6.2</w:t>
      </w:r>
      <w:r>
        <w:rPr>
          <w:rFonts w:asciiTheme="minorEastAsia" w:hAnsiTheme="minorEastAsia" w:eastAsiaTheme="minorEastAsia"/>
          <w:color w:val="auto"/>
          <w:kern w:val="2"/>
          <w:szCs w:val="21"/>
          <w:highlight w:val="none"/>
        </w:rPr>
        <w:t>明显不符合招标文件</w:t>
      </w:r>
      <w:r>
        <w:rPr>
          <w:rFonts w:hint="eastAsia" w:asciiTheme="minorEastAsia" w:hAnsiTheme="minorEastAsia" w:eastAsiaTheme="minorEastAsia"/>
          <w:color w:val="auto"/>
          <w:kern w:val="2"/>
          <w:szCs w:val="21"/>
          <w:highlight w:val="none"/>
        </w:rPr>
        <w:t>要求</w:t>
      </w:r>
      <w:r>
        <w:rPr>
          <w:rFonts w:asciiTheme="minorEastAsia" w:hAnsiTheme="minorEastAsia" w:eastAsiaTheme="minorEastAsia"/>
          <w:color w:val="auto"/>
          <w:kern w:val="2"/>
          <w:szCs w:val="21"/>
          <w:highlight w:val="none"/>
        </w:rPr>
        <w:t>，或者</w:t>
      </w:r>
      <w:r>
        <w:rPr>
          <w:rFonts w:hint="eastAsia" w:asciiTheme="minorEastAsia" w:hAnsiTheme="minorEastAsia" w:eastAsiaTheme="minorEastAsia"/>
          <w:color w:val="auto"/>
          <w:kern w:val="2"/>
          <w:szCs w:val="21"/>
          <w:highlight w:val="none"/>
        </w:rPr>
        <w:t>与</w:t>
      </w:r>
      <w:r>
        <w:rPr>
          <w:rFonts w:asciiTheme="minorEastAsia" w:hAnsiTheme="minorEastAsia" w:eastAsiaTheme="minorEastAsia"/>
          <w:color w:val="auto"/>
          <w:kern w:val="2"/>
          <w:szCs w:val="21"/>
          <w:highlight w:val="none"/>
        </w:rPr>
        <w:t>招标文件中标“▲”的</w:t>
      </w:r>
      <w:r>
        <w:rPr>
          <w:rFonts w:hint="eastAsia" w:asciiTheme="minorEastAsia" w:hAnsiTheme="minorEastAsia" w:eastAsiaTheme="minorEastAsia"/>
          <w:color w:val="auto"/>
          <w:kern w:val="2"/>
          <w:szCs w:val="21"/>
          <w:highlight w:val="none"/>
        </w:rPr>
        <w:t>要求</w:t>
      </w:r>
      <w:r>
        <w:rPr>
          <w:rFonts w:asciiTheme="minorEastAsia" w:hAnsiTheme="minorEastAsia" w:eastAsiaTheme="minorEastAsia"/>
          <w:color w:val="auto"/>
          <w:kern w:val="2"/>
          <w:szCs w:val="21"/>
          <w:highlight w:val="none"/>
        </w:rPr>
        <w:t>发生实质性偏离的；</w:t>
      </w:r>
    </w:p>
    <w:p w14:paraId="1ED91B5B">
      <w:pPr>
        <w:pStyle w:val="22"/>
        <w:snapToGrid w:val="0"/>
        <w:spacing w:line="360" w:lineRule="auto"/>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7.在报价评审时，</w:t>
      </w:r>
      <w:r>
        <w:rPr>
          <w:rFonts w:asciiTheme="minorEastAsia" w:hAnsiTheme="minorEastAsia" w:eastAsiaTheme="minorEastAsia"/>
          <w:b/>
          <w:color w:val="auto"/>
          <w:kern w:val="2"/>
          <w:szCs w:val="21"/>
          <w:highlight w:val="none"/>
        </w:rPr>
        <w:t>如发现下列情形之一的，</w:t>
      </w:r>
      <w:r>
        <w:rPr>
          <w:rFonts w:hint="eastAsia" w:asciiTheme="minorEastAsia" w:hAnsiTheme="minorEastAsia" w:eastAsiaTheme="minorEastAsia"/>
          <w:b/>
          <w:color w:val="auto"/>
          <w:kern w:val="2"/>
          <w:szCs w:val="21"/>
          <w:highlight w:val="none"/>
        </w:rPr>
        <w:t>响应文件</w:t>
      </w:r>
      <w:r>
        <w:rPr>
          <w:rFonts w:asciiTheme="minorEastAsia" w:hAnsiTheme="minorEastAsia" w:eastAsiaTheme="minorEastAsia"/>
          <w:b/>
          <w:color w:val="auto"/>
          <w:kern w:val="2"/>
          <w:szCs w:val="21"/>
          <w:highlight w:val="none"/>
        </w:rPr>
        <w:t>将被视为无效：</w:t>
      </w:r>
    </w:p>
    <w:p w14:paraId="703FFC6C">
      <w:pPr>
        <w:pStyle w:val="22"/>
        <w:snapToGrid w:val="0"/>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7.1未采用人民币报价或者未按照招标文件标明的币种报价的；</w:t>
      </w:r>
    </w:p>
    <w:p w14:paraId="41364F91">
      <w:pPr>
        <w:pStyle w:val="22"/>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w:t>
      </w:r>
      <w:r>
        <w:rPr>
          <w:rFonts w:asciiTheme="minorEastAsia" w:hAnsiTheme="minorEastAsia" w:eastAsiaTheme="minorEastAsia"/>
          <w:color w:val="auto"/>
          <w:szCs w:val="21"/>
          <w:highlight w:val="none"/>
        </w:rPr>
        <w:t>.2报价超出最高限价</w:t>
      </w:r>
      <w:r>
        <w:rPr>
          <w:rFonts w:hint="eastAsia" w:asciiTheme="minorEastAsia" w:hAnsiTheme="minorEastAsia" w:eastAsiaTheme="minorEastAsia"/>
          <w:color w:val="auto"/>
          <w:szCs w:val="21"/>
          <w:highlight w:val="none"/>
        </w:rPr>
        <w:t>；</w:t>
      </w:r>
    </w:p>
    <w:p w14:paraId="6D934D8F">
      <w:pPr>
        <w:pStyle w:val="22"/>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w:t>
      </w: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 xml:space="preserve">投标报价具有选择性，或者开标价格与投标文件承诺的优惠（折扣）价格不一致的。 </w:t>
      </w:r>
    </w:p>
    <w:p w14:paraId="618F5B61">
      <w:pPr>
        <w:snapToGrid w:val="0"/>
        <w:spacing w:line="360" w:lineRule="auto"/>
        <w:ind w:firstLine="411" w:firstLineChars="196"/>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w:t>
      </w:r>
      <w:r>
        <w:rPr>
          <w:rFonts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投标报价明细表总额与开标一览表总价不一致的。</w:t>
      </w:r>
    </w:p>
    <w:p w14:paraId="01CD017F">
      <w:pPr>
        <w:pStyle w:val="73"/>
        <w:rPr>
          <w:rFonts w:eastAsiaTheme="minorEastAsia"/>
          <w:color w:val="auto"/>
          <w:highlight w:val="none"/>
          <w:lang w:val="en-US"/>
        </w:rPr>
      </w:pPr>
      <w:r>
        <w:rPr>
          <w:rFonts w:hint="eastAsia" w:asciiTheme="minorEastAsia" w:hAnsiTheme="minorEastAsia" w:eastAsiaTheme="minorEastAsia"/>
          <w:color w:val="auto"/>
          <w:szCs w:val="21"/>
          <w:highlight w:val="none"/>
          <w:lang w:val="en-US"/>
        </w:rPr>
        <w:t xml:space="preserve">    </w:t>
      </w:r>
      <w:r>
        <w:rPr>
          <w:rFonts w:hint="eastAsia" w:asciiTheme="minorEastAsia" w:hAnsiTheme="minorEastAsia" w:eastAsiaTheme="minorEastAsia"/>
          <w:color w:val="auto"/>
          <w:sz w:val="21"/>
          <w:szCs w:val="21"/>
          <w:highlight w:val="none"/>
          <w:lang w:val="en-US"/>
        </w:rPr>
        <w:t>7.5投标时未提供工程量报价明细表的。</w:t>
      </w:r>
    </w:p>
    <w:p w14:paraId="5FB86614">
      <w:pPr>
        <w:pStyle w:val="22"/>
        <w:snapToGrid w:val="0"/>
        <w:spacing w:line="360" w:lineRule="auto"/>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8.被拒绝的响应文件为无效。</w:t>
      </w:r>
    </w:p>
    <w:p w14:paraId="69FE177C">
      <w:pPr>
        <w:adjustRightInd w:val="0"/>
        <w:snapToGrid w:val="0"/>
        <w:spacing w:line="360" w:lineRule="auto"/>
        <w:ind w:firstLine="422" w:firstLineChars="200"/>
        <w:jc w:val="center"/>
        <w:rPr>
          <w:rFonts w:asciiTheme="minorEastAsia" w:hAnsiTheme="minorEastAsia" w:eastAsiaTheme="minorEastAsia"/>
          <w:b/>
          <w:color w:val="auto"/>
          <w:kern w:val="2"/>
          <w:szCs w:val="21"/>
          <w:highlight w:val="none"/>
        </w:rPr>
      </w:pPr>
      <w:bookmarkStart w:id="58" w:name="_Toc381081889"/>
      <w:bookmarkStart w:id="59" w:name="_Toc498261257"/>
    </w:p>
    <w:p w14:paraId="40DB1A31">
      <w:pPr>
        <w:pStyle w:val="29"/>
        <w:snapToGrid w:val="0"/>
        <w:spacing w:before="120" w:after="120" w:line="360" w:lineRule="auto"/>
        <w:jc w:val="center"/>
        <w:outlineLvl w:val="1"/>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四、</w:t>
      </w:r>
      <w:bookmarkEnd w:id="58"/>
      <w:bookmarkEnd w:id="59"/>
      <w:bookmarkStart w:id="60" w:name="_Toc498261258"/>
      <w:r>
        <w:rPr>
          <w:rFonts w:hint="eastAsia" w:asciiTheme="minorEastAsia" w:hAnsiTheme="minorEastAsia" w:eastAsiaTheme="minorEastAsia"/>
          <w:b/>
          <w:color w:val="auto"/>
          <w:szCs w:val="21"/>
          <w:highlight w:val="none"/>
        </w:rPr>
        <w:t>磋商准备</w:t>
      </w:r>
    </w:p>
    <w:p w14:paraId="7B683011">
      <w:pPr>
        <w:pStyle w:val="29"/>
        <w:snapToGrid w:val="0"/>
        <w:spacing w:line="360" w:lineRule="auto"/>
        <w:ind w:firstLine="420"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1.本项目实行电子开评标，供应商无需到开标现场，但须准时在线参加，直至评审结束。。</w:t>
      </w:r>
    </w:p>
    <w:p w14:paraId="3196C343">
      <w:pPr>
        <w:pStyle w:val="22"/>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2.电子开评标及评审程序</w:t>
      </w:r>
    </w:p>
    <w:p w14:paraId="7446FC12">
      <w:pPr>
        <w:pStyle w:val="22"/>
        <w:snapToGrid w:val="0"/>
        <w:spacing w:line="360" w:lineRule="auto"/>
        <w:ind w:firstLine="411" w:firstLineChars="196"/>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2.1投标截止时间后的半小时内，由各供应商自行对电子投标文件进行解密（请各供应商务必在规定时间内完成电子投标文件的解密工作。 </w:t>
      </w:r>
    </w:p>
    <w:p w14:paraId="32FABF90">
      <w:pPr>
        <w:pStyle w:val="22"/>
        <w:snapToGrid w:val="0"/>
        <w:spacing w:line="360" w:lineRule="auto"/>
        <w:ind w:firstLine="411" w:firstLineChars="196"/>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2.2采购人或代理机构对供应商的资格审查文件进行</w:t>
      </w:r>
      <w:r>
        <w:rPr>
          <w:rFonts w:asciiTheme="minorEastAsia" w:hAnsiTheme="minorEastAsia" w:eastAsiaTheme="minorEastAsia"/>
          <w:color w:val="auto"/>
          <w:szCs w:val="21"/>
          <w:highlight w:val="none"/>
        </w:rPr>
        <w:t>审查；</w:t>
      </w:r>
      <w:r>
        <w:rPr>
          <w:rFonts w:hint="eastAsia" w:asciiTheme="minorEastAsia" w:hAnsiTheme="minorEastAsia" w:eastAsiaTheme="minorEastAsia"/>
          <w:color w:val="auto"/>
          <w:szCs w:val="21"/>
          <w:highlight w:val="none"/>
        </w:rPr>
        <w:t>磋商小组对供应商的资信技术响应文件进行评审；</w:t>
      </w:r>
    </w:p>
    <w:p w14:paraId="14660E72">
      <w:pPr>
        <w:pStyle w:val="22"/>
        <w:snapToGrid w:val="0"/>
        <w:spacing w:line="360" w:lineRule="auto"/>
        <w:ind w:firstLine="411" w:firstLineChars="196"/>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2.3磋商小组对报价文件进行评审；</w:t>
      </w:r>
    </w:p>
    <w:p w14:paraId="4CABE335">
      <w:pPr>
        <w:pStyle w:val="22"/>
        <w:snapToGrid w:val="0"/>
        <w:spacing w:line="360" w:lineRule="auto"/>
        <w:ind w:firstLine="411" w:firstLineChars="196"/>
        <w:rPr>
          <w:rFonts w:asciiTheme="minorEastAsia" w:hAnsiTheme="minorEastAsia" w:eastAsiaTheme="minorEastAsia"/>
          <w:b/>
          <w:color w:val="auto"/>
          <w:szCs w:val="21"/>
          <w:highlight w:val="none"/>
        </w:rPr>
      </w:pPr>
      <w:r>
        <w:rPr>
          <w:rFonts w:asciiTheme="minorEastAsia" w:hAnsiTheme="minorEastAsia" w:eastAsiaTheme="minorEastAsia"/>
          <w:color w:val="auto"/>
          <w:szCs w:val="21"/>
          <w:highlight w:val="none"/>
        </w:rPr>
        <w:t>2.4</w:t>
      </w:r>
      <w:r>
        <w:rPr>
          <w:rFonts w:hint="eastAsia" w:asciiTheme="minorEastAsia" w:hAnsiTheme="minorEastAsia" w:eastAsiaTheme="minorEastAsia"/>
          <w:color w:val="auto"/>
          <w:szCs w:val="21"/>
          <w:highlight w:val="none"/>
        </w:rPr>
        <w:t>磋商小组</w:t>
      </w:r>
      <w:r>
        <w:rPr>
          <w:rFonts w:asciiTheme="minorEastAsia" w:hAnsiTheme="minorEastAsia" w:eastAsiaTheme="minorEastAsia"/>
          <w:color w:val="auto"/>
          <w:szCs w:val="21"/>
          <w:highlight w:val="none"/>
        </w:rPr>
        <w:t>撰写评审报告，推荐中标候选人。</w:t>
      </w:r>
    </w:p>
    <w:p w14:paraId="77B33472">
      <w:pPr>
        <w:pStyle w:val="29"/>
        <w:snapToGrid w:val="0"/>
        <w:spacing w:before="120" w:after="120" w:line="360" w:lineRule="auto"/>
        <w:jc w:val="center"/>
        <w:outlineLvl w:val="1"/>
        <w:rPr>
          <w:rFonts w:asciiTheme="minorEastAsia" w:hAnsiTheme="minorEastAsia" w:eastAsiaTheme="minorEastAsia"/>
          <w:b/>
          <w:color w:val="auto"/>
          <w:szCs w:val="21"/>
          <w:highlight w:val="none"/>
        </w:rPr>
      </w:pPr>
    </w:p>
    <w:p w14:paraId="7D02B386">
      <w:pPr>
        <w:pStyle w:val="29"/>
        <w:snapToGrid w:val="0"/>
        <w:spacing w:before="120" w:after="120" w:line="360" w:lineRule="auto"/>
        <w:jc w:val="center"/>
        <w:outlineLvl w:val="1"/>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五、</w:t>
      </w:r>
      <w:r>
        <w:rPr>
          <w:rFonts w:asciiTheme="minorEastAsia" w:hAnsiTheme="minorEastAsia" w:eastAsiaTheme="minorEastAsia"/>
          <w:b/>
          <w:color w:val="auto"/>
          <w:szCs w:val="21"/>
          <w:highlight w:val="none"/>
        </w:rPr>
        <w:t>磋商程序</w:t>
      </w:r>
      <w:bookmarkEnd w:id="60"/>
    </w:p>
    <w:p w14:paraId="02316A4F">
      <w:pPr>
        <w:pStyle w:val="29"/>
        <w:snapToGrid w:val="0"/>
        <w:spacing w:line="360" w:lineRule="auto"/>
        <w:ind w:firstLine="422" w:firstLineChars="200"/>
        <w:rPr>
          <w:rFonts w:asciiTheme="minorEastAsia" w:hAnsiTheme="minorEastAsia" w:eastAsiaTheme="minorEastAsia"/>
          <w:b/>
          <w:color w:val="auto"/>
          <w:kern w:val="0"/>
          <w:szCs w:val="21"/>
          <w:highlight w:val="none"/>
        </w:rPr>
      </w:pPr>
      <w:bookmarkStart w:id="61" w:name="_Toc192313120"/>
      <w:r>
        <w:rPr>
          <w:rFonts w:asciiTheme="minorEastAsia" w:hAnsiTheme="minorEastAsia" w:eastAsiaTheme="minorEastAsia"/>
          <w:b/>
          <w:color w:val="auto"/>
          <w:kern w:val="0"/>
          <w:szCs w:val="21"/>
          <w:highlight w:val="none"/>
        </w:rPr>
        <w:t>（一）组建磋商小组</w:t>
      </w:r>
    </w:p>
    <w:p w14:paraId="1A167826">
      <w:pPr>
        <w:pStyle w:val="29"/>
        <w:snapToGrid w:val="0"/>
        <w:spacing w:line="360" w:lineRule="auto"/>
        <w:ind w:firstLine="420" w:firstLineChars="200"/>
        <w:rPr>
          <w:rFonts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本项目磋商小组由政府采购评审专家</w:t>
      </w:r>
      <w:r>
        <w:rPr>
          <w:rFonts w:hint="eastAsia" w:asciiTheme="minorEastAsia" w:hAnsiTheme="minorEastAsia" w:eastAsiaTheme="minorEastAsia"/>
          <w:color w:val="auto"/>
          <w:kern w:val="0"/>
          <w:szCs w:val="21"/>
          <w:highlight w:val="none"/>
        </w:rPr>
        <w:t>2</w:t>
      </w:r>
      <w:r>
        <w:rPr>
          <w:rFonts w:asciiTheme="minorEastAsia" w:hAnsiTheme="minorEastAsia" w:eastAsiaTheme="minorEastAsia"/>
          <w:color w:val="auto"/>
          <w:kern w:val="0"/>
          <w:szCs w:val="21"/>
          <w:highlight w:val="none"/>
        </w:rPr>
        <w:t>人</w:t>
      </w:r>
      <w:r>
        <w:rPr>
          <w:rFonts w:hint="eastAsia" w:asciiTheme="minorEastAsia" w:hAnsiTheme="minorEastAsia" w:eastAsiaTheme="minorEastAsia"/>
          <w:color w:val="auto"/>
          <w:kern w:val="0"/>
          <w:szCs w:val="21"/>
          <w:highlight w:val="none"/>
        </w:rPr>
        <w:t>、</w:t>
      </w:r>
      <w:r>
        <w:rPr>
          <w:rFonts w:asciiTheme="minorEastAsia" w:hAnsiTheme="minorEastAsia" w:eastAsiaTheme="minorEastAsia"/>
          <w:color w:val="auto"/>
          <w:kern w:val="0"/>
          <w:szCs w:val="21"/>
          <w:highlight w:val="none"/>
        </w:rPr>
        <w:t>采购人代表1人</w:t>
      </w:r>
      <w:r>
        <w:rPr>
          <w:rFonts w:hint="eastAsia" w:asciiTheme="minorEastAsia" w:hAnsiTheme="minorEastAsia" w:eastAsiaTheme="minorEastAsia"/>
          <w:color w:val="auto"/>
          <w:kern w:val="0"/>
          <w:szCs w:val="21"/>
          <w:highlight w:val="none"/>
        </w:rPr>
        <w:t>，</w:t>
      </w:r>
      <w:r>
        <w:rPr>
          <w:rFonts w:asciiTheme="minorEastAsia" w:hAnsiTheme="minorEastAsia" w:eastAsiaTheme="minorEastAsia"/>
          <w:color w:val="auto"/>
          <w:kern w:val="0"/>
          <w:szCs w:val="21"/>
          <w:highlight w:val="none"/>
        </w:rPr>
        <w:t>共</w:t>
      </w:r>
      <w:r>
        <w:rPr>
          <w:rFonts w:hint="eastAsia" w:asciiTheme="minorEastAsia" w:hAnsiTheme="minorEastAsia" w:eastAsiaTheme="minorEastAsia"/>
          <w:color w:val="auto"/>
          <w:kern w:val="0"/>
          <w:szCs w:val="21"/>
          <w:highlight w:val="none"/>
        </w:rPr>
        <w:t>3</w:t>
      </w:r>
      <w:r>
        <w:rPr>
          <w:rFonts w:asciiTheme="minorEastAsia" w:hAnsiTheme="minorEastAsia" w:eastAsiaTheme="minorEastAsia"/>
          <w:color w:val="auto"/>
          <w:kern w:val="0"/>
          <w:szCs w:val="21"/>
          <w:highlight w:val="none"/>
        </w:rPr>
        <w:t>人组成。</w:t>
      </w:r>
    </w:p>
    <w:p w14:paraId="68CA622B">
      <w:pPr>
        <w:pStyle w:val="29"/>
        <w:snapToGrid w:val="0"/>
        <w:spacing w:line="360" w:lineRule="auto"/>
        <w:ind w:firstLine="420"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磋商小组负责具体评标事务，并独立履行下列职责：</w:t>
      </w:r>
    </w:p>
    <w:p w14:paraId="5AACDD48">
      <w:pPr>
        <w:pStyle w:val="29"/>
        <w:snapToGrid w:val="0"/>
        <w:spacing w:line="360" w:lineRule="auto"/>
        <w:ind w:firstLine="420"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1、审查、评价磋商文件是否符合磋商文件的商务、技术等实质性要求;</w:t>
      </w:r>
    </w:p>
    <w:p w14:paraId="44352555">
      <w:pPr>
        <w:pStyle w:val="29"/>
        <w:snapToGrid w:val="0"/>
        <w:spacing w:line="360" w:lineRule="auto"/>
        <w:ind w:firstLine="420"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2、磋商过程中要求供应商对磋商文件有关事项作出澄清或者说明;</w:t>
      </w:r>
    </w:p>
    <w:p w14:paraId="68CD4623">
      <w:pPr>
        <w:pStyle w:val="29"/>
        <w:snapToGrid w:val="0"/>
        <w:spacing w:line="360" w:lineRule="auto"/>
        <w:ind w:firstLine="420"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3、对磋商文件进行比较和评价;</w:t>
      </w:r>
    </w:p>
    <w:p w14:paraId="42B15C64">
      <w:pPr>
        <w:pStyle w:val="29"/>
        <w:snapToGrid w:val="0"/>
        <w:spacing w:line="360" w:lineRule="auto"/>
        <w:ind w:firstLine="420"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4、确定成交候选人名单，以及根据采购人委托直接确定成交供应商;</w:t>
      </w:r>
    </w:p>
    <w:p w14:paraId="5525C971">
      <w:pPr>
        <w:pStyle w:val="29"/>
        <w:snapToGrid w:val="0"/>
        <w:spacing w:line="360" w:lineRule="auto"/>
        <w:ind w:firstLine="420"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5、向采购人、集中采购机构或者有关部门报告评标中发现的违法行为。</w:t>
      </w:r>
    </w:p>
    <w:p w14:paraId="195F70BE">
      <w:pPr>
        <w:pStyle w:val="29"/>
        <w:snapToGrid w:val="0"/>
        <w:spacing w:line="360" w:lineRule="auto"/>
        <w:ind w:firstLine="420"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除采购人代表、评标现场组织人员外，采购人的其他工作人员以及与评标工作无关的人员不得进入评标现场。</w:t>
      </w:r>
    </w:p>
    <w:p w14:paraId="7FD8B8B5">
      <w:pPr>
        <w:pStyle w:val="29"/>
        <w:snapToGrid w:val="0"/>
        <w:spacing w:before="120" w:after="120" w:line="360" w:lineRule="auto"/>
        <w:ind w:firstLine="413" w:firstLineChars="196"/>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（二）</w:t>
      </w:r>
      <w:r>
        <w:rPr>
          <w:rFonts w:hint="eastAsia" w:asciiTheme="minorEastAsia" w:hAnsiTheme="minorEastAsia" w:eastAsiaTheme="minorEastAsia"/>
          <w:b/>
          <w:color w:val="auto"/>
          <w:szCs w:val="21"/>
          <w:highlight w:val="none"/>
        </w:rPr>
        <w:t>磋商</w:t>
      </w:r>
      <w:r>
        <w:rPr>
          <w:rFonts w:asciiTheme="minorEastAsia" w:hAnsiTheme="minorEastAsia" w:eastAsiaTheme="minorEastAsia"/>
          <w:b/>
          <w:color w:val="auto"/>
          <w:szCs w:val="21"/>
          <w:highlight w:val="none"/>
        </w:rPr>
        <w:t>的方式</w:t>
      </w:r>
    </w:p>
    <w:p w14:paraId="425E4CAA">
      <w:pPr>
        <w:snapToGrid w:val="0"/>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本项目采用不公开方式</w:t>
      </w:r>
      <w:r>
        <w:rPr>
          <w:rFonts w:hint="eastAsia" w:asciiTheme="minorEastAsia" w:hAnsiTheme="minorEastAsia" w:eastAsiaTheme="minorEastAsia"/>
          <w:color w:val="auto"/>
          <w:szCs w:val="21"/>
          <w:highlight w:val="none"/>
        </w:rPr>
        <w:t>磋商</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磋商</w:t>
      </w:r>
      <w:r>
        <w:rPr>
          <w:rFonts w:asciiTheme="minorEastAsia" w:hAnsiTheme="minorEastAsia" w:eastAsiaTheme="minorEastAsia"/>
          <w:color w:val="auto"/>
          <w:szCs w:val="21"/>
          <w:highlight w:val="none"/>
        </w:rPr>
        <w:t>的依据为</w:t>
      </w:r>
      <w:r>
        <w:rPr>
          <w:rFonts w:hint="eastAsia" w:asciiTheme="minorEastAsia" w:hAnsiTheme="minorEastAsia" w:eastAsiaTheme="minorEastAsia"/>
          <w:color w:val="auto"/>
          <w:szCs w:val="21"/>
          <w:highlight w:val="none"/>
        </w:rPr>
        <w:t>竞争性磋商</w:t>
      </w:r>
      <w:r>
        <w:rPr>
          <w:rFonts w:asciiTheme="minorEastAsia" w:hAnsiTheme="minorEastAsia" w:eastAsiaTheme="minorEastAsia"/>
          <w:color w:val="auto"/>
          <w:szCs w:val="21"/>
          <w:highlight w:val="none"/>
        </w:rPr>
        <w:t>文件和</w:t>
      </w:r>
      <w:r>
        <w:rPr>
          <w:rFonts w:hint="eastAsia" w:asciiTheme="minorEastAsia" w:hAnsiTheme="minorEastAsia" w:eastAsiaTheme="minorEastAsia"/>
          <w:color w:val="auto"/>
          <w:szCs w:val="21"/>
          <w:highlight w:val="none"/>
        </w:rPr>
        <w:t>响应</w:t>
      </w:r>
      <w:r>
        <w:rPr>
          <w:rFonts w:asciiTheme="minorEastAsia" w:hAnsiTheme="minorEastAsia" w:eastAsiaTheme="minorEastAsia"/>
          <w:color w:val="auto"/>
          <w:szCs w:val="21"/>
          <w:highlight w:val="none"/>
        </w:rPr>
        <w:t>文件。</w:t>
      </w:r>
    </w:p>
    <w:p w14:paraId="759F6ED3">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1.磋商步骤</w:t>
      </w:r>
    </w:p>
    <w:p w14:paraId="211968BB">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1.1磋商小组讨论、通过磋商工作流程和磋商要点。</w:t>
      </w:r>
    </w:p>
    <w:p w14:paraId="704ADD1B">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1.2</w:t>
      </w:r>
      <w:r>
        <w:rPr>
          <w:rFonts w:hint="eastAsia" w:asciiTheme="minorEastAsia" w:hAnsiTheme="minorEastAsia" w:eastAsiaTheme="minorEastAsia"/>
          <w:color w:val="auto"/>
          <w:szCs w:val="21"/>
          <w:highlight w:val="none"/>
        </w:rPr>
        <w:t>经办人</w:t>
      </w:r>
      <w:r>
        <w:rPr>
          <w:rFonts w:asciiTheme="minorEastAsia" w:hAnsiTheme="minorEastAsia" w:eastAsiaTheme="minorEastAsia"/>
          <w:color w:val="auto"/>
          <w:szCs w:val="21"/>
          <w:highlight w:val="none"/>
        </w:rPr>
        <w:t>宣布磋商的有关事项；</w:t>
      </w:r>
    </w:p>
    <w:p w14:paraId="4C48B71D">
      <w:pPr>
        <w:snapToGrid w:val="0"/>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1.3</w:t>
      </w:r>
      <w:r>
        <w:rPr>
          <w:rFonts w:hint="eastAsia" w:asciiTheme="minorEastAsia" w:hAnsiTheme="minorEastAsia" w:eastAsiaTheme="minorEastAsia"/>
          <w:color w:val="auto"/>
          <w:szCs w:val="21"/>
          <w:highlight w:val="none"/>
        </w:rPr>
        <w:t>磋商小组对所提交的响应资信技术文件进行审查，审查结束后，由经办人公布无效响应方名单、响应无效的原因、废标情况；</w:t>
      </w:r>
    </w:p>
    <w:p w14:paraId="29060F00">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1.4磋商小组与各</w:t>
      </w:r>
      <w:r>
        <w:rPr>
          <w:rFonts w:hint="eastAsia" w:asciiTheme="minorEastAsia" w:hAnsiTheme="minorEastAsia" w:eastAsiaTheme="minorEastAsia"/>
          <w:color w:val="auto"/>
          <w:szCs w:val="21"/>
          <w:highlight w:val="none"/>
        </w:rPr>
        <w:t>供应商就技术参数要素分别进行磋商。逐家磋商一次为一个轮次，磋商轮次可为二轮。本项目二轮商务报价由政采云系统平台发起。</w:t>
      </w:r>
    </w:p>
    <w:p w14:paraId="6CF10D68">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1.5在磋商过程中，采购人和磋商对象可就合同内容进行磋商，技术服务需求如双方都认为有必要的情况可作相应微调，但评分标准不作调整。</w:t>
      </w:r>
    </w:p>
    <w:p w14:paraId="5D2A44A3">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1.6如磋商过程中有调整的内容，在最后一轮报价前，我中心和采购</w:t>
      </w:r>
      <w:r>
        <w:rPr>
          <w:rFonts w:hint="eastAsia" w:asciiTheme="minorEastAsia" w:hAnsiTheme="minorEastAsia" w:eastAsiaTheme="minorEastAsia"/>
          <w:color w:val="auto"/>
          <w:szCs w:val="21"/>
          <w:highlight w:val="none"/>
        </w:rPr>
        <w:t>人</w:t>
      </w:r>
      <w:r>
        <w:rPr>
          <w:rFonts w:asciiTheme="minorEastAsia" w:hAnsiTheme="minorEastAsia" w:eastAsiaTheme="minorEastAsia"/>
          <w:color w:val="auto"/>
          <w:szCs w:val="21"/>
          <w:highlight w:val="none"/>
        </w:rPr>
        <w:t>将根据磋商内容将调整的部分发给符合参与最后一轮报价的供应商，以便其在最后一轮报价中调整报价。</w:t>
      </w:r>
    </w:p>
    <w:p w14:paraId="1F411828">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1.7磋商小组根据本磋商文件的评审方法对各供应商的资信技术服务情况进行评审打分。工作人员按照磋商小组独立评定结果进行算术平均值计算。</w:t>
      </w:r>
    </w:p>
    <w:p w14:paraId="79E3591A">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8</w:t>
      </w:r>
      <w:r>
        <w:rPr>
          <w:rFonts w:asciiTheme="minorEastAsia" w:hAnsiTheme="minorEastAsia" w:eastAsiaTheme="minorEastAsia"/>
          <w:color w:val="auto"/>
          <w:szCs w:val="21"/>
          <w:highlight w:val="none"/>
        </w:rPr>
        <w:t>磋商结束后，</w:t>
      </w:r>
      <w:r>
        <w:rPr>
          <w:rFonts w:hint="eastAsia" w:asciiTheme="minorEastAsia" w:hAnsiTheme="minorEastAsia" w:eastAsiaTheme="minorEastAsia"/>
          <w:color w:val="auto"/>
          <w:szCs w:val="21"/>
          <w:highlight w:val="none"/>
        </w:rPr>
        <w:t>各供应商在规定时间内通过系统进行第一轮报价并</w:t>
      </w:r>
      <w:r>
        <w:rPr>
          <w:rFonts w:asciiTheme="minorEastAsia" w:hAnsiTheme="minorEastAsia" w:eastAsiaTheme="minorEastAsia"/>
          <w:color w:val="auto"/>
          <w:szCs w:val="21"/>
          <w:highlight w:val="none"/>
        </w:rPr>
        <w:t>CA签章确认</w:t>
      </w:r>
      <w:r>
        <w:rPr>
          <w:rFonts w:hint="eastAsia" w:asciiTheme="minorEastAsia" w:hAnsiTheme="minorEastAsia" w:eastAsiaTheme="minorEastAsia"/>
          <w:color w:val="auto"/>
          <w:szCs w:val="21"/>
          <w:highlight w:val="none"/>
        </w:rPr>
        <w:t>，第一轮报价确认结束后</w:t>
      </w:r>
      <w:r>
        <w:rPr>
          <w:rFonts w:asciiTheme="minorEastAsia" w:hAnsiTheme="minorEastAsia" w:eastAsiaTheme="minorEastAsia"/>
          <w:color w:val="auto"/>
          <w:szCs w:val="21"/>
          <w:highlight w:val="none"/>
        </w:rPr>
        <w:t>各供应商进行</w:t>
      </w:r>
      <w:r>
        <w:rPr>
          <w:rFonts w:hint="eastAsia" w:asciiTheme="minorEastAsia" w:hAnsiTheme="minorEastAsia" w:eastAsiaTheme="minorEastAsia"/>
          <w:color w:val="auto"/>
          <w:szCs w:val="21"/>
          <w:highlight w:val="none"/>
        </w:rPr>
        <w:t>二轮报价，</w:t>
      </w:r>
      <w:r>
        <w:rPr>
          <w:rFonts w:asciiTheme="minorEastAsia" w:hAnsiTheme="minorEastAsia" w:eastAsiaTheme="minorEastAsia"/>
          <w:color w:val="auto"/>
          <w:szCs w:val="21"/>
          <w:highlight w:val="none"/>
        </w:rPr>
        <w:t>在规定时间内没有提交最后报价的供应商，视为退出磋商</w:t>
      </w:r>
      <w:r>
        <w:rPr>
          <w:rFonts w:hint="eastAsia" w:asciiTheme="minorEastAsia" w:hAnsiTheme="minorEastAsia" w:eastAsiaTheme="minorEastAsia"/>
          <w:color w:val="auto"/>
          <w:szCs w:val="21"/>
          <w:highlight w:val="none"/>
        </w:rPr>
        <w:t>。</w:t>
      </w:r>
    </w:p>
    <w:p w14:paraId="6BBC917B">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1.9.工作人员</w:t>
      </w:r>
      <w:r>
        <w:rPr>
          <w:rFonts w:hint="eastAsia" w:asciiTheme="minorEastAsia" w:hAnsiTheme="minorEastAsia" w:eastAsiaTheme="minorEastAsia"/>
          <w:color w:val="auto"/>
          <w:szCs w:val="21"/>
          <w:highlight w:val="none"/>
        </w:rPr>
        <w:t>经系统</w:t>
      </w:r>
      <w:r>
        <w:rPr>
          <w:rFonts w:asciiTheme="minorEastAsia" w:hAnsiTheme="minorEastAsia" w:eastAsiaTheme="minorEastAsia"/>
          <w:color w:val="auto"/>
          <w:szCs w:val="21"/>
          <w:highlight w:val="none"/>
        </w:rPr>
        <w:t>查验最</w:t>
      </w:r>
      <w:r>
        <w:rPr>
          <w:rFonts w:hint="eastAsia" w:asciiTheme="minorEastAsia" w:hAnsiTheme="minorEastAsia" w:eastAsiaTheme="minorEastAsia"/>
          <w:color w:val="auto"/>
          <w:szCs w:val="21"/>
          <w:highlight w:val="none"/>
        </w:rPr>
        <w:t>后</w:t>
      </w:r>
      <w:r>
        <w:rPr>
          <w:rFonts w:asciiTheme="minorEastAsia" w:hAnsiTheme="minorEastAsia" w:eastAsiaTheme="minorEastAsia"/>
          <w:color w:val="auto"/>
          <w:szCs w:val="21"/>
          <w:highlight w:val="none"/>
        </w:rPr>
        <w:t>报价的情况，</w:t>
      </w:r>
      <w:r>
        <w:rPr>
          <w:rFonts w:hint="eastAsia" w:asciiTheme="minorEastAsia" w:hAnsiTheme="minorEastAsia" w:eastAsiaTheme="minorEastAsia"/>
          <w:color w:val="auto"/>
          <w:szCs w:val="21"/>
          <w:highlight w:val="none"/>
        </w:rPr>
        <w:t>按规定进入价格标评审的磋商最后报价。</w:t>
      </w:r>
    </w:p>
    <w:p w14:paraId="02B03661">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1.10.磋商小组对最</w:t>
      </w:r>
      <w:r>
        <w:rPr>
          <w:rFonts w:hint="eastAsia" w:asciiTheme="minorEastAsia" w:hAnsiTheme="minorEastAsia" w:eastAsiaTheme="minorEastAsia"/>
          <w:color w:val="auto"/>
          <w:szCs w:val="21"/>
          <w:highlight w:val="none"/>
        </w:rPr>
        <w:t>后</w:t>
      </w:r>
      <w:r>
        <w:rPr>
          <w:rFonts w:asciiTheme="minorEastAsia" w:hAnsiTheme="minorEastAsia" w:eastAsiaTheme="minorEastAsia"/>
          <w:color w:val="auto"/>
          <w:szCs w:val="21"/>
          <w:highlight w:val="none"/>
        </w:rPr>
        <w:t>报价的合理性进行审核，决定是否结束磋商。若报价合理，磋商小组则根据第</w:t>
      </w:r>
      <w:r>
        <w:rPr>
          <w:rFonts w:hint="eastAsia" w:asciiTheme="minorEastAsia" w:hAnsiTheme="minorEastAsia" w:eastAsiaTheme="minorEastAsia"/>
          <w:color w:val="auto"/>
          <w:szCs w:val="21"/>
          <w:highlight w:val="none"/>
        </w:rPr>
        <w:t>四章评审方法计算出总得分并按照排序由高到低的原则推荐候选供应商；</w:t>
      </w:r>
    </w:p>
    <w:p w14:paraId="53AED171">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1.11.磋商结束后，</w:t>
      </w:r>
      <w:r>
        <w:rPr>
          <w:rFonts w:hint="eastAsia" w:asciiTheme="minorEastAsia" w:hAnsiTheme="minorEastAsia" w:eastAsiaTheme="minorEastAsia"/>
          <w:color w:val="auto"/>
          <w:szCs w:val="21"/>
          <w:highlight w:val="none"/>
        </w:rPr>
        <w:t>经办人</w:t>
      </w:r>
      <w:r>
        <w:rPr>
          <w:rFonts w:asciiTheme="minorEastAsia" w:hAnsiTheme="minorEastAsia" w:eastAsiaTheme="minorEastAsia"/>
          <w:color w:val="auto"/>
          <w:szCs w:val="21"/>
          <w:highlight w:val="none"/>
        </w:rPr>
        <w:t>公布有效</w:t>
      </w:r>
      <w:r>
        <w:rPr>
          <w:rFonts w:hint="eastAsia" w:asciiTheme="minorEastAsia" w:hAnsiTheme="minorEastAsia" w:eastAsiaTheme="minorEastAsia"/>
          <w:color w:val="auto"/>
          <w:szCs w:val="21"/>
          <w:highlight w:val="none"/>
        </w:rPr>
        <w:t>供应商的总得分结果和推荐排名。</w:t>
      </w:r>
    </w:p>
    <w:p w14:paraId="5EB504BD">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1.12.磋商原则：磋商小组必须公平、公正、客观，不带任何倾向性和启发性；不得向外界透露任何与磋商有关的内容；任何单位和个人不得干扰、影响磋商的正常进行；磋商小组及有关工作人员不得私下与</w:t>
      </w:r>
      <w:r>
        <w:rPr>
          <w:rFonts w:hint="eastAsia" w:asciiTheme="minorEastAsia" w:hAnsiTheme="minorEastAsia" w:eastAsiaTheme="minorEastAsia"/>
          <w:color w:val="auto"/>
          <w:szCs w:val="21"/>
          <w:highlight w:val="none"/>
        </w:rPr>
        <w:t>响应方接触。</w:t>
      </w:r>
      <w:bookmarkStart w:id="62" w:name="_Toc522609461"/>
    </w:p>
    <w:p w14:paraId="21488955">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响应文件的澄清</w:t>
      </w:r>
      <w:bookmarkEnd w:id="62"/>
    </w:p>
    <w:p w14:paraId="07FD2492">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2.l在磋商期间，磋商小组有权要求供应商对其</w:t>
      </w:r>
      <w:r>
        <w:rPr>
          <w:rFonts w:hint="eastAsia" w:asciiTheme="minorEastAsia" w:hAnsiTheme="minorEastAsia" w:eastAsiaTheme="minorEastAsia"/>
          <w:color w:val="auto"/>
          <w:szCs w:val="21"/>
          <w:highlight w:val="none"/>
        </w:rPr>
        <w:t>响应文件含义不明确、同类问题表述不一致或者有明显文字和计算错误的内容进行澄清。</w:t>
      </w:r>
    </w:p>
    <w:p w14:paraId="2DE84226">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2.2磋商小组认为有必要，可要求供应商对某些问题作出必要的澄清、说明和纠正。</w:t>
      </w:r>
      <w:r>
        <w:rPr>
          <w:rFonts w:hint="eastAsia" w:asciiTheme="minorEastAsia" w:hAnsiTheme="minorEastAsia" w:eastAsiaTheme="minorEastAsia"/>
          <w:color w:val="auto"/>
          <w:szCs w:val="21"/>
          <w:highlight w:val="none"/>
        </w:rPr>
        <w:t>供应商的澄清、说明或者补正应当采用在线形式。</w:t>
      </w:r>
    </w:p>
    <w:p w14:paraId="47F781B0">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2.3供应商不按磋商小组规定的时间作澄清，将视为放弃该权利。</w:t>
      </w:r>
    </w:p>
    <w:p w14:paraId="28EF4AB0">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2.4并非每个供应商都将被询标。</w:t>
      </w:r>
      <w:bookmarkStart w:id="63" w:name="_Toc522609462"/>
    </w:p>
    <w:p w14:paraId="3E99B691">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3.确定成交供应商</w:t>
      </w:r>
      <w:bookmarkEnd w:id="63"/>
    </w:p>
    <w:p w14:paraId="0D243E67">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3.1磋商小组将对通过资格性审查和符合性审查的</w:t>
      </w:r>
      <w:r>
        <w:rPr>
          <w:rFonts w:hint="eastAsia" w:asciiTheme="minorEastAsia" w:hAnsiTheme="minorEastAsia" w:eastAsiaTheme="minorEastAsia"/>
          <w:color w:val="auto"/>
          <w:szCs w:val="21"/>
          <w:highlight w:val="none"/>
        </w:rPr>
        <w:t>响应文件进行评价和比较。</w:t>
      </w:r>
    </w:p>
    <w:p w14:paraId="64BBFF0C">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3.2</w:t>
      </w:r>
      <w:r>
        <w:rPr>
          <w:rFonts w:hint="eastAsia" w:asciiTheme="minorEastAsia" w:hAnsiTheme="minorEastAsia" w:eastAsiaTheme="minorEastAsia"/>
          <w:color w:val="auto"/>
          <w:szCs w:val="21"/>
          <w:highlight w:val="none"/>
        </w:rPr>
        <w:t>磋商小组按采购文件公布的评定成交标准对响应文件进行评审，并将最终得分排名提交给采购人，采购人书面授权磋商小组直接确定成交供应商的</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磋商小组确认成交供应商。最低报价等任何单项因素的最优不作为成交的保证。</w:t>
      </w:r>
      <w:bookmarkStart w:id="64" w:name="_Toc522609463"/>
    </w:p>
    <w:p w14:paraId="74C28526">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4.磋商过程保密</w:t>
      </w:r>
      <w:bookmarkEnd w:id="64"/>
    </w:p>
    <w:p w14:paraId="7045E665">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4.l在宣布成交结果之前，凡属于审查、澄清、评价、比较磋商文件等有关信息，相关当事人均不得泄露给任何磋商供应商或与磋商工作无关的人员。</w:t>
      </w:r>
    </w:p>
    <w:p w14:paraId="4297555D">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4.2供应商不得探听上述信息，不得以任何行为影响磋商过程，否则其</w:t>
      </w:r>
      <w:r>
        <w:rPr>
          <w:rFonts w:hint="eastAsia" w:asciiTheme="minorEastAsia" w:hAnsiTheme="minorEastAsia" w:eastAsiaTheme="minorEastAsia"/>
          <w:color w:val="auto"/>
          <w:szCs w:val="21"/>
          <w:highlight w:val="none"/>
        </w:rPr>
        <w:t>响应文件将被作为无效响应文件。</w:t>
      </w:r>
    </w:p>
    <w:p w14:paraId="3DD68AEC">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4.3在磋商期间，</w:t>
      </w:r>
      <w:r>
        <w:rPr>
          <w:rFonts w:hint="eastAsia" w:asciiTheme="minorEastAsia" w:hAnsiTheme="minorEastAsia" w:eastAsiaTheme="minorEastAsia"/>
          <w:color w:val="auto"/>
          <w:szCs w:val="21"/>
          <w:highlight w:val="none"/>
        </w:rPr>
        <w:t>嘉兴市银建工程咨询评估有限公司将有专门人员与供应商进行联络。</w:t>
      </w:r>
    </w:p>
    <w:p w14:paraId="22F9441D">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4.4</w:t>
      </w:r>
      <w:r>
        <w:rPr>
          <w:rFonts w:hint="eastAsia" w:asciiTheme="minorEastAsia" w:hAnsiTheme="minorEastAsia" w:eastAsiaTheme="minorEastAsia"/>
          <w:color w:val="auto"/>
          <w:szCs w:val="21"/>
          <w:highlight w:val="none"/>
        </w:rPr>
        <w:t>嘉兴市银建工程咨询评估有限公司和磋商小组不向未成交的供应商解释未成交原因，也不对磋商过程中的细节问题进行公布。</w:t>
      </w:r>
      <w:bookmarkStart w:id="65" w:name="_Toc332724044"/>
      <w:bookmarkStart w:id="66" w:name="_Toc522609464"/>
    </w:p>
    <w:bookmarkEnd w:id="65"/>
    <w:bookmarkEnd w:id="66"/>
    <w:p w14:paraId="4304A987">
      <w:pPr>
        <w:pStyle w:val="29"/>
        <w:snapToGrid w:val="0"/>
        <w:spacing w:line="360" w:lineRule="auto"/>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5</w:t>
      </w:r>
      <w:r>
        <w:rPr>
          <w:rFonts w:asciiTheme="minorEastAsia" w:hAnsiTheme="minorEastAsia" w:eastAsiaTheme="minorEastAsia"/>
          <w:color w:val="auto"/>
          <w:kern w:val="0"/>
          <w:szCs w:val="21"/>
          <w:highlight w:val="none"/>
        </w:rPr>
        <w:t>.错误修正</w:t>
      </w:r>
    </w:p>
    <w:p w14:paraId="5599A0B8">
      <w:pPr>
        <w:pStyle w:val="29"/>
        <w:snapToGrid w:val="0"/>
        <w:spacing w:line="360" w:lineRule="auto"/>
        <w:ind w:left="689" w:leftChars="228" w:hanging="210" w:hangingChars="1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响应</w:t>
      </w:r>
      <w:r>
        <w:rPr>
          <w:rFonts w:asciiTheme="minorEastAsia" w:hAnsiTheme="minorEastAsia" w:eastAsiaTheme="minorEastAsia"/>
          <w:color w:val="auto"/>
          <w:kern w:val="0"/>
          <w:szCs w:val="21"/>
          <w:highlight w:val="none"/>
        </w:rPr>
        <w:t>文件如果出现计算或表达上的错误，修正错误的原则如下：</w:t>
      </w:r>
    </w:p>
    <w:p w14:paraId="62A9F21C">
      <w:pPr>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开标一览表总价与磋商报价明细表汇总数不一致的，以开标一览表为准；</w:t>
      </w:r>
    </w:p>
    <w:p w14:paraId="1ADDDE5E">
      <w:pPr>
        <w:pStyle w:val="29"/>
        <w:snapToGrid w:val="0"/>
        <w:spacing w:line="360" w:lineRule="auto"/>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5</w:t>
      </w:r>
      <w:r>
        <w:rPr>
          <w:rFonts w:asciiTheme="minorEastAsia" w:hAnsiTheme="minorEastAsia" w:eastAsiaTheme="minorEastAsia"/>
          <w:color w:val="auto"/>
          <w:kern w:val="0"/>
          <w:szCs w:val="21"/>
          <w:highlight w:val="none"/>
        </w:rPr>
        <w:t>.2</w:t>
      </w:r>
      <w:r>
        <w:rPr>
          <w:rFonts w:hint="eastAsia" w:asciiTheme="minorEastAsia" w:hAnsiTheme="minorEastAsia" w:eastAsiaTheme="minorEastAsia"/>
          <w:color w:val="auto"/>
          <w:kern w:val="0"/>
          <w:szCs w:val="21"/>
          <w:highlight w:val="none"/>
        </w:rPr>
        <w:t>响应</w:t>
      </w:r>
      <w:r>
        <w:rPr>
          <w:rFonts w:asciiTheme="minorEastAsia" w:hAnsiTheme="minorEastAsia" w:eastAsiaTheme="minorEastAsia"/>
          <w:color w:val="auto"/>
          <w:kern w:val="0"/>
          <w:szCs w:val="21"/>
          <w:highlight w:val="none"/>
        </w:rPr>
        <w:t>文件的大写金额和小写金额不一致的，以大写金额为准；</w:t>
      </w:r>
    </w:p>
    <w:p w14:paraId="5F9ADD0E">
      <w:pPr>
        <w:pStyle w:val="29"/>
        <w:snapToGrid w:val="0"/>
        <w:spacing w:line="360" w:lineRule="auto"/>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5</w:t>
      </w:r>
      <w:r>
        <w:rPr>
          <w:rFonts w:asciiTheme="minorEastAsia" w:hAnsiTheme="minorEastAsia" w:eastAsiaTheme="minorEastAsia"/>
          <w:color w:val="auto"/>
          <w:kern w:val="0"/>
          <w:szCs w:val="21"/>
          <w:highlight w:val="none"/>
        </w:rPr>
        <w:t>.3总价金额与按单价汇总金额不一致的，以单价金额计算结果为准；</w:t>
      </w:r>
    </w:p>
    <w:p w14:paraId="31AEB6CD">
      <w:pPr>
        <w:pStyle w:val="29"/>
        <w:snapToGrid w:val="0"/>
        <w:spacing w:line="360" w:lineRule="auto"/>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5</w:t>
      </w:r>
      <w:r>
        <w:rPr>
          <w:rFonts w:asciiTheme="minorEastAsia" w:hAnsiTheme="minorEastAsia" w:eastAsiaTheme="minorEastAsia"/>
          <w:color w:val="auto"/>
          <w:kern w:val="0"/>
          <w:szCs w:val="21"/>
          <w:highlight w:val="none"/>
        </w:rPr>
        <w:t>.4对不同文字文本</w:t>
      </w:r>
      <w:r>
        <w:rPr>
          <w:rFonts w:hint="eastAsia" w:asciiTheme="minorEastAsia" w:hAnsiTheme="minorEastAsia" w:eastAsiaTheme="minorEastAsia"/>
          <w:color w:val="auto"/>
          <w:kern w:val="0"/>
          <w:szCs w:val="21"/>
          <w:highlight w:val="none"/>
        </w:rPr>
        <w:t>响应文件</w:t>
      </w:r>
      <w:r>
        <w:rPr>
          <w:rFonts w:asciiTheme="minorEastAsia" w:hAnsiTheme="minorEastAsia" w:eastAsiaTheme="minorEastAsia"/>
          <w:color w:val="auto"/>
          <w:kern w:val="0"/>
          <w:szCs w:val="21"/>
          <w:highlight w:val="none"/>
        </w:rPr>
        <w:t>的解释发生异议的，以中文文本为准。</w:t>
      </w:r>
    </w:p>
    <w:p w14:paraId="7F22DCE8">
      <w:pPr>
        <w:pStyle w:val="29"/>
        <w:snapToGrid w:val="0"/>
        <w:spacing w:line="360" w:lineRule="auto"/>
        <w:ind w:firstLine="420" w:firstLineChars="200"/>
        <w:rPr>
          <w:rFonts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按上述修正错误的原则及方法调整或修正</w:t>
      </w:r>
      <w:r>
        <w:rPr>
          <w:rFonts w:hint="eastAsia" w:asciiTheme="minorEastAsia" w:hAnsiTheme="minorEastAsia" w:eastAsiaTheme="minorEastAsia"/>
          <w:color w:val="auto"/>
          <w:kern w:val="0"/>
          <w:szCs w:val="21"/>
          <w:highlight w:val="none"/>
        </w:rPr>
        <w:t>响应文件</w:t>
      </w:r>
      <w:r>
        <w:rPr>
          <w:rFonts w:asciiTheme="minorEastAsia" w:hAnsiTheme="minorEastAsia" w:eastAsiaTheme="minorEastAsia"/>
          <w:color w:val="auto"/>
          <w:kern w:val="0"/>
          <w:szCs w:val="21"/>
          <w:highlight w:val="none"/>
        </w:rPr>
        <w:t>的磋商报价，供应商同意</w:t>
      </w:r>
      <w:r>
        <w:rPr>
          <w:rFonts w:hint="eastAsia" w:asciiTheme="minorEastAsia" w:hAnsiTheme="minorEastAsia" w:eastAsiaTheme="minorEastAsia"/>
          <w:color w:val="auto"/>
          <w:kern w:val="0"/>
          <w:szCs w:val="21"/>
          <w:highlight w:val="none"/>
        </w:rPr>
        <w:t>并签字确认</w:t>
      </w:r>
      <w:r>
        <w:rPr>
          <w:rFonts w:asciiTheme="minorEastAsia" w:hAnsiTheme="minorEastAsia" w:eastAsiaTheme="minorEastAsia"/>
          <w:color w:val="auto"/>
          <w:kern w:val="0"/>
          <w:szCs w:val="21"/>
          <w:highlight w:val="none"/>
        </w:rPr>
        <w:t>后，调整后的磋商报价对磋商供应商具有约束作用。如果供应商不接受修正后的报价，则其</w:t>
      </w:r>
      <w:r>
        <w:rPr>
          <w:rFonts w:hint="eastAsia" w:asciiTheme="minorEastAsia" w:hAnsiTheme="minorEastAsia" w:eastAsiaTheme="minorEastAsia"/>
          <w:color w:val="auto"/>
          <w:kern w:val="0"/>
          <w:szCs w:val="21"/>
          <w:highlight w:val="none"/>
        </w:rPr>
        <w:t>响应</w:t>
      </w:r>
      <w:r>
        <w:rPr>
          <w:rFonts w:asciiTheme="minorEastAsia" w:hAnsiTheme="minorEastAsia" w:eastAsiaTheme="minorEastAsia"/>
          <w:color w:val="auto"/>
          <w:kern w:val="0"/>
          <w:szCs w:val="21"/>
          <w:highlight w:val="none"/>
        </w:rPr>
        <w:t>将</w:t>
      </w:r>
      <w:r>
        <w:rPr>
          <w:rFonts w:hint="eastAsia" w:asciiTheme="minorEastAsia" w:hAnsiTheme="minorEastAsia" w:eastAsiaTheme="minorEastAsia"/>
          <w:color w:val="auto"/>
          <w:kern w:val="0"/>
          <w:szCs w:val="21"/>
          <w:highlight w:val="none"/>
        </w:rPr>
        <w:t>作为无效响应处理</w:t>
      </w:r>
      <w:r>
        <w:rPr>
          <w:rFonts w:asciiTheme="minorEastAsia" w:hAnsiTheme="minorEastAsia" w:eastAsiaTheme="minorEastAsia"/>
          <w:color w:val="auto"/>
          <w:kern w:val="0"/>
          <w:szCs w:val="21"/>
          <w:highlight w:val="none"/>
        </w:rPr>
        <w:t>。</w:t>
      </w:r>
    </w:p>
    <w:p w14:paraId="4A91ACE7">
      <w:pPr>
        <w:pStyle w:val="29"/>
        <w:snapToGrid w:val="0"/>
        <w:spacing w:after="120" w:line="360" w:lineRule="auto"/>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6</w:t>
      </w:r>
      <w:r>
        <w:rPr>
          <w:rFonts w:asciiTheme="minorEastAsia" w:hAnsiTheme="minorEastAsia" w:eastAsiaTheme="minorEastAsia"/>
          <w:color w:val="auto"/>
          <w:kern w:val="0"/>
          <w:szCs w:val="21"/>
          <w:highlight w:val="none"/>
        </w:rPr>
        <w:t>.评标过程的监控</w:t>
      </w:r>
    </w:p>
    <w:p w14:paraId="13CF752D">
      <w:pPr>
        <w:pStyle w:val="29"/>
        <w:snapToGrid w:val="0"/>
        <w:spacing w:after="120" w:line="360" w:lineRule="auto"/>
        <w:ind w:firstLine="420" w:firstLineChars="200"/>
        <w:rPr>
          <w:rFonts w:asciiTheme="minorEastAsia" w:hAnsiTheme="minorEastAsia" w:eastAsiaTheme="minorEastAsia"/>
          <w:b/>
          <w:color w:val="auto"/>
          <w:szCs w:val="21"/>
          <w:highlight w:val="none"/>
        </w:rPr>
      </w:pPr>
      <w:r>
        <w:rPr>
          <w:rFonts w:asciiTheme="minorEastAsia" w:hAnsiTheme="minorEastAsia" w:eastAsiaTheme="minorEastAsia"/>
          <w:color w:val="auto"/>
          <w:kern w:val="0"/>
          <w:szCs w:val="21"/>
          <w:highlight w:val="none"/>
        </w:rPr>
        <w:t>本项目评标过程实行全程录音、录像监控</w:t>
      </w:r>
      <w:r>
        <w:rPr>
          <w:rFonts w:hint="eastAsia" w:asciiTheme="minorEastAsia" w:hAnsiTheme="minorEastAsia" w:eastAsiaTheme="minorEastAsia"/>
          <w:color w:val="auto"/>
          <w:kern w:val="0"/>
          <w:szCs w:val="21"/>
          <w:highlight w:val="none"/>
        </w:rPr>
        <w:t>。</w:t>
      </w:r>
      <w:bookmarkEnd w:id="61"/>
      <w:bookmarkStart w:id="67" w:name="_Toc498261259"/>
    </w:p>
    <w:p w14:paraId="2758E0B3">
      <w:pPr>
        <w:pStyle w:val="29"/>
        <w:snapToGrid w:val="0"/>
        <w:spacing w:before="120" w:after="120" w:line="360" w:lineRule="auto"/>
        <w:jc w:val="center"/>
        <w:outlineLvl w:val="1"/>
        <w:rPr>
          <w:rFonts w:asciiTheme="minorEastAsia" w:hAnsiTheme="minorEastAsia" w:eastAsiaTheme="minorEastAsia"/>
          <w:b/>
          <w:color w:val="auto"/>
          <w:szCs w:val="21"/>
          <w:highlight w:val="none"/>
        </w:rPr>
      </w:pPr>
    </w:p>
    <w:p w14:paraId="5A73E62A">
      <w:pPr>
        <w:pStyle w:val="29"/>
        <w:snapToGrid w:val="0"/>
        <w:spacing w:before="120" w:after="120" w:line="360" w:lineRule="auto"/>
        <w:jc w:val="center"/>
        <w:outlineLvl w:val="1"/>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六、</w:t>
      </w:r>
      <w:r>
        <w:rPr>
          <w:rFonts w:asciiTheme="minorEastAsia" w:hAnsiTheme="minorEastAsia" w:eastAsiaTheme="minorEastAsia"/>
          <w:b/>
          <w:color w:val="auto"/>
          <w:szCs w:val="21"/>
          <w:highlight w:val="none"/>
        </w:rPr>
        <w:t>磋商结果的确定</w:t>
      </w:r>
      <w:bookmarkEnd w:id="67"/>
    </w:p>
    <w:p w14:paraId="6DE9B48E">
      <w:pPr>
        <w:pStyle w:val="14"/>
        <w:spacing w:line="360" w:lineRule="auto"/>
        <w:ind w:firstLine="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（一）</w:t>
      </w:r>
      <w:r>
        <w:rPr>
          <w:rFonts w:asciiTheme="minorEastAsia" w:hAnsiTheme="minorEastAsia" w:eastAsiaTheme="minorEastAsia"/>
          <w:color w:val="auto"/>
          <w:kern w:val="2"/>
          <w:szCs w:val="21"/>
          <w:highlight w:val="none"/>
        </w:rPr>
        <w:t>磋商结果确定</w:t>
      </w:r>
      <w:r>
        <w:rPr>
          <w:rFonts w:hint="eastAsia" w:asciiTheme="minorEastAsia" w:hAnsiTheme="minorEastAsia" w:eastAsiaTheme="minorEastAsia"/>
          <w:color w:val="auto"/>
          <w:kern w:val="2"/>
          <w:szCs w:val="21"/>
          <w:highlight w:val="none"/>
        </w:rPr>
        <w:t>：在全部满足磋商文件实质性要求的前提下，按综合得分高低直接确定排名第一的为中标人。综合得分排名第一的中标人放弃中标或者因不可抗力提出不能履行合同，采购人可以确定综合得分排名第二的为中标人，综合得分排名第二的中标人因前款同样的原因不能签订合同，采购人可以确定综合得分排名第三的为中标人。</w:t>
      </w:r>
      <w:bookmarkStart w:id="68" w:name="_Toc107820051"/>
      <w:bookmarkStart w:id="69" w:name="_Toc170792772"/>
    </w:p>
    <w:p w14:paraId="38F6909A">
      <w:pPr>
        <w:spacing w:line="360" w:lineRule="auto"/>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（二）</w:t>
      </w:r>
      <w:r>
        <w:rPr>
          <w:rFonts w:asciiTheme="minorEastAsia" w:hAnsiTheme="minorEastAsia" w:eastAsiaTheme="minorEastAsia"/>
          <w:color w:val="auto"/>
          <w:kern w:val="2"/>
          <w:szCs w:val="21"/>
          <w:highlight w:val="none"/>
        </w:rPr>
        <w:t>成交公告</w:t>
      </w:r>
      <w:r>
        <w:rPr>
          <w:rFonts w:hint="eastAsia" w:asciiTheme="minorEastAsia" w:hAnsiTheme="minorEastAsia" w:eastAsiaTheme="minorEastAsia"/>
          <w:color w:val="auto"/>
          <w:kern w:val="2"/>
          <w:szCs w:val="21"/>
          <w:highlight w:val="none"/>
        </w:rPr>
        <w:t>：成交公告期限为1个工作日。</w:t>
      </w:r>
    </w:p>
    <w:p w14:paraId="0F329EE4">
      <w:pPr>
        <w:widowControl w:val="0"/>
        <w:spacing w:line="360" w:lineRule="auto"/>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（三）</w:t>
      </w:r>
      <w:r>
        <w:rPr>
          <w:rFonts w:asciiTheme="minorEastAsia" w:hAnsiTheme="minorEastAsia" w:eastAsiaTheme="minorEastAsia"/>
          <w:color w:val="auto"/>
          <w:kern w:val="2"/>
          <w:szCs w:val="21"/>
          <w:highlight w:val="none"/>
        </w:rPr>
        <w:t>成交通知书</w:t>
      </w:r>
      <w:r>
        <w:rPr>
          <w:rFonts w:hint="eastAsia" w:asciiTheme="minorEastAsia" w:hAnsiTheme="minorEastAsia" w:eastAsiaTheme="minorEastAsia"/>
          <w:color w:val="auto"/>
          <w:kern w:val="2"/>
          <w:szCs w:val="21"/>
          <w:highlight w:val="none"/>
        </w:rPr>
        <w:t>：在公告成交结果的同时，代理机构向成交供应商发出成交通知书。</w:t>
      </w:r>
      <w:bookmarkEnd w:id="68"/>
      <w:bookmarkEnd w:id="69"/>
    </w:p>
    <w:p w14:paraId="71D39FF9">
      <w:pPr>
        <w:pStyle w:val="29"/>
        <w:snapToGrid w:val="0"/>
        <w:spacing w:before="120" w:after="120" w:line="360" w:lineRule="auto"/>
        <w:jc w:val="center"/>
        <w:outlineLvl w:val="1"/>
        <w:rPr>
          <w:rFonts w:asciiTheme="minorEastAsia" w:hAnsiTheme="minorEastAsia" w:eastAsiaTheme="minorEastAsia"/>
          <w:b/>
          <w:color w:val="auto"/>
          <w:szCs w:val="21"/>
          <w:highlight w:val="none"/>
        </w:rPr>
      </w:pPr>
    </w:p>
    <w:p w14:paraId="07C9E611">
      <w:pPr>
        <w:pStyle w:val="29"/>
        <w:snapToGrid w:val="0"/>
        <w:spacing w:before="120" w:after="120" w:line="360" w:lineRule="auto"/>
        <w:jc w:val="center"/>
        <w:outlineLvl w:val="1"/>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七、合同授予</w:t>
      </w:r>
    </w:p>
    <w:p w14:paraId="52561DEB">
      <w:pPr>
        <w:snapToGrid w:val="0"/>
        <w:spacing w:line="360" w:lineRule="auto"/>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（一）签订合同</w:t>
      </w:r>
    </w:p>
    <w:p w14:paraId="6DB3EE09">
      <w:pPr>
        <w:snapToGrid w:val="0"/>
        <w:spacing w:line="360" w:lineRule="auto"/>
        <w:ind w:firstLine="420" w:firstLineChars="200"/>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1</w:t>
      </w:r>
      <w:r>
        <w:rPr>
          <w:rFonts w:hint="eastAsia" w:asciiTheme="minorEastAsia" w:hAnsiTheme="minorEastAsia" w:eastAsiaTheme="minorEastAsia"/>
          <w:color w:val="auto"/>
          <w:kern w:val="2"/>
          <w:szCs w:val="21"/>
          <w:highlight w:val="none"/>
        </w:rPr>
        <w:t>.采购人与成交供应商</w:t>
      </w:r>
      <w:r>
        <w:rPr>
          <w:rFonts w:asciiTheme="minorEastAsia" w:hAnsiTheme="minorEastAsia" w:eastAsiaTheme="minorEastAsia"/>
          <w:color w:val="auto"/>
          <w:kern w:val="2"/>
          <w:szCs w:val="21"/>
          <w:highlight w:val="none"/>
        </w:rPr>
        <w:t>应</w:t>
      </w:r>
      <w:r>
        <w:rPr>
          <w:rFonts w:hint="eastAsia" w:asciiTheme="minorEastAsia" w:hAnsiTheme="minorEastAsia" w:eastAsiaTheme="minorEastAsia"/>
          <w:color w:val="auto"/>
          <w:kern w:val="2"/>
          <w:szCs w:val="21"/>
          <w:highlight w:val="none"/>
        </w:rPr>
        <w:t>当在《成交通知书》发出之日起30日内签订政府采购合同。同时，代理机构对合同内容进行审查，如发现与采购结果和投标承诺内容不一致的，将予以纠正。</w:t>
      </w:r>
    </w:p>
    <w:p w14:paraId="2B0BDD7A">
      <w:pPr>
        <w:snapToGrid w:val="0"/>
        <w:spacing w:line="360" w:lineRule="auto"/>
        <w:ind w:firstLine="420" w:firstLineChars="200"/>
        <w:rPr>
          <w:rFonts w:asciiTheme="minorEastAsia" w:hAnsiTheme="minorEastAsia" w:eastAsiaTheme="minorEastAsia"/>
          <w:b/>
          <w:color w:val="auto"/>
          <w:kern w:val="2"/>
          <w:szCs w:val="21"/>
          <w:highlight w:val="none"/>
        </w:rPr>
      </w:pPr>
      <w:r>
        <w:rPr>
          <w:rFonts w:asciiTheme="minorEastAsia" w:hAnsiTheme="minorEastAsia" w:eastAsiaTheme="minorEastAsia"/>
          <w:color w:val="auto"/>
          <w:kern w:val="2"/>
          <w:szCs w:val="21"/>
          <w:highlight w:val="none"/>
        </w:rPr>
        <w:t>2</w:t>
      </w:r>
      <w:r>
        <w:rPr>
          <w:rFonts w:hint="eastAsia" w:asciiTheme="minorEastAsia" w:hAnsiTheme="minorEastAsia" w:eastAsiaTheme="minorEastAsia"/>
          <w:color w:val="auto"/>
          <w:kern w:val="2"/>
          <w:szCs w:val="21"/>
          <w:highlight w:val="none"/>
        </w:rPr>
        <w:t>.成交供应商</w:t>
      </w:r>
      <w:r>
        <w:rPr>
          <w:rFonts w:asciiTheme="minorEastAsia" w:hAnsiTheme="minorEastAsia" w:eastAsiaTheme="minorEastAsia"/>
          <w:color w:val="auto"/>
          <w:kern w:val="2"/>
          <w:szCs w:val="21"/>
          <w:highlight w:val="none"/>
        </w:rPr>
        <w:t>拖延、拒签合同的,将被取消中标资格</w:t>
      </w:r>
      <w:r>
        <w:rPr>
          <w:rFonts w:hint="eastAsia" w:asciiTheme="minorEastAsia" w:hAnsiTheme="minorEastAsia" w:eastAsiaTheme="minorEastAsia"/>
          <w:color w:val="auto"/>
          <w:kern w:val="2"/>
          <w:szCs w:val="21"/>
          <w:highlight w:val="none"/>
        </w:rPr>
        <w:t>，并报监督管理部门</w:t>
      </w:r>
      <w:r>
        <w:rPr>
          <w:rFonts w:asciiTheme="minorEastAsia" w:hAnsiTheme="minorEastAsia" w:eastAsiaTheme="minorEastAsia"/>
          <w:color w:val="auto"/>
          <w:kern w:val="2"/>
          <w:szCs w:val="21"/>
          <w:highlight w:val="none"/>
        </w:rPr>
        <w:t>。</w:t>
      </w:r>
    </w:p>
    <w:p w14:paraId="63AE0544">
      <w:pPr>
        <w:spacing w:line="360" w:lineRule="auto"/>
        <w:jc w:val="both"/>
        <w:outlineLvl w:val="1"/>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八、招标代理费</w:t>
      </w:r>
    </w:p>
    <w:p w14:paraId="304A28CD">
      <w:pPr>
        <w:snapToGrid w:val="0"/>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1.招标代理机构按标段向中标人收取招标代理服务费及控制价编制费，中标人应在收取《中标通知书》时向采购代理机构交纳招标代理服务费及控制价编制费，招标代理服务费的收费标准按浙价服〔2003〕77号文规定计算</w:t>
      </w:r>
    </w:p>
    <w:tbl>
      <w:tblPr>
        <w:tblStyle w:val="54"/>
        <w:tblW w:w="8018"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263"/>
        <w:gridCol w:w="1664"/>
        <w:gridCol w:w="1233"/>
        <w:gridCol w:w="1858"/>
      </w:tblGrid>
      <w:tr w14:paraId="575A5EE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3" w:hRule="atLeast"/>
          <w:tblCellSpacing w:w="0" w:type="dxa"/>
          <w:jc w:val="center"/>
        </w:trPr>
        <w:tc>
          <w:tcPr>
            <w:tcW w:w="3263" w:type="dxa"/>
            <w:tcBorders>
              <w:top w:val="outset" w:color="auto" w:sz="6" w:space="0"/>
              <w:left w:val="outset" w:color="auto" w:sz="6" w:space="0"/>
              <w:bottom w:val="outset" w:color="auto" w:sz="6" w:space="0"/>
              <w:right w:val="outset" w:color="auto" w:sz="6" w:space="0"/>
            </w:tcBorders>
            <w:vAlign w:val="center"/>
          </w:tcPr>
          <w:p w14:paraId="7B058B12">
            <w:pPr>
              <w:spacing w:line="360" w:lineRule="auto"/>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b/>
                <w:bCs/>
                <w:color w:val="auto"/>
                <w:szCs w:val="21"/>
                <w:highlight w:val="none"/>
              </w:rPr>
              <w:t>中标金额（万元）</w:t>
            </w:r>
          </w:p>
        </w:tc>
        <w:tc>
          <w:tcPr>
            <w:tcW w:w="1664" w:type="dxa"/>
            <w:tcBorders>
              <w:top w:val="outset" w:color="auto" w:sz="6" w:space="0"/>
              <w:left w:val="outset" w:color="auto" w:sz="6" w:space="0"/>
              <w:bottom w:val="outset" w:color="auto" w:sz="6" w:space="0"/>
              <w:right w:val="outset" w:color="auto" w:sz="6" w:space="0"/>
            </w:tcBorders>
            <w:vAlign w:val="center"/>
          </w:tcPr>
          <w:p w14:paraId="752CBA4B">
            <w:pPr>
              <w:spacing w:before="100" w:beforeAutospacing="1" w:after="100" w:afterAutospacing="1" w:line="360" w:lineRule="auto"/>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b/>
                <w:bCs/>
                <w:color w:val="auto"/>
                <w:szCs w:val="21"/>
                <w:highlight w:val="none"/>
              </w:rPr>
              <w:t>货物招标</w:t>
            </w:r>
          </w:p>
        </w:tc>
        <w:tc>
          <w:tcPr>
            <w:tcW w:w="1233" w:type="dxa"/>
            <w:tcBorders>
              <w:top w:val="outset" w:color="auto" w:sz="6" w:space="0"/>
              <w:left w:val="outset" w:color="auto" w:sz="6" w:space="0"/>
              <w:bottom w:val="outset" w:color="auto" w:sz="6" w:space="0"/>
              <w:right w:val="outset" w:color="auto" w:sz="6" w:space="0"/>
            </w:tcBorders>
            <w:vAlign w:val="center"/>
          </w:tcPr>
          <w:p w14:paraId="4A71A316">
            <w:pPr>
              <w:spacing w:line="360" w:lineRule="auto"/>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b/>
                <w:bCs/>
                <w:color w:val="auto"/>
                <w:szCs w:val="21"/>
                <w:highlight w:val="none"/>
              </w:rPr>
              <w:t>服务招标</w:t>
            </w:r>
          </w:p>
        </w:tc>
        <w:tc>
          <w:tcPr>
            <w:tcW w:w="1858" w:type="dxa"/>
            <w:tcBorders>
              <w:top w:val="outset" w:color="auto" w:sz="6" w:space="0"/>
              <w:left w:val="outset" w:color="auto" w:sz="6" w:space="0"/>
              <w:bottom w:val="outset" w:color="auto" w:sz="6" w:space="0"/>
              <w:right w:val="outset" w:color="auto" w:sz="6" w:space="0"/>
            </w:tcBorders>
            <w:vAlign w:val="center"/>
          </w:tcPr>
          <w:p w14:paraId="0B011251">
            <w:pPr>
              <w:spacing w:line="360" w:lineRule="auto"/>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b/>
                <w:bCs/>
                <w:color w:val="auto"/>
                <w:szCs w:val="21"/>
                <w:highlight w:val="none"/>
              </w:rPr>
              <w:t>工程招标</w:t>
            </w:r>
          </w:p>
        </w:tc>
      </w:tr>
      <w:tr w14:paraId="78FC041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58" w:hRule="atLeast"/>
          <w:tblCellSpacing w:w="0" w:type="dxa"/>
          <w:jc w:val="center"/>
        </w:trPr>
        <w:tc>
          <w:tcPr>
            <w:tcW w:w="3263" w:type="dxa"/>
            <w:tcBorders>
              <w:top w:val="outset" w:color="auto" w:sz="6" w:space="0"/>
              <w:left w:val="outset" w:color="auto" w:sz="6" w:space="0"/>
              <w:bottom w:val="outset" w:color="auto" w:sz="6" w:space="0"/>
              <w:right w:val="outset" w:color="auto" w:sz="6" w:space="0"/>
            </w:tcBorders>
            <w:vAlign w:val="center"/>
          </w:tcPr>
          <w:p w14:paraId="286C4ADB">
            <w:pPr>
              <w:spacing w:line="360" w:lineRule="auto"/>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100以下</w:t>
            </w:r>
          </w:p>
        </w:tc>
        <w:tc>
          <w:tcPr>
            <w:tcW w:w="1664" w:type="dxa"/>
            <w:tcBorders>
              <w:top w:val="outset" w:color="auto" w:sz="6" w:space="0"/>
              <w:left w:val="outset" w:color="auto" w:sz="6" w:space="0"/>
              <w:bottom w:val="outset" w:color="auto" w:sz="6" w:space="0"/>
              <w:right w:val="outset" w:color="auto" w:sz="6" w:space="0"/>
            </w:tcBorders>
            <w:vAlign w:val="center"/>
          </w:tcPr>
          <w:p w14:paraId="2F231AD4">
            <w:pPr>
              <w:spacing w:line="360" w:lineRule="auto"/>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1.5％</w:t>
            </w:r>
          </w:p>
        </w:tc>
        <w:tc>
          <w:tcPr>
            <w:tcW w:w="1233" w:type="dxa"/>
            <w:tcBorders>
              <w:top w:val="outset" w:color="auto" w:sz="6" w:space="0"/>
              <w:left w:val="outset" w:color="auto" w:sz="6" w:space="0"/>
              <w:bottom w:val="outset" w:color="auto" w:sz="6" w:space="0"/>
              <w:right w:val="outset" w:color="auto" w:sz="6" w:space="0"/>
            </w:tcBorders>
            <w:vAlign w:val="center"/>
          </w:tcPr>
          <w:p w14:paraId="1BBD0F2C">
            <w:pPr>
              <w:spacing w:line="360" w:lineRule="auto"/>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1.5％</w:t>
            </w:r>
          </w:p>
        </w:tc>
        <w:tc>
          <w:tcPr>
            <w:tcW w:w="1858" w:type="dxa"/>
            <w:tcBorders>
              <w:top w:val="outset" w:color="auto" w:sz="6" w:space="0"/>
              <w:left w:val="outset" w:color="auto" w:sz="6" w:space="0"/>
              <w:bottom w:val="outset" w:color="auto" w:sz="6" w:space="0"/>
              <w:right w:val="outset" w:color="auto" w:sz="6" w:space="0"/>
            </w:tcBorders>
            <w:vAlign w:val="center"/>
          </w:tcPr>
          <w:p w14:paraId="4095580F">
            <w:pPr>
              <w:spacing w:line="360" w:lineRule="auto"/>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1.0％</w:t>
            </w:r>
          </w:p>
        </w:tc>
      </w:tr>
      <w:tr w14:paraId="0F29AFE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58" w:hRule="atLeast"/>
          <w:tblCellSpacing w:w="0" w:type="dxa"/>
          <w:jc w:val="center"/>
        </w:trPr>
        <w:tc>
          <w:tcPr>
            <w:tcW w:w="3263" w:type="dxa"/>
            <w:tcBorders>
              <w:top w:val="outset" w:color="auto" w:sz="6" w:space="0"/>
              <w:left w:val="outset" w:color="auto" w:sz="6" w:space="0"/>
              <w:bottom w:val="outset" w:color="auto" w:sz="6" w:space="0"/>
              <w:right w:val="outset" w:color="auto" w:sz="6" w:space="0"/>
            </w:tcBorders>
            <w:vAlign w:val="center"/>
          </w:tcPr>
          <w:p w14:paraId="70689F83">
            <w:pPr>
              <w:spacing w:line="360" w:lineRule="auto"/>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100—500</w:t>
            </w:r>
          </w:p>
        </w:tc>
        <w:tc>
          <w:tcPr>
            <w:tcW w:w="1664" w:type="dxa"/>
            <w:tcBorders>
              <w:top w:val="outset" w:color="auto" w:sz="6" w:space="0"/>
              <w:left w:val="outset" w:color="auto" w:sz="6" w:space="0"/>
              <w:bottom w:val="outset" w:color="auto" w:sz="6" w:space="0"/>
              <w:right w:val="outset" w:color="auto" w:sz="6" w:space="0"/>
            </w:tcBorders>
            <w:vAlign w:val="center"/>
          </w:tcPr>
          <w:p w14:paraId="4A8FB264">
            <w:pPr>
              <w:spacing w:line="360" w:lineRule="auto"/>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1.1％</w:t>
            </w:r>
          </w:p>
        </w:tc>
        <w:tc>
          <w:tcPr>
            <w:tcW w:w="1233" w:type="dxa"/>
            <w:tcBorders>
              <w:top w:val="outset" w:color="auto" w:sz="6" w:space="0"/>
              <w:left w:val="outset" w:color="auto" w:sz="6" w:space="0"/>
              <w:bottom w:val="outset" w:color="auto" w:sz="6" w:space="0"/>
              <w:right w:val="outset" w:color="auto" w:sz="6" w:space="0"/>
            </w:tcBorders>
            <w:vAlign w:val="center"/>
          </w:tcPr>
          <w:p w14:paraId="0A97E3A0">
            <w:pPr>
              <w:spacing w:line="360" w:lineRule="auto"/>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0.8％</w:t>
            </w:r>
          </w:p>
        </w:tc>
        <w:tc>
          <w:tcPr>
            <w:tcW w:w="1858" w:type="dxa"/>
            <w:tcBorders>
              <w:top w:val="outset" w:color="auto" w:sz="6" w:space="0"/>
              <w:left w:val="outset" w:color="auto" w:sz="6" w:space="0"/>
              <w:bottom w:val="outset" w:color="auto" w:sz="6" w:space="0"/>
              <w:right w:val="outset" w:color="auto" w:sz="6" w:space="0"/>
            </w:tcBorders>
            <w:vAlign w:val="center"/>
          </w:tcPr>
          <w:p w14:paraId="18C229CB">
            <w:pPr>
              <w:spacing w:line="360" w:lineRule="auto"/>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0.7％</w:t>
            </w:r>
          </w:p>
        </w:tc>
      </w:tr>
      <w:tr w14:paraId="4A8C84D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58" w:hRule="atLeast"/>
          <w:tblCellSpacing w:w="0" w:type="dxa"/>
          <w:jc w:val="center"/>
        </w:trPr>
        <w:tc>
          <w:tcPr>
            <w:tcW w:w="3263" w:type="dxa"/>
            <w:tcBorders>
              <w:top w:val="outset" w:color="auto" w:sz="6" w:space="0"/>
              <w:left w:val="outset" w:color="auto" w:sz="6" w:space="0"/>
              <w:bottom w:val="outset" w:color="auto" w:sz="6" w:space="0"/>
              <w:right w:val="outset" w:color="auto" w:sz="6" w:space="0"/>
            </w:tcBorders>
            <w:vAlign w:val="center"/>
          </w:tcPr>
          <w:p w14:paraId="5A44C2BB">
            <w:pPr>
              <w:spacing w:line="360" w:lineRule="auto"/>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500—1000</w:t>
            </w:r>
          </w:p>
        </w:tc>
        <w:tc>
          <w:tcPr>
            <w:tcW w:w="1664" w:type="dxa"/>
            <w:tcBorders>
              <w:top w:val="outset" w:color="auto" w:sz="6" w:space="0"/>
              <w:left w:val="outset" w:color="auto" w:sz="6" w:space="0"/>
              <w:bottom w:val="outset" w:color="auto" w:sz="6" w:space="0"/>
              <w:right w:val="outset" w:color="auto" w:sz="6" w:space="0"/>
            </w:tcBorders>
            <w:vAlign w:val="center"/>
          </w:tcPr>
          <w:p w14:paraId="53850E86">
            <w:pPr>
              <w:spacing w:line="360" w:lineRule="auto"/>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0.8％</w:t>
            </w:r>
          </w:p>
        </w:tc>
        <w:tc>
          <w:tcPr>
            <w:tcW w:w="1233" w:type="dxa"/>
            <w:tcBorders>
              <w:top w:val="outset" w:color="auto" w:sz="6" w:space="0"/>
              <w:left w:val="outset" w:color="auto" w:sz="6" w:space="0"/>
              <w:bottom w:val="outset" w:color="auto" w:sz="6" w:space="0"/>
              <w:right w:val="outset" w:color="auto" w:sz="6" w:space="0"/>
            </w:tcBorders>
            <w:vAlign w:val="center"/>
          </w:tcPr>
          <w:p w14:paraId="7D31712C">
            <w:pPr>
              <w:spacing w:line="360" w:lineRule="auto"/>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0.45％</w:t>
            </w:r>
          </w:p>
        </w:tc>
        <w:tc>
          <w:tcPr>
            <w:tcW w:w="1858" w:type="dxa"/>
            <w:tcBorders>
              <w:top w:val="outset" w:color="auto" w:sz="6" w:space="0"/>
              <w:left w:val="outset" w:color="auto" w:sz="6" w:space="0"/>
              <w:bottom w:val="outset" w:color="auto" w:sz="6" w:space="0"/>
              <w:right w:val="outset" w:color="auto" w:sz="6" w:space="0"/>
            </w:tcBorders>
            <w:vAlign w:val="center"/>
          </w:tcPr>
          <w:p w14:paraId="5A9C76DB">
            <w:pPr>
              <w:spacing w:line="360" w:lineRule="auto"/>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0.55％</w:t>
            </w:r>
          </w:p>
        </w:tc>
      </w:tr>
      <w:tr w14:paraId="5091E8E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3" w:hRule="atLeast"/>
          <w:tblCellSpacing w:w="0" w:type="dxa"/>
          <w:jc w:val="center"/>
        </w:trPr>
        <w:tc>
          <w:tcPr>
            <w:tcW w:w="3263" w:type="dxa"/>
            <w:tcBorders>
              <w:top w:val="outset" w:color="auto" w:sz="6" w:space="0"/>
              <w:left w:val="outset" w:color="auto" w:sz="6" w:space="0"/>
              <w:bottom w:val="outset" w:color="auto" w:sz="6" w:space="0"/>
              <w:right w:val="outset" w:color="auto" w:sz="6" w:space="0"/>
            </w:tcBorders>
            <w:vAlign w:val="center"/>
          </w:tcPr>
          <w:p w14:paraId="5DCEEE94">
            <w:pPr>
              <w:spacing w:line="360" w:lineRule="auto"/>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1000—5000</w:t>
            </w:r>
          </w:p>
        </w:tc>
        <w:tc>
          <w:tcPr>
            <w:tcW w:w="1664" w:type="dxa"/>
            <w:tcBorders>
              <w:top w:val="outset" w:color="auto" w:sz="6" w:space="0"/>
              <w:left w:val="outset" w:color="auto" w:sz="6" w:space="0"/>
              <w:bottom w:val="outset" w:color="auto" w:sz="6" w:space="0"/>
              <w:right w:val="outset" w:color="auto" w:sz="6" w:space="0"/>
            </w:tcBorders>
            <w:vAlign w:val="center"/>
          </w:tcPr>
          <w:p w14:paraId="65DBB4BA">
            <w:pPr>
              <w:spacing w:line="360" w:lineRule="auto"/>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0.5％</w:t>
            </w:r>
          </w:p>
        </w:tc>
        <w:tc>
          <w:tcPr>
            <w:tcW w:w="1233" w:type="dxa"/>
            <w:tcBorders>
              <w:top w:val="outset" w:color="auto" w:sz="6" w:space="0"/>
              <w:left w:val="outset" w:color="auto" w:sz="6" w:space="0"/>
              <w:bottom w:val="outset" w:color="auto" w:sz="6" w:space="0"/>
              <w:right w:val="outset" w:color="auto" w:sz="6" w:space="0"/>
            </w:tcBorders>
            <w:vAlign w:val="center"/>
          </w:tcPr>
          <w:p w14:paraId="1B565163">
            <w:pPr>
              <w:spacing w:line="360" w:lineRule="auto"/>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0.25％</w:t>
            </w:r>
          </w:p>
        </w:tc>
        <w:tc>
          <w:tcPr>
            <w:tcW w:w="1858" w:type="dxa"/>
            <w:tcBorders>
              <w:top w:val="outset" w:color="auto" w:sz="6" w:space="0"/>
              <w:left w:val="outset" w:color="auto" w:sz="6" w:space="0"/>
              <w:bottom w:val="outset" w:color="auto" w:sz="6" w:space="0"/>
              <w:right w:val="outset" w:color="auto" w:sz="6" w:space="0"/>
            </w:tcBorders>
            <w:vAlign w:val="center"/>
          </w:tcPr>
          <w:p w14:paraId="51858651">
            <w:pPr>
              <w:spacing w:line="360" w:lineRule="auto"/>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0.35％</w:t>
            </w:r>
          </w:p>
        </w:tc>
      </w:tr>
    </w:tbl>
    <w:p w14:paraId="617C1A73">
      <w:pPr>
        <w:snapToGrid w:val="0"/>
        <w:spacing w:line="360" w:lineRule="auto"/>
        <w:ind w:firstLine="420" w:firstLineChars="200"/>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招标代理服务收费按差额定率累进法计算。</w:t>
      </w:r>
    </w:p>
    <w:p w14:paraId="36BB343C">
      <w:pPr>
        <w:snapToGrid w:val="0"/>
        <w:spacing w:line="360" w:lineRule="auto"/>
        <w:ind w:firstLine="420" w:firstLineChars="200"/>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3、</w:t>
      </w:r>
      <w:r>
        <w:rPr>
          <w:rFonts w:hint="eastAsia" w:asciiTheme="minorEastAsia" w:hAnsiTheme="minorEastAsia" w:eastAsiaTheme="minorEastAsia"/>
          <w:color w:val="auto"/>
          <w:kern w:val="2"/>
          <w:szCs w:val="21"/>
          <w:highlight w:val="none"/>
        </w:rPr>
        <w:t>投标单位以工程类招标收费标准支付中标服务费，清单预算编制费按</w:t>
      </w:r>
      <w:r>
        <w:rPr>
          <w:rFonts w:hint="eastAsia" w:ascii="宋体" w:hAnsi="宋体" w:cs="宋体"/>
          <w:color w:val="auto"/>
          <w:highlight w:val="none"/>
        </w:rPr>
        <w:t>（浙价服[2009]84号）规定收费标准收取。招标控制价编制服务费按《浙江省建设工程造价咨询服务项目及收费指引》的通知(浙建价协[2021]13号计算的标准收取，以招标控制价为计算基数。</w:t>
      </w:r>
      <w:r>
        <w:rPr>
          <w:rFonts w:hint="eastAsia" w:asciiTheme="minorEastAsia" w:hAnsiTheme="minorEastAsia" w:eastAsiaTheme="minorEastAsia"/>
          <w:color w:val="auto"/>
          <w:kern w:val="2"/>
          <w:szCs w:val="21"/>
          <w:highlight w:val="none"/>
        </w:rPr>
        <w:t>上述合计金额不足6000元的按6000元计取服务费</w:t>
      </w:r>
    </w:p>
    <w:p w14:paraId="2CB76748">
      <w:pPr>
        <w:snapToGrid w:val="0"/>
        <w:spacing w:line="360" w:lineRule="auto"/>
        <w:ind w:firstLine="420" w:firstLineChars="200"/>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4、服务费的货币为人民币。</w:t>
      </w:r>
    </w:p>
    <w:p w14:paraId="0BDF01C2">
      <w:pPr>
        <w:snapToGrid w:val="0"/>
        <w:spacing w:line="360" w:lineRule="auto"/>
        <w:ind w:firstLine="420" w:firstLineChars="200"/>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5、服务费支付方式：一次性以网银、电汇的形式支付。</w:t>
      </w:r>
    </w:p>
    <w:p w14:paraId="6BBA3744">
      <w:pPr>
        <w:snapToGrid w:val="0"/>
        <w:spacing w:line="360" w:lineRule="auto"/>
        <w:ind w:firstLine="420" w:firstLineChars="200"/>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6、服务费以银行划账方式按下列要求提交：</w:t>
      </w:r>
    </w:p>
    <w:p w14:paraId="3ED4EA57">
      <w:pPr>
        <w:snapToGrid w:val="0"/>
        <w:spacing w:line="360" w:lineRule="auto"/>
        <w:ind w:firstLine="840" w:firstLineChars="4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收款人：嘉兴市银建工程咨询评估有限公司</w:t>
      </w:r>
    </w:p>
    <w:p w14:paraId="358C049B">
      <w:pPr>
        <w:snapToGrid w:val="0"/>
        <w:spacing w:line="360" w:lineRule="auto"/>
        <w:ind w:firstLine="840" w:firstLineChars="4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户名：嘉兴市银建工程咨询评估有限公司</w:t>
      </w:r>
    </w:p>
    <w:p w14:paraId="51C2FD73">
      <w:pPr>
        <w:snapToGrid w:val="0"/>
        <w:spacing w:line="360" w:lineRule="auto"/>
        <w:ind w:firstLine="840" w:firstLineChars="4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开户银行：建行嘉兴分行营业部</w:t>
      </w:r>
    </w:p>
    <w:p w14:paraId="68284A34">
      <w:pPr>
        <w:snapToGrid w:val="0"/>
        <w:spacing w:line="360" w:lineRule="auto"/>
        <w:ind w:firstLine="840" w:firstLineChars="4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账号：3300 1638 0470 5000 4370</w:t>
      </w:r>
    </w:p>
    <w:p w14:paraId="16DF5C3F">
      <w:pPr>
        <w:snapToGrid w:val="0"/>
        <w:spacing w:line="360" w:lineRule="auto"/>
        <w:ind w:right="-401" w:rightChars="-191" w:firstLine="420" w:firstLineChars="200"/>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7、</w:t>
      </w:r>
      <w:r>
        <w:rPr>
          <w:rFonts w:hint="eastAsia" w:asciiTheme="minorEastAsia" w:hAnsiTheme="minorEastAsia" w:eastAsiaTheme="minorEastAsia"/>
          <w:color w:val="auto"/>
          <w:kern w:val="2"/>
          <w:szCs w:val="21"/>
          <w:highlight w:val="none"/>
        </w:rPr>
        <w:t>招标代理服务费及控制价编制费支付时间：招标代理服务费及控制价编制费必须在中标人领取《中标通知书》时一次性付清，如果中标人未能按时交纳服务费，采购代理机构/采购人保留追究其责任的权利</w:t>
      </w:r>
      <w:r>
        <w:rPr>
          <w:rFonts w:asciiTheme="minorEastAsia" w:hAnsiTheme="minorEastAsia" w:eastAsiaTheme="minorEastAsia"/>
          <w:color w:val="auto"/>
          <w:kern w:val="2"/>
          <w:szCs w:val="21"/>
          <w:highlight w:val="none"/>
        </w:rPr>
        <w:t>。</w:t>
      </w:r>
    </w:p>
    <w:p w14:paraId="3716C790">
      <w:pPr>
        <w:snapToGrid w:val="0"/>
        <w:spacing w:line="360" w:lineRule="auto"/>
        <w:ind w:firstLine="420" w:firstLineChars="200"/>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8、</w:t>
      </w:r>
      <w:r>
        <w:rPr>
          <w:rFonts w:hint="eastAsia" w:asciiTheme="minorEastAsia" w:hAnsiTheme="minorEastAsia" w:eastAsiaTheme="minorEastAsia"/>
          <w:color w:val="auto"/>
          <w:kern w:val="2"/>
          <w:szCs w:val="21"/>
          <w:highlight w:val="none"/>
        </w:rPr>
        <w:t>招标代理服务费及控制价编制费不在投标报价中单列</w:t>
      </w:r>
      <w:r>
        <w:rPr>
          <w:rFonts w:asciiTheme="minorEastAsia" w:hAnsiTheme="minorEastAsia" w:eastAsiaTheme="minorEastAsia"/>
          <w:color w:val="auto"/>
          <w:kern w:val="2"/>
          <w:szCs w:val="21"/>
          <w:highlight w:val="none"/>
        </w:rPr>
        <w:t>。</w:t>
      </w:r>
    </w:p>
    <w:p w14:paraId="11325BBC">
      <w:pPr>
        <w:snapToGrid w:val="0"/>
        <w:spacing w:before="120" w:after="120" w:line="360" w:lineRule="auto"/>
        <w:jc w:val="both"/>
        <w:rPr>
          <w:rFonts w:asciiTheme="minorEastAsia" w:hAnsiTheme="minorEastAsia" w:eastAsiaTheme="minorEastAsia"/>
          <w:b/>
          <w:color w:val="auto"/>
          <w:sz w:val="28"/>
          <w:szCs w:val="28"/>
          <w:highlight w:val="none"/>
        </w:rPr>
      </w:pPr>
    </w:p>
    <w:p w14:paraId="2648BA29">
      <w:pPr>
        <w:snapToGrid w:val="0"/>
        <w:spacing w:before="120" w:after="120" w:line="360" w:lineRule="auto"/>
        <w:jc w:val="center"/>
        <w:rPr>
          <w:rFonts w:asciiTheme="minorEastAsia" w:hAnsiTheme="minorEastAsia" w:eastAsiaTheme="minorEastAsia"/>
          <w:b/>
          <w:color w:val="auto"/>
          <w:sz w:val="28"/>
          <w:szCs w:val="28"/>
          <w:highlight w:val="none"/>
        </w:rPr>
      </w:pPr>
    </w:p>
    <w:p w14:paraId="5BC1A12A">
      <w:pPr>
        <w:snapToGrid w:val="0"/>
        <w:spacing w:before="120" w:after="120" w:line="360" w:lineRule="auto"/>
        <w:jc w:val="center"/>
        <w:rPr>
          <w:rFonts w:asciiTheme="minorEastAsia" w:hAnsiTheme="minorEastAsia" w:eastAsiaTheme="minorEastAsia"/>
          <w:b/>
          <w:color w:val="auto"/>
          <w:sz w:val="28"/>
          <w:szCs w:val="28"/>
          <w:highlight w:val="none"/>
        </w:rPr>
      </w:pPr>
    </w:p>
    <w:p w14:paraId="6CF35EDC">
      <w:pPr>
        <w:snapToGrid w:val="0"/>
        <w:spacing w:before="120" w:after="120" w:line="360" w:lineRule="auto"/>
        <w:jc w:val="center"/>
        <w:rPr>
          <w:rFonts w:asciiTheme="minorEastAsia" w:hAnsiTheme="minorEastAsia" w:eastAsiaTheme="minorEastAsia"/>
          <w:b/>
          <w:color w:val="auto"/>
          <w:sz w:val="28"/>
          <w:szCs w:val="28"/>
          <w:highlight w:val="none"/>
        </w:rPr>
      </w:pPr>
    </w:p>
    <w:p w14:paraId="208A422B">
      <w:pPr>
        <w:snapToGrid w:val="0"/>
        <w:spacing w:before="120" w:after="120" w:line="360" w:lineRule="auto"/>
        <w:jc w:val="center"/>
        <w:outlineLvl w:val="0"/>
        <w:rPr>
          <w:rFonts w:asciiTheme="minorEastAsia" w:hAnsiTheme="minorEastAsia" w:eastAsiaTheme="minorEastAsia"/>
          <w:b/>
          <w:color w:val="auto"/>
          <w:sz w:val="28"/>
          <w:szCs w:val="28"/>
          <w:highlight w:val="none"/>
        </w:rPr>
      </w:pPr>
    </w:p>
    <w:p w14:paraId="0F524BC3">
      <w:pPr>
        <w:snapToGrid w:val="0"/>
        <w:spacing w:before="120" w:after="120" w:line="360" w:lineRule="auto"/>
        <w:jc w:val="center"/>
        <w:outlineLvl w:val="0"/>
        <w:rPr>
          <w:rFonts w:asciiTheme="minorEastAsia" w:hAnsiTheme="minorEastAsia" w:eastAsiaTheme="minorEastAsia"/>
          <w:b/>
          <w:color w:val="auto"/>
          <w:sz w:val="28"/>
          <w:szCs w:val="28"/>
          <w:highlight w:val="none"/>
        </w:rPr>
      </w:pPr>
    </w:p>
    <w:p w14:paraId="1BD4F122">
      <w:pPr>
        <w:rPr>
          <w:rFonts w:asciiTheme="minorEastAsia" w:hAnsiTheme="minorEastAsia" w:eastAsiaTheme="minorEastAsia"/>
          <w:b/>
          <w:color w:val="auto"/>
          <w:sz w:val="28"/>
          <w:szCs w:val="28"/>
          <w:highlight w:val="none"/>
        </w:rPr>
      </w:pPr>
      <w:bookmarkStart w:id="70" w:name="_Toc5936"/>
      <w:r>
        <w:rPr>
          <w:rFonts w:hint="eastAsia" w:asciiTheme="minorEastAsia" w:hAnsiTheme="minorEastAsia" w:eastAsiaTheme="minorEastAsia"/>
          <w:b/>
          <w:color w:val="auto"/>
          <w:sz w:val="28"/>
          <w:szCs w:val="28"/>
          <w:highlight w:val="none"/>
        </w:rPr>
        <w:br w:type="page"/>
      </w:r>
    </w:p>
    <w:p w14:paraId="1EFC2C01">
      <w:pPr>
        <w:snapToGrid w:val="0"/>
        <w:spacing w:before="120" w:after="120" w:line="360" w:lineRule="auto"/>
        <w:jc w:val="center"/>
        <w:outlineLvl w:val="0"/>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第四章 评标办法</w:t>
      </w:r>
      <w:bookmarkEnd w:id="70"/>
    </w:p>
    <w:tbl>
      <w:tblPr>
        <w:tblStyle w:val="54"/>
        <w:tblpPr w:leftFromText="180" w:rightFromText="180" w:vertAnchor="text" w:horzAnchor="page" w:tblpX="1621" w:tblpY="614"/>
        <w:tblOverlap w:val="never"/>
        <w:tblW w:w="8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3"/>
        <w:gridCol w:w="6234"/>
        <w:gridCol w:w="971"/>
      </w:tblGrid>
      <w:tr w14:paraId="1D0D2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623" w:type="dxa"/>
            <w:tcBorders>
              <w:top w:val="single" w:color="auto" w:sz="4" w:space="0"/>
              <w:left w:val="single" w:color="auto" w:sz="4" w:space="0"/>
              <w:bottom w:val="single" w:color="auto" w:sz="4" w:space="0"/>
              <w:right w:val="single" w:color="auto" w:sz="4" w:space="0"/>
            </w:tcBorders>
            <w:vAlign w:val="center"/>
          </w:tcPr>
          <w:p w14:paraId="6386E9A7">
            <w:pPr>
              <w:autoSpaceDE w:val="0"/>
              <w:autoSpaceDN w:val="0"/>
              <w:spacing w:line="340" w:lineRule="exact"/>
              <w:jc w:val="center"/>
              <w:rPr>
                <w:rFonts w:ascii="宋体" w:hAnsi="宋体" w:cs="宋体"/>
                <w:color w:val="auto"/>
                <w:szCs w:val="21"/>
                <w:highlight w:val="none"/>
              </w:rPr>
            </w:pPr>
            <w:r>
              <w:rPr>
                <w:rFonts w:hint="eastAsia" w:ascii="宋体" w:hAnsi="宋体" w:cs="宋体"/>
                <w:color w:val="auto"/>
                <w:szCs w:val="21"/>
                <w:highlight w:val="none"/>
              </w:rPr>
              <w:t>评定项目</w:t>
            </w:r>
          </w:p>
        </w:tc>
        <w:tc>
          <w:tcPr>
            <w:tcW w:w="6234" w:type="dxa"/>
            <w:tcBorders>
              <w:top w:val="single" w:color="auto" w:sz="4" w:space="0"/>
              <w:left w:val="single" w:color="auto" w:sz="4" w:space="0"/>
              <w:bottom w:val="single" w:color="auto" w:sz="4" w:space="0"/>
              <w:right w:val="single" w:color="auto" w:sz="4" w:space="0"/>
            </w:tcBorders>
            <w:vAlign w:val="center"/>
          </w:tcPr>
          <w:p w14:paraId="71E50387">
            <w:pPr>
              <w:autoSpaceDE w:val="0"/>
              <w:autoSpaceDN w:val="0"/>
              <w:spacing w:line="340" w:lineRule="exact"/>
              <w:jc w:val="center"/>
              <w:rPr>
                <w:rFonts w:ascii="宋体" w:hAnsi="宋体" w:cs="宋体"/>
                <w:color w:val="auto"/>
                <w:szCs w:val="21"/>
                <w:highlight w:val="none"/>
              </w:rPr>
            </w:pPr>
            <w:r>
              <w:rPr>
                <w:rFonts w:hint="eastAsia" w:ascii="宋体" w:hAnsi="宋体" w:cs="宋体"/>
                <w:color w:val="auto"/>
                <w:szCs w:val="21"/>
                <w:highlight w:val="none"/>
              </w:rPr>
              <w:t>评定内容</w:t>
            </w:r>
          </w:p>
        </w:tc>
        <w:tc>
          <w:tcPr>
            <w:tcW w:w="971" w:type="dxa"/>
            <w:tcBorders>
              <w:top w:val="single" w:color="auto" w:sz="4" w:space="0"/>
              <w:left w:val="single" w:color="auto" w:sz="4" w:space="0"/>
              <w:bottom w:val="single" w:color="auto" w:sz="4" w:space="0"/>
              <w:right w:val="single" w:color="auto" w:sz="4" w:space="0"/>
            </w:tcBorders>
            <w:vAlign w:val="center"/>
          </w:tcPr>
          <w:p w14:paraId="4911D03E">
            <w:pPr>
              <w:autoSpaceDE w:val="0"/>
              <w:autoSpaceDN w:val="0"/>
              <w:spacing w:line="340" w:lineRule="exact"/>
              <w:jc w:val="center"/>
              <w:rPr>
                <w:rFonts w:ascii="宋体" w:hAnsi="宋体" w:cs="宋体"/>
                <w:color w:val="auto"/>
                <w:szCs w:val="21"/>
                <w:highlight w:val="none"/>
              </w:rPr>
            </w:pPr>
            <w:r>
              <w:rPr>
                <w:rFonts w:hint="eastAsia" w:ascii="宋体" w:hAnsi="宋体" w:cs="宋体"/>
                <w:color w:val="auto"/>
                <w:szCs w:val="21"/>
                <w:highlight w:val="none"/>
              </w:rPr>
              <w:t>分值</w:t>
            </w:r>
          </w:p>
          <w:p w14:paraId="440CDC59">
            <w:pPr>
              <w:autoSpaceDE w:val="0"/>
              <w:autoSpaceDN w:val="0"/>
              <w:spacing w:line="340" w:lineRule="exact"/>
              <w:jc w:val="center"/>
              <w:rPr>
                <w:rFonts w:ascii="宋体" w:hAnsi="宋体" w:cs="宋体"/>
                <w:color w:val="auto"/>
                <w:szCs w:val="21"/>
                <w:highlight w:val="none"/>
              </w:rPr>
            </w:pPr>
            <w:r>
              <w:rPr>
                <w:rFonts w:hint="eastAsia" w:ascii="宋体" w:hAnsi="宋体" w:cs="宋体"/>
                <w:color w:val="auto"/>
                <w:szCs w:val="21"/>
                <w:highlight w:val="none"/>
              </w:rPr>
              <w:t>范围</w:t>
            </w:r>
          </w:p>
        </w:tc>
      </w:tr>
      <w:tr w14:paraId="67DB5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857" w:type="dxa"/>
            <w:gridSpan w:val="2"/>
            <w:tcBorders>
              <w:top w:val="single" w:color="auto" w:sz="4" w:space="0"/>
              <w:left w:val="single" w:color="auto" w:sz="4" w:space="0"/>
              <w:bottom w:val="single" w:color="auto" w:sz="4" w:space="0"/>
              <w:right w:val="single" w:color="auto" w:sz="4" w:space="0"/>
            </w:tcBorders>
            <w:vAlign w:val="center"/>
          </w:tcPr>
          <w:p w14:paraId="769BAC97">
            <w:pPr>
              <w:autoSpaceDE w:val="0"/>
              <w:autoSpaceDN w:val="0"/>
              <w:spacing w:line="340" w:lineRule="exact"/>
              <w:jc w:val="center"/>
              <w:rPr>
                <w:rFonts w:ascii="宋体" w:hAnsi="宋体" w:cs="宋体"/>
                <w:color w:val="auto"/>
                <w:szCs w:val="21"/>
                <w:highlight w:val="none"/>
              </w:rPr>
            </w:pPr>
            <w:r>
              <w:rPr>
                <w:rFonts w:hint="eastAsia" w:ascii="宋体" w:hAnsi="宋体" w:cs="宋体"/>
                <w:b/>
                <w:bCs/>
                <w:color w:val="auto"/>
                <w:szCs w:val="21"/>
                <w:highlight w:val="none"/>
              </w:rPr>
              <w:t>技术部分</w:t>
            </w:r>
          </w:p>
        </w:tc>
        <w:tc>
          <w:tcPr>
            <w:tcW w:w="971" w:type="dxa"/>
            <w:tcBorders>
              <w:top w:val="single" w:color="auto" w:sz="4" w:space="0"/>
              <w:left w:val="single" w:color="auto" w:sz="4" w:space="0"/>
              <w:bottom w:val="single" w:color="auto" w:sz="4" w:space="0"/>
              <w:right w:val="single" w:color="auto" w:sz="4" w:space="0"/>
            </w:tcBorders>
            <w:vAlign w:val="center"/>
          </w:tcPr>
          <w:p w14:paraId="3BA834BC">
            <w:pPr>
              <w:autoSpaceDE w:val="0"/>
              <w:autoSpaceDN w:val="0"/>
              <w:spacing w:line="340" w:lineRule="exact"/>
              <w:jc w:val="center"/>
              <w:rPr>
                <w:rFonts w:ascii="宋体" w:hAnsi="宋体" w:cs="宋体"/>
                <w:color w:val="auto"/>
                <w:szCs w:val="21"/>
                <w:highlight w:val="none"/>
              </w:rPr>
            </w:pPr>
            <w:r>
              <w:rPr>
                <w:rFonts w:hint="eastAsia" w:ascii="宋体" w:hAnsi="宋体" w:cs="宋体"/>
                <w:color w:val="auto"/>
                <w:szCs w:val="21"/>
                <w:highlight w:val="none"/>
                <w:lang w:val="en-US" w:eastAsia="zh-CN"/>
              </w:rPr>
              <w:t>65</w:t>
            </w:r>
            <w:r>
              <w:rPr>
                <w:rFonts w:hint="eastAsia" w:ascii="宋体" w:hAnsi="宋体" w:cs="宋体"/>
                <w:color w:val="auto"/>
                <w:szCs w:val="21"/>
                <w:highlight w:val="none"/>
              </w:rPr>
              <w:t>分</w:t>
            </w:r>
          </w:p>
        </w:tc>
      </w:tr>
      <w:tr w14:paraId="7639F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623" w:type="dxa"/>
            <w:tcBorders>
              <w:left w:val="single" w:color="auto" w:sz="4" w:space="0"/>
              <w:right w:val="single" w:color="auto" w:sz="4" w:space="0"/>
            </w:tcBorders>
            <w:vAlign w:val="center"/>
          </w:tcPr>
          <w:p w14:paraId="140B0BF3">
            <w:pPr>
              <w:snapToGrid w:val="0"/>
              <w:spacing w:line="380" w:lineRule="exact"/>
              <w:textAlignment w:val="center"/>
              <w:rPr>
                <w:rFonts w:ascii="宋体" w:hAnsi="宋体" w:cs="宋体"/>
                <w:color w:val="auto"/>
                <w:szCs w:val="21"/>
                <w:highlight w:val="none"/>
              </w:rPr>
            </w:pPr>
            <w:r>
              <w:rPr>
                <w:rFonts w:hint="eastAsia" w:ascii="宋体" w:hAnsi="宋体" w:cs="宋体"/>
                <w:color w:val="auto"/>
                <w:szCs w:val="21"/>
                <w:highlight w:val="none"/>
              </w:rPr>
              <w:t>项目整体理解</w:t>
            </w:r>
          </w:p>
        </w:tc>
        <w:tc>
          <w:tcPr>
            <w:tcW w:w="6234" w:type="dxa"/>
            <w:tcBorders>
              <w:top w:val="single" w:color="auto" w:sz="4" w:space="0"/>
              <w:left w:val="single" w:color="auto" w:sz="4" w:space="0"/>
              <w:right w:val="single" w:color="auto" w:sz="4" w:space="0"/>
            </w:tcBorders>
            <w:vAlign w:val="center"/>
          </w:tcPr>
          <w:p w14:paraId="7D6E6530">
            <w:pPr>
              <w:snapToGrid w:val="0"/>
              <w:spacing w:line="380" w:lineRule="exact"/>
              <w:textAlignment w:val="center"/>
              <w:rPr>
                <w:rFonts w:ascii="宋体" w:hAnsi="宋体" w:cs="宋体"/>
                <w:color w:val="auto"/>
                <w:szCs w:val="21"/>
                <w:highlight w:val="none"/>
              </w:rPr>
            </w:pPr>
            <w:r>
              <w:rPr>
                <w:rFonts w:hint="eastAsia" w:ascii="宋体" w:hAnsi="宋体" w:cs="宋体"/>
                <w:color w:val="auto"/>
                <w:szCs w:val="21"/>
                <w:highlight w:val="none"/>
              </w:rPr>
              <w:t>针对项目需求，根据投标人对本项目的项目背景和现状分析，项目内容等相关的理解程度进行综合评分。对本项目需求理解全面准确、分析合理的得9-12分；比较详细、较为合理的得6-9分（不含）；理解不充分、不全面的得3-6分（不含），不提供不得分。</w:t>
            </w:r>
          </w:p>
        </w:tc>
        <w:tc>
          <w:tcPr>
            <w:tcW w:w="971" w:type="dxa"/>
            <w:tcBorders>
              <w:top w:val="single" w:color="auto" w:sz="4" w:space="0"/>
              <w:left w:val="single" w:color="auto" w:sz="4" w:space="0"/>
              <w:bottom w:val="single" w:color="auto" w:sz="4" w:space="0"/>
              <w:right w:val="single" w:color="auto" w:sz="4" w:space="0"/>
            </w:tcBorders>
            <w:vAlign w:val="center"/>
          </w:tcPr>
          <w:p w14:paraId="54E16A6B">
            <w:pPr>
              <w:snapToGrid w:val="0"/>
              <w:spacing w:line="38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0-12</w:t>
            </w:r>
          </w:p>
        </w:tc>
      </w:tr>
      <w:tr w14:paraId="41E82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623" w:type="dxa"/>
            <w:tcBorders>
              <w:left w:val="single" w:color="auto" w:sz="4" w:space="0"/>
              <w:right w:val="single" w:color="auto" w:sz="4" w:space="0"/>
            </w:tcBorders>
            <w:vAlign w:val="center"/>
          </w:tcPr>
          <w:p w14:paraId="71B04418">
            <w:pPr>
              <w:snapToGrid w:val="0"/>
              <w:spacing w:line="380" w:lineRule="exact"/>
              <w:textAlignment w:val="center"/>
              <w:rPr>
                <w:rFonts w:ascii="宋体" w:hAnsi="宋体" w:cs="宋体"/>
                <w:color w:val="auto"/>
                <w:szCs w:val="21"/>
                <w:highlight w:val="none"/>
              </w:rPr>
            </w:pPr>
            <w:r>
              <w:rPr>
                <w:rFonts w:hint="eastAsia" w:ascii="宋体" w:hAnsi="宋体" w:cs="宋体"/>
                <w:color w:val="auto"/>
                <w:szCs w:val="21"/>
                <w:highlight w:val="none"/>
              </w:rPr>
              <w:t>重难点分析</w:t>
            </w:r>
          </w:p>
        </w:tc>
        <w:tc>
          <w:tcPr>
            <w:tcW w:w="6234" w:type="dxa"/>
            <w:tcBorders>
              <w:top w:val="single" w:color="auto" w:sz="4" w:space="0"/>
              <w:left w:val="single" w:color="auto" w:sz="4" w:space="0"/>
              <w:right w:val="single" w:color="auto" w:sz="4" w:space="0"/>
            </w:tcBorders>
            <w:vAlign w:val="center"/>
          </w:tcPr>
          <w:p w14:paraId="718B01C5">
            <w:pPr>
              <w:snapToGrid w:val="0"/>
              <w:spacing w:line="380" w:lineRule="exact"/>
              <w:textAlignment w:val="center"/>
              <w:rPr>
                <w:rFonts w:ascii="宋体" w:hAnsi="宋体" w:cs="宋体"/>
                <w:color w:val="auto"/>
                <w:szCs w:val="21"/>
                <w:highlight w:val="none"/>
              </w:rPr>
            </w:pPr>
            <w:r>
              <w:rPr>
                <w:rFonts w:hint="eastAsia" w:ascii="宋体" w:hAnsi="宋体" w:cs="宋体"/>
                <w:color w:val="auto"/>
                <w:szCs w:val="21"/>
                <w:highlight w:val="none"/>
              </w:rPr>
              <w:t>对项目的技术关键点、难点进行分析，根据其完整性，合理性等进行综合评分。对本项目关键问题重点、难点分析合理、清晰、全面的得7-10分；对本项目关键问题的重点、难点分析较为合理、较为清晰、较为全面的得4-7分（不含）；对本项目关键问题的重点、难点分析不合理、不清晰、不全面的得1-4分（不含），不提供不得分。</w:t>
            </w:r>
          </w:p>
        </w:tc>
        <w:tc>
          <w:tcPr>
            <w:tcW w:w="971" w:type="dxa"/>
            <w:tcBorders>
              <w:top w:val="single" w:color="auto" w:sz="4" w:space="0"/>
              <w:left w:val="single" w:color="auto" w:sz="4" w:space="0"/>
              <w:bottom w:val="single" w:color="auto" w:sz="4" w:space="0"/>
              <w:right w:val="single" w:color="auto" w:sz="4" w:space="0"/>
            </w:tcBorders>
            <w:vAlign w:val="center"/>
          </w:tcPr>
          <w:p w14:paraId="6E9E6BF7">
            <w:pPr>
              <w:snapToGrid w:val="0"/>
              <w:spacing w:line="38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0-10</w:t>
            </w:r>
          </w:p>
        </w:tc>
      </w:tr>
      <w:tr w14:paraId="43714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623" w:type="dxa"/>
            <w:tcBorders>
              <w:left w:val="single" w:color="auto" w:sz="4" w:space="0"/>
              <w:right w:val="single" w:color="auto" w:sz="4" w:space="0"/>
            </w:tcBorders>
            <w:vAlign w:val="center"/>
          </w:tcPr>
          <w:p w14:paraId="16BF71A8">
            <w:pPr>
              <w:snapToGrid w:val="0"/>
              <w:spacing w:line="380" w:lineRule="exact"/>
              <w:textAlignment w:val="center"/>
              <w:rPr>
                <w:rFonts w:ascii="宋体" w:hAnsi="宋体" w:cs="宋体"/>
                <w:color w:val="auto"/>
                <w:szCs w:val="21"/>
                <w:highlight w:val="none"/>
              </w:rPr>
            </w:pPr>
            <w:r>
              <w:rPr>
                <w:rFonts w:hint="eastAsia" w:ascii="宋体" w:hAnsi="宋体" w:cs="宋体"/>
                <w:color w:val="auto"/>
                <w:szCs w:val="21"/>
                <w:highlight w:val="none"/>
              </w:rPr>
              <w:t>施工方案</w:t>
            </w:r>
          </w:p>
        </w:tc>
        <w:tc>
          <w:tcPr>
            <w:tcW w:w="6234" w:type="dxa"/>
            <w:tcBorders>
              <w:top w:val="single" w:color="auto" w:sz="4" w:space="0"/>
              <w:left w:val="single" w:color="auto" w:sz="4" w:space="0"/>
              <w:right w:val="single" w:color="auto" w:sz="4" w:space="0"/>
            </w:tcBorders>
            <w:vAlign w:val="center"/>
          </w:tcPr>
          <w:p w14:paraId="60833AA7">
            <w:pPr>
              <w:snapToGrid w:val="0"/>
              <w:spacing w:line="380" w:lineRule="exact"/>
              <w:textAlignment w:val="center"/>
              <w:rPr>
                <w:rFonts w:ascii="宋体" w:hAnsi="宋体" w:cs="宋体"/>
                <w:color w:val="auto"/>
                <w:szCs w:val="21"/>
                <w:highlight w:val="none"/>
              </w:rPr>
            </w:pPr>
            <w:r>
              <w:rPr>
                <w:rFonts w:hint="eastAsia" w:ascii="宋体" w:hAnsi="宋体" w:cs="宋体"/>
                <w:color w:val="auto"/>
                <w:szCs w:val="21"/>
                <w:highlight w:val="none"/>
              </w:rPr>
              <w:t>对项目施工方案</w:t>
            </w:r>
            <w:r>
              <w:rPr>
                <w:rFonts w:hint="eastAsia" w:ascii="宋体" w:hAnsi="宋体" w:cs="宋体"/>
                <w:b/>
                <w:bCs/>
                <w:color w:val="auto"/>
                <w:szCs w:val="21"/>
                <w:highlight w:val="none"/>
              </w:rPr>
              <w:t>（包括但不限于实施人员安排、施工质量把控、施工进度安排、安全防护及文明施工等）</w:t>
            </w:r>
            <w:r>
              <w:rPr>
                <w:rFonts w:hint="eastAsia" w:ascii="宋体" w:hAnsi="宋体" w:cs="宋体"/>
                <w:color w:val="auto"/>
                <w:szCs w:val="21"/>
                <w:highlight w:val="none"/>
              </w:rPr>
              <w:t>的完整性、科学性、紧凑性、合理性等进行综合评分。服务方案方案科学合理、完善的得7-10分，服务方案较完善较合理的得4-7分（不含），服务方案不够科学合理，内容不够完善的得1-4分（不含），不提供不得分。</w:t>
            </w:r>
          </w:p>
        </w:tc>
        <w:tc>
          <w:tcPr>
            <w:tcW w:w="971" w:type="dxa"/>
            <w:tcBorders>
              <w:top w:val="single" w:color="auto" w:sz="4" w:space="0"/>
              <w:left w:val="single" w:color="auto" w:sz="4" w:space="0"/>
              <w:bottom w:val="single" w:color="auto" w:sz="4" w:space="0"/>
              <w:right w:val="single" w:color="auto" w:sz="4" w:space="0"/>
            </w:tcBorders>
            <w:vAlign w:val="center"/>
          </w:tcPr>
          <w:p w14:paraId="54518AA5">
            <w:pPr>
              <w:snapToGrid w:val="0"/>
              <w:spacing w:line="380" w:lineRule="exact"/>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0-10</w:t>
            </w:r>
          </w:p>
        </w:tc>
      </w:tr>
      <w:tr w14:paraId="17EDF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623" w:type="dxa"/>
            <w:tcBorders>
              <w:left w:val="single" w:color="auto" w:sz="4" w:space="0"/>
              <w:right w:val="single" w:color="auto" w:sz="4" w:space="0"/>
            </w:tcBorders>
            <w:vAlign w:val="center"/>
          </w:tcPr>
          <w:p w14:paraId="4C83188E">
            <w:pPr>
              <w:snapToGrid w:val="0"/>
              <w:spacing w:line="380" w:lineRule="exact"/>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相关管理制度</w:t>
            </w:r>
          </w:p>
        </w:tc>
        <w:tc>
          <w:tcPr>
            <w:tcW w:w="6234" w:type="dxa"/>
            <w:tcBorders>
              <w:top w:val="single" w:color="auto" w:sz="4" w:space="0"/>
              <w:left w:val="single" w:color="auto" w:sz="4" w:space="0"/>
              <w:right w:val="single" w:color="auto" w:sz="4" w:space="0"/>
            </w:tcBorders>
            <w:vAlign w:val="center"/>
          </w:tcPr>
          <w:p w14:paraId="1F418548">
            <w:pPr>
              <w:snapToGrid w:val="0"/>
              <w:spacing w:line="380" w:lineRule="exact"/>
              <w:textAlignment w:val="center"/>
              <w:rPr>
                <w:rFonts w:hint="default" w:ascii="宋体" w:hAnsi="宋体" w:eastAsia="宋体" w:cs="宋体"/>
                <w:color w:val="auto"/>
                <w:szCs w:val="21"/>
                <w:highlight w:val="none"/>
                <w:lang w:val="en-US"/>
              </w:rPr>
            </w:pPr>
            <w:r>
              <w:rPr>
                <w:rFonts w:hint="eastAsia" w:ascii="宋体" w:hAnsi="宋体" w:eastAsia="宋体" w:cs="宋体"/>
                <w:color w:val="auto"/>
                <w:szCs w:val="21"/>
                <w:highlight w:val="none"/>
                <w:lang w:eastAsia="zh-CN"/>
              </w:rPr>
              <w:t>根据作业质量标准，检查考核办法，作业人员安全教育、劳动保护、安全管理制度，意外事件应急预案等情况酌情评分</w:t>
            </w:r>
            <w:r>
              <w:rPr>
                <w:rFonts w:hint="eastAsia" w:ascii="宋体" w:hAnsi="宋体" w:eastAsia="宋体" w:cs="宋体"/>
                <w:color w:val="auto"/>
                <w:szCs w:val="21"/>
                <w:highlight w:val="none"/>
                <w:lang w:val="en-US" w:eastAsia="zh-CN"/>
              </w:rPr>
              <w:t>，不提供不得分。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0，5-10分</w:t>
            </w:r>
            <w:r>
              <w:rPr>
                <w:rFonts w:hint="eastAsia" w:ascii="宋体" w:hAnsi="宋体" w:eastAsia="宋体" w:cs="宋体"/>
                <w:color w:val="auto"/>
                <w:szCs w:val="21"/>
                <w:highlight w:val="none"/>
                <w:lang w:eastAsia="zh-CN"/>
              </w:rPr>
              <w:t>）</w:t>
            </w:r>
          </w:p>
        </w:tc>
        <w:tc>
          <w:tcPr>
            <w:tcW w:w="971" w:type="dxa"/>
            <w:tcBorders>
              <w:top w:val="single" w:color="auto" w:sz="4" w:space="0"/>
              <w:left w:val="single" w:color="auto" w:sz="4" w:space="0"/>
              <w:bottom w:val="single" w:color="auto" w:sz="4" w:space="0"/>
              <w:right w:val="single" w:color="auto" w:sz="4" w:space="0"/>
            </w:tcBorders>
            <w:vAlign w:val="center"/>
          </w:tcPr>
          <w:p w14:paraId="05086589">
            <w:pPr>
              <w:snapToGrid w:val="0"/>
              <w:spacing w:line="380" w:lineRule="exact"/>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0-10</w:t>
            </w:r>
          </w:p>
        </w:tc>
      </w:tr>
      <w:tr w14:paraId="1B3E1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623" w:type="dxa"/>
            <w:tcBorders>
              <w:left w:val="single" w:color="auto" w:sz="4" w:space="0"/>
              <w:right w:val="single" w:color="auto" w:sz="4" w:space="0"/>
            </w:tcBorders>
            <w:vAlign w:val="center"/>
          </w:tcPr>
          <w:p w14:paraId="3D96620F">
            <w:pPr>
              <w:snapToGrid w:val="0"/>
              <w:spacing w:line="380" w:lineRule="exact"/>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应急预案</w:t>
            </w:r>
          </w:p>
        </w:tc>
        <w:tc>
          <w:tcPr>
            <w:tcW w:w="6234" w:type="dxa"/>
            <w:tcBorders>
              <w:top w:val="single" w:color="auto" w:sz="4" w:space="0"/>
              <w:left w:val="single" w:color="auto" w:sz="4" w:space="0"/>
              <w:right w:val="single" w:color="auto" w:sz="4" w:space="0"/>
            </w:tcBorders>
            <w:vAlign w:val="center"/>
          </w:tcPr>
          <w:p w14:paraId="48E65DF5">
            <w:pPr>
              <w:snapToGrid w:val="0"/>
              <w:spacing w:line="380" w:lineRule="exact"/>
              <w:textAlignment w:val="center"/>
              <w:rPr>
                <w:rFonts w:hint="eastAsia" w:ascii="宋体" w:hAnsi="宋体" w:eastAsia="宋体" w:cs="宋体"/>
                <w:color w:val="auto"/>
                <w:szCs w:val="21"/>
                <w:highlight w:val="none"/>
              </w:rPr>
            </w:pPr>
            <w:r>
              <w:rPr>
                <w:rFonts w:hint="default" w:ascii="宋体" w:hAnsi="宋体" w:eastAsia="宋体" w:cs="宋体"/>
                <w:color w:val="auto"/>
                <w:szCs w:val="21"/>
                <w:highlight w:val="none"/>
                <w:lang w:val="en-US"/>
              </w:rPr>
              <w:t>安全文明礼貌的承诺及应急预案实施措施，评委根据投标方提供的安全服务方案及应急预案措施进行综合评分，应急预案要求：针对台风暴雨天气、梅雨季节、冰雪霜冻天气、污雨水井或管道或化粪池堵塞或污水外溢情况、发生火灾等特殊紧急情况进行详细方案描述</w:t>
            </w:r>
            <w:r>
              <w:rPr>
                <w:rFonts w:hint="eastAsia" w:ascii="宋体" w:hAnsi="宋体" w:eastAsia="宋体" w:cs="宋体"/>
                <w:color w:val="auto"/>
                <w:szCs w:val="21"/>
                <w:highlight w:val="none"/>
                <w:lang w:val="en-US" w:eastAsia="zh-CN"/>
              </w:rPr>
              <w:t>，不提供不得分。</w:t>
            </w:r>
            <w:r>
              <w:rPr>
                <w:rFonts w:hint="default"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val="en-US" w:eastAsia="zh-CN"/>
              </w:rPr>
              <w:t>0，4</w:t>
            </w:r>
            <w:r>
              <w:rPr>
                <w:rFonts w:hint="default" w:ascii="宋体" w:hAnsi="宋体" w:eastAsia="宋体" w:cs="宋体"/>
                <w:color w:val="auto"/>
                <w:szCs w:val="21"/>
                <w:highlight w:val="none"/>
                <w:lang w:val="en-US" w:eastAsia="zh-CN"/>
              </w:rPr>
              <w:t>-8分）</w:t>
            </w:r>
          </w:p>
        </w:tc>
        <w:tc>
          <w:tcPr>
            <w:tcW w:w="971" w:type="dxa"/>
            <w:tcBorders>
              <w:top w:val="single" w:color="auto" w:sz="4" w:space="0"/>
              <w:left w:val="single" w:color="auto" w:sz="4" w:space="0"/>
              <w:bottom w:val="single" w:color="auto" w:sz="4" w:space="0"/>
              <w:right w:val="single" w:color="auto" w:sz="4" w:space="0"/>
            </w:tcBorders>
            <w:vAlign w:val="center"/>
          </w:tcPr>
          <w:p w14:paraId="10D498C9">
            <w:pPr>
              <w:snapToGrid w:val="0"/>
              <w:spacing w:line="380" w:lineRule="exact"/>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0-</w:t>
            </w:r>
            <w:r>
              <w:rPr>
                <w:rFonts w:hint="eastAsia" w:ascii="宋体" w:hAnsi="宋体" w:eastAsia="宋体" w:cs="宋体"/>
                <w:color w:val="auto"/>
                <w:szCs w:val="21"/>
                <w:highlight w:val="none"/>
                <w:lang w:val="en-US" w:eastAsia="zh-CN"/>
              </w:rPr>
              <w:t>8</w:t>
            </w:r>
          </w:p>
        </w:tc>
      </w:tr>
      <w:tr w14:paraId="7F090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623" w:type="dxa"/>
            <w:tcBorders>
              <w:left w:val="single" w:color="auto" w:sz="4" w:space="0"/>
              <w:right w:val="single" w:color="auto" w:sz="4" w:space="0"/>
            </w:tcBorders>
            <w:vAlign w:val="center"/>
          </w:tcPr>
          <w:p w14:paraId="7BB1B61C">
            <w:pPr>
              <w:snapToGrid w:val="0"/>
              <w:spacing w:line="380" w:lineRule="exac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进度安排</w:t>
            </w:r>
          </w:p>
        </w:tc>
        <w:tc>
          <w:tcPr>
            <w:tcW w:w="6234" w:type="dxa"/>
            <w:tcBorders>
              <w:top w:val="single" w:color="auto" w:sz="4" w:space="0"/>
              <w:left w:val="single" w:color="auto" w:sz="4" w:space="0"/>
              <w:right w:val="single" w:color="auto" w:sz="4" w:space="0"/>
            </w:tcBorders>
            <w:vAlign w:val="center"/>
          </w:tcPr>
          <w:p w14:paraId="03C1B9D9">
            <w:pPr>
              <w:snapToGrid w:val="0"/>
              <w:spacing w:line="380" w:lineRule="exact"/>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投标人针对本项目实施的项目进度安排，根据进度安排的科学性、合理性、规范性和可操作性，各投标单位比较得分</w:t>
            </w:r>
            <w:r>
              <w:rPr>
                <w:rFonts w:hint="eastAsia" w:ascii="宋体" w:hAnsi="宋体" w:eastAsia="宋体" w:cs="宋体"/>
                <w:color w:val="auto"/>
                <w:szCs w:val="21"/>
                <w:highlight w:val="none"/>
                <w:lang w:val="en-US" w:eastAsia="zh-CN"/>
              </w:rPr>
              <w:t>，不提供不得分。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0，5-10分</w:t>
            </w:r>
            <w:r>
              <w:rPr>
                <w:rFonts w:hint="eastAsia" w:ascii="宋体" w:hAnsi="宋体" w:eastAsia="宋体" w:cs="宋体"/>
                <w:color w:val="auto"/>
                <w:szCs w:val="21"/>
                <w:highlight w:val="none"/>
                <w:lang w:eastAsia="zh-CN"/>
              </w:rPr>
              <w:t>）</w:t>
            </w:r>
          </w:p>
        </w:tc>
        <w:tc>
          <w:tcPr>
            <w:tcW w:w="971" w:type="dxa"/>
            <w:tcBorders>
              <w:top w:val="single" w:color="auto" w:sz="4" w:space="0"/>
              <w:left w:val="single" w:color="auto" w:sz="4" w:space="0"/>
              <w:bottom w:val="single" w:color="auto" w:sz="4" w:space="0"/>
              <w:right w:val="single" w:color="auto" w:sz="4" w:space="0"/>
            </w:tcBorders>
            <w:vAlign w:val="center"/>
          </w:tcPr>
          <w:p w14:paraId="3B2A15C4">
            <w:pPr>
              <w:snapToGrid w:val="0"/>
              <w:spacing w:line="380" w:lineRule="exact"/>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0-</w:t>
            </w:r>
            <w:r>
              <w:rPr>
                <w:rFonts w:hint="eastAsia" w:ascii="宋体" w:hAnsi="宋体" w:cs="宋体"/>
                <w:color w:val="auto"/>
                <w:szCs w:val="21"/>
                <w:highlight w:val="none"/>
                <w:lang w:val="en-US" w:eastAsia="zh-CN"/>
              </w:rPr>
              <w:t>10</w:t>
            </w:r>
          </w:p>
        </w:tc>
      </w:tr>
      <w:tr w14:paraId="266B3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623" w:type="dxa"/>
            <w:tcBorders>
              <w:left w:val="single" w:color="auto" w:sz="4" w:space="0"/>
              <w:right w:val="single" w:color="auto" w:sz="4" w:space="0"/>
            </w:tcBorders>
            <w:vAlign w:val="center"/>
          </w:tcPr>
          <w:p w14:paraId="18D6E639">
            <w:pPr>
              <w:snapToGrid w:val="0"/>
              <w:spacing w:line="380" w:lineRule="exact"/>
              <w:textAlignment w:val="center"/>
              <w:rPr>
                <w:rFonts w:ascii="宋体" w:hAnsi="宋体" w:cs="宋体"/>
                <w:color w:val="auto"/>
                <w:szCs w:val="21"/>
                <w:highlight w:val="none"/>
              </w:rPr>
            </w:pPr>
            <w:r>
              <w:rPr>
                <w:rFonts w:hint="eastAsia" w:ascii="宋体" w:hAnsi="宋体" w:cs="宋体"/>
                <w:color w:val="auto"/>
                <w:szCs w:val="21"/>
                <w:highlight w:val="none"/>
              </w:rPr>
              <w:t>合理化建议</w:t>
            </w:r>
          </w:p>
        </w:tc>
        <w:tc>
          <w:tcPr>
            <w:tcW w:w="6234" w:type="dxa"/>
            <w:tcBorders>
              <w:top w:val="single" w:color="auto" w:sz="4" w:space="0"/>
              <w:left w:val="single" w:color="auto" w:sz="4" w:space="0"/>
              <w:bottom w:val="single" w:color="auto" w:sz="4" w:space="0"/>
              <w:right w:val="single" w:color="auto" w:sz="4" w:space="0"/>
            </w:tcBorders>
            <w:vAlign w:val="center"/>
          </w:tcPr>
          <w:p w14:paraId="42175F02">
            <w:pPr>
              <w:snapToGrid w:val="0"/>
              <w:spacing w:line="380" w:lineRule="exact"/>
              <w:textAlignment w:val="center"/>
              <w:rPr>
                <w:rFonts w:ascii="宋体" w:hAnsi="宋体" w:cs="宋体"/>
                <w:color w:val="auto"/>
                <w:szCs w:val="21"/>
                <w:highlight w:val="none"/>
              </w:rPr>
            </w:pPr>
            <w:r>
              <w:rPr>
                <w:rFonts w:hint="eastAsia" w:ascii="宋体" w:hAnsi="宋体" w:cs="宋体"/>
                <w:color w:val="auto"/>
                <w:szCs w:val="21"/>
                <w:highlight w:val="none"/>
              </w:rPr>
              <w:t>针对本项目提出的合理化建议，根据合理化建议的有效性、可行性，由专家一致认定有效可行的，每一条得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分，最多得</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r>
              <w:rPr>
                <w:rFonts w:hint="eastAsia" w:ascii="仿宋" w:hAnsi="仿宋" w:eastAsia="仿宋" w:cs="仿宋"/>
                <w:color w:val="auto"/>
                <w:szCs w:val="21"/>
                <w:highlight w:val="none"/>
                <w:lang w:val="en-US" w:eastAsia="zh-CN"/>
              </w:rPr>
              <w:t>，不提供不得分</w:t>
            </w:r>
            <w:r>
              <w:rPr>
                <w:rFonts w:hint="eastAsia" w:ascii="宋体" w:hAnsi="宋体" w:cs="宋体"/>
                <w:color w:val="auto"/>
                <w:szCs w:val="21"/>
                <w:highlight w:val="none"/>
              </w:rPr>
              <w:t>。（0-</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tc>
        <w:tc>
          <w:tcPr>
            <w:tcW w:w="971" w:type="dxa"/>
            <w:tcBorders>
              <w:left w:val="single" w:color="auto" w:sz="4" w:space="0"/>
              <w:right w:val="single" w:color="auto" w:sz="4" w:space="0"/>
            </w:tcBorders>
            <w:vAlign w:val="center"/>
          </w:tcPr>
          <w:p w14:paraId="54F49F1D">
            <w:pPr>
              <w:snapToGrid w:val="0"/>
              <w:spacing w:line="380" w:lineRule="exact"/>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0-</w:t>
            </w:r>
            <w:r>
              <w:rPr>
                <w:rFonts w:hint="eastAsia" w:ascii="宋体" w:hAnsi="宋体" w:cs="宋体"/>
                <w:color w:val="auto"/>
                <w:szCs w:val="21"/>
                <w:highlight w:val="none"/>
                <w:lang w:val="en-US" w:eastAsia="zh-CN"/>
              </w:rPr>
              <w:t>5</w:t>
            </w:r>
          </w:p>
        </w:tc>
      </w:tr>
      <w:tr w14:paraId="24511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857" w:type="dxa"/>
            <w:gridSpan w:val="2"/>
            <w:tcBorders>
              <w:left w:val="single" w:color="auto" w:sz="4" w:space="0"/>
              <w:right w:val="single" w:color="auto" w:sz="4" w:space="0"/>
            </w:tcBorders>
            <w:vAlign w:val="center"/>
          </w:tcPr>
          <w:p w14:paraId="7BB09B17">
            <w:pPr>
              <w:autoSpaceDE w:val="0"/>
              <w:autoSpaceDN w:val="0"/>
              <w:spacing w:line="340" w:lineRule="exact"/>
              <w:jc w:val="center"/>
              <w:rPr>
                <w:rFonts w:ascii="宋体" w:hAnsi="宋体" w:cs="宋体"/>
                <w:b/>
                <w:color w:val="auto"/>
                <w:szCs w:val="21"/>
                <w:highlight w:val="none"/>
              </w:rPr>
            </w:pPr>
            <w:r>
              <w:rPr>
                <w:rFonts w:hint="eastAsia" w:ascii="宋体" w:hAnsi="宋体" w:cs="宋体"/>
                <w:b/>
                <w:color w:val="auto"/>
                <w:szCs w:val="21"/>
                <w:highlight w:val="none"/>
              </w:rPr>
              <w:t>商务资信部分</w:t>
            </w:r>
          </w:p>
        </w:tc>
        <w:tc>
          <w:tcPr>
            <w:tcW w:w="971" w:type="dxa"/>
            <w:tcBorders>
              <w:left w:val="single" w:color="auto" w:sz="4" w:space="0"/>
              <w:right w:val="single" w:color="auto" w:sz="4" w:space="0"/>
            </w:tcBorders>
            <w:vAlign w:val="center"/>
          </w:tcPr>
          <w:p w14:paraId="04C51E41">
            <w:pPr>
              <w:autoSpaceDE w:val="0"/>
              <w:autoSpaceDN w:val="0"/>
              <w:spacing w:line="340" w:lineRule="exact"/>
              <w:jc w:val="center"/>
              <w:rPr>
                <w:rFonts w:ascii="宋体" w:hAnsi="宋体" w:cs="宋体"/>
                <w:b/>
                <w:color w:val="auto"/>
                <w:szCs w:val="21"/>
                <w:highlight w:val="none"/>
              </w:rPr>
            </w:pPr>
            <w:r>
              <w:rPr>
                <w:rFonts w:hint="eastAsia" w:ascii="宋体" w:hAnsi="宋体" w:cs="宋体"/>
                <w:b/>
                <w:color w:val="auto"/>
                <w:szCs w:val="21"/>
                <w:highlight w:val="none"/>
                <w:lang w:val="en-US" w:eastAsia="zh-CN"/>
              </w:rPr>
              <w:t>5</w:t>
            </w:r>
            <w:r>
              <w:rPr>
                <w:rFonts w:hint="eastAsia" w:ascii="宋体" w:hAnsi="宋体" w:cs="宋体"/>
                <w:b/>
                <w:color w:val="auto"/>
                <w:szCs w:val="21"/>
                <w:highlight w:val="none"/>
              </w:rPr>
              <w:t>分</w:t>
            </w:r>
          </w:p>
        </w:tc>
      </w:tr>
      <w:tr w14:paraId="7B4A4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623" w:type="dxa"/>
            <w:tcBorders>
              <w:left w:val="single" w:color="auto" w:sz="4" w:space="0"/>
              <w:right w:val="single" w:color="auto" w:sz="4" w:space="0"/>
            </w:tcBorders>
            <w:vAlign w:val="center"/>
          </w:tcPr>
          <w:p w14:paraId="22BFDD6C">
            <w:pPr>
              <w:autoSpaceDE w:val="0"/>
              <w:autoSpaceDN w:val="0"/>
              <w:spacing w:line="340" w:lineRule="exact"/>
              <w:jc w:val="center"/>
              <w:rPr>
                <w:rFonts w:ascii="宋体" w:hAnsi="宋体" w:cs="宋体"/>
                <w:color w:val="auto"/>
                <w:szCs w:val="21"/>
                <w:highlight w:val="none"/>
              </w:rPr>
            </w:pPr>
            <w:r>
              <w:rPr>
                <w:rFonts w:hint="eastAsia" w:ascii="宋体" w:hAnsi="宋体" w:cs="宋体"/>
                <w:color w:val="auto"/>
                <w:szCs w:val="21"/>
                <w:highlight w:val="none"/>
              </w:rPr>
              <w:t>业绩</w:t>
            </w:r>
          </w:p>
        </w:tc>
        <w:tc>
          <w:tcPr>
            <w:tcW w:w="6234" w:type="dxa"/>
            <w:tcBorders>
              <w:top w:val="single" w:color="auto" w:sz="4" w:space="0"/>
              <w:left w:val="single" w:color="auto" w:sz="4" w:space="0"/>
              <w:bottom w:val="single" w:color="auto" w:sz="4" w:space="0"/>
              <w:right w:val="single" w:color="auto" w:sz="4" w:space="0"/>
            </w:tcBorders>
            <w:vAlign w:val="center"/>
          </w:tcPr>
          <w:p w14:paraId="0647F4A2">
            <w:pPr>
              <w:autoSpaceDE w:val="0"/>
              <w:autoSpaceDN w:val="0"/>
              <w:spacing w:line="340" w:lineRule="exact"/>
              <w:rPr>
                <w:rFonts w:ascii="宋体" w:hAnsi="宋体" w:cs="宋体"/>
                <w:color w:val="auto"/>
                <w:szCs w:val="21"/>
                <w:highlight w:val="none"/>
              </w:rPr>
            </w:pPr>
            <w:r>
              <w:rPr>
                <w:rFonts w:hint="eastAsia" w:ascii="宋体" w:hAnsi="宋体" w:cs="宋体"/>
                <w:color w:val="auto"/>
                <w:szCs w:val="21"/>
                <w:highlight w:val="none"/>
                <w:lang w:val="en-US" w:eastAsia="zh-CN"/>
              </w:rPr>
              <w:t>2020年1月1日</w:t>
            </w:r>
            <w:r>
              <w:rPr>
                <w:rFonts w:hint="eastAsia" w:ascii="宋体" w:hAnsi="宋体" w:cs="宋体"/>
                <w:color w:val="auto"/>
                <w:szCs w:val="21"/>
                <w:highlight w:val="none"/>
              </w:rPr>
              <w:t>以来在承担过同类项目业绩或案例证明。供应商每提供一个同类项目，得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分，最高3分（提供合同，时间以合同签订时间为准，不提供不得分）</w:t>
            </w:r>
          </w:p>
        </w:tc>
        <w:tc>
          <w:tcPr>
            <w:tcW w:w="971" w:type="dxa"/>
            <w:tcBorders>
              <w:left w:val="single" w:color="auto" w:sz="4" w:space="0"/>
              <w:right w:val="single" w:color="auto" w:sz="4" w:space="0"/>
            </w:tcBorders>
            <w:vAlign w:val="center"/>
          </w:tcPr>
          <w:p w14:paraId="2E30DC27">
            <w:pPr>
              <w:autoSpaceDE w:val="0"/>
              <w:autoSpaceDN w:val="0"/>
              <w:spacing w:line="340" w:lineRule="exact"/>
              <w:jc w:val="center"/>
              <w:rPr>
                <w:rFonts w:ascii="宋体" w:hAnsi="宋体" w:cs="宋体"/>
                <w:color w:val="auto"/>
                <w:szCs w:val="21"/>
                <w:highlight w:val="none"/>
              </w:rPr>
            </w:pPr>
            <w:r>
              <w:rPr>
                <w:rFonts w:hint="eastAsia" w:ascii="宋体" w:hAnsi="宋体" w:cs="宋体"/>
                <w:color w:val="auto"/>
                <w:szCs w:val="21"/>
                <w:highlight w:val="none"/>
              </w:rPr>
              <w:t>0-3</w:t>
            </w:r>
          </w:p>
        </w:tc>
      </w:tr>
      <w:tr w14:paraId="6C1C3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623" w:type="dxa"/>
            <w:tcBorders>
              <w:left w:val="single" w:color="auto" w:sz="4" w:space="0"/>
              <w:right w:val="single" w:color="auto" w:sz="4" w:space="0"/>
            </w:tcBorders>
            <w:vAlign w:val="center"/>
          </w:tcPr>
          <w:p w14:paraId="2FFD965B">
            <w:pPr>
              <w:spacing w:line="360" w:lineRule="exact"/>
              <w:rPr>
                <w:rFonts w:ascii="宋体" w:hAnsi="宋体" w:cs="宋体"/>
                <w:color w:val="auto"/>
                <w:szCs w:val="21"/>
                <w:highlight w:val="none"/>
              </w:rPr>
            </w:pPr>
            <w:r>
              <w:rPr>
                <w:rFonts w:hint="eastAsia" w:ascii="宋体" w:hAnsi="宋体" w:cs="宋体"/>
                <w:color w:val="auto"/>
                <w:szCs w:val="21"/>
                <w:highlight w:val="none"/>
              </w:rPr>
              <w:t>投标文件制作</w:t>
            </w:r>
          </w:p>
        </w:tc>
        <w:tc>
          <w:tcPr>
            <w:tcW w:w="6234" w:type="dxa"/>
            <w:tcBorders>
              <w:top w:val="single" w:color="auto" w:sz="4" w:space="0"/>
              <w:left w:val="single" w:color="auto" w:sz="4" w:space="0"/>
              <w:bottom w:val="single" w:color="auto" w:sz="4" w:space="0"/>
              <w:right w:val="single" w:color="auto" w:sz="4" w:space="0"/>
            </w:tcBorders>
            <w:vAlign w:val="center"/>
          </w:tcPr>
          <w:p w14:paraId="03650B76">
            <w:pPr>
              <w:spacing w:line="360" w:lineRule="exact"/>
              <w:rPr>
                <w:rFonts w:ascii="宋体" w:hAnsi="宋体" w:cs="宋体"/>
                <w:color w:val="auto"/>
                <w:szCs w:val="21"/>
                <w:highlight w:val="none"/>
              </w:rPr>
            </w:pPr>
            <w:r>
              <w:rPr>
                <w:rFonts w:hint="eastAsia" w:ascii="宋体" w:hAnsi="宋体" w:cs="宋体"/>
                <w:color w:val="auto"/>
                <w:szCs w:val="21"/>
                <w:highlight w:val="none"/>
              </w:rPr>
              <w:t>投标文件编制完整，格式规范、装订整齐、符合招标文件要求的，得2分；投标文件有关内容前后矛盾、与招标文件要求不一致等，评标委员会允许且需要通过询标等程序进行澄清的，该项不得分；投标文件存在其他错漏的，每项（次）扣0.</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分，扣完该项得分为止。</w:t>
            </w:r>
          </w:p>
        </w:tc>
        <w:tc>
          <w:tcPr>
            <w:tcW w:w="971" w:type="dxa"/>
            <w:tcBorders>
              <w:left w:val="single" w:color="auto" w:sz="4" w:space="0"/>
              <w:right w:val="single" w:color="auto" w:sz="4" w:space="0"/>
            </w:tcBorders>
            <w:vAlign w:val="center"/>
          </w:tcPr>
          <w:p w14:paraId="6C9D76C2">
            <w:pPr>
              <w:autoSpaceDE w:val="0"/>
              <w:autoSpaceDN w:val="0"/>
              <w:spacing w:line="340" w:lineRule="exact"/>
              <w:jc w:val="center"/>
              <w:rPr>
                <w:rFonts w:ascii="宋体" w:hAnsi="宋体" w:cs="宋体"/>
                <w:color w:val="auto"/>
                <w:szCs w:val="21"/>
                <w:highlight w:val="none"/>
              </w:rPr>
            </w:pPr>
            <w:r>
              <w:rPr>
                <w:rFonts w:hint="eastAsia" w:ascii="宋体" w:hAnsi="宋体" w:cs="宋体"/>
                <w:color w:val="auto"/>
                <w:szCs w:val="21"/>
                <w:highlight w:val="none"/>
              </w:rPr>
              <w:t>0-2</w:t>
            </w:r>
          </w:p>
        </w:tc>
      </w:tr>
      <w:tr w14:paraId="33426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7857" w:type="dxa"/>
            <w:gridSpan w:val="2"/>
            <w:tcBorders>
              <w:left w:val="single" w:color="auto" w:sz="4" w:space="0"/>
              <w:right w:val="single" w:color="auto" w:sz="4" w:space="0"/>
            </w:tcBorders>
            <w:vAlign w:val="center"/>
          </w:tcPr>
          <w:p w14:paraId="47E0D3E8">
            <w:pPr>
              <w:autoSpaceDE w:val="0"/>
              <w:autoSpaceDN w:val="0"/>
              <w:spacing w:line="340" w:lineRule="exact"/>
              <w:jc w:val="center"/>
              <w:rPr>
                <w:rFonts w:ascii="宋体" w:hAnsi="宋体" w:cs="宋体"/>
                <w:b/>
                <w:color w:val="auto"/>
                <w:szCs w:val="21"/>
                <w:highlight w:val="none"/>
              </w:rPr>
            </w:pPr>
            <w:r>
              <w:rPr>
                <w:rFonts w:hint="eastAsia" w:ascii="宋体" w:hAnsi="宋体" w:cs="宋体"/>
                <w:b/>
                <w:color w:val="auto"/>
                <w:szCs w:val="21"/>
                <w:highlight w:val="none"/>
              </w:rPr>
              <w:t>报价部分</w:t>
            </w:r>
          </w:p>
        </w:tc>
        <w:tc>
          <w:tcPr>
            <w:tcW w:w="971" w:type="dxa"/>
            <w:tcBorders>
              <w:left w:val="single" w:color="auto" w:sz="4" w:space="0"/>
              <w:right w:val="single" w:color="auto" w:sz="4" w:space="0"/>
            </w:tcBorders>
            <w:vAlign w:val="center"/>
          </w:tcPr>
          <w:p w14:paraId="344D802D">
            <w:pPr>
              <w:autoSpaceDE w:val="0"/>
              <w:autoSpaceDN w:val="0"/>
              <w:spacing w:line="340" w:lineRule="exact"/>
              <w:jc w:val="center"/>
              <w:rPr>
                <w:rFonts w:ascii="宋体" w:hAnsi="宋体" w:cs="宋体"/>
                <w:b/>
                <w:color w:val="auto"/>
                <w:szCs w:val="21"/>
                <w:highlight w:val="none"/>
              </w:rPr>
            </w:pPr>
            <w:r>
              <w:rPr>
                <w:rFonts w:hint="eastAsia" w:ascii="宋体" w:hAnsi="宋体" w:cs="宋体"/>
                <w:b/>
                <w:color w:val="auto"/>
                <w:szCs w:val="21"/>
                <w:highlight w:val="none"/>
              </w:rPr>
              <w:t>30分</w:t>
            </w:r>
          </w:p>
        </w:tc>
      </w:tr>
      <w:tr w14:paraId="750B8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623" w:type="dxa"/>
            <w:tcBorders>
              <w:left w:val="single" w:color="auto" w:sz="4" w:space="0"/>
              <w:bottom w:val="single" w:color="auto" w:sz="4" w:space="0"/>
              <w:right w:val="single" w:color="auto" w:sz="4" w:space="0"/>
            </w:tcBorders>
            <w:vAlign w:val="center"/>
          </w:tcPr>
          <w:p w14:paraId="0C7FD50B">
            <w:pPr>
              <w:autoSpaceDE w:val="0"/>
              <w:autoSpaceDN w:val="0"/>
              <w:spacing w:line="340" w:lineRule="exact"/>
              <w:jc w:val="center"/>
              <w:rPr>
                <w:rFonts w:ascii="宋体" w:hAnsi="宋体" w:cs="宋体"/>
                <w:b/>
                <w:color w:val="auto"/>
                <w:szCs w:val="21"/>
                <w:highlight w:val="none"/>
              </w:rPr>
            </w:pPr>
            <w:r>
              <w:rPr>
                <w:rFonts w:hint="eastAsia" w:ascii="宋体" w:hAnsi="宋体" w:cs="宋体"/>
                <w:color w:val="auto"/>
                <w:szCs w:val="21"/>
                <w:highlight w:val="none"/>
              </w:rPr>
              <w:t>投标报价</w:t>
            </w:r>
          </w:p>
        </w:tc>
        <w:tc>
          <w:tcPr>
            <w:tcW w:w="6234" w:type="dxa"/>
            <w:tcBorders>
              <w:left w:val="single" w:color="auto" w:sz="4" w:space="0"/>
              <w:bottom w:val="single" w:color="auto" w:sz="4" w:space="0"/>
              <w:right w:val="single" w:color="auto" w:sz="4" w:space="0"/>
            </w:tcBorders>
            <w:vAlign w:val="center"/>
          </w:tcPr>
          <w:p w14:paraId="5D3BA415">
            <w:pPr>
              <w:spacing w:line="360" w:lineRule="exact"/>
              <w:rPr>
                <w:rFonts w:ascii="宋体" w:hAnsi="宋体" w:cs="宋体"/>
                <w:color w:val="auto"/>
                <w:szCs w:val="21"/>
                <w:highlight w:val="none"/>
              </w:rPr>
            </w:pPr>
            <w:r>
              <w:rPr>
                <w:rFonts w:hint="eastAsia" w:ascii="宋体" w:hAnsi="宋体" w:cs="宋体"/>
                <w:color w:val="auto"/>
                <w:szCs w:val="21"/>
                <w:highlight w:val="none"/>
              </w:rPr>
              <w:t>有效投标报价的最低价作为评标基准价，其最低报价为满分；按［投标报价得分=（评标基准价/投标报价）×30］的计算公式计算。</w:t>
            </w:r>
          </w:p>
          <w:p w14:paraId="326B573C">
            <w:pPr>
              <w:spacing w:line="360" w:lineRule="exact"/>
              <w:rPr>
                <w:rFonts w:ascii="宋体" w:hAnsi="宋体" w:cs="宋体"/>
                <w:color w:val="auto"/>
                <w:szCs w:val="21"/>
                <w:highlight w:val="none"/>
              </w:rPr>
            </w:pPr>
            <w:r>
              <w:rPr>
                <w:rFonts w:hint="eastAsia" w:ascii="宋体" w:hAnsi="宋体" w:cs="宋体"/>
                <w:color w:val="auto"/>
                <w:szCs w:val="21"/>
                <w:highlight w:val="none"/>
              </w:rPr>
              <w:t>评标过程中，不得去掉报价中的最高报价和最低报价。</w:t>
            </w:r>
          </w:p>
          <w:p w14:paraId="0A497062">
            <w:pPr>
              <w:autoSpaceDE w:val="0"/>
              <w:autoSpaceDN w:val="0"/>
              <w:spacing w:line="340" w:lineRule="exact"/>
              <w:rPr>
                <w:rFonts w:ascii="宋体" w:hAnsi="宋体" w:cs="宋体"/>
                <w:b/>
                <w:color w:val="auto"/>
                <w:szCs w:val="21"/>
                <w:highlight w:val="none"/>
              </w:rPr>
            </w:pPr>
            <w:r>
              <w:rPr>
                <w:rFonts w:hint="eastAsia" w:ascii="宋体" w:hAnsi="宋体" w:cs="宋体"/>
                <w:color w:val="auto"/>
                <w:szCs w:val="21"/>
                <w:highlight w:val="none"/>
              </w:rPr>
              <w:t>因落实政府采购政策需要进行价格调整的，以调整后的价格计算评标基准价和投标报价。</w:t>
            </w:r>
          </w:p>
        </w:tc>
        <w:tc>
          <w:tcPr>
            <w:tcW w:w="971" w:type="dxa"/>
            <w:tcBorders>
              <w:left w:val="single" w:color="auto" w:sz="4" w:space="0"/>
              <w:right w:val="single" w:color="auto" w:sz="4" w:space="0"/>
            </w:tcBorders>
            <w:vAlign w:val="center"/>
          </w:tcPr>
          <w:p w14:paraId="62E5C8BA">
            <w:pPr>
              <w:autoSpaceDE w:val="0"/>
              <w:autoSpaceDN w:val="0"/>
              <w:spacing w:line="340" w:lineRule="exact"/>
              <w:jc w:val="center"/>
              <w:rPr>
                <w:rFonts w:ascii="宋体" w:hAnsi="宋体" w:cs="宋体"/>
                <w:color w:val="auto"/>
                <w:szCs w:val="21"/>
                <w:highlight w:val="none"/>
              </w:rPr>
            </w:pPr>
          </w:p>
        </w:tc>
      </w:tr>
    </w:tbl>
    <w:p w14:paraId="0E83FF2D">
      <w:pPr>
        <w:adjustRightInd w:val="0"/>
        <w:snapToGrid w:val="0"/>
        <w:spacing w:line="360" w:lineRule="auto"/>
        <w:rPr>
          <w:rFonts w:ascii="宋体" w:hAnsi="宋体"/>
          <w:bCs/>
          <w:color w:val="auto"/>
          <w:spacing w:val="-4"/>
          <w:szCs w:val="21"/>
          <w:highlight w:val="none"/>
        </w:rPr>
      </w:pPr>
      <w:r>
        <w:rPr>
          <w:rFonts w:hint="eastAsia" w:ascii="宋体" w:hAnsi="宋体"/>
          <w:bCs/>
          <w:color w:val="auto"/>
          <w:spacing w:val="-4"/>
          <w:szCs w:val="21"/>
          <w:highlight w:val="none"/>
        </w:rPr>
        <w:t>注：建议在制作投标书时，在目录后附一个评分索引表，方便查找。</w:t>
      </w:r>
    </w:p>
    <w:p w14:paraId="32C61542">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一、评标方法</w:t>
      </w:r>
    </w:p>
    <w:p w14:paraId="2330AC32">
      <w:pPr>
        <w:spacing w:line="360" w:lineRule="auto"/>
        <w:ind w:firstLine="413" w:firstLineChars="196"/>
        <w:rPr>
          <w:rFonts w:ascii="宋体" w:hAnsi="宋体" w:cs="宋体"/>
          <w:color w:val="auto"/>
          <w:szCs w:val="21"/>
          <w:highlight w:val="none"/>
        </w:rPr>
      </w:pPr>
      <w:r>
        <w:rPr>
          <w:rFonts w:hint="eastAsia" w:ascii="宋体" w:hAnsi="宋体" w:cs="宋体"/>
          <w:b/>
          <w:color w:val="auto"/>
          <w:szCs w:val="21"/>
          <w:highlight w:val="none"/>
        </w:rPr>
        <w:t>1.本项目采用综合评分法。</w:t>
      </w:r>
      <w:r>
        <w:rPr>
          <w:rFonts w:hint="eastAsia" w:ascii="宋体" w:hAnsi="宋体" w:cs="宋体"/>
          <w:color w:val="auto"/>
          <w:szCs w:val="21"/>
          <w:highlight w:val="none"/>
        </w:rPr>
        <w:t>综合评分法，是指投标文件满足招标文件全部实质性要求，且按照评审因素的量化指标评审得分最高的投标人为中标候选人的评标方法。</w:t>
      </w:r>
    </w:p>
    <w:p w14:paraId="177C5405">
      <w:pPr>
        <w:spacing w:line="360" w:lineRule="auto"/>
        <w:rPr>
          <w:rFonts w:ascii="宋体" w:hAnsi="宋体" w:cs="宋体"/>
          <w:color w:val="auto"/>
          <w:szCs w:val="21"/>
          <w:highlight w:val="none"/>
        </w:rPr>
      </w:pPr>
      <w:r>
        <w:rPr>
          <w:rFonts w:hint="eastAsia" w:ascii="宋体" w:hAnsi="宋体" w:cs="宋体"/>
          <w:b/>
          <w:color w:val="auto"/>
          <w:szCs w:val="21"/>
          <w:highlight w:val="none"/>
        </w:rPr>
        <w:t>二、评标标准</w:t>
      </w:r>
    </w:p>
    <w:p w14:paraId="1F21B168">
      <w:pPr>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2.评标标准：</w:t>
      </w:r>
      <w:r>
        <w:rPr>
          <w:rFonts w:hint="eastAsia" w:ascii="宋体" w:hAnsi="宋体" w:cs="宋体"/>
          <w:color w:val="auto"/>
          <w:szCs w:val="21"/>
          <w:highlight w:val="none"/>
        </w:rPr>
        <w:t>见评标办法前附表。</w:t>
      </w:r>
    </w:p>
    <w:p w14:paraId="3ED91943">
      <w:pPr>
        <w:spacing w:line="360" w:lineRule="auto"/>
        <w:outlineLvl w:val="0"/>
        <w:rPr>
          <w:rFonts w:ascii="宋体" w:hAnsi="宋体" w:cs="宋体"/>
          <w:b/>
          <w:color w:val="auto"/>
          <w:szCs w:val="21"/>
          <w:highlight w:val="none"/>
        </w:rPr>
      </w:pPr>
      <w:bookmarkStart w:id="71" w:name="_Toc5850"/>
      <w:r>
        <w:rPr>
          <w:rFonts w:hint="eastAsia" w:ascii="宋体" w:hAnsi="宋体" w:cs="宋体"/>
          <w:b/>
          <w:color w:val="auto"/>
          <w:szCs w:val="21"/>
          <w:highlight w:val="none"/>
        </w:rPr>
        <w:t>三、评标程序</w:t>
      </w:r>
      <w:bookmarkEnd w:id="71"/>
    </w:p>
    <w:p w14:paraId="5768C181">
      <w:pPr>
        <w:spacing w:line="360" w:lineRule="auto"/>
        <w:ind w:firstLine="413" w:firstLineChars="196"/>
        <w:rPr>
          <w:rFonts w:ascii="宋体" w:hAnsi="宋体" w:cs="宋体"/>
          <w:color w:val="auto"/>
          <w:szCs w:val="21"/>
          <w:highlight w:val="none"/>
        </w:rPr>
      </w:pPr>
      <w:r>
        <w:rPr>
          <w:rFonts w:hint="eastAsia" w:ascii="宋体" w:hAnsi="宋体" w:cs="宋体"/>
          <w:b/>
          <w:color w:val="auto"/>
          <w:szCs w:val="21"/>
          <w:highlight w:val="none"/>
        </w:rPr>
        <w:t>3.1符合性审查。</w:t>
      </w:r>
      <w:r>
        <w:rPr>
          <w:rFonts w:hint="eastAsia" w:ascii="宋体" w:hAnsi="宋体" w:cs="宋体"/>
          <w:color w:val="auto"/>
          <w:szCs w:val="21"/>
          <w:highlight w:val="none"/>
        </w:rPr>
        <w:t>评标委员会应当对符合资格的投标人的投标文件进行符合性审查，以确定其是否满足招标文件的实质性要求。不满足招标文件的实质性要求的，投标无效。</w:t>
      </w:r>
    </w:p>
    <w:p w14:paraId="4BA47047">
      <w:pPr>
        <w:spacing w:line="360" w:lineRule="auto"/>
        <w:ind w:firstLine="413" w:firstLineChars="196"/>
        <w:rPr>
          <w:rFonts w:ascii="宋体" w:hAnsi="宋体" w:cs="宋体"/>
          <w:color w:val="auto"/>
          <w:szCs w:val="21"/>
          <w:highlight w:val="none"/>
        </w:rPr>
      </w:pPr>
      <w:r>
        <w:rPr>
          <w:rFonts w:hint="eastAsia" w:ascii="宋体" w:hAnsi="宋体" w:cs="宋体"/>
          <w:b/>
          <w:color w:val="auto"/>
          <w:szCs w:val="21"/>
          <w:highlight w:val="none"/>
        </w:rPr>
        <w:t>3.2 比较与评价。</w:t>
      </w:r>
      <w:r>
        <w:rPr>
          <w:rFonts w:hint="eastAsia" w:ascii="宋体" w:hAnsi="宋体" w:cs="宋体"/>
          <w:color w:val="auto"/>
          <w:szCs w:val="21"/>
          <w:highlight w:val="none"/>
        </w:rPr>
        <w:t>评标委员会应当按照招标文件中规定的评标方法和标准，对符合性审查合格的投标文件进行商务和技术评估，综合比较与评价。</w:t>
      </w:r>
    </w:p>
    <w:p w14:paraId="30EDBE55">
      <w:pPr>
        <w:spacing w:line="360" w:lineRule="auto"/>
        <w:ind w:firstLine="413" w:firstLineChars="196"/>
        <w:rPr>
          <w:rFonts w:ascii="宋体" w:hAnsi="宋体" w:cs="宋体"/>
          <w:color w:val="auto"/>
          <w:szCs w:val="21"/>
          <w:highlight w:val="none"/>
        </w:rPr>
      </w:pPr>
      <w:r>
        <w:rPr>
          <w:rFonts w:hint="eastAsia" w:ascii="宋体" w:hAnsi="宋体" w:cs="宋体"/>
          <w:b/>
          <w:color w:val="auto"/>
          <w:szCs w:val="21"/>
          <w:highlight w:val="none"/>
        </w:rPr>
        <w:t>3.3汇总商务技术得分。</w:t>
      </w:r>
      <w:r>
        <w:rPr>
          <w:rFonts w:hint="eastAsia" w:ascii="宋体" w:hAnsi="宋体" w:cs="宋体"/>
          <w:color w:val="auto"/>
          <w:szCs w:val="21"/>
          <w:highlight w:val="none"/>
        </w:rPr>
        <w:t>评标委员会各成员应当独立对每个投标人的商务和技术文件进行评价，并汇总商务技术得分情况。</w:t>
      </w:r>
    </w:p>
    <w:p w14:paraId="66901B1D">
      <w:pPr>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3.4报价评审。</w:t>
      </w:r>
    </w:p>
    <w:p w14:paraId="2E80352C">
      <w:pPr>
        <w:pStyle w:val="370"/>
        <w:spacing w:before="0"/>
        <w:ind w:firstLine="445" w:firstLineChars="212"/>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3.4.1投标文件报价出现前后不一致的，按照下列规定修正：</w:t>
      </w:r>
    </w:p>
    <w:p w14:paraId="6D6A1B8D">
      <w:pPr>
        <w:pStyle w:val="370"/>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3.4.1.1投标文件中开标一览表(报价表)内容与投标文件中相应内容不一致的，以开标一览表(报价表)为准;</w:t>
      </w:r>
    </w:p>
    <w:p w14:paraId="18FF6BD4">
      <w:pPr>
        <w:pStyle w:val="370"/>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3.4.1.2大写金额和小写金额不一致的，以大写金额为准;</w:t>
      </w:r>
    </w:p>
    <w:p w14:paraId="6BE5F7D8">
      <w:pPr>
        <w:pStyle w:val="370"/>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3.4.1.3单价金额小数点或者百分比有明显错位的，以开标一览表的总价为准，并修改单价;</w:t>
      </w:r>
    </w:p>
    <w:p w14:paraId="357B3049">
      <w:pPr>
        <w:pStyle w:val="370"/>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3.4.1.4总价金额与按单价汇总金额不一致的，以单价金额计算结果为准。</w:t>
      </w:r>
    </w:p>
    <w:p w14:paraId="26FD6F12">
      <w:pPr>
        <w:pStyle w:val="370"/>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3.4.1.5同时出现两种以上不一致的，按照3.4.1规定的顺序修正。修正后的报价按照财政部第87号令《政府采购货物和服务招标投标管理办法》第五十一条第二款的规定经投标人确认后产生约束力。</w:t>
      </w:r>
    </w:p>
    <w:p w14:paraId="751A321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3.4.2投标文件出现不是唯一的、有选择性投标报价的，投标无效。</w:t>
      </w:r>
    </w:p>
    <w:p w14:paraId="7038FEF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3.4.3投标报价超过招标文件中规定的预算金额或者最高限价的，投标无效。</w:t>
      </w:r>
    </w:p>
    <w:p w14:paraId="4FF18C18">
      <w:pPr>
        <w:pStyle w:val="370"/>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98DB3CB">
      <w:pPr>
        <w:pStyle w:val="370"/>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16BA3A8C">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3.5排序与推荐。</w:t>
      </w:r>
      <w:r>
        <w:rPr>
          <w:rFonts w:hint="eastAsia" w:ascii="宋体" w:hAnsi="宋体" w:cs="宋体"/>
          <w:color w:val="auto"/>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BA8267F">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D744A4A">
      <w:pPr>
        <w:spacing w:line="360" w:lineRule="auto"/>
        <w:ind w:firstLine="413" w:firstLineChars="196"/>
        <w:rPr>
          <w:rFonts w:ascii="宋体" w:hAnsi="宋体" w:cs="宋体"/>
          <w:color w:val="auto"/>
          <w:szCs w:val="21"/>
          <w:highlight w:val="none"/>
        </w:rPr>
      </w:pPr>
      <w:r>
        <w:rPr>
          <w:rFonts w:hint="eastAsia" w:ascii="宋体" w:hAnsi="宋体" w:cs="宋体"/>
          <w:b/>
          <w:color w:val="auto"/>
          <w:szCs w:val="21"/>
          <w:highlight w:val="none"/>
        </w:rPr>
        <w:t>3.6编写评标报告。</w:t>
      </w:r>
      <w:r>
        <w:rPr>
          <w:rFonts w:hint="eastAsia" w:ascii="宋体" w:hAnsi="宋体" w:cs="宋体"/>
          <w:color w:val="auto"/>
          <w:szCs w:val="21"/>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094569C">
      <w:pPr>
        <w:shd w:val="clear" w:color="auto" w:fill="FFFFFF"/>
        <w:spacing w:after="225" w:line="315" w:lineRule="atLeast"/>
        <w:rPr>
          <w:rFonts w:ascii="宋体" w:hAnsi="宋体" w:cs="宋体"/>
          <w:b/>
          <w:color w:val="auto"/>
          <w:szCs w:val="21"/>
          <w:highlight w:val="none"/>
        </w:rPr>
      </w:pPr>
      <w:r>
        <w:rPr>
          <w:rFonts w:hint="eastAsia" w:ascii="宋体" w:hAnsi="宋体" w:cs="宋体"/>
          <w:b/>
          <w:color w:val="auto"/>
          <w:szCs w:val="21"/>
          <w:highlight w:val="none"/>
        </w:rPr>
        <w:t>四、评标中的其他事项</w:t>
      </w:r>
    </w:p>
    <w:p w14:paraId="5313C056">
      <w:pPr>
        <w:pStyle w:val="370"/>
        <w:spacing w:before="0"/>
        <w:ind w:firstLine="413" w:firstLineChars="196"/>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4.1投标人澄清、说明或者补正。</w:t>
      </w:r>
      <w:r>
        <w:rPr>
          <w:rFonts w:hint="eastAsia" w:ascii="宋体" w:hAnsi="宋体" w:cs="宋体"/>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16D5AC2">
      <w:pPr>
        <w:pStyle w:val="22"/>
        <w:spacing w:line="360" w:lineRule="auto"/>
        <w:ind w:left="954" w:leftChars="226" w:hanging="479"/>
        <w:rPr>
          <w:rFonts w:ascii="宋体" w:hAnsi="宋体" w:cs="宋体"/>
          <w:color w:val="auto"/>
          <w:szCs w:val="21"/>
          <w:highlight w:val="none"/>
        </w:rPr>
      </w:pPr>
      <w:r>
        <w:rPr>
          <w:rFonts w:hint="eastAsia" w:ascii="宋体" w:hAnsi="宋体" w:cs="宋体"/>
          <w:b/>
          <w:color w:val="auto"/>
          <w:szCs w:val="21"/>
          <w:highlight w:val="none"/>
        </w:rPr>
        <w:t>4.2投标无效。</w:t>
      </w:r>
      <w:r>
        <w:rPr>
          <w:rFonts w:hint="eastAsia" w:ascii="宋体" w:hAnsi="宋体" w:cs="宋体"/>
          <w:color w:val="auto"/>
          <w:szCs w:val="21"/>
          <w:highlight w:val="none"/>
        </w:rPr>
        <w:t>有下列情况之一的，投标无效：</w:t>
      </w:r>
    </w:p>
    <w:p w14:paraId="765F6CD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4.2.1投标人不具备招标文件中规定的资格要求的（投标人未提供有效的资格文件的，视为投标人不具备招标文件中规定的资格要求）；</w:t>
      </w:r>
    </w:p>
    <w:p w14:paraId="1C6157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4.2.2投标文件未按照招标文件要求签署、盖章的；</w:t>
      </w:r>
    </w:p>
    <w:p w14:paraId="6C81370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4.2.3采购人拟采购的产品属于政府强制采购的节能产品品目清单范围的，投标人未按招标文件要求提供国家确定的认证机构出具的、处于有效期之内的节能产品认证证书的；</w:t>
      </w:r>
    </w:p>
    <w:p w14:paraId="68D9A37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4.2.4投标文件含有采购人不能接受的附加条件的；</w:t>
      </w:r>
    </w:p>
    <w:p w14:paraId="351ACA7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4.2.5投标文件中承诺的投标有效期少于招标文件中载明的投标有效期的；</w:t>
      </w:r>
    </w:p>
    <w:p w14:paraId="03B82D12">
      <w:pPr>
        <w:snapToGrid w:val="0"/>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4.2.6投标文件出现不是唯一的、有选择性投标报价的;</w:t>
      </w:r>
    </w:p>
    <w:p w14:paraId="7EE81CC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4.2.7投标报价超过招标文件中规定的预算金额或者最高限价的;</w:t>
      </w:r>
    </w:p>
    <w:p w14:paraId="5EDA7F5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4.2.8报价明显低于其他通过符合性审查投标人的报价，有可能影响产品质量或者不能诚信履约的，未能按要求提供书面说明或者提交相关证明材料，不能证明其报价合理性的;</w:t>
      </w:r>
    </w:p>
    <w:p w14:paraId="4289CA5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4.2.9投标人对根据修正原则修正后的报价不确认的；</w:t>
      </w:r>
    </w:p>
    <w:p w14:paraId="26CFADA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4.2.10投标人提供虚假材料投标的；</w:t>
      </w:r>
    </w:p>
    <w:p w14:paraId="1A068249">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 xml:space="preserve">  4.2.11投标人有恶意串通、妨碍其他投标人的竞争行为、损害采购人或者其他投标人的合法权益情形的；</w:t>
      </w:r>
    </w:p>
    <w:p w14:paraId="49EF693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4.2.12投标人仅提交备份投标文件，没有在电子交易平台传输递交投标文件的，投标无效；</w:t>
      </w:r>
    </w:p>
    <w:p w14:paraId="34542264">
      <w:pPr>
        <w:pStyle w:val="3"/>
        <w:tabs>
          <w:tab w:val="left" w:pos="432"/>
        </w:tabs>
        <w:ind w:left="430" w:leftChars="205"/>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4.2.13 投标文件不满足招标文件的其它实质性要求的；</w:t>
      </w:r>
    </w:p>
    <w:p w14:paraId="7833D68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4.2.14法律、法规、规章（适用本市的）及省级以上规范性文件（适用本市的）规定的其他无效情形。</w:t>
      </w:r>
    </w:p>
    <w:p w14:paraId="20AF865D">
      <w:pPr>
        <w:pStyle w:val="22"/>
        <w:snapToGrid w:val="0"/>
        <w:spacing w:line="360" w:lineRule="auto"/>
        <w:ind w:firstLine="413" w:firstLineChars="196"/>
        <w:rPr>
          <w:rFonts w:ascii="宋体" w:hAnsi="宋体" w:cs="宋体"/>
          <w:color w:val="auto"/>
          <w:szCs w:val="21"/>
          <w:highlight w:val="none"/>
        </w:rPr>
      </w:pPr>
      <w:r>
        <w:rPr>
          <w:rFonts w:hint="eastAsia" w:ascii="宋体" w:hAnsi="宋体" w:cs="宋体"/>
          <w:b/>
          <w:color w:val="auto"/>
          <w:szCs w:val="21"/>
          <w:highlight w:val="none"/>
        </w:rPr>
        <w:t>5.废标。</w:t>
      </w:r>
      <w:r>
        <w:rPr>
          <w:rFonts w:hint="eastAsia" w:ascii="宋体" w:hAnsi="宋体" w:cs="宋体"/>
          <w:color w:val="auto"/>
          <w:szCs w:val="21"/>
          <w:highlight w:val="none"/>
        </w:rPr>
        <w:t>根据《中华人民共和国政府采购法》第三十六条之规定，在采购中，出现下列情形之一的，应予废标：</w:t>
      </w:r>
    </w:p>
    <w:p w14:paraId="5D5D808E">
      <w:pPr>
        <w:pStyle w:val="22"/>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5.1符合专业条件的供应商或者对招标文件作实质响应的供应商不足3家的；</w:t>
      </w:r>
    </w:p>
    <w:p w14:paraId="16FD7392">
      <w:pPr>
        <w:pStyle w:val="22"/>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5.2出现影响采购公正的违法、违规行为的；</w:t>
      </w:r>
    </w:p>
    <w:p w14:paraId="41CDDCF5">
      <w:pPr>
        <w:pStyle w:val="22"/>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5.3投标人的报价均超过了采购预算，采购人不能支付的；</w:t>
      </w:r>
    </w:p>
    <w:p w14:paraId="7EAA3609">
      <w:pPr>
        <w:pStyle w:val="22"/>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5.4因重大变故，采购任务取消的。</w:t>
      </w:r>
    </w:p>
    <w:p w14:paraId="0AB2425A">
      <w:pPr>
        <w:pStyle w:val="22"/>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废标后，采购机构应当将废标理由通知所有投标人。</w:t>
      </w:r>
    </w:p>
    <w:p w14:paraId="30FA1CAE">
      <w:pPr>
        <w:pStyle w:val="22"/>
        <w:snapToGrid w:val="0"/>
        <w:spacing w:line="360" w:lineRule="auto"/>
        <w:ind w:firstLine="517" w:firstLineChars="245"/>
        <w:rPr>
          <w:rFonts w:ascii="宋体" w:hAnsi="宋体" w:cs="宋体"/>
          <w:color w:val="auto"/>
          <w:szCs w:val="21"/>
          <w:highlight w:val="none"/>
        </w:rPr>
      </w:pPr>
      <w:r>
        <w:rPr>
          <w:rFonts w:hint="eastAsia" w:ascii="宋体" w:hAnsi="宋体" w:cs="宋体"/>
          <w:b/>
          <w:color w:val="auto"/>
          <w:szCs w:val="21"/>
          <w:highlight w:val="none"/>
        </w:rPr>
        <w:t>6.修改招标文件，重新组织采购活动。</w:t>
      </w:r>
      <w:r>
        <w:rPr>
          <w:rFonts w:hint="eastAsia" w:ascii="宋体" w:hAnsi="宋体" w:cs="宋体"/>
          <w:color w:val="auto"/>
          <w:szCs w:val="21"/>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17F2B734">
      <w:pPr>
        <w:pStyle w:val="22"/>
        <w:snapToGrid w:val="0"/>
        <w:spacing w:line="360" w:lineRule="auto"/>
        <w:ind w:firstLine="517" w:firstLineChars="245"/>
        <w:rPr>
          <w:rFonts w:ascii="宋体" w:hAnsi="宋体" w:cs="宋体"/>
          <w:color w:val="auto"/>
          <w:szCs w:val="21"/>
          <w:highlight w:val="none"/>
        </w:rPr>
      </w:pPr>
      <w:r>
        <w:rPr>
          <w:rFonts w:hint="eastAsia" w:ascii="宋体" w:hAnsi="宋体" w:cs="宋体"/>
          <w:b/>
          <w:color w:val="auto"/>
          <w:szCs w:val="21"/>
          <w:highlight w:val="none"/>
        </w:rPr>
        <w:t>7.重新开展采购。</w:t>
      </w:r>
      <w:r>
        <w:rPr>
          <w:rFonts w:hint="eastAsia" w:ascii="宋体" w:hAnsi="宋体" w:cs="宋体"/>
          <w:color w:val="auto"/>
          <w:szCs w:val="21"/>
          <w:highlight w:val="none"/>
        </w:rPr>
        <w:t>有政府采购法第七十一条、第七十二条规定的违法行为之一，影响或者可能影响中标、成交结果的，依照下列规定处理：</w:t>
      </w:r>
    </w:p>
    <w:p w14:paraId="21AB1AD0">
      <w:pPr>
        <w:pStyle w:val="22"/>
        <w:snapToGrid w:val="0"/>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7.1未确定中标或者中标人的，终止本次政府采购活动，重新开展政府采购活动。</w:t>
      </w:r>
    </w:p>
    <w:p w14:paraId="04CEAE3B">
      <w:pPr>
        <w:pStyle w:val="22"/>
        <w:snapToGrid w:val="0"/>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2B49C579">
      <w:pPr>
        <w:pStyle w:val="22"/>
        <w:snapToGrid w:val="0"/>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7.3政府采购合同已签订但尚未履行的，撤销合同，从合格的中标或者成交候选人中另行确定中标或者中标人；没有合格的中标或者成交候选人的，重新开展政府采购活动。</w:t>
      </w:r>
    </w:p>
    <w:p w14:paraId="1CF8CA0A">
      <w:pPr>
        <w:pStyle w:val="22"/>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7.4政府采购合同已经履行，给采购人、供应商造成损失的，由责任人承担赔偿责任。</w:t>
      </w:r>
    </w:p>
    <w:p w14:paraId="7E7B9829">
      <w:pPr>
        <w:pStyle w:val="3"/>
        <w:rPr>
          <w:rFonts w:ascii="宋体" w:hAnsi="宋体" w:cs="宋体"/>
          <w:color w:val="auto"/>
          <w:highlight w:val="none"/>
        </w:rPr>
      </w:pPr>
      <w:r>
        <w:rPr>
          <w:rFonts w:hint="eastAsia" w:ascii="宋体" w:hAnsi="宋体" w:cs="宋体"/>
          <w:color w:val="auto"/>
          <w:sz w:val="21"/>
          <w:szCs w:val="21"/>
          <w:highlight w:val="none"/>
        </w:rPr>
        <w:t>7.5政府采购当事人有其他违反政府采购法或者政府采购法实施条例等法律法规规定的行为，经改正后仍然影响或者可能影响中标、成交结果或者依法被认定为中标、成交无效的，依照7.1-7.4规定处理。</w:t>
      </w:r>
    </w:p>
    <w:bookmarkEnd w:id="2"/>
    <w:bookmarkEnd w:id="3"/>
    <w:bookmarkEnd w:id="4"/>
    <w:p w14:paraId="6A33CDB9">
      <w:pPr>
        <w:snapToGrid w:val="0"/>
        <w:spacing w:before="120" w:after="120" w:line="360" w:lineRule="auto"/>
        <w:jc w:val="center"/>
        <w:outlineLvl w:val="0"/>
        <w:rPr>
          <w:rFonts w:asciiTheme="minorEastAsia" w:hAnsiTheme="minorEastAsia" w:eastAsiaTheme="minorEastAsia"/>
          <w:b/>
          <w:color w:val="auto"/>
          <w:sz w:val="28"/>
          <w:szCs w:val="28"/>
          <w:highlight w:val="none"/>
        </w:rPr>
      </w:pPr>
      <w:bookmarkStart w:id="72" w:name="_Toc528441162"/>
    </w:p>
    <w:p w14:paraId="17B23424">
      <w:pPr>
        <w:snapToGrid w:val="0"/>
        <w:spacing w:before="120" w:after="120" w:line="360" w:lineRule="auto"/>
        <w:jc w:val="center"/>
        <w:outlineLvl w:val="0"/>
        <w:rPr>
          <w:rFonts w:asciiTheme="minorEastAsia" w:hAnsiTheme="minorEastAsia" w:eastAsiaTheme="minorEastAsia"/>
          <w:b/>
          <w:color w:val="auto"/>
          <w:sz w:val="28"/>
          <w:szCs w:val="28"/>
          <w:highlight w:val="none"/>
        </w:rPr>
      </w:pPr>
    </w:p>
    <w:p w14:paraId="1075DFD2">
      <w:pPr>
        <w:snapToGrid w:val="0"/>
        <w:spacing w:before="120" w:after="120" w:line="360" w:lineRule="auto"/>
        <w:jc w:val="center"/>
        <w:outlineLvl w:val="0"/>
        <w:rPr>
          <w:rFonts w:asciiTheme="minorEastAsia" w:hAnsiTheme="minorEastAsia" w:eastAsiaTheme="minorEastAsia"/>
          <w:b/>
          <w:color w:val="auto"/>
          <w:sz w:val="28"/>
          <w:szCs w:val="28"/>
          <w:highlight w:val="none"/>
        </w:rPr>
      </w:pPr>
    </w:p>
    <w:p w14:paraId="4357424F">
      <w:pPr>
        <w:snapToGrid w:val="0"/>
        <w:spacing w:before="120" w:after="120" w:line="360" w:lineRule="auto"/>
        <w:jc w:val="center"/>
        <w:outlineLvl w:val="0"/>
        <w:rPr>
          <w:rFonts w:asciiTheme="minorEastAsia" w:hAnsiTheme="minorEastAsia" w:eastAsiaTheme="minorEastAsia"/>
          <w:b/>
          <w:color w:val="auto"/>
          <w:sz w:val="28"/>
          <w:szCs w:val="28"/>
          <w:highlight w:val="none"/>
        </w:rPr>
      </w:pPr>
    </w:p>
    <w:p w14:paraId="21B7D10D">
      <w:pPr>
        <w:snapToGrid w:val="0"/>
        <w:spacing w:before="120" w:after="120" w:line="360" w:lineRule="auto"/>
        <w:jc w:val="center"/>
        <w:outlineLvl w:val="0"/>
        <w:rPr>
          <w:rFonts w:asciiTheme="minorEastAsia" w:hAnsiTheme="minorEastAsia" w:eastAsiaTheme="minorEastAsia"/>
          <w:b/>
          <w:color w:val="auto"/>
          <w:sz w:val="28"/>
          <w:szCs w:val="28"/>
          <w:highlight w:val="none"/>
        </w:rPr>
      </w:pPr>
    </w:p>
    <w:p w14:paraId="48C36081">
      <w:pPr>
        <w:snapToGrid w:val="0"/>
        <w:spacing w:before="120" w:after="120" w:line="360" w:lineRule="auto"/>
        <w:jc w:val="center"/>
        <w:outlineLvl w:val="0"/>
        <w:rPr>
          <w:rFonts w:asciiTheme="minorEastAsia" w:hAnsiTheme="minorEastAsia" w:eastAsiaTheme="minorEastAsia"/>
          <w:b/>
          <w:color w:val="auto"/>
          <w:sz w:val="28"/>
          <w:szCs w:val="28"/>
          <w:highlight w:val="none"/>
        </w:rPr>
      </w:pPr>
    </w:p>
    <w:p w14:paraId="12DB9EA2">
      <w:pPr>
        <w:snapToGrid w:val="0"/>
        <w:spacing w:before="120" w:after="120" w:line="360" w:lineRule="auto"/>
        <w:jc w:val="center"/>
        <w:outlineLvl w:val="0"/>
        <w:rPr>
          <w:rFonts w:asciiTheme="minorEastAsia" w:hAnsiTheme="minorEastAsia" w:eastAsiaTheme="minorEastAsia"/>
          <w:b/>
          <w:color w:val="auto"/>
          <w:sz w:val="28"/>
          <w:szCs w:val="28"/>
          <w:highlight w:val="none"/>
        </w:rPr>
      </w:pPr>
    </w:p>
    <w:p w14:paraId="348900C2">
      <w:pPr>
        <w:snapToGrid w:val="0"/>
        <w:spacing w:before="120" w:after="120" w:line="360" w:lineRule="auto"/>
        <w:jc w:val="center"/>
        <w:outlineLvl w:val="0"/>
        <w:rPr>
          <w:rFonts w:asciiTheme="minorEastAsia" w:hAnsiTheme="minorEastAsia" w:eastAsiaTheme="minorEastAsia"/>
          <w:b/>
          <w:color w:val="auto"/>
          <w:sz w:val="28"/>
          <w:szCs w:val="28"/>
          <w:highlight w:val="none"/>
        </w:rPr>
      </w:pPr>
    </w:p>
    <w:p w14:paraId="30F003FE">
      <w:pPr>
        <w:snapToGrid w:val="0"/>
        <w:spacing w:before="120" w:after="120" w:line="360" w:lineRule="auto"/>
        <w:jc w:val="center"/>
        <w:outlineLvl w:val="0"/>
        <w:rPr>
          <w:rFonts w:asciiTheme="minorEastAsia" w:hAnsiTheme="minorEastAsia" w:eastAsiaTheme="minorEastAsia"/>
          <w:b/>
          <w:color w:val="auto"/>
          <w:sz w:val="28"/>
          <w:szCs w:val="28"/>
          <w:highlight w:val="none"/>
        </w:rPr>
      </w:pPr>
    </w:p>
    <w:p w14:paraId="2BB71E3F">
      <w:pPr>
        <w:snapToGrid w:val="0"/>
        <w:spacing w:before="120" w:after="120" w:line="360" w:lineRule="auto"/>
        <w:jc w:val="center"/>
        <w:outlineLvl w:val="0"/>
        <w:rPr>
          <w:rFonts w:asciiTheme="minorEastAsia" w:hAnsiTheme="minorEastAsia" w:eastAsiaTheme="minorEastAsia"/>
          <w:b/>
          <w:color w:val="auto"/>
          <w:sz w:val="28"/>
          <w:szCs w:val="28"/>
          <w:highlight w:val="none"/>
        </w:rPr>
      </w:pPr>
    </w:p>
    <w:p w14:paraId="77B9BC95">
      <w:pP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br w:type="page"/>
      </w:r>
    </w:p>
    <w:p w14:paraId="668B6621">
      <w:pPr>
        <w:snapToGrid w:val="0"/>
        <w:spacing w:before="120" w:after="120" w:line="360" w:lineRule="auto"/>
        <w:jc w:val="center"/>
        <w:outlineLvl w:val="0"/>
        <w:rPr>
          <w:rFonts w:asciiTheme="minorEastAsia" w:hAnsiTheme="minorEastAsia" w:eastAsiaTheme="minorEastAsia"/>
          <w:b/>
          <w:color w:val="auto"/>
          <w:sz w:val="28"/>
          <w:szCs w:val="28"/>
          <w:highlight w:val="none"/>
        </w:rPr>
      </w:pPr>
      <w:bookmarkStart w:id="73" w:name="_Toc32553"/>
      <w:r>
        <w:rPr>
          <w:rFonts w:hint="eastAsia" w:asciiTheme="minorEastAsia" w:hAnsiTheme="minorEastAsia" w:eastAsiaTheme="minorEastAsia"/>
          <w:b/>
          <w:color w:val="auto"/>
          <w:sz w:val="28"/>
          <w:szCs w:val="28"/>
          <w:highlight w:val="none"/>
        </w:rPr>
        <w:t>第五章  嘉兴市政府采购合同（指引）</w:t>
      </w:r>
      <w:bookmarkEnd w:id="73"/>
    </w:p>
    <w:p w14:paraId="7C9DC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招标编号：</w:t>
      </w:r>
      <w:r>
        <w:rPr>
          <w:rFonts w:hint="eastAsia" w:cs="Arial" w:asciiTheme="minorEastAsia" w:hAnsiTheme="minorEastAsia" w:eastAsiaTheme="minorEastAsia"/>
          <w:color w:val="auto"/>
          <w:szCs w:val="21"/>
          <w:highlight w:val="none"/>
          <w:lang w:eastAsia="zh-CN"/>
        </w:rPr>
        <w:t>银建-JXYJ（2025）28号</w:t>
      </w:r>
      <w:r>
        <w:rPr>
          <w:rFonts w:hint="eastAsia" w:cs="Arial" w:asciiTheme="minorEastAsia" w:hAnsiTheme="minorEastAsia" w:eastAsiaTheme="minorEastAsia"/>
          <w:color w:val="auto"/>
          <w:szCs w:val="21"/>
          <w:highlight w:val="none"/>
        </w:rPr>
        <w:t xml:space="preserve"> </w:t>
      </w:r>
    </w:p>
    <w:p w14:paraId="681CC3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cs="Arial" w:asciiTheme="minorEastAsia" w:hAnsiTheme="minorEastAsia" w:eastAsiaTheme="minorEastAsia"/>
          <w:color w:val="auto"/>
          <w:szCs w:val="21"/>
          <w:highlight w:val="none"/>
          <w:lang w:eastAsia="zh-CN"/>
        </w:rPr>
      </w:pPr>
      <w:r>
        <w:rPr>
          <w:rFonts w:hint="eastAsia" w:cs="Arial" w:asciiTheme="minorEastAsia" w:hAnsiTheme="minorEastAsia" w:eastAsiaTheme="minorEastAsia"/>
          <w:color w:val="auto"/>
          <w:szCs w:val="21"/>
          <w:highlight w:val="none"/>
        </w:rPr>
        <w:t>合同编号：</w:t>
      </w:r>
      <w:r>
        <w:rPr>
          <w:rFonts w:hint="eastAsia" w:cs="Arial" w:asciiTheme="minorEastAsia" w:hAnsiTheme="minorEastAsia" w:eastAsiaTheme="minorEastAsia"/>
          <w:color w:val="auto"/>
          <w:szCs w:val="21"/>
          <w:highlight w:val="none"/>
          <w:lang w:eastAsia="zh-CN"/>
        </w:rPr>
        <w:t>银建-JXYJ（2025）28号</w:t>
      </w:r>
    </w:p>
    <w:p w14:paraId="23FC4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政府采购计划（预算）确认书号：</w:t>
      </w:r>
      <w:r>
        <w:rPr>
          <w:color w:val="auto"/>
          <w:highlight w:val="none"/>
        </w:rPr>
        <w:fldChar w:fldCharType="begin"/>
      </w:r>
      <w:r>
        <w:rPr>
          <w:color w:val="auto"/>
          <w:highlight w:val="none"/>
        </w:rPr>
        <w:instrText xml:space="preserve"> HYPERLINK "https://pay.zcygov.cn/purchaseplan_front/" \l "/plan/list/detail?id=1000000000002359552&amp;encrypt=3effe6746659071f29377a8fb69ef46c" \t "_blank" \o "JM-00034587" </w:instrText>
      </w:r>
      <w:r>
        <w:rPr>
          <w:color w:val="auto"/>
          <w:highlight w:val="none"/>
        </w:rPr>
        <w:fldChar w:fldCharType="separate"/>
      </w:r>
      <w:r>
        <w:rPr>
          <w:color w:val="auto"/>
          <w:highlight w:val="none"/>
        </w:rPr>
        <w:fldChar w:fldCharType="end"/>
      </w:r>
      <w:r>
        <w:rPr>
          <w:color w:val="auto"/>
          <w:highlight w:val="none"/>
        </w:rPr>
        <w:fldChar w:fldCharType="begin"/>
      </w:r>
      <w:r>
        <w:rPr>
          <w:color w:val="auto"/>
          <w:highlight w:val="none"/>
        </w:rPr>
        <w:instrText xml:space="preserve"> HYPERLINK "https://pay.zcygov.cn/purchaseplan_front/" \l "/plan/list/detail?id=1000000000002254157&amp;encrypt=bc26d93a1eb531475bc98682ad889359" \t "_blank" </w:instrText>
      </w:r>
      <w:r>
        <w:rPr>
          <w:color w:val="auto"/>
          <w:highlight w:val="none"/>
        </w:rPr>
        <w:fldChar w:fldCharType="separate"/>
      </w:r>
      <w:r>
        <w:rPr>
          <w:color w:val="auto"/>
          <w:highlight w:val="none"/>
        </w:rPr>
        <w:fldChar w:fldCharType="end"/>
      </w:r>
      <w:r>
        <w:rPr>
          <w:rFonts w:cs="Arial" w:asciiTheme="minorEastAsia" w:hAnsiTheme="minorEastAsia" w:eastAsiaTheme="minorEastAsia"/>
          <w:color w:val="auto"/>
          <w:szCs w:val="21"/>
          <w:highlight w:val="none"/>
        </w:rPr>
        <w:t xml:space="preserve"> </w:t>
      </w:r>
      <w:r>
        <w:rPr>
          <w:rFonts w:asciiTheme="minorEastAsia" w:hAnsiTheme="minorEastAsia" w:eastAsiaTheme="minorEastAsia"/>
          <w:b/>
          <w:color w:val="auto"/>
          <w:szCs w:val="21"/>
          <w:highlight w:val="none"/>
          <w:u w:val="single"/>
        </w:rPr>
        <w:t xml:space="preserve"> </w:t>
      </w:r>
      <w:r>
        <w:rPr>
          <w:color w:val="auto"/>
          <w:highlight w:val="none"/>
        </w:rPr>
        <w:fldChar w:fldCharType="begin"/>
      </w:r>
      <w:r>
        <w:rPr>
          <w:color w:val="auto"/>
          <w:highlight w:val="none"/>
        </w:rPr>
        <w:instrText xml:space="preserve"> HYPERLINK "https://pay.zcygov.cn/purchaseplan_front/" \l "/plan/list/detail?id=1000000000009800608&amp;encrypt=7d9401d2d09842e8441b4f9d7d888649" \t "_blank" </w:instrText>
      </w:r>
      <w:r>
        <w:rPr>
          <w:color w:val="auto"/>
          <w:highlight w:val="none"/>
        </w:rPr>
        <w:fldChar w:fldCharType="separate"/>
      </w:r>
      <w:r>
        <w:rPr>
          <w:rFonts w:hint="eastAsia" w:asciiTheme="minorEastAsia" w:hAnsiTheme="minorEastAsia" w:eastAsiaTheme="minorEastAsia"/>
          <w:b/>
          <w:color w:val="auto"/>
          <w:szCs w:val="21"/>
          <w:highlight w:val="none"/>
          <w:u w:val="single"/>
          <w:lang w:eastAsia="zh-CN"/>
        </w:rPr>
        <w:t>临[2025]1064号</w:t>
      </w:r>
      <w:r>
        <w:rPr>
          <w:rFonts w:hint="eastAsia" w:asciiTheme="minorEastAsia" w:hAnsiTheme="minorEastAsia" w:eastAsiaTheme="minorEastAsia"/>
          <w:b/>
          <w:color w:val="auto"/>
          <w:szCs w:val="21"/>
          <w:highlight w:val="none"/>
          <w:u w:val="single"/>
        </w:rPr>
        <w:fldChar w:fldCharType="end"/>
      </w:r>
    </w:p>
    <w:p w14:paraId="7502B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采购人（以下称甲方）：嘉兴市秀洲区人民政府新城街道办事处</w:t>
      </w:r>
    </w:p>
    <w:p w14:paraId="31585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供应商（以下称乙方）：</w:t>
      </w:r>
    </w:p>
    <w:p w14:paraId="62E9C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代理机构：嘉兴市银建工程咨询评估有限公司</w:t>
      </w:r>
    </w:p>
    <w:p w14:paraId="42476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采购方式：竞争性磋商</w:t>
      </w:r>
    </w:p>
    <w:p w14:paraId="6EF7B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根据《中华人民共和国政府采购法》、《中华人民共和国民法典》等法律法规的规定，甲乙双方按照</w:t>
      </w:r>
      <w:r>
        <w:rPr>
          <w:rFonts w:hint="eastAsia" w:cs="Arial" w:asciiTheme="minorEastAsia" w:hAnsiTheme="minorEastAsia" w:eastAsiaTheme="minorEastAsia"/>
          <w:color w:val="auto"/>
          <w:szCs w:val="21"/>
          <w:highlight w:val="none"/>
          <w:u w:val="single"/>
          <w:lang w:eastAsia="zh-CN"/>
        </w:rPr>
        <w:t>新城派出所院内翻新改造</w:t>
      </w:r>
      <w:r>
        <w:rPr>
          <w:rFonts w:hint="eastAsia" w:cs="Arial" w:asciiTheme="minorEastAsia" w:hAnsiTheme="minorEastAsia" w:eastAsiaTheme="minorEastAsia"/>
          <w:color w:val="auto"/>
          <w:szCs w:val="21"/>
          <w:highlight w:val="none"/>
        </w:rPr>
        <w:t>采购结果签订本合同。</w:t>
      </w:r>
    </w:p>
    <w:p w14:paraId="1CEE2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rPr>
          <w:rFonts w:cs="Arial" w:asciiTheme="minorEastAsia" w:hAnsiTheme="minorEastAsia" w:eastAsiaTheme="minorEastAsia"/>
          <w:color w:val="auto"/>
          <w:szCs w:val="21"/>
          <w:highlight w:val="none"/>
        </w:rPr>
      </w:pPr>
    </w:p>
    <w:p w14:paraId="426F8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asciiTheme="minorEastAsia" w:hAnsiTheme="minorEastAsia" w:eastAsiaTheme="minorEastAsia"/>
          <w:b/>
          <w:color w:val="auto"/>
          <w:szCs w:val="21"/>
          <w:highlight w:val="none"/>
        </w:rPr>
      </w:pPr>
      <w:r>
        <w:rPr>
          <w:rFonts w:hint="eastAsia" w:cs="Arial" w:asciiTheme="minorEastAsia" w:hAnsiTheme="minorEastAsia" w:eastAsiaTheme="minorEastAsia"/>
          <w:b/>
          <w:color w:val="auto"/>
          <w:szCs w:val="21"/>
          <w:highlight w:val="none"/>
        </w:rPr>
        <w:t>第一条 合同组成</w:t>
      </w:r>
    </w:p>
    <w:p w14:paraId="08980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本次政府采购活动的相关文件为本合同的组成部分，这些文件包括但不限于：</w:t>
      </w:r>
    </w:p>
    <w:p w14:paraId="77479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（1）本合同文本；</w:t>
      </w:r>
    </w:p>
    <w:p w14:paraId="4FB3E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（2）招标文件与采购投标文件；</w:t>
      </w:r>
    </w:p>
    <w:p w14:paraId="55A716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（3）中标或成交通知书；</w:t>
      </w:r>
    </w:p>
    <w:p w14:paraId="759F7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组成本合同的所有文件必须为书面形式。政府采购合同备案时，须提供以上（1）、（3）两项，如由社会中介机构代理，须提供代理协议，合同如有变更的，须提供变更协议。</w:t>
      </w:r>
    </w:p>
    <w:p w14:paraId="4A729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asciiTheme="minorEastAsia" w:hAnsiTheme="minorEastAsia" w:eastAsiaTheme="minorEastAsia"/>
          <w:b/>
          <w:color w:val="auto"/>
          <w:szCs w:val="21"/>
          <w:highlight w:val="none"/>
        </w:rPr>
      </w:pPr>
    </w:p>
    <w:p w14:paraId="6AD3D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asciiTheme="minorEastAsia" w:hAnsiTheme="minorEastAsia" w:eastAsiaTheme="minorEastAsia"/>
          <w:b/>
          <w:color w:val="auto"/>
          <w:szCs w:val="21"/>
          <w:highlight w:val="none"/>
        </w:rPr>
      </w:pPr>
      <w:r>
        <w:rPr>
          <w:rFonts w:hint="eastAsia" w:cs="Arial" w:asciiTheme="minorEastAsia" w:hAnsiTheme="minorEastAsia" w:eastAsiaTheme="minorEastAsia"/>
          <w:b/>
          <w:color w:val="auto"/>
          <w:szCs w:val="21"/>
          <w:highlight w:val="none"/>
        </w:rPr>
        <w:t>第二条 合同标的</w:t>
      </w:r>
    </w:p>
    <w:p w14:paraId="0E3DC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本次采购的是</w:t>
      </w:r>
    </w:p>
    <w:tbl>
      <w:tblPr>
        <w:tblStyle w:val="54"/>
        <w:tblW w:w="10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7"/>
        <w:gridCol w:w="3813"/>
        <w:gridCol w:w="1153"/>
        <w:gridCol w:w="769"/>
        <w:gridCol w:w="1729"/>
        <w:gridCol w:w="1729"/>
      </w:tblGrid>
      <w:tr w14:paraId="1CB67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64" w:type="dxa"/>
            <w:gridSpan w:val="2"/>
            <w:tcBorders>
              <w:top w:val="single" w:color="auto" w:sz="4" w:space="0"/>
              <w:left w:val="single" w:color="auto" w:sz="4" w:space="0"/>
              <w:bottom w:val="single" w:color="auto" w:sz="4" w:space="0"/>
              <w:right w:val="single" w:color="auto" w:sz="4" w:space="0"/>
            </w:tcBorders>
            <w:vAlign w:val="center"/>
          </w:tcPr>
          <w:p w14:paraId="529C7015">
            <w:pPr>
              <w:spacing w:before="156" w:after="156"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序号</w:t>
            </w:r>
          </w:p>
        </w:tc>
        <w:tc>
          <w:tcPr>
            <w:tcW w:w="3813" w:type="dxa"/>
            <w:tcBorders>
              <w:top w:val="single" w:color="auto" w:sz="4" w:space="0"/>
              <w:left w:val="single" w:color="auto" w:sz="4" w:space="0"/>
              <w:bottom w:val="single" w:color="auto" w:sz="4" w:space="0"/>
              <w:right w:val="single" w:color="auto" w:sz="4" w:space="0"/>
            </w:tcBorders>
            <w:vAlign w:val="center"/>
          </w:tcPr>
          <w:p w14:paraId="6B7248F0">
            <w:pPr>
              <w:spacing w:before="156" w:after="156"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项目名称</w:t>
            </w:r>
          </w:p>
        </w:tc>
        <w:tc>
          <w:tcPr>
            <w:tcW w:w="1153" w:type="dxa"/>
            <w:tcBorders>
              <w:top w:val="single" w:color="auto" w:sz="4" w:space="0"/>
              <w:left w:val="single" w:color="auto" w:sz="4" w:space="0"/>
              <w:bottom w:val="single" w:color="auto" w:sz="4" w:space="0"/>
              <w:right w:val="single" w:color="auto" w:sz="4" w:space="0"/>
            </w:tcBorders>
            <w:vAlign w:val="center"/>
          </w:tcPr>
          <w:p w14:paraId="37FC6ED4">
            <w:pPr>
              <w:spacing w:before="156" w:after="156"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单位</w:t>
            </w:r>
          </w:p>
        </w:tc>
        <w:tc>
          <w:tcPr>
            <w:tcW w:w="769" w:type="dxa"/>
            <w:tcBorders>
              <w:top w:val="single" w:color="auto" w:sz="4" w:space="0"/>
              <w:left w:val="single" w:color="auto" w:sz="4" w:space="0"/>
              <w:bottom w:val="single" w:color="auto" w:sz="4" w:space="0"/>
              <w:right w:val="single" w:color="auto" w:sz="4" w:space="0"/>
            </w:tcBorders>
            <w:vAlign w:val="center"/>
          </w:tcPr>
          <w:p w14:paraId="5C173A04">
            <w:pPr>
              <w:spacing w:before="156" w:after="156"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数量</w:t>
            </w:r>
          </w:p>
        </w:tc>
        <w:tc>
          <w:tcPr>
            <w:tcW w:w="1729" w:type="dxa"/>
            <w:tcBorders>
              <w:top w:val="single" w:color="auto" w:sz="4" w:space="0"/>
              <w:left w:val="single" w:color="auto" w:sz="4" w:space="0"/>
              <w:bottom w:val="single" w:color="auto" w:sz="4" w:space="0"/>
              <w:right w:val="single" w:color="auto" w:sz="4" w:space="0"/>
            </w:tcBorders>
            <w:vAlign w:val="center"/>
          </w:tcPr>
          <w:p w14:paraId="5BB4D7C2">
            <w:pPr>
              <w:spacing w:before="156" w:after="156"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预算金额</w:t>
            </w:r>
            <w:r>
              <w:rPr>
                <w:rFonts w:asciiTheme="minorEastAsia" w:hAnsiTheme="minorEastAsia" w:eastAsiaTheme="minorEastAsia"/>
                <w:b/>
                <w:color w:val="auto"/>
                <w:szCs w:val="21"/>
                <w:highlight w:val="none"/>
              </w:rPr>
              <w:t>(</w:t>
            </w:r>
            <w:r>
              <w:rPr>
                <w:rFonts w:hint="eastAsia" w:asciiTheme="minorEastAsia" w:hAnsiTheme="minorEastAsia" w:eastAsiaTheme="minorEastAsia"/>
                <w:b/>
                <w:color w:val="auto"/>
                <w:szCs w:val="21"/>
                <w:highlight w:val="none"/>
              </w:rPr>
              <w:t>元</w:t>
            </w:r>
            <w:r>
              <w:rPr>
                <w:rFonts w:asciiTheme="minorEastAsia" w:hAnsiTheme="minorEastAsia" w:eastAsiaTheme="minorEastAsia"/>
                <w:b/>
                <w:color w:val="auto"/>
                <w:szCs w:val="21"/>
                <w:highlight w:val="none"/>
              </w:rPr>
              <w:t>)</w:t>
            </w:r>
          </w:p>
        </w:tc>
        <w:tc>
          <w:tcPr>
            <w:tcW w:w="1729" w:type="dxa"/>
            <w:tcBorders>
              <w:top w:val="single" w:color="auto" w:sz="4" w:space="0"/>
              <w:left w:val="single" w:color="auto" w:sz="4" w:space="0"/>
              <w:bottom w:val="single" w:color="auto" w:sz="4" w:space="0"/>
              <w:right w:val="single" w:color="auto" w:sz="4" w:space="0"/>
            </w:tcBorders>
            <w:vAlign w:val="center"/>
          </w:tcPr>
          <w:p w14:paraId="7093DCE2">
            <w:pPr>
              <w:spacing w:before="156" w:after="156"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采购金额</w:t>
            </w:r>
            <w:r>
              <w:rPr>
                <w:rFonts w:asciiTheme="minorEastAsia" w:hAnsiTheme="minorEastAsia" w:eastAsiaTheme="minorEastAsia"/>
                <w:b/>
                <w:color w:val="auto"/>
                <w:szCs w:val="21"/>
                <w:highlight w:val="none"/>
              </w:rPr>
              <w:t>(</w:t>
            </w:r>
            <w:r>
              <w:rPr>
                <w:rFonts w:hint="eastAsia" w:asciiTheme="minorEastAsia" w:hAnsiTheme="minorEastAsia" w:eastAsiaTheme="minorEastAsia"/>
                <w:b/>
                <w:color w:val="auto"/>
                <w:szCs w:val="21"/>
                <w:highlight w:val="none"/>
              </w:rPr>
              <w:t>元</w:t>
            </w:r>
            <w:r>
              <w:rPr>
                <w:rFonts w:asciiTheme="minorEastAsia" w:hAnsiTheme="minorEastAsia" w:eastAsiaTheme="minorEastAsia"/>
                <w:b/>
                <w:color w:val="auto"/>
                <w:szCs w:val="21"/>
                <w:highlight w:val="none"/>
              </w:rPr>
              <w:t>)</w:t>
            </w:r>
          </w:p>
        </w:tc>
      </w:tr>
      <w:tr w14:paraId="42AF8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57" w:type="dxa"/>
            <w:tcBorders>
              <w:top w:val="single" w:color="auto" w:sz="4" w:space="0"/>
              <w:left w:val="single" w:color="auto" w:sz="4" w:space="0"/>
              <w:bottom w:val="single" w:color="auto" w:sz="4" w:space="0"/>
              <w:right w:val="single" w:color="auto" w:sz="4" w:space="0"/>
            </w:tcBorders>
          </w:tcPr>
          <w:p w14:paraId="333978EF">
            <w:pPr>
              <w:spacing w:before="156" w:after="156" w:line="360" w:lineRule="auto"/>
              <w:rPr>
                <w:rFonts w:asciiTheme="minorEastAsia" w:hAnsiTheme="minorEastAsia" w:eastAsiaTheme="minorEastAsia"/>
                <w:color w:val="auto"/>
                <w:szCs w:val="21"/>
                <w:highlight w:val="none"/>
              </w:rPr>
            </w:pPr>
          </w:p>
        </w:tc>
        <w:tc>
          <w:tcPr>
            <w:tcW w:w="3820" w:type="dxa"/>
            <w:gridSpan w:val="2"/>
            <w:tcBorders>
              <w:top w:val="single" w:color="auto" w:sz="4" w:space="0"/>
              <w:left w:val="single" w:color="auto" w:sz="4" w:space="0"/>
              <w:bottom w:val="single" w:color="auto" w:sz="4" w:space="0"/>
              <w:right w:val="single" w:color="auto" w:sz="4" w:space="0"/>
            </w:tcBorders>
          </w:tcPr>
          <w:p w14:paraId="584D141B">
            <w:pPr>
              <w:spacing w:before="156" w:after="156" w:line="360" w:lineRule="auto"/>
              <w:rPr>
                <w:rFonts w:asciiTheme="minorEastAsia" w:hAnsiTheme="minorEastAsia" w:eastAsiaTheme="minorEastAsia"/>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tcPr>
          <w:p w14:paraId="4ECB2DE2">
            <w:pPr>
              <w:spacing w:before="156" w:after="156" w:line="360" w:lineRule="auto"/>
              <w:rPr>
                <w:rFonts w:asciiTheme="minorEastAsia" w:hAnsiTheme="minorEastAsia" w:eastAsiaTheme="minorEastAsia"/>
                <w:color w:val="auto"/>
                <w:szCs w:val="21"/>
                <w:highlight w:val="none"/>
              </w:rPr>
            </w:pPr>
          </w:p>
        </w:tc>
        <w:tc>
          <w:tcPr>
            <w:tcW w:w="769" w:type="dxa"/>
            <w:tcBorders>
              <w:top w:val="single" w:color="auto" w:sz="4" w:space="0"/>
              <w:left w:val="single" w:color="auto" w:sz="4" w:space="0"/>
              <w:bottom w:val="single" w:color="auto" w:sz="4" w:space="0"/>
              <w:right w:val="single" w:color="auto" w:sz="4" w:space="0"/>
            </w:tcBorders>
          </w:tcPr>
          <w:p w14:paraId="40136211">
            <w:pPr>
              <w:spacing w:before="156" w:after="156" w:line="360" w:lineRule="auto"/>
              <w:rPr>
                <w:rFonts w:asciiTheme="minorEastAsia" w:hAnsiTheme="minorEastAsia" w:eastAsiaTheme="minorEastAsia"/>
                <w:color w:val="auto"/>
                <w:szCs w:val="21"/>
                <w:highlight w:val="none"/>
              </w:rPr>
            </w:pPr>
          </w:p>
        </w:tc>
        <w:tc>
          <w:tcPr>
            <w:tcW w:w="1729" w:type="dxa"/>
            <w:tcBorders>
              <w:top w:val="single" w:color="auto" w:sz="4" w:space="0"/>
              <w:left w:val="single" w:color="auto" w:sz="4" w:space="0"/>
              <w:bottom w:val="single" w:color="auto" w:sz="4" w:space="0"/>
              <w:right w:val="single" w:color="auto" w:sz="4" w:space="0"/>
            </w:tcBorders>
          </w:tcPr>
          <w:p w14:paraId="3265C9C0">
            <w:pPr>
              <w:spacing w:before="156" w:after="156" w:line="360" w:lineRule="auto"/>
              <w:rPr>
                <w:rFonts w:asciiTheme="minorEastAsia" w:hAnsiTheme="minorEastAsia" w:eastAsiaTheme="minorEastAsia"/>
                <w:color w:val="auto"/>
                <w:szCs w:val="21"/>
                <w:highlight w:val="none"/>
              </w:rPr>
            </w:pPr>
          </w:p>
        </w:tc>
        <w:tc>
          <w:tcPr>
            <w:tcW w:w="1729" w:type="dxa"/>
            <w:tcBorders>
              <w:top w:val="single" w:color="auto" w:sz="4" w:space="0"/>
              <w:left w:val="single" w:color="auto" w:sz="4" w:space="0"/>
              <w:bottom w:val="single" w:color="auto" w:sz="4" w:space="0"/>
              <w:right w:val="single" w:color="auto" w:sz="4" w:space="0"/>
            </w:tcBorders>
          </w:tcPr>
          <w:p w14:paraId="6077BA27">
            <w:pPr>
              <w:spacing w:before="156" w:after="156" w:line="360" w:lineRule="auto"/>
              <w:rPr>
                <w:rFonts w:asciiTheme="minorEastAsia" w:hAnsiTheme="minorEastAsia" w:eastAsiaTheme="minorEastAsia"/>
                <w:color w:val="auto"/>
                <w:szCs w:val="21"/>
                <w:highlight w:val="none"/>
              </w:rPr>
            </w:pPr>
          </w:p>
        </w:tc>
      </w:tr>
      <w:tr w14:paraId="78499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57" w:type="dxa"/>
            <w:tcBorders>
              <w:top w:val="single" w:color="auto" w:sz="4" w:space="0"/>
              <w:left w:val="single" w:color="auto" w:sz="4" w:space="0"/>
              <w:bottom w:val="single" w:color="auto" w:sz="4" w:space="0"/>
              <w:right w:val="single" w:color="auto" w:sz="4" w:space="0"/>
            </w:tcBorders>
          </w:tcPr>
          <w:p w14:paraId="45A973D0">
            <w:pPr>
              <w:spacing w:before="156" w:after="156" w:line="360" w:lineRule="auto"/>
              <w:jc w:val="center"/>
              <w:rPr>
                <w:rFonts w:asciiTheme="minorEastAsia" w:hAnsiTheme="minorEastAsia" w:eastAsiaTheme="minorEastAsia"/>
                <w:b/>
                <w:color w:val="auto"/>
                <w:szCs w:val="21"/>
                <w:highlight w:val="none"/>
              </w:rPr>
            </w:pPr>
          </w:p>
        </w:tc>
        <w:tc>
          <w:tcPr>
            <w:tcW w:w="4973" w:type="dxa"/>
            <w:gridSpan w:val="3"/>
            <w:tcBorders>
              <w:top w:val="single" w:color="auto" w:sz="4" w:space="0"/>
              <w:left w:val="single" w:color="auto" w:sz="4" w:space="0"/>
              <w:bottom w:val="single" w:color="auto" w:sz="4" w:space="0"/>
              <w:right w:val="single" w:color="auto" w:sz="4" w:space="0"/>
            </w:tcBorders>
          </w:tcPr>
          <w:p w14:paraId="663D97B0">
            <w:pPr>
              <w:spacing w:before="156" w:after="156"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合计</w:t>
            </w:r>
          </w:p>
        </w:tc>
        <w:tc>
          <w:tcPr>
            <w:tcW w:w="769" w:type="dxa"/>
            <w:tcBorders>
              <w:top w:val="single" w:color="auto" w:sz="4" w:space="0"/>
              <w:left w:val="single" w:color="auto" w:sz="4" w:space="0"/>
              <w:bottom w:val="single" w:color="auto" w:sz="4" w:space="0"/>
              <w:right w:val="single" w:color="auto" w:sz="4" w:space="0"/>
            </w:tcBorders>
          </w:tcPr>
          <w:p w14:paraId="488FC997">
            <w:pPr>
              <w:spacing w:before="156" w:after="156" w:line="360" w:lineRule="auto"/>
              <w:rPr>
                <w:rFonts w:asciiTheme="minorEastAsia" w:hAnsiTheme="minorEastAsia" w:eastAsiaTheme="minorEastAsia"/>
                <w:color w:val="auto"/>
                <w:szCs w:val="21"/>
                <w:highlight w:val="none"/>
              </w:rPr>
            </w:pPr>
          </w:p>
        </w:tc>
        <w:tc>
          <w:tcPr>
            <w:tcW w:w="1729" w:type="dxa"/>
            <w:tcBorders>
              <w:top w:val="single" w:color="auto" w:sz="4" w:space="0"/>
              <w:left w:val="single" w:color="auto" w:sz="4" w:space="0"/>
              <w:bottom w:val="single" w:color="auto" w:sz="4" w:space="0"/>
              <w:right w:val="single" w:color="auto" w:sz="4" w:space="0"/>
            </w:tcBorders>
          </w:tcPr>
          <w:p w14:paraId="0B7A7C28">
            <w:pPr>
              <w:spacing w:before="156" w:after="156" w:line="360" w:lineRule="auto"/>
              <w:rPr>
                <w:rFonts w:asciiTheme="minorEastAsia" w:hAnsiTheme="minorEastAsia" w:eastAsiaTheme="minorEastAsia"/>
                <w:color w:val="auto"/>
                <w:szCs w:val="21"/>
                <w:highlight w:val="none"/>
              </w:rPr>
            </w:pPr>
          </w:p>
        </w:tc>
        <w:tc>
          <w:tcPr>
            <w:tcW w:w="1729" w:type="dxa"/>
            <w:tcBorders>
              <w:top w:val="single" w:color="auto" w:sz="4" w:space="0"/>
              <w:left w:val="single" w:color="auto" w:sz="4" w:space="0"/>
              <w:bottom w:val="single" w:color="auto" w:sz="4" w:space="0"/>
              <w:right w:val="single" w:color="auto" w:sz="4" w:space="0"/>
            </w:tcBorders>
          </w:tcPr>
          <w:p w14:paraId="208AFFEE">
            <w:pPr>
              <w:spacing w:before="156" w:after="156" w:line="360" w:lineRule="auto"/>
              <w:rPr>
                <w:rFonts w:asciiTheme="minorEastAsia" w:hAnsiTheme="minorEastAsia" w:eastAsiaTheme="minorEastAsia"/>
                <w:color w:val="auto"/>
                <w:szCs w:val="21"/>
                <w:highlight w:val="none"/>
              </w:rPr>
            </w:pPr>
          </w:p>
        </w:tc>
      </w:tr>
    </w:tbl>
    <w:p w14:paraId="0147D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asciiTheme="minorEastAsia" w:hAnsiTheme="minorEastAsia" w:eastAsiaTheme="minorEastAsia"/>
          <w:color w:val="auto"/>
          <w:szCs w:val="21"/>
          <w:highlight w:val="none"/>
        </w:rPr>
      </w:pPr>
    </w:p>
    <w:p w14:paraId="67797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Arial" w:asciiTheme="minorEastAsia" w:hAnsiTheme="minorEastAsia" w:eastAsiaTheme="minorEastAsia"/>
          <w:b/>
          <w:color w:val="auto"/>
          <w:szCs w:val="21"/>
          <w:highlight w:val="none"/>
        </w:rPr>
      </w:pPr>
      <w:r>
        <w:rPr>
          <w:rFonts w:hint="eastAsia" w:cs="Arial" w:asciiTheme="minorEastAsia" w:hAnsiTheme="minorEastAsia" w:eastAsiaTheme="minorEastAsia"/>
          <w:b/>
          <w:color w:val="auto"/>
          <w:szCs w:val="21"/>
          <w:highlight w:val="none"/>
        </w:rPr>
        <w:t>第三条 合同价款及付款方式</w:t>
      </w:r>
    </w:p>
    <w:p w14:paraId="24DD0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color w:val="auto"/>
          <w:szCs w:val="21"/>
          <w:highlight w:val="none"/>
        </w:rPr>
      </w:pPr>
      <w:r>
        <w:rPr>
          <w:rFonts w:hint="eastAsia" w:ascii="宋体" w:hAnsi="宋体" w:cs="宋体"/>
          <w:color w:val="auto"/>
          <w:szCs w:val="21"/>
          <w:highlight w:val="none"/>
        </w:rPr>
        <w:t>1、本合同项下总价款为（大写）人民币，分项价款在“投标报价表”中明确。</w:t>
      </w:r>
    </w:p>
    <w:p w14:paraId="0453F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color w:val="auto"/>
          <w:szCs w:val="21"/>
          <w:highlight w:val="none"/>
        </w:rPr>
      </w:pPr>
      <w:r>
        <w:rPr>
          <w:rFonts w:hint="eastAsia" w:ascii="宋体" w:hAnsi="宋体" w:cs="宋体"/>
          <w:color w:val="auto"/>
          <w:szCs w:val="21"/>
          <w:highlight w:val="none"/>
        </w:rPr>
        <w:t>2、本合同总价款包括货物设计、材料、制造、包装、运输、安装、调试、检测、售后服务、税费等全部费用。</w:t>
      </w:r>
    </w:p>
    <w:p w14:paraId="1E907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color w:val="auto"/>
          <w:szCs w:val="21"/>
          <w:highlight w:val="none"/>
        </w:rPr>
      </w:pPr>
      <w:r>
        <w:rPr>
          <w:rFonts w:hint="eastAsia" w:ascii="宋体" w:hAnsi="宋体" w:cs="宋体"/>
          <w:color w:val="auto"/>
          <w:szCs w:val="21"/>
          <w:highlight w:val="none"/>
        </w:rPr>
        <w:t>3、本合同付款方式为以下第</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项：</w:t>
      </w:r>
    </w:p>
    <w:p w14:paraId="3079C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color w:val="auto"/>
          <w:szCs w:val="21"/>
          <w:highlight w:val="none"/>
        </w:rPr>
      </w:pPr>
      <w:r>
        <w:rPr>
          <w:rFonts w:hint="eastAsia" w:ascii="宋体" w:hAnsi="宋体" w:cs="宋体"/>
          <w:color w:val="auto"/>
          <w:szCs w:val="21"/>
          <w:highlight w:val="none"/>
        </w:rPr>
        <w:t>（1）本合同项下的采购资金系甲方自行支付，付款程序为；</w:t>
      </w:r>
    </w:p>
    <w:p w14:paraId="09C15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b/>
          <w:color w:val="auto"/>
          <w:szCs w:val="21"/>
          <w:highlight w:val="none"/>
          <w:u w:val="single"/>
        </w:rPr>
      </w:pPr>
      <w:r>
        <w:rPr>
          <w:rFonts w:hint="eastAsia" w:ascii="宋体" w:hAnsi="宋体" w:cs="宋体"/>
          <w:color w:val="auto"/>
          <w:szCs w:val="21"/>
          <w:highlight w:val="none"/>
        </w:rPr>
        <w:t>（2）本合同项下的采购资金须财政直接支付，付款程序为</w:t>
      </w:r>
      <w:r>
        <w:rPr>
          <w:rFonts w:hint="eastAsia" w:ascii="宋体" w:hAnsi="宋体" w:cs="宋体"/>
          <w:b/>
          <w:color w:val="auto"/>
          <w:szCs w:val="21"/>
          <w:highlight w:val="none"/>
          <w:u w:val="single"/>
        </w:rPr>
        <w:t xml:space="preserve">  ；</w:t>
      </w:r>
    </w:p>
    <w:p w14:paraId="4F8C0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color w:val="auto"/>
          <w:szCs w:val="21"/>
          <w:highlight w:val="none"/>
        </w:rPr>
      </w:pPr>
      <w:r>
        <w:rPr>
          <w:rFonts w:hint="eastAsia" w:ascii="宋体" w:hAnsi="宋体" w:cs="宋体"/>
          <w:color w:val="auto"/>
          <w:szCs w:val="21"/>
          <w:highlight w:val="none"/>
        </w:rPr>
        <w:t>（3）其他方式：</w:t>
      </w:r>
    </w:p>
    <w:p w14:paraId="0183B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color w:val="auto"/>
          <w:szCs w:val="21"/>
          <w:highlight w:val="none"/>
        </w:rPr>
      </w:pPr>
      <w:r>
        <w:rPr>
          <w:rFonts w:hint="eastAsia" w:ascii="宋体" w:hAnsi="宋体" w:cs="宋体"/>
          <w:color w:val="auto"/>
          <w:szCs w:val="21"/>
          <w:highlight w:val="none"/>
        </w:rPr>
        <w:t>若收取了履约保证金，则不应重复设置尾款支付条件。</w:t>
      </w:r>
    </w:p>
    <w:p w14:paraId="73CBD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color w:val="auto"/>
          <w:szCs w:val="21"/>
          <w:highlight w:val="none"/>
        </w:rPr>
      </w:pPr>
    </w:p>
    <w:p w14:paraId="78B0F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b/>
          <w:color w:val="auto"/>
          <w:szCs w:val="21"/>
          <w:highlight w:val="none"/>
        </w:rPr>
      </w:pPr>
      <w:r>
        <w:rPr>
          <w:rFonts w:hint="eastAsia" w:ascii="宋体" w:hAnsi="宋体" w:cs="宋体"/>
          <w:b/>
          <w:color w:val="auto"/>
          <w:szCs w:val="21"/>
          <w:highlight w:val="none"/>
        </w:rPr>
        <w:t>第四条 履约保证金</w:t>
      </w:r>
    </w:p>
    <w:p w14:paraId="40080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b/>
          <w:color w:val="auto"/>
          <w:szCs w:val="21"/>
          <w:highlight w:val="none"/>
        </w:rPr>
      </w:pPr>
      <w:r>
        <w:rPr>
          <w:rFonts w:hint="eastAsia" w:ascii="宋体" w:hAnsi="宋体" w:cs="宋体"/>
          <w:color w:val="auto"/>
          <w:szCs w:val="21"/>
          <w:highlight w:val="none"/>
        </w:rPr>
        <w:t>按以下第</w:t>
      </w:r>
      <w:r>
        <w:rPr>
          <w:rFonts w:hint="eastAsia" w:ascii="宋体" w:hAnsi="宋体" w:cs="宋体"/>
          <w:color w:val="auto"/>
          <w:szCs w:val="21"/>
          <w:highlight w:val="none"/>
          <w:u w:val="single"/>
        </w:rPr>
        <w:t xml:space="preserve">  1   </w:t>
      </w:r>
      <w:r>
        <w:rPr>
          <w:rFonts w:hint="eastAsia" w:ascii="宋体" w:hAnsi="宋体" w:cs="宋体"/>
          <w:color w:val="auto"/>
          <w:szCs w:val="21"/>
          <w:highlight w:val="none"/>
        </w:rPr>
        <w:t>项处理：</w:t>
      </w:r>
    </w:p>
    <w:p w14:paraId="46484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color w:val="auto"/>
          <w:szCs w:val="21"/>
          <w:highlight w:val="none"/>
        </w:rPr>
      </w:pPr>
      <w:r>
        <w:rPr>
          <w:rFonts w:hint="eastAsia" w:ascii="宋体" w:hAnsi="宋体" w:cs="宋体"/>
          <w:color w:val="auto"/>
          <w:szCs w:val="21"/>
          <w:highlight w:val="none"/>
        </w:rPr>
        <w:t>1、本项目设置履约保证金，乙方应于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（时间）向甲方提交履约保证金</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元。履约保证金在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（时间）退还乙方。</w:t>
      </w:r>
    </w:p>
    <w:p w14:paraId="21573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color w:val="auto"/>
          <w:szCs w:val="21"/>
          <w:highlight w:val="none"/>
        </w:rPr>
      </w:pPr>
      <w:r>
        <w:rPr>
          <w:rFonts w:hint="eastAsia" w:ascii="宋体" w:hAnsi="宋体" w:cs="宋体"/>
          <w:color w:val="auto"/>
          <w:szCs w:val="21"/>
          <w:highlight w:val="none"/>
        </w:rPr>
        <w:t>2、本项目不设置履约保证金。</w:t>
      </w:r>
    </w:p>
    <w:p w14:paraId="48EE8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b/>
          <w:color w:val="auto"/>
          <w:szCs w:val="21"/>
          <w:highlight w:val="none"/>
        </w:rPr>
      </w:pPr>
      <w:r>
        <w:rPr>
          <w:rFonts w:hint="eastAsia" w:ascii="宋体" w:hAnsi="宋体" w:cs="宋体"/>
          <w:b/>
          <w:color w:val="auto"/>
          <w:szCs w:val="21"/>
          <w:highlight w:val="none"/>
        </w:rPr>
        <w:t>第五条 合同的变更和终止</w:t>
      </w:r>
    </w:p>
    <w:p w14:paraId="7E3B4F0F">
      <w:pPr>
        <w:spacing w:line="360" w:lineRule="auto"/>
        <w:rPr>
          <w:rFonts w:ascii="宋体" w:hAnsi="宋体" w:cs="宋体"/>
          <w:color w:val="auto"/>
          <w:szCs w:val="21"/>
          <w:highlight w:val="none"/>
        </w:rPr>
      </w:pPr>
      <w:r>
        <w:rPr>
          <w:rFonts w:hint="eastAsia" w:ascii="宋体" w:hAnsi="宋体" w:cs="宋体"/>
          <w:color w:val="auto"/>
          <w:szCs w:val="21"/>
          <w:highlight w:val="none"/>
        </w:rPr>
        <w:t>除《政府采购法》第49条、第50条第二款规定的情形外，本合同一经签订，甲乙双方不得擅自终止合同或对合同实质性条款进行变更。确有特殊情况的，须经同级财政部门备案同意。</w:t>
      </w:r>
    </w:p>
    <w:p w14:paraId="15C72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b/>
          <w:color w:val="auto"/>
          <w:szCs w:val="21"/>
          <w:highlight w:val="none"/>
        </w:rPr>
      </w:pPr>
      <w:r>
        <w:rPr>
          <w:rFonts w:hint="eastAsia" w:ascii="宋体" w:hAnsi="宋体" w:cs="宋体"/>
          <w:b/>
          <w:color w:val="auto"/>
          <w:szCs w:val="21"/>
          <w:highlight w:val="none"/>
        </w:rPr>
        <w:t>第六条 合同的转让与分包</w:t>
      </w:r>
    </w:p>
    <w:p w14:paraId="3480B7B0">
      <w:pPr>
        <w:spacing w:line="360" w:lineRule="auto"/>
        <w:rPr>
          <w:rFonts w:ascii="宋体" w:hAnsi="宋体" w:cs="宋体"/>
          <w:color w:val="auto"/>
          <w:szCs w:val="21"/>
          <w:highlight w:val="none"/>
        </w:rPr>
      </w:pPr>
      <w:r>
        <w:rPr>
          <w:rFonts w:hint="eastAsia" w:ascii="宋体" w:hAnsi="宋体" w:cs="宋体"/>
          <w:color w:val="auto"/>
          <w:szCs w:val="21"/>
          <w:highlight w:val="none"/>
        </w:rPr>
        <w:t>乙方不得擅自部分或全部转让其应履行的合同义务。乙方分包的，应经过甲方书面同意。</w:t>
      </w:r>
    </w:p>
    <w:p w14:paraId="29835792">
      <w:pPr>
        <w:spacing w:line="360" w:lineRule="auto"/>
        <w:rPr>
          <w:rFonts w:ascii="宋体" w:hAnsi="宋体" w:cs="宋体"/>
          <w:b/>
          <w:color w:val="auto"/>
          <w:szCs w:val="21"/>
          <w:highlight w:val="none"/>
        </w:rPr>
      </w:pPr>
      <w:r>
        <w:rPr>
          <w:rFonts w:hint="eastAsia" w:ascii="宋体" w:hAnsi="宋体" w:cs="宋体"/>
          <w:b/>
          <w:color w:val="auto"/>
          <w:szCs w:val="21"/>
          <w:highlight w:val="none"/>
        </w:rPr>
        <w:t>第七条 争议的解决</w:t>
      </w:r>
    </w:p>
    <w:p w14:paraId="4118E1E3">
      <w:pPr>
        <w:spacing w:line="360" w:lineRule="auto"/>
        <w:rPr>
          <w:rFonts w:ascii="宋体" w:hAnsi="宋体" w:cs="宋体"/>
          <w:color w:val="auto"/>
          <w:szCs w:val="21"/>
          <w:highlight w:val="none"/>
        </w:rPr>
      </w:pPr>
      <w:r>
        <w:rPr>
          <w:rFonts w:hint="eastAsia" w:ascii="宋体" w:hAnsi="宋体" w:cs="宋体"/>
          <w:color w:val="auto"/>
          <w:szCs w:val="21"/>
          <w:highlight w:val="none"/>
        </w:rPr>
        <w:t>1、因履行本合同引起的或与本合同有关的争议，甲、乙双方应首先通过友好协商解决，如果协商不能解决争议，则采取以下第种方式解决争议：</w:t>
      </w:r>
    </w:p>
    <w:p w14:paraId="28A67A09">
      <w:pPr>
        <w:spacing w:line="360" w:lineRule="auto"/>
        <w:rPr>
          <w:rFonts w:ascii="宋体" w:hAnsi="宋体" w:cs="宋体"/>
          <w:color w:val="auto"/>
          <w:szCs w:val="21"/>
          <w:highlight w:val="none"/>
        </w:rPr>
      </w:pPr>
      <w:r>
        <w:rPr>
          <w:rFonts w:hint="eastAsia" w:ascii="宋体" w:hAnsi="宋体" w:cs="宋体"/>
          <w:color w:val="auto"/>
          <w:szCs w:val="21"/>
          <w:highlight w:val="none"/>
        </w:rPr>
        <w:t>（1）向甲方所在地有管辖权的人民法院提起诉讼；</w:t>
      </w:r>
    </w:p>
    <w:p w14:paraId="3B803C55">
      <w:pPr>
        <w:spacing w:line="360" w:lineRule="auto"/>
        <w:rPr>
          <w:rFonts w:ascii="宋体" w:hAnsi="宋体" w:cs="宋体"/>
          <w:color w:val="auto"/>
          <w:szCs w:val="21"/>
          <w:highlight w:val="none"/>
        </w:rPr>
      </w:pPr>
      <w:r>
        <w:rPr>
          <w:rFonts w:hint="eastAsia" w:ascii="宋体" w:hAnsi="宋体" w:cs="宋体"/>
          <w:color w:val="auto"/>
          <w:szCs w:val="21"/>
          <w:highlight w:val="none"/>
        </w:rPr>
        <w:t>（2）向仲裁委员申请仲裁。</w:t>
      </w:r>
    </w:p>
    <w:p w14:paraId="32E647F0">
      <w:pPr>
        <w:spacing w:line="360" w:lineRule="auto"/>
        <w:rPr>
          <w:rFonts w:ascii="宋体" w:hAnsi="宋体" w:cs="宋体"/>
          <w:color w:val="auto"/>
          <w:szCs w:val="21"/>
          <w:highlight w:val="none"/>
        </w:rPr>
      </w:pPr>
      <w:r>
        <w:rPr>
          <w:rFonts w:hint="eastAsia" w:ascii="宋体" w:hAnsi="宋体" w:cs="宋体"/>
          <w:color w:val="auto"/>
          <w:szCs w:val="21"/>
          <w:highlight w:val="none"/>
        </w:rPr>
        <w:t>第八条 合同备案及其他</w:t>
      </w:r>
    </w:p>
    <w:p w14:paraId="4EEF7BD6">
      <w:pPr>
        <w:spacing w:line="360" w:lineRule="auto"/>
        <w:rPr>
          <w:rFonts w:ascii="宋体" w:hAnsi="宋体" w:cs="宋体"/>
          <w:color w:val="auto"/>
          <w:szCs w:val="21"/>
          <w:highlight w:val="none"/>
        </w:rPr>
      </w:pPr>
      <w:r>
        <w:rPr>
          <w:rFonts w:hint="eastAsia" w:ascii="宋体" w:hAnsi="宋体" w:cs="宋体"/>
          <w:color w:val="auto"/>
          <w:szCs w:val="21"/>
          <w:highlight w:val="none"/>
        </w:rPr>
        <w:t>本合同一式五份，甲乙双方各执二份， 一份送招标代理机构存档。</w:t>
      </w:r>
    </w:p>
    <w:p w14:paraId="02498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color w:val="auto"/>
          <w:szCs w:val="21"/>
          <w:highlight w:val="none"/>
        </w:rPr>
      </w:pPr>
    </w:p>
    <w:p w14:paraId="00EF619C">
      <w:pPr>
        <w:pStyle w:val="2"/>
        <w:keepNext w:val="0"/>
        <w:keepLines w:val="0"/>
        <w:pageBreakBefore w:val="0"/>
        <w:overflowPunct/>
        <w:topLinePunct w:val="0"/>
        <w:bidi w:val="0"/>
        <w:adjustRightInd/>
        <w:spacing w:line="240" w:lineRule="auto"/>
        <w:ind w:left="0"/>
        <w:jc w:val="center"/>
        <w:rPr>
          <w:rFonts w:hint="eastAsia" w:ascii="宋体" w:hAnsi="宋体" w:eastAsia="宋体" w:cs="宋体"/>
          <w:color w:val="auto"/>
          <w:sz w:val="36"/>
          <w:szCs w:val="36"/>
          <w:highlight w:val="none"/>
        </w:rPr>
      </w:pPr>
      <w:r>
        <w:rPr>
          <w:rFonts w:hint="eastAsia" w:asciiTheme="minorEastAsia" w:hAnsiTheme="minorEastAsia" w:eastAsiaTheme="minorEastAsia"/>
          <w:b/>
          <w:color w:val="auto"/>
          <w:kern w:val="2"/>
          <w:sz w:val="32"/>
          <w:szCs w:val="32"/>
          <w:highlight w:val="none"/>
        </w:rPr>
        <w:br w:type="page"/>
      </w:r>
      <w:r>
        <w:rPr>
          <w:rFonts w:hint="eastAsia" w:ascii="宋体" w:hAnsi="宋体" w:eastAsia="宋体" w:cs="宋体"/>
          <w:color w:val="auto"/>
          <w:sz w:val="36"/>
          <w:szCs w:val="36"/>
          <w:highlight w:val="none"/>
        </w:rPr>
        <w:t>合同条款及格式</w:t>
      </w:r>
    </w:p>
    <w:p w14:paraId="6DB0EA7F">
      <w:pPr>
        <w:pStyle w:val="29"/>
        <w:spacing w:line="360" w:lineRule="auto"/>
        <w:ind w:firstLine="420" w:firstLineChars="200"/>
        <w:rPr>
          <w:rFonts w:hint="eastAsia" w:ascii="宋体" w:hAnsi="宋体" w:eastAsia="宋体" w:cs="宋体"/>
          <w:color w:val="auto"/>
          <w:sz w:val="21"/>
          <w:szCs w:val="21"/>
          <w:highlight w:val="none"/>
        </w:rPr>
      </w:pPr>
      <w:bookmarkStart w:id="74" w:name="bookmark180"/>
      <w:bookmarkEnd w:id="74"/>
      <w:r>
        <w:rPr>
          <w:rFonts w:hint="eastAsia" w:ascii="宋体" w:hAnsi="宋体" w:eastAsia="宋体" w:cs="宋体"/>
          <w:color w:val="auto"/>
          <w:sz w:val="21"/>
          <w:szCs w:val="21"/>
          <w:highlight w:val="none"/>
        </w:rPr>
        <w:t>合同条件采用建设工程施工合同示范文本(GF—2017—0201)的《合同条件》。</w:t>
      </w:r>
    </w:p>
    <w:p w14:paraId="522AB87F">
      <w:pPr>
        <w:pStyle w:val="29"/>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合同协议条款将由招标人(甲方)与中标人(乙方)结合本工程具体情况协商后签订。以下为招标人提出涉及投标人的主要条款，投标人在投标文件中进行承诺。</w:t>
      </w:r>
    </w:p>
    <w:p w14:paraId="213D6FAA">
      <w:pPr>
        <w:pStyle w:val="29"/>
        <w:spacing w:line="360" w:lineRule="auto"/>
        <w:ind w:firstLine="420" w:firstLineChars="200"/>
        <w:rPr>
          <w:rFonts w:hint="eastAsia" w:ascii="宋体" w:hAnsi="宋体" w:eastAsia="宋体" w:cs="宋体"/>
          <w:color w:val="auto"/>
          <w:sz w:val="21"/>
          <w:szCs w:val="21"/>
          <w:highlight w:val="none"/>
        </w:rPr>
      </w:pPr>
    </w:p>
    <w:p w14:paraId="075005D0">
      <w:pPr>
        <w:spacing w:before="120" w:beforeLines="50" w:after="120" w:afterLines="50" w:line="360" w:lineRule="auto"/>
        <w:ind w:firstLine="422" w:firstLineChars="20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《建设工程施工合同》</w:t>
      </w:r>
    </w:p>
    <w:p w14:paraId="64C1B0FB">
      <w:pPr>
        <w:spacing w:before="120" w:beforeLines="50" w:after="120" w:afterLines="50" w:line="360" w:lineRule="auto"/>
        <w:ind w:firstLine="422" w:firstLineChars="200"/>
        <w:jc w:val="center"/>
        <w:outlineLvl w:val="1"/>
        <w:rPr>
          <w:rFonts w:hint="eastAsia" w:ascii="宋体" w:hAnsi="宋体" w:eastAsia="宋体" w:cs="宋体"/>
          <w:b/>
          <w:color w:val="auto"/>
          <w:sz w:val="21"/>
          <w:szCs w:val="21"/>
          <w:highlight w:val="none"/>
        </w:rPr>
      </w:pPr>
      <w:bookmarkStart w:id="75" w:name="_Toc96951634"/>
      <w:bookmarkStart w:id="76" w:name="_Toc96951754"/>
      <w:bookmarkStart w:id="77" w:name="_Toc123820508"/>
      <w:r>
        <w:rPr>
          <w:rFonts w:hint="eastAsia" w:ascii="宋体" w:hAnsi="宋体" w:eastAsia="宋体" w:cs="宋体"/>
          <w:b/>
          <w:color w:val="auto"/>
          <w:sz w:val="21"/>
          <w:szCs w:val="21"/>
          <w:highlight w:val="none"/>
        </w:rPr>
        <w:t>第一部分  合同协议书</w:t>
      </w:r>
      <w:bookmarkEnd w:id="75"/>
      <w:bookmarkEnd w:id="76"/>
      <w:bookmarkEnd w:id="77"/>
    </w:p>
    <w:p w14:paraId="3A6165C0">
      <w:pPr>
        <w:spacing w:line="360" w:lineRule="auto"/>
        <w:ind w:firstLine="422" w:firstLineChars="200"/>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发包人（全称）：</w:t>
      </w:r>
      <w:r>
        <w:rPr>
          <w:rFonts w:hint="eastAsia" w:ascii="宋体" w:hAnsi="宋体" w:eastAsia="宋体" w:cs="宋体"/>
          <w:b/>
          <w:color w:val="auto"/>
          <w:sz w:val="21"/>
          <w:szCs w:val="21"/>
          <w:highlight w:val="none"/>
          <w:u w:val="single"/>
          <w:lang w:eastAsia="zh-CN"/>
        </w:rPr>
        <w:t>嘉兴市秀洲区人民政府新城街道办事处</w:t>
      </w:r>
    </w:p>
    <w:p w14:paraId="7ECDEAE4">
      <w:pPr>
        <w:spacing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承包人（全称）：</w:t>
      </w:r>
      <w:r>
        <w:rPr>
          <w:rFonts w:hint="eastAsia" w:ascii="宋体" w:hAnsi="宋体" w:eastAsia="宋体" w:cs="宋体"/>
          <w:b/>
          <w:color w:val="auto"/>
          <w:sz w:val="21"/>
          <w:szCs w:val="21"/>
          <w:highlight w:val="none"/>
          <w:u w:val="single"/>
        </w:rPr>
        <w:t xml:space="preserve">                        </w:t>
      </w:r>
    </w:p>
    <w:p w14:paraId="1C4F367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根据《中华人民共和国民</w:t>
      </w:r>
      <w:r>
        <w:rPr>
          <w:rFonts w:hint="eastAsia" w:ascii="宋体" w:hAnsi="宋体" w:eastAsia="宋体" w:cs="宋体"/>
          <w:color w:val="auto"/>
          <w:sz w:val="21"/>
          <w:szCs w:val="21"/>
          <w:highlight w:val="none"/>
          <w:lang w:val="en-US" w:eastAsia="zh-CN"/>
        </w:rPr>
        <w:t>法典</w:t>
      </w:r>
      <w:r>
        <w:rPr>
          <w:rFonts w:hint="eastAsia" w:ascii="宋体" w:hAnsi="宋体" w:eastAsia="宋体" w:cs="宋体"/>
          <w:color w:val="auto"/>
          <w:sz w:val="21"/>
          <w:szCs w:val="21"/>
          <w:highlight w:val="none"/>
        </w:rPr>
        <w:t>》、《中华人民共和国建筑法》及有关法律规定，遵循平等、自愿、公平和诚实信用的原则，双方就</w:t>
      </w:r>
      <w:r>
        <w:rPr>
          <w:rFonts w:hint="eastAsia" w:ascii="宋体" w:hAnsi="宋体" w:cs="宋体"/>
          <w:color w:val="auto"/>
          <w:sz w:val="21"/>
          <w:szCs w:val="21"/>
          <w:highlight w:val="none"/>
          <w:u w:val="single"/>
          <w:lang w:eastAsia="zh-CN"/>
        </w:rPr>
        <w:t>新城派出所院内翻新改造</w:t>
      </w:r>
      <w:r>
        <w:rPr>
          <w:rFonts w:hint="eastAsia" w:ascii="宋体" w:hAnsi="宋体" w:eastAsia="宋体" w:cs="宋体"/>
          <w:color w:val="auto"/>
          <w:sz w:val="21"/>
          <w:szCs w:val="21"/>
          <w:highlight w:val="none"/>
        </w:rPr>
        <w:t>施工及有关事项协商一致，共同达成如下协议：</w:t>
      </w:r>
    </w:p>
    <w:p w14:paraId="166C9EB9">
      <w:pPr>
        <w:spacing w:before="60" w:beforeLines="25" w:after="60" w:afterLines="25" w:line="360" w:lineRule="auto"/>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一、工程概况</w:t>
      </w:r>
    </w:p>
    <w:p w14:paraId="6458F09B">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bCs/>
          <w:color w:val="auto"/>
          <w:sz w:val="21"/>
          <w:szCs w:val="21"/>
          <w:highlight w:val="none"/>
        </w:rPr>
        <w:t>1.工程名称</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u w:val="single"/>
          <w:lang w:eastAsia="zh-CN"/>
        </w:rPr>
        <w:t>新城派出所院内翻新改造</w:t>
      </w:r>
      <w:r>
        <w:rPr>
          <w:rFonts w:hint="eastAsia" w:ascii="宋体" w:hAnsi="宋体" w:eastAsia="宋体" w:cs="宋体"/>
          <w:color w:val="auto"/>
          <w:sz w:val="21"/>
          <w:szCs w:val="21"/>
          <w:highlight w:val="none"/>
          <w:u w:val="single"/>
        </w:rPr>
        <w:t xml:space="preserve"> </w:t>
      </w:r>
    </w:p>
    <w:p w14:paraId="5D56EA5A">
      <w:pPr>
        <w:spacing w:line="360" w:lineRule="auto"/>
        <w:ind w:firstLine="420" w:firstLineChars="200"/>
        <w:rPr>
          <w:rFonts w:hint="eastAsia" w:ascii="宋体" w:hAnsi="宋体" w:eastAsia="宋体" w:cs="宋体"/>
          <w:bCs/>
          <w:color w:val="auto"/>
          <w:sz w:val="21"/>
          <w:szCs w:val="21"/>
          <w:highlight w:val="none"/>
          <w:u w:val="single"/>
          <w:lang w:val="en-US" w:eastAsia="zh-CN"/>
        </w:rPr>
      </w:pPr>
      <w:r>
        <w:rPr>
          <w:rFonts w:hint="eastAsia" w:ascii="宋体" w:hAnsi="宋体" w:eastAsia="宋体" w:cs="宋体"/>
          <w:bCs/>
          <w:color w:val="auto"/>
          <w:sz w:val="21"/>
          <w:szCs w:val="21"/>
          <w:highlight w:val="none"/>
        </w:rPr>
        <w:t>2.工程地点：</w:t>
      </w:r>
      <w:r>
        <w:rPr>
          <w:rFonts w:hint="eastAsia" w:ascii="宋体" w:hAnsi="宋体" w:eastAsia="宋体" w:cs="宋体"/>
          <w:iCs/>
          <w:color w:val="auto"/>
          <w:spacing w:val="4"/>
          <w:sz w:val="21"/>
          <w:szCs w:val="21"/>
          <w:highlight w:val="none"/>
          <w:u w:val="single"/>
          <w:lang w:val="en-US" w:eastAsia="zh-CN"/>
        </w:rPr>
        <w:t xml:space="preserve">         </w:t>
      </w:r>
    </w:p>
    <w:p w14:paraId="44EA91B2">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.资金来源：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财政</w:t>
      </w:r>
      <w:r>
        <w:rPr>
          <w:rFonts w:hint="eastAsia" w:ascii="宋体" w:hAnsi="宋体" w:eastAsia="宋体" w:cs="宋体"/>
          <w:color w:val="auto"/>
          <w:sz w:val="21"/>
          <w:szCs w:val="21"/>
          <w:highlight w:val="none"/>
          <w:u w:val="single"/>
        </w:rPr>
        <w:t xml:space="preserve"> </w:t>
      </w:r>
    </w:p>
    <w:p w14:paraId="1744CA2D">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.工程内容：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u w:val="single"/>
        </w:rPr>
        <w:t xml:space="preserve"> </w:t>
      </w:r>
    </w:p>
    <w:p w14:paraId="6B244BF4">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群体工程应附《承包人承揽工程项目一览表》（附件1）。</w:t>
      </w:r>
    </w:p>
    <w:p w14:paraId="5B64D4F8">
      <w:pPr>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.工程承包范围：</w:t>
      </w:r>
      <w:r>
        <w:rPr>
          <w:rFonts w:hint="eastAsia" w:ascii="宋体" w:hAnsi="宋体" w:eastAsia="宋体" w:cs="宋体"/>
          <w:color w:val="auto"/>
          <w:sz w:val="21"/>
          <w:szCs w:val="21"/>
          <w:highlight w:val="none"/>
          <w:u w:val="single"/>
          <w:lang w:bidi="ar"/>
        </w:rPr>
        <w:t xml:space="preserve">                            </w:t>
      </w:r>
    </w:p>
    <w:p w14:paraId="7C1453D5">
      <w:pPr>
        <w:spacing w:before="60" w:beforeLines="25" w:after="60" w:afterLines="25"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二、合同工期</w:t>
      </w:r>
    </w:p>
    <w:p w14:paraId="352BC7A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计划开工日期：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5917802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计划竣工日期：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0F4A073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工期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50914EFB">
      <w:pPr>
        <w:spacing w:before="60" w:beforeLines="25" w:after="60" w:afterLines="25"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三、质量标准</w:t>
      </w:r>
    </w:p>
    <w:p w14:paraId="0065833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工程质量符合</w:t>
      </w:r>
      <w:r>
        <w:rPr>
          <w:rFonts w:hint="eastAsia" w:ascii="宋体" w:hAnsi="宋体" w:eastAsia="宋体" w:cs="宋体"/>
          <w:b/>
          <w:color w:val="auto"/>
          <w:sz w:val="21"/>
          <w:szCs w:val="21"/>
          <w:highlight w:val="none"/>
          <w:u w:val="single"/>
        </w:rPr>
        <w:t xml:space="preserve"> 合格  </w:t>
      </w:r>
      <w:r>
        <w:rPr>
          <w:rFonts w:hint="eastAsia" w:ascii="宋体" w:hAnsi="宋体" w:eastAsia="宋体" w:cs="宋体"/>
          <w:color w:val="auto"/>
          <w:sz w:val="21"/>
          <w:szCs w:val="21"/>
          <w:highlight w:val="none"/>
        </w:rPr>
        <w:t>标准。</w:t>
      </w:r>
    </w:p>
    <w:p w14:paraId="6ACD180C">
      <w:pPr>
        <w:spacing w:before="60" w:beforeLines="25" w:after="60" w:afterLines="25"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四、签约合同价与合同价格形式</w:t>
      </w:r>
      <w:r>
        <w:rPr>
          <w:rFonts w:hint="eastAsia" w:ascii="宋体" w:hAnsi="宋体" w:eastAsia="宋体" w:cs="宋体"/>
          <w:b/>
          <w:color w:val="auto"/>
          <w:sz w:val="21"/>
          <w:szCs w:val="21"/>
          <w:highlight w:val="none"/>
        </w:rPr>
        <w:tab/>
      </w:r>
    </w:p>
    <w:p w14:paraId="6794AC1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1.签约合同价为：</w:t>
      </w:r>
    </w:p>
    <w:p w14:paraId="013BAFB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14:paraId="5C2CC77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其中：</w:t>
      </w:r>
    </w:p>
    <w:p w14:paraId="604D65C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（1）安全文明施工费：</w:t>
      </w:r>
    </w:p>
    <w:p w14:paraId="7F3F24B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14:paraId="46CB8A9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（2）材料和工程设备暂估价金额：</w:t>
      </w:r>
    </w:p>
    <w:p w14:paraId="70EEA8E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14:paraId="49F378E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（3）专业工程暂估价金额：</w:t>
      </w:r>
    </w:p>
    <w:p w14:paraId="6BD1278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14:paraId="229673B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（4）暂列金额：</w:t>
      </w:r>
    </w:p>
    <w:p w14:paraId="7CE4B16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14:paraId="5398DBB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2.合同价格形式：</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p w14:paraId="1D87B1C4">
      <w:pPr>
        <w:spacing w:before="60" w:beforeLines="25" w:after="60" w:afterLines="25"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五、项目经理</w:t>
      </w:r>
    </w:p>
    <w:p w14:paraId="6B07625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承包人项目经理：</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p w14:paraId="098810F4">
      <w:pPr>
        <w:spacing w:before="60" w:beforeLines="25" w:after="60" w:afterLines="25"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六、合同文件构成</w:t>
      </w:r>
    </w:p>
    <w:p w14:paraId="68195F84">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本协议书与下列文件一起构成合同文件：</w:t>
      </w:r>
    </w:p>
    <w:p w14:paraId="43CD125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（1）中标通知书；</w:t>
      </w:r>
    </w:p>
    <w:p w14:paraId="41B1CF8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（2）投标函及其附录； </w:t>
      </w:r>
    </w:p>
    <w:p w14:paraId="480635F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（3）专用合同条款及其附件；</w:t>
      </w:r>
    </w:p>
    <w:p w14:paraId="3016F2D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（4）通用合同条款；</w:t>
      </w:r>
    </w:p>
    <w:p w14:paraId="2ACD4A8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（5）技术标准和要求；</w:t>
      </w:r>
    </w:p>
    <w:p w14:paraId="222049C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（6）图纸；</w:t>
      </w:r>
    </w:p>
    <w:p w14:paraId="17B6005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（7）已标价工程量清单或预算书；</w:t>
      </w:r>
    </w:p>
    <w:p w14:paraId="3D8D733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（8）其他合同文件。</w:t>
      </w:r>
    </w:p>
    <w:p w14:paraId="722AD36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在合同订立及履行过程中形成的与合同有关的文件均构成合同文件组成部分。</w:t>
      </w:r>
    </w:p>
    <w:p w14:paraId="5DD97D5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上述各项合同文件包括合同当事人就该项合同文件所作出的补充和修改，属于同一类内容的文件，应以最新签署的为准。专用合同条款及其附件须经合同当事人签字或盖章。</w:t>
      </w:r>
    </w:p>
    <w:p w14:paraId="6CB66007">
      <w:pPr>
        <w:spacing w:before="60" w:beforeLines="25" w:after="60" w:afterLines="25"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七、承诺</w:t>
      </w:r>
    </w:p>
    <w:p w14:paraId="3341C41C">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1.发包人承诺按照法律规定履行项目审批手续、筹集工程建设资金并按照合同约定的期限和方式支付合同价款。</w:t>
      </w:r>
    </w:p>
    <w:p w14:paraId="4DA80F36">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2.承包人承诺按照法律规定及合同约定组织完成工程施工，确保工程质量和安全，不进行转包及违法分包，并在缺陷责任期及保修期内承担相应的工程维修责任。</w:t>
      </w:r>
    </w:p>
    <w:p w14:paraId="765E0EF8">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3.发包人和承包人通过招投标形式签订合同的，双方理解并承诺不再就同一工程另行签订与合同实质性内容相背离的协议。</w:t>
      </w:r>
    </w:p>
    <w:p w14:paraId="70F55FC9">
      <w:pPr>
        <w:spacing w:before="60" w:beforeLines="25" w:after="60" w:afterLines="25"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八、词语含义</w:t>
      </w:r>
    </w:p>
    <w:p w14:paraId="3FC4F27A">
      <w:pPr>
        <w:spacing w:before="60" w:beforeLines="25" w:after="60" w:afterLines="25"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本协议书中词语含义与第二部分通用合同条款中赋予的含义相同。</w:t>
      </w:r>
    </w:p>
    <w:p w14:paraId="734100C3">
      <w:pPr>
        <w:spacing w:before="60" w:beforeLines="25" w:after="60" w:afterLines="25"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九、签订时间</w:t>
      </w:r>
    </w:p>
    <w:p w14:paraId="0078FB79">
      <w:pPr>
        <w:spacing w:before="60" w:beforeLines="25" w:after="60" w:afterLines="25"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本合同于</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年</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月</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日签订。</w:t>
      </w:r>
    </w:p>
    <w:p w14:paraId="3C340FEC">
      <w:pPr>
        <w:spacing w:before="60" w:beforeLines="25" w:after="60" w:afterLines="25"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十、签订地点</w:t>
      </w:r>
    </w:p>
    <w:p w14:paraId="69A303C3">
      <w:pPr>
        <w:spacing w:before="60" w:beforeLines="25" w:after="60" w:afterLines="25"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本合同在</w:t>
      </w:r>
      <w:r>
        <w:rPr>
          <w:rFonts w:hint="eastAsia" w:ascii="宋体" w:hAnsi="宋体" w:eastAsia="宋体" w:cs="宋体"/>
          <w:bCs/>
          <w:color w:val="auto"/>
          <w:sz w:val="21"/>
          <w:szCs w:val="21"/>
          <w:highlight w:val="none"/>
          <w:u w:val="single"/>
        </w:rPr>
        <w:t xml:space="preserve"> 浙江嘉兴 </w:t>
      </w:r>
      <w:r>
        <w:rPr>
          <w:rFonts w:hint="eastAsia" w:ascii="宋体" w:hAnsi="宋体" w:eastAsia="宋体" w:cs="宋体"/>
          <w:bCs/>
          <w:color w:val="auto"/>
          <w:sz w:val="21"/>
          <w:szCs w:val="21"/>
          <w:highlight w:val="none"/>
        </w:rPr>
        <w:t>签订。</w:t>
      </w:r>
    </w:p>
    <w:p w14:paraId="622ECB77">
      <w:pPr>
        <w:spacing w:before="60" w:beforeLines="25" w:after="60" w:afterLines="25"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十一、补充协议</w:t>
      </w:r>
    </w:p>
    <w:p w14:paraId="5873FD4A">
      <w:pPr>
        <w:spacing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t>合同未尽事宜，合同当事人另行签订补充协议，补充协议是合同的组成部分。</w:t>
      </w:r>
    </w:p>
    <w:p w14:paraId="1D0BEC5C">
      <w:pPr>
        <w:spacing w:before="60" w:beforeLines="25" w:after="60" w:afterLines="25"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十二、合同生效</w:t>
      </w:r>
    </w:p>
    <w:p w14:paraId="27B64E9D">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本合同自</w:t>
      </w:r>
      <w:r>
        <w:rPr>
          <w:rFonts w:hint="eastAsia" w:ascii="宋体" w:hAnsi="宋体" w:eastAsia="宋体" w:cs="宋体"/>
          <w:bCs/>
          <w:color w:val="auto"/>
          <w:sz w:val="21"/>
          <w:szCs w:val="21"/>
          <w:highlight w:val="none"/>
          <w:u w:val="single"/>
        </w:rPr>
        <w:t xml:space="preserve"> 合同当事人加盖公章，并由法定代表人或法定代表人的授权代表签字后 </w:t>
      </w:r>
      <w:r>
        <w:rPr>
          <w:rFonts w:hint="eastAsia" w:ascii="宋体" w:hAnsi="宋体" w:eastAsia="宋体" w:cs="宋体"/>
          <w:bCs/>
          <w:color w:val="auto"/>
          <w:sz w:val="21"/>
          <w:szCs w:val="21"/>
          <w:highlight w:val="none"/>
        </w:rPr>
        <w:t>生效。</w:t>
      </w:r>
    </w:p>
    <w:p w14:paraId="0FA338E6">
      <w:pPr>
        <w:spacing w:before="60" w:beforeLines="25" w:after="60" w:afterLines="25"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十三、合同份数</w:t>
      </w:r>
    </w:p>
    <w:p w14:paraId="785AF281">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本合同一式</w:t>
      </w:r>
      <w:r>
        <w:rPr>
          <w:rFonts w:hint="eastAsia" w:ascii="宋体" w:hAnsi="宋体" w:eastAsia="宋体" w:cs="宋体"/>
          <w:bCs/>
          <w:color w:val="auto"/>
          <w:sz w:val="21"/>
          <w:szCs w:val="21"/>
          <w:highlight w:val="none"/>
          <w:u w:val="single"/>
        </w:rPr>
        <w:t>6</w:t>
      </w:r>
      <w:r>
        <w:rPr>
          <w:rFonts w:hint="eastAsia" w:ascii="宋体" w:hAnsi="宋体" w:eastAsia="宋体" w:cs="宋体"/>
          <w:bCs/>
          <w:color w:val="auto"/>
          <w:sz w:val="21"/>
          <w:szCs w:val="21"/>
          <w:highlight w:val="none"/>
        </w:rPr>
        <w:t>份，均具有同等法律效力，发包人执</w:t>
      </w:r>
      <w:r>
        <w:rPr>
          <w:rFonts w:hint="eastAsia" w:ascii="宋体" w:hAnsi="宋体" w:eastAsia="宋体" w:cs="宋体"/>
          <w:bCs/>
          <w:color w:val="auto"/>
          <w:sz w:val="21"/>
          <w:szCs w:val="21"/>
          <w:highlight w:val="none"/>
          <w:u w:val="single"/>
        </w:rPr>
        <w:t>3</w:t>
      </w:r>
      <w:r>
        <w:rPr>
          <w:rFonts w:hint="eastAsia" w:ascii="宋体" w:hAnsi="宋体" w:eastAsia="宋体" w:cs="宋体"/>
          <w:bCs/>
          <w:color w:val="auto"/>
          <w:sz w:val="21"/>
          <w:szCs w:val="21"/>
          <w:highlight w:val="none"/>
        </w:rPr>
        <w:t>份，承包人执</w:t>
      </w:r>
      <w:r>
        <w:rPr>
          <w:rFonts w:hint="eastAsia" w:ascii="宋体" w:hAnsi="宋体" w:eastAsia="宋体" w:cs="宋体"/>
          <w:bCs/>
          <w:color w:val="auto"/>
          <w:sz w:val="21"/>
          <w:szCs w:val="21"/>
          <w:highlight w:val="none"/>
          <w:u w:val="single"/>
        </w:rPr>
        <w:t>3</w:t>
      </w:r>
      <w:r>
        <w:rPr>
          <w:rFonts w:hint="eastAsia" w:ascii="宋体" w:hAnsi="宋体" w:eastAsia="宋体" w:cs="宋体"/>
          <w:bCs/>
          <w:color w:val="auto"/>
          <w:sz w:val="21"/>
          <w:szCs w:val="21"/>
          <w:highlight w:val="none"/>
        </w:rPr>
        <w:t>份。</w:t>
      </w:r>
    </w:p>
    <w:p w14:paraId="2EFD41F1">
      <w:pPr>
        <w:spacing w:line="360" w:lineRule="auto"/>
        <w:ind w:firstLine="420" w:firstLineChars="200"/>
        <w:rPr>
          <w:rFonts w:hint="eastAsia" w:ascii="宋体" w:hAnsi="宋体" w:eastAsia="宋体" w:cs="宋体"/>
          <w:bCs/>
          <w:color w:val="auto"/>
          <w:sz w:val="21"/>
          <w:szCs w:val="21"/>
          <w:highlight w:val="none"/>
        </w:rPr>
      </w:pPr>
    </w:p>
    <w:p w14:paraId="66DBA673">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发包人：  （公章）                         承包人：  （公章）                             </w:t>
      </w:r>
    </w:p>
    <w:p w14:paraId="4D775CC9">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法定代表人或其委托代理人：                 法定代表人或其委托代理人：</w:t>
      </w:r>
    </w:p>
    <w:p w14:paraId="6D9D03CE">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（签字）                                  （签字）</w:t>
      </w:r>
    </w:p>
    <w:p w14:paraId="59ECFA36">
      <w:pPr>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 xml:space="preserve">组织机构代码： </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组织机构代码：</w:t>
      </w:r>
      <w:r>
        <w:rPr>
          <w:rFonts w:hint="eastAsia" w:ascii="宋体" w:hAnsi="宋体" w:eastAsia="宋体" w:cs="宋体"/>
          <w:bCs/>
          <w:color w:val="auto"/>
          <w:sz w:val="21"/>
          <w:szCs w:val="21"/>
          <w:highlight w:val="none"/>
          <w:u w:val="single"/>
        </w:rPr>
        <w:t xml:space="preserve">           </w:t>
      </w:r>
    </w:p>
    <w:p w14:paraId="5B9E8B79">
      <w:pPr>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地  址：</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地  址：</w:t>
      </w:r>
      <w:r>
        <w:rPr>
          <w:rFonts w:hint="eastAsia" w:ascii="宋体" w:hAnsi="宋体" w:eastAsia="宋体" w:cs="宋体"/>
          <w:bCs/>
          <w:color w:val="auto"/>
          <w:sz w:val="21"/>
          <w:szCs w:val="21"/>
          <w:highlight w:val="none"/>
          <w:u w:val="single"/>
        </w:rPr>
        <w:t xml:space="preserve">                </w:t>
      </w:r>
    </w:p>
    <w:p w14:paraId="58918ECA">
      <w:pPr>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邮政编码：</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邮政编码：</w:t>
      </w:r>
      <w:r>
        <w:rPr>
          <w:rFonts w:hint="eastAsia" w:ascii="宋体" w:hAnsi="宋体" w:eastAsia="宋体" w:cs="宋体"/>
          <w:bCs/>
          <w:color w:val="auto"/>
          <w:sz w:val="21"/>
          <w:szCs w:val="21"/>
          <w:highlight w:val="none"/>
          <w:u w:val="single"/>
        </w:rPr>
        <w:t xml:space="preserve">              </w:t>
      </w:r>
    </w:p>
    <w:p w14:paraId="1C71855B">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法定代表人：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法定代表人：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673BE033">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委托代理人：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委托代理人：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242C97A5">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  话：</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电  话：</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1AE5B565">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传  真：</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          传  真：</w:t>
      </w:r>
      <w:r>
        <w:rPr>
          <w:rFonts w:hint="eastAsia" w:ascii="宋体" w:hAnsi="宋体" w:eastAsia="宋体" w:cs="宋体"/>
          <w:bCs/>
          <w:color w:val="auto"/>
          <w:sz w:val="21"/>
          <w:szCs w:val="21"/>
          <w:highlight w:val="none"/>
          <w:u w:val="single"/>
        </w:rPr>
        <w:t xml:space="preserve">              </w:t>
      </w:r>
      <w:r>
        <w:rPr>
          <w:rFonts w:hint="eastAsia" w:ascii="宋体" w:hAnsi="宋体" w:eastAsia="宋体" w:cs="宋体"/>
          <w:bCs/>
          <w:color w:val="auto"/>
          <w:sz w:val="21"/>
          <w:szCs w:val="21"/>
          <w:highlight w:val="none"/>
        </w:rPr>
        <w:t xml:space="preserve">  </w:t>
      </w:r>
    </w:p>
    <w:p w14:paraId="1D0995EF">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电子信箱：</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电子信箱：</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27BB05D8">
      <w:pPr>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开户银行：</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开户银行：</w:t>
      </w:r>
      <w:r>
        <w:rPr>
          <w:rFonts w:hint="eastAsia" w:ascii="宋体" w:hAnsi="宋体" w:eastAsia="宋体" w:cs="宋体"/>
          <w:bCs/>
          <w:color w:val="auto"/>
          <w:sz w:val="21"/>
          <w:szCs w:val="21"/>
          <w:highlight w:val="none"/>
          <w:u w:val="single"/>
        </w:rPr>
        <w:t xml:space="preserve">              </w:t>
      </w:r>
    </w:p>
    <w:p w14:paraId="734616C1">
      <w:pPr>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账  号：</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账  号：</w:t>
      </w:r>
      <w:r>
        <w:rPr>
          <w:rFonts w:hint="eastAsia" w:ascii="宋体" w:hAnsi="宋体" w:eastAsia="宋体" w:cs="宋体"/>
          <w:bCs/>
          <w:color w:val="auto"/>
          <w:sz w:val="21"/>
          <w:szCs w:val="21"/>
          <w:highlight w:val="none"/>
          <w:u w:val="single"/>
        </w:rPr>
        <w:t xml:space="preserve">                </w:t>
      </w:r>
    </w:p>
    <w:p w14:paraId="672A619A">
      <w:pPr>
        <w:spacing w:line="360" w:lineRule="auto"/>
        <w:ind w:left="420" w:leftChars="200"/>
        <w:rPr>
          <w:rFonts w:hint="eastAsia" w:ascii="宋体" w:hAnsi="宋体" w:eastAsia="宋体" w:cs="宋体"/>
          <w:color w:val="auto"/>
          <w:sz w:val="21"/>
          <w:szCs w:val="21"/>
          <w:highlight w:val="none"/>
        </w:rPr>
      </w:pPr>
    </w:p>
    <w:p w14:paraId="20FC4240">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14:paraId="1515D79F">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第二部分  通用条款</w:t>
      </w:r>
    </w:p>
    <w:p w14:paraId="167118D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略，按住房城乡建设部、国家工商行政管理总局颁发的《建设工程施工合同》示范文本（GF—2017—0201）的合同条款</w:t>
      </w:r>
    </w:p>
    <w:p w14:paraId="2EDE78DF">
      <w:pPr>
        <w:spacing w:before="120" w:beforeLines="50" w:after="120" w:afterLines="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第三部分  专用条款</w:t>
      </w:r>
    </w:p>
    <w:p w14:paraId="628E5DFA">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 一般约定</w:t>
      </w:r>
    </w:p>
    <w:p w14:paraId="1847A24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词语定义</w:t>
      </w:r>
    </w:p>
    <w:p w14:paraId="4FB8501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1.1.1合同</w:t>
      </w:r>
    </w:p>
    <w:p w14:paraId="5298EA3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1.1.1.10其他合同文件包括：</w:t>
      </w:r>
      <w:r>
        <w:rPr>
          <w:rFonts w:hint="eastAsia" w:ascii="宋体" w:hAnsi="宋体" w:eastAsia="宋体" w:cs="宋体"/>
          <w:color w:val="auto"/>
          <w:sz w:val="21"/>
          <w:szCs w:val="21"/>
          <w:highlight w:val="none"/>
          <w:u w:val="single"/>
        </w:rPr>
        <w:t>招标文件、补充文件以及双方有关工程的洽商、变更等书面协议或文件视为本合同的组成部分</w:t>
      </w:r>
      <w:r>
        <w:rPr>
          <w:rFonts w:hint="eastAsia" w:ascii="宋体" w:hAnsi="宋体" w:eastAsia="宋体" w:cs="宋体"/>
          <w:color w:val="auto"/>
          <w:sz w:val="21"/>
          <w:szCs w:val="21"/>
          <w:highlight w:val="none"/>
        </w:rPr>
        <w:t>。</w:t>
      </w:r>
    </w:p>
    <w:p w14:paraId="0289E36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 合同当事人及其他相关方</w:t>
      </w:r>
    </w:p>
    <w:p w14:paraId="2D586C1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1.1.2.4监理人：</w:t>
      </w:r>
    </w:p>
    <w:p w14:paraId="3EB7DA7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u w:val="single"/>
        </w:rPr>
        <w:t xml:space="preserve">            按监理合同           </w:t>
      </w:r>
      <w:r>
        <w:rPr>
          <w:rFonts w:hint="eastAsia" w:ascii="宋体" w:hAnsi="宋体" w:eastAsia="宋体" w:cs="宋体"/>
          <w:color w:val="auto"/>
          <w:sz w:val="21"/>
          <w:szCs w:val="21"/>
          <w:highlight w:val="none"/>
        </w:rPr>
        <w:t>；</w:t>
      </w:r>
    </w:p>
    <w:p w14:paraId="2BB7E0A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资质类别和等级：</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14:paraId="76D89F4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14:paraId="3CE60D6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14:paraId="6C1E3BB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14:paraId="179D05F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1.1.2.5 设计人：</w:t>
      </w:r>
    </w:p>
    <w:p w14:paraId="753EC92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1C73D4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资质类别和等级：</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14:paraId="59003C1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14:paraId="1B0F179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xml:space="preserve">                     </w:t>
      </w:r>
      <w:r>
        <w:rPr>
          <w:rFonts w:hint="eastAsia" w:ascii="宋体" w:hAnsi="宋体" w:eastAsia="宋体" w:cs="宋体"/>
          <w:color w:val="auto"/>
          <w:sz w:val="21"/>
          <w:szCs w:val="21"/>
          <w:highlight w:val="none"/>
        </w:rPr>
        <w:t>；</w:t>
      </w:r>
    </w:p>
    <w:p w14:paraId="5F4B23B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14:paraId="4304CCD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 工程和设备</w:t>
      </w:r>
    </w:p>
    <w:p w14:paraId="3372FCE4">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1.1.3.7 作为施工现场组成部分的其他场所包括：</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223A5B8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1.1.3.9 永久占地包括：</w:t>
      </w:r>
      <w:r>
        <w:rPr>
          <w:rFonts w:hint="eastAsia" w:ascii="宋体" w:hAnsi="宋体" w:eastAsia="宋体" w:cs="宋体"/>
          <w:color w:val="auto"/>
          <w:sz w:val="21"/>
          <w:szCs w:val="21"/>
          <w:highlight w:val="none"/>
          <w:u w:val="single"/>
        </w:rPr>
        <w:t xml:space="preserve">        用地红线范围内      </w:t>
      </w:r>
      <w:r>
        <w:rPr>
          <w:rFonts w:hint="eastAsia" w:ascii="宋体" w:hAnsi="宋体" w:eastAsia="宋体" w:cs="宋体"/>
          <w:color w:val="auto"/>
          <w:sz w:val="21"/>
          <w:szCs w:val="21"/>
          <w:highlight w:val="none"/>
        </w:rPr>
        <w:t>。</w:t>
      </w:r>
    </w:p>
    <w:p w14:paraId="381BAF5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1.1.3.10 临时占地包括：</w:t>
      </w:r>
      <w:r>
        <w:rPr>
          <w:rFonts w:hint="eastAsia" w:ascii="宋体" w:hAnsi="宋体" w:eastAsia="宋体" w:cs="宋体"/>
          <w:color w:val="auto"/>
          <w:sz w:val="21"/>
          <w:szCs w:val="21"/>
          <w:highlight w:val="none"/>
          <w:u w:val="single"/>
        </w:rPr>
        <w:t>如需，施工单位应自行向相关部门报批，费用由施工单位自行承担</w:t>
      </w:r>
      <w:r>
        <w:rPr>
          <w:rFonts w:hint="eastAsia" w:ascii="宋体" w:hAnsi="宋体" w:eastAsia="宋体" w:cs="宋体"/>
          <w:color w:val="auto"/>
          <w:sz w:val="21"/>
          <w:szCs w:val="21"/>
          <w:highlight w:val="none"/>
        </w:rPr>
        <w:t>。</w:t>
      </w:r>
    </w:p>
    <w:p w14:paraId="317D14C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1.3法律 </w:t>
      </w:r>
    </w:p>
    <w:p w14:paraId="197D5E2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适用于合同的其他规范性文件：</w:t>
      </w:r>
      <w:r>
        <w:rPr>
          <w:rFonts w:hint="eastAsia" w:ascii="宋体" w:hAnsi="宋体" w:eastAsia="宋体" w:cs="宋体"/>
          <w:color w:val="auto"/>
          <w:sz w:val="21"/>
          <w:szCs w:val="21"/>
          <w:highlight w:val="none"/>
          <w:u w:val="single"/>
        </w:rPr>
        <w:t>《中华人民共和国民法典》、《中华人民共和国建筑法》</w:t>
      </w:r>
      <w:r>
        <w:rPr>
          <w:rFonts w:hint="eastAsia" w:ascii="宋体" w:hAnsi="宋体" w:eastAsia="宋体" w:cs="宋体"/>
          <w:color w:val="auto"/>
          <w:sz w:val="21"/>
          <w:szCs w:val="21"/>
          <w:highlight w:val="none"/>
        </w:rPr>
        <w:t>。</w:t>
      </w:r>
    </w:p>
    <w:p w14:paraId="1F1CAD7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 标准和规范</w:t>
      </w:r>
    </w:p>
    <w:p w14:paraId="328471B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1.4.1适用于工程的标准规范包括：</w:t>
      </w:r>
      <w:r>
        <w:rPr>
          <w:rFonts w:hint="eastAsia" w:ascii="宋体" w:hAnsi="宋体" w:eastAsia="宋体" w:cs="宋体"/>
          <w:color w:val="auto"/>
          <w:sz w:val="21"/>
          <w:szCs w:val="21"/>
          <w:highlight w:val="none"/>
          <w:u w:val="single"/>
        </w:rPr>
        <w:t>采用现行有效的适用于本工程的施工和验收标准、规范，若不同标准和规范之间要求不一致的，以较高标准为优先</w:t>
      </w:r>
      <w:r>
        <w:rPr>
          <w:rFonts w:hint="eastAsia" w:ascii="宋体" w:hAnsi="宋体" w:eastAsia="宋体" w:cs="宋体"/>
          <w:color w:val="auto"/>
          <w:sz w:val="21"/>
          <w:szCs w:val="21"/>
          <w:highlight w:val="none"/>
        </w:rPr>
        <w:t>。</w:t>
      </w:r>
    </w:p>
    <w:p w14:paraId="73715DC1">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1.4.2 发包人提供国外标准、规范的名称：</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5A09514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发包人</w:t>
      </w:r>
      <w:r>
        <w:rPr>
          <w:rFonts w:hint="eastAsia" w:ascii="宋体" w:hAnsi="宋体" w:eastAsia="宋体" w:cs="宋体"/>
          <w:color w:val="auto"/>
          <w:sz w:val="21"/>
          <w:szCs w:val="21"/>
          <w:highlight w:val="none"/>
        </w:rPr>
        <w:t>提供国外标准、规范的份数：</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0A2FA95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发包人</w:t>
      </w:r>
      <w:r>
        <w:rPr>
          <w:rFonts w:hint="eastAsia" w:ascii="宋体" w:hAnsi="宋体" w:eastAsia="宋体" w:cs="宋体"/>
          <w:color w:val="auto"/>
          <w:sz w:val="21"/>
          <w:szCs w:val="21"/>
          <w:highlight w:val="none"/>
        </w:rPr>
        <w:t>提供国外标准、规范的名称：</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40871C6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1.4.3</w:t>
      </w:r>
      <w:r>
        <w:rPr>
          <w:rFonts w:hint="eastAsia" w:ascii="宋体" w:hAnsi="宋体" w:eastAsia="宋体" w:cs="宋体"/>
          <w:bCs/>
          <w:color w:val="auto"/>
          <w:sz w:val="21"/>
          <w:szCs w:val="21"/>
          <w:highlight w:val="none"/>
        </w:rPr>
        <w:t>发包人</w:t>
      </w:r>
      <w:r>
        <w:rPr>
          <w:rFonts w:hint="eastAsia" w:ascii="宋体" w:hAnsi="宋体" w:eastAsia="宋体" w:cs="宋体"/>
          <w:color w:val="auto"/>
          <w:sz w:val="21"/>
          <w:szCs w:val="21"/>
          <w:highlight w:val="none"/>
        </w:rPr>
        <w:t>对工程的技术标准和功能要求的特殊要求：</w:t>
      </w:r>
      <w:r>
        <w:rPr>
          <w:rFonts w:hint="eastAsia" w:ascii="宋体" w:hAnsi="宋体" w:eastAsia="宋体" w:cs="宋体"/>
          <w:color w:val="auto"/>
          <w:sz w:val="21"/>
          <w:szCs w:val="21"/>
          <w:highlight w:val="none"/>
          <w:u w:val="single"/>
        </w:rPr>
        <w:t>招标文件中的技术规范和要求</w:t>
      </w:r>
      <w:r>
        <w:rPr>
          <w:rFonts w:hint="eastAsia" w:ascii="宋体" w:hAnsi="宋体" w:eastAsia="宋体" w:cs="宋体"/>
          <w:b/>
          <w:color w:val="auto"/>
          <w:sz w:val="21"/>
          <w:szCs w:val="21"/>
          <w:highlight w:val="none"/>
          <w:u w:val="single"/>
        </w:rPr>
        <w:t></w:t>
      </w:r>
      <w:r>
        <w:rPr>
          <w:rFonts w:hint="eastAsia" w:ascii="宋体" w:hAnsi="宋体" w:eastAsia="宋体" w:cs="宋体"/>
          <w:color w:val="auto"/>
          <w:sz w:val="21"/>
          <w:szCs w:val="21"/>
          <w:highlight w:val="none"/>
        </w:rPr>
        <w:t>。</w:t>
      </w:r>
    </w:p>
    <w:p w14:paraId="1B8E98B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 合同文件的优先顺序</w:t>
      </w:r>
    </w:p>
    <w:p w14:paraId="3C0D37D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合同文件组成及优先顺序为：</w:t>
      </w:r>
      <w:r>
        <w:rPr>
          <w:rFonts w:hint="eastAsia" w:ascii="宋体" w:hAnsi="宋体" w:eastAsia="宋体" w:cs="宋体"/>
          <w:color w:val="auto"/>
          <w:sz w:val="21"/>
          <w:szCs w:val="21"/>
          <w:highlight w:val="none"/>
          <w:u w:val="single"/>
        </w:rPr>
        <w:t>⑴本合同协议书；⑵中标通知书；⑶询标记录（纪要）；⑷投标书及其附件；⑸本合同专用条款；⑹本合同通用条款；⑺招标补充文件（包括答疑会纪要、澄清等）；⑻招标文件；⑼标准、规范及有关技术文件；⑽图纸；⑾工程量清单；⑿工程报价单或工程预算书、双方有关工程的洽商、变更等书面协议或文件视为本合同的组成部分。</w:t>
      </w:r>
    </w:p>
    <w:p w14:paraId="74E0178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 图纸和承包人文件</w:t>
      </w:r>
      <w:r>
        <w:rPr>
          <w:rFonts w:hint="eastAsia" w:ascii="宋体" w:hAnsi="宋体" w:eastAsia="宋体" w:cs="宋体"/>
          <w:color w:val="auto"/>
          <w:sz w:val="21"/>
          <w:szCs w:val="21"/>
          <w:highlight w:val="none"/>
        </w:rPr>
        <w:tab/>
      </w:r>
    </w:p>
    <w:p w14:paraId="6F14F09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 图纸的提供</w:t>
      </w:r>
    </w:p>
    <w:p w14:paraId="7C408B1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发包人</w:t>
      </w:r>
      <w:r>
        <w:rPr>
          <w:rFonts w:hint="eastAsia" w:ascii="宋体" w:hAnsi="宋体" w:eastAsia="宋体" w:cs="宋体"/>
          <w:color w:val="auto"/>
          <w:sz w:val="21"/>
          <w:szCs w:val="21"/>
          <w:highlight w:val="none"/>
        </w:rPr>
        <w:t>向承包人提供图纸的期限：</w:t>
      </w:r>
      <w:r>
        <w:rPr>
          <w:rFonts w:hint="eastAsia" w:ascii="宋体" w:hAnsi="宋体" w:eastAsia="宋体" w:cs="宋体"/>
          <w:color w:val="auto"/>
          <w:sz w:val="21"/>
          <w:szCs w:val="21"/>
          <w:highlight w:val="none"/>
          <w:u w:val="single"/>
        </w:rPr>
        <w:t>签订施工合同后7日内</w:t>
      </w:r>
      <w:r>
        <w:rPr>
          <w:rFonts w:hint="eastAsia" w:ascii="宋体" w:hAnsi="宋体" w:eastAsia="宋体" w:cs="宋体"/>
          <w:color w:val="auto"/>
          <w:sz w:val="21"/>
          <w:szCs w:val="21"/>
          <w:highlight w:val="none"/>
        </w:rPr>
        <w:t>；</w:t>
      </w:r>
    </w:p>
    <w:p w14:paraId="260AA6B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发包人</w:t>
      </w:r>
      <w:r>
        <w:rPr>
          <w:rFonts w:hint="eastAsia" w:ascii="宋体" w:hAnsi="宋体" w:eastAsia="宋体" w:cs="宋体"/>
          <w:color w:val="auto"/>
          <w:sz w:val="21"/>
          <w:szCs w:val="21"/>
          <w:highlight w:val="none"/>
        </w:rPr>
        <w:t>向承包人提供图纸的数量：</w:t>
      </w:r>
      <w:r>
        <w:rPr>
          <w:rFonts w:hint="eastAsia" w:ascii="宋体" w:hAnsi="宋体" w:eastAsia="宋体" w:cs="宋体"/>
          <w:color w:val="auto"/>
          <w:sz w:val="21"/>
          <w:szCs w:val="21"/>
          <w:highlight w:val="none"/>
          <w:u w:val="single"/>
        </w:rPr>
        <w:t>施工图7套（含今后需要绘制竣工图的4套）</w:t>
      </w:r>
      <w:r>
        <w:rPr>
          <w:rFonts w:hint="eastAsia" w:ascii="宋体" w:hAnsi="宋体" w:eastAsia="宋体" w:cs="宋体"/>
          <w:color w:val="auto"/>
          <w:sz w:val="21"/>
          <w:szCs w:val="21"/>
          <w:highlight w:val="none"/>
        </w:rPr>
        <w:t>；</w:t>
      </w:r>
    </w:p>
    <w:p w14:paraId="525D713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发包人</w:t>
      </w:r>
      <w:r>
        <w:rPr>
          <w:rFonts w:hint="eastAsia" w:ascii="宋体" w:hAnsi="宋体" w:eastAsia="宋体" w:cs="宋体"/>
          <w:color w:val="auto"/>
          <w:sz w:val="21"/>
          <w:szCs w:val="21"/>
          <w:highlight w:val="none"/>
        </w:rPr>
        <w:t>向承包人提供图纸的内容：</w:t>
      </w:r>
      <w:r>
        <w:rPr>
          <w:rFonts w:hint="eastAsia" w:ascii="宋体" w:hAnsi="宋体" w:eastAsia="宋体" w:cs="宋体"/>
          <w:color w:val="auto"/>
          <w:sz w:val="21"/>
          <w:szCs w:val="21"/>
          <w:highlight w:val="none"/>
          <w:u w:val="single"/>
        </w:rPr>
        <w:t>全套施工图</w:t>
      </w:r>
      <w:r>
        <w:rPr>
          <w:rFonts w:hint="eastAsia" w:ascii="宋体" w:hAnsi="宋体" w:eastAsia="宋体" w:cs="宋体"/>
          <w:color w:val="auto"/>
          <w:sz w:val="21"/>
          <w:szCs w:val="21"/>
          <w:highlight w:val="none"/>
        </w:rPr>
        <w:t>。</w:t>
      </w:r>
    </w:p>
    <w:p w14:paraId="7B53B53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1.6.4 承包人文件</w:t>
      </w:r>
    </w:p>
    <w:p w14:paraId="7A2EF62B">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需要由承包人提供的文件，包括：</w:t>
      </w:r>
      <w:r>
        <w:rPr>
          <w:rFonts w:hint="eastAsia" w:ascii="宋体" w:hAnsi="宋体" w:eastAsia="宋体" w:cs="宋体"/>
          <w:color w:val="auto"/>
          <w:sz w:val="21"/>
          <w:szCs w:val="21"/>
          <w:highlight w:val="none"/>
          <w:u w:val="single"/>
        </w:rPr>
        <w:t>修正的施工组织设计、工程进度计划及专项施工方案</w:t>
      </w:r>
      <w:r>
        <w:rPr>
          <w:rFonts w:hint="eastAsia" w:ascii="宋体" w:hAnsi="宋体" w:eastAsia="宋体" w:cs="宋体"/>
          <w:color w:val="auto"/>
          <w:sz w:val="21"/>
          <w:szCs w:val="21"/>
          <w:highlight w:val="none"/>
        </w:rPr>
        <w:t>；</w:t>
      </w:r>
    </w:p>
    <w:p w14:paraId="1CB0BDB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承包人提供的文件的期限为：</w:t>
      </w:r>
      <w:r>
        <w:rPr>
          <w:rFonts w:hint="eastAsia" w:ascii="宋体" w:hAnsi="宋体" w:eastAsia="宋体" w:cs="宋体"/>
          <w:color w:val="auto"/>
          <w:sz w:val="21"/>
          <w:szCs w:val="21"/>
          <w:highlight w:val="none"/>
          <w:u w:val="single"/>
        </w:rPr>
        <w:t>签订合同后一周内</w:t>
      </w:r>
      <w:r>
        <w:rPr>
          <w:rFonts w:hint="eastAsia" w:ascii="宋体" w:hAnsi="宋体" w:eastAsia="宋体" w:cs="宋体"/>
          <w:color w:val="auto"/>
          <w:sz w:val="21"/>
          <w:szCs w:val="21"/>
          <w:highlight w:val="none"/>
        </w:rPr>
        <w:t>；</w:t>
      </w:r>
    </w:p>
    <w:p w14:paraId="7FAB6B7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承包人提供的文件的数量为：</w:t>
      </w:r>
      <w:r>
        <w:rPr>
          <w:rFonts w:hint="eastAsia" w:ascii="宋体" w:hAnsi="宋体" w:eastAsia="宋体" w:cs="宋体"/>
          <w:color w:val="auto"/>
          <w:sz w:val="21"/>
          <w:szCs w:val="21"/>
          <w:highlight w:val="none"/>
          <w:u w:val="single"/>
        </w:rPr>
        <w:t>4份  </w:t>
      </w:r>
      <w:r>
        <w:rPr>
          <w:rFonts w:hint="eastAsia" w:ascii="宋体" w:hAnsi="宋体" w:eastAsia="宋体" w:cs="宋体"/>
          <w:color w:val="auto"/>
          <w:sz w:val="21"/>
          <w:szCs w:val="21"/>
          <w:highlight w:val="none"/>
        </w:rPr>
        <w:t>；</w:t>
      </w:r>
    </w:p>
    <w:p w14:paraId="6BEB7E5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承包人提供的文件的形式为：</w:t>
      </w:r>
      <w:r>
        <w:rPr>
          <w:rFonts w:hint="eastAsia" w:ascii="宋体" w:hAnsi="宋体" w:eastAsia="宋体" w:cs="宋体"/>
          <w:color w:val="auto"/>
          <w:sz w:val="21"/>
          <w:szCs w:val="21"/>
          <w:highlight w:val="none"/>
          <w:u w:val="single"/>
        </w:rPr>
        <w:t>纸质文件3份，电子文件1份</w:t>
      </w:r>
      <w:r>
        <w:rPr>
          <w:rFonts w:hint="eastAsia" w:ascii="宋体" w:hAnsi="宋体" w:eastAsia="宋体" w:cs="宋体"/>
          <w:color w:val="auto"/>
          <w:sz w:val="21"/>
          <w:szCs w:val="21"/>
          <w:highlight w:val="none"/>
        </w:rPr>
        <w:t>；</w:t>
      </w:r>
    </w:p>
    <w:p w14:paraId="48984A1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发包人</w:t>
      </w:r>
      <w:r>
        <w:rPr>
          <w:rFonts w:hint="eastAsia" w:ascii="宋体" w:hAnsi="宋体" w:eastAsia="宋体" w:cs="宋体"/>
          <w:color w:val="auto"/>
          <w:sz w:val="21"/>
          <w:szCs w:val="21"/>
          <w:highlight w:val="none"/>
        </w:rPr>
        <w:t>审批承包人文件的期限：</w:t>
      </w:r>
      <w:r>
        <w:rPr>
          <w:rFonts w:hint="eastAsia" w:ascii="宋体" w:hAnsi="宋体" w:eastAsia="宋体" w:cs="宋体"/>
          <w:color w:val="auto"/>
          <w:sz w:val="21"/>
          <w:szCs w:val="21"/>
          <w:highlight w:val="none"/>
          <w:u w:val="single"/>
        </w:rPr>
        <w:t>收到文件后10日内</w:t>
      </w:r>
      <w:r>
        <w:rPr>
          <w:rFonts w:hint="eastAsia" w:ascii="宋体" w:hAnsi="宋体" w:eastAsia="宋体" w:cs="宋体"/>
          <w:color w:val="auto"/>
          <w:sz w:val="21"/>
          <w:szCs w:val="21"/>
          <w:highlight w:val="none"/>
        </w:rPr>
        <w:t>。</w:t>
      </w:r>
    </w:p>
    <w:p w14:paraId="4042B48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1.6.5 现场图纸准备</w:t>
      </w:r>
    </w:p>
    <w:p w14:paraId="0B70EC3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关于现场图纸准备的约定：</w:t>
      </w:r>
      <w:r>
        <w:rPr>
          <w:rFonts w:hint="eastAsia" w:ascii="宋体" w:hAnsi="宋体" w:eastAsia="宋体" w:cs="宋体"/>
          <w:color w:val="auto"/>
          <w:sz w:val="21"/>
          <w:szCs w:val="21"/>
          <w:highlight w:val="none"/>
          <w:u w:val="single"/>
        </w:rPr>
        <w:t>承包人应在施工现场另外保存一套完整的图纸和承包人文件，供发包人、监理人及有关人员进行工程检查时使用</w:t>
      </w:r>
      <w:r>
        <w:rPr>
          <w:rFonts w:hint="eastAsia" w:ascii="宋体" w:hAnsi="宋体" w:eastAsia="宋体" w:cs="宋体"/>
          <w:color w:val="auto"/>
          <w:sz w:val="21"/>
          <w:szCs w:val="21"/>
          <w:highlight w:val="none"/>
        </w:rPr>
        <w:t>。</w:t>
      </w:r>
    </w:p>
    <w:p w14:paraId="0CB61CB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 联络</w:t>
      </w:r>
    </w:p>
    <w:p w14:paraId="2BB60D9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w:t>
      </w:r>
      <w:r>
        <w:rPr>
          <w:rFonts w:hint="eastAsia" w:ascii="宋体" w:hAnsi="宋体" w:eastAsia="宋体" w:cs="宋体"/>
          <w:bCs/>
          <w:color w:val="auto"/>
          <w:sz w:val="21"/>
          <w:szCs w:val="21"/>
          <w:highlight w:val="none"/>
        </w:rPr>
        <w:t>发包人</w:t>
      </w:r>
      <w:r>
        <w:rPr>
          <w:rFonts w:hint="eastAsia" w:ascii="宋体" w:hAnsi="宋体" w:eastAsia="宋体" w:cs="宋体"/>
          <w:color w:val="auto"/>
          <w:sz w:val="21"/>
          <w:szCs w:val="21"/>
          <w:highlight w:val="none"/>
        </w:rPr>
        <w:t>和承包人应当在</w:t>
      </w:r>
      <w:r>
        <w:rPr>
          <w:rFonts w:hint="eastAsia" w:ascii="宋体" w:hAnsi="宋体" w:eastAsia="宋体" w:cs="宋体"/>
          <w:color w:val="auto"/>
          <w:sz w:val="21"/>
          <w:szCs w:val="21"/>
          <w:highlight w:val="none"/>
          <w:u w:val="single"/>
        </w:rPr>
        <w:t>7</w:t>
      </w:r>
      <w:r>
        <w:rPr>
          <w:rFonts w:hint="eastAsia" w:ascii="宋体" w:hAnsi="宋体" w:eastAsia="宋体" w:cs="宋体"/>
          <w:color w:val="auto"/>
          <w:sz w:val="21"/>
          <w:szCs w:val="21"/>
          <w:highlight w:val="none"/>
        </w:rPr>
        <w:t>天内将与合同有关的通知、批准、证明、证书、指示、指令、要求、请求、同意、意见、确定和决定等书面函件送达对方当事人。</w:t>
      </w:r>
    </w:p>
    <w:p w14:paraId="0BA2ECA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1.7.2 </w:t>
      </w:r>
      <w:r>
        <w:rPr>
          <w:rFonts w:hint="eastAsia" w:ascii="宋体" w:hAnsi="宋体" w:eastAsia="宋体" w:cs="宋体"/>
          <w:bCs/>
          <w:color w:val="auto"/>
          <w:sz w:val="21"/>
          <w:szCs w:val="21"/>
          <w:highlight w:val="none"/>
        </w:rPr>
        <w:t>发包人</w:t>
      </w:r>
      <w:r>
        <w:rPr>
          <w:rFonts w:hint="eastAsia" w:ascii="宋体" w:hAnsi="宋体" w:eastAsia="宋体" w:cs="宋体"/>
          <w:color w:val="auto"/>
          <w:sz w:val="21"/>
          <w:szCs w:val="21"/>
          <w:highlight w:val="none"/>
        </w:rPr>
        <w:t>接收文件的地点：</w:t>
      </w:r>
      <w:r>
        <w:rPr>
          <w:rFonts w:hint="eastAsia" w:ascii="宋体" w:hAnsi="宋体" w:eastAsia="宋体" w:cs="宋体"/>
          <w:color w:val="auto"/>
          <w:sz w:val="21"/>
          <w:szCs w:val="21"/>
          <w:highlight w:val="none"/>
          <w:u w:val="single"/>
        </w:rPr>
        <w:t>       施工现场       </w:t>
      </w:r>
      <w:r>
        <w:rPr>
          <w:rFonts w:hint="eastAsia" w:ascii="宋体" w:hAnsi="宋体" w:eastAsia="宋体" w:cs="宋体"/>
          <w:color w:val="auto"/>
          <w:sz w:val="21"/>
          <w:szCs w:val="21"/>
          <w:highlight w:val="none"/>
        </w:rPr>
        <w:t>；</w:t>
      </w:r>
    </w:p>
    <w:p w14:paraId="00D6C0E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发包人</w:t>
      </w:r>
      <w:r>
        <w:rPr>
          <w:rFonts w:hint="eastAsia" w:ascii="宋体" w:hAnsi="宋体" w:eastAsia="宋体" w:cs="宋体"/>
          <w:color w:val="auto"/>
          <w:sz w:val="21"/>
          <w:szCs w:val="21"/>
          <w:highlight w:val="none"/>
        </w:rPr>
        <w:t>指定的接收人为：</w:t>
      </w:r>
      <w:r>
        <w:rPr>
          <w:rFonts w:hint="eastAsia" w:ascii="宋体" w:hAnsi="宋体" w:eastAsia="宋体" w:cs="宋体"/>
          <w:color w:val="auto"/>
          <w:sz w:val="21"/>
          <w:szCs w:val="21"/>
          <w:highlight w:val="none"/>
          <w:u w:val="single"/>
        </w:rPr>
        <w:t> 现场双方协商确定   </w:t>
      </w:r>
      <w:r>
        <w:rPr>
          <w:rFonts w:hint="eastAsia" w:ascii="宋体" w:hAnsi="宋体" w:eastAsia="宋体" w:cs="宋体"/>
          <w:color w:val="auto"/>
          <w:sz w:val="21"/>
          <w:szCs w:val="21"/>
          <w:highlight w:val="none"/>
        </w:rPr>
        <w:t>。</w:t>
      </w:r>
    </w:p>
    <w:p w14:paraId="560767A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承包人接收文件的地点：</w:t>
      </w:r>
      <w:r>
        <w:rPr>
          <w:rFonts w:hint="eastAsia" w:ascii="宋体" w:hAnsi="宋体" w:eastAsia="宋体" w:cs="宋体"/>
          <w:color w:val="auto"/>
          <w:sz w:val="21"/>
          <w:szCs w:val="21"/>
          <w:highlight w:val="none"/>
          <w:u w:val="single"/>
        </w:rPr>
        <w:t>   施工现场           </w:t>
      </w:r>
      <w:r>
        <w:rPr>
          <w:rFonts w:hint="eastAsia" w:ascii="宋体" w:hAnsi="宋体" w:eastAsia="宋体" w:cs="宋体"/>
          <w:color w:val="auto"/>
          <w:sz w:val="21"/>
          <w:szCs w:val="21"/>
          <w:highlight w:val="none"/>
        </w:rPr>
        <w:t>；</w:t>
      </w:r>
    </w:p>
    <w:p w14:paraId="089A312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承包人指定的接收人为：</w:t>
      </w:r>
      <w:r>
        <w:rPr>
          <w:rFonts w:hint="eastAsia" w:ascii="宋体" w:hAnsi="宋体" w:eastAsia="宋体" w:cs="宋体"/>
          <w:color w:val="auto"/>
          <w:sz w:val="21"/>
          <w:szCs w:val="21"/>
          <w:highlight w:val="none"/>
          <w:u w:val="single"/>
        </w:rPr>
        <w:t> 现场双方协商确定     </w:t>
      </w:r>
      <w:r>
        <w:rPr>
          <w:rFonts w:hint="eastAsia" w:ascii="宋体" w:hAnsi="宋体" w:eastAsia="宋体" w:cs="宋体"/>
          <w:color w:val="auto"/>
          <w:sz w:val="21"/>
          <w:szCs w:val="21"/>
          <w:highlight w:val="none"/>
        </w:rPr>
        <w:t>。</w:t>
      </w:r>
    </w:p>
    <w:p w14:paraId="186562C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监理人接收文件的地点：</w:t>
      </w:r>
      <w:r>
        <w:rPr>
          <w:rFonts w:hint="eastAsia" w:ascii="宋体" w:hAnsi="宋体" w:eastAsia="宋体" w:cs="宋体"/>
          <w:color w:val="auto"/>
          <w:sz w:val="21"/>
          <w:szCs w:val="21"/>
          <w:highlight w:val="none"/>
          <w:u w:val="single"/>
        </w:rPr>
        <w:t> 施工现场           </w:t>
      </w:r>
      <w:r>
        <w:rPr>
          <w:rFonts w:hint="eastAsia" w:ascii="宋体" w:hAnsi="宋体" w:eastAsia="宋体" w:cs="宋体"/>
          <w:color w:val="auto"/>
          <w:sz w:val="21"/>
          <w:szCs w:val="21"/>
          <w:highlight w:val="none"/>
        </w:rPr>
        <w:t>；</w:t>
      </w:r>
    </w:p>
    <w:p w14:paraId="28E9C94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监理人指定的接收人为：</w:t>
      </w:r>
      <w:r>
        <w:rPr>
          <w:rFonts w:hint="eastAsia" w:ascii="宋体" w:hAnsi="宋体" w:eastAsia="宋体" w:cs="宋体"/>
          <w:color w:val="auto"/>
          <w:sz w:val="21"/>
          <w:szCs w:val="21"/>
          <w:highlight w:val="none"/>
          <w:u w:val="single"/>
        </w:rPr>
        <w:t> 现场双方协商确定   </w:t>
      </w:r>
      <w:r>
        <w:rPr>
          <w:rFonts w:hint="eastAsia" w:ascii="宋体" w:hAnsi="宋体" w:eastAsia="宋体" w:cs="宋体"/>
          <w:color w:val="auto"/>
          <w:sz w:val="21"/>
          <w:szCs w:val="21"/>
          <w:highlight w:val="none"/>
        </w:rPr>
        <w:t>。</w:t>
      </w:r>
    </w:p>
    <w:p w14:paraId="3FC3071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 交通运输</w:t>
      </w:r>
    </w:p>
    <w:p w14:paraId="313288E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1.10.1 出入现场的权利</w:t>
      </w:r>
    </w:p>
    <w:p w14:paraId="681B93F9">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关于出入现场的权利的约定：</w:t>
      </w:r>
      <w:r>
        <w:rPr>
          <w:rFonts w:hint="eastAsia" w:ascii="宋体" w:hAnsi="宋体" w:eastAsia="宋体" w:cs="宋体"/>
          <w:color w:val="auto"/>
          <w:sz w:val="21"/>
          <w:szCs w:val="21"/>
          <w:highlight w:val="none"/>
          <w:u w:val="single"/>
        </w:rPr>
        <w:t>按通用条款</w:t>
      </w:r>
      <w:r>
        <w:rPr>
          <w:rFonts w:hint="eastAsia" w:ascii="宋体" w:hAnsi="宋体" w:eastAsia="宋体" w:cs="宋体"/>
          <w:color w:val="auto"/>
          <w:sz w:val="21"/>
          <w:szCs w:val="21"/>
          <w:highlight w:val="none"/>
        </w:rPr>
        <w:t>。</w:t>
      </w:r>
    </w:p>
    <w:p w14:paraId="1BFAFCB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1.10.3 场内交通</w:t>
      </w:r>
    </w:p>
    <w:p w14:paraId="57B6DA7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关于场外交通和场内交通的边界的约定：</w:t>
      </w:r>
      <w:r>
        <w:rPr>
          <w:rFonts w:hint="eastAsia" w:ascii="宋体" w:hAnsi="宋体" w:eastAsia="宋体" w:cs="宋体"/>
          <w:color w:val="auto"/>
          <w:sz w:val="21"/>
          <w:szCs w:val="21"/>
          <w:highlight w:val="none"/>
          <w:u w:val="single"/>
        </w:rPr>
        <w:t>本项目的用地红线</w:t>
      </w:r>
      <w:r>
        <w:rPr>
          <w:rFonts w:hint="eastAsia" w:ascii="宋体" w:hAnsi="宋体" w:eastAsia="宋体" w:cs="宋体"/>
          <w:color w:val="auto"/>
          <w:sz w:val="21"/>
          <w:szCs w:val="21"/>
          <w:highlight w:val="none"/>
        </w:rPr>
        <w:t>。</w:t>
      </w:r>
    </w:p>
    <w:p w14:paraId="58BD864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w:t>
      </w:r>
      <w:r>
        <w:rPr>
          <w:rFonts w:hint="eastAsia" w:ascii="宋体" w:hAnsi="宋体" w:eastAsia="宋体" w:cs="宋体"/>
          <w:bCs/>
          <w:color w:val="auto"/>
          <w:sz w:val="21"/>
          <w:szCs w:val="21"/>
          <w:highlight w:val="none"/>
        </w:rPr>
        <w:t>发包人</w:t>
      </w:r>
      <w:r>
        <w:rPr>
          <w:rFonts w:hint="eastAsia" w:ascii="宋体" w:hAnsi="宋体" w:eastAsia="宋体" w:cs="宋体"/>
          <w:color w:val="auto"/>
          <w:sz w:val="21"/>
          <w:szCs w:val="21"/>
          <w:highlight w:val="none"/>
        </w:rPr>
        <w:t>向承包人免费提供满足工程施工需要的场内道路和交通设施的约定：</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 xml:space="preserve">。  </w:t>
      </w:r>
    </w:p>
    <w:p w14:paraId="272E433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1.10.4超大件和超重件的运输</w:t>
      </w:r>
    </w:p>
    <w:p w14:paraId="4FAF4AE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运输超大件或超重件所需的道路和桥梁临时加固改造费用和其他有关费用由</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sz w:val="21"/>
          <w:szCs w:val="21"/>
          <w:highlight w:val="none"/>
        </w:rPr>
        <w:t>承担。</w:t>
      </w:r>
    </w:p>
    <w:p w14:paraId="2166EB8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 知识产权</w:t>
      </w:r>
    </w:p>
    <w:p w14:paraId="6B510B1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1.11.1关于</w:t>
      </w:r>
      <w:r>
        <w:rPr>
          <w:rFonts w:hint="eastAsia" w:ascii="宋体" w:hAnsi="宋体" w:eastAsia="宋体" w:cs="宋体"/>
          <w:bCs/>
          <w:color w:val="auto"/>
          <w:sz w:val="21"/>
          <w:szCs w:val="21"/>
          <w:highlight w:val="none"/>
        </w:rPr>
        <w:t>发包人</w:t>
      </w:r>
      <w:r>
        <w:rPr>
          <w:rFonts w:hint="eastAsia" w:ascii="宋体" w:hAnsi="宋体" w:eastAsia="宋体" w:cs="宋体"/>
          <w:color w:val="auto"/>
          <w:sz w:val="21"/>
          <w:szCs w:val="21"/>
          <w:highlight w:val="none"/>
        </w:rPr>
        <w:t>提供给承包人的图纸、发包人为实施工程自行编制或委托编制的技术规范以及反映</w:t>
      </w:r>
      <w:r>
        <w:rPr>
          <w:rFonts w:hint="eastAsia" w:ascii="宋体" w:hAnsi="宋体" w:eastAsia="宋体" w:cs="宋体"/>
          <w:bCs/>
          <w:color w:val="auto"/>
          <w:sz w:val="21"/>
          <w:szCs w:val="21"/>
          <w:highlight w:val="none"/>
        </w:rPr>
        <w:t>发包人</w:t>
      </w:r>
      <w:r>
        <w:rPr>
          <w:rFonts w:hint="eastAsia" w:ascii="宋体" w:hAnsi="宋体" w:eastAsia="宋体" w:cs="宋体"/>
          <w:color w:val="auto"/>
          <w:sz w:val="21"/>
          <w:szCs w:val="21"/>
          <w:highlight w:val="none"/>
        </w:rPr>
        <w:t>关于合同要求或其他类似性质的文件的著作权的归属：</w:t>
      </w:r>
      <w:r>
        <w:rPr>
          <w:rFonts w:hint="eastAsia" w:ascii="宋体" w:hAnsi="宋体" w:eastAsia="宋体" w:cs="宋体"/>
          <w:color w:val="auto"/>
          <w:sz w:val="21"/>
          <w:szCs w:val="21"/>
          <w:highlight w:val="none"/>
          <w:u w:val="single"/>
        </w:rPr>
        <w:t>发包人</w:t>
      </w:r>
      <w:r>
        <w:rPr>
          <w:rFonts w:hint="eastAsia" w:ascii="宋体" w:hAnsi="宋体" w:eastAsia="宋体" w:cs="宋体"/>
          <w:color w:val="auto"/>
          <w:sz w:val="21"/>
          <w:szCs w:val="21"/>
          <w:highlight w:val="none"/>
        </w:rPr>
        <w:t>。</w:t>
      </w:r>
    </w:p>
    <w:p w14:paraId="63965AE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w:t>
      </w:r>
      <w:r>
        <w:rPr>
          <w:rFonts w:hint="eastAsia" w:ascii="宋体" w:hAnsi="宋体" w:eastAsia="宋体" w:cs="宋体"/>
          <w:bCs/>
          <w:color w:val="auto"/>
          <w:sz w:val="21"/>
          <w:szCs w:val="21"/>
          <w:highlight w:val="none"/>
        </w:rPr>
        <w:t>发包人</w:t>
      </w:r>
      <w:r>
        <w:rPr>
          <w:rFonts w:hint="eastAsia" w:ascii="宋体" w:hAnsi="宋体" w:eastAsia="宋体" w:cs="宋体"/>
          <w:color w:val="auto"/>
          <w:sz w:val="21"/>
          <w:szCs w:val="21"/>
          <w:highlight w:val="none"/>
        </w:rPr>
        <w:t>提供的上述文件的使用限制的要求：</w:t>
      </w:r>
      <w:r>
        <w:rPr>
          <w:rFonts w:hint="eastAsia" w:ascii="宋体" w:hAnsi="宋体" w:eastAsia="宋体" w:cs="宋体"/>
          <w:color w:val="auto"/>
          <w:sz w:val="21"/>
          <w:szCs w:val="21"/>
          <w:highlight w:val="none"/>
          <w:u w:val="single"/>
        </w:rPr>
        <w:t xml:space="preserve"> 施工期间 </w:t>
      </w:r>
      <w:r>
        <w:rPr>
          <w:rFonts w:hint="eastAsia" w:ascii="宋体" w:hAnsi="宋体" w:eastAsia="宋体" w:cs="宋体"/>
          <w:color w:val="auto"/>
          <w:sz w:val="21"/>
          <w:szCs w:val="21"/>
          <w:highlight w:val="none"/>
        </w:rPr>
        <w:t>。</w:t>
      </w:r>
    </w:p>
    <w:p w14:paraId="365DA1A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1.11.2 关于承包人为实施工程所编制文件的著作权的归属：</w:t>
      </w:r>
      <w:r>
        <w:rPr>
          <w:rFonts w:hint="eastAsia" w:ascii="宋体" w:hAnsi="宋体" w:eastAsia="宋体" w:cs="宋体"/>
          <w:color w:val="auto"/>
          <w:sz w:val="21"/>
          <w:szCs w:val="21"/>
          <w:highlight w:val="none"/>
          <w:u w:val="single"/>
        </w:rPr>
        <w:t>发包人</w:t>
      </w:r>
      <w:r>
        <w:rPr>
          <w:rFonts w:hint="eastAsia" w:ascii="宋体" w:hAnsi="宋体" w:eastAsia="宋体" w:cs="宋体"/>
          <w:color w:val="auto"/>
          <w:sz w:val="21"/>
          <w:szCs w:val="21"/>
          <w:highlight w:val="none"/>
        </w:rPr>
        <w:t>。</w:t>
      </w:r>
    </w:p>
    <w:p w14:paraId="714CF15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关于承包人提供的上述文件的使用限制的要求：</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68C9E9A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1.11.4 承包人在施工过程中所采用的专利、专有技术、技术秘密的使用费的承担方式：</w:t>
      </w:r>
      <w:r>
        <w:rPr>
          <w:rFonts w:hint="eastAsia" w:ascii="宋体" w:hAnsi="宋体" w:eastAsia="宋体" w:cs="宋体"/>
          <w:color w:val="auto"/>
          <w:sz w:val="21"/>
          <w:szCs w:val="21"/>
          <w:highlight w:val="none"/>
          <w:u w:val="single"/>
        </w:rPr>
        <w:t>承包人自行承担</w:t>
      </w:r>
      <w:r>
        <w:rPr>
          <w:rFonts w:hint="eastAsia" w:ascii="宋体" w:hAnsi="宋体" w:eastAsia="宋体" w:cs="宋体"/>
          <w:color w:val="auto"/>
          <w:sz w:val="21"/>
          <w:szCs w:val="21"/>
          <w:highlight w:val="none"/>
        </w:rPr>
        <w:t>。</w:t>
      </w:r>
    </w:p>
    <w:p w14:paraId="635D860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1.13工程量清单错误的修正</w:t>
      </w:r>
    </w:p>
    <w:p w14:paraId="5FD94A3A">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出现工程量清单错误时，是否调整合同价格：</w:t>
      </w:r>
      <w:r>
        <w:rPr>
          <w:rFonts w:hint="eastAsia" w:ascii="宋体" w:hAnsi="宋体" w:eastAsia="宋体" w:cs="宋体"/>
          <w:color w:val="auto"/>
          <w:sz w:val="21"/>
          <w:szCs w:val="21"/>
          <w:highlight w:val="none"/>
          <w:u w:val="single"/>
        </w:rPr>
        <w:t xml:space="preserve">  调整，但施工过程中不予调整 </w:t>
      </w:r>
      <w:r>
        <w:rPr>
          <w:rFonts w:hint="eastAsia" w:ascii="宋体" w:hAnsi="宋体" w:eastAsia="宋体" w:cs="宋体"/>
          <w:color w:val="auto"/>
          <w:sz w:val="21"/>
          <w:szCs w:val="21"/>
          <w:highlight w:val="none"/>
        </w:rPr>
        <w:t>。</w:t>
      </w:r>
    </w:p>
    <w:p w14:paraId="35FF3323">
      <w:pPr>
        <w:spacing w:line="360" w:lineRule="auto"/>
        <w:ind w:firstLine="422" w:firstLineChars="200"/>
        <w:outlineLvl w:val="0"/>
        <w:rPr>
          <w:rFonts w:hint="eastAsia" w:ascii="宋体" w:hAnsi="宋体" w:eastAsia="宋体" w:cs="宋体"/>
          <w:b/>
          <w:color w:val="auto"/>
          <w:sz w:val="21"/>
          <w:szCs w:val="21"/>
          <w:highlight w:val="none"/>
        </w:rPr>
      </w:pPr>
      <w:bookmarkStart w:id="78" w:name="_Toc96951635"/>
      <w:bookmarkStart w:id="79" w:name="_Toc96951755"/>
      <w:bookmarkStart w:id="80" w:name="_Toc123820509"/>
      <w:r>
        <w:rPr>
          <w:rFonts w:hint="eastAsia" w:ascii="宋体" w:hAnsi="宋体" w:eastAsia="宋体" w:cs="宋体"/>
          <w:b/>
          <w:color w:val="auto"/>
          <w:sz w:val="21"/>
          <w:szCs w:val="21"/>
          <w:highlight w:val="none"/>
        </w:rPr>
        <w:t>允许调整合同价格的工程量偏差范围：</w:t>
      </w:r>
      <w:bookmarkEnd w:id="78"/>
      <w:bookmarkEnd w:id="79"/>
      <w:bookmarkEnd w:id="80"/>
      <w:bookmarkStart w:id="81" w:name="_Toc96951636"/>
      <w:bookmarkStart w:id="82" w:name="_Toc123820510"/>
      <w:bookmarkStart w:id="83" w:name="_Toc96951756"/>
      <w:r>
        <w:rPr>
          <w:rFonts w:hint="eastAsia" w:ascii="宋体" w:hAnsi="宋体" w:eastAsia="宋体" w:cs="宋体"/>
          <w:b w:val="0"/>
          <w:bCs/>
          <w:i w:val="0"/>
          <w:iCs w:val="0"/>
          <w:color w:val="auto"/>
          <w:sz w:val="21"/>
          <w:szCs w:val="21"/>
          <w:highlight w:val="none"/>
          <w:u w:val="single"/>
        </w:rPr>
        <w:t>竣工结算时，结算工程量根据《建设工程工程量清单计价规范》（GB50500-2013）、竣工资料（包括竣工图、设计变更图纸、设计变更联系单、</w:t>
      </w:r>
      <w:r>
        <w:rPr>
          <w:rFonts w:hint="eastAsia" w:ascii="宋体" w:hAnsi="宋体" w:eastAsia="宋体" w:cs="宋体"/>
          <w:color w:val="auto"/>
          <w:sz w:val="21"/>
          <w:szCs w:val="21"/>
          <w:highlight w:val="none"/>
          <w:u w:val="single"/>
        </w:rPr>
        <w:t>发包人</w:t>
      </w:r>
      <w:r>
        <w:rPr>
          <w:rFonts w:hint="eastAsia" w:ascii="宋体" w:hAnsi="宋体" w:eastAsia="宋体" w:cs="宋体"/>
          <w:b w:val="0"/>
          <w:bCs/>
          <w:i w:val="0"/>
          <w:iCs w:val="0"/>
          <w:color w:val="auto"/>
          <w:sz w:val="21"/>
          <w:szCs w:val="21"/>
          <w:highlight w:val="none"/>
          <w:u w:val="single"/>
        </w:rPr>
        <w:t>认可的签证单、补充性文件）等按实结算（除明确一次性包干或结算不作调整的项目和费用外）。</w:t>
      </w:r>
    </w:p>
    <w:p w14:paraId="1F83B74B">
      <w:pPr>
        <w:spacing w:line="360" w:lineRule="auto"/>
        <w:ind w:firstLine="422" w:firstLineChars="200"/>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 发包人</w:t>
      </w:r>
      <w:bookmarkEnd w:id="81"/>
      <w:bookmarkEnd w:id="82"/>
      <w:bookmarkEnd w:id="83"/>
    </w:p>
    <w:p w14:paraId="70C70DD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 发包人代表</w:t>
      </w:r>
    </w:p>
    <w:p w14:paraId="5A3C32A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发包人代表：</w:t>
      </w:r>
    </w:p>
    <w:p w14:paraId="3E0795E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          </w:t>
      </w:r>
      <w:r>
        <w:rPr>
          <w:rFonts w:hint="eastAsia" w:ascii="宋体" w:hAnsi="宋体" w:eastAsia="宋体" w:cs="宋体"/>
          <w:color w:val="auto"/>
          <w:sz w:val="21"/>
          <w:szCs w:val="21"/>
          <w:highlight w:val="none"/>
        </w:rPr>
        <w:t>；</w:t>
      </w:r>
    </w:p>
    <w:p w14:paraId="416C673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w:t>
      </w:r>
      <w:r>
        <w:rPr>
          <w:rFonts w:hint="eastAsia" w:ascii="宋体" w:hAnsi="宋体" w:eastAsia="宋体" w:cs="宋体"/>
          <w:color w:val="auto"/>
          <w:sz w:val="21"/>
          <w:szCs w:val="21"/>
          <w:highlight w:val="none"/>
          <w:u w:val="single"/>
        </w:rPr>
        <w:t>       </w:t>
      </w:r>
      <w:r>
        <w:rPr>
          <w:rFonts w:hint="eastAsia" w:ascii="宋体" w:hAnsi="宋体" w:eastAsia="宋体" w:cs="宋体"/>
          <w:color w:val="auto"/>
          <w:sz w:val="21"/>
          <w:szCs w:val="21"/>
          <w:highlight w:val="none"/>
        </w:rPr>
        <w:t>；</w:t>
      </w:r>
    </w:p>
    <w:p w14:paraId="007B11C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14:paraId="039930E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   </w:t>
      </w:r>
      <w:r>
        <w:rPr>
          <w:rFonts w:hint="eastAsia" w:ascii="宋体" w:hAnsi="宋体" w:eastAsia="宋体" w:cs="宋体"/>
          <w:color w:val="auto"/>
          <w:sz w:val="21"/>
          <w:szCs w:val="21"/>
          <w:highlight w:val="none"/>
        </w:rPr>
        <w:t>；</w:t>
      </w:r>
    </w:p>
    <w:p w14:paraId="22E79A8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   </w:t>
      </w:r>
      <w:r>
        <w:rPr>
          <w:rFonts w:hint="eastAsia" w:ascii="宋体" w:hAnsi="宋体" w:eastAsia="宋体" w:cs="宋体"/>
          <w:color w:val="auto"/>
          <w:sz w:val="21"/>
          <w:szCs w:val="21"/>
          <w:highlight w:val="none"/>
        </w:rPr>
        <w:t>；</w:t>
      </w:r>
    </w:p>
    <w:p w14:paraId="1979157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14:paraId="4A994C32">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发包人对发包人代表的授权范围如下：</w:t>
      </w:r>
      <w:r>
        <w:rPr>
          <w:rFonts w:hint="eastAsia" w:ascii="宋体" w:hAnsi="宋体" w:eastAsia="宋体" w:cs="宋体"/>
          <w:color w:val="auto"/>
          <w:sz w:val="21"/>
          <w:szCs w:val="21"/>
          <w:highlight w:val="none"/>
          <w:u w:val="single"/>
        </w:rPr>
        <w:t>代表发包方行使工程现场管理的协调，对任何作为结算价款调整依据的工期、工程变更、签证单进行审核确认等</w:t>
      </w:r>
      <w:r>
        <w:rPr>
          <w:rFonts w:hint="eastAsia" w:ascii="宋体" w:hAnsi="宋体" w:eastAsia="宋体" w:cs="宋体"/>
          <w:color w:val="auto"/>
          <w:sz w:val="21"/>
          <w:szCs w:val="21"/>
          <w:highlight w:val="none"/>
        </w:rPr>
        <w:t>。</w:t>
      </w:r>
    </w:p>
    <w:p w14:paraId="242D6A7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 施工现场、施工条件和基础资料的提供</w:t>
      </w:r>
    </w:p>
    <w:p w14:paraId="39378C3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 提供施工现场</w:t>
      </w:r>
    </w:p>
    <w:p w14:paraId="7B60C90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关于发包人移交施工现场的期限要求：</w:t>
      </w:r>
      <w:r>
        <w:rPr>
          <w:rFonts w:hint="eastAsia" w:ascii="宋体" w:hAnsi="宋体" w:eastAsia="宋体" w:cs="宋体"/>
          <w:color w:val="auto"/>
          <w:sz w:val="21"/>
          <w:szCs w:val="21"/>
          <w:highlight w:val="none"/>
          <w:u w:val="single"/>
        </w:rPr>
        <w:t>开工日期7天前</w:t>
      </w:r>
      <w:r>
        <w:rPr>
          <w:rFonts w:hint="eastAsia" w:ascii="宋体" w:hAnsi="宋体" w:eastAsia="宋体" w:cs="宋体"/>
          <w:color w:val="auto"/>
          <w:sz w:val="21"/>
          <w:szCs w:val="21"/>
          <w:highlight w:val="none"/>
        </w:rPr>
        <w:t>。</w:t>
      </w:r>
    </w:p>
    <w:p w14:paraId="7530757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 提供施工条件</w:t>
      </w:r>
    </w:p>
    <w:p w14:paraId="4B3E5E4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关于发包人应负责提供施工所需要的条件，包括：</w:t>
      </w:r>
    </w:p>
    <w:p w14:paraId="52F2CE28">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（1）施工场地具备施工条件的要求及完成的时间：</w:t>
      </w:r>
      <w:r>
        <w:rPr>
          <w:rFonts w:hint="eastAsia" w:ascii="宋体" w:hAnsi="宋体" w:eastAsia="宋体" w:cs="宋体"/>
          <w:color w:val="auto"/>
          <w:sz w:val="21"/>
          <w:szCs w:val="21"/>
          <w:highlight w:val="none"/>
          <w:u w:val="single"/>
        </w:rPr>
        <w:t>施工现场已具备开工条件，有关进场准备的工作，由承包人根据本工程施工要求在开工前做好此项工程，费用已含在承包人的投标报价中。</w:t>
      </w:r>
    </w:p>
    <w:p w14:paraId="79AE59E7">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（2）将施工所需的水、电、电讯线路接至施工现场的时间、地点和供应要求：</w:t>
      </w:r>
      <w:r>
        <w:rPr>
          <w:rFonts w:hint="eastAsia" w:ascii="宋体" w:hAnsi="宋体" w:eastAsia="宋体" w:cs="宋体"/>
          <w:b/>
          <w:bCs/>
          <w:color w:val="auto"/>
          <w:sz w:val="21"/>
          <w:szCs w:val="21"/>
          <w:highlight w:val="none"/>
          <w:u w:val="single"/>
          <w:lang w:val="en-US" w:eastAsia="zh-CN"/>
        </w:rPr>
        <w:t>用水、用电由投标人自行解决，相应费用考虑在报价中。投标人应充分考虑停电因素，现场停电因素而投入的自发电设备、发电所需燃料及相关费用应包括在投标报价中，结算时不另增加费用</w:t>
      </w:r>
      <w:r>
        <w:rPr>
          <w:rFonts w:hint="eastAsia" w:ascii="宋体" w:hAnsi="宋体" w:eastAsia="宋体" w:cs="宋体"/>
          <w:b/>
          <w:bCs/>
          <w:color w:val="auto"/>
          <w:sz w:val="21"/>
          <w:szCs w:val="21"/>
          <w:highlight w:val="none"/>
          <w:u w:val="single"/>
        </w:rPr>
        <w:t>。</w:t>
      </w:r>
    </w:p>
    <w:p w14:paraId="0AEE56CE">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（3）施工现场与公共道路的通道开通时间和要求：</w:t>
      </w:r>
      <w:r>
        <w:rPr>
          <w:rFonts w:hint="eastAsia" w:ascii="宋体" w:hAnsi="宋体" w:eastAsia="宋体" w:cs="宋体"/>
          <w:color w:val="auto"/>
          <w:sz w:val="21"/>
          <w:szCs w:val="21"/>
          <w:highlight w:val="none"/>
          <w:u w:val="single"/>
        </w:rPr>
        <w:t>施工临时道路、与公共道路连接的临时道路的修建、养护、拆除均由承包人自行解决，所发生的一切费用由承包人承担，已包括在投标报价中</w:t>
      </w:r>
      <w:r>
        <w:rPr>
          <w:rFonts w:hint="eastAsia" w:ascii="宋体" w:hAnsi="宋体" w:eastAsia="宋体" w:cs="宋体"/>
          <w:color w:val="auto"/>
          <w:sz w:val="21"/>
          <w:szCs w:val="21"/>
          <w:highlight w:val="none"/>
        </w:rPr>
        <w:t>。</w:t>
      </w:r>
    </w:p>
    <w:p w14:paraId="533BFD24">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（4）工程地质和地下管线资料的提供时间：</w:t>
      </w:r>
      <w:r>
        <w:rPr>
          <w:rFonts w:hint="eastAsia" w:ascii="宋体" w:hAnsi="宋体" w:eastAsia="宋体" w:cs="宋体"/>
          <w:color w:val="auto"/>
          <w:sz w:val="21"/>
          <w:szCs w:val="21"/>
          <w:highlight w:val="none"/>
          <w:u w:val="single"/>
        </w:rPr>
        <w:t>开工前由施工单位自行与各相关管线单位协调，及时对各相关管线单位的管线进行调查、摸底，施工单位根据自行协调的内容对相关管线进行核实和保护，所发生的一切费用由承包人承担，已包括在投标报价中。如施工期间地下管线有损坏，承包人将承担由此产生的一切费用。</w:t>
      </w:r>
    </w:p>
    <w:p w14:paraId="6CAA8245">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（5）由发包人办理的施工所需证件、批件的名称和完成时间：</w:t>
      </w:r>
      <w:r>
        <w:rPr>
          <w:rFonts w:hint="eastAsia" w:ascii="宋体" w:hAnsi="宋体" w:eastAsia="宋体" w:cs="宋体"/>
          <w:color w:val="auto"/>
          <w:sz w:val="21"/>
          <w:szCs w:val="21"/>
          <w:highlight w:val="none"/>
          <w:u w:val="single"/>
        </w:rPr>
        <w:t>按规定由发包人办理的各类证件，发包人应在某项工作需要此类证件时办理完毕，承包人需把有关情况及时提前告知发包人。需要承包人提供办理证件相关资料的，承包人必须协助发包人办理</w:t>
      </w:r>
      <w:r>
        <w:rPr>
          <w:rFonts w:hint="eastAsia" w:ascii="宋体" w:hAnsi="宋体" w:eastAsia="宋体" w:cs="宋体"/>
          <w:color w:val="auto"/>
          <w:sz w:val="21"/>
          <w:szCs w:val="21"/>
          <w:highlight w:val="none"/>
        </w:rPr>
        <w:t>。</w:t>
      </w:r>
    </w:p>
    <w:p w14:paraId="4CA069EF">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（6）水准点与坐标控制点交验要求：</w:t>
      </w:r>
      <w:r>
        <w:rPr>
          <w:rFonts w:hint="eastAsia" w:ascii="宋体" w:hAnsi="宋体" w:eastAsia="宋体" w:cs="宋体"/>
          <w:color w:val="auto"/>
          <w:sz w:val="21"/>
          <w:szCs w:val="21"/>
          <w:highlight w:val="none"/>
          <w:u w:val="single"/>
        </w:rPr>
        <w:t>开工前确定，由发包人以书面形式提供给承包人，并进行现场交验。</w:t>
      </w:r>
    </w:p>
    <w:p w14:paraId="30DA15B2">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（7）图纸会审和设计交底时间：</w:t>
      </w:r>
      <w:r>
        <w:rPr>
          <w:rFonts w:hint="eastAsia" w:ascii="宋体" w:hAnsi="宋体" w:eastAsia="宋体" w:cs="宋体"/>
          <w:color w:val="auto"/>
          <w:sz w:val="21"/>
          <w:szCs w:val="21"/>
          <w:highlight w:val="none"/>
          <w:u w:val="single"/>
        </w:rPr>
        <w:t>根据需要由双方协商确定时间。</w:t>
      </w:r>
    </w:p>
    <w:p w14:paraId="48A08623">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（8）协调处理施工场地周围地下管线和邻近建筑物、构筑物（含文物保护建筑）、古树名木的保护工作：</w:t>
      </w:r>
      <w:r>
        <w:rPr>
          <w:rFonts w:hint="eastAsia" w:ascii="宋体" w:hAnsi="宋体" w:eastAsia="宋体" w:cs="宋体"/>
          <w:color w:val="auto"/>
          <w:sz w:val="21"/>
          <w:szCs w:val="21"/>
          <w:highlight w:val="none"/>
          <w:u w:val="single"/>
        </w:rPr>
        <w:t>如遇上述情况时，承包人应提出具体保护实施方案，由发包人征得有关管理部门同意后，由承包人实施，所需费用，承包人已列入投标报价。</w:t>
      </w:r>
    </w:p>
    <w:p w14:paraId="1822E7D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 资金来源证明及支付担保</w:t>
      </w:r>
    </w:p>
    <w:p w14:paraId="151C76F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发包人提供资金来源证明的期限要求：</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1E0F8CC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发包人是否提供支付担保：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69DE09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发包人提供支付担保的形式：</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61D67449">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 承包人</w:t>
      </w:r>
    </w:p>
    <w:p w14:paraId="49CD6B5F">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 承包人的一般义务</w:t>
      </w:r>
    </w:p>
    <w:p w14:paraId="6895AA5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（5）承包人提交的竣工资料的内容：</w:t>
      </w:r>
      <w:r>
        <w:rPr>
          <w:rFonts w:hint="eastAsia" w:ascii="宋体" w:hAnsi="宋体" w:eastAsia="宋体" w:cs="宋体"/>
          <w:color w:val="auto"/>
          <w:sz w:val="21"/>
          <w:szCs w:val="21"/>
          <w:highlight w:val="none"/>
          <w:u w:val="single"/>
        </w:rPr>
        <w:t xml:space="preserve">按照法律法规规定的完整内容编制竣工资料，完成竣工资料立卷及归档 </w:t>
      </w:r>
      <w:r>
        <w:rPr>
          <w:rFonts w:hint="eastAsia" w:ascii="宋体" w:hAnsi="宋体" w:eastAsia="宋体" w:cs="宋体"/>
          <w:color w:val="auto"/>
          <w:sz w:val="21"/>
          <w:szCs w:val="21"/>
          <w:highlight w:val="none"/>
        </w:rPr>
        <w:t>。</w:t>
      </w:r>
    </w:p>
    <w:p w14:paraId="66CEC6C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承包人提供竣工图的约定：</w:t>
      </w:r>
    </w:p>
    <w:p w14:paraId="618A846A">
      <w:pPr>
        <w:spacing w:line="360" w:lineRule="auto"/>
        <w:ind w:firstLine="48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(1)施工中没有设计变更，施工后由承包人在发包人提供的施工图加盖竣工图章，提交发包人。</w:t>
      </w:r>
    </w:p>
    <w:p w14:paraId="218FB62F">
      <w:pPr>
        <w:spacing w:line="360" w:lineRule="auto"/>
        <w:ind w:firstLine="48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(2)施工中只有零星的少量变更，承包人在竣工图变更位置注明，并连同经发包人同意的变更签证，于竣工后由承包人加盖竣工图章交发包人。</w:t>
      </w:r>
    </w:p>
    <w:p w14:paraId="43480884">
      <w:pPr>
        <w:spacing w:line="360" w:lineRule="auto"/>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(3)施工中对原设计变更较多，原施工图难于作为竣工图，应由承包人组织重新绘制竣工图并承担相应费用。</w:t>
      </w:r>
    </w:p>
    <w:p w14:paraId="426976C0">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承包人需要提交的竣工资料套数：</w:t>
      </w:r>
      <w:r>
        <w:rPr>
          <w:rFonts w:hint="eastAsia" w:ascii="宋体" w:hAnsi="宋体" w:eastAsia="宋体" w:cs="宋体"/>
          <w:color w:val="auto"/>
          <w:sz w:val="21"/>
          <w:szCs w:val="21"/>
          <w:highlight w:val="none"/>
          <w:u w:val="single"/>
        </w:rPr>
        <w:t xml:space="preserve">     4套    </w:t>
      </w:r>
      <w:r>
        <w:rPr>
          <w:rFonts w:hint="eastAsia" w:ascii="宋体" w:hAnsi="宋体" w:eastAsia="宋体" w:cs="宋体"/>
          <w:color w:val="auto"/>
          <w:sz w:val="21"/>
          <w:szCs w:val="21"/>
          <w:highlight w:val="none"/>
        </w:rPr>
        <w:t>。</w:t>
      </w:r>
    </w:p>
    <w:p w14:paraId="01B40A3C">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承包人提交的竣工资料的费用承担：</w:t>
      </w:r>
      <w:r>
        <w:rPr>
          <w:rFonts w:hint="eastAsia" w:ascii="宋体" w:hAnsi="宋体" w:eastAsia="宋体" w:cs="宋体"/>
          <w:color w:val="auto"/>
          <w:sz w:val="21"/>
          <w:szCs w:val="21"/>
          <w:highlight w:val="none"/>
          <w:u w:val="single"/>
        </w:rPr>
        <w:t xml:space="preserve">    由承包人承担      </w:t>
      </w:r>
      <w:r>
        <w:rPr>
          <w:rFonts w:hint="eastAsia" w:ascii="宋体" w:hAnsi="宋体" w:eastAsia="宋体" w:cs="宋体"/>
          <w:color w:val="auto"/>
          <w:sz w:val="21"/>
          <w:szCs w:val="21"/>
          <w:highlight w:val="none"/>
        </w:rPr>
        <w:t>。</w:t>
      </w:r>
    </w:p>
    <w:p w14:paraId="518880D2">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承包人提交的竣工资料移交时间：</w:t>
      </w:r>
      <w:r>
        <w:rPr>
          <w:rFonts w:hint="eastAsia" w:ascii="宋体" w:hAnsi="宋体" w:eastAsia="宋体" w:cs="宋体"/>
          <w:color w:val="auto"/>
          <w:sz w:val="21"/>
          <w:szCs w:val="21"/>
          <w:highlight w:val="none"/>
          <w:u w:val="single"/>
        </w:rPr>
        <w:t xml:space="preserve">   在提供竣工报告后一个月内   </w:t>
      </w:r>
      <w:r>
        <w:rPr>
          <w:rFonts w:hint="eastAsia" w:ascii="宋体" w:hAnsi="宋体" w:eastAsia="宋体" w:cs="宋体"/>
          <w:color w:val="auto"/>
          <w:sz w:val="21"/>
          <w:szCs w:val="21"/>
          <w:highlight w:val="none"/>
        </w:rPr>
        <w:t>。</w:t>
      </w:r>
    </w:p>
    <w:p w14:paraId="41B9D3BC">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承包人提交的竣工资料形式要求：</w:t>
      </w:r>
      <w:r>
        <w:rPr>
          <w:rFonts w:hint="eastAsia" w:ascii="宋体" w:hAnsi="宋体" w:eastAsia="宋体" w:cs="宋体"/>
          <w:color w:val="auto"/>
          <w:sz w:val="21"/>
          <w:szCs w:val="21"/>
          <w:highlight w:val="none"/>
          <w:u w:val="single"/>
        </w:rPr>
        <w:t xml:space="preserve">     纸质3套，电子文档1套     </w:t>
      </w:r>
      <w:r>
        <w:rPr>
          <w:rFonts w:hint="eastAsia" w:ascii="宋体" w:hAnsi="宋体" w:eastAsia="宋体" w:cs="宋体"/>
          <w:color w:val="auto"/>
          <w:sz w:val="21"/>
          <w:szCs w:val="21"/>
          <w:highlight w:val="none"/>
        </w:rPr>
        <w:t>。</w:t>
      </w:r>
    </w:p>
    <w:p w14:paraId="2E807E15">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（6）承包人应履行的其他义务：</w:t>
      </w:r>
    </w:p>
    <w:p w14:paraId="73443AF3">
      <w:pPr>
        <w:spacing w:line="360" w:lineRule="auto"/>
        <w:ind w:firstLine="48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1、每月25日前提供施工进度计划和相应的工程量报表。除每月提供外，如果监理或发包人要求临时提供某些报表和资料，承包人应无条件按监理和发包人要求提供此类报表和资料。</w:t>
      </w:r>
    </w:p>
    <w:p w14:paraId="4A55932F">
      <w:pPr>
        <w:spacing w:line="360" w:lineRule="auto"/>
        <w:ind w:firstLine="480"/>
        <w:rPr>
          <w:rFonts w:hint="eastAsia" w:ascii="宋体" w:hAnsi="宋体" w:eastAsia="宋体" w:cs="宋体"/>
          <w:color w:val="auto"/>
          <w:sz w:val="21"/>
          <w:szCs w:val="21"/>
          <w:highlight w:val="none"/>
          <w:u w:val="single"/>
          <w:lang w:val="zh-CN"/>
        </w:rPr>
      </w:pPr>
      <w:r>
        <w:rPr>
          <w:rFonts w:hint="eastAsia" w:ascii="宋体" w:hAnsi="宋体" w:eastAsia="宋体" w:cs="宋体"/>
          <w:color w:val="auto"/>
          <w:sz w:val="21"/>
          <w:szCs w:val="21"/>
          <w:highlight w:val="none"/>
          <w:u w:val="single"/>
          <w:lang w:val="zh-CN"/>
        </w:rPr>
        <w:t>2、承包人按当地建筑工地文明施工管理相关规定执行并承担施工安全保卫工作及夜间施工照明。</w:t>
      </w:r>
    </w:p>
    <w:p w14:paraId="69A86515">
      <w:pPr>
        <w:spacing w:line="360" w:lineRule="auto"/>
        <w:ind w:firstLine="48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val="zh-CN"/>
        </w:rPr>
        <w:t>3、遵守地方政府和有关部门对施工场地交通、环卫和施工噪音等管理规定。所有手续的费用由承包人承担。承包人应采取有效措施尽量减小尘土和噪音污染，需要进行夜间作业时应经</w:t>
      </w:r>
      <w:r>
        <w:rPr>
          <w:rFonts w:hint="eastAsia" w:ascii="宋体" w:hAnsi="宋体" w:eastAsia="宋体" w:cs="宋体"/>
          <w:color w:val="auto"/>
          <w:sz w:val="21"/>
          <w:szCs w:val="21"/>
          <w:highlight w:val="none"/>
          <w:u w:val="single"/>
        </w:rPr>
        <w:t>发包人</w:t>
      </w:r>
      <w:r>
        <w:rPr>
          <w:rFonts w:hint="eastAsia" w:ascii="宋体" w:hAnsi="宋体" w:eastAsia="宋体" w:cs="宋体"/>
          <w:color w:val="auto"/>
          <w:sz w:val="21"/>
          <w:szCs w:val="21"/>
          <w:highlight w:val="none"/>
          <w:u w:val="single"/>
          <w:lang w:val="zh-CN"/>
        </w:rPr>
        <w:t>批准。按监理要求标化管理及环保要求实施施工管理并承担相关费用，发包人给予配合。</w:t>
      </w:r>
    </w:p>
    <w:p w14:paraId="448F2A32">
      <w:pPr>
        <w:spacing w:line="360" w:lineRule="auto"/>
        <w:ind w:firstLine="48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4、在整个工程竣工验收并移交给发包人之前，承包人应按规定自行保护好承包范围内的已完工程的任何一部份或整体。此类费用由承包人承担。</w:t>
      </w:r>
    </w:p>
    <w:p w14:paraId="6DA85910">
      <w:pPr>
        <w:spacing w:line="360" w:lineRule="auto"/>
        <w:ind w:firstLine="48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5、施工期间承包人应按规定做好施工场地清洁卫生工作。竣工后剩余的任何材料和物品除属于发包人的外，承包人均应迅速撤除。竣工验收，工程移交之前，承包人仍须承担成品保护、保洁、安全等工作，此类费用由承包人承担。</w:t>
      </w:r>
    </w:p>
    <w:p w14:paraId="594525A1">
      <w:pPr>
        <w:spacing w:line="360" w:lineRule="auto"/>
        <w:ind w:firstLine="48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6、施工期间承包人应按规定做好施工场地清洁卫生工作。竣工后剩余的任何材料和物品除属于发包人的外，承包人均应迅速撤除。竣工验收，工程移交之前，承包人仍须承担成品保护、保洁、安全等工作，此类费用由承包人承担。</w:t>
      </w:r>
    </w:p>
    <w:p w14:paraId="34534780">
      <w:pPr>
        <w:spacing w:line="360" w:lineRule="auto"/>
        <w:ind w:firstLine="48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7、</w:t>
      </w:r>
      <w:r>
        <w:rPr>
          <w:rFonts w:hint="eastAsia" w:ascii="宋体" w:hAnsi="宋体" w:eastAsia="宋体" w:cs="宋体"/>
          <w:color w:val="auto"/>
          <w:sz w:val="21"/>
          <w:szCs w:val="21"/>
          <w:highlight w:val="none"/>
          <w:u w:val="single"/>
          <w:lang w:val="zh-CN"/>
        </w:rPr>
        <w:t>提供施工许可手续办理的必备资料，协助</w:t>
      </w:r>
      <w:r>
        <w:rPr>
          <w:rFonts w:hint="eastAsia" w:ascii="宋体" w:hAnsi="宋体" w:eastAsia="宋体" w:cs="宋体"/>
          <w:color w:val="auto"/>
          <w:sz w:val="21"/>
          <w:szCs w:val="21"/>
          <w:highlight w:val="none"/>
          <w:u w:val="single"/>
        </w:rPr>
        <w:t>发包人</w:t>
      </w:r>
      <w:r>
        <w:rPr>
          <w:rFonts w:hint="eastAsia" w:ascii="宋体" w:hAnsi="宋体" w:eastAsia="宋体" w:cs="宋体"/>
          <w:color w:val="auto"/>
          <w:sz w:val="21"/>
          <w:szCs w:val="21"/>
          <w:highlight w:val="none"/>
          <w:u w:val="single"/>
          <w:lang w:val="zh-CN"/>
        </w:rPr>
        <w:t>办理施工许可证；</w:t>
      </w:r>
      <w:r>
        <w:rPr>
          <w:rFonts w:hint="eastAsia" w:ascii="宋体" w:hAnsi="宋体" w:eastAsia="宋体" w:cs="宋体"/>
          <w:color w:val="auto"/>
          <w:sz w:val="21"/>
          <w:szCs w:val="21"/>
          <w:highlight w:val="none"/>
          <w:u w:val="single"/>
        </w:rPr>
        <w:t>确保安全生产，文明施工，派驻现场的主要施工管理人员必须与投标文件相同。</w:t>
      </w:r>
    </w:p>
    <w:p w14:paraId="684F4A7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 项目经理</w:t>
      </w:r>
    </w:p>
    <w:p w14:paraId="5A53071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3.2.1 项目经理：</w:t>
      </w:r>
    </w:p>
    <w:p w14:paraId="22D7E39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         </w:t>
      </w:r>
      <w:r>
        <w:rPr>
          <w:rFonts w:hint="eastAsia" w:ascii="宋体" w:hAnsi="宋体" w:eastAsia="宋体" w:cs="宋体"/>
          <w:color w:val="auto"/>
          <w:sz w:val="21"/>
          <w:szCs w:val="21"/>
          <w:highlight w:val="none"/>
        </w:rPr>
        <w:t>；</w:t>
      </w:r>
    </w:p>
    <w:p w14:paraId="4D3A5ED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14:paraId="200D57F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项目负责人执业资格等级：</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3056A96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项目负责人注册证书号：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1A6793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项目负责人执业印章号：</w:t>
      </w:r>
      <w:r>
        <w:rPr>
          <w:rFonts w:hint="eastAsia" w:ascii="宋体" w:hAnsi="宋体" w:eastAsia="宋体" w:cs="宋体"/>
          <w:color w:val="auto"/>
          <w:sz w:val="21"/>
          <w:szCs w:val="21"/>
          <w:highlight w:val="none"/>
          <w:u w:val="single"/>
        </w:rPr>
        <w:t xml:space="preserve">                     </w:t>
      </w:r>
      <w:r>
        <w:rPr>
          <w:rFonts w:hint="eastAsia" w:ascii="宋体" w:hAnsi="宋体" w:eastAsia="宋体" w:cs="宋体"/>
          <w:color w:val="auto"/>
          <w:sz w:val="21"/>
          <w:szCs w:val="21"/>
          <w:highlight w:val="none"/>
        </w:rPr>
        <w:t>；</w:t>
      </w:r>
    </w:p>
    <w:p w14:paraId="4D1FFE2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安全生产考核合格证书号：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4307DA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EB06EE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14:paraId="5F58C12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14:paraId="03BE2A67">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承包人对项目经理的授权范围如下：</w:t>
      </w:r>
      <w:r>
        <w:rPr>
          <w:rFonts w:hint="eastAsia" w:ascii="宋体" w:hAnsi="宋体" w:eastAsia="宋体" w:cs="宋体"/>
          <w:color w:val="auto"/>
          <w:sz w:val="21"/>
          <w:szCs w:val="21"/>
          <w:highlight w:val="none"/>
          <w:u w:val="single"/>
        </w:rPr>
        <w:t>授予项目经理在紧急情况下的临时处置权，但应受到以下四个方面的限制：</w:t>
      </w:r>
    </w:p>
    <w:p w14:paraId="149823E9">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（1）只有在涉及工程及工程有关的人身和财产安全的情况下项目经理才能行使该项权力；</w:t>
      </w:r>
    </w:p>
    <w:p w14:paraId="31F63043">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（2）项目经理只有在同时无法联系到发包人代表或总监理工程师的情况下才能行使该项权力；</w:t>
      </w:r>
    </w:p>
    <w:p w14:paraId="4322F4E6">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（3）项目经理行使该项权力所采取的措施必要合理得当，而不能随意采取不必要的措施；</w:t>
      </w:r>
    </w:p>
    <w:p w14:paraId="231A4727">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4）项目经理在采取措施后及时向监理人和发包人代表报告全部情况。如果项目经理行使临时处置权不符合四项中的任何一项，发包人可以主张由承包人承担因项目经理行使临时处置权而增加的费用或延误的工期责任。</w:t>
      </w:r>
    </w:p>
    <w:p w14:paraId="0588156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关于项目经理每月在施工现场的时间要求：</w:t>
      </w:r>
      <w:r>
        <w:rPr>
          <w:rFonts w:hint="eastAsia" w:ascii="宋体" w:hAnsi="宋体" w:eastAsia="宋体" w:cs="宋体"/>
          <w:color w:val="auto"/>
          <w:sz w:val="21"/>
          <w:szCs w:val="21"/>
          <w:highlight w:val="none"/>
          <w:u w:val="single"/>
        </w:rPr>
        <w:t>项目经理必须按照发包人要求进行考核，每月到施工现场的时间不少于22天</w:t>
      </w:r>
      <w:r>
        <w:rPr>
          <w:rFonts w:hint="eastAsia" w:ascii="宋体" w:hAnsi="宋体" w:eastAsia="宋体" w:cs="宋体"/>
          <w:color w:val="auto"/>
          <w:sz w:val="21"/>
          <w:szCs w:val="21"/>
          <w:highlight w:val="none"/>
        </w:rPr>
        <w:t>。</w:t>
      </w:r>
    </w:p>
    <w:p w14:paraId="35BC909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承包人未提交劳动合同，以及没有为项目经理缴纳社会保险证明的违约责任：</w:t>
      </w:r>
      <w:r>
        <w:rPr>
          <w:rFonts w:hint="eastAsia" w:ascii="宋体" w:hAnsi="宋体" w:eastAsia="宋体" w:cs="宋体"/>
          <w:color w:val="auto"/>
          <w:sz w:val="21"/>
          <w:szCs w:val="21"/>
          <w:highlight w:val="none"/>
          <w:u w:val="single"/>
        </w:rPr>
        <w:t>承包人不提交上述文件的，项目经理无权履行职责，发包人有权要求更换项目经理，由此增加的费用和（或）延误的工期由承包人承担。</w:t>
      </w:r>
    </w:p>
    <w:p w14:paraId="2EFB1AF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项目经理未经批准，离开施工现场的违约责任：</w:t>
      </w:r>
      <w:r>
        <w:rPr>
          <w:rFonts w:hint="eastAsia" w:ascii="宋体" w:hAnsi="宋体" w:eastAsia="宋体" w:cs="宋体"/>
          <w:color w:val="auto"/>
          <w:sz w:val="21"/>
          <w:szCs w:val="21"/>
          <w:highlight w:val="none"/>
          <w:u w:val="single"/>
        </w:rPr>
        <w:t>项目经理每月在本工地上班时间不足22天，以违约论，按每天</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000元支付违约金；考勤由监理方负责（项目经理应主动到监理方报到），须由总监理工程师签字确认，每月25日报发包方，发包方代表审核后直接作为扣除违约金的依据。项目经理长期不在岗，时间累计超过1个月，视为严重不履行合同，发包方可要求更换项目经理并对承包方处以人民币</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 xml:space="preserve">0000元的罚金，承包方承担由此给发包人造成的损失和（或）延误的工期。 </w:t>
      </w:r>
    </w:p>
    <w:p w14:paraId="5F514D9C">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3.2.3 承包人更换项目经理的违约责任：</w:t>
      </w:r>
      <w:r>
        <w:rPr>
          <w:rFonts w:hint="eastAsia" w:ascii="宋体" w:hAnsi="宋体" w:eastAsia="宋体" w:cs="宋体"/>
          <w:color w:val="auto"/>
          <w:sz w:val="21"/>
          <w:szCs w:val="21"/>
          <w:highlight w:val="none"/>
          <w:u w:val="single"/>
        </w:rPr>
        <w:t>处以人民币</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0000元的罚金并承担由此增加的费用和（或）延误的工期。</w:t>
      </w:r>
    </w:p>
    <w:p w14:paraId="7D9594CD">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3.2.4 承包人无正当理由拒绝更换项目经理的违约责任：</w:t>
      </w:r>
      <w:r>
        <w:rPr>
          <w:rFonts w:hint="eastAsia" w:ascii="宋体" w:hAnsi="宋体" w:eastAsia="宋体" w:cs="宋体"/>
          <w:color w:val="auto"/>
          <w:sz w:val="21"/>
          <w:szCs w:val="21"/>
          <w:highlight w:val="none"/>
          <w:u w:val="single"/>
        </w:rPr>
        <w:t>处以人民币</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0000元的罚金并承担由此增加的费用和（或）延误的工期。</w:t>
      </w:r>
    </w:p>
    <w:p w14:paraId="17D59DF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后项目经理变更的条件为：（1）因自身原因导致工程项目发生重大质量、安全事故的；（2）有违法、违规、违纪行为，被暂停或者吊销担任项目经理资格的；（3）不能胜任所承担的工程任务，发包人要求更换的；（4）变更工作单位的；（5）患严重疾病需要治疗或者修养，时间在一个月以上或者超过合同工期二分之一以上的。出现上述情形更换项目经理均视为承包人违约，发包人可对承包人处以人民币5万元的</w:t>
      </w:r>
      <w:r>
        <w:rPr>
          <w:rFonts w:hint="eastAsia" w:ascii="宋体" w:hAnsi="宋体" w:eastAsia="宋体" w:cs="宋体"/>
          <w:color w:val="auto"/>
          <w:sz w:val="21"/>
          <w:szCs w:val="21"/>
          <w:highlight w:val="none"/>
          <w:lang w:val="en-US" w:eastAsia="zh-CN"/>
        </w:rPr>
        <w:t>违约金</w:t>
      </w:r>
      <w:r>
        <w:rPr>
          <w:rFonts w:hint="eastAsia" w:ascii="宋体" w:hAnsi="宋体" w:eastAsia="宋体" w:cs="宋体"/>
          <w:color w:val="auto"/>
          <w:sz w:val="21"/>
          <w:szCs w:val="21"/>
          <w:highlight w:val="none"/>
        </w:rPr>
        <w:t>，承包人承担由此增加的费用和（或）延误的工期。</w:t>
      </w:r>
    </w:p>
    <w:p w14:paraId="00A74A3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合同约定的职责。</w:t>
      </w:r>
    </w:p>
    <w:p w14:paraId="792B76D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项目经理因特殊情况授权其下属人员履行其某项工作职责的，该下属人员应具备履行相应职责的能力，并应提前7天将上述人员的姓名和授权范围书面通知发包人和监理人，并征得发包人书面同意。</w:t>
      </w:r>
    </w:p>
    <w:p w14:paraId="767A157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 承包人人员</w:t>
      </w:r>
    </w:p>
    <w:p w14:paraId="1CFD92E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 承包人提交项目管理机构及施工现场管理人员安排报告的期限：</w:t>
      </w:r>
      <w:r>
        <w:rPr>
          <w:rFonts w:hint="eastAsia" w:ascii="宋体" w:hAnsi="宋体" w:eastAsia="宋体" w:cs="宋体"/>
          <w:color w:val="auto"/>
          <w:sz w:val="21"/>
          <w:szCs w:val="21"/>
          <w:highlight w:val="none"/>
          <w:u w:val="single"/>
        </w:rPr>
        <w:t>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2B1BBC21">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3.3.3 承包人无正当理由拒绝撤换主要施工管理人员的违约责任：</w:t>
      </w:r>
      <w:r>
        <w:rPr>
          <w:rFonts w:hint="eastAsia" w:ascii="宋体" w:hAnsi="宋体" w:eastAsia="宋体" w:cs="宋体"/>
          <w:color w:val="auto"/>
          <w:sz w:val="21"/>
          <w:szCs w:val="21"/>
          <w:highlight w:val="none"/>
          <w:u w:val="single"/>
        </w:rPr>
        <w:t>处以人民币</w:t>
      </w:r>
      <w:r>
        <w:rPr>
          <w:rFonts w:hint="eastAsia" w:ascii="宋体" w:hAnsi="宋体" w:eastAsia="宋体" w:cs="宋体"/>
          <w:color w:val="auto"/>
          <w:sz w:val="21"/>
          <w:szCs w:val="21"/>
          <w:highlight w:val="none"/>
          <w:u w:val="single"/>
          <w:lang w:val="en-US" w:eastAsia="zh-CN"/>
        </w:rPr>
        <w:t>1000</w:t>
      </w:r>
      <w:r>
        <w:rPr>
          <w:rFonts w:hint="eastAsia" w:ascii="宋体" w:hAnsi="宋体" w:eastAsia="宋体" w:cs="宋体"/>
          <w:color w:val="auto"/>
          <w:sz w:val="21"/>
          <w:szCs w:val="21"/>
          <w:highlight w:val="none"/>
          <w:u w:val="single"/>
        </w:rPr>
        <w:t>元的罚金并承担由此增加的费用和（或）延误的工期</w:t>
      </w:r>
      <w:r>
        <w:rPr>
          <w:rFonts w:hint="eastAsia" w:ascii="宋体" w:hAnsi="宋体" w:eastAsia="宋体" w:cs="宋体"/>
          <w:color w:val="auto"/>
          <w:sz w:val="21"/>
          <w:szCs w:val="21"/>
          <w:highlight w:val="none"/>
        </w:rPr>
        <w:t>。</w:t>
      </w:r>
    </w:p>
    <w:p w14:paraId="6FA0E30B">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3.3.4 承包人主要施工管理人员离开施工现场的批准要求：</w:t>
      </w:r>
      <w:r>
        <w:rPr>
          <w:rFonts w:hint="eastAsia" w:ascii="宋体" w:hAnsi="宋体" w:eastAsia="宋体" w:cs="宋体"/>
          <w:color w:val="auto"/>
          <w:sz w:val="21"/>
          <w:szCs w:val="21"/>
          <w:highlight w:val="none"/>
          <w:u w:val="single"/>
        </w:rPr>
        <w:t>按通用条款</w:t>
      </w:r>
      <w:r>
        <w:rPr>
          <w:rFonts w:hint="eastAsia" w:ascii="宋体" w:hAnsi="宋体" w:eastAsia="宋体" w:cs="宋体"/>
          <w:color w:val="auto"/>
          <w:sz w:val="21"/>
          <w:szCs w:val="21"/>
          <w:highlight w:val="none"/>
        </w:rPr>
        <w:t>。</w:t>
      </w:r>
    </w:p>
    <w:p w14:paraId="37D3A36E">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3.3.5承包人更换主要施工管理人员的违约责任：</w:t>
      </w:r>
      <w:r>
        <w:rPr>
          <w:rFonts w:hint="eastAsia" w:ascii="宋体" w:hAnsi="宋体" w:eastAsia="宋体" w:cs="宋体"/>
          <w:color w:val="auto"/>
          <w:sz w:val="21"/>
          <w:szCs w:val="21"/>
          <w:highlight w:val="none"/>
          <w:u w:val="single"/>
        </w:rPr>
        <w:t>按每人次人民币</w:t>
      </w:r>
      <w:r>
        <w:rPr>
          <w:rFonts w:hint="eastAsia" w:ascii="宋体" w:hAnsi="宋体" w:eastAsia="宋体" w:cs="宋体"/>
          <w:color w:val="auto"/>
          <w:sz w:val="21"/>
          <w:szCs w:val="21"/>
          <w:highlight w:val="none"/>
          <w:u w:val="single"/>
          <w:lang w:val="en-US" w:eastAsia="zh-CN"/>
        </w:rPr>
        <w:t>1000</w:t>
      </w:r>
      <w:r>
        <w:rPr>
          <w:rFonts w:hint="eastAsia" w:ascii="宋体" w:hAnsi="宋体" w:eastAsia="宋体" w:cs="宋体"/>
          <w:color w:val="auto"/>
          <w:sz w:val="21"/>
          <w:szCs w:val="21"/>
          <w:highlight w:val="none"/>
          <w:u w:val="single"/>
        </w:rPr>
        <w:t>元处以罚金并承担由此增加的费用和（或）延误的工期。</w:t>
      </w:r>
    </w:p>
    <w:p w14:paraId="59E1A9E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承包人主要施工管理人员离开施工现场的违约责任：</w:t>
      </w:r>
      <w:r>
        <w:rPr>
          <w:rFonts w:hint="eastAsia" w:ascii="宋体" w:hAnsi="宋体" w:eastAsia="宋体" w:cs="宋体"/>
          <w:color w:val="auto"/>
          <w:sz w:val="21"/>
          <w:szCs w:val="21"/>
          <w:highlight w:val="none"/>
          <w:u w:val="single"/>
        </w:rPr>
        <w:t>施工员、质量员、安全员、材料员、资料员每月在本工地上班时间不足25天，以违约论，按每人每天500元支付违约金。考勤由监理方负责（上述人员应主动到监理方报到），须由总监理工程师签字确认，每月25日报发包人，发包人代表审核后直接作为扣除违约金的依据。</w:t>
      </w:r>
    </w:p>
    <w:p w14:paraId="25DB942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 分包</w:t>
      </w:r>
    </w:p>
    <w:p w14:paraId="038505A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3.5.1 分包的一般约定</w:t>
      </w:r>
    </w:p>
    <w:p w14:paraId="6B281B3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禁止分包的工程包括：</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3B5B33A7">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主体结构、关键性工作的范围：</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45AF1CE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3.5.2分包的确定</w:t>
      </w:r>
    </w:p>
    <w:p w14:paraId="01D5AFFB">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允许分包的专业工程包括：</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70D9629C">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其他关于分包的约定：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457E000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3.5.4 分包合同价款</w:t>
      </w:r>
    </w:p>
    <w:p w14:paraId="13983C1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关于分包合同价款支付的约定：</w:t>
      </w:r>
      <w:r>
        <w:rPr>
          <w:rFonts w:hint="eastAsia" w:ascii="宋体" w:hAnsi="宋体" w:eastAsia="宋体" w:cs="宋体"/>
          <w:color w:val="auto"/>
          <w:sz w:val="21"/>
          <w:szCs w:val="21"/>
          <w:highlight w:val="none"/>
          <w:u w:val="single"/>
        </w:rPr>
        <w:t xml:space="preserve">按通用条款    </w:t>
      </w:r>
      <w:r>
        <w:rPr>
          <w:rFonts w:hint="eastAsia" w:ascii="宋体" w:hAnsi="宋体" w:eastAsia="宋体" w:cs="宋体"/>
          <w:color w:val="auto"/>
          <w:sz w:val="21"/>
          <w:szCs w:val="21"/>
          <w:highlight w:val="none"/>
        </w:rPr>
        <w:t>。</w:t>
      </w:r>
    </w:p>
    <w:p w14:paraId="6852C7C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 工程照管与成品、半成品保护</w:t>
      </w:r>
    </w:p>
    <w:p w14:paraId="6A5519F9">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承包人负责照管工程及工程相关的材料、工程设备的起始时间：</w:t>
      </w:r>
      <w:r>
        <w:rPr>
          <w:rFonts w:hint="eastAsia" w:ascii="宋体" w:hAnsi="宋体" w:eastAsia="宋体" w:cs="宋体"/>
          <w:color w:val="auto"/>
          <w:sz w:val="21"/>
          <w:szCs w:val="21"/>
          <w:highlight w:val="none"/>
          <w:u w:val="single"/>
        </w:rPr>
        <w:t xml:space="preserve">按通用条款 </w:t>
      </w:r>
      <w:r>
        <w:rPr>
          <w:rFonts w:hint="eastAsia" w:ascii="宋体" w:hAnsi="宋体" w:eastAsia="宋体" w:cs="宋体"/>
          <w:color w:val="auto"/>
          <w:sz w:val="21"/>
          <w:szCs w:val="21"/>
          <w:highlight w:val="none"/>
        </w:rPr>
        <w:t>。</w:t>
      </w:r>
    </w:p>
    <w:p w14:paraId="44483FD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 履约担保</w:t>
      </w:r>
    </w:p>
    <w:p w14:paraId="468C951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承</w:t>
      </w:r>
      <w:r>
        <w:rPr>
          <w:rFonts w:hint="eastAsia" w:ascii="宋体" w:hAnsi="宋体" w:eastAsia="宋体" w:cs="宋体"/>
          <w:color w:val="auto"/>
          <w:sz w:val="21"/>
          <w:szCs w:val="21"/>
          <w:highlight w:val="none"/>
        </w:rPr>
        <w:t>包人是否提供履约担保：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2B922B8">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承包人提供履约担保的形式、金额及期限的：</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w:t>
      </w:r>
    </w:p>
    <w:p w14:paraId="6D150460">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 监理人</w:t>
      </w:r>
    </w:p>
    <w:p w14:paraId="46BD814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4.1监理人的一般规定</w:t>
      </w:r>
    </w:p>
    <w:p w14:paraId="46A356E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关于监理人的监理内容：</w:t>
      </w:r>
      <w:r>
        <w:rPr>
          <w:rFonts w:hint="eastAsia" w:ascii="宋体" w:hAnsi="宋体" w:eastAsia="宋体" w:cs="宋体"/>
          <w:color w:val="auto"/>
          <w:sz w:val="21"/>
          <w:szCs w:val="21"/>
          <w:highlight w:val="none"/>
          <w:u w:val="single"/>
        </w:rPr>
        <w:t xml:space="preserve">       按监理合同         </w:t>
      </w:r>
      <w:r>
        <w:rPr>
          <w:rFonts w:hint="eastAsia" w:ascii="宋体" w:hAnsi="宋体" w:eastAsia="宋体" w:cs="宋体"/>
          <w:color w:val="auto"/>
          <w:sz w:val="21"/>
          <w:szCs w:val="21"/>
          <w:highlight w:val="none"/>
        </w:rPr>
        <w:t>。</w:t>
      </w:r>
    </w:p>
    <w:p w14:paraId="3DE0C05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关于监理人的监理权限：</w:t>
      </w:r>
      <w:r>
        <w:rPr>
          <w:rFonts w:hint="eastAsia" w:ascii="宋体" w:hAnsi="宋体" w:eastAsia="宋体" w:cs="宋体"/>
          <w:color w:val="auto"/>
          <w:sz w:val="21"/>
          <w:szCs w:val="21"/>
          <w:highlight w:val="none"/>
          <w:u w:val="single"/>
        </w:rPr>
        <w:t xml:space="preserve">       按监理合同         </w:t>
      </w:r>
      <w:r>
        <w:rPr>
          <w:rFonts w:hint="eastAsia" w:ascii="宋体" w:hAnsi="宋体" w:eastAsia="宋体" w:cs="宋体"/>
          <w:color w:val="auto"/>
          <w:sz w:val="21"/>
          <w:szCs w:val="21"/>
          <w:highlight w:val="none"/>
        </w:rPr>
        <w:t xml:space="preserve">。 </w:t>
      </w:r>
    </w:p>
    <w:p w14:paraId="036CA0B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关于监理人在施工现场的办公场所、生活场所的提供和费用承担的约定：</w:t>
      </w:r>
      <w:r>
        <w:rPr>
          <w:rFonts w:hint="eastAsia" w:ascii="宋体" w:hAnsi="宋体" w:eastAsia="宋体" w:cs="宋体"/>
          <w:color w:val="auto"/>
          <w:sz w:val="21"/>
          <w:szCs w:val="21"/>
          <w:highlight w:val="none"/>
          <w:u w:val="single"/>
        </w:rPr>
        <w:t>按监理合同</w:t>
      </w:r>
      <w:r>
        <w:rPr>
          <w:rFonts w:hint="eastAsia" w:ascii="宋体" w:hAnsi="宋体" w:eastAsia="宋体" w:cs="宋体"/>
          <w:color w:val="auto"/>
          <w:sz w:val="21"/>
          <w:szCs w:val="21"/>
          <w:highlight w:val="none"/>
        </w:rPr>
        <w:t>。</w:t>
      </w:r>
    </w:p>
    <w:p w14:paraId="1903A4E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 监理人员</w:t>
      </w:r>
    </w:p>
    <w:p w14:paraId="1CAA088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总监理工程师：</w:t>
      </w:r>
    </w:p>
    <w:p w14:paraId="6BE9286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按监理合同 </w:t>
      </w:r>
      <w:r>
        <w:rPr>
          <w:rFonts w:hint="eastAsia" w:ascii="宋体" w:hAnsi="宋体" w:eastAsia="宋体" w:cs="宋体"/>
          <w:color w:val="auto"/>
          <w:sz w:val="21"/>
          <w:szCs w:val="21"/>
          <w:highlight w:val="none"/>
        </w:rPr>
        <w:t>；</w:t>
      </w:r>
    </w:p>
    <w:p w14:paraId="383C6B7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14:paraId="2D3B823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监理工程师执业资格证书号：</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14:paraId="32701FF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14:paraId="587ECB0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14:paraId="513A455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14:paraId="10C2ABC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关于监理人的其他约定：</w:t>
      </w:r>
      <w:r>
        <w:rPr>
          <w:rFonts w:hint="eastAsia" w:ascii="宋体" w:hAnsi="宋体" w:eastAsia="宋体" w:cs="宋体"/>
          <w:color w:val="auto"/>
          <w:sz w:val="21"/>
          <w:szCs w:val="21"/>
          <w:highlight w:val="none"/>
          <w:u w:val="single"/>
        </w:rPr>
        <w:t xml:space="preserve">按监理合同 </w:t>
      </w:r>
      <w:r>
        <w:rPr>
          <w:rFonts w:hint="eastAsia" w:ascii="宋体" w:hAnsi="宋体" w:eastAsia="宋体" w:cs="宋体"/>
          <w:color w:val="auto"/>
          <w:sz w:val="21"/>
          <w:szCs w:val="21"/>
          <w:highlight w:val="none"/>
        </w:rPr>
        <w:t>。</w:t>
      </w:r>
    </w:p>
    <w:p w14:paraId="66C6C91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 商定或确定</w:t>
      </w:r>
    </w:p>
    <w:p w14:paraId="23F33FE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在发包人和承包人不能通过协商达成一致意见时，发包人授权监理人对以下事项进行确定：</w:t>
      </w:r>
    </w:p>
    <w:p w14:paraId="6EE91E8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7763984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0DD4F93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62334CF8">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 工程质量</w:t>
      </w:r>
    </w:p>
    <w:p w14:paraId="69C50EC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 质量要求</w:t>
      </w:r>
    </w:p>
    <w:p w14:paraId="7A8994CE">
      <w:pPr>
        <w:spacing w:line="360" w:lineRule="auto"/>
        <w:ind w:firstLine="420" w:firstLineChars="200"/>
        <w:rPr>
          <w:rFonts w:hint="eastAsia" w:ascii="宋体" w:hAnsi="宋体" w:eastAsia="宋体" w:cs="宋体"/>
          <w:b/>
          <w:bCs/>
          <w:color w:val="auto"/>
          <w:sz w:val="21"/>
          <w:szCs w:val="21"/>
          <w:highlight w:val="none"/>
          <w:u w:val="single"/>
        </w:rPr>
      </w:pPr>
      <w:r>
        <w:rPr>
          <w:rFonts w:hint="eastAsia" w:ascii="宋体" w:hAnsi="宋体" w:eastAsia="宋体" w:cs="宋体"/>
          <w:color w:val="auto"/>
          <w:sz w:val="21"/>
          <w:szCs w:val="21"/>
          <w:highlight w:val="none"/>
        </w:rPr>
        <w:t>5.1.1 特殊质量标准和要求：</w:t>
      </w:r>
      <w:r>
        <w:rPr>
          <w:rFonts w:hint="eastAsia" w:ascii="宋体" w:hAnsi="宋体" w:eastAsia="宋体" w:cs="宋体"/>
          <w:b/>
          <w:color w:val="auto"/>
          <w:sz w:val="21"/>
          <w:szCs w:val="21"/>
          <w:highlight w:val="none"/>
          <w:u w:val="single"/>
        </w:rPr>
        <w:t xml:space="preserve">        /       </w:t>
      </w:r>
    </w:p>
    <w:p w14:paraId="7513D54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关于工程奖项的约定：</w:t>
      </w:r>
      <w:r>
        <w:rPr>
          <w:rFonts w:hint="eastAsia" w:ascii="宋体" w:hAnsi="宋体" w:eastAsia="宋体" w:cs="宋体"/>
          <w:b/>
          <w:color w:val="auto"/>
          <w:sz w:val="21"/>
          <w:szCs w:val="21"/>
          <w:highlight w:val="none"/>
          <w:u w:val="single"/>
        </w:rPr>
        <w:t xml:space="preserve">         /        </w:t>
      </w:r>
    </w:p>
    <w:p w14:paraId="2A2C3D2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 隐蔽工程检查</w:t>
      </w:r>
    </w:p>
    <w:p w14:paraId="7EF7ED63">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5.3.2承包人提前通知监理人隐蔽工程检查的期限的约定：</w:t>
      </w:r>
      <w:r>
        <w:rPr>
          <w:rFonts w:hint="eastAsia" w:ascii="宋体" w:hAnsi="宋体" w:eastAsia="宋体" w:cs="宋体"/>
          <w:color w:val="auto"/>
          <w:sz w:val="21"/>
          <w:szCs w:val="21"/>
          <w:highlight w:val="none"/>
          <w:u w:val="single"/>
        </w:rPr>
        <w:t xml:space="preserve"> 按通用条款 </w:t>
      </w:r>
      <w:r>
        <w:rPr>
          <w:rFonts w:hint="eastAsia" w:ascii="宋体" w:hAnsi="宋体" w:eastAsia="宋体" w:cs="宋体"/>
          <w:color w:val="auto"/>
          <w:sz w:val="21"/>
          <w:szCs w:val="21"/>
          <w:highlight w:val="none"/>
        </w:rPr>
        <w:t>。</w:t>
      </w:r>
    </w:p>
    <w:p w14:paraId="2CB2A8B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监理人不能按时进行检查时，应提前</w:t>
      </w:r>
      <w:r>
        <w:rPr>
          <w:rFonts w:hint="eastAsia" w:ascii="宋体" w:hAnsi="宋体" w:eastAsia="宋体" w:cs="宋体"/>
          <w:color w:val="auto"/>
          <w:sz w:val="21"/>
          <w:szCs w:val="21"/>
          <w:highlight w:val="none"/>
          <w:u w:val="single"/>
        </w:rPr>
        <w:t>24</w:t>
      </w:r>
      <w:r>
        <w:rPr>
          <w:rFonts w:hint="eastAsia" w:ascii="宋体" w:hAnsi="宋体" w:eastAsia="宋体" w:cs="宋体"/>
          <w:color w:val="auto"/>
          <w:sz w:val="21"/>
          <w:szCs w:val="21"/>
          <w:highlight w:val="none"/>
        </w:rPr>
        <w:t>小时提交书面延期要求。</w:t>
      </w:r>
    </w:p>
    <w:p w14:paraId="1CE0C25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关于延期最长不得超过：</w:t>
      </w:r>
      <w:r>
        <w:rPr>
          <w:rFonts w:hint="eastAsia" w:ascii="宋体" w:hAnsi="宋体" w:eastAsia="宋体" w:cs="宋体"/>
          <w:color w:val="auto"/>
          <w:sz w:val="21"/>
          <w:szCs w:val="21"/>
          <w:highlight w:val="none"/>
          <w:u w:val="single"/>
        </w:rPr>
        <w:t>48</w:t>
      </w:r>
      <w:r>
        <w:rPr>
          <w:rFonts w:hint="eastAsia" w:ascii="宋体" w:hAnsi="宋体" w:eastAsia="宋体" w:cs="宋体"/>
          <w:color w:val="auto"/>
          <w:sz w:val="21"/>
          <w:szCs w:val="21"/>
          <w:highlight w:val="none"/>
        </w:rPr>
        <w:t>小时。</w:t>
      </w:r>
    </w:p>
    <w:p w14:paraId="7C013530">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 安全文明施工与环境保护</w:t>
      </w:r>
    </w:p>
    <w:p w14:paraId="4AC8913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6.1安全文明施工</w:t>
      </w:r>
    </w:p>
    <w:p w14:paraId="5F32F84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6.1.1 项目安全生产的达标目标及相应事项的约定：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3DE03A0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6.1.4 关于治安保卫的特别约定：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1A6A996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关于编制施工场地治安管理计划的约定：</w:t>
      </w:r>
      <w:r>
        <w:rPr>
          <w:rFonts w:hint="eastAsia" w:ascii="宋体" w:hAnsi="宋体" w:eastAsia="宋体" w:cs="宋体"/>
          <w:color w:val="auto"/>
          <w:sz w:val="21"/>
          <w:szCs w:val="21"/>
          <w:highlight w:val="none"/>
          <w:u w:val="single"/>
        </w:rPr>
        <w:t xml:space="preserve"> 按通用条款  </w:t>
      </w:r>
      <w:r>
        <w:rPr>
          <w:rFonts w:hint="eastAsia" w:ascii="宋体" w:hAnsi="宋体" w:eastAsia="宋体" w:cs="宋体"/>
          <w:color w:val="auto"/>
          <w:sz w:val="21"/>
          <w:szCs w:val="21"/>
          <w:highlight w:val="none"/>
        </w:rPr>
        <w:t>。</w:t>
      </w:r>
    </w:p>
    <w:p w14:paraId="023DE98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6.1.5 文明施工</w:t>
      </w:r>
    </w:p>
    <w:p w14:paraId="7DA64DC3">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合同当事人对文明施工的要求：</w:t>
      </w:r>
      <w:r>
        <w:rPr>
          <w:rFonts w:hint="eastAsia" w:ascii="宋体" w:hAnsi="宋体" w:eastAsia="宋体" w:cs="宋体"/>
          <w:color w:val="auto"/>
          <w:sz w:val="21"/>
          <w:szCs w:val="21"/>
          <w:highlight w:val="none"/>
          <w:u w:val="single"/>
        </w:rPr>
        <w:t>在实施和完成本合同工程及其工程保修的整个过程中，承包方应遵守国家和浙江、嘉兴等有关安全文明施工的有关规定。如果由于承包人未能对安全文明生产采取必要的措施而导致发生与此有关的人身伤亡、罚款、索赔、损失补偿、诉讼及其他一切责任，由承包人负责。</w:t>
      </w:r>
    </w:p>
    <w:p w14:paraId="7AA1ED2E">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承包人应当为施工现场从事施工作业和管理的人员，在施工活动过程中发生的人身意外伤亡事故提供保障，办理建筑意外伤害保险、支付保险费。</w:t>
      </w:r>
    </w:p>
    <w:p w14:paraId="20FFAEBA">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承包人在实施施工和保修期间的任何时候，对本工程周围环境都应采取必要的保护措施，不得随意排放污水和有害物，也不得破坏已建或在建工程的任何部分。</w:t>
      </w:r>
    </w:p>
    <w:p w14:paraId="4D1BC9F3">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承包人的机械设备必须符合国家有关标准，性能良好，应配备专业的操作人员并具有上岗证书，施工车辆应经过公安交通部门检测合格，证照齐全。</w:t>
      </w:r>
    </w:p>
    <w:p w14:paraId="4C4AA89E">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承包人在工程开工前应办理好工程的安监手续，并经验收后才能进行开工建设，同时承包人必积极配合安监部门及发包人做好安全施工的检查工作，并在施工中，积极对职工开展安全教育培训，提高职工的安全意识，并应不定期地做好施工机械、车辆、电力线路、生活生产设施的检查，提高安全性能。</w:t>
      </w:r>
    </w:p>
    <w:p w14:paraId="76DBC708">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承包人应该做好外来人员和外来车辆到现场的安全管理，承包人应做好各类危险指示牌，指示牌需清晰可辩，如外来人员或外来车辆在施工现场出现事故，是由于承包人责任的，承包人应承担该项赔偿费用和责任。</w:t>
      </w:r>
    </w:p>
    <w:p w14:paraId="68639A53">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安全防护措施费由承包人承担。</w:t>
      </w:r>
    </w:p>
    <w:p w14:paraId="24F7DFA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6.1.6 关于安全文明施工费支付比例和支付期限的约定：</w:t>
      </w:r>
      <w:r>
        <w:rPr>
          <w:rFonts w:hint="eastAsia" w:ascii="宋体" w:hAnsi="宋体" w:eastAsia="宋体" w:cs="宋体"/>
          <w:color w:val="auto"/>
          <w:sz w:val="21"/>
          <w:szCs w:val="21"/>
          <w:highlight w:val="none"/>
          <w:u w:val="single"/>
        </w:rPr>
        <w:t>与进度款同期支付</w:t>
      </w:r>
      <w:r>
        <w:rPr>
          <w:rFonts w:hint="eastAsia" w:ascii="宋体" w:hAnsi="宋体" w:eastAsia="宋体" w:cs="宋体"/>
          <w:color w:val="auto"/>
          <w:sz w:val="21"/>
          <w:szCs w:val="21"/>
          <w:highlight w:val="none"/>
        </w:rPr>
        <w:t>。</w:t>
      </w:r>
    </w:p>
    <w:p w14:paraId="5BB5FE3D">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 工期和进度</w:t>
      </w:r>
    </w:p>
    <w:p w14:paraId="5B640D3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 施工组织设计</w:t>
      </w:r>
    </w:p>
    <w:p w14:paraId="3F1D224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7.1.1 合同当事人约定的施工组织设计应包括的其他内容：</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6C6A452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7.1.2 施工组织设计的提交和修改</w:t>
      </w:r>
    </w:p>
    <w:p w14:paraId="273C70A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承包人提交详细施工组织设计的期限的约定：</w:t>
      </w:r>
      <w:r>
        <w:rPr>
          <w:rFonts w:hint="eastAsia" w:ascii="宋体" w:hAnsi="宋体" w:eastAsia="宋体" w:cs="宋体"/>
          <w:color w:val="auto"/>
          <w:sz w:val="21"/>
          <w:szCs w:val="21"/>
          <w:highlight w:val="none"/>
          <w:u w:val="single"/>
        </w:rPr>
        <w:t>按通用条款</w:t>
      </w:r>
      <w:r>
        <w:rPr>
          <w:rFonts w:hint="eastAsia" w:ascii="宋体" w:hAnsi="宋体" w:eastAsia="宋体" w:cs="宋体"/>
          <w:color w:val="auto"/>
          <w:sz w:val="21"/>
          <w:szCs w:val="21"/>
          <w:highlight w:val="none"/>
        </w:rPr>
        <w:t>。</w:t>
      </w:r>
    </w:p>
    <w:p w14:paraId="697F6EF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发包人和监理人在收到详细的施工组织设计后确认或提出修改意见的期限：</w:t>
      </w:r>
      <w:r>
        <w:rPr>
          <w:rFonts w:hint="eastAsia" w:ascii="宋体" w:hAnsi="宋体" w:eastAsia="宋体" w:cs="宋体"/>
          <w:color w:val="auto"/>
          <w:sz w:val="21"/>
          <w:szCs w:val="21"/>
          <w:highlight w:val="none"/>
          <w:u w:val="single"/>
        </w:rPr>
        <w:t>按通用条款</w:t>
      </w:r>
      <w:r>
        <w:rPr>
          <w:rFonts w:hint="eastAsia" w:ascii="宋体" w:hAnsi="宋体" w:eastAsia="宋体" w:cs="宋体"/>
          <w:color w:val="auto"/>
          <w:sz w:val="21"/>
          <w:szCs w:val="21"/>
          <w:highlight w:val="none"/>
        </w:rPr>
        <w:t>。</w:t>
      </w:r>
    </w:p>
    <w:p w14:paraId="2514FD3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 施工进度计划</w:t>
      </w:r>
    </w:p>
    <w:p w14:paraId="5D2CC9B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7.2.2 施工进度计划的修订</w:t>
      </w:r>
    </w:p>
    <w:p w14:paraId="3BE777A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发包人和监理人在收到修订的施工进度计划后确认或提出修改意见的期限：</w:t>
      </w:r>
      <w:r>
        <w:rPr>
          <w:rFonts w:hint="eastAsia" w:ascii="宋体" w:hAnsi="宋体" w:eastAsia="宋体" w:cs="宋体"/>
          <w:color w:val="auto"/>
          <w:sz w:val="21"/>
          <w:szCs w:val="21"/>
          <w:highlight w:val="none"/>
          <w:u w:val="single"/>
        </w:rPr>
        <w:t>按通用条款</w:t>
      </w:r>
      <w:r>
        <w:rPr>
          <w:rFonts w:hint="eastAsia" w:ascii="宋体" w:hAnsi="宋体" w:eastAsia="宋体" w:cs="宋体"/>
          <w:color w:val="auto"/>
          <w:sz w:val="21"/>
          <w:szCs w:val="21"/>
          <w:highlight w:val="none"/>
        </w:rPr>
        <w:t>。</w:t>
      </w:r>
    </w:p>
    <w:p w14:paraId="023CF6A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 开工</w:t>
      </w:r>
    </w:p>
    <w:p w14:paraId="203079C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7.3.1 开工准备</w:t>
      </w:r>
    </w:p>
    <w:p w14:paraId="45AB96F4">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关于承包人提交工程开工报审表的期限：</w:t>
      </w:r>
      <w:r>
        <w:rPr>
          <w:rFonts w:hint="eastAsia" w:ascii="宋体" w:hAnsi="宋体" w:eastAsia="宋体" w:cs="宋体"/>
          <w:color w:val="auto"/>
          <w:sz w:val="21"/>
          <w:szCs w:val="21"/>
          <w:highlight w:val="none"/>
          <w:u w:val="single"/>
        </w:rPr>
        <w:t>按通用条款</w:t>
      </w:r>
      <w:r>
        <w:rPr>
          <w:rFonts w:hint="eastAsia" w:ascii="宋体" w:hAnsi="宋体" w:eastAsia="宋体" w:cs="宋体"/>
          <w:color w:val="auto"/>
          <w:sz w:val="21"/>
          <w:szCs w:val="21"/>
          <w:highlight w:val="none"/>
        </w:rPr>
        <w:t>。</w:t>
      </w:r>
    </w:p>
    <w:p w14:paraId="12C9462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关于发包人应完成的其他开工准备工作及期限：</w:t>
      </w:r>
      <w:r>
        <w:rPr>
          <w:rFonts w:hint="eastAsia" w:ascii="宋体" w:hAnsi="宋体" w:eastAsia="宋体" w:cs="宋体"/>
          <w:color w:val="auto"/>
          <w:sz w:val="21"/>
          <w:szCs w:val="21"/>
          <w:highlight w:val="none"/>
          <w:u w:val="single"/>
        </w:rPr>
        <w:t>按通用条款</w:t>
      </w:r>
      <w:r>
        <w:rPr>
          <w:rFonts w:hint="eastAsia" w:ascii="宋体" w:hAnsi="宋体" w:eastAsia="宋体" w:cs="宋体"/>
          <w:color w:val="auto"/>
          <w:sz w:val="21"/>
          <w:szCs w:val="21"/>
          <w:highlight w:val="none"/>
        </w:rPr>
        <w:t>。</w:t>
      </w:r>
    </w:p>
    <w:p w14:paraId="2700D97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关于承包人应完成的其他开工准备工作及期限：</w:t>
      </w:r>
      <w:r>
        <w:rPr>
          <w:rFonts w:hint="eastAsia" w:ascii="宋体" w:hAnsi="宋体" w:eastAsia="宋体" w:cs="宋体"/>
          <w:color w:val="auto"/>
          <w:sz w:val="21"/>
          <w:szCs w:val="21"/>
          <w:highlight w:val="none"/>
          <w:u w:val="single"/>
        </w:rPr>
        <w:t>按通用条款</w:t>
      </w:r>
      <w:r>
        <w:rPr>
          <w:rFonts w:hint="eastAsia" w:ascii="宋体" w:hAnsi="宋体" w:eastAsia="宋体" w:cs="宋体"/>
          <w:color w:val="auto"/>
          <w:sz w:val="21"/>
          <w:szCs w:val="21"/>
          <w:highlight w:val="none"/>
        </w:rPr>
        <w:t>。</w:t>
      </w:r>
    </w:p>
    <w:p w14:paraId="0ECC22B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7.3.2开工通知</w:t>
      </w:r>
    </w:p>
    <w:p w14:paraId="21B7D9C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因发包人原因造成监理人未能在计划开工日期之日起</w:t>
      </w:r>
      <w:r>
        <w:rPr>
          <w:rFonts w:hint="eastAsia" w:ascii="宋体" w:hAnsi="宋体" w:eastAsia="宋体" w:cs="宋体"/>
          <w:color w:val="auto"/>
          <w:sz w:val="21"/>
          <w:szCs w:val="21"/>
          <w:highlight w:val="none"/>
          <w:u w:val="single"/>
        </w:rPr>
        <w:t>90</w:t>
      </w:r>
      <w:r>
        <w:rPr>
          <w:rFonts w:hint="eastAsia" w:ascii="宋体" w:hAnsi="宋体" w:eastAsia="宋体" w:cs="宋体"/>
          <w:color w:val="auto"/>
          <w:sz w:val="21"/>
          <w:szCs w:val="21"/>
          <w:highlight w:val="none"/>
        </w:rPr>
        <w:t>天内发出开工通知的，承包人有权提出价格调整要求，或者解除合同。</w:t>
      </w:r>
    </w:p>
    <w:p w14:paraId="2D07317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 测量放线</w:t>
      </w:r>
    </w:p>
    <w:p w14:paraId="483BCC47">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7.4.1发包人通过监理人向承包人提供测量基准点、基准线和水准点及其书面资料的期限：</w:t>
      </w:r>
      <w:r>
        <w:rPr>
          <w:rFonts w:hint="eastAsia" w:ascii="宋体" w:hAnsi="宋体" w:eastAsia="宋体" w:cs="宋体"/>
          <w:color w:val="auto"/>
          <w:sz w:val="21"/>
          <w:szCs w:val="21"/>
          <w:highlight w:val="none"/>
          <w:u w:val="single"/>
        </w:rPr>
        <w:t>按通用条款</w:t>
      </w:r>
      <w:r>
        <w:rPr>
          <w:rFonts w:hint="eastAsia" w:ascii="宋体" w:hAnsi="宋体" w:eastAsia="宋体" w:cs="宋体"/>
          <w:color w:val="auto"/>
          <w:sz w:val="21"/>
          <w:szCs w:val="21"/>
          <w:highlight w:val="none"/>
        </w:rPr>
        <w:t>。</w:t>
      </w:r>
    </w:p>
    <w:p w14:paraId="7497B2D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 工期延误</w:t>
      </w:r>
    </w:p>
    <w:p w14:paraId="0EAB582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7.5.1 因发包人原因导致工期延误</w:t>
      </w:r>
    </w:p>
    <w:p w14:paraId="5C6A808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（7）因发包人原因导致工期延误的其他情形：</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074BE9C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7.5.2 因承包人原因导致工期延误</w:t>
      </w:r>
    </w:p>
    <w:p w14:paraId="701CF20B">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因承包人原因造成工期延误，逾期竣工违约金的计算方法为：</w:t>
      </w:r>
      <w:r>
        <w:rPr>
          <w:rFonts w:hint="eastAsia" w:ascii="宋体" w:hAnsi="宋体" w:eastAsia="宋体" w:cs="宋体"/>
          <w:color w:val="auto"/>
          <w:sz w:val="21"/>
          <w:szCs w:val="21"/>
          <w:highlight w:val="none"/>
          <w:u w:val="single"/>
        </w:rPr>
        <w:t>每延误一天按</w:t>
      </w:r>
      <w:r>
        <w:rPr>
          <w:rFonts w:hint="eastAsia" w:ascii="宋体" w:hAnsi="宋体" w:eastAsia="宋体" w:cs="宋体"/>
          <w:color w:val="auto"/>
          <w:sz w:val="21"/>
          <w:szCs w:val="21"/>
          <w:highlight w:val="none"/>
          <w:u w:val="single"/>
          <w:lang w:val="en-US" w:eastAsia="zh-CN"/>
        </w:rPr>
        <w:t>2000元</w:t>
      </w:r>
      <w:r>
        <w:rPr>
          <w:rFonts w:hint="eastAsia" w:ascii="宋体" w:hAnsi="宋体" w:eastAsia="宋体" w:cs="宋体"/>
          <w:color w:val="auto"/>
          <w:sz w:val="21"/>
          <w:szCs w:val="21"/>
          <w:highlight w:val="none"/>
          <w:u w:val="single"/>
        </w:rPr>
        <w:t>计取违约金，直到最高赔偿额。</w:t>
      </w:r>
    </w:p>
    <w:p w14:paraId="189CC88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因承包人原因造成工期延误，逾期竣工违约金的上限：</w:t>
      </w:r>
      <w:r>
        <w:rPr>
          <w:rFonts w:hint="eastAsia" w:ascii="宋体" w:hAnsi="宋体" w:eastAsia="宋体" w:cs="宋体"/>
          <w:color w:val="auto"/>
          <w:sz w:val="21"/>
          <w:szCs w:val="21"/>
          <w:highlight w:val="none"/>
          <w:u w:val="single"/>
        </w:rPr>
        <w:t xml:space="preserve"> 即合同价的5%</w:t>
      </w:r>
      <w:r>
        <w:rPr>
          <w:rFonts w:hint="eastAsia" w:ascii="宋体" w:hAnsi="宋体" w:eastAsia="宋体" w:cs="宋体"/>
          <w:color w:val="auto"/>
          <w:sz w:val="21"/>
          <w:szCs w:val="21"/>
          <w:highlight w:val="none"/>
        </w:rPr>
        <w:t>。</w:t>
      </w:r>
    </w:p>
    <w:p w14:paraId="6390A69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7.6 不利物质条件</w:t>
      </w:r>
    </w:p>
    <w:p w14:paraId="6F1E54E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不利物质条件的其他情形和有关约定：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7F8F74F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7.7异常恶劣的气候条件</w:t>
      </w:r>
    </w:p>
    <w:p w14:paraId="4E09430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发包人和承包人同意以下情形视为异常恶劣的气候条件：</w:t>
      </w:r>
    </w:p>
    <w:p w14:paraId="7C06091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（1）日最高气温达到40度及以上的天气；</w:t>
      </w:r>
    </w:p>
    <w:p w14:paraId="681C2A3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（2）启动台风橙色及以上的预警的天气；</w:t>
      </w:r>
    </w:p>
    <w:p w14:paraId="72C15EB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（3）造成工程损坏的冰雹和大雪灾害：日降雪量10mm及以上；</w:t>
      </w:r>
    </w:p>
    <w:p w14:paraId="63233AE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（4）启动防汛预案一级响应的天气，启动防冻预案一级响应的天气。</w:t>
      </w:r>
    </w:p>
    <w:p w14:paraId="191D3EC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7.9 提前竣工的奖励</w:t>
      </w:r>
    </w:p>
    <w:p w14:paraId="1F48AFE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7.9.2提前竣工的奖励：</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2E64DC8F">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8. 材料与设备</w:t>
      </w:r>
    </w:p>
    <w:p w14:paraId="1071713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8.2.承包人采购材料与工程设备</w:t>
      </w:r>
    </w:p>
    <w:p w14:paraId="06E0391F">
      <w:pPr>
        <w:spacing w:line="360" w:lineRule="auto"/>
        <w:ind w:firstLine="420" w:firstLineChars="200"/>
        <w:outlineLvl w:val="0"/>
        <w:rPr>
          <w:rFonts w:hint="eastAsia" w:ascii="宋体" w:hAnsi="宋体" w:eastAsia="宋体" w:cs="宋体"/>
          <w:color w:val="auto"/>
          <w:sz w:val="21"/>
          <w:szCs w:val="21"/>
          <w:highlight w:val="none"/>
          <w:u w:val="single"/>
        </w:rPr>
      </w:pPr>
      <w:bookmarkStart w:id="84" w:name="_Toc96951637"/>
      <w:bookmarkStart w:id="85" w:name="_Toc96951757"/>
      <w:bookmarkStart w:id="86" w:name="_Toc123820511"/>
      <w:r>
        <w:rPr>
          <w:rFonts w:hint="eastAsia" w:ascii="宋体" w:hAnsi="宋体" w:eastAsia="宋体" w:cs="宋体"/>
          <w:color w:val="auto"/>
          <w:sz w:val="21"/>
          <w:szCs w:val="21"/>
          <w:highlight w:val="none"/>
          <w:u w:val="single"/>
        </w:rPr>
        <w:t>1、本工程的材料、设备、配件由承包人负责采购，其质量必须符合设计和施工规范要求并经监理、建设单位确认。</w:t>
      </w:r>
      <w:bookmarkEnd w:id="84"/>
      <w:bookmarkEnd w:id="85"/>
      <w:bookmarkEnd w:id="86"/>
    </w:p>
    <w:p w14:paraId="74CE9F98">
      <w:pPr>
        <w:spacing w:line="360" w:lineRule="auto"/>
        <w:ind w:firstLine="420" w:firstLineChars="200"/>
        <w:outlineLvl w:val="0"/>
        <w:rPr>
          <w:rFonts w:hint="eastAsia" w:ascii="宋体" w:hAnsi="宋体" w:eastAsia="宋体" w:cs="宋体"/>
          <w:color w:val="auto"/>
          <w:sz w:val="21"/>
          <w:szCs w:val="21"/>
          <w:highlight w:val="none"/>
          <w:u w:val="single"/>
        </w:rPr>
      </w:pPr>
      <w:bookmarkStart w:id="87" w:name="_Toc96951638"/>
      <w:bookmarkStart w:id="88" w:name="_Toc96951758"/>
      <w:bookmarkStart w:id="89" w:name="_Toc123820512"/>
      <w:r>
        <w:rPr>
          <w:rFonts w:hint="eastAsia" w:ascii="宋体" w:hAnsi="宋体" w:eastAsia="宋体" w:cs="宋体"/>
          <w:color w:val="auto"/>
          <w:sz w:val="21"/>
          <w:szCs w:val="21"/>
          <w:highlight w:val="none"/>
          <w:u w:val="single"/>
        </w:rPr>
        <w:t>2、承包人采购成品、半成品、材料、设备在采购前均需征得发包人同意或双方共同采购。否则，发包人有权要求承包人更换或采取其它补救措施。对国家有强制性认证要求的设备与材料，必须具有强制性认证标志。</w:t>
      </w:r>
      <w:bookmarkEnd w:id="87"/>
      <w:bookmarkEnd w:id="88"/>
      <w:bookmarkEnd w:id="89"/>
    </w:p>
    <w:p w14:paraId="6F5311BB">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3、采购的材料到货后，要求附有产品合格证、质保单及有关检测报告，并经发包人指定的代表进行验收，按规定需送检测试的，必须测试合格后方可使用，检测所需费用，由承包人承担。否则发包人和监理单位有权制止。</w:t>
      </w:r>
    </w:p>
    <w:p w14:paraId="14908261">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4、使用不合格材料和不允许使用的材料，所产生的后果由承包人承担全部责任。</w:t>
      </w:r>
    </w:p>
    <w:p w14:paraId="1E61603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8.4材料与工程设备的保管与使用</w:t>
      </w:r>
    </w:p>
    <w:p w14:paraId="56CA18B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8.4.1发包人供应的材料设备的保管费用的承担：</w:t>
      </w:r>
      <w:r>
        <w:rPr>
          <w:rFonts w:hint="eastAsia" w:ascii="宋体" w:hAnsi="宋体" w:eastAsia="宋体" w:cs="宋体"/>
          <w:color w:val="auto"/>
          <w:sz w:val="21"/>
          <w:szCs w:val="21"/>
          <w:highlight w:val="none"/>
          <w:u w:val="single"/>
        </w:rPr>
        <w:t xml:space="preserve">按通用条款 </w:t>
      </w:r>
      <w:r>
        <w:rPr>
          <w:rFonts w:hint="eastAsia" w:ascii="宋体" w:hAnsi="宋体" w:eastAsia="宋体" w:cs="宋体"/>
          <w:color w:val="auto"/>
          <w:sz w:val="21"/>
          <w:szCs w:val="21"/>
          <w:highlight w:val="none"/>
        </w:rPr>
        <w:t>。</w:t>
      </w:r>
    </w:p>
    <w:p w14:paraId="4FE2618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8.6 样品</w:t>
      </w:r>
    </w:p>
    <w:p w14:paraId="01101FF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8.6.1 样品的报送与封存</w:t>
      </w:r>
    </w:p>
    <w:p w14:paraId="60DA599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需要承包人报送样品的材料或工程设备，样品的种类、名称、规格、数量要求：</w:t>
      </w:r>
      <w:r>
        <w:rPr>
          <w:rFonts w:hint="eastAsia" w:ascii="宋体" w:hAnsi="宋体" w:eastAsia="宋体" w:cs="宋体"/>
          <w:color w:val="auto"/>
          <w:sz w:val="21"/>
          <w:szCs w:val="21"/>
          <w:highlight w:val="none"/>
          <w:u w:val="single"/>
        </w:rPr>
        <w:t xml:space="preserve">另行确定 </w:t>
      </w:r>
      <w:r>
        <w:rPr>
          <w:rFonts w:hint="eastAsia" w:ascii="宋体" w:hAnsi="宋体" w:eastAsia="宋体" w:cs="宋体"/>
          <w:color w:val="auto"/>
          <w:sz w:val="21"/>
          <w:szCs w:val="21"/>
          <w:highlight w:val="none"/>
        </w:rPr>
        <w:t>。</w:t>
      </w:r>
    </w:p>
    <w:p w14:paraId="017EF69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 施工设备和临时设施</w:t>
      </w:r>
    </w:p>
    <w:p w14:paraId="2882466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8.8.1 承包人提供的施工设备和临时设施</w:t>
      </w:r>
    </w:p>
    <w:p w14:paraId="4A8C18D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关于修建临时设施费用承担的约定：</w:t>
      </w:r>
      <w:r>
        <w:rPr>
          <w:rFonts w:hint="eastAsia" w:ascii="宋体" w:hAnsi="宋体" w:eastAsia="宋体" w:cs="宋体"/>
          <w:color w:val="auto"/>
          <w:sz w:val="21"/>
          <w:szCs w:val="21"/>
          <w:highlight w:val="none"/>
          <w:u w:val="single"/>
        </w:rPr>
        <w:t xml:space="preserve">承包人自行承担 </w:t>
      </w:r>
      <w:r>
        <w:rPr>
          <w:rFonts w:hint="eastAsia" w:ascii="宋体" w:hAnsi="宋体" w:eastAsia="宋体" w:cs="宋体"/>
          <w:color w:val="auto"/>
          <w:sz w:val="21"/>
          <w:szCs w:val="21"/>
          <w:highlight w:val="none"/>
        </w:rPr>
        <w:t>。</w:t>
      </w:r>
    </w:p>
    <w:p w14:paraId="462AA35E">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9. 试验与检验</w:t>
      </w:r>
    </w:p>
    <w:p w14:paraId="1D3BA77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9.1试验设备与试验人员</w:t>
      </w:r>
    </w:p>
    <w:p w14:paraId="4E2BB45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9.1.2 试验设备</w:t>
      </w:r>
    </w:p>
    <w:p w14:paraId="62F5411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施工现场需要配置的试验场所：</w:t>
      </w:r>
      <w:r>
        <w:rPr>
          <w:rFonts w:hint="eastAsia" w:ascii="宋体" w:hAnsi="宋体" w:eastAsia="宋体" w:cs="宋体"/>
          <w:color w:val="auto"/>
          <w:sz w:val="21"/>
          <w:szCs w:val="21"/>
          <w:highlight w:val="none"/>
          <w:u w:val="single"/>
        </w:rPr>
        <w:t xml:space="preserve"> 另行确定 </w:t>
      </w:r>
      <w:r>
        <w:rPr>
          <w:rFonts w:hint="eastAsia" w:ascii="宋体" w:hAnsi="宋体" w:eastAsia="宋体" w:cs="宋体"/>
          <w:color w:val="auto"/>
          <w:sz w:val="21"/>
          <w:szCs w:val="21"/>
          <w:highlight w:val="none"/>
        </w:rPr>
        <w:t xml:space="preserve">。 </w:t>
      </w:r>
    </w:p>
    <w:p w14:paraId="1AA09DB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施工现场需要配备的试验设备：</w:t>
      </w:r>
      <w:r>
        <w:rPr>
          <w:rFonts w:hint="eastAsia" w:ascii="宋体" w:hAnsi="宋体" w:eastAsia="宋体" w:cs="宋体"/>
          <w:color w:val="auto"/>
          <w:sz w:val="21"/>
          <w:szCs w:val="21"/>
          <w:highlight w:val="none"/>
          <w:u w:val="single"/>
        </w:rPr>
        <w:t xml:space="preserve"> 另行确定 </w:t>
      </w:r>
      <w:r>
        <w:rPr>
          <w:rFonts w:hint="eastAsia" w:ascii="宋体" w:hAnsi="宋体" w:eastAsia="宋体" w:cs="宋体"/>
          <w:color w:val="auto"/>
          <w:sz w:val="21"/>
          <w:szCs w:val="21"/>
          <w:highlight w:val="none"/>
        </w:rPr>
        <w:t>。</w:t>
      </w:r>
    </w:p>
    <w:p w14:paraId="34D796F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施工现场需要具备的其他试验条件：</w:t>
      </w:r>
      <w:r>
        <w:rPr>
          <w:rFonts w:hint="eastAsia" w:ascii="宋体" w:hAnsi="宋体" w:eastAsia="宋体" w:cs="宋体"/>
          <w:color w:val="auto"/>
          <w:sz w:val="21"/>
          <w:szCs w:val="21"/>
          <w:highlight w:val="none"/>
          <w:u w:val="single"/>
        </w:rPr>
        <w:t xml:space="preserve"> 另行确定 </w:t>
      </w:r>
      <w:r>
        <w:rPr>
          <w:rFonts w:hint="eastAsia" w:ascii="宋体" w:hAnsi="宋体" w:eastAsia="宋体" w:cs="宋体"/>
          <w:color w:val="auto"/>
          <w:sz w:val="21"/>
          <w:szCs w:val="21"/>
          <w:highlight w:val="none"/>
        </w:rPr>
        <w:t>。</w:t>
      </w:r>
    </w:p>
    <w:p w14:paraId="39A5431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9.4 现场工艺试验 </w:t>
      </w:r>
    </w:p>
    <w:p w14:paraId="49F9A2F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现场工艺试验的有关约定：</w:t>
      </w:r>
      <w:r>
        <w:rPr>
          <w:rFonts w:hint="eastAsia" w:ascii="宋体" w:hAnsi="宋体" w:eastAsia="宋体" w:cs="宋体"/>
          <w:color w:val="auto"/>
          <w:sz w:val="21"/>
          <w:szCs w:val="21"/>
          <w:highlight w:val="none"/>
          <w:u w:val="single"/>
        </w:rPr>
        <w:t xml:space="preserve"> 按通用条款 </w:t>
      </w:r>
      <w:r>
        <w:rPr>
          <w:rFonts w:hint="eastAsia" w:ascii="宋体" w:hAnsi="宋体" w:eastAsia="宋体" w:cs="宋体"/>
          <w:color w:val="auto"/>
          <w:sz w:val="21"/>
          <w:szCs w:val="21"/>
          <w:highlight w:val="none"/>
        </w:rPr>
        <w:t>。</w:t>
      </w:r>
    </w:p>
    <w:p w14:paraId="49BAD979">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10. 变更</w:t>
      </w:r>
    </w:p>
    <w:p w14:paraId="674CF74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10.1变更的范围</w:t>
      </w:r>
    </w:p>
    <w:p w14:paraId="637E91C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关于变更的范围的约定：</w:t>
      </w:r>
    </w:p>
    <w:p w14:paraId="38909ACD">
      <w:pPr>
        <w:spacing w:line="360" w:lineRule="auto"/>
        <w:ind w:firstLine="420" w:firstLineChars="200"/>
        <w:rPr>
          <w:rFonts w:hint="eastAsia" w:ascii="宋体" w:hAnsi="宋体" w:eastAsia="宋体" w:cs="宋体"/>
          <w:color w:val="auto"/>
          <w:sz w:val="21"/>
          <w:szCs w:val="21"/>
          <w:highlight w:val="none"/>
          <w:u w:val="single"/>
        </w:rPr>
      </w:pPr>
      <w:bookmarkStart w:id="90" w:name="_Toc31253"/>
      <w:r>
        <w:rPr>
          <w:rFonts w:hint="eastAsia" w:ascii="宋体" w:hAnsi="宋体" w:eastAsia="宋体" w:cs="宋体"/>
          <w:color w:val="auto"/>
          <w:sz w:val="21"/>
          <w:szCs w:val="21"/>
          <w:highlight w:val="none"/>
          <w:u w:val="single"/>
        </w:rPr>
        <w:t>（1）当本工程设计需要变更时，应经设计部门、监理单位及建设单位认可并出具工程设计变更联系单。所有未经建设单位认可的工程变更，将被视为施工单位的擅自变更，施工单位将承担全部责任。施工单位无权单独与设计部门联系工程变更事宜。</w:t>
      </w:r>
      <w:bookmarkEnd w:id="90"/>
    </w:p>
    <w:p w14:paraId="3CB8FAD1">
      <w:pPr>
        <w:spacing w:line="360" w:lineRule="auto"/>
        <w:ind w:firstLine="420" w:firstLineChars="200"/>
        <w:rPr>
          <w:rFonts w:hint="eastAsia" w:ascii="宋体" w:hAnsi="宋体" w:eastAsia="宋体" w:cs="宋体"/>
          <w:color w:val="auto"/>
          <w:sz w:val="21"/>
          <w:szCs w:val="21"/>
          <w:highlight w:val="none"/>
          <w:u w:val="single"/>
        </w:rPr>
      </w:pPr>
      <w:bookmarkStart w:id="91" w:name="_Toc6677"/>
      <w:r>
        <w:rPr>
          <w:rFonts w:hint="eastAsia" w:ascii="宋体" w:hAnsi="宋体" w:eastAsia="宋体" w:cs="宋体"/>
          <w:color w:val="auto"/>
          <w:sz w:val="21"/>
          <w:szCs w:val="21"/>
          <w:highlight w:val="none"/>
          <w:u w:val="single"/>
        </w:rPr>
        <w:t>（2）施工中原设计图纸已有设计但未详尽部分，由甲方委托设计单位补充详细图，乙方</w:t>
      </w:r>
      <w:r>
        <w:rPr>
          <w:rFonts w:hint="eastAsia" w:ascii="宋体" w:hAnsi="宋体" w:eastAsia="宋体" w:cs="宋体"/>
          <w:color w:val="auto"/>
          <w:sz w:val="21"/>
          <w:szCs w:val="21"/>
          <w:highlight w:val="none"/>
          <w:u w:val="single"/>
          <w:lang w:val="en-US" w:eastAsia="zh-CN"/>
        </w:rPr>
        <w:t>可</w:t>
      </w:r>
      <w:r>
        <w:rPr>
          <w:rFonts w:hint="eastAsia" w:ascii="宋体" w:hAnsi="宋体" w:eastAsia="宋体" w:cs="宋体"/>
          <w:color w:val="auto"/>
          <w:sz w:val="21"/>
          <w:szCs w:val="21"/>
          <w:highlight w:val="none"/>
          <w:u w:val="single"/>
        </w:rPr>
        <w:t>视为设计变更及要求增加施工费用。</w:t>
      </w:r>
      <w:bookmarkEnd w:id="91"/>
    </w:p>
    <w:p w14:paraId="75B47001">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（3）设计变更数量应有相应书面说明，且由甲方代表签证方属有效，否则不得作为结算计价依据。</w:t>
      </w:r>
    </w:p>
    <w:p w14:paraId="1FEBF03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 变更估价</w:t>
      </w:r>
    </w:p>
    <w:p w14:paraId="006CF30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10.4.1 变更估价原则</w:t>
      </w:r>
    </w:p>
    <w:p w14:paraId="131F8CEA">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关于变更估价的约定:</w:t>
      </w:r>
    </w:p>
    <w:p w14:paraId="63250C64">
      <w:pPr>
        <w:spacing w:line="360" w:lineRule="auto"/>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sz w:val="21"/>
          <w:szCs w:val="21"/>
          <w:highlight w:val="none"/>
          <w:u w:val="single"/>
        </w:rPr>
        <w:t>1、已标价工程量清单有相同项目的，按照相同项目单价认定。</w:t>
      </w:r>
      <w:r>
        <w:rPr>
          <w:rFonts w:hint="eastAsia" w:ascii="宋体" w:hAnsi="宋体" w:eastAsia="宋体" w:cs="宋体"/>
          <w:color w:val="auto"/>
          <w:kern w:val="2"/>
          <w:sz w:val="21"/>
          <w:szCs w:val="21"/>
          <w:highlight w:val="none"/>
          <w:u w:val="single"/>
        </w:rPr>
        <w:t>但合价金额占合同总价2%及以上的分部分项设计变更项目，其工程量增加或减少超过本项目工程数量15%及以上时，或合价金额占合同总价不到2%的分部分项设计变更项目，但其工程量增加或减少超过本项目工程数量25%及以上时，其增加部分工程量或减少后剩余部分工程量的相应单价由承包人参照投标时的报价分析表对原单价重新组价，并按照合理的成本与利润构成的原则提出单价，经</w:t>
      </w:r>
      <w:r>
        <w:rPr>
          <w:rFonts w:hint="eastAsia" w:ascii="宋体" w:hAnsi="宋体" w:eastAsia="宋体" w:cs="宋体"/>
          <w:color w:val="auto"/>
          <w:sz w:val="21"/>
          <w:szCs w:val="21"/>
          <w:highlight w:val="none"/>
          <w:u w:val="single"/>
        </w:rPr>
        <w:t>发包人</w:t>
      </w:r>
      <w:r>
        <w:rPr>
          <w:rFonts w:hint="eastAsia" w:ascii="宋体" w:hAnsi="宋体" w:eastAsia="宋体" w:cs="宋体"/>
          <w:color w:val="auto"/>
          <w:kern w:val="2"/>
          <w:sz w:val="21"/>
          <w:szCs w:val="21"/>
          <w:highlight w:val="none"/>
          <w:u w:val="single"/>
        </w:rPr>
        <w:t>审定后，作为结算的依据。</w:t>
      </w:r>
    </w:p>
    <w:p w14:paraId="7D5A48AF">
      <w:pPr>
        <w:spacing w:line="360" w:lineRule="auto"/>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2、</w:t>
      </w:r>
      <w:r>
        <w:rPr>
          <w:rFonts w:hint="eastAsia" w:ascii="宋体" w:hAnsi="宋体" w:eastAsia="宋体" w:cs="宋体"/>
          <w:color w:val="auto"/>
          <w:sz w:val="21"/>
          <w:szCs w:val="21"/>
          <w:highlight w:val="none"/>
          <w:u w:val="single"/>
        </w:rPr>
        <w:t>已标价工程量清单</w:t>
      </w:r>
      <w:r>
        <w:rPr>
          <w:rFonts w:hint="eastAsia" w:ascii="宋体" w:hAnsi="宋体" w:eastAsia="宋体" w:cs="宋体"/>
          <w:color w:val="auto"/>
          <w:kern w:val="2"/>
          <w:sz w:val="21"/>
          <w:szCs w:val="21"/>
          <w:highlight w:val="none"/>
          <w:u w:val="single"/>
        </w:rPr>
        <w:t>中有类似工程项目综合单价的，参照该类似项目的综合单价计算确定：</w:t>
      </w:r>
    </w:p>
    <w:p w14:paraId="339FF55B">
      <w:pPr>
        <w:spacing w:line="360" w:lineRule="auto"/>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(a)某种材料（或半成品及成品）等级、标准变化的，清单组合子目不变，仅调整不同材料价格；</w:t>
      </w:r>
    </w:p>
    <w:p w14:paraId="7F03C651">
      <w:pPr>
        <w:spacing w:line="360" w:lineRule="auto"/>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(b)清单项目某一特征或工程内容发生变化，不影响其他特征及工程内容的，其他特征组合标准不变，仅调整发生变化的组合子目价格；</w:t>
      </w:r>
    </w:p>
    <w:p w14:paraId="4AE6BC3D">
      <w:pPr>
        <w:spacing w:line="360" w:lineRule="auto"/>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3、</w:t>
      </w:r>
      <w:r>
        <w:rPr>
          <w:rFonts w:hint="eastAsia" w:ascii="宋体" w:hAnsi="宋体" w:eastAsia="宋体" w:cs="宋体"/>
          <w:color w:val="auto"/>
          <w:sz w:val="21"/>
          <w:szCs w:val="21"/>
          <w:highlight w:val="none"/>
          <w:u w:val="single"/>
        </w:rPr>
        <w:t>已标价工程量清单</w:t>
      </w:r>
      <w:r>
        <w:rPr>
          <w:rFonts w:hint="eastAsia" w:ascii="宋体" w:hAnsi="宋体" w:eastAsia="宋体" w:cs="宋体"/>
          <w:color w:val="auto"/>
          <w:kern w:val="2"/>
          <w:sz w:val="21"/>
          <w:szCs w:val="21"/>
          <w:highlight w:val="none"/>
          <w:u w:val="single"/>
        </w:rPr>
        <w:t>中没有类似工程项目综合单价的，由承包人根据合同中约定的组价原则或参考“计价依据”提出适当的综合单价，经</w:t>
      </w:r>
      <w:r>
        <w:rPr>
          <w:rFonts w:hint="eastAsia" w:ascii="宋体" w:hAnsi="宋体" w:eastAsia="宋体" w:cs="宋体"/>
          <w:color w:val="auto"/>
          <w:sz w:val="21"/>
          <w:szCs w:val="21"/>
          <w:highlight w:val="none"/>
          <w:u w:val="single"/>
        </w:rPr>
        <w:t>发包人</w:t>
      </w:r>
      <w:r>
        <w:rPr>
          <w:rFonts w:hint="eastAsia" w:ascii="宋体" w:hAnsi="宋体" w:eastAsia="宋体" w:cs="宋体"/>
          <w:color w:val="auto"/>
          <w:kern w:val="2"/>
          <w:sz w:val="21"/>
          <w:szCs w:val="21"/>
          <w:highlight w:val="none"/>
          <w:u w:val="single"/>
        </w:rPr>
        <w:t>或监理人审定后执行；</w:t>
      </w:r>
    </w:p>
    <w:p w14:paraId="5A72366F">
      <w:pPr>
        <w:spacing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组价原则：</w:t>
      </w:r>
    </w:p>
    <w:p w14:paraId="4F91770F">
      <w:pPr>
        <w:spacing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rPr>
        <w:t>根据《浙江省建设工程计价规则》（2018版）、《浙江省房屋建筑与装饰工程预算定额》（2018版）、《浙江省通用安装工程预算定额》（2018版）、《浙江省市政工程预算定额》（2018版）、《浙江省园林绿化及仿古建筑工程预算定额》（2018版）、《浙江省建设工程施工机械台班费用定额》（2018版）、《浙江省建筑安装材料基期价格》(2018版)等计价依据及定额标准计算；综合费率（含管理费、利润、风险费用）按投标文件同一口径执行；组价时，人工、材料、机械台班单价按照投标时人工、材料、机械台班单价的报价计算，无投标报价的材料价格，按照合同工期前80％《嘉兴造价管理》材料平均信息价计算，既无投标报价又无信息价的材料价格按</w:t>
      </w:r>
      <w:r>
        <w:rPr>
          <w:rFonts w:hint="eastAsia" w:ascii="宋体" w:hAnsi="宋体" w:eastAsia="宋体" w:cs="宋体"/>
          <w:color w:val="auto"/>
          <w:sz w:val="21"/>
          <w:szCs w:val="21"/>
          <w:highlight w:val="none"/>
          <w:u w:val="single"/>
        </w:rPr>
        <w:t>发包人</w:t>
      </w:r>
      <w:r>
        <w:rPr>
          <w:rFonts w:hint="eastAsia" w:ascii="宋体" w:hAnsi="宋体" w:eastAsia="宋体" w:cs="宋体"/>
          <w:color w:val="auto"/>
          <w:kern w:val="2"/>
          <w:sz w:val="21"/>
          <w:szCs w:val="21"/>
          <w:highlight w:val="none"/>
          <w:u w:val="single"/>
        </w:rPr>
        <w:t>签证价格，定额不明确的由业主签证确认；计算出该项费用后并换算到《房屋建筑与装饰工程工程量计算规范》（GB50854-2013）、《通用安装工程工程量计算规范》（GB50856-2013）、《市政工程工程量计算规范》（GB50857-2013）以及浙江省有关补充规定的计算规定，格式套用投标书格式</w:t>
      </w:r>
      <w:r>
        <w:rPr>
          <w:rFonts w:hint="eastAsia" w:ascii="宋体" w:hAnsi="宋体" w:eastAsia="宋体" w:cs="宋体"/>
          <w:color w:val="auto"/>
          <w:kern w:val="2"/>
          <w:sz w:val="21"/>
          <w:szCs w:val="21"/>
          <w:highlight w:val="none"/>
        </w:rPr>
        <w:t>。</w:t>
      </w:r>
    </w:p>
    <w:p w14:paraId="6A250A93">
      <w:pPr>
        <w:spacing w:line="360" w:lineRule="auto"/>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4、投标综合单价异常的处理：</w:t>
      </w:r>
    </w:p>
    <w:p w14:paraId="3BC2968E">
      <w:pPr>
        <w:spacing w:line="360" w:lineRule="auto"/>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（1）投标综合单价遇下列情况，应对其异常性进行判定：</w:t>
      </w:r>
    </w:p>
    <w:p w14:paraId="50507E6B">
      <w:pPr>
        <w:spacing w:line="360" w:lineRule="auto"/>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①投标综合单价与按合同约定的计价依据计算的综合单价偏差±25%以上；</w:t>
      </w:r>
    </w:p>
    <w:p w14:paraId="40FCC2C7">
      <w:pPr>
        <w:spacing w:line="360" w:lineRule="auto"/>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②其他异常情况。</w:t>
      </w:r>
    </w:p>
    <w:p w14:paraId="249BCEA2">
      <w:pPr>
        <w:spacing w:line="360" w:lineRule="auto"/>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（2）出现综合单价异常情况，按以下原则处理：</w:t>
      </w:r>
    </w:p>
    <w:p w14:paraId="4A35E107">
      <w:pPr>
        <w:spacing w:line="360" w:lineRule="auto"/>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①工程量增加本项工程量15%以内的，按原综合单价在该项目合价中扣除，增加超过15%以外部分工程量，按本款第3条的组价原则重新确定综合单价，计算合价；</w:t>
      </w:r>
    </w:p>
    <w:p w14:paraId="44F6C523">
      <w:pPr>
        <w:spacing w:line="360" w:lineRule="auto"/>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②工程量减少超过本项工程量15%以内的，按原综合单价在该项目合价中扣除，减少超过15%以外部分工程量，按本款第3条的组价原则重新确定综合单价，计算合价后，在该项目合价中扣除。</w:t>
      </w:r>
    </w:p>
    <w:p w14:paraId="1667339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10.4.2承包人应在收到变更指示后14天内，向监理人提交变更估价申请，办理变更签证手续，逾期未上报的或逾期补报的，发包人将均不予签证。</w:t>
      </w:r>
    </w:p>
    <w:p w14:paraId="32F17E3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10.5承包人的合理化建议</w:t>
      </w:r>
    </w:p>
    <w:p w14:paraId="3B25F91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监理人审查承包人合理化建议的期限：</w:t>
      </w:r>
      <w:r>
        <w:rPr>
          <w:rFonts w:hint="eastAsia" w:ascii="宋体" w:hAnsi="宋体" w:eastAsia="宋体" w:cs="宋体"/>
          <w:color w:val="auto"/>
          <w:sz w:val="21"/>
          <w:szCs w:val="21"/>
          <w:highlight w:val="none"/>
          <w:u w:val="single"/>
        </w:rPr>
        <w:t>按通用条款</w:t>
      </w:r>
      <w:r>
        <w:rPr>
          <w:rFonts w:hint="eastAsia" w:ascii="宋体" w:hAnsi="宋体" w:eastAsia="宋体" w:cs="宋体"/>
          <w:color w:val="auto"/>
          <w:sz w:val="21"/>
          <w:szCs w:val="21"/>
          <w:highlight w:val="none"/>
        </w:rPr>
        <w:t>。</w:t>
      </w:r>
    </w:p>
    <w:p w14:paraId="039EF32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发包人审批承包人合理化建议的期限：</w:t>
      </w:r>
      <w:r>
        <w:rPr>
          <w:rFonts w:hint="eastAsia" w:ascii="宋体" w:hAnsi="宋体" w:eastAsia="宋体" w:cs="宋体"/>
          <w:color w:val="auto"/>
          <w:sz w:val="21"/>
          <w:szCs w:val="21"/>
          <w:highlight w:val="none"/>
          <w:u w:val="single"/>
        </w:rPr>
        <w:t>按通用条款</w:t>
      </w:r>
      <w:r>
        <w:rPr>
          <w:rFonts w:hint="eastAsia" w:ascii="宋体" w:hAnsi="宋体" w:eastAsia="宋体" w:cs="宋体"/>
          <w:color w:val="auto"/>
          <w:sz w:val="21"/>
          <w:szCs w:val="21"/>
          <w:highlight w:val="none"/>
        </w:rPr>
        <w:t>。</w:t>
      </w:r>
    </w:p>
    <w:p w14:paraId="462DE679">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承包人提出的合理化建议降低了合同价格或者提高了工程经济效益的奖励的方法和金额为：</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w:t>
      </w:r>
    </w:p>
    <w:p w14:paraId="3F31191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10.7 暂估价</w:t>
      </w:r>
    </w:p>
    <w:p w14:paraId="77C2CD8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暂估价材料和工程设备的明细详见附件11：《暂估价一览表》。</w:t>
      </w:r>
    </w:p>
    <w:p w14:paraId="741E99A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10.7.1 依法必须招标的暂估价项目</w:t>
      </w:r>
    </w:p>
    <w:p w14:paraId="34D47A5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对于依法必须招标的暂估价项目的确认和批准采取第</w:t>
      </w:r>
      <w:r>
        <w:rPr>
          <w:rFonts w:hint="eastAsia" w:ascii="宋体" w:hAnsi="宋体" w:eastAsia="宋体" w:cs="宋体"/>
          <w:color w:val="auto"/>
          <w:sz w:val="21"/>
          <w:szCs w:val="21"/>
          <w:highlight w:val="none"/>
          <w:u w:val="single"/>
        </w:rPr>
        <w:t>2</w:t>
      </w:r>
      <w:r>
        <w:rPr>
          <w:rFonts w:hint="eastAsia" w:ascii="宋体" w:hAnsi="宋体" w:eastAsia="宋体" w:cs="宋体"/>
          <w:color w:val="auto"/>
          <w:sz w:val="21"/>
          <w:szCs w:val="21"/>
          <w:highlight w:val="none"/>
        </w:rPr>
        <w:t>种方式确定。</w:t>
      </w:r>
    </w:p>
    <w:p w14:paraId="23CC8F2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10.7.2 不属于依法必须招标的暂估价项目</w:t>
      </w:r>
    </w:p>
    <w:p w14:paraId="4ECFA18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对于不属于依法必须招标的暂估价项目的确认和批准采取第</w:t>
      </w:r>
      <w:r>
        <w:rPr>
          <w:rFonts w:hint="eastAsia" w:ascii="宋体" w:hAnsi="宋体" w:eastAsia="宋体" w:cs="宋体"/>
          <w:color w:val="auto"/>
          <w:sz w:val="21"/>
          <w:szCs w:val="21"/>
          <w:highlight w:val="none"/>
          <w:u w:val="single"/>
        </w:rPr>
        <w:t>2</w:t>
      </w:r>
      <w:r>
        <w:rPr>
          <w:rFonts w:hint="eastAsia" w:ascii="宋体" w:hAnsi="宋体" w:eastAsia="宋体" w:cs="宋体"/>
          <w:color w:val="auto"/>
          <w:sz w:val="21"/>
          <w:szCs w:val="21"/>
          <w:highlight w:val="none"/>
        </w:rPr>
        <w:t>种方式确定。</w:t>
      </w:r>
    </w:p>
    <w:p w14:paraId="4110F92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第3种方式：承包人直接实施的暂估价项目</w:t>
      </w:r>
    </w:p>
    <w:p w14:paraId="654B13B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承包人直接实施的暂估价项目的约定：</w:t>
      </w:r>
      <w:r>
        <w:rPr>
          <w:rFonts w:hint="eastAsia" w:ascii="宋体" w:hAnsi="宋体" w:eastAsia="宋体" w:cs="宋体"/>
          <w:color w:val="auto"/>
          <w:sz w:val="21"/>
          <w:szCs w:val="21"/>
          <w:highlight w:val="none"/>
          <w:u w:val="single"/>
        </w:rPr>
        <w:t xml:space="preserve">  本项目不设置 </w:t>
      </w:r>
      <w:r>
        <w:rPr>
          <w:rFonts w:hint="eastAsia" w:ascii="宋体" w:hAnsi="宋体" w:eastAsia="宋体" w:cs="宋体"/>
          <w:color w:val="auto"/>
          <w:sz w:val="21"/>
          <w:szCs w:val="21"/>
          <w:highlight w:val="none"/>
        </w:rPr>
        <w:t>。</w:t>
      </w:r>
    </w:p>
    <w:p w14:paraId="1AE57DE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10.8 暂列金额</w:t>
      </w:r>
    </w:p>
    <w:p w14:paraId="66A3FC2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合同当事人关于暂列金额使用的约定：</w:t>
      </w:r>
      <w:r>
        <w:rPr>
          <w:rFonts w:hint="eastAsia" w:ascii="宋体" w:hAnsi="宋体" w:eastAsia="宋体" w:cs="宋体"/>
          <w:color w:val="auto"/>
          <w:sz w:val="21"/>
          <w:szCs w:val="21"/>
          <w:highlight w:val="none"/>
          <w:u w:val="single"/>
        </w:rPr>
        <w:t xml:space="preserve"> 本项目不设置  </w:t>
      </w:r>
      <w:r>
        <w:rPr>
          <w:rFonts w:hint="eastAsia" w:ascii="宋体" w:hAnsi="宋体" w:eastAsia="宋体" w:cs="宋体"/>
          <w:color w:val="auto"/>
          <w:sz w:val="21"/>
          <w:szCs w:val="21"/>
          <w:highlight w:val="none"/>
        </w:rPr>
        <w:t>。</w:t>
      </w:r>
    </w:p>
    <w:p w14:paraId="39DEEFE6">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 价格调整</w:t>
      </w:r>
    </w:p>
    <w:p w14:paraId="196C5B44">
      <w:pPr>
        <w:spacing w:line="360" w:lineRule="auto"/>
        <w:ind w:firstLine="420" w:firstLineChars="200"/>
        <w:rPr>
          <w:rFonts w:hint="eastAsia" w:ascii="宋体" w:hAnsi="宋体" w:eastAsia="宋体" w:cs="宋体"/>
          <w:color w:val="auto"/>
          <w:sz w:val="21"/>
          <w:szCs w:val="21"/>
          <w:highlight w:val="none"/>
        </w:rPr>
      </w:pPr>
      <w:bookmarkStart w:id="92" w:name="_Toc297120501"/>
      <w:bookmarkStart w:id="93" w:name="_Toc297216209"/>
      <w:bookmarkStart w:id="94" w:name="_Toc296891029"/>
      <w:bookmarkStart w:id="95" w:name="_Toc296347200"/>
      <w:bookmarkStart w:id="96" w:name="_Toc303539157"/>
      <w:bookmarkStart w:id="97" w:name="_Toc296503201"/>
      <w:bookmarkStart w:id="98" w:name="_Toc300935000"/>
      <w:bookmarkStart w:id="99" w:name="_Toc292559406"/>
      <w:bookmarkStart w:id="100" w:name="_Toc296891241"/>
      <w:bookmarkStart w:id="101" w:name="_Toc292559911"/>
      <w:bookmarkStart w:id="102" w:name="_Toc297123550"/>
      <w:bookmarkStart w:id="103" w:name="_Toc297048387"/>
      <w:bookmarkStart w:id="104" w:name="_Toc296346702"/>
      <w:bookmarkStart w:id="105" w:name="_Toc312678039"/>
      <w:bookmarkStart w:id="106" w:name="_Toc304295577"/>
      <w:bookmarkStart w:id="107" w:name="_Toc296944540"/>
      <w:r>
        <w:rPr>
          <w:rFonts w:hint="eastAsia" w:ascii="宋体" w:hAnsi="宋体" w:eastAsia="宋体" w:cs="宋体"/>
          <w:color w:val="auto"/>
          <w:sz w:val="21"/>
          <w:szCs w:val="21"/>
          <w:highlight w:val="none"/>
        </w:rPr>
        <w:t>11.1 市场价格波动引起的调整</w:t>
      </w:r>
    </w:p>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14:paraId="3EB30F8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市场价格波动是否调整合同价格的约定：</w:t>
      </w:r>
      <w:r>
        <w:rPr>
          <w:rFonts w:hint="eastAsia" w:ascii="宋体" w:hAnsi="宋体" w:eastAsia="宋体" w:cs="宋体"/>
          <w:color w:val="auto"/>
          <w:sz w:val="21"/>
          <w:szCs w:val="21"/>
          <w:highlight w:val="none"/>
          <w:u w:val="single"/>
        </w:rPr>
        <w:t xml:space="preserve">    不调整    </w:t>
      </w:r>
      <w:r>
        <w:rPr>
          <w:rFonts w:hint="eastAsia" w:ascii="宋体" w:hAnsi="宋体" w:eastAsia="宋体" w:cs="宋体"/>
          <w:color w:val="auto"/>
          <w:sz w:val="21"/>
          <w:szCs w:val="21"/>
          <w:highlight w:val="none"/>
        </w:rPr>
        <w:t>。</w:t>
      </w:r>
    </w:p>
    <w:p w14:paraId="29FB1AB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因市场价格波动调整合同价格，采用以下第</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种方式对合同价格进行调整：</w:t>
      </w:r>
    </w:p>
    <w:p w14:paraId="4CE87A8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第1种方式：采用价格指数进行价格调整。</w:t>
      </w:r>
    </w:p>
    <w:p w14:paraId="22FFC5C0">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关于各可调因子、定值和变值权重，以及基本价格指数及其来源的约定：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w:t>
      </w:r>
    </w:p>
    <w:p w14:paraId="6BFDD04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第2种方式：采用造价信息进行价格调整。</w:t>
      </w:r>
    </w:p>
    <w:p w14:paraId="4251C33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（2）关于基准价格的约定：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4AFE9C7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第3种方式：其他价格调整方式：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3EFE761">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12. 合同价格、计量与支付</w:t>
      </w:r>
    </w:p>
    <w:p w14:paraId="6F5BFF4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 合同价格形式：</w:t>
      </w:r>
      <w:r>
        <w:rPr>
          <w:rFonts w:hint="eastAsia" w:ascii="宋体" w:hAnsi="宋体" w:eastAsia="宋体" w:cs="宋体"/>
          <w:b/>
          <w:color w:val="auto"/>
          <w:sz w:val="21"/>
          <w:szCs w:val="21"/>
          <w:highlight w:val="none"/>
          <w:u w:val="single"/>
        </w:rPr>
        <w:t>本工程采用单价合同</w:t>
      </w:r>
    </w:p>
    <w:p w14:paraId="39AD6C9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1、单价合同。</w:t>
      </w:r>
    </w:p>
    <w:p w14:paraId="2DE94453">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综合单价包含的风险范围：</w:t>
      </w:r>
    </w:p>
    <w:p w14:paraId="60F5923A">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承包人在编制投标书时，应被认为已察看和核查了现场和其周围环境，并已经充分掌握工程现场的地表周围和地下如地下水等情况，并对该处的气象等因素作了充分的预测以及与之有关的可利用的资料（包括当地有关工程施工的管理规定），并对以下几点内容（考虑到费用和时间实际可能）已经查明：</w:t>
      </w:r>
    </w:p>
    <w:p w14:paraId="78A00A8F">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a. 现场的地形地貌和特征，包括地表及地下水等情况；</w:t>
      </w:r>
    </w:p>
    <w:p w14:paraId="382E6F8A">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b. 水文和气候条件；</w:t>
      </w:r>
    </w:p>
    <w:p w14:paraId="6EB2477F">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c. 实施和完成本合同工程及其工程保修所需做的工作范围、性质和所需用的材料采购和加工；</w:t>
      </w:r>
    </w:p>
    <w:p w14:paraId="7D925510">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d. 进入现场的手段和需要的食宿供应条件；</w:t>
      </w:r>
    </w:p>
    <w:p w14:paraId="6A766618">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e. 承包方己取得有关可能对投标或报价有影响或起作用的风险、意外及其所有其他情况的必要资料。</w:t>
      </w:r>
    </w:p>
    <w:p w14:paraId="30EF6D1B">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（2）：承包人在编制投标书时，应被认为已考虑了以下风险因素：</w:t>
      </w:r>
    </w:p>
    <w:p w14:paraId="205E80E2">
      <w:pPr>
        <w:kinsoku w:val="0"/>
        <w:overflowPunct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a. 合同执行期间，工程造价管理部门公布的价格变化（第11.1款规定的人工及可调材料除外）；</w:t>
      </w:r>
    </w:p>
    <w:p w14:paraId="1FE875E2">
      <w:pPr>
        <w:kinsoku w:val="0"/>
        <w:overflowPunct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b. 合同执行期内，人工、材料、机械费价格的市场变化；</w:t>
      </w:r>
    </w:p>
    <w:p w14:paraId="48A01D31">
      <w:pPr>
        <w:kinsoku w:val="0"/>
        <w:overflowPunct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c. 合同执行期内，施工临时停电、停水造成的停工；</w:t>
      </w:r>
    </w:p>
    <w:p w14:paraId="1A9D95F9">
      <w:pPr>
        <w:kinsoku w:val="0"/>
        <w:overflowPunct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d. 合同执行期内，因客观原因造成承包人停工、窝工；</w:t>
      </w:r>
    </w:p>
    <w:p w14:paraId="24490D2A">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e. 合同执行期内可能发生的其他费用，包括市政、市容、环保、交通、治安等。</w:t>
      </w:r>
    </w:p>
    <w:p w14:paraId="603DAE47">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（3）：承包人在编制投标书时，应被认为已考虑了本合同的其他风险条款。</w:t>
      </w:r>
    </w:p>
    <w:p w14:paraId="6671807C">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风险费用的计算方法：</w:t>
      </w:r>
      <w:r>
        <w:rPr>
          <w:rFonts w:hint="eastAsia" w:ascii="宋体" w:hAnsi="宋体" w:eastAsia="宋体" w:cs="宋体"/>
          <w:color w:val="auto"/>
          <w:sz w:val="21"/>
          <w:szCs w:val="21"/>
          <w:highlight w:val="none"/>
          <w:u w:val="single"/>
        </w:rPr>
        <w:t>投标单位在投标时根据招标要求自行确定，风险因素范围内的风险费用不在合同价外另行计列及调整。</w:t>
      </w:r>
    </w:p>
    <w:p w14:paraId="44C920DF">
      <w:pPr>
        <w:tabs>
          <w:tab w:val="center" w:pos="4723"/>
        </w:tabs>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风险范围以外合同价格的调整方法：</w:t>
      </w:r>
    </w:p>
    <w:p w14:paraId="59162267">
      <w:pPr>
        <w:spacing w:line="360" w:lineRule="auto"/>
        <w:ind w:firstLine="420" w:firstLineChars="200"/>
        <w:jc w:val="both"/>
        <w:rPr>
          <w:rFonts w:hint="eastAsia" w:ascii="宋体" w:hAnsi="宋体" w:eastAsia="宋体" w:cs="宋体"/>
          <w:b/>
          <w:bCs/>
          <w:color w:val="auto"/>
          <w:sz w:val="21"/>
          <w:szCs w:val="21"/>
          <w:highlight w:val="none"/>
          <w:u w:val="single"/>
        </w:rPr>
      </w:pPr>
      <w:r>
        <w:rPr>
          <w:rFonts w:hint="eastAsia" w:ascii="宋体" w:hAnsi="宋体" w:eastAsia="宋体" w:cs="宋体"/>
          <w:color w:val="auto"/>
          <w:sz w:val="21"/>
          <w:szCs w:val="21"/>
          <w:highlight w:val="none"/>
        </w:rPr>
        <w:t>（1）分部分项工程量清单项目工程数量的调整：</w:t>
      </w:r>
      <w:r>
        <w:rPr>
          <w:rFonts w:hint="eastAsia" w:ascii="宋体" w:hAnsi="宋体" w:eastAsia="宋体" w:cs="宋体"/>
          <w:color w:val="auto"/>
          <w:sz w:val="21"/>
          <w:szCs w:val="21"/>
          <w:highlight w:val="none"/>
          <w:u w:val="single"/>
        </w:rPr>
        <w:t>分部分项清单工程量（明确一次性包干或结算不作调整的项目和费用外）按</w:t>
      </w:r>
      <w:r>
        <w:rPr>
          <w:rFonts w:hint="eastAsia" w:ascii="宋体" w:hAnsi="宋体" w:eastAsia="宋体" w:cs="宋体"/>
          <w:b/>
          <w:bCs/>
          <w:color w:val="auto"/>
          <w:sz w:val="21"/>
          <w:szCs w:val="21"/>
          <w:highlight w:val="none"/>
          <w:u w:val="single"/>
        </w:rPr>
        <w:t>《建设工程工程量清单计价规范》（GB50500－2013）、《通用安装工程工程量计算规范》（GB50856- 2013）、《市政工程工程量计算规范》（GB50857-2013）、施工图、会审纪要、联系单等按实计算。</w:t>
      </w:r>
    </w:p>
    <w:p w14:paraId="637CD8C8">
      <w:pPr>
        <w:tabs>
          <w:tab w:val="center" w:pos="4723"/>
        </w:tabs>
        <w:spacing w:line="360" w:lineRule="auto"/>
        <w:ind w:firstLine="420" w:firstLineChars="200"/>
        <w:rPr>
          <w:rFonts w:hint="eastAsia" w:ascii="宋体" w:hAnsi="宋体" w:eastAsia="宋体" w:cs="宋体"/>
          <w:b/>
          <w:bCs/>
          <w:color w:val="auto"/>
          <w:sz w:val="21"/>
          <w:szCs w:val="21"/>
          <w:highlight w:val="none"/>
          <w:u w:val="single"/>
        </w:rPr>
      </w:pPr>
      <w:r>
        <w:rPr>
          <w:rFonts w:hint="eastAsia" w:ascii="宋体" w:hAnsi="宋体" w:eastAsia="宋体" w:cs="宋体"/>
          <w:color w:val="auto"/>
          <w:sz w:val="21"/>
          <w:szCs w:val="21"/>
          <w:highlight w:val="none"/>
        </w:rPr>
        <w:t>（2）措施项目工程量清单项目工程数量的调整：</w:t>
      </w:r>
      <w:r>
        <w:rPr>
          <w:rFonts w:hint="eastAsia" w:ascii="宋体" w:hAnsi="宋体" w:eastAsia="宋体" w:cs="宋体"/>
          <w:b/>
          <w:bCs/>
          <w:color w:val="auto"/>
          <w:sz w:val="21"/>
          <w:szCs w:val="21"/>
          <w:highlight w:val="none"/>
          <w:u w:val="single"/>
        </w:rPr>
        <w:t>施工技术措施费按实结算，其中以“项”、“次”为计量单位的技术措施费为一次性包干费用，结算时不作调整。新增项目（会审纪要、联系单等）引起施工技术措施费调整的，则施工技术措施费按实调整。</w:t>
      </w:r>
    </w:p>
    <w:p w14:paraId="6B10F70B">
      <w:pPr>
        <w:tabs>
          <w:tab w:val="center" w:pos="4723"/>
        </w:tabs>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（3）分部分项工程量清单项目综合单价的调整：</w:t>
      </w:r>
      <w:r>
        <w:rPr>
          <w:rFonts w:hint="eastAsia" w:ascii="宋体" w:hAnsi="宋体" w:eastAsia="宋体" w:cs="宋体"/>
          <w:color w:val="auto"/>
          <w:sz w:val="21"/>
          <w:szCs w:val="21"/>
          <w:highlight w:val="none"/>
          <w:u w:val="single"/>
        </w:rPr>
        <w:t>按合同专用条款10.4.1“ 变更估价原则”执行。</w:t>
      </w:r>
    </w:p>
    <w:p w14:paraId="2F2DA6F1">
      <w:pPr>
        <w:spacing w:line="360" w:lineRule="auto"/>
        <w:ind w:firstLine="407" w:firstLineChars="19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（4）市场价格波动引起的调整：</w:t>
      </w:r>
      <w:r>
        <w:rPr>
          <w:rFonts w:hint="eastAsia" w:ascii="宋体" w:hAnsi="宋体" w:eastAsia="宋体" w:cs="宋体"/>
          <w:color w:val="auto"/>
          <w:sz w:val="21"/>
          <w:szCs w:val="21"/>
          <w:highlight w:val="none"/>
          <w:u w:val="single"/>
        </w:rPr>
        <w:t>按合同第11.1款规定执行</w:t>
      </w:r>
      <w:r>
        <w:rPr>
          <w:rFonts w:hint="eastAsia" w:ascii="宋体" w:hAnsi="宋体" w:eastAsia="宋体" w:cs="宋体"/>
          <w:color w:val="auto"/>
          <w:sz w:val="21"/>
          <w:szCs w:val="21"/>
          <w:highlight w:val="none"/>
        </w:rPr>
        <w:t>。</w:t>
      </w:r>
    </w:p>
    <w:p w14:paraId="739BC4A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3、其他价格方式：</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0B16F2D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 预付款</w:t>
      </w:r>
    </w:p>
    <w:p w14:paraId="340E7A0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12.2.1 预付款的支付</w:t>
      </w:r>
    </w:p>
    <w:p w14:paraId="058251A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预付款支付比例或金额：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1、合</w:t>
      </w:r>
      <w:r>
        <w:rPr>
          <w:rFonts w:hint="eastAsia" w:ascii="宋体" w:hAnsi="宋体" w:eastAsia="宋体" w:cs="宋体"/>
          <w:color w:val="auto"/>
          <w:sz w:val="21"/>
          <w:szCs w:val="21"/>
          <w:highlight w:val="none"/>
          <w:u w:val="single"/>
        </w:rPr>
        <w:t>同价的</w:t>
      </w:r>
      <w:r>
        <w:rPr>
          <w:rFonts w:hint="eastAsia" w:ascii="宋体" w:hAnsi="宋体" w:eastAsia="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single"/>
        </w:rPr>
        <w:t>0%</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含</w:t>
      </w:r>
      <w:r>
        <w:rPr>
          <w:rFonts w:hint="eastAsia" w:ascii="宋体" w:hAnsi="宋体" w:eastAsia="宋体" w:cs="宋体"/>
          <w:color w:val="auto"/>
          <w:sz w:val="21"/>
          <w:szCs w:val="21"/>
          <w:highlight w:val="none"/>
          <w:u w:val="single"/>
        </w:rPr>
        <w:t>农民工工资</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rPr>
        <w:t>。</w:t>
      </w:r>
    </w:p>
    <w:p w14:paraId="6F32B16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预付款支付期限：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合同签订后7日内</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FCBA28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预付款扣回的方式：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rPr>
        <w:t>。</w:t>
      </w:r>
    </w:p>
    <w:p w14:paraId="6BF50C9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12.2.2 预付款担保</w:t>
      </w:r>
    </w:p>
    <w:p w14:paraId="3D12ADB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承包人提交预付款担保的期限：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347623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预付款担保的形式为：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rPr>
        <w:t>。</w:t>
      </w:r>
    </w:p>
    <w:p w14:paraId="1A790C8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 计量</w:t>
      </w:r>
    </w:p>
    <w:p w14:paraId="5EE5ECB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12.3.1 计量原则</w:t>
      </w:r>
    </w:p>
    <w:p w14:paraId="17999C44">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工程量计算规则：</w:t>
      </w:r>
      <w:r>
        <w:rPr>
          <w:rFonts w:hint="eastAsia" w:ascii="宋体" w:hAnsi="宋体" w:eastAsia="宋体" w:cs="宋体"/>
          <w:b/>
          <w:color w:val="auto"/>
          <w:sz w:val="21"/>
          <w:szCs w:val="21"/>
          <w:highlight w:val="none"/>
          <w:u w:val="single"/>
        </w:rPr>
        <w:t>按照《建设工程工程量清单计价规范》（GB50500-2013）、《房屋建筑与装饰工程工程量计算规范》（GB50854-2013）、《通用安装工程工程量计算规范》（GB50856- 2013）、《市政工程工程量计算规范》（GB50857-2013）浙江省配合贯彻《建设工程工程量清单计价规范》（GB50500-2013版）相关补充和调整管理规定及相关计价依据所规定的工程量计算规则计算</w:t>
      </w:r>
      <w:r>
        <w:rPr>
          <w:rFonts w:hint="eastAsia" w:ascii="宋体" w:hAnsi="宋体" w:eastAsia="宋体" w:cs="宋体"/>
          <w:color w:val="auto"/>
          <w:sz w:val="21"/>
          <w:szCs w:val="21"/>
          <w:highlight w:val="none"/>
          <w:u w:val="single"/>
        </w:rPr>
        <w:t>。</w:t>
      </w:r>
    </w:p>
    <w:p w14:paraId="05FD95C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12.3.2 计量周期</w:t>
      </w:r>
    </w:p>
    <w:p w14:paraId="3973220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关于计量周期的约定：</w:t>
      </w:r>
      <w:r>
        <w:rPr>
          <w:rFonts w:hint="eastAsia" w:ascii="宋体" w:hAnsi="宋体" w:eastAsia="宋体" w:cs="宋体"/>
          <w:color w:val="auto"/>
          <w:sz w:val="21"/>
          <w:szCs w:val="21"/>
          <w:highlight w:val="none"/>
          <w:u w:val="single"/>
        </w:rPr>
        <w:t xml:space="preserve">   按月进度   </w:t>
      </w:r>
      <w:r>
        <w:rPr>
          <w:rFonts w:hint="eastAsia" w:ascii="宋体" w:hAnsi="宋体" w:eastAsia="宋体" w:cs="宋体"/>
          <w:color w:val="auto"/>
          <w:sz w:val="21"/>
          <w:szCs w:val="21"/>
          <w:highlight w:val="none"/>
        </w:rPr>
        <w:t>。</w:t>
      </w:r>
    </w:p>
    <w:p w14:paraId="16EA95D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12.3.3 单价合同的计量</w:t>
      </w:r>
    </w:p>
    <w:p w14:paraId="58E2DA8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关于单价合同计量的约定：</w:t>
      </w:r>
      <w:r>
        <w:rPr>
          <w:rFonts w:hint="eastAsia" w:ascii="宋体" w:hAnsi="宋体" w:eastAsia="宋体" w:cs="宋体"/>
          <w:color w:val="auto"/>
          <w:sz w:val="21"/>
          <w:szCs w:val="21"/>
          <w:highlight w:val="none"/>
          <w:u w:val="single"/>
        </w:rPr>
        <w:t xml:space="preserve">   按通用条款   </w:t>
      </w:r>
      <w:r>
        <w:rPr>
          <w:rFonts w:hint="eastAsia" w:ascii="宋体" w:hAnsi="宋体" w:eastAsia="宋体" w:cs="宋体"/>
          <w:color w:val="auto"/>
          <w:sz w:val="21"/>
          <w:szCs w:val="21"/>
          <w:highlight w:val="none"/>
        </w:rPr>
        <w:t>。</w:t>
      </w:r>
    </w:p>
    <w:p w14:paraId="1FBBA70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12.3.4 总价合同的计量</w:t>
      </w:r>
    </w:p>
    <w:p w14:paraId="6666D23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关于总价合同计量的约定：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65014AB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12.3.5总价合同采用支付分解表计量支付的，是否适用第12.3.4 项〔总价合同的计量〕约定进行计量：</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514E6F2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12.3.6 其他价格形式合同的计量</w:t>
      </w:r>
    </w:p>
    <w:p w14:paraId="328533A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其他价格形式的计量方式和程序：</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5F02FB0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 工程进度款支付</w:t>
      </w:r>
    </w:p>
    <w:p w14:paraId="67AB9D5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12.4.1 付款周期</w:t>
      </w:r>
    </w:p>
    <w:p w14:paraId="5D44AE75">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关于付款周期的约定： </w:t>
      </w:r>
    </w:p>
    <w:p w14:paraId="3E1383DA">
      <w:pPr>
        <w:spacing w:line="360" w:lineRule="auto"/>
        <w:ind w:firstLine="422" w:firstLineChars="200"/>
        <w:jc w:val="both"/>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1.在合同生效以及具备实施条件后7个工作日内支付合同金额的40%预付款；</w:t>
      </w:r>
    </w:p>
    <w:p w14:paraId="1A0C3736">
      <w:pPr>
        <w:spacing w:line="360" w:lineRule="auto"/>
        <w:ind w:firstLine="422" w:firstLineChars="200"/>
        <w:jc w:val="both"/>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2.项目完成且验收合格后30个工作日内支付至合同价的85%；余款在结算审计完成后</w:t>
      </w:r>
      <w:r>
        <w:rPr>
          <w:rFonts w:hint="eastAsia" w:ascii="宋体" w:hAnsi="宋体" w:cs="宋体"/>
          <w:b/>
          <w:bCs/>
          <w:color w:val="auto"/>
          <w:sz w:val="21"/>
          <w:szCs w:val="21"/>
          <w:highlight w:val="none"/>
          <w:lang w:val="en-US" w:eastAsia="zh-CN"/>
        </w:rPr>
        <w:t>承包人向发包人支付结算价1.5%的质量保证金后支付至结算价的100%</w:t>
      </w:r>
      <w:r>
        <w:rPr>
          <w:rFonts w:hint="eastAsia" w:ascii="宋体" w:hAnsi="宋体" w:eastAsia="宋体" w:cs="宋体"/>
          <w:b/>
          <w:bCs/>
          <w:color w:val="auto"/>
          <w:sz w:val="21"/>
          <w:szCs w:val="21"/>
          <w:highlight w:val="none"/>
          <w:lang w:val="en-US" w:eastAsia="zh-CN"/>
        </w:rPr>
        <w:t>。</w:t>
      </w:r>
    </w:p>
    <w:p w14:paraId="05C257BD">
      <w:pPr>
        <w:spacing w:line="360" w:lineRule="auto"/>
        <w:ind w:firstLine="420" w:firstLineChars="200"/>
        <w:jc w:val="both"/>
        <w:rPr>
          <w:rFonts w:hint="eastAsia" w:ascii="宋体" w:hAnsi="宋体" w:eastAsia="宋体" w:cs="宋体"/>
          <w:bCs/>
          <w:color w:val="auto"/>
          <w:sz w:val="21"/>
          <w:szCs w:val="21"/>
          <w:highlight w:val="none"/>
          <w:u w:val="single"/>
          <w:lang w:val="en-US" w:eastAsia="zh-CN"/>
        </w:rPr>
      </w:pPr>
      <w:r>
        <w:rPr>
          <w:rFonts w:hint="eastAsia" w:ascii="宋体" w:hAnsi="宋体" w:eastAsia="宋体" w:cs="宋体"/>
          <w:bCs/>
          <w:color w:val="auto"/>
          <w:sz w:val="21"/>
          <w:szCs w:val="21"/>
          <w:highlight w:val="none"/>
          <w:u w:val="single"/>
          <w:lang w:val="en-US" w:eastAsia="zh-CN"/>
        </w:rPr>
        <w:t xml:space="preserve">注：①本项目严格执行嘉兴市秀洲区人力资源和社会保障局等4部门《秀洲区工程建设领域农民工工资专用账户及工资保证金管理实施细则（试行）》（秀洲人社【2022】18号）及浙江省住房和城乡建设厅等11部门《关于在全省工程建设领域改革保证金制度的通知》（浙建〔2020〕7号），中标人要开设农民工工资预储专用存款账户并为农民工办理银行工资卡，建设单位拨付的工程款将按农民工工资或劳务费所占的合理比例列入存款账户，专项用于支付农民工工资。 </w:t>
      </w:r>
    </w:p>
    <w:p w14:paraId="38097DB4">
      <w:pPr>
        <w:spacing w:line="360" w:lineRule="auto"/>
        <w:ind w:firstLine="420" w:firstLineChars="200"/>
        <w:jc w:val="both"/>
        <w:rPr>
          <w:rFonts w:hint="eastAsia" w:ascii="宋体" w:hAnsi="宋体" w:eastAsia="宋体" w:cs="宋体"/>
          <w:bCs/>
          <w:color w:val="auto"/>
          <w:sz w:val="21"/>
          <w:szCs w:val="21"/>
          <w:highlight w:val="none"/>
          <w:u w:val="single"/>
          <w:lang w:val="en-US" w:eastAsia="zh-CN"/>
        </w:rPr>
      </w:pPr>
      <w:r>
        <w:rPr>
          <w:rFonts w:hint="eastAsia" w:ascii="宋体" w:hAnsi="宋体" w:eastAsia="宋体" w:cs="宋体"/>
          <w:bCs/>
          <w:color w:val="auto"/>
          <w:sz w:val="21"/>
          <w:szCs w:val="21"/>
          <w:highlight w:val="none"/>
          <w:u w:val="single"/>
          <w:lang w:val="en-US" w:eastAsia="zh-CN"/>
        </w:rPr>
        <w:t xml:space="preserve">②所有工程联系单均送审前一并提交，且工程联系单等增加部分在工程结算审定后一并支付。 </w:t>
      </w:r>
    </w:p>
    <w:p w14:paraId="16F78336">
      <w:pPr>
        <w:spacing w:line="360" w:lineRule="auto"/>
        <w:ind w:firstLine="420" w:firstLineChars="200"/>
        <w:jc w:val="both"/>
        <w:rPr>
          <w:rFonts w:hint="eastAsia" w:ascii="宋体" w:hAnsi="宋体" w:eastAsia="宋体" w:cs="宋体"/>
          <w:bCs/>
          <w:color w:val="auto"/>
          <w:sz w:val="21"/>
          <w:szCs w:val="21"/>
          <w:highlight w:val="none"/>
          <w:u w:val="single"/>
          <w:lang w:val="en-US" w:eastAsia="zh-CN"/>
        </w:rPr>
      </w:pPr>
      <w:r>
        <w:rPr>
          <w:rFonts w:hint="eastAsia" w:ascii="宋体" w:hAnsi="宋体" w:eastAsia="宋体" w:cs="宋体"/>
          <w:bCs/>
          <w:color w:val="auto"/>
          <w:sz w:val="21"/>
          <w:szCs w:val="21"/>
          <w:highlight w:val="none"/>
          <w:u w:val="single"/>
          <w:lang w:val="en-US" w:eastAsia="zh-CN"/>
        </w:rPr>
        <w:t xml:space="preserve">③对于承包人应承担的审价费用的核增减追加费。 </w:t>
      </w:r>
    </w:p>
    <w:p w14:paraId="7C5CE51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12.4.2 进度付款申请单的编制。</w:t>
      </w:r>
    </w:p>
    <w:p w14:paraId="136C575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关于进度付款申请单编制的约定：</w:t>
      </w:r>
      <w:r>
        <w:rPr>
          <w:rFonts w:hint="eastAsia" w:ascii="宋体" w:hAnsi="宋体" w:eastAsia="宋体" w:cs="宋体"/>
          <w:color w:val="auto"/>
          <w:sz w:val="21"/>
          <w:szCs w:val="21"/>
          <w:highlight w:val="none"/>
          <w:u w:val="single"/>
        </w:rPr>
        <w:t xml:space="preserve">  每月25日前  </w:t>
      </w:r>
      <w:r>
        <w:rPr>
          <w:rFonts w:hint="eastAsia" w:ascii="宋体" w:hAnsi="宋体" w:eastAsia="宋体" w:cs="宋体"/>
          <w:color w:val="auto"/>
          <w:sz w:val="21"/>
          <w:szCs w:val="21"/>
          <w:highlight w:val="none"/>
        </w:rPr>
        <w:t>。</w:t>
      </w:r>
    </w:p>
    <w:p w14:paraId="385C292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12.4.3 进度付款申请单的提交</w:t>
      </w:r>
    </w:p>
    <w:p w14:paraId="33DF815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（1）单价合同进度付款申请单提交的约定：</w:t>
      </w:r>
      <w:r>
        <w:rPr>
          <w:rFonts w:hint="eastAsia" w:ascii="宋体" w:hAnsi="宋体" w:eastAsia="宋体" w:cs="宋体"/>
          <w:color w:val="auto"/>
          <w:sz w:val="21"/>
          <w:szCs w:val="21"/>
          <w:highlight w:val="none"/>
          <w:u w:val="single"/>
        </w:rPr>
        <w:t xml:space="preserve">  每月25日前  </w:t>
      </w:r>
      <w:r>
        <w:rPr>
          <w:rFonts w:hint="eastAsia" w:ascii="宋体" w:hAnsi="宋体" w:eastAsia="宋体" w:cs="宋体"/>
          <w:color w:val="auto"/>
          <w:sz w:val="21"/>
          <w:szCs w:val="21"/>
          <w:highlight w:val="none"/>
        </w:rPr>
        <w:t>。</w:t>
      </w:r>
    </w:p>
    <w:p w14:paraId="4FE7A79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（2）总价合同进度付款申请单提交的约定：</w:t>
      </w:r>
      <w:r>
        <w:rPr>
          <w:rFonts w:hint="eastAsia" w:ascii="宋体" w:hAnsi="宋体" w:eastAsia="宋体" w:cs="宋体"/>
          <w:color w:val="auto"/>
          <w:sz w:val="21"/>
          <w:szCs w:val="21"/>
          <w:highlight w:val="none"/>
          <w:u w:val="single"/>
        </w:rPr>
        <w:t xml:space="preserve">   按通用条款   </w:t>
      </w:r>
      <w:r>
        <w:rPr>
          <w:rFonts w:hint="eastAsia" w:ascii="宋体" w:hAnsi="宋体" w:eastAsia="宋体" w:cs="宋体"/>
          <w:color w:val="auto"/>
          <w:sz w:val="21"/>
          <w:szCs w:val="21"/>
          <w:highlight w:val="none"/>
        </w:rPr>
        <w:t>。</w:t>
      </w:r>
    </w:p>
    <w:p w14:paraId="22700814">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（3）其他价格形式合同进度付款申请单提交的约定：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110E69B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12.4.4 进度款审核和支付</w:t>
      </w:r>
    </w:p>
    <w:p w14:paraId="000C9377">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（1）监理人审查并报送发包人的期限：</w:t>
      </w:r>
      <w:r>
        <w:rPr>
          <w:rFonts w:hint="eastAsia" w:ascii="宋体" w:hAnsi="宋体" w:eastAsia="宋体" w:cs="宋体"/>
          <w:color w:val="auto"/>
          <w:sz w:val="21"/>
          <w:szCs w:val="21"/>
          <w:highlight w:val="none"/>
          <w:u w:val="single"/>
        </w:rPr>
        <w:t xml:space="preserve">   按通用条款   </w:t>
      </w:r>
      <w:r>
        <w:rPr>
          <w:rFonts w:hint="eastAsia" w:ascii="宋体" w:hAnsi="宋体" w:eastAsia="宋体" w:cs="宋体"/>
          <w:color w:val="auto"/>
          <w:sz w:val="21"/>
          <w:szCs w:val="21"/>
          <w:highlight w:val="none"/>
        </w:rPr>
        <w:t>。</w:t>
      </w:r>
    </w:p>
    <w:p w14:paraId="6CB8E56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发包人完成审批并签发进度款支付证书的期限：</w:t>
      </w:r>
      <w:r>
        <w:rPr>
          <w:rFonts w:hint="eastAsia" w:ascii="宋体" w:hAnsi="宋体" w:eastAsia="宋体" w:cs="宋体"/>
          <w:color w:val="auto"/>
          <w:sz w:val="21"/>
          <w:szCs w:val="21"/>
          <w:highlight w:val="none"/>
          <w:u w:val="single"/>
        </w:rPr>
        <w:t xml:space="preserve">   按通用条款   </w:t>
      </w:r>
      <w:r>
        <w:rPr>
          <w:rFonts w:hint="eastAsia" w:ascii="宋体" w:hAnsi="宋体" w:eastAsia="宋体" w:cs="宋体"/>
          <w:color w:val="auto"/>
          <w:sz w:val="21"/>
          <w:szCs w:val="21"/>
          <w:highlight w:val="none"/>
        </w:rPr>
        <w:t>。</w:t>
      </w:r>
    </w:p>
    <w:p w14:paraId="1DECD24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（2）发包人支付进度款的期限：</w:t>
      </w:r>
      <w:r>
        <w:rPr>
          <w:rFonts w:hint="eastAsia" w:ascii="宋体" w:hAnsi="宋体" w:eastAsia="宋体" w:cs="宋体"/>
          <w:color w:val="auto"/>
          <w:sz w:val="21"/>
          <w:szCs w:val="21"/>
          <w:highlight w:val="none"/>
          <w:u w:val="single"/>
        </w:rPr>
        <w:t xml:space="preserve">   按通用条款   </w:t>
      </w:r>
      <w:r>
        <w:rPr>
          <w:rFonts w:hint="eastAsia" w:ascii="宋体" w:hAnsi="宋体" w:eastAsia="宋体" w:cs="宋体"/>
          <w:color w:val="auto"/>
          <w:sz w:val="21"/>
          <w:szCs w:val="21"/>
          <w:highlight w:val="none"/>
        </w:rPr>
        <w:t>。</w:t>
      </w:r>
    </w:p>
    <w:p w14:paraId="633831D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发包人逾期支付进度款的违约金的计算方式：</w:t>
      </w:r>
      <w:r>
        <w:rPr>
          <w:rFonts w:hint="eastAsia" w:ascii="宋体" w:hAnsi="宋体" w:eastAsia="宋体" w:cs="宋体"/>
          <w:color w:val="auto"/>
          <w:sz w:val="21"/>
          <w:szCs w:val="21"/>
          <w:highlight w:val="none"/>
          <w:u w:val="single"/>
        </w:rPr>
        <w:t xml:space="preserve">   按通用条款   </w:t>
      </w:r>
      <w:r>
        <w:rPr>
          <w:rFonts w:hint="eastAsia" w:ascii="宋体" w:hAnsi="宋体" w:eastAsia="宋体" w:cs="宋体"/>
          <w:color w:val="auto"/>
          <w:sz w:val="21"/>
          <w:szCs w:val="21"/>
          <w:highlight w:val="none"/>
        </w:rPr>
        <w:t>。</w:t>
      </w:r>
    </w:p>
    <w:p w14:paraId="762A695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12.4.6 支付分解表的编制</w:t>
      </w:r>
    </w:p>
    <w:p w14:paraId="63F7525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2、总价合同支付分解表的编制与审批：</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07A1C40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3、单价合同的总价项目支付分解表的编制与审批：</w:t>
      </w:r>
      <w:r>
        <w:rPr>
          <w:rFonts w:hint="eastAsia" w:ascii="宋体" w:hAnsi="宋体" w:eastAsia="宋体" w:cs="宋体"/>
          <w:color w:val="auto"/>
          <w:sz w:val="21"/>
          <w:szCs w:val="21"/>
          <w:highlight w:val="none"/>
          <w:u w:val="single"/>
        </w:rPr>
        <w:t xml:space="preserve">   按通用条款   </w:t>
      </w:r>
      <w:r>
        <w:rPr>
          <w:rFonts w:hint="eastAsia" w:ascii="宋体" w:hAnsi="宋体" w:eastAsia="宋体" w:cs="宋体"/>
          <w:color w:val="auto"/>
          <w:sz w:val="21"/>
          <w:szCs w:val="21"/>
          <w:highlight w:val="none"/>
        </w:rPr>
        <w:t>。</w:t>
      </w:r>
    </w:p>
    <w:p w14:paraId="3E351582">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 验收和工程试车</w:t>
      </w:r>
    </w:p>
    <w:p w14:paraId="0B3A50E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 分部分项工程验收</w:t>
      </w:r>
    </w:p>
    <w:p w14:paraId="7953C61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13.1.2监理人不能按时进行验收时，应提前</w:t>
      </w:r>
      <w:r>
        <w:rPr>
          <w:rFonts w:hint="eastAsia" w:ascii="宋体" w:hAnsi="宋体" w:eastAsia="宋体" w:cs="宋体"/>
          <w:color w:val="auto"/>
          <w:sz w:val="21"/>
          <w:szCs w:val="21"/>
          <w:highlight w:val="none"/>
          <w:u w:val="single"/>
        </w:rPr>
        <w:t>24</w:t>
      </w:r>
      <w:r>
        <w:rPr>
          <w:rFonts w:hint="eastAsia" w:ascii="宋体" w:hAnsi="宋体" w:eastAsia="宋体" w:cs="宋体"/>
          <w:color w:val="auto"/>
          <w:sz w:val="21"/>
          <w:szCs w:val="21"/>
          <w:highlight w:val="none"/>
        </w:rPr>
        <w:t>小时提交书面延期要求。</w:t>
      </w:r>
    </w:p>
    <w:p w14:paraId="60C2AB5A">
      <w:pPr>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关于延期最长不得超过：</w:t>
      </w:r>
      <w:r>
        <w:rPr>
          <w:rFonts w:hint="eastAsia" w:ascii="宋体" w:hAnsi="宋体" w:eastAsia="宋体" w:cs="宋体"/>
          <w:color w:val="auto"/>
          <w:sz w:val="21"/>
          <w:szCs w:val="21"/>
          <w:highlight w:val="none"/>
          <w:u w:val="single"/>
        </w:rPr>
        <w:t>48</w:t>
      </w:r>
      <w:r>
        <w:rPr>
          <w:rFonts w:hint="eastAsia" w:ascii="宋体" w:hAnsi="宋体" w:eastAsia="宋体" w:cs="宋体"/>
          <w:color w:val="auto"/>
          <w:sz w:val="21"/>
          <w:szCs w:val="21"/>
          <w:highlight w:val="none"/>
        </w:rPr>
        <w:t>小时。</w:t>
      </w:r>
    </w:p>
    <w:p w14:paraId="527A6C6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 竣工验收</w:t>
      </w:r>
    </w:p>
    <w:p w14:paraId="5E8AFDC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13.2.2竣工验收程序</w:t>
      </w:r>
    </w:p>
    <w:p w14:paraId="7093356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关于竣工验收程序的约定：</w:t>
      </w:r>
      <w:r>
        <w:rPr>
          <w:rFonts w:hint="eastAsia" w:ascii="宋体" w:hAnsi="宋体" w:eastAsia="宋体" w:cs="宋体"/>
          <w:color w:val="auto"/>
          <w:sz w:val="21"/>
          <w:szCs w:val="21"/>
          <w:highlight w:val="none"/>
          <w:u w:val="single"/>
        </w:rPr>
        <w:t>按通用条款</w:t>
      </w:r>
      <w:r>
        <w:rPr>
          <w:rFonts w:hint="eastAsia" w:ascii="宋体" w:hAnsi="宋体" w:eastAsia="宋体" w:cs="宋体"/>
          <w:color w:val="auto"/>
          <w:sz w:val="21"/>
          <w:szCs w:val="21"/>
          <w:highlight w:val="none"/>
        </w:rPr>
        <w:t>。</w:t>
      </w:r>
    </w:p>
    <w:p w14:paraId="25E5FF5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发包人不按照本项约定组织竣工验收、颁发工程接收证书的违约金的计算方法：</w:t>
      </w:r>
      <w:r>
        <w:rPr>
          <w:rFonts w:hint="eastAsia" w:ascii="宋体" w:hAnsi="宋体" w:eastAsia="宋体" w:cs="宋体"/>
          <w:color w:val="auto"/>
          <w:sz w:val="21"/>
          <w:szCs w:val="21"/>
          <w:highlight w:val="none"/>
          <w:u w:val="single"/>
        </w:rPr>
        <w:t>按通用条款</w:t>
      </w:r>
      <w:r>
        <w:rPr>
          <w:rFonts w:hint="eastAsia" w:ascii="宋体" w:hAnsi="宋体" w:eastAsia="宋体" w:cs="宋体"/>
          <w:color w:val="auto"/>
          <w:sz w:val="21"/>
          <w:szCs w:val="21"/>
          <w:highlight w:val="none"/>
        </w:rPr>
        <w:t>。</w:t>
      </w:r>
    </w:p>
    <w:p w14:paraId="66A890A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13.2.5移交、接收全部与部分工程</w:t>
      </w:r>
    </w:p>
    <w:p w14:paraId="776E56F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承包人向发包人移交工程的期限：</w:t>
      </w:r>
      <w:r>
        <w:rPr>
          <w:rFonts w:hint="eastAsia" w:ascii="宋体" w:hAnsi="宋体" w:eastAsia="宋体" w:cs="宋体"/>
          <w:color w:val="auto"/>
          <w:sz w:val="21"/>
          <w:szCs w:val="21"/>
          <w:highlight w:val="none"/>
          <w:u w:val="single"/>
        </w:rPr>
        <w:t xml:space="preserve">  应当在颁发工程接收证书后7天内完成工程的移交 </w:t>
      </w:r>
      <w:r>
        <w:rPr>
          <w:rFonts w:hint="eastAsia" w:ascii="宋体" w:hAnsi="宋体" w:eastAsia="宋体" w:cs="宋体"/>
          <w:color w:val="auto"/>
          <w:sz w:val="21"/>
          <w:szCs w:val="21"/>
          <w:highlight w:val="none"/>
        </w:rPr>
        <w:t>。</w:t>
      </w:r>
    </w:p>
    <w:p w14:paraId="7885B732">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发包人未按本合同约定接收全部或部分工程的，违约金的计算方法为：</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52FB7FA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承包人未按时移交工程的，违约金的计算方法为：</w:t>
      </w:r>
      <w:r>
        <w:rPr>
          <w:rFonts w:hint="eastAsia" w:ascii="宋体" w:hAnsi="宋体" w:eastAsia="宋体" w:cs="宋体"/>
          <w:color w:val="auto"/>
          <w:sz w:val="21"/>
          <w:szCs w:val="21"/>
          <w:highlight w:val="none"/>
          <w:u w:val="single"/>
        </w:rPr>
        <w:t xml:space="preserve">  按第7.5.2条款  </w:t>
      </w:r>
      <w:r>
        <w:rPr>
          <w:rFonts w:hint="eastAsia" w:ascii="宋体" w:hAnsi="宋体" w:eastAsia="宋体" w:cs="宋体"/>
          <w:color w:val="auto"/>
          <w:sz w:val="21"/>
          <w:szCs w:val="21"/>
          <w:highlight w:val="none"/>
        </w:rPr>
        <w:t>。</w:t>
      </w:r>
    </w:p>
    <w:p w14:paraId="0E7DD0E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 工程试车</w:t>
      </w:r>
    </w:p>
    <w:p w14:paraId="5A0B3F0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13.3.1 试车程序</w:t>
      </w:r>
    </w:p>
    <w:p w14:paraId="6508DAE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工程试车内容：</w:t>
      </w:r>
      <w:r>
        <w:rPr>
          <w:rFonts w:hint="eastAsia" w:ascii="宋体" w:hAnsi="宋体" w:eastAsia="宋体" w:cs="宋体"/>
          <w:color w:val="auto"/>
          <w:sz w:val="21"/>
          <w:szCs w:val="21"/>
          <w:highlight w:val="none"/>
          <w:u w:val="single"/>
        </w:rPr>
        <w:t xml:space="preserve">   按通用条款   </w:t>
      </w:r>
      <w:r>
        <w:rPr>
          <w:rFonts w:hint="eastAsia" w:ascii="宋体" w:hAnsi="宋体" w:eastAsia="宋体" w:cs="宋体"/>
          <w:color w:val="auto"/>
          <w:sz w:val="21"/>
          <w:szCs w:val="21"/>
          <w:highlight w:val="none"/>
        </w:rPr>
        <w:t>。</w:t>
      </w:r>
    </w:p>
    <w:p w14:paraId="130E9ED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（1）单机无负荷试车费用由</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sz w:val="21"/>
          <w:szCs w:val="21"/>
          <w:highlight w:val="none"/>
        </w:rPr>
        <w:t>承担；</w:t>
      </w:r>
    </w:p>
    <w:p w14:paraId="27C5002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（2）无负荷联动试车费用由</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sz w:val="21"/>
          <w:szCs w:val="21"/>
          <w:highlight w:val="none"/>
        </w:rPr>
        <w:t>承担。</w:t>
      </w:r>
    </w:p>
    <w:p w14:paraId="3FC3036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13.3.3 投料试车</w:t>
      </w:r>
    </w:p>
    <w:p w14:paraId="14A7A02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关于投料试车相关事项的约定：</w:t>
      </w:r>
      <w:r>
        <w:rPr>
          <w:rFonts w:hint="eastAsia" w:ascii="宋体" w:hAnsi="宋体" w:eastAsia="宋体" w:cs="宋体"/>
          <w:color w:val="auto"/>
          <w:sz w:val="21"/>
          <w:szCs w:val="21"/>
          <w:highlight w:val="none"/>
          <w:u w:val="single"/>
        </w:rPr>
        <w:t xml:space="preserve">   按通用条款   </w:t>
      </w:r>
      <w:r>
        <w:rPr>
          <w:rFonts w:hint="eastAsia" w:ascii="宋体" w:hAnsi="宋体" w:eastAsia="宋体" w:cs="宋体"/>
          <w:color w:val="auto"/>
          <w:sz w:val="21"/>
          <w:szCs w:val="21"/>
          <w:highlight w:val="none"/>
        </w:rPr>
        <w:t>。</w:t>
      </w:r>
    </w:p>
    <w:p w14:paraId="4ABE823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 竣工退场</w:t>
      </w:r>
    </w:p>
    <w:p w14:paraId="37B5C7A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13.6.1 竣工退场</w:t>
      </w:r>
    </w:p>
    <w:p w14:paraId="0DAF206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承包人完成竣工退场的期限：</w:t>
      </w:r>
      <w:r>
        <w:rPr>
          <w:rFonts w:hint="eastAsia" w:ascii="宋体" w:hAnsi="宋体" w:eastAsia="宋体" w:cs="宋体"/>
          <w:color w:val="auto"/>
          <w:sz w:val="21"/>
          <w:szCs w:val="21"/>
          <w:highlight w:val="none"/>
          <w:u w:val="single"/>
        </w:rPr>
        <w:t>颁发工程接收证书后14天内</w:t>
      </w:r>
      <w:r>
        <w:rPr>
          <w:rFonts w:hint="eastAsia" w:ascii="宋体" w:hAnsi="宋体" w:eastAsia="宋体" w:cs="宋体"/>
          <w:color w:val="auto"/>
          <w:sz w:val="21"/>
          <w:szCs w:val="21"/>
          <w:highlight w:val="none"/>
        </w:rPr>
        <w:t>。</w:t>
      </w:r>
    </w:p>
    <w:p w14:paraId="23E64C12">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14. 竣工结算</w:t>
      </w:r>
    </w:p>
    <w:p w14:paraId="5F4796D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 竣工付款申请</w:t>
      </w:r>
    </w:p>
    <w:p w14:paraId="7A58D9E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承包人提交竣工付款申请单的期限：</w:t>
      </w:r>
      <w:r>
        <w:rPr>
          <w:rFonts w:hint="eastAsia" w:ascii="宋体" w:hAnsi="宋体" w:eastAsia="宋体" w:cs="宋体"/>
          <w:color w:val="auto"/>
          <w:sz w:val="21"/>
          <w:szCs w:val="21"/>
          <w:highlight w:val="none"/>
          <w:u w:val="single"/>
        </w:rPr>
        <w:t xml:space="preserve">   按通用条款   </w:t>
      </w:r>
      <w:r>
        <w:rPr>
          <w:rFonts w:hint="eastAsia" w:ascii="宋体" w:hAnsi="宋体" w:eastAsia="宋体" w:cs="宋体"/>
          <w:color w:val="auto"/>
          <w:sz w:val="21"/>
          <w:szCs w:val="21"/>
          <w:highlight w:val="none"/>
        </w:rPr>
        <w:t>。</w:t>
      </w:r>
    </w:p>
    <w:p w14:paraId="3C78714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竣工付款申请单应包括的内容：</w:t>
      </w:r>
      <w:r>
        <w:rPr>
          <w:rFonts w:hint="eastAsia" w:ascii="宋体" w:hAnsi="宋体" w:eastAsia="宋体" w:cs="宋体"/>
          <w:color w:val="auto"/>
          <w:sz w:val="21"/>
          <w:szCs w:val="21"/>
          <w:highlight w:val="none"/>
          <w:u w:val="single"/>
        </w:rPr>
        <w:t xml:space="preserve">   按通用条款   </w:t>
      </w:r>
      <w:r>
        <w:rPr>
          <w:rFonts w:hint="eastAsia" w:ascii="宋体" w:hAnsi="宋体" w:eastAsia="宋体" w:cs="宋体"/>
          <w:color w:val="auto"/>
          <w:sz w:val="21"/>
          <w:szCs w:val="21"/>
          <w:highlight w:val="none"/>
        </w:rPr>
        <w:t>。</w:t>
      </w:r>
    </w:p>
    <w:p w14:paraId="06E0C8F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 竣工结算审核</w:t>
      </w:r>
    </w:p>
    <w:p w14:paraId="6416698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发包人审批竣工付款申请单的期限：</w:t>
      </w:r>
      <w:r>
        <w:rPr>
          <w:rFonts w:hint="eastAsia" w:ascii="宋体" w:hAnsi="宋体" w:eastAsia="宋体" w:cs="宋体"/>
          <w:color w:val="auto"/>
          <w:sz w:val="21"/>
          <w:szCs w:val="21"/>
          <w:highlight w:val="none"/>
          <w:u w:val="single"/>
        </w:rPr>
        <w:t xml:space="preserve">   按通用条款   </w:t>
      </w:r>
      <w:r>
        <w:rPr>
          <w:rFonts w:hint="eastAsia" w:ascii="宋体" w:hAnsi="宋体" w:eastAsia="宋体" w:cs="宋体"/>
          <w:color w:val="auto"/>
          <w:sz w:val="21"/>
          <w:szCs w:val="21"/>
          <w:highlight w:val="none"/>
        </w:rPr>
        <w:t>。</w:t>
      </w:r>
    </w:p>
    <w:p w14:paraId="6D33AA1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发包人完成竣工付款的期限：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single"/>
        </w:rPr>
        <w:t xml:space="preserve">工程结算经发包人委托相关单位审核 </w:t>
      </w:r>
      <w:r>
        <w:rPr>
          <w:rFonts w:hint="eastAsia" w:ascii="宋体" w:hAnsi="宋体" w:eastAsia="宋体" w:cs="宋体"/>
          <w:color w:val="auto"/>
          <w:sz w:val="21"/>
          <w:szCs w:val="21"/>
          <w:highlight w:val="none"/>
        </w:rPr>
        <w:t>。</w:t>
      </w:r>
    </w:p>
    <w:p w14:paraId="4E3F66B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关于竣工付款证书异议部分复核的方式和程序：</w:t>
      </w:r>
      <w:r>
        <w:rPr>
          <w:rFonts w:hint="eastAsia" w:ascii="宋体" w:hAnsi="宋体" w:eastAsia="宋体" w:cs="宋体"/>
          <w:color w:val="auto"/>
          <w:sz w:val="21"/>
          <w:szCs w:val="21"/>
          <w:highlight w:val="none"/>
          <w:u w:val="single"/>
        </w:rPr>
        <w:t>请求建设行政主管部门、行业协会或第三方进行调解。有关审核（价）中发生的相关费用：工程结算按规定程序由发包人委托中介机构审核，结算核减（增）率超过5%的，则超过部分的审核费由承包人负责，发包人可以在支付或准备支付给承包人的任何款项中扣除。承包人资料不齐或不符合竣工备案条件的，发包人可拒绝承包人的支付要求。</w:t>
      </w:r>
    </w:p>
    <w:p w14:paraId="71AE801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14.4 最终结清</w:t>
      </w:r>
    </w:p>
    <w:p w14:paraId="46509E2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14.4.1 最终结清申请单</w:t>
      </w:r>
    </w:p>
    <w:p w14:paraId="329857E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承包人提交最终结清申请单的份数：</w:t>
      </w:r>
      <w:r>
        <w:rPr>
          <w:rFonts w:hint="eastAsia" w:ascii="宋体" w:hAnsi="宋体" w:eastAsia="宋体" w:cs="宋体"/>
          <w:color w:val="auto"/>
          <w:sz w:val="21"/>
          <w:szCs w:val="21"/>
          <w:highlight w:val="none"/>
          <w:u w:val="single"/>
        </w:rPr>
        <w:t xml:space="preserve">   4份  </w:t>
      </w:r>
      <w:r>
        <w:rPr>
          <w:rFonts w:hint="eastAsia" w:ascii="宋体" w:hAnsi="宋体" w:eastAsia="宋体" w:cs="宋体"/>
          <w:color w:val="auto"/>
          <w:sz w:val="21"/>
          <w:szCs w:val="21"/>
          <w:highlight w:val="none"/>
        </w:rPr>
        <w:t>。</w:t>
      </w:r>
    </w:p>
    <w:p w14:paraId="1CF1605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承包人提交最终结算申请单的期限：</w:t>
      </w:r>
      <w:r>
        <w:rPr>
          <w:rFonts w:hint="eastAsia" w:ascii="宋体" w:hAnsi="宋体" w:eastAsia="宋体" w:cs="宋体"/>
          <w:color w:val="auto"/>
          <w:sz w:val="21"/>
          <w:szCs w:val="21"/>
          <w:highlight w:val="none"/>
          <w:u w:val="single"/>
        </w:rPr>
        <w:t xml:space="preserve">   按通用条款    </w:t>
      </w:r>
      <w:r>
        <w:rPr>
          <w:rFonts w:hint="eastAsia" w:ascii="宋体" w:hAnsi="宋体" w:eastAsia="宋体" w:cs="宋体"/>
          <w:color w:val="auto"/>
          <w:sz w:val="21"/>
          <w:szCs w:val="21"/>
          <w:highlight w:val="none"/>
        </w:rPr>
        <w:t xml:space="preserve">。 </w:t>
      </w:r>
    </w:p>
    <w:p w14:paraId="77B501C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14.4.2 最终结清证书和支付</w:t>
      </w:r>
    </w:p>
    <w:p w14:paraId="1D3C787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（1）发包人完成最终结清申请单的审批并颁发最终结清证书的期限：</w:t>
      </w:r>
      <w:r>
        <w:rPr>
          <w:rFonts w:hint="eastAsia" w:ascii="宋体" w:hAnsi="宋体" w:eastAsia="宋体" w:cs="宋体"/>
          <w:color w:val="auto"/>
          <w:sz w:val="21"/>
          <w:szCs w:val="21"/>
          <w:highlight w:val="none"/>
          <w:u w:val="single"/>
        </w:rPr>
        <w:t>按通用条款</w:t>
      </w:r>
      <w:r>
        <w:rPr>
          <w:rFonts w:hint="eastAsia" w:ascii="宋体" w:hAnsi="宋体" w:eastAsia="宋体" w:cs="宋体"/>
          <w:color w:val="auto"/>
          <w:sz w:val="21"/>
          <w:szCs w:val="21"/>
          <w:highlight w:val="none"/>
        </w:rPr>
        <w:t>。</w:t>
      </w:r>
    </w:p>
    <w:p w14:paraId="1448EDB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（2）发包人完成支付的期限：</w:t>
      </w:r>
      <w:r>
        <w:rPr>
          <w:rFonts w:hint="eastAsia" w:ascii="宋体" w:hAnsi="宋体" w:eastAsia="宋体" w:cs="宋体"/>
          <w:color w:val="auto"/>
          <w:sz w:val="21"/>
          <w:szCs w:val="21"/>
          <w:highlight w:val="none"/>
          <w:u w:val="single"/>
        </w:rPr>
        <w:t>发包人应在颁发最终结清证书后28天内完成支付</w:t>
      </w:r>
      <w:r>
        <w:rPr>
          <w:rFonts w:hint="eastAsia" w:ascii="宋体" w:hAnsi="宋体" w:eastAsia="宋体" w:cs="宋体"/>
          <w:color w:val="auto"/>
          <w:sz w:val="21"/>
          <w:szCs w:val="21"/>
          <w:highlight w:val="none"/>
        </w:rPr>
        <w:t>。</w:t>
      </w:r>
    </w:p>
    <w:p w14:paraId="2609AF34">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 缺陷责任期与保修</w:t>
      </w:r>
    </w:p>
    <w:p w14:paraId="3657DD1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15.2缺陷责任期</w:t>
      </w:r>
    </w:p>
    <w:p w14:paraId="7D90292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缺陷责任期的具体期限：</w:t>
      </w:r>
      <w:r>
        <w:rPr>
          <w:rFonts w:hint="eastAsia" w:ascii="宋体" w:hAnsi="宋体" w:eastAsia="宋体" w:cs="宋体"/>
          <w:color w:val="auto"/>
          <w:sz w:val="21"/>
          <w:szCs w:val="21"/>
          <w:highlight w:val="none"/>
          <w:u w:val="single"/>
        </w:rPr>
        <w:t xml:space="preserve">    详见工程质量保修书   </w:t>
      </w:r>
      <w:r>
        <w:rPr>
          <w:rFonts w:hint="eastAsia" w:ascii="宋体" w:hAnsi="宋体" w:eastAsia="宋体" w:cs="宋体"/>
          <w:color w:val="auto"/>
          <w:sz w:val="21"/>
          <w:szCs w:val="21"/>
          <w:highlight w:val="none"/>
        </w:rPr>
        <w:t>。</w:t>
      </w:r>
    </w:p>
    <w:p w14:paraId="33962DC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 质量保证金</w:t>
      </w:r>
    </w:p>
    <w:p w14:paraId="06E5EF8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关于是否扣留质量保证金的约定：</w:t>
      </w:r>
      <w:r>
        <w:rPr>
          <w:rFonts w:hint="eastAsia" w:ascii="宋体" w:hAnsi="宋体" w:eastAsia="宋体" w:cs="宋体"/>
          <w:color w:val="auto"/>
          <w:sz w:val="21"/>
          <w:szCs w:val="21"/>
          <w:highlight w:val="none"/>
          <w:u w:val="single"/>
        </w:rPr>
        <w:t>是</w:t>
      </w:r>
      <w:r>
        <w:rPr>
          <w:rFonts w:hint="eastAsia" w:ascii="宋体" w:hAnsi="宋体" w:eastAsia="宋体" w:cs="宋体"/>
          <w:color w:val="auto"/>
          <w:sz w:val="21"/>
          <w:szCs w:val="21"/>
          <w:highlight w:val="none"/>
        </w:rPr>
        <w:t>。</w:t>
      </w:r>
    </w:p>
    <w:p w14:paraId="4CED2F6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15.3.1 承包人提供质量保证金的方式</w:t>
      </w:r>
    </w:p>
    <w:p w14:paraId="1354039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质量保证金采用以下第</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种方式：</w:t>
      </w:r>
    </w:p>
    <w:p w14:paraId="1FDFE3D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（1）质量保证金保函，保证金额为：</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w:t>
      </w:r>
    </w:p>
    <w:p w14:paraId="7E04AC3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%的工程款；</w:t>
      </w:r>
    </w:p>
    <w:p w14:paraId="555D19B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（3）其他方式：</w:t>
      </w:r>
      <w:r>
        <w:rPr>
          <w:rFonts w:hint="eastAsia" w:ascii="宋体" w:hAnsi="宋体" w:eastAsia="宋体" w:cs="宋体"/>
          <w:color w:val="auto"/>
          <w:sz w:val="21"/>
          <w:szCs w:val="21"/>
          <w:highlight w:val="none"/>
          <w:u w:val="single"/>
        </w:rPr>
        <w:t xml:space="preserve"> 审定价的1.5%，采用银行保函或保险公司保函或融资公司担保 </w:t>
      </w:r>
      <w:r>
        <w:rPr>
          <w:rFonts w:hint="eastAsia" w:ascii="宋体" w:hAnsi="宋体" w:eastAsia="宋体" w:cs="宋体"/>
          <w:color w:val="auto"/>
          <w:sz w:val="21"/>
          <w:szCs w:val="21"/>
          <w:highlight w:val="none"/>
        </w:rPr>
        <w:t>。</w:t>
      </w:r>
    </w:p>
    <w:p w14:paraId="4FC5681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15.3.2 质量保证金的扣留 </w:t>
      </w:r>
    </w:p>
    <w:p w14:paraId="572520C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质量保证金的扣留采取以下第</w:t>
      </w:r>
      <w:r>
        <w:rPr>
          <w:rFonts w:hint="eastAsia" w:ascii="宋体" w:hAnsi="宋体" w:eastAsia="宋体" w:cs="宋体"/>
          <w:color w:val="auto"/>
          <w:sz w:val="21"/>
          <w:szCs w:val="21"/>
          <w:highlight w:val="none"/>
          <w:u w:val="single"/>
        </w:rPr>
        <w:t>3</w:t>
      </w:r>
      <w:r>
        <w:rPr>
          <w:rFonts w:hint="eastAsia" w:ascii="宋体" w:hAnsi="宋体" w:eastAsia="宋体" w:cs="宋体"/>
          <w:color w:val="auto"/>
          <w:sz w:val="21"/>
          <w:szCs w:val="21"/>
          <w:highlight w:val="none"/>
        </w:rPr>
        <w:t>种方式：</w:t>
      </w:r>
    </w:p>
    <w:p w14:paraId="2ECBB4E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（1）在支付工程进度款时逐次扣留，在此情形下，质量保证金的计算基数不包括预付款的支付、扣回以及价格调整的金额；</w:t>
      </w:r>
    </w:p>
    <w:p w14:paraId="7ACEEF9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（2）工程竣工结算时一次性扣留质量保证金；</w:t>
      </w:r>
    </w:p>
    <w:p w14:paraId="08493BC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（3）其他扣留方式：</w:t>
      </w:r>
      <w:r>
        <w:rPr>
          <w:rFonts w:hint="eastAsia" w:ascii="宋体" w:hAnsi="宋体" w:eastAsia="宋体" w:cs="宋体"/>
          <w:color w:val="auto"/>
          <w:sz w:val="21"/>
          <w:szCs w:val="21"/>
          <w:highlight w:val="none"/>
          <w:u w:val="single"/>
        </w:rPr>
        <w:t xml:space="preserve"> 按合同条款12.4.1 执行 </w:t>
      </w:r>
      <w:r>
        <w:rPr>
          <w:rFonts w:hint="eastAsia" w:ascii="宋体" w:hAnsi="宋体" w:eastAsia="宋体" w:cs="宋体"/>
          <w:color w:val="auto"/>
          <w:sz w:val="21"/>
          <w:szCs w:val="21"/>
          <w:highlight w:val="none"/>
        </w:rPr>
        <w:t>。</w:t>
      </w:r>
    </w:p>
    <w:p w14:paraId="2E1F54A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关于质量保证金的补充约定：</w:t>
      </w:r>
      <w:r>
        <w:rPr>
          <w:rFonts w:hint="eastAsia" w:ascii="宋体" w:hAnsi="宋体" w:eastAsia="宋体" w:cs="宋体"/>
          <w:color w:val="auto"/>
          <w:sz w:val="21"/>
          <w:szCs w:val="21"/>
          <w:highlight w:val="none"/>
          <w:u w:val="single"/>
        </w:rPr>
        <w:t xml:space="preserve">如承包人在发包人签发竣工付款证书后28天内提交质量保证金保函，发包人应退还扣留的作为质量保证金的工程价款；保函金额为工程价款结算总额的1.5% </w:t>
      </w:r>
      <w:r>
        <w:rPr>
          <w:rFonts w:hint="eastAsia" w:ascii="宋体" w:hAnsi="宋体" w:eastAsia="宋体" w:cs="宋体"/>
          <w:color w:val="auto"/>
          <w:sz w:val="21"/>
          <w:szCs w:val="21"/>
          <w:highlight w:val="none"/>
        </w:rPr>
        <w:t>。</w:t>
      </w:r>
    </w:p>
    <w:p w14:paraId="77D6A21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15.4保修</w:t>
      </w:r>
    </w:p>
    <w:p w14:paraId="759FEE9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15.4.1 保修责任</w:t>
      </w:r>
    </w:p>
    <w:p w14:paraId="66E9868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工程保修期为：</w:t>
      </w:r>
      <w:r>
        <w:rPr>
          <w:rFonts w:hint="eastAsia" w:ascii="宋体" w:hAnsi="宋体" w:eastAsia="宋体" w:cs="宋体"/>
          <w:color w:val="auto"/>
          <w:sz w:val="21"/>
          <w:szCs w:val="21"/>
          <w:highlight w:val="none"/>
          <w:u w:val="single"/>
        </w:rPr>
        <w:t xml:space="preserve">详见工程质量保修书 </w:t>
      </w:r>
      <w:r>
        <w:rPr>
          <w:rFonts w:hint="eastAsia" w:ascii="宋体" w:hAnsi="宋体" w:eastAsia="宋体" w:cs="宋体"/>
          <w:color w:val="auto"/>
          <w:sz w:val="21"/>
          <w:szCs w:val="21"/>
          <w:highlight w:val="none"/>
        </w:rPr>
        <w:t>。</w:t>
      </w:r>
    </w:p>
    <w:p w14:paraId="4F8E18E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15.4.3 修复通知</w:t>
      </w:r>
    </w:p>
    <w:p w14:paraId="540B705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承包人收到保修通知并到达工程现场的合理时间：</w:t>
      </w:r>
      <w:r>
        <w:rPr>
          <w:rFonts w:hint="eastAsia" w:ascii="宋体" w:hAnsi="宋体" w:eastAsia="宋体" w:cs="宋体"/>
          <w:color w:val="auto"/>
          <w:sz w:val="21"/>
          <w:szCs w:val="21"/>
          <w:highlight w:val="none"/>
          <w:u w:val="single"/>
        </w:rPr>
        <w:t xml:space="preserve"> 接到保修通知后48小时内派人保修，承包人不在约定期限内派人保修的，发包人可以委托他人修理，维修费用在质量保证金中扣取  </w:t>
      </w:r>
      <w:r>
        <w:rPr>
          <w:rFonts w:hint="eastAsia" w:ascii="宋体" w:hAnsi="宋体" w:eastAsia="宋体" w:cs="宋体"/>
          <w:color w:val="auto"/>
          <w:sz w:val="21"/>
          <w:szCs w:val="21"/>
          <w:highlight w:val="none"/>
        </w:rPr>
        <w:t>。</w:t>
      </w:r>
    </w:p>
    <w:p w14:paraId="09220CE5">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 违约</w:t>
      </w:r>
    </w:p>
    <w:p w14:paraId="725623B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 发包人违约</w:t>
      </w:r>
    </w:p>
    <w:p w14:paraId="3B71B52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16.1.1发包人违约的情形</w:t>
      </w:r>
    </w:p>
    <w:p w14:paraId="0B743F8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发包人违约的其他情形：</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09F5B4C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16.1.2 发包人违约的责任</w:t>
      </w:r>
    </w:p>
    <w:p w14:paraId="3FA4B73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发包人违约责任的承担方式和计算方法：</w:t>
      </w:r>
    </w:p>
    <w:p w14:paraId="7F2E37EC">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（1）因发包人原因未能在计划开工日期前7天内下达开工通知的违约责任：</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5785E7B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（2）因发包人原因未能按合同约定支付合同价款的违约责任：</w:t>
      </w:r>
      <w:r>
        <w:rPr>
          <w:rFonts w:hint="eastAsia" w:ascii="宋体" w:hAnsi="宋体" w:eastAsia="宋体" w:cs="宋体"/>
          <w:color w:val="auto"/>
          <w:sz w:val="21"/>
          <w:szCs w:val="21"/>
          <w:highlight w:val="none"/>
          <w:u w:val="single"/>
        </w:rPr>
        <w:t xml:space="preserve"> 按通用条款  </w:t>
      </w:r>
      <w:r>
        <w:rPr>
          <w:rFonts w:hint="eastAsia" w:ascii="宋体" w:hAnsi="宋体" w:eastAsia="宋体" w:cs="宋体"/>
          <w:color w:val="auto"/>
          <w:sz w:val="21"/>
          <w:szCs w:val="21"/>
          <w:highlight w:val="none"/>
        </w:rPr>
        <w:t>。</w:t>
      </w:r>
    </w:p>
    <w:p w14:paraId="7C827E8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（3）发包人违反第10.1款〔变更的范围〕第（2）项约定，自行实施被取消的工作或转由他人实施的违约责任：</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62B331A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42C7599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（5）因发包人违反合同约定造成暂停施工的违约责任：</w:t>
      </w:r>
      <w:r>
        <w:rPr>
          <w:rFonts w:hint="eastAsia" w:ascii="宋体" w:hAnsi="宋体" w:eastAsia="宋体" w:cs="宋体"/>
          <w:color w:val="auto"/>
          <w:sz w:val="21"/>
          <w:szCs w:val="21"/>
          <w:highlight w:val="none"/>
          <w:u w:val="single"/>
        </w:rPr>
        <w:t xml:space="preserve">   按通用条款    </w:t>
      </w:r>
      <w:r>
        <w:rPr>
          <w:rFonts w:hint="eastAsia" w:ascii="宋体" w:hAnsi="宋体" w:eastAsia="宋体" w:cs="宋体"/>
          <w:color w:val="auto"/>
          <w:sz w:val="21"/>
          <w:szCs w:val="21"/>
          <w:highlight w:val="none"/>
        </w:rPr>
        <w:t>。</w:t>
      </w:r>
    </w:p>
    <w:p w14:paraId="6A8B0B1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（6）发包人无正当理由没有在约定期限内发出复工指示，导致承包人无法复工的违约责任：</w:t>
      </w:r>
      <w:r>
        <w:rPr>
          <w:rFonts w:hint="eastAsia" w:ascii="宋体" w:hAnsi="宋体" w:eastAsia="宋体" w:cs="宋体"/>
          <w:color w:val="auto"/>
          <w:sz w:val="21"/>
          <w:szCs w:val="21"/>
          <w:highlight w:val="none"/>
          <w:u w:val="single"/>
        </w:rPr>
        <w:t>按通用条款</w:t>
      </w:r>
      <w:r>
        <w:rPr>
          <w:rFonts w:hint="eastAsia" w:ascii="宋体" w:hAnsi="宋体" w:eastAsia="宋体" w:cs="宋体"/>
          <w:color w:val="auto"/>
          <w:sz w:val="21"/>
          <w:szCs w:val="21"/>
          <w:highlight w:val="none"/>
        </w:rPr>
        <w:t>。</w:t>
      </w:r>
    </w:p>
    <w:p w14:paraId="001987A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（7）其他：</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123C114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16.1.3 因发包人违约解除合同</w:t>
      </w:r>
    </w:p>
    <w:p w14:paraId="6EEB74B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承包人按16.1.1项〔发包人违约的情形〕约定暂停施工满</w:t>
      </w:r>
      <w:r>
        <w:rPr>
          <w:rFonts w:hint="eastAsia" w:ascii="宋体" w:hAnsi="宋体" w:eastAsia="宋体" w:cs="宋体"/>
          <w:color w:val="auto"/>
          <w:sz w:val="21"/>
          <w:szCs w:val="21"/>
          <w:highlight w:val="none"/>
          <w:u w:val="single"/>
        </w:rPr>
        <w:t>28</w:t>
      </w:r>
      <w:r>
        <w:rPr>
          <w:rFonts w:hint="eastAsia" w:ascii="宋体" w:hAnsi="宋体" w:eastAsia="宋体" w:cs="宋体"/>
          <w:color w:val="auto"/>
          <w:sz w:val="21"/>
          <w:szCs w:val="21"/>
          <w:highlight w:val="none"/>
        </w:rPr>
        <w:t>天后发包人仍不纠正其违约行为并致使合同目的不能实现的，承包人有权解除合同。</w:t>
      </w:r>
    </w:p>
    <w:p w14:paraId="35832C0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 承包人违约</w:t>
      </w:r>
    </w:p>
    <w:p w14:paraId="26077E7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16.2.1 承包人违约的情形</w:t>
      </w:r>
    </w:p>
    <w:p w14:paraId="3912527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承包人违约的其他情形：</w:t>
      </w:r>
      <w:r>
        <w:rPr>
          <w:rFonts w:hint="eastAsia" w:ascii="宋体" w:hAnsi="宋体" w:eastAsia="宋体" w:cs="宋体"/>
          <w:color w:val="auto"/>
          <w:sz w:val="21"/>
          <w:szCs w:val="21"/>
          <w:highlight w:val="none"/>
          <w:u w:val="single"/>
        </w:rPr>
        <w:t xml:space="preserve">   按通用条款    </w:t>
      </w:r>
      <w:r>
        <w:rPr>
          <w:rFonts w:hint="eastAsia" w:ascii="宋体" w:hAnsi="宋体" w:eastAsia="宋体" w:cs="宋体"/>
          <w:color w:val="auto"/>
          <w:sz w:val="21"/>
          <w:szCs w:val="21"/>
          <w:highlight w:val="none"/>
        </w:rPr>
        <w:t>。</w:t>
      </w:r>
    </w:p>
    <w:p w14:paraId="500B0F7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16.2.2承包人违约的责任</w:t>
      </w:r>
    </w:p>
    <w:p w14:paraId="6F8DFBED">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承包人违约责任的承担方式和计算方法：</w:t>
      </w:r>
    </w:p>
    <w:p w14:paraId="52CFA503">
      <w:pPr>
        <w:pStyle w:val="19"/>
        <w:spacing w:line="360" w:lineRule="auto"/>
        <w:ind w:left="0"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因承包人原因达不到合同中规定的工程质量要求，发包人可采用口头通知的方式要求承包人进行返工；如返工后仍达不到约定条件的，发包人有权向承包人发出整改通知书，并视为承包人违约，承包人应向发包人支付违约金，承包人拒不整改的或整改不到位的，每发生一次，扣除承包人人民币1000元。如累计扣</w:t>
      </w:r>
      <w:r>
        <w:rPr>
          <w:rFonts w:hint="eastAsia" w:ascii="宋体" w:hAnsi="宋体" w:eastAsia="宋体" w:cs="宋体"/>
          <w:color w:val="auto"/>
          <w:sz w:val="21"/>
          <w:szCs w:val="21"/>
          <w:highlight w:val="none"/>
          <w:u w:val="single"/>
          <w:lang w:val="en-US" w:eastAsia="zh-CN"/>
        </w:rPr>
        <w:t>违约金</w:t>
      </w:r>
      <w:r>
        <w:rPr>
          <w:rFonts w:hint="eastAsia" w:ascii="宋体" w:hAnsi="宋体" w:eastAsia="宋体" w:cs="宋体"/>
          <w:color w:val="auto"/>
          <w:sz w:val="21"/>
          <w:szCs w:val="21"/>
          <w:highlight w:val="none"/>
          <w:u w:val="single"/>
        </w:rPr>
        <w:t>额超过合同价的1.5%，同时发包人有权与承包人终止合同，并要求承包人向发包人支付本合同价10%的</w:t>
      </w:r>
      <w:r>
        <w:rPr>
          <w:rFonts w:hint="eastAsia" w:ascii="宋体" w:hAnsi="宋体" w:eastAsia="宋体" w:cs="宋体"/>
          <w:color w:val="auto"/>
          <w:sz w:val="21"/>
          <w:szCs w:val="21"/>
          <w:highlight w:val="none"/>
          <w:u w:val="single"/>
          <w:lang w:val="en-US" w:eastAsia="zh-CN"/>
        </w:rPr>
        <w:t>违约金</w:t>
      </w:r>
      <w:r>
        <w:rPr>
          <w:rFonts w:hint="eastAsia" w:ascii="宋体" w:hAnsi="宋体" w:eastAsia="宋体" w:cs="宋体"/>
          <w:color w:val="auto"/>
          <w:sz w:val="21"/>
          <w:szCs w:val="21"/>
          <w:highlight w:val="none"/>
          <w:u w:val="single"/>
        </w:rPr>
        <w:t>。上述款项由发包人在工程费的支付时予以扣除，承包人已承诺无条件接受。</w:t>
      </w:r>
    </w:p>
    <w:p w14:paraId="2D314CEA">
      <w:pPr>
        <w:pStyle w:val="19"/>
        <w:spacing w:line="360" w:lineRule="auto"/>
        <w:ind w:left="0"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（2）施工质量管理违约责任：</w:t>
      </w:r>
    </w:p>
    <w:p w14:paraId="31D3985E">
      <w:pPr>
        <w:pStyle w:val="19"/>
        <w:spacing w:line="360" w:lineRule="auto"/>
        <w:ind w:left="0"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A.日常施工质量管理：发包人（或监理人）日常检查过程中发现承包人未按图施工、施工质量达不到相关验收标准或合同中规定的质量要求，发包人（或监理人）可采用口头通知的方式要求承包人进行返工；如返工后仍达不到约定条件的，发包人（或监理人）有权向承包人发出整改通知书，并视为承包人违约，承包人应向发包人支付违约金，以发包人（或监理人）签署的整改通知书为准，每书面通知整改一次，扣除承包人人民币500元，若整改不到位需要再次整改的，违约金按上述金额逐次翻倍，叠加计算。</w:t>
      </w:r>
    </w:p>
    <w:p w14:paraId="0DEAC0D0">
      <w:pPr>
        <w:pStyle w:val="19"/>
        <w:spacing w:line="360" w:lineRule="auto"/>
        <w:ind w:left="0"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B.行政主管、督查等部门例行检查：若行政主管、督查等部门在例行检查中发现工程存在质量问题，发出书面通知，视为承包人违约，承包人应向发包人支付违约金，每书面通知整改一次，承包人应向发包人支付违约金500元/次；若整改不到位需要再次整改的，违约金按上述金额逐次翻倍，叠加计算。</w:t>
      </w:r>
    </w:p>
    <w:p w14:paraId="4E38616E">
      <w:pPr>
        <w:pStyle w:val="19"/>
        <w:spacing w:line="360" w:lineRule="auto"/>
        <w:ind w:left="0"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C.有行政主管部门参与的工程验收：因承包人原因造成工程一次验收未通过，视为承包人违约，要求承包人及时整改并向发包人支付违约金1000元/次；若再次验收未通过的，违约金按上述金额逐次翻倍，叠加计算。</w:t>
      </w:r>
    </w:p>
    <w:p w14:paraId="54BA09C3">
      <w:pPr>
        <w:pStyle w:val="19"/>
        <w:spacing w:line="360" w:lineRule="auto"/>
        <w:ind w:left="0"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D.因承包人原因造成工程停工整改，每停工整改一次，视为承包人违约，扣除承包人违约金人民币5000元。</w:t>
      </w:r>
    </w:p>
    <w:p w14:paraId="7894BABB">
      <w:pPr>
        <w:pStyle w:val="19"/>
        <w:spacing w:line="360" w:lineRule="auto"/>
        <w:ind w:left="0"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E、未按图施工，但不具备整改条件，在不影响结构、安全及使用功能的情况下，扣除实际与图纸之间差额部分金额并再支付差额部分同等金额的违约金。</w:t>
      </w:r>
    </w:p>
    <w:p w14:paraId="39B51D74">
      <w:pPr>
        <w:pStyle w:val="19"/>
        <w:spacing w:line="360" w:lineRule="auto"/>
        <w:ind w:left="0"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上述条款如累计扣除金额超过全部质量履约保证金，发包人可从工程款中直接扣除超过部分金额。同时发包人有权与承包人终止合同，并要求承包人向发包人支付本合同价10%的违约金。上述款项由发包人在最近一次工程费的支付时予以扣除，承包人已承诺无条件接受。</w:t>
      </w:r>
    </w:p>
    <w:p w14:paraId="0154463B">
      <w:pPr>
        <w:pStyle w:val="19"/>
        <w:spacing w:line="360" w:lineRule="auto"/>
        <w:ind w:left="0"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3）在实施和完成本合同工程及其工程保修的整个过程中，承包人应遵守国家和嘉兴市政府有关安全生产文明施工的相关规定。如由于承包人未能对安全文明生产采取必要的措施而导致发生与此有关的人身伤亡、罚款、索赔、损失补偿、诉讼及其他一切责任，由承包人负责。承包人必须根据国家和地方有关安全生产、文明施工的规定落实好各项安全措施，如现场施工违反规定，监理工程师有权发出整改通知书，如承包人拒不执行，监理工程师有权要求停工，并报建设行政主管部门及发包人。每书面通知整改一次，扣除承包人人民币1000元；每停工整改一次，处罚承包人人民币2000元，行政主管、督查等部门例行检查发出书面通知时亦执行此项条款。如累计直接损失超过全部文明施工履约保证金，还应赔偿超过部分金额。上述款项由发包人在工程费的支付时予以扣除，承包人已承诺无条件接受。</w:t>
      </w:r>
    </w:p>
    <w:p w14:paraId="1394A467">
      <w:pPr>
        <w:pStyle w:val="19"/>
        <w:spacing w:line="360" w:lineRule="auto"/>
        <w:ind w:left="0"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(4)承包人投入本工程的施工队伍的素质、能力、力量和机械等必须符合投标书的承诺和满足工程的实际需要。如承包人在接到开工令后15日历天内所投入的机械、施工队伍仍不符合投标书的承诺，发包人可采用口头通知的方式要求承包人进行整改；如整改后仍达不到投标书承诺的，发包人有权向承包人发出整改通知书，并视为承包人违约。承包人应向发包人支付违约金，以发包人签署的整改通知书为准，每书面通知整改一次，处罚承包人1000元人民币。如由于承包人原因造成现场管理混乱，施工质量和进度明显达不到合同要求且无视发包人或监理工程师事先的书面整改通知书，拒不服从监理工程师监管，发包人有权要求其加强管理，调整充实力量，承包人必须接受。当上述措施仍无效时，发包人可单方面终止合同，并追究承包人的经济责任。上述款项由发包人在最近一次工程费的支付时予以扣除，承包人已承诺无条件接受。</w:t>
      </w:r>
    </w:p>
    <w:p w14:paraId="5589AB71">
      <w:pPr>
        <w:pStyle w:val="19"/>
        <w:spacing w:line="360" w:lineRule="auto"/>
        <w:ind w:left="0"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（5）承包人将本工程非法转包的，发包人可以立即解除本合同并要求承包人向发包人承担本合同价20%的违约金。</w:t>
      </w:r>
    </w:p>
    <w:p w14:paraId="12639803">
      <w:pPr>
        <w:pStyle w:val="19"/>
        <w:spacing w:line="360" w:lineRule="auto"/>
        <w:ind w:left="0"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6）承包人应对施工人员加强教育和管理，配合当地有关部门做好社会治安工作。本工程发包人当期支付给承包人的工程款中应该视为已经包含了当期已完工程的全部人工工资。承包人应按国家和本省有关劳动工资支付的规定及时支付其所属员工（包括雇佣的民工）的工资及其他酬金，不得以工程款拖欠、结算纠纷、垫资施工等理由随意克扣或者无故拖欠。否则因拖欠工资（或其他酬金）而影响发包人单位或工程的正常秩序或搅乱当地社会稳定的，发包人有权停止支付工程款，每次事件（经主管部门认定的事件）发生，发包人可要求承包人赔偿由此给发包人造成的损失或负面社会影响，每次扣除</w:t>
      </w:r>
      <w:r>
        <w:rPr>
          <w:rFonts w:hint="eastAsia" w:ascii="宋体" w:hAnsi="宋体" w:eastAsia="宋体" w:cs="宋体"/>
          <w:color w:val="auto"/>
          <w:sz w:val="21"/>
          <w:szCs w:val="21"/>
          <w:highlight w:val="none"/>
          <w:u w:val="single"/>
          <w:lang w:val="en-US" w:eastAsia="zh-CN"/>
        </w:rPr>
        <w:t>违约金</w:t>
      </w:r>
      <w:r>
        <w:rPr>
          <w:rFonts w:hint="eastAsia" w:ascii="宋体" w:hAnsi="宋体" w:eastAsia="宋体" w:cs="宋体"/>
          <w:color w:val="auto"/>
          <w:sz w:val="21"/>
          <w:szCs w:val="21"/>
          <w:highlight w:val="none"/>
          <w:u w:val="single"/>
        </w:rPr>
        <w:t>人民币10000元。同时发包人可根据相关文件要求进行处置。</w:t>
      </w:r>
    </w:p>
    <w:p w14:paraId="2C5E3D5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16.2.3 因承包人违约解除合同</w:t>
      </w:r>
    </w:p>
    <w:p w14:paraId="7E4F784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关于承包人违约解除合同的特别约定：</w:t>
      </w:r>
      <w:r>
        <w:rPr>
          <w:rFonts w:hint="eastAsia" w:ascii="宋体" w:hAnsi="宋体" w:eastAsia="宋体" w:cs="宋体"/>
          <w:color w:val="auto"/>
          <w:sz w:val="21"/>
          <w:szCs w:val="21"/>
          <w:highlight w:val="none"/>
          <w:u w:val="single"/>
        </w:rPr>
        <w:t xml:space="preserve">   按通用条款    </w:t>
      </w:r>
      <w:r>
        <w:rPr>
          <w:rFonts w:hint="eastAsia" w:ascii="宋体" w:hAnsi="宋体" w:eastAsia="宋体" w:cs="宋体"/>
          <w:color w:val="auto"/>
          <w:sz w:val="21"/>
          <w:szCs w:val="21"/>
          <w:highlight w:val="none"/>
        </w:rPr>
        <w:t>。</w:t>
      </w:r>
    </w:p>
    <w:p w14:paraId="4F2CEEC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5C8510CD">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17. 不可抗力 </w:t>
      </w:r>
    </w:p>
    <w:p w14:paraId="7F9553D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 不可抗力的确认</w:t>
      </w:r>
    </w:p>
    <w:p w14:paraId="4457C77C">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除通用合同条款约定的不可抗力事件之外，视为不可抗力的其他情形：</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B61222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17.4 因不可抗力解除合同</w:t>
      </w:r>
    </w:p>
    <w:p w14:paraId="6A0312E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合同解除后，发包人应在商定或确定发包人应支付款项后</w:t>
      </w:r>
      <w:r>
        <w:rPr>
          <w:rFonts w:hint="eastAsia" w:ascii="宋体" w:hAnsi="宋体" w:eastAsia="宋体" w:cs="宋体"/>
          <w:color w:val="auto"/>
          <w:sz w:val="21"/>
          <w:szCs w:val="21"/>
          <w:highlight w:val="none"/>
          <w:u w:val="single"/>
        </w:rPr>
        <w:t>28</w:t>
      </w:r>
      <w:r>
        <w:rPr>
          <w:rFonts w:hint="eastAsia" w:ascii="宋体" w:hAnsi="宋体" w:eastAsia="宋体" w:cs="宋体"/>
          <w:color w:val="auto"/>
          <w:sz w:val="21"/>
          <w:szCs w:val="21"/>
          <w:highlight w:val="none"/>
        </w:rPr>
        <w:t>天内完成款项的支付。</w:t>
      </w:r>
    </w:p>
    <w:p w14:paraId="33319E9E">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18. 保险</w:t>
      </w:r>
    </w:p>
    <w:p w14:paraId="4FCF8F6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 工程保险</w:t>
      </w:r>
    </w:p>
    <w:p w14:paraId="54126A7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关于工程保险的特别约定：</w:t>
      </w:r>
      <w:r>
        <w:rPr>
          <w:rFonts w:hint="eastAsia" w:ascii="宋体" w:hAnsi="宋体" w:eastAsia="宋体" w:cs="宋体"/>
          <w:color w:val="auto"/>
          <w:sz w:val="21"/>
          <w:szCs w:val="21"/>
          <w:highlight w:val="none"/>
          <w:u w:val="single"/>
        </w:rPr>
        <w:t>按规定办理建设工程一切险及第三者责任险（明确发包人为受益人）及施工人员人身意外伤害保险并承担该项保险的一切费用。其他有关部门规定必须办理或要求办理的各类强制保险、劳动保险和承包人认为需投保的等由承包人自己负责办理并承担一切费用</w:t>
      </w:r>
      <w:r>
        <w:rPr>
          <w:rFonts w:hint="eastAsia" w:ascii="宋体" w:hAnsi="宋体" w:eastAsia="宋体" w:cs="宋体"/>
          <w:color w:val="auto"/>
          <w:sz w:val="21"/>
          <w:szCs w:val="21"/>
          <w:highlight w:val="none"/>
        </w:rPr>
        <w:t>。</w:t>
      </w:r>
    </w:p>
    <w:p w14:paraId="4C8F133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 其他保险</w:t>
      </w:r>
    </w:p>
    <w:p w14:paraId="756AACA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关于其他保险的约定：</w:t>
      </w:r>
      <w:r>
        <w:rPr>
          <w:rFonts w:hint="eastAsia" w:ascii="宋体" w:hAnsi="宋体" w:eastAsia="宋体" w:cs="宋体"/>
          <w:color w:val="auto"/>
          <w:sz w:val="21"/>
          <w:szCs w:val="21"/>
          <w:highlight w:val="none"/>
          <w:u w:val="single"/>
        </w:rPr>
        <w:t xml:space="preserve"> 承包人必须依照法律规定参保 </w:t>
      </w:r>
      <w:r>
        <w:rPr>
          <w:rFonts w:hint="eastAsia" w:ascii="宋体" w:hAnsi="宋体" w:eastAsia="宋体" w:cs="宋体"/>
          <w:color w:val="auto"/>
          <w:sz w:val="21"/>
          <w:szCs w:val="21"/>
          <w:highlight w:val="none"/>
        </w:rPr>
        <w:t>。</w:t>
      </w:r>
    </w:p>
    <w:p w14:paraId="0A5B567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承包人是否应为其施工设备等办理财产保险：</w:t>
      </w:r>
      <w:r>
        <w:rPr>
          <w:rFonts w:hint="eastAsia" w:ascii="宋体" w:hAnsi="宋体" w:eastAsia="宋体" w:cs="宋体"/>
          <w:color w:val="auto"/>
          <w:sz w:val="21"/>
          <w:szCs w:val="21"/>
          <w:highlight w:val="none"/>
          <w:u w:val="single"/>
        </w:rPr>
        <w:t xml:space="preserve">  是   </w:t>
      </w:r>
      <w:r>
        <w:rPr>
          <w:rFonts w:hint="eastAsia" w:ascii="宋体" w:hAnsi="宋体" w:eastAsia="宋体" w:cs="宋体"/>
          <w:color w:val="auto"/>
          <w:sz w:val="21"/>
          <w:szCs w:val="21"/>
          <w:highlight w:val="none"/>
        </w:rPr>
        <w:t>。</w:t>
      </w:r>
    </w:p>
    <w:p w14:paraId="5C33FA0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18.7 通知义务</w:t>
      </w:r>
    </w:p>
    <w:p w14:paraId="0C4E287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关于变更保险合同时的通知义务的约定：</w:t>
      </w:r>
      <w:r>
        <w:rPr>
          <w:rFonts w:hint="eastAsia" w:ascii="宋体" w:hAnsi="宋体" w:eastAsia="宋体" w:cs="宋体"/>
          <w:color w:val="auto"/>
          <w:sz w:val="21"/>
          <w:szCs w:val="21"/>
          <w:highlight w:val="none"/>
          <w:u w:val="single"/>
        </w:rPr>
        <w:t xml:space="preserve">  按通用条款   </w:t>
      </w:r>
      <w:r>
        <w:rPr>
          <w:rFonts w:hint="eastAsia" w:ascii="宋体" w:hAnsi="宋体" w:eastAsia="宋体" w:cs="宋体"/>
          <w:color w:val="auto"/>
          <w:sz w:val="21"/>
          <w:szCs w:val="21"/>
          <w:highlight w:val="none"/>
        </w:rPr>
        <w:t>。</w:t>
      </w:r>
    </w:p>
    <w:p w14:paraId="7C3D9DBA">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20. 争议解决</w:t>
      </w:r>
    </w:p>
    <w:p w14:paraId="35167B1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20.3 争议评审</w:t>
      </w:r>
    </w:p>
    <w:p w14:paraId="167F1D1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合同当事人是否同意将工程争议提交争议评审小组决定：</w:t>
      </w:r>
      <w:r>
        <w:rPr>
          <w:rFonts w:hint="eastAsia" w:ascii="宋体" w:hAnsi="宋体" w:eastAsia="宋体" w:cs="宋体"/>
          <w:color w:val="auto"/>
          <w:sz w:val="21"/>
          <w:szCs w:val="21"/>
          <w:highlight w:val="none"/>
          <w:u w:val="single"/>
        </w:rPr>
        <w:t xml:space="preserve">  否   </w:t>
      </w:r>
      <w:r>
        <w:rPr>
          <w:rFonts w:hint="eastAsia" w:ascii="宋体" w:hAnsi="宋体" w:eastAsia="宋体" w:cs="宋体"/>
          <w:color w:val="auto"/>
          <w:sz w:val="21"/>
          <w:szCs w:val="21"/>
          <w:highlight w:val="none"/>
        </w:rPr>
        <w:t xml:space="preserve">。  </w:t>
      </w:r>
    </w:p>
    <w:p w14:paraId="0A5224C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20.3.1 争议评审小组的确定</w:t>
      </w:r>
    </w:p>
    <w:p w14:paraId="658B9FF3">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争议评审小组成员的确定：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2D8203E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选定争议评审员的期限：</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4BED30B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争议评审小组成员的报酬承担方式：</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780EE9E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其他事项的约定：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66C5030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20.3.2 争议评审小组的决定</w:t>
      </w:r>
    </w:p>
    <w:p w14:paraId="525C1B6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合同当事人关于本项的约定：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47E62F5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20.4仲裁或诉讼</w:t>
      </w:r>
    </w:p>
    <w:p w14:paraId="12D32D7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因合同及合同有关事项发生的争议，按下列第</w:t>
      </w:r>
      <w:r>
        <w:rPr>
          <w:rFonts w:hint="eastAsia" w:ascii="宋体" w:hAnsi="宋体" w:eastAsia="宋体" w:cs="宋体"/>
          <w:color w:val="auto"/>
          <w:sz w:val="21"/>
          <w:szCs w:val="21"/>
          <w:highlight w:val="none"/>
          <w:u w:val="single"/>
        </w:rPr>
        <w:t>1</w:t>
      </w:r>
      <w:r>
        <w:rPr>
          <w:rFonts w:hint="eastAsia" w:ascii="宋体" w:hAnsi="宋体" w:eastAsia="宋体" w:cs="宋体"/>
          <w:color w:val="auto"/>
          <w:sz w:val="21"/>
          <w:szCs w:val="21"/>
          <w:highlight w:val="none"/>
        </w:rPr>
        <w:t>种方式解决：</w:t>
      </w:r>
    </w:p>
    <w:p w14:paraId="22A7058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（1）向</w:t>
      </w:r>
      <w:r>
        <w:rPr>
          <w:rFonts w:hint="eastAsia" w:ascii="宋体" w:hAnsi="宋体" w:eastAsia="宋体" w:cs="宋体"/>
          <w:color w:val="auto"/>
          <w:sz w:val="21"/>
          <w:szCs w:val="21"/>
          <w:highlight w:val="none"/>
          <w:u w:val="single"/>
        </w:rPr>
        <w:t xml:space="preserve"> 嘉兴 </w:t>
      </w:r>
      <w:r>
        <w:rPr>
          <w:rFonts w:hint="eastAsia" w:ascii="宋体" w:hAnsi="宋体" w:eastAsia="宋体" w:cs="宋体"/>
          <w:color w:val="auto"/>
          <w:sz w:val="21"/>
          <w:szCs w:val="21"/>
          <w:highlight w:val="none"/>
        </w:rPr>
        <w:t>仲裁委员会申请仲裁；</w:t>
      </w:r>
    </w:p>
    <w:p w14:paraId="7B9EDC3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（2）向</w:t>
      </w:r>
      <w:r>
        <w:rPr>
          <w:rFonts w:hint="eastAsia" w:ascii="宋体" w:hAnsi="宋体" w:eastAsia="宋体" w:cs="宋体"/>
          <w:color w:val="auto"/>
          <w:sz w:val="21"/>
          <w:szCs w:val="21"/>
          <w:highlight w:val="none"/>
          <w:u w:val="single"/>
        </w:rPr>
        <w:t xml:space="preserve"> 工程所在地 </w:t>
      </w:r>
      <w:r>
        <w:rPr>
          <w:rFonts w:hint="eastAsia" w:ascii="宋体" w:hAnsi="宋体" w:eastAsia="宋体" w:cs="宋体"/>
          <w:color w:val="auto"/>
          <w:sz w:val="21"/>
          <w:szCs w:val="21"/>
          <w:highlight w:val="none"/>
        </w:rPr>
        <w:t>人民法院起诉。</w:t>
      </w:r>
    </w:p>
    <w:p w14:paraId="5DBD4686">
      <w:pPr>
        <w:spacing w:line="240" w:lineRule="auto"/>
        <w:ind w:firstLine="422" w:firstLineChars="200"/>
        <w:rPr>
          <w:rFonts w:hint="eastAsia" w:ascii="宋体" w:hAnsi="宋体" w:eastAsia="宋体" w:cs="宋体"/>
          <w:b/>
          <w:color w:val="auto"/>
          <w:sz w:val="21"/>
          <w:szCs w:val="21"/>
          <w:highlight w:val="none"/>
        </w:rPr>
      </w:pPr>
    </w:p>
    <w:p w14:paraId="6CEFB8F7">
      <w:pPr>
        <w:rPr>
          <w:rFonts w:hint="eastAsia" w:asciiTheme="minorEastAsia" w:hAnsiTheme="minorEastAsia" w:eastAsiaTheme="minorEastAsia"/>
          <w:b/>
          <w:color w:val="auto"/>
          <w:kern w:val="2"/>
          <w:sz w:val="32"/>
          <w:szCs w:val="32"/>
          <w:highlight w:val="none"/>
        </w:rPr>
      </w:pPr>
      <w:r>
        <w:rPr>
          <w:rFonts w:hint="eastAsia" w:asciiTheme="minorEastAsia" w:hAnsiTheme="minorEastAsia" w:eastAsiaTheme="minorEastAsia"/>
          <w:b/>
          <w:color w:val="auto"/>
          <w:kern w:val="2"/>
          <w:sz w:val="32"/>
          <w:szCs w:val="32"/>
          <w:highlight w:val="none"/>
        </w:rPr>
        <w:br w:type="page"/>
      </w:r>
    </w:p>
    <w:p w14:paraId="175D6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hint="eastAsia" w:asciiTheme="minorEastAsia" w:hAnsiTheme="minorEastAsia" w:eastAsiaTheme="minorEastAsia"/>
          <w:b/>
          <w:color w:val="auto"/>
          <w:kern w:val="2"/>
          <w:sz w:val="32"/>
          <w:szCs w:val="32"/>
          <w:highlight w:val="none"/>
        </w:rPr>
      </w:pPr>
    </w:p>
    <w:tbl>
      <w:tblPr>
        <w:tblStyle w:val="54"/>
        <w:tblW w:w="9767" w:type="dxa"/>
        <w:jc w:val="center"/>
        <w:tblLayout w:type="fixed"/>
        <w:tblCellMar>
          <w:top w:w="0" w:type="dxa"/>
          <w:left w:w="108" w:type="dxa"/>
          <w:bottom w:w="0" w:type="dxa"/>
          <w:right w:w="108" w:type="dxa"/>
        </w:tblCellMar>
      </w:tblPr>
      <w:tblGrid>
        <w:gridCol w:w="2125"/>
        <w:gridCol w:w="2761"/>
        <w:gridCol w:w="1211"/>
        <w:gridCol w:w="1880"/>
        <w:gridCol w:w="1790"/>
      </w:tblGrid>
      <w:tr w14:paraId="5B0A3838">
        <w:tblPrEx>
          <w:tblCellMar>
            <w:top w:w="0" w:type="dxa"/>
            <w:left w:w="108" w:type="dxa"/>
            <w:bottom w:w="0" w:type="dxa"/>
            <w:right w:w="108" w:type="dxa"/>
          </w:tblCellMar>
        </w:tblPrEx>
        <w:trPr>
          <w:trHeight w:val="570" w:hRule="atLeast"/>
          <w:jc w:val="center"/>
        </w:trPr>
        <w:tc>
          <w:tcPr>
            <w:tcW w:w="9767" w:type="dxa"/>
            <w:gridSpan w:val="5"/>
            <w:tcBorders>
              <w:top w:val="nil"/>
              <w:left w:val="nil"/>
              <w:bottom w:val="nil"/>
              <w:right w:val="nil"/>
            </w:tcBorders>
            <w:vAlign w:val="center"/>
          </w:tcPr>
          <w:p w14:paraId="206E4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heme="minorEastAsia" w:hAnsiTheme="minorEastAsia" w:eastAsiaTheme="minorEastAsia"/>
                <w:b/>
                <w:color w:val="auto"/>
                <w:kern w:val="2"/>
                <w:sz w:val="32"/>
                <w:szCs w:val="32"/>
                <w:highlight w:val="none"/>
              </w:rPr>
            </w:pPr>
            <w:r>
              <w:rPr>
                <w:rFonts w:hint="eastAsia" w:asciiTheme="minorEastAsia" w:hAnsiTheme="minorEastAsia" w:eastAsiaTheme="minorEastAsia"/>
                <w:b/>
                <w:color w:val="auto"/>
                <w:kern w:val="2"/>
                <w:sz w:val="32"/>
                <w:szCs w:val="32"/>
                <w:highlight w:val="none"/>
              </w:rPr>
              <w:t>政府采购验收单</w:t>
            </w:r>
          </w:p>
          <w:p w14:paraId="69E34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按照嘉兴市秀洲区财政局</w:t>
            </w:r>
            <w:r>
              <w:rPr>
                <w:color w:val="auto"/>
                <w:highlight w:val="none"/>
              </w:rPr>
              <w:fldChar w:fldCharType="begin"/>
            </w:r>
            <w:r>
              <w:rPr>
                <w:color w:val="auto"/>
                <w:highlight w:val="none"/>
              </w:rPr>
              <w:instrText xml:space="preserve"> HYPERLINK "https://pay.zcygov.cn/purchaseplan_front/" \l "/plan/list/detail?id=1000000000009800608&amp;encrypt=7d9401d2d09842e8441b4f9d7d888649" \t "_blank" </w:instrText>
            </w:r>
            <w:r>
              <w:rPr>
                <w:color w:val="auto"/>
                <w:highlight w:val="none"/>
              </w:rPr>
              <w:fldChar w:fldCharType="separate"/>
            </w:r>
            <w:r>
              <w:rPr>
                <w:rFonts w:hint="eastAsia" w:asciiTheme="minorEastAsia" w:hAnsiTheme="minorEastAsia" w:eastAsiaTheme="minorEastAsia"/>
                <w:b/>
                <w:color w:val="auto"/>
                <w:szCs w:val="21"/>
                <w:highlight w:val="none"/>
                <w:u w:val="single"/>
                <w:lang w:eastAsia="zh-CN"/>
              </w:rPr>
              <w:t>临[2025]1064号</w:t>
            </w:r>
            <w:r>
              <w:rPr>
                <w:rFonts w:hint="eastAsia" w:asciiTheme="minorEastAsia" w:hAnsiTheme="minorEastAsia" w:eastAsiaTheme="minorEastAsia"/>
                <w:b/>
                <w:color w:val="auto"/>
                <w:szCs w:val="21"/>
                <w:highlight w:val="none"/>
                <w:u w:val="single"/>
              </w:rPr>
              <w:fldChar w:fldCharType="end"/>
            </w:r>
            <w:r>
              <w:rPr>
                <w:rFonts w:asciiTheme="minorEastAsia" w:hAnsiTheme="minorEastAsia" w:eastAsiaTheme="minorEastAsia"/>
                <w:color w:val="auto"/>
                <w:kern w:val="2"/>
                <w:szCs w:val="21"/>
                <w:highlight w:val="none"/>
              </w:rPr>
              <w:t>采购计划</w:t>
            </w:r>
            <w:r>
              <w:rPr>
                <w:rFonts w:hint="eastAsia" w:asciiTheme="minorEastAsia" w:hAnsiTheme="minorEastAsia" w:eastAsiaTheme="minorEastAsia"/>
                <w:color w:val="auto"/>
                <w:kern w:val="2"/>
                <w:szCs w:val="21"/>
                <w:highlight w:val="none"/>
              </w:rPr>
              <w:t>，采购编号：</w:t>
            </w:r>
            <w:r>
              <w:rPr>
                <w:rFonts w:hint="eastAsia" w:cs="Arial" w:asciiTheme="minorEastAsia" w:hAnsiTheme="minorEastAsia" w:eastAsiaTheme="minorEastAsia"/>
                <w:color w:val="auto"/>
                <w:szCs w:val="21"/>
                <w:highlight w:val="none"/>
                <w:lang w:eastAsia="zh-CN"/>
              </w:rPr>
              <w:t>银建-JXYJ（2025）28号</w:t>
            </w:r>
            <w:r>
              <w:rPr>
                <w:rFonts w:asciiTheme="minorEastAsia" w:hAnsiTheme="minorEastAsia" w:eastAsiaTheme="minorEastAsia"/>
                <w:color w:val="auto"/>
                <w:kern w:val="2"/>
                <w:szCs w:val="21"/>
                <w:highlight w:val="none"/>
              </w:rPr>
              <w:t xml:space="preserve"> </w:t>
            </w:r>
            <w:r>
              <w:rPr>
                <w:rFonts w:hint="eastAsia" w:asciiTheme="minorEastAsia" w:hAnsiTheme="minorEastAsia" w:eastAsiaTheme="minorEastAsia"/>
                <w:color w:val="auto"/>
                <w:kern w:val="2"/>
                <w:szCs w:val="21"/>
                <w:highlight w:val="none"/>
              </w:rPr>
              <w:t>,合同号：</w:t>
            </w:r>
            <w:r>
              <w:rPr>
                <w:rFonts w:hint="eastAsia" w:cs="Arial" w:asciiTheme="minorEastAsia" w:hAnsiTheme="minorEastAsia" w:eastAsiaTheme="minorEastAsia"/>
                <w:color w:val="auto"/>
                <w:szCs w:val="21"/>
                <w:highlight w:val="none"/>
                <w:lang w:eastAsia="zh-CN"/>
              </w:rPr>
              <w:t>银建-JXYJ（2025）28号</w:t>
            </w:r>
            <w:r>
              <w:rPr>
                <w:rFonts w:hint="eastAsia" w:asciiTheme="minorEastAsia" w:hAnsiTheme="minorEastAsia" w:eastAsiaTheme="minorEastAsia"/>
                <w:color w:val="auto"/>
                <w:kern w:val="2"/>
                <w:szCs w:val="21"/>
                <w:highlight w:val="none"/>
              </w:rPr>
              <w:t>。以下项目已采购到位并验收合格。</w:t>
            </w:r>
          </w:p>
        </w:tc>
      </w:tr>
      <w:tr w14:paraId="4542473E">
        <w:tblPrEx>
          <w:tblCellMar>
            <w:top w:w="0" w:type="dxa"/>
            <w:left w:w="108" w:type="dxa"/>
            <w:bottom w:w="0" w:type="dxa"/>
            <w:right w:w="108" w:type="dxa"/>
          </w:tblCellMar>
        </w:tblPrEx>
        <w:trPr>
          <w:trHeight w:val="870" w:hRule="atLeast"/>
          <w:jc w:val="center"/>
        </w:trPr>
        <w:tc>
          <w:tcPr>
            <w:tcW w:w="2125" w:type="dxa"/>
            <w:tcBorders>
              <w:top w:val="single" w:color="auto" w:sz="4" w:space="0"/>
              <w:left w:val="single" w:color="auto" w:sz="4" w:space="0"/>
              <w:bottom w:val="nil"/>
              <w:right w:val="single" w:color="auto" w:sz="4" w:space="0"/>
            </w:tcBorders>
            <w:vAlign w:val="center"/>
          </w:tcPr>
          <w:p w14:paraId="0CC2C7B2">
            <w:pPr>
              <w:spacing w:line="360" w:lineRule="auto"/>
              <w:jc w:val="center"/>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服务名称</w:t>
            </w:r>
          </w:p>
        </w:tc>
        <w:tc>
          <w:tcPr>
            <w:tcW w:w="2761" w:type="dxa"/>
            <w:tcBorders>
              <w:top w:val="single" w:color="auto" w:sz="4" w:space="0"/>
              <w:left w:val="nil"/>
              <w:bottom w:val="nil"/>
              <w:right w:val="single" w:color="auto" w:sz="4" w:space="0"/>
            </w:tcBorders>
            <w:vAlign w:val="center"/>
          </w:tcPr>
          <w:p w14:paraId="53B06AF1">
            <w:pPr>
              <w:spacing w:line="360" w:lineRule="auto"/>
              <w:jc w:val="center"/>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服务内容</w:t>
            </w:r>
          </w:p>
        </w:tc>
        <w:tc>
          <w:tcPr>
            <w:tcW w:w="1211" w:type="dxa"/>
            <w:tcBorders>
              <w:top w:val="single" w:color="auto" w:sz="4" w:space="0"/>
              <w:left w:val="nil"/>
              <w:bottom w:val="nil"/>
              <w:right w:val="single" w:color="auto" w:sz="4" w:space="0"/>
            </w:tcBorders>
            <w:vAlign w:val="center"/>
          </w:tcPr>
          <w:p w14:paraId="7E883F11">
            <w:pPr>
              <w:spacing w:line="360" w:lineRule="auto"/>
              <w:jc w:val="center"/>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数量</w:t>
            </w:r>
          </w:p>
        </w:tc>
        <w:tc>
          <w:tcPr>
            <w:tcW w:w="1880" w:type="dxa"/>
            <w:tcBorders>
              <w:top w:val="single" w:color="auto" w:sz="4" w:space="0"/>
              <w:left w:val="nil"/>
              <w:bottom w:val="nil"/>
              <w:right w:val="single" w:color="auto" w:sz="4" w:space="0"/>
            </w:tcBorders>
            <w:vAlign w:val="center"/>
          </w:tcPr>
          <w:p w14:paraId="607B1526">
            <w:pPr>
              <w:spacing w:line="360" w:lineRule="auto"/>
              <w:jc w:val="center"/>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核定总价</w:t>
            </w:r>
          </w:p>
        </w:tc>
        <w:tc>
          <w:tcPr>
            <w:tcW w:w="1790" w:type="dxa"/>
            <w:tcBorders>
              <w:top w:val="single" w:color="auto" w:sz="4" w:space="0"/>
              <w:left w:val="nil"/>
              <w:bottom w:val="single" w:color="auto" w:sz="4" w:space="0"/>
              <w:right w:val="single" w:color="auto" w:sz="4" w:space="0"/>
            </w:tcBorders>
            <w:vAlign w:val="center"/>
          </w:tcPr>
          <w:p w14:paraId="1CCA5A78">
            <w:pPr>
              <w:spacing w:line="360" w:lineRule="auto"/>
              <w:jc w:val="center"/>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采购人</w:t>
            </w:r>
          </w:p>
          <w:p w14:paraId="6AC47614">
            <w:pPr>
              <w:spacing w:line="360" w:lineRule="auto"/>
              <w:jc w:val="center"/>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验收意见</w:t>
            </w:r>
          </w:p>
        </w:tc>
      </w:tr>
      <w:tr w14:paraId="7EA8BB48">
        <w:tblPrEx>
          <w:tblCellMar>
            <w:top w:w="0" w:type="dxa"/>
            <w:left w:w="108" w:type="dxa"/>
            <w:bottom w:w="0" w:type="dxa"/>
            <w:right w:w="108" w:type="dxa"/>
          </w:tblCellMar>
        </w:tblPrEx>
        <w:trPr>
          <w:trHeight w:val="746" w:hRule="atLeast"/>
          <w:jc w:val="center"/>
        </w:trPr>
        <w:tc>
          <w:tcPr>
            <w:tcW w:w="2125" w:type="dxa"/>
            <w:tcBorders>
              <w:top w:val="single" w:color="auto" w:sz="4" w:space="0"/>
              <w:left w:val="single" w:color="auto" w:sz="4" w:space="0"/>
              <w:bottom w:val="single" w:color="auto" w:sz="4" w:space="0"/>
              <w:right w:val="single" w:color="auto" w:sz="4" w:space="0"/>
            </w:tcBorders>
            <w:vAlign w:val="center"/>
          </w:tcPr>
          <w:p w14:paraId="71F644A2">
            <w:pPr>
              <w:spacing w:line="360" w:lineRule="auto"/>
              <w:jc w:val="center"/>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　</w:t>
            </w:r>
          </w:p>
        </w:tc>
        <w:tc>
          <w:tcPr>
            <w:tcW w:w="2761" w:type="dxa"/>
            <w:tcBorders>
              <w:top w:val="single" w:color="auto" w:sz="4" w:space="0"/>
              <w:left w:val="nil"/>
              <w:bottom w:val="single" w:color="auto" w:sz="4" w:space="0"/>
              <w:right w:val="single" w:color="auto" w:sz="4" w:space="0"/>
            </w:tcBorders>
            <w:vAlign w:val="center"/>
          </w:tcPr>
          <w:p w14:paraId="6889F1DE">
            <w:pPr>
              <w:spacing w:line="360" w:lineRule="auto"/>
              <w:jc w:val="center"/>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　</w:t>
            </w:r>
          </w:p>
        </w:tc>
        <w:tc>
          <w:tcPr>
            <w:tcW w:w="1211" w:type="dxa"/>
            <w:tcBorders>
              <w:top w:val="single" w:color="auto" w:sz="4" w:space="0"/>
              <w:left w:val="nil"/>
              <w:bottom w:val="single" w:color="auto" w:sz="4" w:space="0"/>
              <w:right w:val="single" w:color="auto" w:sz="4" w:space="0"/>
            </w:tcBorders>
            <w:vAlign w:val="center"/>
          </w:tcPr>
          <w:p w14:paraId="08D5B881">
            <w:pPr>
              <w:spacing w:line="360" w:lineRule="auto"/>
              <w:jc w:val="center"/>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　</w:t>
            </w:r>
          </w:p>
        </w:tc>
        <w:tc>
          <w:tcPr>
            <w:tcW w:w="1880" w:type="dxa"/>
            <w:tcBorders>
              <w:top w:val="single" w:color="auto" w:sz="4" w:space="0"/>
              <w:left w:val="nil"/>
              <w:bottom w:val="single" w:color="auto" w:sz="4" w:space="0"/>
              <w:right w:val="single" w:color="auto" w:sz="4" w:space="0"/>
            </w:tcBorders>
            <w:vAlign w:val="center"/>
          </w:tcPr>
          <w:p w14:paraId="54F78ED8">
            <w:pPr>
              <w:spacing w:line="360" w:lineRule="auto"/>
              <w:jc w:val="center"/>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　</w:t>
            </w:r>
          </w:p>
        </w:tc>
        <w:tc>
          <w:tcPr>
            <w:tcW w:w="1790" w:type="dxa"/>
            <w:tcBorders>
              <w:top w:val="nil"/>
              <w:left w:val="nil"/>
              <w:bottom w:val="single" w:color="auto" w:sz="4" w:space="0"/>
              <w:right w:val="single" w:color="auto" w:sz="4" w:space="0"/>
            </w:tcBorders>
            <w:vAlign w:val="bottom"/>
          </w:tcPr>
          <w:p w14:paraId="3CA48C6F">
            <w:pPr>
              <w:spacing w:line="360" w:lineRule="auto"/>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　</w:t>
            </w:r>
          </w:p>
        </w:tc>
      </w:tr>
      <w:tr w14:paraId="2797E907">
        <w:tblPrEx>
          <w:tblCellMar>
            <w:top w:w="0" w:type="dxa"/>
            <w:left w:w="108" w:type="dxa"/>
            <w:bottom w:w="0" w:type="dxa"/>
            <w:right w:w="108" w:type="dxa"/>
          </w:tblCellMar>
        </w:tblPrEx>
        <w:trPr>
          <w:trHeight w:val="746" w:hRule="atLeast"/>
          <w:jc w:val="center"/>
        </w:trPr>
        <w:tc>
          <w:tcPr>
            <w:tcW w:w="2125" w:type="dxa"/>
            <w:tcBorders>
              <w:top w:val="single" w:color="auto" w:sz="4" w:space="0"/>
              <w:left w:val="single" w:color="auto" w:sz="4" w:space="0"/>
              <w:bottom w:val="single" w:color="auto" w:sz="4" w:space="0"/>
              <w:right w:val="single" w:color="auto" w:sz="4" w:space="0"/>
            </w:tcBorders>
            <w:vAlign w:val="center"/>
          </w:tcPr>
          <w:p w14:paraId="038A288E">
            <w:pPr>
              <w:spacing w:line="360" w:lineRule="auto"/>
              <w:jc w:val="center"/>
              <w:rPr>
                <w:rFonts w:asciiTheme="minorEastAsia" w:hAnsiTheme="minorEastAsia" w:eastAsiaTheme="minorEastAsia"/>
                <w:color w:val="auto"/>
                <w:kern w:val="2"/>
                <w:szCs w:val="21"/>
                <w:highlight w:val="none"/>
              </w:rPr>
            </w:pPr>
          </w:p>
        </w:tc>
        <w:tc>
          <w:tcPr>
            <w:tcW w:w="2761" w:type="dxa"/>
            <w:tcBorders>
              <w:top w:val="single" w:color="auto" w:sz="4" w:space="0"/>
              <w:left w:val="nil"/>
              <w:bottom w:val="single" w:color="auto" w:sz="4" w:space="0"/>
              <w:right w:val="single" w:color="auto" w:sz="4" w:space="0"/>
            </w:tcBorders>
            <w:vAlign w:val="center"/>
          </w:tcPr>
          <w:p w14:paraId="2C23E1FC">
            <w:pPr>
              <w:spacing w:line="360" w:lineRule="auto"/>
              <w:jc w:val="center"/>
              <w:rPr>
                <w:rFonts w:asciiTheme="minorEastAsia" w:hAnsiTheme="minorEastAsia" w:eastAsiaTheme="minorEastAsia"/>
                <w:color w:val="auto"/>
                <w:kern w:val="2"/>
                <w:szCs w:val="21"/>
                <w:highlight w:val="none"/>
              </w:rPr>
            </w:pPr>
          </w:p>
        </w:tc>
        <w:tc>
          <w:tcPr>
            <w:tcW w:w="1211" w:type="dxa"/>
            <w:tcBorders>
              <w:top w:val="single" w:color="auto" w:sz="4" w:space="0"/>
              <w:left w:val="nil"/>
              <w:bottom w:val="single" w:color="auto" w:sz="4" w:space="0"/>
              <w:right w:val="single" w:color="auto" w:sz="4" w:space="0"/>
            </w:tcBorders>
            <w:vAlign w:val="center"/>
          </w:tcPr>
          <w:p w14:paraId="137D6941">
            <w:pPr>
              <w:spacing w:line="360" w:lineRule="auto"/>
              <w:jc w:val="center"/>
              <w:rPr>
                <w:rFonts w:asciiTheme="minorEastAsia" w:hAnsiTheme="minorEastAsia" w:eastAsiaTheme="minorEastAsia"/>
                <w:color w:val="auto"/>
                <w:kern w:val="2"/>
                <w:szCs w:val="21"/>
                <w:highlight w:val="none"/>
              </w:rPr>
            </w:pPr>
          </w:p>
        </w:tc>
        <w:tc>
          <w:tcPr>
            <w:tcW w:w="1880" w:type="dxa"/>
            <w:tcBorders>
              <w:top w:val="single" w:color="auto" w:sz="4" w:space="0"/>
              <w:left w:val="nil"/>
              <w:bottom w:val="single" w:color="auto" w:sz="4" w:space="0"/>
              <w:right w:val="single" w:color="auto" w:sz="4" w:space="0"/>
            </w:tcBorders>
            <w:vAlign w:val="center"/>
          </w:tcPr>
          <w:p w14:paraId="29395B70">
            <w:pPr>
              <w:spacing w:line="360" w:lineRule="auto"/>
              <w:jc w:val="center"/>
              <w:rPr>
                <w:rFonts w:asciiTheme="minorEastAsia" w:hAnsiTheme="minorEastAsia" w:eastAsiaTheme="minorEastAsia"/>
                <w:color w:val="auto"/>
                <w:kern w:val="2"/>
                <w:szCs w:val="21"/>
                <w:highlight w:val="none"/>
              </w:rPr>
            </w:pPr>
          </w:p>
        </w:tc>
        <w:tc>
          <w:tcPr>
            <w:tcW w:w="1790" w:type="dxa"/>
            <w:tcBorders>
              <w:top w:val="nil"/>
              <w:left w:val="nil"/>
              <w:bottom w:val="single" w:color="auto" w:sz="4" w:space="0"/>
              <w:right w:val="single" w:color="auto" w:sz="4" w:space="0"/>
            </w:tcBorders>
            <w:vAlign w:val="bottom"/>
          </w:tcPr>
          <w:p w14:paraId="6C610C56">
            <w:pPr>
              <w:spacing w:line="360" w:lineRule="auto"/>
              <w:rPr>
                <w:rFonts w:asciiTheme="minorEastAsia" w:hAnsiTheme="minorEastAsia" w:eastAsiaTheme="minorEastAsia"/>
                <w:color w:val="auto"/>
                <w:kern w:val="2"/>
                <w:szCs w:val="21"/>
                <w:highlight w:val="none"/>
              </w:rPr>
            </w:pPr>
          </w:p>
        </w:tc>
      </w:tr>
      <w:tr w14:paraId="3425AAB3">
        <w:tblPrEx>
          <w:tblCellMar>
            <w:top w:w="0" w:type="dxa"/>
            <w:left w:w="108" w:type="dxa"/>
            <w:bottom w:w="0" w:type="dxa"/>
            <w:right w:w="108" w:type="dxa"/>
          </w:tblCellMar>
        </w:tblPrEx>
        <w:trPr>
          <w:trHeight w:val="746" w:hRule="atLeast"/>
          <w:jc w:val="center"/>
        </w:trPr>
        <w:tc>
          <w:tcPr>
            <w:tcW w:w="2125" w:type="dxa"/>
            <w:tcBorders>
              <w:top w:val="single" w:color="auto" w:sz="4" w:space="0"/>
              <w:left w:val="single" w:color="auto" w:sz="4" w:space="0"/>
              <w:bottom w:val="single" w:color="auto" w:sz="4" w:space="0"/>
              <w:right w:val="single" w:color="auto" w:sz="4" w:space="0"/>
            </w:tcBorders>
            <w:vAlign w:val="center"/>
          </w:tcPr>
          <w:p w14:paraId="58E6F003">
            <w:pPr>
              <w:spacing w:line="360" w:lineRule="auto"/>
              <w:jc w:val="center"/>
              <w:rPr>
                <w:rFonts w:asciiTheme="minorEastAsia" w:hAnsiTheme="minorEastAsia" w:eastAsiaTheme="minorEastAsia"/>
                <w:color w:val="auto"/>
                <w:kern w:val="2"/>
                <w:szCs w:val="21"/>
                <w:highlight w:val="none"/>
              </w:rPr>
            </w:pPr>
          </w:p>
        </w:tc>
        <w:tc>
          <w:tcPr>
            <w:tcW w:w="2761" w:type="dxa"/>
            <w:tcBorders>
              <w:top w:val="single" w:color="auto" w:sz="4" w:space="0"/>
              <w:left w:val="nil"/>
              <w:bottom w:val="single" w:color="auto" w:sz="4" w:space="0"/>
              <w:right w:val="single" w:color="auto" w:sz="4" w:space="0"/>
            </w:tcBorders>
            <w:vAlign w:val="center"/>
          </w:tcPr>
          <w:p w14:paraId="7C08885F">
            <w:pPr>
              <w:spacing w:line="360" w:lineRule="auto"/>
              <w:jc w:val="center"/>
              <w:rPr>
                <w:rFonts w:asciiTheme="minorEastAsia" w:hAnsiTheme="minorEastAsia" w:eastAsiaTheme="minorEastAsia"/>
                <w:color w:val="auto"/>
                <w:kern w:val="2"/>
                <w:szCs w:val="21"/>
                <w:highlight w:val="none"/>
              </w:rPr>
            </w:pPr>
          </w:p>
        </w:tc>
        <w:tc>
          <w:tcPr>
            <w:tcW w:w="1211" w:type="dxa"/>
            <w:tcBorders>
              <w:top w:val="single" w:color="auto" w:sz="4" w:space="0"/>
              <w:left w:val="nil"/>
              <w:bottom w:val="single" w:color="auto" w:sz="4" w:space="0"/>
              <w:right w:val="single" w:color="auto" w:sz="4" w:space="0"/>
            </w:tcBorders>
            <w:vAlign w:val="center"/>
          </w:tcPr>
          <w:p w14:paraId="733256BD">
            <w:pPr>
              <w:spacing w:line="360" w:lineRule="auto"/>
              <w:jc w:val="center"/>
              <w:rPr>
                <w:rFonts w:asciiTheme="minorEastAsia" w:hAnsiTheme="minorEastAsia" w:eastAsiaTheme="minorEastAsia"/>
                <w:color w:val="auto"/>
                <w:kern w:val="2"/>
                <w:szCs w:val="21"/>
                <w:highlight w:val="none"/>
              </w:rPr>
            </w:pPr>
          </w:p>
        </w:tc>
        <w:tc>
          <w:tcPr>
            <w:tcW w:w="1880" w:type="dxa"/>
            <w:tcBorders>
              <w:top w:val="single" w:color="auto" w:sz="4" w:space="0"/>
              <w:left w:val="nil"/>
              <w:bottom w:val="single" w:color="auto" w:sz="4" w:space="0"/>
              <w:right w:val="single" w:color="auto" w:sz="4" w:space="0"/>
            </w:tcBorders>
            <w:vAlign w:val="center"/>
          </w:tcPr>
          <w:p w14:paraId="0E0A1AE9">
            <w:pPr>
              <w:spacing w:line="360" w:lineRule="auto"/>
              <w:jc w:val="center"/>
              <w:rPr>
                <w:rFonts w:asciiTheme="minorEastAsia" w:hAnsiTheme="minorEastAsia" w:eastAsiaTheme="minorEastAsia"/>
                <w:color w:val="auto"/>
                <w:kern w:val="2"/>
                <w:szCs w:val="21"/>
                <w:highlight w:val="none"/>
              </w:rPr>
            </w:pPr>
          </w:p>
        </w:tc>
        <w:tc>
          <w:tcPr>
            <w:tcW w:w="1790" w:type="dxa"/>
            <w:tcBorders>
              <w:top w:val="nil"/>
              <w:left w:val="nil"/>
              <w:bottom w:val="single" w:color="auto" w:sz="4" w:space="0"/>
              <w:right w:val="single" w:color="auto" w:sz="4" w:space="0"/>
            </w:tcBorders>
            <w:vAlign w:val="bottom"/>
          </w:tcPr>
          <w:p w14:paraId="04BB568E">
            <w:pPr>
              <w:spacing w:line="360" w:lineRule="auto"/>
              <w:rPr>
                <w:rFonts w:asciiTheme="minorEastAsia" w:hAnsiTheme="minorEastAsia" w:eastAsiaTheme="minorEastAsia"/>
                <w:color w:val="auto"/>
                <w:kern w:val="2"/>
                <w:szCs w:val="21"/>
                <w:highlight w:val="none"/>
              </w:rPr>
            </w:pPr>
          </w:p>
        </w:tc>
      </w:tr>
      <w:tr w14:paraId="2D2AFA8F">
        <w:tblPrEx>
          <w:tblCellMar>
            <w:top w:w="0" w:type="dxa"/>
            <w:left w:w="108" w:type="dxa"/>
            <w:bottom w:w="0" w:type="dxa"/>
            <w:right w:w="108" w:type="dxa"/>
          </w:tblCellMar>
        </w:tblPrEx>
        <w:trPr>
          <w:trHeight w:val="746" w:hRule="atLeast"/>
          <w:jc w:val="center"/>
        </w:trPr>
        <w:tc>
          <w:tcPr>
            <w:tcW w:w="2125" w:type="dxa"/>
            <w:tcBorders>
              <w:top w:val="single" w:color="auto" w:sz="4" w:space="0"/>
              <w:left w:val="single" w:color="auto" w:sz="4" w:space="0"/>
              <w:bottom w:val="single" w:color="auto" w:sz="4" w:space="0"/>
              <w:right w:val="single" w:color="auto" w:sz="4" w:space="0"/>
            </w:tcBorders>
            <w:vAlign w:val="center"/>
          </w:tcPr>
          <w:p w14:paraId="4A840B46">
            <w:pPr>
              <w:spacing w:line="360" w:lineRule="auto"/>
              <w:jc w:val="center"/>
              <w:rPr>
                <w:rFonts w:asciiTheme="minorEastAsia" w:hAnsiTheme="minorEastAsia" w:eastAsiaTheme="minorEastAsia"/>
                <w:color w:val="auto"/>
                <w:kern w:val="2"/>
                <w:szCs w:val="21"/>
                <w:highlight w:val="none"/>
              </w:rPr>
            </w:pPr>
          </w:p>
          <w:p w14:paraId="5B740942">
            <w:pPr>
              <w:pStyle w:val="3"/>
              <w:spacing w:line="360" w:lineRule="auto"/>
              <w:rPr>
                <w:rFonts w:asciiTheme="minorEastAsia" w:hAnsiTheme="minorEastAsia" w:eastAsiaTheme="minorEastAsia"/>
                <w:b w:val="0"/>
                <w:bCs w:val="0"/>
                <w:color w:val="auto"/>
                <w:kern w:val="2"/>
                <w:sz w:val="21"/>
                <w:szCs w:val="21"/>
                <w:highlight w:val="none"/>
              </w:rPr>
            </w:pPr>
          </w:p>
        </w:tc>
        <w:tc>
          <w:tcPr>
            <w:tcW w:w="2761" w:type="dxa"/>
            <w:tcBorders>
              <w:top w:val="single" w:color="auto" w:sz="4" w:space="0"/>
              <w:left w:val="nil"/>
              <w:bottom w:val="single" w:color="auto" w:sz="4" w:space="0"/>
              <w:right w:val="single" w:color="auto" w:sz="4" w:space="0"/>
            </w:tcBorders>
            <w:vAlign w:val="center"/>
          </w:tcPr>
          <w:p w14:paraId="4D249CD7">
            <w:pPr>
              <w:spacing w:line="360" w:lineRule="auto"/>
              <w:jc w:val="center"/>
              <w:rPr>
                <w:rFonts w:asciiTheme="minorEastAsia" w:hAnsiTheme="minorEastAsia" w:eastAsiaTheme="minorEastAsia"/>
                <w:color w:val="auto"/>
                <w:kern w:val="2"/>
                <w:szCs w:val="21"/>
                <w:highlight w:val="none"/>
              </w:rPr>
            </w:pPr>
          </w:p>
        </w:tc>
        <w:tc>
          <w:tcPr>
            <w:tcW w:w="1211" w:type="dxa"/>
            <w:tcBorders>
              <w:top w:val="single" w:color="auto" w:sz="4" w:space="0"/>
              <w:left w:val="nil"/>
              <w:bottom w:val="single" w:color="auto" w:sz="4" w:space="0"/>
              <w:right w:val="single" w:color="auto" w:sz="4" w:space="0"/>
            </w:tcBorders>
            <w:vAlign w:val="center"/>
          </w:tcPr>
          <w:p w14:paraId="4E663BA1">
            <w:pPr>
              <w:spacing w:line="360" w:lineRule="auto"/>
              <w:jc w:val="center"/>
              <w:rPr>
                <w:rFonts w:asciiTheme="minorEastAsia" w:hAnsiTheme="minorEastAsia" w:eastAsiaTheme="minorEastAsia"/>
                <w:color w:val="auto"/>
                <w:kern w:val="2"/>
                <w:szCs w:val="21"/>
                <w:highlight w:val="none"/>
              </w:rPr>
            </w:pPr>
          </w:p>
        </w:tc>
        <w:tc>
          <w:tcPr>
            <w:tcW w:w="1880" w:type="dxa"/>
            <w:tcBorders>
              <w:top w:val="single" w:color="auto" w:sz="4" w:space="0"/>
              <w:left w:val="nil"/>
              <w:bottom w:val="single" w:color="auto" w:sz="4" w:space="0"/>
              <w:right w:val="single" w:color="auto" w:sz="4" w:space="0"/>
            </w:tcBorders>
            <w:vAlign w:val="center"/>
          </w:tcPr>
          <w:p w14:paraId="14F35EEC">
            <w:pPr>
              <w:spacing w:line="360" w:lineRule="auto"/>
              <w:jc w:val="center"/>
              <w:rPr>
                <w:rFonts w:asciiTheme="minorEastAsia" w:hAnsiTheme="minorEastAsia" w:eastAsiaTheme="minorEastAsia"/>
                <w:color w:val="auto"/>
                <w:kern w:val="2"/>
                <w:szCs w:val="21"/>
                <w:highlight w:val="none"/>
              </w:rPr>
            </w:pPr>
          </w:p>
        </w:tc>
        <w:tc>
          <w:tcPr>
            <w:tcW w:w="1790" w:type="dxa"/>
            <w:tcBorders>
              <w:top w:val="nil"/>
              <w:left w:val="nil"/>
              <w:bottom w:val="single" w:color="auto" w:sz="4" w:space="0"/>
              <w:right w:val="single" w:color="auto" w:sz="4" w:space="0"/>
            </w:tcBorders>
            <w:vAlign w:val="bottom"/>
          </w:tcPr>
          <w:p w14:paraId="41F13DF6">
            <w:pPr>
              <w:spacing w:line="360" w:lineRule="auto"/>
              <w:rPr>
                <w:rFonts w:asciiTheme="minorEastAsia" w:hAnsiTheme="minorEastAsia" w:eastAsiaTheme="minorEastAsia"/>
                <w:color w:val="auto"/>
                <w:kern w:val="2"/>
                <w:szCs w:val="21"/>
                <w:highlight w:val="none"/>
              </w:rPr>
            </w:pPr>
          </w:p>
        </w:tc>
      </w:tr>
      <w:tr w14:paraId="2DCF8790">
        <w:tblPrEx>
          <w:tblCellMar>
            <w:top w:w="0" w:type="dxa"/>
            <w:left w:w="108" w:type="dxa"/>
            <w:bottom w:w="0" w:type="dxa"/>
            <w:right w:w="108" w:type="dxa"/>
          </w:tblCellMar>
        </w:tblPrEx>
        <w:trPr>
          <w:trHeight w:val="750" w:hRule="atLeast"/>
          <w:jc w:val="center"/>
        </w:trPr>
        <w:tc>
          <w:tcPr>
            <w:tcW w:w="2125" w:type="dxa"/>
            <w:tcBorders>
              <w:top w:val="nil"/>
              <w:left w:val="single" w:color="auto" w:sz="4" w:space="0"/>
              <w:bottom w:val="single" w:color="auto" w:sz="4" w:space="0"/>
              <w:right w:val="single" w:color="auto" w:sz="4" w:space="0"/>
            </w:tcBorders>
            <w:vAlign w:val="center"/>
          </w:tcPr>
          <w:p w14:paraId="2FB31A7C">
            <w:pPr>
              <w:spacing w:line="360" w:lineRule="auto"/>
              <w:jc w:val="center"/>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合计总价款</w:t>
            </w:r>
          </w:p>
          <w:p w14:paraId="75BC67CA">
            <w:pPr>
              <w:spacing w:line="360" w:lineRule="auto"/>
              <w:jc w:val="center"/>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（人民币）</w:t>
            </w:r>
          </w:p>
        </w:tc>
        <w:tc>
          <w:tcPr>
            <w:tcW w:w="7642" w:type="dxa"/>
            <w:gridSpan w:val="4"/>
            <w:tcBorders>
              <w:top w:val="nil"/>
              <w:left w:val="nil"/>
              <w:bottom w:val="single" w:color="auto" w:sz="4" w:space="0"/>
              <w:right w:val="single" w:color="000000" w:sz="4" w:space="0"/>
            </w:tcBorders>
            <w:vAlign w:val="center"/>
          </w:tcPr>
          <w:p w14:paraId="026F8079">
            <w:pPr>
              <w:spacing w:line="360" w:lineRule="auto"/>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 xml:space="preserve">人民币                 元整。       ￥:              </w:t>
            </w:r>
          </w:p>
        </w:tc>
      </w:tr>
      <w:tr w14:paraId="30D4A1EE">
        <w:tblPrEx>
          <w:tblCellMar>
            <w:top w:w="0" w:type="dxa"/>
            <w:left w:w="108" w:type="dxa"/>
            <w:bottom w:w="0" w:type="dxa"/>
            <w:right w:w="108" w:type="dxa"/>
          </w:tblCellMar>
        </w:tblPrEx>
        <w:trPr>
          <w:trHeight w:val="690" w:hRule="atLeast"/>
          <w:jc w:val="center"/>
        </w:trPr>
        <w:tc>
          <w:tcPr>
            <w:tcW w:w="2125" w:type="dxa"/>
            <w:tcBorders>
              <w:top w:val="nil"/>
              <w:left w:val="single" w:color="auto" w:sz="4" w:space="0"/>
              <w:bottom w:val="nil"/>
              <w:right w:val="nil"/>
            </w:tcBorders>
            <w:vAlign w:val="bottom"/>
          </w:tcPr>
          <w:p w14:paraId="5A16D86E">
            <w:pPr>
              <w:spacing w:line="360" w:lineRule="auto"/>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 xml:space="preserve">供货单位（盖章）：                     </w:t>
            </w:r>
          </w:p>
        </w:tc>
        <w:tc>
          <w:tcPr>
            <w:tcW w:w="2761" w:type="dxa"/>
            <w:tcBorders>
              <w:top w:val="nil"/>
              <w:left w:val="nil"/>
              <w:bottom w:val="nil"/>
              <w:right w:val="nil"/>
            </w:tcBorders>
            <w:vAlign w:val="center"/>
          </w:tcPr>
          <w:p w14:paraId="0FD6AA70">
            <w:pPr>
              <w:spacing w:line="360" w:lineRule="auto"/>
              <w:jc w:val="right"/>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 xml:space="preserve">  采购人（盖章）:</w:t>
            </w:r>
          </w:p>
        </w:tc>
        <w:tc>
          <w:tcPr>
            <w:tcW w:w="3091" w:type="dxa"/>
            <w:gridSpan w:val="2"/>
            <w:tcBorders>
              <w:top w:val="nil"/>
              <w:left w:val="nil"/>
              <w:bottom w:val="nil"/>
              <w:right w:val="nil"/>
            </w:tcBorders>
            <w:vAlign w:val="bottom"/>
          </w:tcPr>
          <w:p w14:paraId="53C35273">
            <w:pPr>
              <w:spacing w:line="360" w:lineRule="auto"/>
              <w:rPr>
                <w:rFonts w:asciiTheme="minorEastAsia" w:hAnsiTheme="minorEastAsia" w:eastAsiaTheme="minorEastAsia"/>
                <w:color w:val="auto"/>
                <w:kern w:val="2"/>
                <w:szCs w:val="21"/>
                <w:highlight w:val="none"/>
              </w:rPr>
            </w:pPr>
          </w:p>
        </w:tc>
        <w:tc>
          <w:tcPr>
            <w:tcW w:w="1790" w:type="dxa"/>
            <w:tcBorders>
              <w:top w:val="nil"/>
              <w:left w:val="nil"/>
              <w:bottom w:val="nil"/>
              <w:right w:val="single" w:color="auto" w:sz="4" w:space="0"/>
            </w:tcBorders>
            <w:vAlign w:val="bottom"/>
          </w:tcPr>
          <w:p w14:paraId="5854210E">
            <w:pPr>
              <w:spacing w:line="360" w:lineRule="auto"/>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　</w:t>
            </w:r>
          </w:p>
        </w:tc>
      </w:tr>
      <w:tr w14:paraId="75A52819">
        <w:tblPrEx>
          <w:tblCellMar>
            <w:top w:w="0" w:type="dxa"/>
            <w:left w:w="108" w:type="dxa"/>
            <w:bottom w:w="0" w:type="dxa"/>
            <w:right w:w="108" w:type="dxa"/>
          </w:tblCellMar>
        </w:tblPrEx>
        <w:trPr>
          <w:trHeight w:val="525" w:hRule="atLeast"/>
          <w:jc w:val="center"/>
        </w:trPr>
        <w:tc>
          <w:tcPr>
            <w:tcW w:w="2125" w:type="dxa"/>
            <w:tcBorders>
              <w:top w:val="nil"/>
              <w:left w:val="single" w:color="auto" w:sz="4" w:space="0"/>
              <w:bottom w:val="nil"/>
              <w:right w:val="nil"/>
            </w:tcBorders>
            <w:vAlign w:val="bottom"/>
          </w:tcPr>
          <w:p w14:paraId="25240E64">
            <w:pPr>
              <w:spacing w:line="360" w:lineRule="auto"/>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经办项目负责人：</w:t>
            </w:r>
          </w:p>
        </w:tc>
        <w:tc>
          <w:tcPr>
            <w:tcW w:w="2761" w:type="dxa"/>
            <w:tcBorders>
              <w:top w:val="nil"/>
              <w:left w:val="nil"/>
              <w:bottom w:val="nil"/>
              <w:right w:val="nil"/>
            </w:tcBorders>
            <w:vAlign w:val="center"/>
          </w:tcPr>
          <w:p w14:paraId="4F472F47">
            <w:pPr>
              <w:spacing w:line="360" w:lineRule="auto"/>
              <w:jc w:val="right"/>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项目验收组组长：</w:t>
            </w:r>
          </w:p>
        </w:tc>
        <w:tc>
          <w:tcPr>
            <w:tcW w:w="3091" w:type="dxa"/>
            <w:gridSpan w:val="2"/>
            <w:tcBorders>
              <w:top w:val="nil"/>
              <w:left w:val="nil"/>
              <w:bottom w:val="nil"/>
              <w:right w:val="nil"/>
            </w:tcBorders>
            <w:vAlign w:val="bottom"/>
          </w:tcPr>
          <w:p w14:paraId="51B8FB87">
            <w:pPr>
              <w:spacing w:line="360" w:lineRule="auto"/>
              <w:rPr>
                <w:rFonts w:asciiTheme="minorEastAsia" w:hAnsiTheme="minorEastAsia" w:eastAsiaTheme="minorEastAsia"/>
                <w:color w:val="auto"/>
                <w:kern w:val="2"/>
                <w:szCs w:val="21"/>
                <w:highlight w:val="none"/>
              </w:rPr>
            </w:pPr>
          </w:p>
        </w:tc>
        <w:tc>
          <w:tcPr>
            <w:tcW w:w="1790" w:type="dxa"/>
            <w:tcBorders>
              <w:top w:val="nil"/>
              <w:left w:val="nil"/>
              <w:bottom w:val="nil"/>
              <w:right w:val="single" w:color="auto" w:sz="4" w:space="0"/>
            </w:tcBorders>
            <w:vAlign w:val="bottom"/>
          </w:tcPr>
          <w:p w14:paraId="290CBCCE">
            <w:pPr>
              <w:spacing w:line="360" w:lineRule="auto"/>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　</w:t>
            </w:r>
          </w:p>
        </w:tc>
      </w:tr>
      <w:tr w14:paraId="5EDD59BE">
        <w:tblPrEx>
          <w:tblCellMar>
            <w:top w:w="0" w:type="dxa"/>
            <w:left w:w="108" w:type="dxa"/>
            <w:bottom w:w="0" w:type="dxa"/>
            <w:right w:w="108" w:type="dxa"/>
          </w:tblCellMar>
        </w:tblPrEx>
        <w:trPr>
          <w:trHeight w:val="525" w:hRule="atLeast"/>
          <w:jc w:val="center"/>
        </w:trPr>
        <w:tc>
          <w:tcPr>
            <w:tcW w:w="2125" w:type="dxa"/>
            <w:tcBorders>
              <w:top w:val="nil"/>
              <w:left w:val="single" w:color="auto" w:sz="4" w:space="0"/>
              <w:bottom w:val="nil"/>
              <w:right w:val="nil"/>
            </w:tcBorders>
            <w:vAlign w:val="bottom"/>
          </w:tcPr>
          <w:p w14:paraId="05400F11">
            <w:pPr>
              <w:spacing w:line="360" w:lineRule="auto"/>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联系电话：</w:t>
            </w:r>
          </w:p>
        </w:tc>
        <w:tc>
          <w:tcPr>
            <w:tcW w:w="2761" w:type="dxa"/>
            <w:tcBorders>
              <w:top w:val="nil"/>
              <w:left w:val="nil"/>
              <w:bottom w:val="nil"/>
              <w:right w:val="nil"/>
            </w:tcBorders>
            <w:vAlign w:val="center"/>
          </w:tcPr>
          <w:p w14:paraId="0B8A8C77">
            <w:pPr>
              <w:spacing w:line="360" w:lineRule="auto"/>
              <w:jc w:val="right"/>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联系电话：</w:t>
            </w:r>
          </w:p>
        </w:tc>
        <w:tc>
          <w:tcPr>
            <w:tcW w:w="1211" w:type="dxa"/>
            <w:tcBorders>
              <w:top w:val="nil"/>
              <w:left w:val="nil"/>
              <w:bottom w:val="nil"/>
              <w:right w:val="nil"/>
            </w:tcBorders>
            <w:vAlign w:val="bottom"/>
          </w:tcPr>
          <w:p w14:paraId="0EC09CBD">
            <w:pPr>
              <w:spacing w:line="360" w:lineRule="auto"/>
              <w:rPr>
                <w:rFonts w:asciiTheme="minorEastAsia" w:hAnsiTheme="minorEastAsia" w:eastAsiaTheme="minorEastAsia"/>
                <w:color w:val="auto"/>
                <w:kern w:val="2"/>
                <w:szCs w:val="21"/>
                <w:highlight w:val="none"/>
              </w:rPr>
            </w:pPr>
          </w:p>
        </w:tc>
        <w:tc>
          <w:tcPr>
            <w:tcW w:w="1880" w:type="dxa"/>
            <w:tcBorders>
              <w:top w:val="nil"/>
              <w:left w:val="nil"/>
              <w:bottom w:val="nil"/>
              <w:right w:val="nil"/>
            </w:tcBorders>
            <w:vAlign w:val="bottom"/>
          </w:tcPr>
          <w:p w14:paraId="024B48F0">
            <w:pPr>
              <w:spacing w:line="360" w:lineRule="auto"/>
              <w:rPr>
                <w:rFonts w:asciiTheme="minorEastAsia" w:hAnsiTheme="minorEastAsia" w:eastAsiaTheme="minorEastAsia"/>
                <w:color w:val="auto"/>
                <w:kern w:val="2"/>
                <w:szCs w:val="21"/>
                <w:highlight w:val="none"/>
              </w:rPr>
            </w:pPr>
          </w:p>
        </w:tc>
        <w:tc>
          <w:tcPr>
            <w:tcW w:w="1790" w:type="dxa"/>
            <w:tcBorders>
              <w:top w:val="nil"/>
              <w:left w:val="nil"/>
              <w:bottom w:val="nil"/>
              <w:right w:val="single" w:color="auto" w:sz="4" w:space="0"/>
            </w:tcBorders>
            <w:vAlign w:val="bottom"/>
          </w:tcPr>
          <w:p w14:paraId="34FF8E93">
            <w:pPr>
              <w:spacing w:line="360" w:lineRule="auto"/>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　</w:t>
            </w:r>
          </w:p>
        </w:tc>
      </w:tr>
      <w:tr w14:paraId="63CCE807">
        <w:tblPrEx>
          <w:tblCellMar>
            <w:top w:w="0" w:type="dxa"/>
            <w:left w:w="108" w:type="dxa"/>
            <w:bottom w:w="0" w:type="dxa"/>
            <w:right w:w="108" w:type="dxa"/>
          </w:tblCellMar>
        </w:tblPrEx>
        <w:trPr>
          <w:trHeight w:val="540" w:hRule="atLeast"/>
          <w:jc w:val="center"/>
        </w:trPr>
        <w:tc>
          <w:tcPr>
            <w:tcW w:w="2125" w:type="dxa"/>
            <w:tcBorders>
              <w:top w:val="nil"/>
              <w:left w:val="single" w:color="auto" w:sz="4" w:space="0"/>
              <w:bottom w:val="nil"/>
              <w:right w:val="nil"/>
            </w:tcBorders>
            <w:vAlign w:val="bottom"/>
          </w:tcPr>
          <w:p w14:paraId="6C27B425">
            <w:pPr>
              <w:spacing w:line="360" w:lineRule="auto"/>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开户银行：</w:t>
            </w:r>
          </w:p>
        </w:tc>
        <w:tc>
          <w:tcPr>
            <w:tcW w:w="2761" w:type="dxa"/>
            <w:tcBorders>
              <w:top w:val="nil"/>
              <w:left w:val="nil"/>
              <w:bottom w:val="nil"/>
              <w:right w:val="nil"/>
            </w:tcBorders>
            <w:vAlign w:val="center"/>
          </w:tcPr>
          <w:p w14:paraId="5729B7A2">
            <w:pPr>
              <w:spacing w:line="360" w:lineRule="auto"/>
              <w:jc w:val="right"/>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项目验收组成员（签名）：</w:t>
            </w:r>
          </w:p>
        </w:tc>
        <w:tc>
          <w:tcPr>
            <w:tcW w:w="1211" w:type="dxa"/>
            <w:tcBorders>
              <w:top w:val="nil"/>
              <w:left w:val="nil"/>
              <w:bottom w:val="nil"/>
              <w:right w:val="nil"/>
            </w:tcBorders>
            <w:vAlign w:val="bottom"/>
          </w:tcPr>
          <w:p w14:paraId="6F5FECD4">
            <w:pPr>
              <w:spacing w:line="360" w:lineRule="auto"/>
              <w:rPr>
                <w:rFonts w:asciiTheme="minorEastAsia" w:hAnsiTheme="minorEastAsia" w:eastAsiaTheme="minorEastAsia"/>
                <w:color w:val="auto"/>
                <w:kern w:val="2"/>
                <w:szCs w:val="21"/>
                <w:highlight w:val="none"/>
              </w:rPr>
            </w:pPr>
          </w:p>
        </w:tc>
        <w:tc>
          <w:tcPr>
            <w:tcW w:w="1880" w:type="dxa"/>
            <w:tcBorders>
              <w:top w:val="nil"/>
              <w:left w:val="nil"/>
              <w:bottom w:val="nil"/>
              <w:right w:val="nil"/>
            </w:tcBorders>
            <w:vAlign w:val="bottom"/>
          </w:tcPr>
          <w:p w14:paraId="52D8DF2E">
            <w:pPr>
              <w:spacing w:line="360" w:lineRule="auto"/>
              <w:rPr>
                <w:rFonts w:asciiTheme="minorEastAsia" w:hAnsiTheme="minorEastAsia" w:eastAsiaTheme="minorEastAsia"/>
                <w:color w:val="auto"/>
                <w:kern w:val="2"/>
                <w:szCs w:val="21"/>
                <w:highlight w:val="none"/>
              </w:rPr>
            </w:pPr>
          </w:p>
        </w:tc>
        <w:tc>
          <w:tcPr>
            <w:tcW w:w="1790" w:type="dxa"/>
            <w:tcBorders>
              <w:top w:val="nil"/>
              <w:left w:val="nil"/>
              <w:bottom w:val="nil"/>
              <w:right w:val="single" w:color="auto" w:sz="4" w:space="0"/>
            </w:tcBorders>
            <w:vAlign w:val="bottom"/>
          </w:tcPr>
          <w:p w14:paraId="103C2D1C">
            <w:pPr>
              <w:spacing w:line="360" w:lineRule="auto"/>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　</w:t>
            </w:r>
          </w:p>
        </w:tc>
      </w:tr>
      <w:tr w14:paraId="130D42B3">
        <w:tblPrEx>
          <w:tblCellMar>
            <w:top w:w="0" w:type="dxa"/>
            <w:left w:w="108" w:type="dxa"/>
            <w:bottom w:w="0" w:type="dxa"/>
            <w:right w:w="108" w:type="dxa"/>
          </w:tblCellMar>
        </w:tblPrEx>
        <w:trPr>
          <w:trHeight w:val="675" w:hRule="atLeast"/>
          <w:jc w:val="center"/>
        </w:trPr>
        <w:tc>
          <w:tcPr>
            <w:tcW w:w="2125" w:type="dxa"/>
            <w:tcBorders>
              <w:top w:val="nil"/>
              <w:left w:val="single" w:color="auto" w:sz="4" w:space="0"/>
              <w:bottom w:val="single" w:color="auto" w:sz="4" w:space="0"/>
              <w:right w:val="nil"/>
            </w:tcBorders>
            <w:vAlign w:val="center"/>
          </w:tcPr>
          <w:p w14:paraId="7AA7AF3A">
            <w:pPr>
              <w:spacing w:line="360" w:lineRule="auto"/>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银行帐号：</w:t>
            </w:r>
          </w:p>
        </w:tc>
        <w:tc>
          <w:tcPr>
            <w:tcW w:w="2761" w:type="dxa"/>
            <w:tcBorders>
              <w:top w:val="nil"/>
              <w:left w:val="nil"/>
              <w:bottom w:val="single" w:color="auto" w:sz="4" w:space="0"/>
              <w:right w:val="nil"/>
            </w:tcBorders>
            <w:vAlign w:val="bottom"/>
          </w:tcPr>
          <w:p w14:paraId="043E014D">
            <w:pPr>
              <w:spacing w:line="360" w:lineRule="auto"/>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　</w:t>
            </w:r>
          </w:p>
        </w:tc>
        <w:tc>
          <w:tcPr>
            <w:tcW w:w="4881" w:type="dxa"/>
            <w:gridSpan w:val="3"/>
            <w:tcBorders>
              <w:top w:val="nil"/>
              <w:left w:val="nil"/>
              <w:bottom w:val="single" w:color="auto" w:sz="4" w:space="0"/>
              <w:right w:val="single" w:color="000000" w:sz="4" w:space="0"/>
            </w:tcBorders>
            <w:vAlign w:val="center"/>
          </w:tcPr>
          <w:p w14:paraId="32744A1D">
            <w:pPr>
              <w:spacing w:line="360" w:lineRule="auto"/>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验收时间：       年     月     日</w:t>
            </w:r>
          </w:p>
        </w:tc>
      </w:tr>
      <w:tr w14:paraId="1C5B617A">
        <w:tblPrEx>
          <w:tblCellMar>
            <w:top w:w="0" w:type="dxa"/>
            <w:left w:w="108" w:type="dxa"/>
            <w:bottom w:w="0" w:type="dxa"/>
            <w:right w:w="108" w:type="dxa"/>
          </w:tblCellMar>
        </w:tblPrEx>
        <w:trPr>
          <w:trHeight w:val="345" w:hRule="atLeast"/>
          <w:jc w:val="center"/>
        </w:trPr>
        <w:tc>
          <w:tcPr>
            <w:tcW w:w="9767" w:type="dxa"/>
            <w:gridSpan w:val="5"/>
            <w:tcBorders>
              <w:top w:val="single" w:color="auto" w:sz="4" w:space="0"/>
              <w:left w:val="nil"/>
              <w:bottom w:val="nil"/>
              <w:right w:val="nil"/>
            </w:tcBorders>
            <w:vAlign w:val="center"/>
          </w:tcPr>
          <w:p w14:paraId="49C33270">
            <w:pPr>
              <w:spacing w:line="360" w:lineRule="auto"/>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本单一式三联：第一联采购人留存，第二联作为财政支付凭证，第三联供货单位留存</w:t>
            </w:r>
            <w:r>
              <w:rPr>
                <w:rFonts w:asciiTheme="minorEastAsia" w:hAnsiTheme="minorEastAsia" w:eastAsiaTheme="minorEastAsia"/>
                <w:color w:val="auto"/>
                <w:kern w:val="2"/>
                <w:szCs w:val="21"/>
                <w:highlight w:val="none"/>
              </w:rPr>
              <w:t xml:space="preserve"> </w:t>
            </w:r>
          </w:p>
        </w:tc>
      </w:tr>
    </w:tbl>
    <w:p w14:paraId="0B961563">
      <w:pPr>
        <w:pStyle w:val="436"/>
        <w:snapToGrid w:val="0"/>
        <w:spacing w:line="360" w:lineRule="auto"/>
        <w:jc w:val="center"/>
        <w:rPr>
          <w:rFonts w:asciiTheme="minorEastAsia" w:hAnsiTheme="minorEastAsia" w:eastAsiaTheme="minorEastAsia"/>
          <w:b/>
          <w:color w:val="auto"/>
          <w:sz w:val="21"/>
          <w:szCs w:val="21"/>
          <w:highlight w:val="none"/>
        </w:rPr>
      </w:pPr>
    </w:p>
    <w:p w14:paraId="3809C61C">
      <w:pPr>
        <w:pStyle w:val="436"/>
        <w:snapToGrid w:val="0"/>
        <w:spacing w:line="360" w:lineRule="auto"/>
        <w:jc w:val="center"/>
        <w:rPr>
          <w:rFonts w:asciiTheme="minorEastAsia" w:hAnsiTheme="minorEastAsia" w:eastAsiaTheme="minorEastAsia"/>
          <w:b/>
          <w:color w:val="auto"/>
          <w:sz w:val="21"/>
          <w:szCs w:val="21"/>
          <w:highlight w:val="none"/>
        </w:rPr>
      </w:pPr>
    </w:p>
    <w:p w14:paraId="4A37F638">
      <w:pPr>
        <w:pStyle w:val="436"/>
        <w:snapToGrid w:val="0"/>
        <w:spacing w:line="360" w:lineRule="auto"/>
        <w:jc w:val="center"/>
        <w:rPr>
          <w:rFonts w:asciiTheme="minorEastAsia" w:hAnsiTheme="minorEastAsia" w:eastAsiaTheme="minorEastAsia"/>
          <w:b/>
          <w:color w:val="auto"/>
          <w:sz w:val="21"/>
          <w:szCs w:val="21"/>
          <w:highlight w:val="none"/>
        </w:rPr>
      </w:pPr>
    </w:p>
    <w:p w14:paraId="61BF1A49">
      <w:pPr>
        <w:pStyle w:val="436"/>
        <w:tabs>
          <w:tab w:val="left" w:pos="3858"/>
        </w:tabs>
        <w:snapToGrid w:val="0"/>
        <w:spacing w:line="360" w:lineRule="auto"/>
        <w:jc w:val="left"/>
        <w:rPr>
          <w:rFonts w:asciiTheme="minorEastAsia" w:hAnsiTheme="minorEastAsia" w:eastAsiaTheme="minorEastAsia"/>
          <w:b/>
          <w:color w:val="auto"/>
          <w:sz w:val="21"/>
          <w:szCs w:val="21"/>
          <w:highlight w:val="none"/>
        </w:rPr>
      </w:pPr>
      <w:r>
        <w:rPr>
          <w:rFonts w:asciiTheme="minorEastAsia" w:hAnsiTheme="minorEastAsia" w:eastAsiaTheme="minorEastAsia"/>
          <w:b/>
          <w:color w:val="auto"/>
          <w:sz w:val="21"/>
          <w:szCs w:val="21"/>
          <w:highlight w:val="none"/>
        </w:rPr>
        <w:tab/>
      </w:r>
    </w:p>
    <w:p w14:paraId="3FF18AD2">
      <w:pPr>
        <w:pStyle w:val="436"/>
        <w:snapToGrid w:val="0"/>
        <w:spacing w:line="360" w:lineRule="auto"/>
        <w:jc w:val="center"/>
        <w:rPr>
          <w:rFonts w:asciiTheme="minorEastAsia" w:hAnsiTheme="minorEastAsia" w:eastAsiaTheme="minorEastAsia"/>
          <w:b/>
          <w:color w:val="auto"/>
          <w:sz w:val="21"/>
          <w:szCs w:val="21"/>
          <w:highlight w:val="none"/>
        </w:rPr>
      </w:pPr>
    </w:p>
    <w:p w14:paraId="140D6F35">
      <w:pPr>
        <w:pStyle w:val="436"/>
        <w:snapToGrid w:val="0"/>
        <w:spacing w:line="360" w:lineRule="auto"/>
        <w:jc w:val="center"/>
        <w:rPr>
          <w:rFonts w:asciiTheme="minorEastAsia" w:hAnsiTheme="minorEastAsia" w:eastAsiaTheme="minorEastAsia"/>
          <w:b/>
          <w:color w:val="auto"/>
          <w:sz w:val="21"/>
          <w:szCs w:val="21"/>
          <w:highlight w:val="none"/>
        </w:rPr>
      </w:pPr>
    </w:p>
    <w:p w14:paraId="0B5A7888">
      <w:pPr>
        <w:pStyle w:val="436"/>
        <w:snapToGrid w:val="0"/>
        <w:spacing w:line="360" w:lineRule="auto"/>
        <w:jc w:val="center"/>
        <w:rPr>
          <w:rFonts w:asciiTheme="minorEastAsia" w:hAnsiTheme="minorEastAsia" w:eastAsiaTheme="minorEastAsia"/>
          <w:b/>
          <w:color w:val="auto"/>
          <w:sz w:val="21"/>
          <w:szCs w:val="21"/>
          <w:highlight w:val="none"/>
        </w:rPr>
      </w:pPr>
    </w:p>
    <w:p w14:paraId="1FDD5A0F">
      <w:pPr>
        <w:pStyle w:val="436"/>
        <w:snapToGrid w:val="0"/>
        <w:spacing w:line="360" w:lineRule="auto"/>
        <w:jc w:val="center"/>
        <w:rPr>
          <w:rFonts w:asciiTheme="minorEastAsia" w:hAnsiTheme="minorEastAsia" w:eastAsiaTheme="minorEastAsia"/>
          <w:b/>
          <w:color w:val="auto"/>
          <w:sz w:val="21"/>
          <w:szCs w:val="21"/>
          <w:highlight w:val="none"/>
        </w:rPr>
      </w:pPr>
    </w:p>
    <w:p w14:paraId="59973B86">
      <w:pPr>
        <w:pStyle w:val="436"/>
        <w:snapToGrid w:val="0"/>
        <w:spacing w:line="360" w:lineRule="auto"/>
        <w:jc w:val="center"/>
        <w:rPr>
          <w:rFonts w:asciiTheme="minorEastAsia" w:hAnsiTheme="minorEastAsia" w:eastAsiaTheme="minorEastAsia"/>
          <w:b/>
          <w:color w:val="auto"/>
          <w:sz w:val="21"/>
          <w:szCs w:val="21"/>
          <w:highlight w:val="none"/>
        </w:rPr>
      </w:pPr>
    </w:p>
    <w:bookmarkEnd w:id="72"/>
    <w:p w14:paraId="024A1BD8">
      <w:pPr>
        <w:snapToGrid w:val="0"/>
        <w:spacing w:line="360" w:lineRule="auto"/>
        <w:jc w:val="center"/>
        <w:rPr>
          <w:rFonts w:asciiTheme="minorEastAsia" w:hAnsiTheme="minorEastAsia" w:eastAsiaTheme="minorEastAsia"/>
          <w:b/>
          <w:bCs/>
          <w:color w:val="auto"/>
          <w:sz w:val="28"/>
          <w:szCs w:val="28"/>
          <w:highlight w:val="none"/>
        </w:rPr>
      </w:pPr>
    </w:p>
    <w:p w14:paraId="652CCA24">
      <w:pPr>
        <w:snapToGrid w:val="0"/>
        <w:spacing w:before="120" w:after="120" w:line="360" w:lineRule="auto"/>
        <w:jc w:val="center"/>
        <w:outlineLvl w:val="0"/>
        <w:rPr>
          <w:rFonts w:asciiTheme="minorEastAsia" w:hAnsiTheme="minorEastAsia" w:eastAsiaTheme="minorEastAsia"/>
          <w:b/>
          <w:color w:val="auto"/>
          <w:sz w:val="28"/>
          <w:szCs w:val="28"/>
          <w:highlight w:val="none"/>
        </w:rPr>
      </w:pPr>
      <w:bookmarkStart w:id="108" w:name="_Toc21187"/>
      <w:r>
        <w:rPr>
          <w:rFonts w:hint="eastAsia" w:asciiTheme="minorEastAsia" w:hAnsiTheme="minorEastAsia" w:eastAsiaTheme="minorEastAsia"/>
          <w:b/>
          <w:color w:val="auto"/>
          <w:sz w:val="28"/>
          <w:szCs w:val="28"/>
          <w:highlight w:val="none"/>
        </w:rPr>
        <w:t>第六章  投标文件格式</w:t>
      </w:r>
      <w:bookmarkEnd w:id="108"/>
    </w:p>
    <w:p w14:paraId="384642A0">
      <w:pPr>
        <w:snapToGrid w:val="0"/>
        <w:spacing w:line="360" w:lineRule="auto"/>
        <w:jc w:val="center"/>
        <w:rPr>
          <w:rFonts w:asciiTheme="minorEastAsia" w:hAnsiTheme="minorEastAsia" w:eastAsiaTheme="minorEastAsia"/>
          <w:b/>
          <w:bCs/>
          <w:color w:val="auto"/>
          <w:szCs w:val="21"/>
          <w:highlight w:val="none"/>
        </w:rPr>
      </w:pPr>
    </w:p>
    <w:p w14:paraId="496F9F5D">
      <w:pPr>
        <w:snapToGrid w:val="0"/>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1.投标文件封面格式：</w:t>
      </w:r>
    </w:p>
    <w:p w14:paraId="21840778">
      <w:pPr>
        <w:snapToGrid w:val="0"/>
        <w:spacing w:line="360" w:lineRule="auto"/>
        <w:rPr>
          <w:rFonts w:asciiTheme="minorEastAsia" w:hAnsiTheme="minorEastAsia" w:eastAsiaTheme="minorEastAsia"/>
          <w:b/>
          <w:bCs/>
          <w:color w:val="auto"/>
          <w:szCs w:val="21"/>
          <w:highlight w:val="none"/>
        </w:rPr>
      </w:pPr>
    </w:p>
    <w:p w14:paraId="233B5498">
      <w:pPr>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资信技术文件</w:t>
      </w:r>
    </w:p>
    <w:p w14:paraId="7A460D71">
      <w:pPr>
        <w:snapToGrid w:val="0"/>
        <w:spacing w:line="360" w:lineRule="auto"/>
        <w:ind w:firstLine="840" w:firstLineChars="400"/>
        <w:rPr>
          <w:rFonts w:asciiTheme="minorEastAsia" w:hAnsiTheme="minorEastAsia" w:eastAsiaTheme="minorEastAsia"/>
          <w:b/>
          <w:bCs/>
          <w:color w:val="auto"/>
          <w:szCs w:val="21"/>
          <w:highlight w:val="none"/>
        </w:rPr>
      </w:pPr>
      <w:r>
        <w:rPr>
          <w:rFonts w:hint="eastAsia" w:asciiTheme="minorEastAsia" w:hAnsiTheme="minorEastAsia" w:eastAsiaTheme="minorEastAsia"/>
          <w:bCs/>
          <w:color w:val="auto"/>
          <w:szCs w:val="21"/>
          <w:highlight w:val="none"/>
        </w:rPr>
        <w:t>项目名称：</w:t>
      </w:r>
    </w:p>
    <w:p w14:paraId="3F871EDA">
      <w:pPr>
        <w:snapToGrid w:val="0"/>
        <w:spacing w:line="360" w:lineRule="auto"/>
        <w:ind w:firstLine="840" w:firstLineChars="400"/>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项目编号：</w:t>
      </w:r>
    </w:p>
    <w:p w14:paraId="03F1BCC4">
      <w:pPr>
        <w:pStyle w:val="14"/>
        <w:snapToGrid w:val="0"/>
        <w:spacing w:line="360" w:lineRule="auto"/>
        <w:ind w:firstLine="873" w:firstLineChars="416"/>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投标人名称（盖章）：</w:t>
      </w:r>
    </w:p>
    <w:p w14:paraId="33D31F8B">
      <w:pPr>
        <w:pStyle w:val="14"/>
        <w:snapToGrid w:val="0"/>
        <w:spacing w:line="360" w:lineRule="auto"/>
        <w:ind w:firstLine="873" w:firstLineChars="416"/>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投标人地址：</w:t>
      </w:r>
    </w:p>
    <w:p w14:paraId="6B81C41D">
      <w:pPr>
        <w:snapToGrid w:val="0"/>
        <w:spacing w:line="360" w:lineRule="auto"/>
        <w:ind w:firstLine="645"/>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年月日</w:t>
      </w:r>
    </w:p>
    <w:p w14:paraId="22964AB6">
      <w:pPr>
        <w:snapToGrid w:val="0"/>
        <w:spacing w:line="360" w:lineRule="auto"/>
        <w:rPr>
          <w:rFonts w:asciiTheme="minorEastAsia" w:hAnsiTheme="minorEastAsia" w:eastAsiaTheme="minorEastAsia"/>
          <w:b/>
          <w:color w:val="auto"/>
          <w:szCs w:val="21"/>
          <w:highlight w:val="none"/>
        </w:rPr>
      </w:pPr>
    </w:p>
    <w:p w14:paraId="407C5582">
      <w:pPr>
        <w:snapToGrid w:val="0"/>
        <w:spacing w:line="360" w:lineRule="auto"/>
        <w:rPr>
          <w:rFonts w:asciiTheme="minorEastAsia" w:hAnsiTheme="minorEastAsia" w:eastAsiaTheme="minorEastAsia"/>
          <w:b/>
          <w:color w:val="auto"/>
          <w:szCs w:val="21"/>
          <w:highlight w:val="none"/>
        </w:rPr>
      </w:pPr>
    </w:p>
    <w:p w14:paraId="749C4881">
      <w:pPr>
        <w:snapToGrid w:val="0"/>
        <w:spacing w:line="360" w:lineRule="auto"/>
        <w:rPr>
          <w:rFonts w:asciiTheme="minorEastAsia" w:hAnsiTheme="minorEastAsia" w:eastAsiaTheme="minorEastAsia"/>
          <w:b/>
          <w:color w:val="auto"/>
          <w:szCs w:val="21"/>
          <w:highlight w:val="none"/>
        </w:rPr>
      </w:pPr>
    </w:p>
    <w:p w14:paraId="2E58C4A5">
      <w:pPr>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商务报价文件</w:t>
      </w:r>
    </w:p>
    <w:p w14:paraId="64A27A30">
      <w:pPr>
        <w:snapToGrid w:val="0"/>
        <w:spacing w:line="360" w:lineRule="auto"/>
        <w:rPr>
          <w:rFonts w:asciiTheme="minorEastAsia" w:hAnsiTheme="minorEastAsia" w:eastAsiaTheme="minorEastAsia"/>
          <w:bCs/>
          <w:color w:val="auto"/>
          <w:szCs w:val="21"/>
          <w:highlight w:val="none"/>
        </w:rPr>
      </w:pPr>
    </w:p>
    <w:p w14:paraId="7AE8A9CA">
      <w:pPr>
        <w:snapToGrid w:val="0"/>
        <w:spacing w:line="360" w:lineRule="auto"/>
        <w:ind w:firstLine="840" w:firstLineChars="400"/>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项目名称：</w:t>
      </w:r>
    </w:p>
    <w:p w14:paraId="37BC87C9">
      <w:pPr>
        <w:snapToGrid w:val="0"/>
        <w:spacing w:line="360" w:lineRule="auto"/>
        <w:ind w:firstLine="840" w:firstLineChars="400"/>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项目编号：</w:t>
      </w:r>
    </w:p>
    <w:p w14:paraId="742EF07B">
      <w:pPr>
        <w:pStyle w:val="14"/>
        <w:snapToGrid w:val="0"/>
        <w:spacing w:line="360" w:lineRule="auto"/>
        <w:ind w:firstLine="873" w:firstLineChars="416"/>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投标人名称（盖章）：</w:t>
      </w:r>
    </w:p>
    <w:p w14:paraId="46CB6F68">
      <w:pPr>
        <w:pStyle w:val="14"/>
        <w:snapToGrid w:val="0"/>
        <w:spacing w:line="360" w:lineRule="auto"/>
        <w:ind w:firstLine="873" w:firstLineChars="416"/>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投标人地址：</w:t>
      </w:r>
    </w:p>
    <w:p w14:paraId="64265A30">
      <w:pPr>
        <w:snapToGrid w:val="0"/>
        <w:spacing w:line="360" w:lineRule="auto"/>
        <w:ind w:firstLine="645"/>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年月日</w:t>
      </w:r>
    </w:p>
    <w:p w14:paraId="40272DB8">
      <w:pPr>
        <w:spacing w:line="360" w:lineRule="auto"/>
        <w:rPr>
          <w:rFonts w:asciiTheme="minorEastAsia" w:hAnsiTheme="minorEastAsia" w:eastAsiaTheme="minorEastAsia"/>
          <w:color w:val="auto"/>
          <w:szCs w:val="21"/>
          <w:highlight w:val="none"/>
        </w:rPr>
      </w:pPr>
    </w:p>
    <w:p w14:paraId="1F40357E">
      <w:pPr>
        <w:snapToGrid w:val="0"/>
        <w:spacing w:line="360" w:lineRule="auto"/>
        <w:rPr>
          <w:rFonts w:asciiTheme="minorEastAsia" w:hAnsiTheme="minorEastAsia" w:eastAsiaTheme="minorEastAsia"/>
          <w:b/>
          <w:color w:val="auto"/>
          <w:szCs w:val="21"/>
          <w:highlight w:val="none"/>
        </w:rPr>
      </w:pPr>
    </w:p>
    <w:p w14:paraId="08C3BEA0">
      <w:pPr>
        <w:snapToGrid w:val="0"/>
        <w:spacing w:line="360" w:lineRule="auto"/>
        <w:rPr>
          <w:rFonts w:asciiTheme="minorEastAsia" w:hAnsiTheme="minorEastAsia" w:eastAsiaTheme="minorEastAsia"/>
          <w:b/>
          <w:color w:val="auto"/>
          <w:szCs w:val="21"/>
          <w:highlight w:val="none"/>
        </w:rPr>
      </w:pPr>
    </w:p>
    <w:p w14:paraId="5F484FB7">
      <w:pPr>
        <w:snapToGrid w:val="0"/>
        <w:spacing w:line="360" w:lineRule="auto"/>
        <w:rPr>
          <w:rFonts w:asciiTheme="minorEastAsia" w:hAnsiTheme="minorEastAsia" w:eastAsiaTheme="minorEastAsia"/>
          <w:b/>
          <w:color w:val="auto"/>
          <w:szCs w:val="21"/>
          <w:highlight w:val="none"/>
        </w:rPr>
      </w:pPr>
    </w:p>
    <w:p w14:paraId="0A8F16DA">
      <w:pPr>
        <w:snapToGrid w:val="0"/>
        <w:spacing w:line="360" w:lineRule="auto"/>
        <w:rPr>
          <w:rFonts w:asciiTheme="minorEastAsia" w:hAnsiTheme="minorEastAsia" w:eastAsiaTheme="minorEastAsia"/>
          <w:b/>
          <w:color w:val="auto"/>
          <w:szCs w:val="21"/>
          <w:highlight w:val="none"/>
        </w:rPr>
      </w:pPr>
    </w:p>
    <w:p w14:paraId="442FB7F4">
      <w:pPr>
        <w:snapToGrid w:val="0"/>
        <w:spacing w:line="360" w:lineRule="auto"/>
        <w:rPr>
          <w:rFonts w:asciiTheme="minorEastAsia" w:hAnsiTheme="minorEastAsia" w:eastAsiaTheme="minorEastAsia"/>
          <w:b/>
          <w:color w:val="auto"/>
          <w:szCs w:val="21"/>
          <w:highlight w:val="none"/>
        </w:rPr>
      </w:pPr>
    </w:p>
    <w:p w14:paraId="73B282AF">
      <w:pPr>
        <w:snapToGrid w:val="0"/>
        <w:spacing w:line="360" w:lineRule="auto"/>
        <w:rPr>
          <w:rFonts w:asciiTheme="minorEastAsia" w:hAnsiTheme="minorEastAsia" w:eastAsiaTheme="minorEastAsia"/>
          <w:b/>
          <w:color w:val="auto"/>
          <w:szCs w:val="21"/>
          <w:highlight w:val="none"/>
        </w:rPr>
      </w:pPr>
    </w:p>
    <w:p w14:paraId="7B54E64B">
      <w:pPr>
        <w:snapToGrid w:val="0"/>
        <w:spacing w:line="360" w:lineRule="auto"/>
        <w:rPr>
          <w:rFonts w:asciiTheme="minorEastAsia" w:hAnsiTheme="minorEastAsia" w:eastAsiaTheme="minorEastAsia"/>
          <w:b/>
          <w:color w:val="auto"/>
          <w:szCs w:val="21"/>
          <w:highlight w:val="none"/>
        </w:rPr>
      </w:pPr>
    </w:p>
    <w:p w14:paraId="66224117">
      <w:pPr>
        <w:snapToGrid w:val="0"/>
        <w:spacing w:line="360" w:lineRule="auto"/>
        <w:rPr>
          <w:rFonts w:asciiTheme="minorEastAsia" w:hAnsiTheme="minorEastAsia" w:eastAsiaTheme="minorEastAsia"/>
          <w:b/>
          <w:color w:val="auto"/>
          <w:szCs w:val="21"/>
          <w:highlight w:val="none"/>
        </w:rPr>
      </w:pPr>
    </w:p>
    <w:p w14:paraId="04E403B4">
      <w:pPr>
        <w:snapToGrid w:val="0"/>
        <w:spacing w:line="360" w:lineRule="auto"/>
        <w:rPr>
          <w:rFonts w:asciiTheme="minorEastAsia" w:hAnsiTheme="minorEastAsia" w:eastAsiaTheme="minorEastAsia"/>
          <w:b/>
          <w:color w:val="auto"/>
          <w:szCs w:val="21"/>
          <w:highlight w:val="none"/>
        </w:rPr>
      </w:pPr>
    </w:p>
    <w:p w14:paraId="5D245984">
      <w:pPr>
        <w:snapToGrid w:val="0"/>
        <w:spacing w:line="360" w:lineRule="auto"/>
        <w:rPr>
          <w:rFonts w:asciiTheme="minorEastAsia" w:hAnsiTheme="minorEastAsia" w:eastAsiaTheme="minorEastAsia"/>
          <w:b/>
          <w:color w:val="auto"/>
          <w:szCs w:val="21"/>
          <w:highlight w:val="none"/>
        </w:rPr>
      </w:pPr>
    </w:p>
    <w:p w14:paraId="7B112EC3">
      <w:pPr>
        <w:snapToGrid w:val="0"/>
        <w:spacing w:line="360" w:lineRule="auto"/>
        <w:rPr>
          <w:rFonts w:asciiTheme="minorEastAsia" w:hAnsiTheme="minorEastAsia" w:eastAsiaTheme="minorEastAsia"/>
          <w:b/>
          <w:color w:val="auto"/>
          <w:szCs w:val="21"/>
          <w:highlight w:val="none"/>
        </w:rPr>
      </w:pPr>
    </w:p>
    <w:p w14:paraId="3A9BFBF3">
      <w:pPr>
        <w:snapToGrid w:val="0"/>
        <w:spacing w:line="360" w:lineRule="auto"/>
        <w:rPr>
          <w:rFonts w:asciiTheme="minorEastAsia" w:hAnsiTheme="minorEastAsia" w:eastAsiaTheme="minorEastAsia"/>
          <w:b/>
          <w:color w:val="auto"/>
          <w:szCs w:val="21"/>
          <w:highlight w:val="none"/>
        </w:rPr>
      </w:pPr>
    </w:p>
    <w:p w14:paraId="7BCB3BFC">
      <w:pPr>
        <w:snapToGrid w:val="0"/>
        <w:spacing w:line="360" w:lineRule="auto"/>
        <w:rPr>
          <w:rFonts w:asciiTheme="minorEastAsia" w:hAnsiTheme="minorEastAsia" w:eastAsiaTheme="minorEastAsia"/>
          <w:b/>
          <w:color w:val="auto"/>
          <w:szCs w:val="21"/>
          <w:highlight w:val="none"/>
        </w:rPr>
      </w:pPr>
    </w:p>
    <w:p w14:paraId="5AF60E84">
      <w:pPr>
        <w:snapToGrid w:val="0"/>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2.</w:t>
      </w:r>
    </w:p>
    <w:p w14:paraId="24F0E435">
      <w:pPr>
        <w:snapToGrid w:val="0"/>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投标声明书（附件1）</w:t>
      </w:r>
    </w:p>
    <w:p w14:paraId="39580223">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致：嘉兴市秀洲区人民政府新城街道办事处</w:t>
      </w:r>
    </w:p>
    <w:p w14:paraId="0AEBF486">
      <w:pPr>
        <w:snapToGrid w:val="0"/>
        <w:spacing w:before="120" w:beforeLines="50" w:after="50"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（投标单位名称）系中华人民共和国合法企业，经营地址。</w:t>
      </w:r>
    </w:p>
    <w:p w14:paraId="30D28285">
      <w:pPr>
        <w:snapToGrid w:val="0"/>
        <w:spacing w:before="120" w:beforeLines="50" w:after="50" w:line="360" w:lineRule="auto"/>
        <w:ind w:firstLine="64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我</w:t>
      </w:r>
      <w:r>
        <w:rPr>
          <w:rFonts w:hint="eastAsia" w:asciiTheme="minorEastAsia" w:hAnsiTheme="minorEastAsia" w:eastAsiaTheme="minorEastAsia"/>
          <w:color w:val="auto"/>
          <w:szCs w:val="21"/>
          <w:highlight w:val="none"/>
          <w:u w:val="single"/>
        </w:rPr>
        <w:t>（姓名）</w:t>
      </w:r>
      <w:r>
        <w:rPr>
          <w:rFonts w:hint="eastAsia" w:asciiTheme="minorEastAsia" w:hAnsiTheme="minorEastAsia" w:eastAsiaTheme="minorEastAsia"/>
          <w:color w:val="auto"/>
          <w:szCs w:val="21"/>
          <w:highlight w:val="none"/>
        </w:rPr>
        <w:t>系（</w:t>
      </w:r>
      <w:r>
        <w:rPr>
          <w:rFonts w:hint="eastAsia" w:asciiTheme="minorEastAsia" w:hAnsiTheme="minorEastAsia" w:eastAsiaTheme="minorEastAsia"/>
          <w:color w:val="auto"/>
          <w:szCs w:val="21"/>
          <w:highlight w:val="none"/>
          <w:u w:val="single"/>
        </w:rPr>
        <w:t>投标人名称）</w:t>
      </w:r>
      <w:r>
        <w:rPr>
          <w:rFonts w:hint="eastAsia" w:asciiTheme="minorEastAsia" w:hAnsiTheme="minorEastAsia" w:eastAsiaTheme="minorEastAsia"/>
          <w:color w:val="auto"/>
          <w:szCs w:val="21"/>
          <w:highlight w:val="none"/>
        </w:rPr>
        <w:t>的法定代表人，我方愿意参加贵方组织的的投标，为便于贵方公正、择优地确定中标人及其投标产品和服务，我方就本次投标有关事项郑重声明如下：</w:t>
      </w:r>
    </w:p>
    <w:p w14:paraId="5553F417">
      <w:pPr>
        <w:snapToGrid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我方向贵方提交的所有投标文件、资料都是准确的和真实的。</w:t>
      </w:r>
    </w:p>
    <w:p w14:paraId="57AD3A1D">
      <w:pPr>
        <w:snapToGrid w:val="0"/>
        <w:spacing w:before="120" w:beforeLines="50"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2.我方承诺具有履行合同所必需的设备和专业技术能力； </w:t>
      </w:r>
    </w:p>
    <w:p w14:paraId="17BFCE89">
      <w:pPr>
        <w:snapToGrid w:val="0"/>
        <w:spacing w:before="120" w:beforeLines="50"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hint="eastAsia" w:asciiTheme="minorEastAsia" w:hAnsiTheme="minorEastAsia" w:eastAsiaTheme="minorEastAsia"/>
          <w:color w:val="auto"/>
          <w:highlight w:val="none"/>
        </w:rPr>
        <w:t>我方承诺</w:t>
      </w:r>
      <w:r>
        <w:rPr>
          <w:rFonts w:hint="eastAsia" w:asciiTheme="minorEastAsia" w:hAnsiTheme="minorEastAsia" w:eastAsiaTheme="minorEastAsia"/>
          <w:color w:val="auto"/>
          <w:szCs w:val="21"/>
          <w:highlight w:val="none"/>
        </w:rPr>
        <w:t xml:space="preserve">具有良好的商业信誉和健全的财务会计制度；（附财务报表）（格式自拟） </w:t>
      </w:r>
    </w:p>
    <w:p w14:paraId="489EE09D">
      <w:pPr>
        <w:snapToGrid w:val="0"/>
        <w:spacing w:before="120" w:beforeLines="50"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4.我方承诺有依法缴纳税收和社会保障资金的良好记录；（附依法缴纳税费或依法免缴税费的证明）（格式自拟） </w:t>
      </w:r>
    </w:p>
    <w:p w14:paraId="139A4723">
      <w:pPr>
        <w:snapToGrid w:val="0"/>
        <w:spacing w:before="120" w:beforeLines="50" w:line="360" w:lineRule="auto"/>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5.我方承诺参加政府采购活动前三年内，在经营活动中没有重大违法记录；（若有，请如实填写；</w:t>
      </w:r>
      <w:r>
        <w:rPr>
          <w:rFonts w:hint="eastAsia" w:asciiTheme="minorEastAsia" w:hAnsiTheme="minorEastAsia" w:eastAsiaTheme="minorEastAsia"/>
          <w:color w:val="auto"/>
          <w:szCs w:val="21"/>
          <w:highlight w:val="none"/>
          <w:u w:val="single"/>
        </w:rPr>
        <w:t>　　　　　　　　　　　　</w:t>
      </w:r>
    </w:p>
    <w:p w14:paraId="3E963AC6">
      <w:pPr>
        <w:snapToGrid w:val="0"/>
        <w:spacing w:before="120" w:beforeLines="50" w:line="360" w:lineRule="auto"/>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u w:val="single"/>
        </w:rPr>
        <w:t>　　　　　　　　　　　　　　　　　　　　　　　　　　　　　　　　　　　　</w:t>
      </w:r>
    </w:p>
    <w:p w14:paraId="3F5972F6">
      <w:pPr>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以上事项如有虚假或隐瞒，我方愿意承担一切后果，并不再寻求任何旨在减轻或免除法律责任的辩解。</w:t>
      </w:r>
    </w:p>
    <w:p w14:paraId="17247665">
      <w:pPr>
        <w:spacing w:line="360" w:lineRule="auto"/>
        <w:ind w:firstLine="527" w:firstLineChars="250"/>
        <w:jc w:val="center"/>
        <w:rPr>
          <w:rFonts w:asciiTheme="minorEastAsia" w:hAnsiTheme="minorEastAsia" w:eastAsiaTheme="minorEastAsia"/>
          <w:b/>
          <w:color w:val="auto"/>
          <w:szCs w:val="21"/>
          <w:highlight w:val="none"/>
        </w:rPr>
      </w:pPr>
    </w:p>
    <w:p w14:paraId="65DEF226">
      <w:pPr>
        <w:spacing w:before="120" w:beforeLines="50" w:line="360" w:lineRule="auto"/>
        <w:ind w:firstLine="1500" w:firstLineChars="600"/>
        <w:jc w:val="right"/>
        <w:rPr>
          <w:rFonts w:asciiTheme="minorEastAsia" w:hAnsiTheme="minorEastAsia" w:eastAsiaTheme="minorEastAsia"/>
          <w:color w:val="auto"/>
          <w:szCs w:val="21"/>
          <w:highlight w:val="none"/>
        </w:rPr>
      </w:pPr>
      <w:r>
        <w:rPr>
          <w:rFonts w:asciiTheme="minorEastAsia" w:hAnsiTheme="minorEastAsia" w:eastAsiaTheme="minorEastAsia"/>
          <w:color w:val="auto"/>
          <w:spacing w:val="20"/>
          <w:szCs w:val="21"/>
          <w:highlight w:val="none"/>
        </w:rPr>
        <w:t>法定代表人或委托代理人</w:t>
      </w:r>
      <w:r>
        <w:rPr>
          <w:rFonts w:hint="eastAsia" w:asciiTheme="minorEastAsia" w:hAnsiTheme="minorEastAsia" w:eastAsiaTheme="minorEastAsia"/>
          <w:color w:val="auto"/>
          <w:spacing w:val="20"/>
          <w:szCs w:val="21"/>
          <w:highlight w:val="none"/>
        </w:rPr>
        <w:t>签名（或盖章）：</w:t>
      </w:r>
    </w:p>
    <w:p w14:paraId="5E5E7AAE">
      <w:pPr>
        <w:spacing w:line="360" w:lineRule="auto"/>
        <w:ind w:firstLine="500" w:firstLineChars="200"/>
        <w:jc w:val="right"/>
        <w:rPr>
          <w:rFonts w:asciiTheme="minorEastAsia" w:hAnsiTheme="minorEastAsia" w:eastAsiaTheme="minorEastAsia"/>
          <w:color w:val="auto"/>
          <w:spacing w:val="20"/>
          <w:szCs w:val="21"/>
          <w:highlight w:val="none"/>
          <w:u w:val="single"/>
        </w:rPr>
      </w:pPr>
      <w:r>
        <w:rPr>
          <w:rFonts w:hint="eastAsia" w:asciiTheme="minorEastAsia" w:hAnsiTheme="minorEastAsia" w:eastAsiaTheme="minorEastAsia"/>
          <w:color w:val="auto"/>
          <w:spacing w:val="20"/>
          <w:szCs w:val="21"/>
          <w:highlight w:val="none"/>
        </w:rPr>
        <w:t xml:space="preserve">                            投标人盖章：</w:t>
      </w:r>
    </w:p>
    <w:p w14:paraId="624E2F28">
      <w:pPr>
        <w:spacing w:line="360" w:lineRule="auto"/>
        <w:ind w:firstLine="500" w:firstLineChars="200"/>
        <w:jc w:val="right"/>
        <w:rPr>
          <w:rFonts w:asciiTheme="minorEastAsia" w:hAnsiTheme="minorEastAsia" w:eastAsiaTheme="minorEastAsia"/>
          <w:color w:val="auto"/>
          <w:spacing w:val="20"/>
          <w:szCs w:val="21"/>
          <w:highlight w:val="none"/>
          <w:u w:val="single"/>
        </w:rPr>
      </w:pPr>
      <w:r>
        <w:rPr>
          <w:rFonts w:hint="eastAsia" w:asciiTheme="minorEastAsia" w:hAnsiTheme="minorEastAsia" w:eastAsiaTheme="minorEastAsia"/>
          <w:color w:val="auto"/>
          <w:spacing w:val="20"/>
          <w:szCs w:val="21"/>
          <w:highlight w:val="none"/>
        </w:rPr>
        <w:t xml:space="preserve">                            日     期：</w:t>
      </w:r>
    </w:p>
    <w:p w14:paraId="1145E891">
      <w:pPr>
        <w:pStyle w:val="29"/>
        <w:snapToGrid w:val="0"/>
        <w:spacing w:line="360" w:lineRule="auto"/>
        <w:rPr>
          <w:rFonts w:asciiTheme="minorEastAsia" w:hAnsiTheme="minorEastAsia" w:eastAsiaTheme="minorEastAsia"/>
          <w:color w:val="auto"/>
          <w:szCs w:val="21"/>
          <w:highlight w:val="none"/>
        </w:rPr>
      </w:pPr>
    </w:p>
    <w:p w14:paraId="054BE013">
      <w:pPr>
        <w:snapToGrid w:val="0"/>
        <w:spacing w:line="360" w:lineRule="auto"/>
        <w:rPr>
          <w:rFonts w:asciiTheme="minorEastAsia" w:hAnsiTheme="minorEastAsia" w:eastAsiaTheme="minorEastAsia"/>
          <w:b/>
          <w:color w:val="auto"/>
          <w:szCs w:val="21"/>
          <w:highlight w:val="none"/>
        </w:rPr>
      </w:pPr>
    </w:p>
    <w:p w14:paraId="32FD37E7">
      <w:pPr>
        <w:snapToGrid w:val="0"/>
        <w:spacing w:line="360" w:lineRule="auto"/>
        <w:rPr>
          <w:rFonts w:asciiTheme="minorEastAsia" w:hAnsiTheme="minorEastAsia" w:eastAsiaTheme="minorEastAsia"/>
          <w:b/>
          <w:color w:val="auto"/>
          <w:szCs w:val="21"/>
          <w:highlight w:val="none"/>
        </w:rPr>
      </w:pPr>
    </w:p>
    <w:p w14:paraId="3E41594E">
      <w:pPr>
        <w:snapToGrid w:val="0"/>
        <w:spacing w:line="360" w:lineRule="auto"/>
        <w:rPr>
          <w:rFonts w:asciiTheme="minorEastAsia" w:hAnsiTheme="minorEastAsia" w:eastAsiaTheme="minorEastAsia"/>
          <w:b/>
          <w:color w:val="auto"/>
          <w:szCs w:val="21"/>
          <w:highlight w:val="none"/>
        </w:rPr>
      </w:pPr>
    </w:p>
    <w:p w14:paraId="1CB46E98">
      <w:pPr>
        <w:snapToGrid w:val="0"/>
        <w:spacing w:line="360" w:lineRule="auto"/>
        <w:rPr>
          <w:rFonts w:asciiTheme="minorEastAsia" w:hAnsiTheme="minorEastAsia" w:eastAsiaTheme="minorEastAsia"/>
          <w:b/>
          <w:color w:val="auto"/>
          <w:szCs w:val="21"/>
          <w:highlight w:val="none"/>
        </w:rPr>
      </w:pPr>
    </w:p>
    <w:p w14:paraId="693EF792">
      <w:pPr>
        <w:snapToGrid w:val="0"/>
        <w:spacing w:line="360" w:lineRule="auto"/>
        <w:rPr>
          <w:rFonts w:asciiTheme="minorEastAsia" w:hAnsiTheme="minorEastAsia" w:eastAsiaTheme="minorEastAsia"/>
          <w:b/>
          <w:color w:val="auto"/>
          <w:szCs w:val="21"/>
          <w:highlight w:val="none"/>
        </w:rPr>
      </w:pPr>
    </w:p>
    <w:p w14:paraId="57A31D38">
      <w:pPr>
        <w:snapToGrid w:val="0"/>
        <w:spacing w:line="360" w:lineRule="auto"/>
        <w:rPr>
          <w:rFonts w:asciiTheme="minorEastAsia" w:hAnsiTheme="minorEastAsia" w:eastAsiaTheme="minorEastAsia"/>
          <w:b/>
          <w:color w:val="auto"/>
          <w:szCs w:val="21"/>
          <w:highlight w:val="none"/>
        </w:rPr>
      </w:pPr>
    </w:p>
    <w:p w14:paraId="66D4586E">
      <w:pPr>
        <w:snapToGrid w:val="0"/>
        <w:spacing w:line="360" w:lineRule="auto"/>
        <w:rPr>
          <w:rFonts w:asciiTheme="minorEastAsia" w:hAnsiTheme="minorEastAsia" w:eastAsiaTheme="minorEastAsia"/>
          <w:b/>
          <w:color w:val="auto"/>
          <w:szCs w:val="21"/>
          <w:highlight w:val="none"/>
        </w:rPr>
      </w:pPr>
    </w:p>
    <w:p w14:paraId="2DCF4FCB">
      <w:pPr>
        <w:snapToGrid w:val="0"/>
        <w:spacing w:line="360" w:lineRule="auto"/>
        <w:rPr>
          <w:rFonts w:asciiTheme="minorEastAsia" w:hAnsiTheme="minorEastAsia" w:eastAsiaTheme="minorEastAsia"/>
          <w:b/>
          <w:color w:val="auto"/>
          <w:szCs w:val="21"/>
          <w:highlight w:val="none"/>
        </w:rPr>
      </w:pPr>
    </w:p>
    <w:p w14:paraId="5E379F18">
      <w:pPr>
        <w:snapToGrid w:val="0"/>
        <w:spacing w:line="360" w:lineRule="auto"/>
        <w:rPr>
          <w:rFonts w:asciiTheme="minorEastAsia" w:hAnsiTheme="minorEastAsia" w:eastAsiaTheme="minorEastAsia"/>
          <w:b/>
          <w:color w:val="auto"/>
          <w:szCs w:val="21"/>
          <w:highlight w:val="none"/>
        </w:rPr>
      </w:pPr>
    </w:p>
    <w:p w14:paraId="5466C49F">
      <w:pPr>
        <w:snapToGrid w:val="0"/>
        <w:spacing w:line="360" w:lineRule="auto"/>
        <w:rPr>
          <w:rFonts w:asciiTheme="minorEastAsia" w:hAnsiTheme="minorEastAsia" w:eastAsiaTheme="minorEastAsia"/>
          <w:b/>
          <w:color w:val="auto"/>
          <w:szCs w:val="21"/>
          <w:highlight w:val="none"/>
        </w:rPr>
      </w:pPr>
    </w:p>
    <w:p w14:paraId="1FF8B442">
      <w:pPr>
        <w:snapToGrid w:val="0"/>
        <w:spacing w:line="360" w:lineRule="auto"/>
        <w:rPr>
          <w:rFonts w:asciiTheme="minorEastAsia" w:hAnsiTheme="minorEastAsia" w:eastAsiaTheme="minorEastAsia"/>
          <w:b/>
          <w:color w:val="auto"/>
          <w:szCs w:val="21"/>
          <w:highlight w:val="none"/>
        </w:rPr>
      </w:pPr>
    </w:p>
    <w:p w14:paraId="65892F4E">
      <w:pPr>
        <w:snapToGrid w:val="0"/>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3.</w:t>
      </w:r>
    </w:p>
    <w:p w14:paraId="2F2E6361">
      <w:pPr>
        <w:snapToGrid w:val="0"/>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法定代表人授权委托书（附件2）</w:t>
      </w:r>
    </w:p>
    <w:p w14:paraId="515D7B38">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致：嘉兴市秀洲区人民政府新城街道办事处</w:t>
      </w:r>
    </w:p>
    <w:p w14:paraId="63A5AD38">
      <w:pPr>
        <w:snapToGrid w:val="0"/>
        <w:spacing w:line="360" w:lineRule="auto"/>
        <w:ind w:firstLine="630" w:firstLineChars="3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我（姓名）系（投标人名称）的法定代表人，现授权委托本单位在职职工（姓名）以我方的名义参加</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u w:val="single"/>
          <w:lang w:eastAsia="zh-CN"/>
        </w:rPr>
        <w:t>新城派出所院内翻新改造</w:t>
      </w:r>
      <w:r>
        <w:rPr>
          <w:rFonts w:hint="eastAsia" w:asciiTheme="minorEastAsia" w:hAnsiTheme="minorEastAsia" w:eastAsiaTheme="minorEastAsia"/>
          <w:color w:val="auto"/>
          <w:szCs w:val="21"/>
          <w:highlight w:val="none"/>
        </w:rPr>
        <w:t>的投标活动，并代表我方全权办理针对上述项目的投标、开标、评标、签约等具体事务和签署相关文件。</w:t>
      </w:r>
    </w:p>
    <w:p w14:paraId="107998F6">
      <w:pPr>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我方对被授权人的签名事项负全部责任。</w:t>
      </w:r>
    </w:p>
    <w:p w14:paraId="7E35FB3D">
      <w:pPr>
        <w:snapToGrid w:val="0"/>
        <w:spacing w:line="360" w:lineRule="auto"/>
        <w:ind w:firstLine="48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u w:val="single"/>
        </w:rPr>
        <w:t>在撤销授权的书面通知以前，本授权书一直有效。</w:t>
      </w:r>
      <w:r>
        <w:rPr>
          <w:rFonts w:hint="eastAsia" w:asciiTheme="minorEastAsia" w:hAnsiTheme="minorEastAsia" w:eastAsiaTheme="minorEastAsia"/>
          <w:color w:val="auto"/>
          <w:szCs w:val="21"/>
          <w:highlight w:val="none"/>
        </w:rPr>
        <w:t>被授权人在授权书有效期内签署的所有文件不因授权的撤销而失效。</w:t>
      </w:r>
    </w:p>
    <w:p w14:paraId="040FC89D">
      <w:pPr>
        <w:snapToGrid w:val="0"/>
        <w:spacing w:line="360" w:lineRule="auto"/>
        <w:ind w:firstLine="48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被授权人无转委托权，特此委托。</w:t>
      </w:r>
    </w:p>
    <w:p w14:paraId="386F45D3">
      <w:pPr>
        <w:snapToGrid w:val="0"/>
        <w:spacing w:line="360" w:lineRule="auto"/>
        <w:rPr>
          <w:rFonts w:asciiTheme="minorEastAsia" w:hAnsiTheme="minorEastAsia" w:eastAsiaTheme="minorEastAsia"/>
          <w:color w:val="auto"/>
          <w:szCs w:val="21"/>
          <w:highlight w:val="none"/>
        </w:rPr>
      </w:pPr>
    </w:p>
    <w:p w14:paraId="261E34F7">
      <w:pPr>
        <w:snapToGrid w:val="0"/>
        <w:spacing w:before="120" w:beforeLines="50" w:after="50" w:line="360" w:lineRule="auto"/>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法定代表人签字：                     被授权人签字：</w:t>
      </w:r>
    </w:p>
    <w:p w14:paraId="36937B36">
      <w:pPr>
        <w:snapToGrid w:val="0"/>
        <w:spacing w:before="120" w:beforeLines="50" w:after="50" w:line="360" w:lineRule="auto"/>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法定代表人身份证号：                 被授权人身份证号：</w:t>
      </w:r>
    </w:p>
    <w:p w14:paraId="1BBB7764">
      <w:pPr>
        <w:snapToGrid w:val="0"/>
        <w:spacing w:before="120" w:beforeLines="50" w:after="50" w:line="360" w:lineRule="auto"/>
        <w:rPr>
          <w:rFonts w:asciiTheme="minorEastAsia" w:hAnsiTheme="minorEastAsia" w:eastAsiaTheme="minorEastAsia"/>
          <w:color w:val="auto"/>
          <w:szCs w:val="21"/>
          <w:highlight w:val="none"/>
        </w:rPr>
      </w:pPr>
    </w:p>
    <w:p w14:paraId="6A703D32">
      <w:pPr>
        <w:snapToGrid w:val="0"/>
        <w:spacing w:before="120" w:beforeLines="50" w:after="50"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法定代表人身份证（正反面）       被授权人身份证（正反面）</w:t>
      </w:r>
    </w:p>
    <w:p w14:paraId="041E2477">
      <w:pPr>
        <w:snapToGrid w:val="0"/>
        <w:spacing w:line="360" w:lineRule="auto"/>
        <w:rPr>
          <w:rFonts w:asciiTheme="minorEastAsia" w:hAnsiTheme="minorEastAsia" w:eastAsiaTheme="minorEastAsia"/>
          <w:color w:val="auto"/>
          <w:szCs w:val="21"/>
          <w:highlight w:val="none"/>
        </w:rPr>
      </w:pPr>
    </w:p>
    <w:p w14:paraId="0F65A90A">
      <w:pPr>
        <w:snapToGrid w:val="0"/>
        <w:spacing w:line="360" w:lineRule="auto"/>
        <w:ind w:firstLine="200"/>
        <w:jc w:val="right"/>
        <w:rPr>
          <w:rFonts w:asciiTheme="minorEastAsia" w:hAnsiTheme="minorEastAsia" w:eastAsiaTheme="minorEastAsia"/>
          <w:color w:val="auto"/>
          <w:szCs w:val="21"/>
          <w:highlight w:val="none"/>
          <w:u w:val="single"/>
        </w:rPr>
      </w:pPr>
    </w:p>
    <w:p w14:paraId="459FDD50">
      <w:pPr>
        <w:spacing w:before="120" w:beforeLines="50" w:line="360" w:lineRule="auto"/>
        <w:jc w:val="right"/>
        <w:rPr>
          <w:rFonts w:asciiTheme="minorEastAsia" w:hAnsiTheme="minorEastAsia" w:eastAsiaTheme="minorEastAsia"/>
          <w:color w:val="auto"/>
          <w:szCs w:val="21"/>
          <w:highlight w:val="none"/>
        </w:rPr>
      </w:pPr>
    </w:p>
    <w:p w14:paraId="1C0098FB">
      <w:pPr>
        <w:spacing w:line="360" w:lineRule="auto"/>
        <w:ind w:firstLine="500" w:firstLineChars="200"/>
        <w:jc w:val="right"/>
        <w:rPr>
          <w:rFonts w:asciiTheme="minorEastAsia" w:hAnsiTheme="minorEastAsia" w:eastAsiaTheme="minorEastAsia"/>
          <w:color w:val="auto"/>
          <w:spacing w:val="20"/>
          <w:szCs w:val="21"/>
          <w:highlight w:val="none"/>
          <w:u w:val="single"/>
        </w:rPr>
      </w:pPr>
      <w:r>
        <w:rPr>
          <w:rFonts w:hint="eastAsia" w:asciiTheme="minorEastAsia" w:hAnsiTheme="minorEastAsia" w:eastAsiaTheme="minorEastAsia"/>
          <w:color w:val="auto"/>
          <w:spacing w:val="20"/>
          <w:szCs w:val="21"/>
          <w:highlight w:val="none"/>
        </w:rPr>
        <w:t xml:space="preserve">                            投标人盖章：</w:t>
      </w:r>
    </w:p>
    <w:p w14:paraId="329374E1">
      <w:pPr>
        <w:tabs>
          <w:tab w:val="left" w:pos="1418"/>
        </w:tabs>
        <w:spacing w:line="360" w:lineRule="auto"/>
        <w:jc w:val="right"/>
        <w:rPr>
          <w:rFonts w:asciiTheme="minorEastAsia" w:hAnsiTheme="minorEastAsia" w:eastAsiaTheme="minorEastAsia"/>
          <w:b/>
          <w:color w:val="auto"/>
          <w:szCs w:val="21"/>
          <w:highlight w:val="none"/>
        </w:rPr>
      </w:pPr>
      <w:r>
        <w:rPr>
          <w:rFonts w:hint="eastAsia" w:asciiTheme="minorEastAsia" w:hAnsiTheme="minorEastAsia" w:eastAsiaTheme="minorEastAsia"/>
          <w:color w:val="auto"/>
          <w:spacing w:val="20"/>
          <w:szCs w:val="21"/>
          <w:highlight w:val="none"/>
        </w:rPr>
        <w:t xml:space="preserve">                                日     期：</w:t>
      </w:r>
    </w:p>
    <w:p w14:paraId="2DD6D421">
      <w:pPr>
        <w:snapToGrid w:val="0"/>
        <w:spacing w:line="360" w:lineRule="auto"/>
        <w:ind w:firstLine="210" w:firstLineChars="100"/>
        <w:jc w:val="right"/>
        <w:rPr>
          <w:rFonts w:asciiTheme="minorEastAsia" w:hAnsiTheme="minorEastAsia" w:eastAsiaTheme="minorEastAsia"/>
          <w:color w:val="auto"/>
          <w:szCs w:val="21"/>
          <w:highlight w:val="none"/>
        </w:rPr>
      </w:pPr>
    </w:p>
    <w:p w14:paraId="3024DB9E">
      <w:pPr>
        <w:snapToGrid w:val="0"/>
        <w:spacing w:line="360" w:lineRule="auto"/>
        <w:rPr>
          <w:rFonts w:asciiTheme="minorEastAsia" w:hAnsiTheme="minorEastAsia" w:eastAsiaTheme="minorEastAsia"/>
          <w:color w:val="auto"/>
          <w:szCs w:val="21"/>
          <w:highlight w:val="none"/>
        </w:rPr>
      </w:pPr>
    </w:p>
    <w:p w14:paraId="084849BB">
      <w:pPr>
        <w:snapToGrid w:val="0"/>
        <w:spacing w:line="360" w:lineRule="auto"/>
        <w:rPr>
          <w:rFonts w:asciiTheme="minorEastAsia" w:hAnsiTheme="minorEastAsia" w:eastAsiaTheme="minorEastAsia"/>
          <w:color w:val="auto"/>
          <w:szCs w:val="21"/>
          <w:highlight w:val="none"/>
        </w:rPr>
      </w:pPr>
    </w:p>
    <w:p w14:paraId="48A317D2">
      <w:pPr>
        <w:snapToGrid w:val="0"/>
        <w:spacing w:line="360" w:lineRule="auto"/>
        <w:rPr>
          <w:rFonts w:asciiTheme="minorEastAsia" w:hAnsiTheme="minorEastAsia" w:eastAsiaTheme="minorEastAsia"/>
          <w:b/>
          <w:color w:val="auto"/>
          <w:szCs w:val="21"/>
          <w:highlight w:val="none"/>
        </w:rPr>
      </w:pPr>
    </w:p>
    <w:p w14:paraId="28384042">
      <w:pPr>
        <w:snapToGrid w:val="0"/>
        <w:spacing w:line="360" w:lineRule="auto"/>
        <w:rPr>
          <w:rFonts w:asciiTheme="minorEastAsia" w:hAnsiTheme="minorEastAsia" w:eastAsiaTheme="minorEastAsia"/>
          <w:b/>
          <w:color w:val="auto"/>
          <w:szCs w:val="21"/>
          <w:highlight w:val="none"/>
        </w:rPr>
      </w:pPr>
    </w:p>
    <w:p w14:paraId="32CCCC2B">
      <w:pPr>
        <w:snapToGrid w:val="0"/>
        <w:spacing w:line="360" w:lineRule="auto"/>
        <w:rPr>
          <w:rFonts w:asciiTheme="minorEastAsia" w:hAnsiTheme="minorEastAsia" w:eastAsiaTheme="minorEastAsia"/>
          <w:b/>
          <w:color w:val="auto"/>
          <w:szCs w:val="21"/>
          <w:highlight w:val="none"/>
        </w:rPr>
      </w:pPr>
    </w:p>
    <w:p w14:paraId="659C9E9A">
      <w:pPr>
        <w:snapToGrid w:val="0"/>
        <w:spacing w:line="360" w:lineRule="auto"/>
        <w:rPr>
          <w:rFonts w:asciiTheme="minorEastAsia" w:hAnsiTheme="minorEastAsia" w:eastAsiaTheme="minorEastAsia"/>
          <w:b/>
          <w:color w:val="auto"/>
          <w:szCs w:val="21"/>
          <w:highlight w:val="none"/>
        </w:rPr>
      </w:pPr>
    </w:p>
    <w:p w14:paraId="0D6D0255">
      <w:pPr>
        <w:snapToGrid w:val="0"/>
        <w:spacing w:line="360" w:lineRule="auto"/>
        <w:rPr>
          <w:rFonts w:asciiTheme="minorEastAsia" w:hAnsiTheme="minorEastAsia" w:eastAsiaTheme="minorEastAsia"/>
          <w:b/>
          <w:color w:val="auto"/>
          <w:szCs w:val="21"/>
          <w:highlight w:val="none"/>
        </w:rPr>
      </w:pPr>
    </w:p>
    <w:p w14:paraId="7C037074">
      <w:pPr>
        <w:snapToGrid w:val="0"/>
        <w:spacing w:line="360" w:lineRule="auto"/>
        <w:rPr>
          <w:rFonts w:asciiTheme="minorEastAsia" w:hAnsiTheme="minorEastAsia" w:eastAsiaTheme="minorEastAsia"/>
          <w:b/>
          <w:color w:val="auto"/>
          <w:szCs w:val="21"/>
          <w:highlight w:val="none"/>
        </w:rPr>
      </w:pPr>
    </w:p>
    <w:p w14:paraId="61E0042E">
      <w:pPr>
        <w:snapToGrid w:val="0"/>
        <w:spacing w:line="360" w:lineRule="auto"/>
        <w:rPr>
          <w:rFonts w:asciiTheme="minorEastAsia" w:hAnsiTheme="minorEastAsia" w:eastAsiaTheme="minorEastAsia"/>
          <w:b/>
          <w:color w:val="auto"/>
          <w:szCs w:val="21"/>
          <w:highlight w:val="none"/>
        </w:rPr>
      </w:pPr>
    </w:p>
    <w:p w14:paraId="03F63E72">
      <w:pPr>
        <w:snapToGrid w:val="0"/>
        <w:spacing w:line="360" w:lineRule="auto"/>
        <w:rPr>
          <w:rFonts w:asciiTheme="minorEastAsia" w:hAnsiTheme="minorEastAsia" w:eastAsiaTheme="minorEastAsia"/>
          <w:b/>
          <w:color w:val="auto"/>
          <w:szCs w:val="21"/>
          <w:highlight w:val="none"/>
        </w:rPr>
      </w:pPr>
    </w:p>
    <w:p w14:paraId="7B1C48EB">
      <w:pPr>
        <w:snapToGrid w:val="0"/>
        <w:spacing w:line="360" w:lineRule="auto"/>
        <w:rPr>
          <w:rFonts w:asciiTheme="minorEastAsia" w:hAnsiTheme="minorEastAsia" w:eastAsiaTheme="minorEastAsia"/>
          <w:b/>
          <w:color w:val="auto"/>
          <w:szCs w:val="21"/>
          <w:highlight w:val="none"/>
        </w:rPr>
      </w:pPr>
    </w:p>
    <w:p w14:paraId="69A58562">
      <w:pPr>
        <w:snapToGrid w:val="0"/>
        <w:spacing w:line="360" w:lineRule="auto"/>
        <w:rPr>
          <w:rFonts w:asciiTheme="minorEastAsia" w:hAnsiTheme="minorEastAsia" w:eastAsiaTheme="minorEastAsia"/>
          <w:b/>
          <w:color w:val="auto"/>
          <w:szCs w:val="21"/>
          <w:highlight w:val="none"/>
        </w:rPr>
      </w:pPr>
    </w:p>
    <w:p w14:paraId="7144800F">
      <w:pPr>
        <w:snapToGrid w:val="0"/>
        <w:spacing w:line="360" w:lineRule="auto"/>
        <w:rPr>
          <w:rFonts w:asciiTheme="minorEastAsia" w:hAnsiTheme="minorEastAsia" w:eastAsiaTheme="minorEastAsia"/>
          <w:b/>
          <w:color w:val="auto"/>
          <w:szCs w:val="21"/>
          <w:highlight w:val="none"/>
        </w:rPr>
      </w:pPr>
    </w:p>
    <w:p w14:paraId="46284A7D">
      <w:pPr>
        <w:snapToGrid w:val="0"/>
        <w:spacing w:line="360" w:lineRule="auto"/>
        <w:rPr>
          <w:rFonts w:asciiTheme="minorEastAsia" w:hAnsiTheme="minorEastAsia" w:eastAsiaTheme="minorEastAsia"/>
          <w:b/>
          <w:color w:val="auto"/>
          <w:szCs w:val="21"/>
          <w:highlight w:val="none"/>
        </w:rPr>
      </w:pPr>
    </w:p>
    <w:p w14:paraId="59806DB3">
      <w:pPr>
        <w:snapToGrid w:val="0"/>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4.</w:t>
      </w:r>
    </w:p>
    <w:p w14:paraId="6B14EF59">
      <w:pPr>
        <w:snapToGrid w:val="0"/>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关于资格的声明函（附件3）</w:t>
      </w:r>
    </w:p>
    <w:p w14:paraId="4FCD3F61">
      <w:pPr>
        <w:spacing w:line="360" w:lineRule="auto"/>
        <w:rPr>
          <w:rFonts w:asciiTheme="minorEastAsia" w:hAnsiTheme="minorEastAsia" w:eastAsiaTheme="minorEastAsia"/>
          <w:color w:val="auto"/>
          <w:szCs w:val="21"/>
          <w:highlight w:val="none"/>
        </w:rPr>
      </w:pPr>
    </w:p>
    <w:p w14:paraId="23EFE1C2">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致：嘉兴市秀洲区人民政府新城街道办事处</w:t>
      </w:r>
    </w:p>
    <w:p w14:paraId="6EDA55A5">
      <w:pPr>
        <w:spacing w:line="360" w:lineRule="auto"/>
        <w:ind w:firstLine="64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关于贵方</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u w:val="single"/>
          <w:lang w:eastAsia="zh-CN"/>
        </w:rPr>
        <w:t>新城派出所院内翻新改造</w:t>
      </w:r>
      <w:r>
        <w:rPr>
          <w:rFonts w:hint="eastAsia"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rPr>
        <w:t>招标</w:t>
      </w:r>
      <w:r>
        <w:rPr>
          <w:rFonts w:hint="eastAsia" w:asciiTheme="minorEastAsia" w:hAnsiTheme="minorEastAsia" w:eastAsiaTheme="minorEastAsia"/>
          <w:color w:val="auto"/>
          <w:szCs w:val="21"/>
          <w:highlight w:val="none"/>
        </w:rPr>
        <w:t>项目</w:t>
      </w:r>
      <w:r>
        <w:rPr>
          <w:rFonts w:asciiTheme="minorEastAsia" w:hAnsiTheme="minorEastAsia" w:eastAsiaTheme="minorEastAsia"/>
          <w:color w:val="auto"/>
          <w:szCs w:val="21"/>
          <w:highlight w:val="none"/>
        </w:rPr>
        <w:t>，本签字人愿意参加投标，提供</w:t>
      </w:r>
      <w:r>
        <w:rPr>
          <w:rFonts w:hint="eastAsia" w:asciiTheme="minorEastAsia" w:hAnsiTheme="minorEastAsia" w:eastAsiaTheme="minorEastAsia"/>
          <w:color w:val="auto"/>
          <w:szCs w:val="21"/>
          <w:highlight w:val="none"/>
        </w:rPr>
        <w:t>招标文件</w:t>
      </w:r>
      <w:r>
        <w:rPr>
          <w:rFonts w:asciiTheme="minorEastAsia" w:hAnsiTheme="minorEastAsia" w:eastAsiaTheme="minorEastAsia"/>
          <w:color w:val="auto"/>
          <w:szCs w:val="21"/>
          <w:highlight w:val="none"/>
        </w:rPr>
        <w:t>规定的</w:t>
      </w:r>
      <w:r>
        <w:rPr>
          <w:rFonts w:hint="eastAsia" w:asciiTheme="minorEastAsia" w:hAnsiTheme="minorEastAsia" w:eastAsiaTheme="minorEastAsia"/>
          <w:color w:val="auto"/>
          <w:szCs w:val="21"/>
          <w:highlight w:val="none"/>
        </w:rPr>
        <w:t>要求及服务，</w:t>
      </w:r>
      <w:r>
        <w:rPr>
          <w:rFonts w:asciiTheme="minorEastAsia" w:hAnsiTheme="minorEastAsia" w:eastAsiaTheme="minorEastAsia"/>
          <w:color w:val="auto"/>
          <w:szCs w:val="21"/>
          <w:highlight w:val="none"/>
        </w:rPr>
        <w:t>并证实提交的下列文件和说明是准确的和真实的</w:t>
      </w:r>
      <w:r>
        <w:rPr>
          <w:rFonts w:hint="eastAsia" w:asciiTheme="minorEastAsia" w:hAnsiTheme="minorEastAsia" w:eastAsiaTheme="minorEastAsia"/>
          <w:color w:val="auto"/>
          <w:szCs w:val="21"/>
          <w:highlight w:val="none"/>
        </w:rPr>
        <w:t>：</w:t>
      </w:r>
    </w:p>
    <w:p w14:paraId="6BC98D49">
      <w:pPr>
        <w:spacing w:line="360" w:lineRule="auto"/>
        <w:ind w:firstLine="315" w:firstLineChars="15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投标人概况。</w:t>
      </w:r>
    </w:p>
    <w:p w14:paraId="1F1A9289">
      <w:pPr>
        <w:spacing w:line="360" w:lineRule="auto"/>
        <w:ind w:firstLine="315" w:firstLineChars="1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2、有效期内的法人营业执照（或民非登记证书）副本复印件（加盖公章）、</w:t>
      </w:r>
    </w:p>
    <w:p w14:paraId="0FBB1CE0">
      <w:pPr>
        <w:spacing w:line="360" w:lineRule="auto"/>
        <w:ind w:firstLine="315" w:firstLineChars="1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3、招标文件要求的相关资格资质证明文件及附件资料复印件（加盖公章）。</w:t>
      </w:r>
    </w:p>
    <w:p w14:paraId="242DF86E">
      <w:pPr>
        <w:spacing w:line="360" w:lineRule="auto"/>
        <w:ind w:firstLine="315" w:firstLineChars="1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4、投标人认为有必要提供的声明及文件资料。</w:t>
      </w:r>
    </w:p>
    <w:p w14:paraId="6C4E7D58">
      <w:pPr>
        <w:spacing w:line="360" w:lineRule="auto"/>
        <w:ind w:firstLine="315" w:firstLineChars="1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N、</w:t>
      </w:r>
      <w:r>
        <w:rPr>
          <w:rFonts w:asciiTheme="minorEastAsia" w:hAnsiTheme="minorEastAsia" w:eastAsiaTheme="minorEastAsia"/>
          <w:color w:val="auto"/>
          <w:szCs w:val="21"/>
          <w:highlight w:val="none"/>
        </w:rPr>
        <w:t>……</w:t>
      </w:r>
    </w:p>
    <w:p w14:paraId="3CF64CDC">
      <w:pPr>
        <w:spacing w:before="120" w:beforeLines="50" w:line="360" w:lineRule="auto"/>
        <w:ind w:firstLine="2750" w:firstLineChars="1100"/>
        <w:rPr>
          <w:rFonts w:asciiTheme="minorEastAsia" w:hAnsiTheme="minorEastAsia" w:eastAsiaTheme="minorEastAsia"/>
          <w:color w:val="auto"/>
          <w:spacing w:val="20"/>
          <w:szCs w:val="21"/>
          <w:highlight w:val="none"/>
        </w:rPr>
      </w:pPr>
    </w:p>
    <w:p w14:paraId="450E68B8">
      <w:pPr>
        <w:spacing w:before="120" w:beforeLines="50" w:line="360" w:lineRule="auto"/>
        <w:ind w:firstLine="2750" w:firstLineChars="1100"/>
        <w:rPr>
          <w:rFonts w:asciiTheme="minorEastAsia" w:hAnsiTheme="minorEastAsia" w:eastAsiaTheme="minorEastAsia"/>
          <w:color w:val="auto"/>
          <w:spacing w:val="20"/>
          <w:szCs w:val="21"/>
          <w:highlight w:val="none"/>
        </w:rPr>
      </w:pPr>
    </w:p>
    <w:p w14:paraId="05CBE22D">
      <w:pPr>
        <w:spacing w:before="120" w:beforeLines="50" w:line="360" w:lineRule="auto"/>
        <w:ind w:firstLine="2750" w:firstLineChars="1100"/>
        <w:jc w:val="right"/>
        <w:rPr>
          <w:rFonts w:asciiTheme="minorEastAsia" w:hAnsiTheme="minorEastAsia" w:eastAsiaTheme="minorEastAsia"/>
          <w:color w:val="auto"/>
          <w:szCs w:val="21"/>
          <w:highlight w:val="none"/>
        </w:rPr>
      </w:pPr>
      <w:r>
        <w:rPr>
          <w:rFonts w:asciiTheme="minorEastAsia" w:hAnsiTheme="minorEastAsia" w:eastAsiaTheme="minorEastAsia"/>
          <w:color w:val="auto"/>
          <w:spacing w:val="20"/>
          <w:szCs w:val="21"/>
          <w:highlight w:val="none"/>
        </w:rPr>
        <w:t>法定代表人或委托代理人</w:t>
      </w:r>
      <w:r>
        <w:rPr>
          <w:rFonts w:hint="eastAsia" w:asciiTheme="minorEastAsia" w:hAnsiTheme="minorEastAsia" w:eastAsiaTheme="minorEastAsia"/>
          <w:color w:val="auto"/>
          <w:spacing w:val="20"/>
          <w:szCs w:val="21"/>
          <w:highlight w:val="none"/>
        </w:rPr>
        <w:t>签名：</w:t>
      </w:r>
    </w:p>
    <w:p w14:paraId="26FA2F8A">
      <w:pPr>
        <w:spacing w:line="360" w:lineRule="auto"/>
        <w:ind w:firstLine="500" w:firstLineChars="200"/>
        <w:jc w:val="right"/>
        <w:rPr>
          <w:rFonts w:asciiTheme="minorEastAsia" w:hAnsiTheme="minorEastAsia" w:eastAsiaTheme="minorEastAsia"/>
          <w:color w:val="auto"/>
          <w:spacing w:val="20"/>
          <w:szCs w:val="21"/>
          <w:highlight w:val="none"/>
          <w:u w:val="single"/>
        </w:rPr>
      </w:pPr>
      <w:r>
        <w:rPr>
          <w:rFonts w:hint="eastAsia" w:asciiTheme="minorEastAsia" w:hAnsiTheme="minorEastAsia" w:eastAsiaTheme="minorEastAsia"/>
          <w:color w:val="auto"/>
          <w:spacing w:val="20"/>
          <w:szCs w:val="21"/>
          <w:highlight w:val="none"/>
        </w:rPr>
        <w:t xml:space="preserve">                            投标人盖章：</w:t>
      </w:r>
    </w:p>
    <w:p w14:paraId="58B64C5F">
      <w:pPr>
        <w:tabs>
          <w:tab w:val="left" w:pos="1418"/>
        </w:tabs>
        <w:spacing w:line="360" w:lineRule="auto"/>
        <w:jc w:val="right"/>
        <w:rPr>
          <w:rFonts w:asciiTheme="minorEastAsia" w:hAnsiTheme="minorEastAsia" w:eastAsiaTheme="minorEastAsia"/>
          <w:b/>
          <w:color w:val="auto"/>
          <w:szCs w:val="21"/>
          <w:highlight w:val="none"/>
        </w:rPr>
      </w:pPr>
      <w:r>
        <w:rPr>
          <w:rFonts w:hint="eastAsia" w:asciiTheme="minorEastAsia" w:hAnsiTheme="minorEastAsia" w:eastAsiaTheme="minorEastAsia"/>
          <w:color w:val="auto"/>
          <w:spacing w:val="20"/>
          <w:szCs w:val="21"/>
          <w:highlight w:val="none"/>
        </w:rPr>
        <w:t xml:space="preserve">                                日     期：</w:t>
      </w:r>
    </w:p>
    <w:p w14:paraId="718494A6">
      <w:pPr>
        <w:spacing w:line="360" w:lineRule="auto"/>
        <w:jc w:val="center"/>
        <w:rPr>
          <w:rFonts w:asciiTheme="minorEastAsia" w:hAnsiTheme="minorEastAsia" w:eastAsiaTheme="minorEastAsia"/>
          <w:b/>
          <w:color w:val="auto"/>
          <w:szCs w:val="21"/>
          <w:highlight w:val="none"/>
        </w:rPr>
      </w:pPr>
    </w:p>
    <w:p w14:paraId="47EE78D6">
      <w:pPr>
        <w:spacing w:line="360" w:lineRule="auto"/>
        <w:jc w:val="center"/>
        <w:rPr>
          <w:rFonts w:asciiTheme="minorEastAsia" w:hAnsiTheme="minorEastAsia" w:eastAsiaTheme="minorEastAsia"/>
          <w:b/>
          <w:color w:val="auto"/>
          <w:szCs w:val="21"/>
          <w:highlight w:val="none"/>
        </w:rPr>
      </w:pPr>
    </w:p>
    <w:p w14:paraId="53F15C93">
      <w:pPr>
        <w:spacing w:line="360" w:lineRule="auto"/>
        <w:jc w:val="center"/>
        <w:rPr>
          <w:rFonts w:asciiTheme="minorEastAsia" w:hAnsiTheme="minorEastAsia" w:eastAsiaTheme="minorEastAsia"/>
          <w:b/>
          <w:color w:val="auto"/>
          <w:szCs w:val="21"/>
          <w:highlight w:val="none"/>
        </w:rPr>
      </w:pPr>
    </w:p>
    <w:p w14:paraId="2957EA6D">
      <w:pPr>
        <w:spacing w:line="360" w:lineRule="auto"/>
        <w:jc w:val="center"/>
        <w:rPr>
          <w:rFonts w:asciiTheme="minorEastAsia" w:hAnsiTheme="minorEastAsia" w:eastAsiaTheme="minorEastAsia"/>
          <w:b/>
          <w:color w:val="auto"/>
          <w:szCs w:val="21"/>
          <w:highlight w:val="none"/>
        </w:rPr>
      </w:pPr>
    </w:p>
    <w:p w14:paraId="1E21B981">
      <w:pPr>
        <w:spacing w:line="360" w:lineRule="auto"/>
        <w:jc w:val="center"/>
        <w:rPr>
          <w:rFonts w:asciiTheme="minorEastAsia" w:hAnsiTheme="minorEastAsia" w:eastAsiaTheme="minorEastAsia"/>
          <w:b/>
          <w:color w:val="auto"/>
          <w:szCs w:val="21"/>
          <w:highlight w:val="none"/>
        </w:rPr>
      </w:pPr>
    </w:p>
    <w:p w14:paraId="120425A3">
      <w:pPr>
        <w:spacing w:line="360" w:lineRule="auto"/>
        <w:jc w:val="center"/>
        <w:rPr>
          <w:rFonts w:asciiTheme="minorEastAsia" w:hAnsiTheme="minorEastAsia" w:eastAsiaTheme="minorEastAsia"/>
          <w:b/>
          <w:color w:val="auto"/>
          <w:szCs w:val="21"/>
          <w:highlight w:val="none"/>
        </w:rPr>
      </w:pPr>
    </w:p>
    <w:p w14:paraId="446A5A2E">
      <w:pPr>
        <w:spacing w:line="360" w:lineRule="auto"/>
        <w:rPr>
          <w:rFonts w:asciiTheme="minorEastAsia" w:hAnsiTheme="minorEastAsia" w:eastAsiaTheme="minorEastAsia"/>
          <w:b/>
          <w:color w:val="auto"/>
          <w:szCs w:val="21"/>
          <w:highlight w:val="none"/>
        </w:rPr>
      </w:pPr>
    </w:p>
    <w:p w14:paraId="60945DC0">
      <w:pPr>
        <w:spacing w:line="360" w:lineRule="auto"/>
        <w:jc w:val="center"/>
        <w:rPr>
          <w:rFonts w:asciiTheme="minorEastAsia" w:hAnsiTheme="minorEastAsia" w:eastAsiaTheme="minorEastAsia"/>
          <w:b/>
          <w:color w:val="auto"/>
          <w:szCs w:val="21"/>
          <w:highlight w:val="none"/>
        </w:rPr>
      </w:pPr>
    </w:p>
    <w:p w14:paraId="62C75CA4">
      <w:pPr>
        <w:spacing w:line="360" w:lineRule="auto"/>
        <w:jc w:val="center"/>
        <w:rPr>
          <w:rFonts w:asciiTheme="minorEastAsia" w:hAnsiTheme="minorEastAsia" w:eastAsiaTheme="minorEastAsia"/>
          <w:b/>
          <w:color w:val="auto"/>
          <w:szCs w:val="21"/>
          <w:highlight w:val="none"/>
        </w:rPr>
      </w:pPr>
    </w:p>
    <w:p w14:paraId="0DE66DB8">
      <w:pPr>
        <w:spacing w:line="360" w:lineRule="auto"/>
        <w:rPr>
          <w:rFonts w:asciiTheme="minorEastAsia" w:hAnsiTheme="minorEastAsia" w:eastAsiaTheme="minorEastAsia"/>
          <w:b/>
          <w:color w:val="auto"/>
          <w:szCs w:val="21"/>
          <w:highlight w:val="none"/>
        </w:rPr>
      </w:pPr>
    </w:p>
    <w:p w14:paraId="6944F2CB">
      <w:pPr>
        <w:spacing w:line="360" w:lineRule="auto"/>
        <w:rPr>
          <w:rFonts w:asciiTheme="minorEastAsia" w:hAnsiTheme="minorEastAsia" w:eastAsiaTheme="minorEastAsia"/>
          <w:b/>
          <w:color w:val="auto"/>
          <w:szCs w:val="21"/>
          <w:highlight w:val="none"/>
        </w:rPr>
      </w:pPr>
    </w:p>
    <w:p w14:paraId="45A6A009">
      <w:pPr>
        <w:spacing w:line="360" w:lineRule="auto"/>
        <w:rPr>
          <w:rFonts w:asciiTheme="minorEastAsia" w:hAnsiTheme="minorEastAsia" w:eastAsiaTheme="minorEastAsia"/>
          <w:b/>
          <w:color w:val="auto"/>
          <w:szCs w:val="21"/>
          <w:highlight w:val="none"/>
        </w:rPr>
      </w:pPr>
    </w:p>
    <w:p w14:paraId="47B8520E">
      <w:pPr>
        <w:spacing w:line="360" w:lineRule="auto"/>
        <w:rPr>
          <w:rFonts w:asciiTheme="minorEastAsia" w:hAnsiTheme="minorEastAsia" w:eastAsiaTheme="minorEastAsia"/>
          <w:b/>
          <w:color w:val="auto"/>
          <w:szCs w:val="21"/>
          <w:highlight w:val="none"/>
        </w:rPr>
      </w:pPr>
    </w:p>
    <w:p w14:paraId="001BD3DD">
      <w:pPr>
        <w:spacing w:line="360" w:lineRule="auto"/>
        <w:jc w:val="both"/>
        <w:rPr>
          <w:rFonts w:asciiTheme="minorEastAsia" w:hAnsiTheme="minorEastAsia" w:eastAsiaTheme="minorEastAsia"/>
          <w:b/>
          <w:color w:val="auto"/>
          <w:szCs w:val="21"/>
          <w:highlight w:val="none"/>
        </w:rPr>
      </w:pPr>
    </w:p>
    <w:p w14:paraId="574D9C6A">
      <w:pPr>
        <w:spacing w:line="360" w:lineRule="auto"/>
        <w:jc w:val="center"/>
        <w:rPr>
          <w:rFonts w:asciiTheme="minorEastAsia" w:hAnsiTheme="minorEastAsia" w:eastAsiaTheme="minorEastAsia"/>
          <w:b/>
          <w:color w:val="auto"/>
          <w:szCs w:val="21"/>
          <w:highlight w:val="none"/>
        </w:rPr>
      </w:pPr>
    </w:p>
    <w:p w14:paraId="53116953">
      <w:pPr>
        <w:spacing w:line="360" w:lineRule="auto"/>
        <w:rPr>
          <w:rFonts w:asciiTheme="minorEastAsia" w:hAnsiTheme="minorEastAsia" w:eastAsiaTheme="minorEastAsia"/>
          <w:b/>
          <w:color w:val="auto"/>
          <w:szCs w:val="21"/>
          <w:highlight w:val="none"/>
        </w:rPr>
      </w:pPr>
    </w:p>
    <w:p w14:paraId="25242C64">
      <w:pPr>
        <w:spacing w:line="360" w:lineRule="auto"/>
        <w:rPr>
          <w:rFonts w:asciiTheme="minorEastAsia" w:hAnsiTheme="minorEastAsia" w:eastAsiaTheme="minorEastAsia"/>
          <w:b/>
          <w:color w:val="auto"/>
          <w:szCs w:val="21"/>
          <w:highlight w:val="none"/>
        </w:rPr>
      </w:pPr>
    </w:p>
    <w:p w14:paraId="27BD494F">
      <w:pPr>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5.</w:t>
      </w:r>
    </w:p>
    <w:p w14:paraId="05707A6A">
      <w:pPr>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投标人基本情况表 （附件4）</w:t>
      </w:r>
    </w:p>
    <w:tbl>
      <w:tblPr>
        <w:tblStyle w:val="54"/>
        <w:tblW w:w="8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813"/>
        <w:gridCol w:w="2538"/>
        <w:gridCol w:w="1530"/>
        <w:gridCol w:w="2079"/>
      </w:tblGrid>
      <w:tr w14:paraId="306CA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650" w:type="dxa"/>
            <w:vMerge w:val="restart"/>
            <w:vAlign w:val="center"/>
          </w:tcPr>
          <w:p w14:paraId="014E1CED">
            <w:pPr>
              <w:spacing w:line="360" w:lineRule="auto"/>
              <w:jc w:val="center"/>
              <w:rPr>
                <w:rFonts w:asciiTheme="minorEastAsia" w:hAnsiTheme="minorEastAsia" w:eastAsiaTheme="minorEastAsia"/>
                <w:color w:val="auto"/>
                <w:szCs w:val="21"/>
                <w:highlight w:val="none"/>
              </w:rPr>
            </w:pPr>
          </w:p>
          <w:p w14:paraId="74E83937">
            <w:pPr>
              <w:spacing w:line="360" w:lineRule="auto"/>
              <w:jc w:val="center"/>
              <w:rPr>
                <w:rFonts w:asciiTheme="minorEastAsia" w:hAnsiTheme="minorEastAsia" w:eastAsiaTheme="minorEastAsia"/>
                <w:color w:val="auto"/>
                <w:szCs w:val="21"/>
                <w:highlight w:val="none"/>
              </w:rPr>
            </w:pPr>
          </w:p>
          <w:p w14:paraId="14745A1E">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w:t>
            </w:r>
          </w:p>
          <w:p w14:paraId="20AC3F70">
            <w:pPr>
              <w:spacing w:line="360" w:lineRule="auto"/>
              <w:jc w:val="center"/>
              <w:rPr>
                <w:rFonts w:asciiTheme="minorEastAsia" w:hAnsiTheme="minorEastAsia" w:eastAsiaTheme="minorEastAsia"/>
                <w:color w:val="auto"/>
                <w:szCs w:val="21"/>
                <w:highlight w:val="none"/>
              </w:rPr>
            </w:pPr>
          </w:p>
          <w:p w14:paraId="37E01AC9">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标</w:t>
            </w:r>
          </w:p>
          <w:p w14:paraId="32E18CB9">
            <w:pPr>
              <w:spacing w:line="360" w:lineRule="auto"/>
              <w:jc w:val="center"/>
              <w:rPr>
                <w:rFonts w:asciiTheme="minorEastAsia" w:hAnsiTheme="minorEastAsia" w:eastAsiaTheme="minorEastAsia"/>
                <w:color w:val="auto"/>
                <w:szCs w:val="21"/>
                <w:highlight w:val="none"/>
              </w:rPr>
            </w:pPr>
          </w:p>
          <w:p w14:paraId="6DE9C864">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人</w:t>
            </w:r>
          </w:p>
          <w:p w14:paraId="437B5C34">
            <w:pPr>
              <w:spacing w:line="360" w:lineRule="auto"/>
              <w:jc w:val="center"/>
              <w:rPr>
                <w:rFonts w:asciiTheme="minorEastAsia" w:hAnsiTheme="minorEastAsia" w:eastAsiaTheme="minorEastAsia"/>
                <w:color w:val="auto"/>
                <w:szCs w:val="21"/>
                <w:highlight w:val="none"/>
              </w:rPr>
            </w:pPr>
          </w:p>
          <w:p w14:paraId="7A879812">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概</w:t>
            </w:r>
          </w:p>
          <w:p w14:paraId="09006683">
            <w:pPr>
              <w:spacing w:line="360" w:lineRule="auto"/>
              <w:jc w:val="center"/>
              <w:rPr>
                <w:rFonts w:asciiTheme="minorEastAsia" w:hAnsiTheme="minorEastAsia" w:eastAsiaTheme="minorEastAsia"/>
                <w:color w:val="auto"/>
                <w:szCs w:val="21"/>
                <w:highlight w:val="none"/>
              </w:rPr>
            </w:pPr>
          </w:p>
          <w:p w14:paraId="4994F80F">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况</w:t>
            </w:r>
          </w:p>
        </w:tc>
        <w:tc>
          <w:tcPr>
            <w:tcW w:w="1813" w:type="dxa"/>
            <w:vAlign w:val="center"/>
          </w:tcPr>
          <w:p w14:paraId="7C13C583">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公司名称</w:t>
            </w:r>
          </w:p>
        </w:tc>
        <w:tc>
          <w:tcPr>
            <w:tcW w:w="6147" w:type="dxa"/>
            <w:gridSpan w:val="3"/>
            <w:vAlign w:val="center"/>
          </w:tcPr>
          <w:p w14:paraId="0A46C1BC">
            <w:pPr>
              <w:spacing w:line="360" w:lineRule="auto"/>
              <w:jc w:val="center"/>
              <w:rPr>
                <w:rFonts w:asciiTheme="minorEastAsia" w:hAnsiTheme="minorEastAsia" w:eastAsiaTheme="minorEastAsia"/>
                <w:color w:val="auto"/>
                <w:szCs w:val="21"/>
                <w:highlight w:val="none"/>
              </w:rPr>
            </w:pPr>
          </w:p>
        </w:tc>
      </w:tr>
      <w:tr w14:paraId="585B6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650" w:type="dxa"/>
            <w:vMerge w:val="continue"/>
            <w:vAlign w:val="center"/>
          </w:tcPr>
          <w:p w14:paraId="5D3C7A28">
            <w:pPr>
              <w:spacing w:line="360" w:lineRule="auto"/>
              <w:jc w:val="center"/>
              <w:rPr>
                <w:rFonts w:asciiTheme="minorEastAsia" w:hAnsiTheme="minorEastAsia" w:eastAsiaTheme="minorEastAsia"/>
                <w:color w:val="auto"/>
                <w:szCs w:val="21"/>
                <w:highlight w:val="none"/>
              </w:rPr>
            </w:pPr>
          </w:p>
        </w:tc>
        <w:tc>
          <w:tcPr>
            <w:tcW w:w="1813" w:type="dxa"/>
            <w:vAlign w:val="center"/>
          </w:tcPr>
          <w:p w14:paraId="3A746B27">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地址</w:t>
            </w:r>
          </w:p>
        </w:tc>
        <w:tc>
          <w:tcPr>
            <w:tcW w:w="6147" w:type="dxa"/>
            <w:gridSpan w:val="3"/>
            <w:vAlign w:val="center"/>
          </w:tcPr>
          <w:p w14:paraId="6D9AA633">
            <w:pPr>
              <w:spacing w:line="360" w:lineRule="auto"/>
              <w:jc w:val="center"/>
              <w:rPr>
                <w:rFonts w:asciiTheme="minorEastAsia" w:hAnsiTheme="minorEastAsia" w:eastAsiaTheme="minorEastAsia"/>
                <w:color w:val="auto"/>
                <w:szCs w:val="21"/>
                <w:highlight w:val="none"/>
              </w:rPr>
            </w:pPr>
          </w:p>
        </w:tc>
      </w:tr>
      <w:tr w14:paraId="77136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50" w:type="dxa"/>
            <w:vMerge w:val="continue"/>
            <w:vAlign w:val="center"/>
          </w:tcPr>
          <w:p w14:paraId="50B9804F">
            <w:pPr>
              <w:spacing w:line="360" w:lineRule="auto"/>
              <w:jc w:val="center"/>
              <w:rPr>
                <w:rFonts w:asciiTheme="minorEastAsia" w:hAnsiTheme="minorEastAsia" w:eastAsiaTheme="minorEastAsia"/>
                <w:color w:val="auto"/>
                <w:szCs w:val="21"/>
                <w:highlight w:val="none"/>
              </w:rPr>
            </w:pPr>
          </w:p>
        </w:tc>
        <w:tc>
          <w:tcPr>
            <w:tcW w:w="1813" w:type="dxa"/>
            <w:vAlign w:val="center"/>
          </w:tcPr>
          <w:p w14:paraId="70D5C362">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经营范围</w:t>
            </w:r>
          </w:p>
        </w:tc>
        <w:tc>
          <w:tcPr>
            <w:tcW w:w="6147" w:type="dxa"/>
            <w:gridSpan w:val="3"/>
            <w:vAlign w:val="center"/>
          </w:tcPr>
          <w:p w14:paraId="66B04C27">
            <w:pPr>
              <w:spacing w:line="360" w:lineRule="auto"/>
              <w:ind w:firstLine="420" w:firstLineChars="200"/>
              <w:rPr>
                <w:rFonts w:asciiTheme="minorEastAsia" w:hAnsiTheme="minorEastAsia" w:eastAsiaTheme="minorEastAsia"/>
                <w:color w:val="auto"/>
                <w:szCs w:val="21"/>
                <w:highlight w:val="none"/>
              </w:rPr>
            </w:pPr>
          </w:p>
        </w:tc>
      </w:tr>
      <w:tr w14:paraId="06412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50" w:type="dxa"/>
            <w:vMerge w:val="continue"/>
            <w:vAlign w:val="center"/>
          </w:tcPr>
          <w:p w14:paraId="514EE549">
            <w:pPr>
              <w:spacing w:line="360" w:lineRule="auto"/>
              <w:jc w:val="center"/>
              <w:rPr>
                <w:rFonts w:asciiTheme="minorEastAsia" w:hAnsiTheme="minorEastAsia" w:eastAsiaTheme="minorEastAsia"/>
                <w:color w:val="auto"/>
                <w:szCs w:val="21"/>
                <w:highlight w:val="none"/>
              </w:rPr>
            </w:pPr>
          </w:p>
        </w:tc>
        <w:tc>
          <w:tcPr>
            <w:tcW w:w="1813" w:type="dxa"/>
            <w:vAlign w:val="center"/>
          </w:tcPr>
          <w:p w14:paraId="72E51FB6">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成立时间</w:t>
            </w:r>
          </w:p>
        </w:tc>
        <w:tc>
          <w:tcPr>
            <w:tcW w:w="2538" w:type="dxa"/>
            <w:vAlign w:val="center"/>
          </w:tcPr>
          <w:p w14:paraId="175D09B8">
            <w:pPr>
              <w:spacing w:line="360" w:lineRule="auto"/>
              <w:jc w:val="center"/>
              <w:rPr>
                <w:rFonts w:asciiTheme="minorEastAsia" w:hAnsiTheme="minorEastAsia" w:eastAsiaTheme="minorEastAsia"/>
                <w:color w:val="auto"/>
                <w:szCs w:val="21"/>
                <w:highlight w:val="none"/>
              </w:rPr>
            </w:pPr>
          </w:p>
        </w:tc>
        <w:tc>
          <w:tcPr>
            <w:tcW w:w="1530" w:type="dxa"/>
            <w:vAlign w:val="center"/>
          </w:tcPr>
          <w:p w14:paraId="394991B1">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经济性质</w:t>
            </w:r>
          </w:p>
        </w:tc>
        <w:tc>
          <w:tcPr>
            <w:tcW w:w="2079" w:type="dxa"/>
            <w:vAlign w:val="center"/>
          </w:tcPr>
          <w:p w14:paraId="0918CF8E">
            <w:pPr>
              <w:spacing w:line="360" w:lineRule="auto"/>
              <w:jc w:val="center"/>
              <w:rPr>
                <w:rFonts w:asciiTheme="minorEastAsia" w:hAnsiTheme="minorEastAsia" w:eastAsiaTheme="minorEastAsia"/>
                <w:color w:val="auto"/>
                <w:szCs w:val="21"/>
                <w:highlight w:val="none"/>
              </w:rPr>
            </w:pPr>
          </w:p>
        </w:tc>
      </w:tr>
      <w:tr w14:paraId="7C66C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650" w:type="dxa"/>
            <w:vMerge w:val="continue"/>
            <w:vAlign w:val="center"/>
          </w:tcPr>
          <w:p w14:paraId="5D718F8F">
            <w:pPr>
              <w:spacing w:line="360" w:lineRule="auto"/>
              <w:jc w:val="center"/>
              <w:rPr>
                <w:rFonts w:asciiTheme="minorEastAsia" w:hAnsiTheme="minorEastAsia" w:eastAsiaTheme="minorEastAsia"/>
                <w:color w:val="auto"/>
                <w:szCs w:val="21"/>
                <w:highlight w:val="none"/>
              </w:rPr>
            </w:pPr>
          </w:p>
        </w:tc>
        <w:tc>
          <w:tcPr>
            <w:tcW w:w="1813" w:type="dxa"/>
            <w:vAlign w:val="center"/>
          </w:tcPr>
          <w:p w14:paraId="5D683DF4">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法定代表人</w:t>
            </w:r>
          </w:p>
        </w:tc>
        <w:tc>
          <w:tcPr>
            <w:tcW w:w="2538" w:type="dxa"/>
            <w:vAlign w:val="center"/>
          </w:tcPr>
          <w:p w14:paraId="067F897F">
            <w:pPr>
              <w:spacing w:line="360" w:lineRule="auto"/>
              <w:jc w:val="center"/>
              <w:rPr>
                <w:rFonts w:asciiTheme="minorEastAsia" w:hAnsiTheme="minorEastAsia" w:eastAsiaTheme="minorEastAsia"/>
                <w:color w:val="auto"/>
                <w:szCs w:val="21"/>
                <w:highlight w:val="none"/>
              </w:rPr>
            </w:pPr>
          </w:p>
        </w:tc>
        <w:tc>
          <w:tcPr>
            <w:tcW w:w="1530" w:type="dxa"/>
            <w:vAlign w:val="center"/>
          </w:tcPr>
          <w:p w14:paraId="28AF759E">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联系电话</w:t>
            </w:r>
          </w:p>
        </w:tc>
        <w:tc>
          <w:tcPr>
            <w:tcW w:w="2079" w:type="dxa"/>
            <w:vAlign w:val="center"/>
          </w:tcPr>
          <w:p w14:paraId="0ED67DCE">
            <w:pPr>
              <w:spacing w:line="360" w:lineRule="auto"/>
              <w:jc w:val="center"/>
              <w:rPr>
                <w:rFonts w:asciiTheme="minorEastAsia" w:hAnsiTheme="minorEastAsia" w:eastAsiaTheme="minorEastAsia"/>
                <w:color w:val="auto"/>
                <w:szCs w:val="21"/>
                <w:highlight w:val="none"/>
              </w:rPr>
            </w:pPr>
          </w:p>
        </w:tc>
      </w:tr>
      <w:tr w14:paraId="4D9A3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650" w:type="dxa"/>
            <w:vMerge w:val="continue"/>
            <w:vAlign w:val="center"/>
          </w:tcPr>
          <w:p w14:paraId="4759D854">
            <w:pPr>
              <w:spacing w:line="360" w:lineRule="auto"/>
              <w:jc w:val="center"/>
              <w:rPr>
                <w:rFonts w:asciiTheme="minorEastAsia" w:hAnsiTheme="minorEastAsia" w:eastAsiaTheme="minorEastAsia"/>
                <w:color w:val="auto"/>
                <w:szCs w:val="21"/>
                <w:highlight w:val="none"/>
              </w:rPr>
            </w:pPr>
          </w:p>
        </w:tc>
        <w:tc>
          <w:tcPr>
            <w:tcW w:w="1813" w:type="dxa"/>
            <w:vAlign w:val="center"/>
          </w:tcPr>
          <w:p w14:paraId="21E2A7A4">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注册资金</w:t>
            </w:r>
          </w:p>
        </w:tc>
        <w:tc>
          <w:tcPr>
            <w:tcW w:w="2538" w:type="dxa"/>
            <w:vAlign w:val="center"/>
          </w:tcPr>
          <w:p w14:paraId="630A0B33">
            <w:pPr>
              <w:spacing w:line="360" w:lineRule="auto"/>
              <w:jc w:val="center"/>
              <w:rPr>
                <w:rFonts w:asciiTheme="minorEastAsia" w:hAnsiTheme="minorEastAsia" w:eastAsiaTheme="minorEastAsia"/>
                <w:color w:val="auto"/>
                <w:szCs w:val="21"/>
                <w:highlight w:val="none"/>
              </w:rPr>
            </w:pPr>
          </w:p>
        </w:tc>
        <w:tc>
          <w:tcPr>
            <w:tcW w:w="1530" w:type="dxa"/>
            <w:vAlign w:val="center"/>
          </w:tcPr>
          <w:p w14:paraId="6E53C061">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人员数</w:t>
            </w:r>
          </w:p>
        </w:tc>
        <w:tc>
          <w:tcPr>
            <w:tcW w:w="2079" w:type="dxa"/>
            <w:vAlign w:val="center"/>
          </w:tcPr>
          <w:p w14:paraId="4C482934">
            <w:pPr>
              <w:spacing w:line="360" w:lineRule="auto"/>
              <w:jc w:val="center"/>
              <w:rPr>
                <w:rFonts w:asciiTheme="minorEastAsia" w:hAnsiTheme="minorEastAsia" w:eastAsiaTheme="minorEastAsia"/>
                <w:color w:val="auto"/>
                <w:szCs w:val="21"/>
                <w:highlight w:val="none"/>
              </w:rPr>
            </w:pPr>
          </w:p>
        </w:tc>
      </w:tr>
      <w:tr w14:paraId="73718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jc w:val="center"/>
        </w:trPr>
        <w:tc>
          <w:tcPr>
            <w:tcW w:w="650" w:type="dxa"/>
            <w:vMerge w:val="continue"/>
            <w:vAlign w:val="center"/>
          </w:tcPr>
          <w:p w14:paraId="4EA1E32D">
            <w:pPr>
              <w:spacing w:line="360" w:lineRule="auto"/>
              <w:jc w:val="center"/>
              <w:rPr>
                <w:rFonts w:asciiTheme="minorEastAsia" w:hAnsiTheme="minorEastAsia" w:eastAsiaTheme="minorEastAsia"/>
                <w:color w:val="auto"/>
                <w:szCs w:val="21"/>
                <w:highlight w:val="none"/>
              </w:rPr>
            </w:pPr>
          </w:p>
        </w:tc>
        <w:tc>
          <w:tcPr>
            <w:tcW w:w="1813" w:type="dxa"/>
            <w:vAlign w:val="center"/>
          </w:tcPr>
          <w:p w14:paraId="2BCC3694">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是否依法纳税</w:t>
            </w:r>
          </w:p>
        </w:tc>
        <w:tc>
          <w:tcPr>
            <w:tcW w:w="6147" w:type="dxa"/>
            <w:gridSpan w:val="3"/>
            <w:vAlign w:val="center"/>
          </w:tcPr>
          <w:p w14:paraId="4054C6F9">
            <w:pPr>
              <w:spacing w:line="360" w:lineRule="auto"/>
              <w:jc w:val="center"/>
              <w:rPr>
                <w:rFonts w:asciiTheme="minorEastAsia" w:hAnsiTheme="minorEastAsia" w:eastAsiaTheme="minorEastAsia"/>
                <w:color w:val="auto"/>
                <w:szCs w:val="21"/>
                <w:highlight w:val="none"/>
              </w:rPr>
            </w:pPr>
          </w:p>
        </w:tc>
      </w:tr>
      <w:tr w14:paraId="2735F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2" w:hRule="atLeast"/>
          <w:jc w:val="center"/>
        </w:trPr>
        <w:tc>
          <w:tcPr>
            <w:tcW w:w="650" w:type="dxa"/>
            <w:vMerge w:val="continue"/>
            <w:vAlign w:val="center"/>
          </w:tcPr>
          <w:p w14:paraId="047668AF">
            <w:pPr>
              <w:spacing w:line="360" w:lineRule="auto"/>
              <w:jc w:val="center"/>
              <w:rPr>
                <w:rFonts w:asciiTheme="minorEastAsia" w:hAnsiTheme="minorEastAsia" w:eastAsiaTheme="minorEastAsia"/>
                <w:color w:val="auto"/>
                <w:szCs w:val="21"/>
                <w:highlight w:val="none"/>
              </w:rPr>
            </w:pPr>
          </w:p>
        </w:tc>
        <w:tc>
          <w:tcPr>
            <w:tcW w:w="7960" w:type="dxa"/>
            <w:gridSpan w:val="4"/>
          </w:tcPr>
          <w:p w14:paraId="7A3631D4">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单位介绍：</w:t>
            </w:r>
          </w:p>
        </w:tc>
      </w:tr>
      <w:tr w14:paraId="23D41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610" w:type="dxa"/>
            <w:gridSpan w:val="5"/>
            <w:vAlign w:val="center"/>
          </w:tcPr>
          <w:p w14:paraId="084D2957">
            <w:pPr>
              <w:spacing w:line="360" w:lineRule="auto"/>
              <w:jc w:val="righ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（单位公章）年   月   日</w:t>
            </w:r>
          </w:p>
        </w:tc>
      </w:tr>
    </w:tbl>
    <w:p w14:paraId="12EE8204">
      <w:pPr>
        <w:spacing w:before="120" w:beforeLines="50"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注：附营业执照。</w:t>
      </w:r>
    </w:p>
    <w:p w14:paraId="6D55E0DE">
      <w:pPr>
        <w:snapToGrid w:val="0"/>
        <w:spacing w:line="360" w:lineRule="auto"/>
        <w:rPr>
          <w:rFonts w:asciiTheme="minorEastAsia" w:hAnsiTheme="minorEastAsia" w:eastAsiaTheme="minorEastAsia"/>
          <w:b/>
          <w:bCs/>
          <w:color w:val="auto"/>
          <w:kern w:val="44"/>
          <w:szCs w:val="21"/>
          <w:highlight w:val="none"/>
        </w:rPr>
      </w:pPr>
    </w:p>
    <w:p w14:paraId="3BC3CC2B">
      <w:pPr>
        <w:snapToGrid w:val="0"/>
        <w:spacing w:line="360" w:lineRule="auto"/>
        <w:rPr>
          <w:rFonts w:asciiTheme="minorEastAsia" w:hAnsiTheme="minorEastAsia" w:eastAsiaTheme="minorEastAsia"/>
          <w:b/>
          <w:bCs/>
          <w:color w:val="auto"/>
          <w:kern w:val="44"/>
          <w:szCs w:val="21"/>
          <w:highlight w:val="none"/>
        </w:rPr>
      </w:pPr>
    </w:p>
    <w:p w14:paraId="50BD7357">
      <w:pPr>
        <w:snapToGrid w:val="0"/>
        <w:spacing w:line="360" w:lineRule="auto"/>
        <w:rPr>
          <w:rFonts w:asciiTheme="minorEastAsia" w:hAnsiTheme="minorEastAsia" w:eastAsiaTheme="minorEastAsia"/>
          <w:b/>
          <w:bCs/>
          <w:color w:val="auto"/>
          <w:kern w:val="44"/>
          <w:szCs w:val="21"/>
          <w:highlight w:val="none"/>
        </w:rPr>
      </w:pPr>
    </w:p>
    <w:p w14:paraId="3CF183C8">
      <w:pPr>
        <w:snapToGrid w:val="0"/>
        <w:spacing w:line="360" w:lineRule="auto"/>
        <w:rPr>
          <w:rFonts w:asciiTheme="minorEastAsia" w:hAnsiTheme="minorEastAsia" w:eastAsiaTheme="minorEastAsia"/>
          <w:b/>
          <w:bCs/>
          <w:color w:val="auto"/>
          <w:kern w:val="44"/>
          <w:szCs w:val="21"/>
          <w:highlight w:val="none"/>
        </w:rPr>
      </w:pPr>
    </w:p>
    <w:p w14:paraId="6019E8D2">
      <w:pPr>
        <w:snapToGrid w:val="0"/>
        <w:spacing w:line="360" w:lineRule="auto"/>
        <w:rPr>
          <w:rFonts w:asciiTheme="minorEastAsia" w:hAnsiTheme="minorEastAsia" w:eastAsiaTheme="minorEastAsia"/>
          <w:b/>
          <w:bCs/>
          <w:color w:val="auto"/>
          <w:kern w:val="44"/>
          <w:szCs w:val="21"/>
          <w:highlight w:val="none"/>
        </w:rPr>
      </w:pPr>
    </w:p>
    <w:p w14:paraId="6DD744C5">
      <w:pPr>
        <w:snapToGrid w:val="0"/>
        <w:spacing w:line="360" w:lineRule="auto"/>
        <w:rPr>
          <w:rFonts w:asciiTheme="minorEastAsia" w:hAnsiTheme="minorEastAsia" w:eastAsiaTheme="minorEastAsia"/>
          <w:b/>
          <w:bCs/>
          <w:color w:val="auto"/>
          <w:kern w:val="44"/>
          <w:szCs w:val="21"/>
          <w:highlight w:val="none"/>
        </w:rPr>
      </w:pPr>
    </w:p>
    <w:p w14:paraId="0DF8D4E2">
      <w:pPr>
        <w:snapToGrid w:val="0"/>
        <w:spacing w:line="360" w:lineRule="auto"/>
        <w:rPr>
          <w:rFonts w:asciiTheme="minorEastAsia" w:hAnsiTheme="minorEastAsia" w:eastAsiaTheme="minorEastAsia"/>
          <w:b/>
          <w:bCs/>
          <w:color w:val="auto"/>
          <w:kern w:val="44"/>
          <w:szCs w:val="21"/>
          <w:highlight w:val="none"/>
        </w:rPr>
      </w:pPr>
    </w:p>
    <w:p w14:paraId="42758E1F">
      <w:pPr>
        <w:snapToGrid w:val="0"/>
        <w:spacing w:line="360" w:lineRule="auto"/>
        <w:rPr>
          <w:rFonts w:asciiTheme="minorEastAsia" w:hAnsiTheme="minorEastAsia" w:eastAsiaTheme="minorEastAsia"/>
          <w:b/>
          <w:bCs/>
          <w:color w:val="auto"/>
          <w:kern w:val="44"/>
          <w:szCs w:val="21"/>
          <w:highlight w:val="none"/>
        </w:rPr>
      </w:pPr>
    </w:p>
    <w:p w14:paraId="3F8F3BE7">
      <w:pPr>
        <w:snapToGrid w:val="0"/>
        <w:spacing w:line="360" w:lineRule="auto"/>
        <w:rPr>
          <w:rFonts w:asciiTheme="minorEastAsia" w:hAnsiTheme="minorEastAsia" w:eastAsiaTheme="minorEastAsia"/>
          <w:b/>
          <w:bCs/>
          <w:color w:val="auto"/>
          <w:kern w:val="44"/>
          <w:szCs w:val="21"/>
          <w:highlight w:val="none"/>
        </w:rPr>
      </w:pPr>
    </w:p>
    <w:p w14:paraId="36B914E0">
      <w:pPr>
        <w:snapToGrid w:val="0"/>
        <w:spacing w:line="360" w:lineRule="auto"/>
        <w:rPr>
          <w:rFonts w:asciiTheme="minorEastAsia" w:hAnsiTheme="minorEastAsia" w:eastAsiaTheme="minorEastAsia"/>
          <w:b/>
          <w:bCs/>
          <w:color w:val="auto"/>
          <w:kern w:val="44"/>
          <w:szCs w:val="21"/>
          <w:highlight w:val="none"/>
        </w:rPr>
      </w:pPr>
    </w:p>
    <w:p w14:paraId="5096D781">
      <w:pPr>
        <w:snapToGrid w:val="0"/>
        <w:spacing w:line="360" w:lineRule="auto"/>
        <w:rPr>
          <w:rFonts w:asciiTheme="minorEastAsia" w:hAnsiTheme="minorEastAsia" w:eastAsiaTheme="minorEastAsia"/>
          <w:b/>
          <w:bCs/>
          <w:color w:val="auto"/>
          <w:kern w:val="44"/>
          <w:szCs w:val="21"/>
          <w:highlight w:val="none"/>
        </w:rPr>
      </w:pPr>
    </w:p>
    <w:p w14:paraId="549332D6">
      <w:pPr>
        <w:snapToGrid w:val="0"/>
        <w:spacing w:line="360" w:lineRule="auto"/>
        <w:rPr>
          <w:color w:val="auto"/>
          <w:highlight w:val="none"/>
        </w:rPr>
      </w:pPr>
    </w:p>
    <w:p w14:paraId="78E5FBB9">
      <w:pPr>
        <w:rPr>
          <w:color w:val="auto"/>
          <w:highlight w:val="none"/>
        </w:rPr>
      </w:pPr>
    </w:p>
    <w:p w14:paraId="55C05580">
      <w:pPr>
        <w:snapToGrid w:val="0"/>
        <w:spacing w:line="360" w:lineRule="auto"/>
        <w:rPr>
          <w:rFonts w:asciiTheme="minorEastAsia" w:hAnsiTheme="minorEastAsia" w:eastAsiaTheme="minorEastAsia"/>
          <w:b/>
          <w:color w:val="auto"/>
          <w:spacing w:val="20"/>
          <w:szCs w:val="21"/>
          <w:highlight w:val="none"/>
        </w:rPr>
      </w:pPr>
      <w:r>
        <w:rPr>
          <w:rFonts w:hint="eastAsia" w:asciiTheme="minorEastAsia" w:hAnsiTheme="minorEastAsia" w:eastAsiaTheme="minorEastAsia"/>
          <w:b/>
          <w:color w:val="auto"/>
          <w:spacing w:val="20"/>
          <w:szCs w:val="21"/>
          <w:highlight w:val="none"/>
        </w:rPr>
        <w:t>6 .</w:t>
      </w:r>
    </w:p>
    <w:p w14:paraId="3DF5D243">
      <w:pPr>
        <w:snapToGrid w:val="0"/>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业绩一览表（附件5）</w:t>
      </w:r>
    </w:p>
    <w:tbl>
      <w:tblPr>
        <w:tblStyle w:val="54"/>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7"/>
        <w:gridCol w:w="2067"/>
        <w:gridCol w:w="2067"/>
        <w:gridCol w:w="1720"/>
        <w:gridCol w:w="2066"/>
      </w:tblGrid>
      <w:tr w14:paraId="3B836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87" w:type="dxa"/>
            <w:vAlign w:val="center"/>
          </w:tcPr>
          <w:p w14:paraId="03880CB8">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序号</w:t>
            </w:r>
          </w:p>
        </w:tc>
        <w:tc>
          <w:tcPr>
            <w:tcW w:w="2067" w:type="dxa"/>
            <w:vAlign w:val="center"/>
          </w:tcPr>
          <w:p w14:paraId="4F608C37">
            <w:pPr>
              <w:autoSpaceDE w:val="0"/>
              <w:autoSpaceDN w:val="0"/>
              <w:adjustRightInd w:val="0"/>
              <w:snapToGrid w:val="0"/>
              <w:spacing w:line="360" w:lineRule="auto"/>
              <w:jc w:val="center"/>
              <w:rPr>
                <w:rFonts w:asciiTheme="minorEastAsia" w:hAnsiTheme="minorEastAsia" w:eastAsiaTheme="minorEastAsia"/>
                <w:color w:val="auto"/>
                <w:szCs w:val="21"/>
                <w:highlight w:val="none"/>
                <w:lang w:val="zh-CN"/>
              </w:rPr>
            </w:pPr>
            <w:r>
              <w:rPr>
                <w:rFonts w:hint="eastAsia" w:asciiTheme="minorEastAsia" w:hAnsiTheme="minorEastAsia" w:eastAsiaTheme="minorEastAsia"/>
                <w:color w:val="auto"/>
                <w:szCs w:val="21"/>
                <w:highlight w:val="none"/>
              </w:rPr>
              <w:t>项目名称</w:t>
            </w:r>
          </w:p>
        </w:tc>
        <w:tc>
          <w:tcPr>
            <w:tcW w:w="2067" w:type="dxa"/>
            <w:vAlign w:val="center"/>
          </w:tcPr>
          <w:p w14:paraId="1FEA168C">
            <w:pPr>
              <w:autoSpaceDE w:val="0"/>
              <w:autoSpaceDN w:val="0"/>
              <w:adjustRightInd w:val="0"/>
              <w:snapToGrid w:val="0"/>
              <w:spacing w:line="360" w:lineRule="auto"/>
              <w:jc w:val="center"/>
              <w:rPr>
                <w:rFonts w:asciiTheme="minorEastAsia" w:hAnsiTheme="minorEastAsia" w:eastAsiaTheme="minorEastAsia"/>
                <w:color w:val="auto"/>
                <w:szCs w:val="21"/>
                <w:highlight w:val="none"/>
                <w:lang w:val="zh-CN"/>
              </w:rPr>
            </w:pPr>
            <w:r>
              <w:rPr>
                <w:rFonts w:hint="eastAsia" w:asciiTheme="minorEastAsia" w:hAnsiTheme="minorEastAsia" w:eastAsiaTheme="minorEastAsia"/>
                <w:color w:val="auto"/>
                <w:szCs w:val="21"/>
                <w:highlight w:val="none"/>
                <w:lang w:val="zh-CN"/>
              </w:rPr>
              <w:t>项目金额</w:t>
            </w:r>
          </w:p>
          <w:p w14:paraId="3EE2695F">
            <w:pPr>
              <w:autoSpaceDE w:val="0"/>
              <w:autoSpaceDN w:val="0"/>
              <w:adjustRightInd w:val="0"/>
              <w:snapToGrid w:val="0"/>
              <w:spacing w:line="360" w:lineRule="auto"/>
              <w:jc w:val="center"/>
              <w:rPr>
                <w:rFonts w:asciiTheme="minorEastAsia" w:hAnsiTheme="minorEastAsia" w:eastAsiaTheme="minorEastAsia"/>
                <w:color w:val="auto"/>
                <w:szCs w:val="21"/>
                <w:highlight w:val="none"/>
                <w:lang w:val="zh-CN"/>
              </w:rPr>
            </w:pPr>
            <w:r>
              <w:rPr>
                <w:rFonts w:hint="eastAsia" w:asciiTheme="minorEastAsia" w:hAnsiTheme="minorEastAsia" w:eastAsiaTheme="minorEastAsia"/>
                <w:color w:val="auto"/>
                <w:szCs w:val="21"/>
                <w:highlight w:val="none"/>
                <w:lang w:val="zh-CN"/>
              </w:rPr>
              <w:t>（</w:t>
            </w:r>
            <w:r>
              <w:rPr>
                <w:rFonts w:hint="eastAsia" w:asciiTheme="minorEastAsia" w:hAnsiTheme="minorEastAsia" w:eastAsiaTheme="minorEastAsia"/>
                <w:color w:val="auto"/>
                <w:szCs w:val="21"/>
                <w:highlight w:val="none"/>
              </w:rPr>
              <w:t>万元）</w:t>
            </w:r>
          </w:p>
        </w:tc>
        <w:tc>
          <w:tcPr>
            <w:tcW w:w="1720" w:type="dxa"/>
            <w:vAlign w:val="center"/>
          </w:tcPr>
          <w:p w14:paraId="312CCE1C">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合同时间</w:t>
            </w:r>
          </w:p>
        </w:tc>
        <w:tc>
          <w:tcPr>
            <w:tcW w:w="2066" w:type="dxa"/>
            <w:vAlign w:val="center"/>
          </w:tcPr>
          <w:p w14:paraId="37D87D04">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备注</w:t>
            </w:r>
          </w:p>
        </w:tc>
      </w:tr>
      <w:tr w14:paraId="66D33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87" w:type="dxa"/>
            <w:vAlign w:val="center"/>
          </w:tcPr>
          <w:p w14:paraId="724960F7">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2C569EBC">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5D75ED6C">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14:paraId="37C48AFC">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14:paraId="441206E2">
            <w:pPr>
              <w:spacing w:line="360" w:lineRule="auto"/>
              <w:ind w:firstLine="525" w:firstLineChars="250"/>
              <w:jc w:val="center"/>
              <w:rPr>
                <w:rFonts w:asciiTheme="minorEastAsia" w:hAnsiTheme="minorEastAsia" w:eastAsiaTheme="minorEastAsia"/>
                <w:color w:val="auto"/>
                <w:szCs w:val="21"/>
                <w:highlight w:val="none"/>
              </w:rPr>
            </w:pPr>
          </w:p>
        </w:tc>
      </w:tr>
      <w:tr w14:paraId="0EEB6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87" w:type="dxa"/>
            <w:vAlign w:val="center"/>
          </w:tcPr>
          <w:p w14:paraId="7D859421">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69D1C518">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34C4D7CE">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14:paraId="5AD2B628">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14:paraId="28ACEEE5">
            <w:pPr>
              <w:spacing w:line="360" w:lineRule="auto"/>
              <w:ind w:firstLine="525" w:firstLineChars="250"/>
              <w:jc w:val="center"/>
              <w:rPr>
                <w:rFonts w:asciiTheme="minorEastAsia" w:hAnsiTheme="minorEastAsia" w:eastAsiaTheme="minorEastAsia"/>
                <w:color w:val="auto"/>
                <w:szCs w:val="21"/>
                <w:highlight w:val="none"/>
              </w:rPr>
            </w:pPr>
          </w:p>
        </w:tc>
      </w:tr>
      <w:tr w14:paraId="01B69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87" w:type="dxa"/>
            <w:vAlign w:val="center"/>
          </w:tcPr>
          <w:p w14:paraId="2C692044">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56B38789">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55477E1A">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14:paraId="3F055CDD">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14:paraId="07CDEC82">
            <w:pPr>
              <w:spacing w:line="360" w:lineRule="auto"/>
              <w:ind w:firstLine="525" w:firstLineChars="250"/>
              <w:jc w:val="center"/>
              <w:rPr>
                <w:rFonts w:asciiTheme="minorEastAsia" w:hAnsiTheme="minorEastAsia" w:eastAsiaTheme="minorEastAsia"/>
                <w:color w:val="auto"/>
                <w:szCs w:val="21"/>
                <w:highlight w:val="none"/>
              </w:rPr>
            </w:pPr>
          </w:p>
        </w:tc>
      </w:tr>
      <w:tr w14:paraId="59937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87" w:type="dxa"/>
            <w:vAlign w:val="center"/>
          </w:tcPr>
          <w:p w14:paraId="50730B81">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68A92975">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6B0108B9">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14:paraId="21FED523">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14:paraId="216D5EC6">
            <w:pPr>
              <w:spacing w:line="360" w:lineRule="auto"/>
              <w:ind w:firstLine="525" w:firstLineChars="250"/>
              <w:jc w:val="center"/>
              <w:rPr>
                <w:rFonts w:asciiTheme="minorEastAsia" w:hAnsiTheme="minorEastAsia" w:eastAsiaTheme="minorEastAsia"/>
                <w:color w:val="auto"/>
                <w:szCs w:val="21"/>
                <w:highlight w:val="none"/>
              </w:rPr>
            </w:pPr>
          </w:p>
        </w:tc>
      </w:tr>
      <w:tr w14:paraId="62678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87" w:type="dxa"/>
            <w:vAlign w:val="center"/>
          </w:tcPr>
          <w:p w14:paraId="2CD50AD4">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1D58C217">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2B262E08">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14:paraId="1DADE7EB">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14:paraId="60ECF875">
            <w:pPr>
              <w:spacing w:line="360" w:lineRule="auto"/>
              <w:ind w:firstLine="525" w:firstLineChars="250"/>
              <w:jc w:val="center"/>
              <w:rPr>
                <w:rFonts w:asciiTheme="minorEastAsia" w:hAnsiTheme="minorEastAsia" w:eastAsiaTheme="minorEastAsia"/>
                <w:color w:val="auto"/>
                <w:szCs w:val="21"/>
                <w:highlight w:val="none"/>
              </w:rPr>
            </w:pPr>
          </w:p>
        </w:tc>
      </w:tr>
      <w:tr w14:paraId="3447C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87" w:type="dxa"/>
            <w:vAlign w:val="center"/>
          </w:tcPr>
          <w:p w14:paraId="2829D371">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71CDB3C3">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55D4B51E">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14:paraId="6A8F2719">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14:paraId="2578466A">
            <w:pPr>
              <w:spacing w:line="360" w:lineRule="auto"/>
              <w:ind w:firstLine="525" w:firstLineChars="250"/>
              <w:jc w:val="center"/>
              <w:rPr>
                <w:rFonts w:asciiTheme="minorEastAsia" w:hAnsiTheme="minorEastAsia" w:eastAsiaTheme="minorEastAsia"/>
                <w:color w:val="auto"/>
                <w:szCs w:val="21"/>
                <w:highlight w:val="none"/>
              </w:rPr>
            </w:pPr>
          </w:p>
        </w:tc>
      </w:tr>
      <w:tr w14:paraId="0674C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87" w:type="dxa"/>
            <w:vAlign w:val="center"/>
          </w:tcPr>
          <w:p w14:paraId="196FAC20">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121F0CC9">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3B37435D">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14:paraId="7D865BFF">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14:paraId="2C1E817A">
            <w:pPr>
              <w:spacing w:line="360" w:lineRule="auto"/>
              <w:ind w:firstLine="525" w:firstLineChars="250"/>
              <w:jc w:val="center"/>
              <w:rPr>
                <w:rFonts w:asciiTheme="minorEastAsia" w:hAnsiTheme="minorEastAsia" w:eastAsiaTheme="minorEastAsia"/>
                <w:color w:val="auto"/>
                <w:szCs w:val="21"/>
                <w:highlight w:val="none"/>
              </w:rPr>
            </w:pPr>
          </w:p>
        </w:tc>
      </w:tr>
      <w:tr w14:paraId="566AA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87" w:type="dxa"/>
            <w:vAlign w:val="center"/>
          </w:tcPr>
          <w:p w14:paraId="77A8C499">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5A907F50">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544D5E77">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14:paraId="10644F7F">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14:paraId="7275F95F">
            <w:pPr>
              <w:spacing w:line="360" w:lineRule="auto"/>
              <w:ind w:firstLine="525" w:firstLineChars="250"/>
              <w:jc w:val="center"/>
              <w:rPr>
                <w:rFonts w:asciiTheme="minorEastAsia" w:hAnsiTheme="minorEastAsia" w:eastAsiaTheme="minorEastAsia"/>
                <w:color w:val="auto"/>
                <w:szCs w:val="21"/>
                <w:highlight w:val="none"/>
              </w:rPr>
            </w:pPr>
          </w:p>
        </w:tc>
      </w:tr>
      <w:tr w14:paraId="23BF8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87" w:type="dxa"/>
            <w:vAlign w:val="center"/>
          </w:tcPr>
          <w:p w14:paraId="39E3954E">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2A9E694A">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7F9EC4B0">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14:paraId="5999A66A">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14:paraId="6776B2DF">
            <w:pPr>
              <w:spacing w:line="360" w:lineRule="auto"/>
              <w:ind w:firstLine="525" w:firstLineChars="250"/>
              <w:jc w:val="center"/>
              <w:rPr>
                <w:rFonts w:asciiTheme="minorEastAsia" w:hAnsiTheme="minorEastAsia" w:eastAsiaTheme="minorEastAsia"/>
                <w:color w:val="auto"/>
                <w:szCs w:val="21"/>
                <w:highlight w:val="none"/>
              </w:rPr>
            </w:pPr>
          </w:p>
        </w:tc>
      </w:tr>
      <w:tr w14:paraId="1383D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87" w:type="dxa"/>
            <w:vAlign w:val="center"/>
          </w:tcPr>
          <w:p w14:paraId="093239FA">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4D6038A7">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06954214">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14:paraId="08C9D62A">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14:paraId="1BA91296">
            <w:pPr>
              <w:spacing w:line="360" w:lineRule="auto"/>
              <w:ind w:firstLine="525" w:firstLineChars="250"/>
              <w:jc w:val="center"/>
              <w:rPr>
                <w:rFonts w:asciiTheme="minorEastAsia" w:hAnsiTheme="minorEastAsia" w:eastAsiaTheme="minorEastAsia"/>
                <w:color w:val="auto"/>
                <w:szCs w:val="21"/>
                <w:highlight w:val="none"/>
              </w:rPr>
            </w:pPr>
          </w:p>
        </w:tc>
      </w:tr>
      <w:tr w14:paraId="62906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87" w:type="dxa"/>
            <w:vAlign w:val="center"/>
          </w:tcPr>
          <w:p w14:paraId="68DC6D06">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0076E90D">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10D8FE41">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14:paraId="6C900893">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14:paraId="05263ACB">
            <w:pPr>
              <w:spacing w:line="360" w:lineRule="auto"/>
              <w:ind w:firstLine="525" w:firstLineChars="250"/>
              <w:jc w:val="center"/>
              <w:rPr>
                <w:rFonts w:asciiTheme="minorEastAsia" w:hAnsiTheme="minorEastAsia" w:eastAsiaTheme="minorEastAsia"/>
                <w:color w:val="auto"/>
                <w:szCs w:val="21"/>
                <w:highlight w:val="none"/>
              </w:rPr>
            </w:pPr>
          </w:p>
        </w:tc>
      </w:tr>
      <w:tr w14:paraId="1142B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87" w:type="dxa"/>
            <w:vAlign w:val="center"/>
          </w:tcPr>
          <w:p w14:paraId="193F82F2">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1788E323">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76D8BBD2">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14:paraId="3A0716A7">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14:paraId="3C3B83C4">
            <w:pPr>
              <w:spacing w:line="360" w:lineRule="auto"/>
              <w:ind w:firstLine="525" w:firstLineChars="250"/>
              <w:jc w:val="center"/>
              <w:rPr>
                <w:rFonts w:asciiTheme="minorEastAsia" w:hAnsiTheme="minorEastAsia" w:eastAsiaTheme="minorEastAsia"/>
                <w:color w:val="auto"/>
                <w:szCs w:val="21"/>
                <w:highlight w:val="none"/>
              </w:rPr>
            </w:pPr>
          </w:p>
        </w:tc>
      </w:tr>
      <w:tr w14:paraId="355CA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87" w:type="dxa"/>
            <w:vAlign w:val="center"/>
          </w:tcPr>
          <w:p w14:paraId="10CA2024">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7975BB3F">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04A6C19C">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14:paraId="7134FFB3">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14:paraId="4C3D6B4C">
            <w:pPr>
              <w:spacing w:line="360" w:lineRule="auto"/>
              <w:ind w:firstLine="525" w:firstLineChars="250"/>
              <w:jc w:val="center"/>
              <w:rPr>
                <w:rFonts w:asciiTheme="minorEastAsia" w:hAnsiTheme="minorEastAsia" w:eastAsiaTheme="minorEastAsia"/>
                <w:color w:val="auto"/>
                <w:szCs w:val="21"/>
                <w:highlight w:val="none"/>
              </w:rPr>
            </w:pPr>
          </w:p>
        </w:tc>
      </w:tr>
      <w:tr w14:paraId="560C3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87" w:type="dxa"/>
            <w:vAlign w:val="center"/>
          </w:tcPr>
          <w:p w14:paraId="132403B4">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35E347D1">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7EF71538">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14:paraId="5726DF12">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14:paraId="3F4E69ED">
            <w:pPr>
              <w:spacing w:line="360" w:lineRule="auto"/>
              <w:ind w:firstLine="525" w:firstLineChars="250"/>
              <w:jc w:val="center"/>
              <w:rPr>
                <w:rFonts w:asciiTheme="minorEastAsia" w:hAnsiTheme="minorEastAsia" w:eastAsiaTheme="minorEastAsia"/>
                <w:color w:val="auto"/>
                <w:szCs w:val="21"/>
                <w:highlight w:val="none"/>
              </w:rPr>
            </w:pPr>
          </w:p>
        </w:tc>
      </w:tr>
      <w:tr w14:paraId="48015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87" w:type="dxa"/>
            <w:vAlign w:val="center"/>
          </w:tcPr>
          <w:p w14:paraId="300AE213">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4D1EE03C">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457F7BD8">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14:paraId="35F4BED3">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14:paraId="3ED190EB">
            <w:pPr>
              <w:spacing w:line="360" w:lineRule="auto"/>
              <w:ind w:firstLine="525" w:firstLineChars="250"/>
              <w:jc w:val="center"/>
              <w:rPr>
                <w:rFonts w:asciiTheme="minorEastAsia" w:hAnsiTheme="minorEastAsia" w:eastAsiaTheme="minorEastAsia"/>
                <w:color w:val="auto"/>
                <w:szCs w:val="21"/>
                <w:highlight w:val="none"/>
              </w:rPr>
            </w:pPr>
          </w:p>
        </w:tc>
      </w:tr>
      <w:tr w14:paraId="2088D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87" w:type="dxa"/>
            <w:vAlign w:val="center"/>
          </w:tcPr>
          <w:p w14:paraId="15BC7BF0">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31A0CF88">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4F269822">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14:paraId="0EA0389F">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14:paraId="31B39F42">
            <w:pPr>
              <w:spacing w:line="360" w:lineRule="auto"/>
              <w:ind w:firstLine="525" w:firstLineChars="250"/>
              <w:jc w:val="center"/>
              <w:rPr>
                <w:rFonts w:asciiTheme="minorEastAsia" w:hAnsiTheme="minorEastAsia" w:eastAsiaTheme="minorEastAsia"/>
                <w:color w:val="auto"/>
                <w:szCs w:val="21"/>
                <w:highlight w:val="none"/>
              </w:rPr>
            </w:pPr>
          </w:p>
        </w:tc>
      </w:tr>
    </w:tbl>
    <w:p w14:paraId="09DEB21E">
      <w:pPr>
        <w:pStyle w:val="29"/>
        <w:tabs>
          <w:tab w:val="left" w:pos="1200"/>
        </w:tabs>
        <w:spacing w:before="120" w:after="120"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注：1、以上项目须提供合同复印件加盖单位公章.</w:t>
      </w:r>
    </w:p>
    <w:p w14:paraId="10A1C17D">
      <w:pPr>
        <w:pStyle w:val="29"/>
        <w:tabs>
          <w:tab w:val="left" w:pos="1200"/>
        </w:tabs>
        <w:spacing w:before="120" w:after="120"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2、本表可在不改变格式的情况下根据具体需要自行增减。</w:t>
      </w:r>
    </w:p>
    <w:p w14:paraId="4587970D">
      <w:pPr>
        <w:snapToGrid w:val="0"/>
        <w:spacing w:line="360" w:lineRule="auto"/>
        <w:rPr>
          <w:rFonts w:asciiTheme="minorEastAsia" w:hAnsiTheme="minorEastAsia" w:eastAsiaTheme="minorEastAsia"/>
          <w:color w:val="auto"/>
          <w:spacing w:val="20"/>
          <w:szCs w:val="21"/>
          <w:highlight w:val="none"/>
        </w:rPr>
      </w:pPr>
    </w:p>
    <w:p w14:paraId="25613BBF">
      <w:pPr>
        <w:snapToGrid w:val="0"/>
        <w:spacing w:line="360" w:lineRule="auto"/>
        <w:rPr>
          <w:rFonts w:asciiTheme="minorEastAsia" w:hAnsiTheme="minorEastAsia" w:eastAsiaTheme="minorEastAsia"/>
          <w:color w:val="auto"/>
          <w:spacing w:val="20"/>
          <w:szCs w:val="21"/>
          <w:highlight w:val="none"/>
        </w:rPr>
      </w:pPr>
    </w:p>
    <w:p w14:paraId="4F8E87A7">
      <w:pPr>
        <w:snapToGrid w:val="0"/>
        <w:spacing w:line="360" w:lineRule="auto"/>
        <w:rPr>
          <w:rFonts w:asciiTheme="minorEastAsia" w:hAnsiTheme="minorEastAsia" w:eastAsiaTheme="minorEastAsia"/>
          <w:color w:val="auto"/>
          <w:spacing w:val="20"/>
          <w:szCs w:val="21"/>
          <w:highlight w:val="none"/>
        </w:rPr>
      </w:pPr>
    </w:p>
    <w:p w14:paraId="497E815B">
      <w:pPr>
        <w:snapToGrid w:val="0"/>
        <w:spacing w:line="360" w:lineRule="auto"/>
        <w:rPr>
          <w:rFonts w:asciiTheme="minorEastAsia" w:hAnsiTheme="minorEastAsia" w:eastAsiaTheme="minorEastAsia"/>
          <w:color w:val="auto"/>
          <w:spacing w:val="20"/>
          <w:szCs w:val="21"/>
          <w:highlight w:val="none"/>
        </w:rPr>
      </w:pPr>
    </w:p>
    <w:p w14:paraId="7E7E8C0D">
      <w:pPr>
        <w:snapToGrid w:val="0"/>
        <w:spacing w:line="360" w:lineRule="auto"/>
        <w:rPr>
          <w:rFonts w:asciiTheme="minorEastAsia" w:hAnsiTheme="minorEastAsia" w:eastAsiaTheme="minorEastAsia"/>
          <w:color w:val="auto"/>
          <w:szCs w:val="21"/>
          <w:highlight w:val="none"/>
        </w:rPr>
      </w:pPr>
      <w:bookmarkStart w:id="109" w:name="OLE_LINK7"/>
    </w:p>
    <w:p w14:paraId="3585AB01">
      <w:pPr>
        <w:snapToGrid w:val="0"/>
        <w:spacing w:line="360" w:lineRule="auto"/>
        <w:ind w:firstLine="211" w:firstLineChars="100"/>
        <w:rPr>
          <w:rFonts w:asciiTheme="minorEastAsia" w:hAnsiTheme="minorEastAsia" w:eastAsiaTheme="minorEastAsia"/>
          <w:b/>
          <w:bCs/>
          <w:color w:val="auto"/>
          <w:szCs w:val="21"/>
          <w:highlight w:val="none"/>
        </w:rPr>
      </w:pPr>
    </w:p>
    <w:p w14:paraId="07328F80">
      <w:pPr>
        <w:snapToGrid w:val="0"/>
        <w:spacing w:line="360" w:lineRule="auto"/>
        <w:ind w:firstLine="211" w:firstLineChars="100"/>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7.</w:t>
      </w:r>
      <w:bookmarkEnd w:id="109"/>
    </w:p>
    <w:p w14:paraId="26149BD9">
      <w:pPr>
        <w:snapToGrid w:val="0"/>
        <w:spacing w:line="360" w:lineRule="auto"/>
        <w:ind w:firstLine="211" w:firstLineChars="100"/>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项目组人员配置表（附件6）</w:t>
      </w:r>
    </w:p>
    <w:tbl>
      <w:tblPr>
        <w:tblStyle w:val="54"/>
        <w:tblW w:w="87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1"/>
        <w:gridCol w:w="1745"/>
        <w:gridCol w:w="1758"/>
        <w:gridCol w:w="2236"/>
        <w:gridCol w:w="2236"/>
      </w:tblGrid>
      <w:tr w14:paraId="3AF5DB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66B745E8">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序号</w:t>
            </w:r>
          </w:p>
        </w:tc>
        <w:tc>
          <w:tcPr>
            <w:tcW w:w="1745" w:type="dxa"/>
            <w:tcBorders>
              <w:top w:val="single" w:color="auto" w:sz="4" w:space="0"/>
              <w:left w:val="single" w:color="auto" w:sz="4" w:space="0"/>
              <w:bottom w:val="single" w:color="auto" w:sz="4" w:space="0"/>
              <w:right w:val="single" w:color="auto" w:sz="4" w:space="0"/>
            </w:tcBorders>
            <w:vAlign w:val="center"/>
          </w:tcPr>
          <w:p w14:paraId="64433BC4">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姓名</w:t>
            </w:r>
          </w:p>
        </w:tc>
        <w:tc>
          <w:tcPr>
            <w:tcW w:w="1758" w:type="dxa"/>
            <w:tcBorders>
              <w:top w:val="single" w:color="auto" w:sz="4" w:space="0"/>
              <w:left w:val="single" w:color="auto" w:sz="4" w:space="0"/>
              <w:bottom w:val="single" w:color="auto" w:sz="4" w:space="0"/>
              <w:right w:val="single" w:color="auto" w:sz="4" w:space="0"/>
            </w:tcBorders>
            <w:vAlign w:val="center"/>
          </w:tcPr>
          <w:p w14:paraId="3D5A552B">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学历</w:t>
            </w:r>
          </w:p>
        </w:tc>
        <w:tc>
          <w:tcPr>
            <w:tcW w:w="2236" w:type="dxa"/>
            <w:tcBorders>
              <w:top w:val="single" w:color="auto" w:sz="4" w:space="0"/>
              <w:left w:val="single" w:color="auto" w:sz="4" w:space="0"/>
              <w:bottom w:val="single" w:color="auto" w:sz="4" w:space="0"/>
              <w:right w:val="single" w:color="auto" w:sz="4" w:space="0"/>
            </w:tcBorders>
          </w:tcPr>
          <w:p w14:paraId="5A01D101">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职称</w:t>
            </w:r>
          </w:p>
        </w:tc>
        <w:tc>
          <w:tcPr>
            <w:tcW w:w="2236" w:type="dxa"/>
            <w:tcBorders>
              <w:top w:val="single" w:color="auto" w:sz="4" w:space="0"/>
              <w:left w:val="single" w:color="auto" w:sz="4" w:space="0"/>
              <w:bottom w:val="single" w:color="auto" w:sz="4" w:space="0"/>
              <w:right w:val="single" w:color="auto" w:sz="4" w:space="0"/>
            </w:tcBorders>
          </w:tcPr>
          <w:p w14:paraId="09EB86E6">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工作经验</w:t>
            </w:r>
          </w:p>
        </w:tc>
      </w:tr>
      <w:tr w14:paraId="1B9535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376A317D">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1</w:t>
            </w:r>
          </w:p>
        </w:tc>
        <w:tc>
          <w:tcPr>
            <w:tcW w:w="1745" w:type="dxa"/>
            <w:tcBorders>
              <w:top w:val="single" w:color="auto" w:sz="4" w:space="0"/>
              <w:left w:val="single" w:color="auto" w:sz="4" w:space="0"/>
              <w:bottom w:val="single" w:color="auto" w:sz="4" w:space="0"/>
              <w:right w:val="single" w:color="auto" w:sz="4" w:space="0"/>
            </w:tcBorders>
            <w:vAlign w:val="center"/>
          </w:tcPr>
          <w:p w14:paraId="5F01FAE3">
            <w:pPr>
              <w:adjustRightInd w:val="0"/>
              <w:spacing w:line="360" w:lineRule="auto"/>
              <w:jc w:val="center"/>
              <w:rPr>
                <w:rFonts w:asciiTheme="minorEastAsia" w:hAnsiTheme="minorEastAsia" w:eastAsiaTheme="minorEastAsia"/>
                <w:color w:val="auto"/>
                <w:szCs w:val="21"/>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14:paraId="74EF6ADF">
            <w:pPr>
              <w:adjustRightInd w:val="0"/>
              <w:spacing w:line="360" w:lineRule="auto"/>
              <w:jc w:val="center"/>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14:paraId="5D7F7D91">
            <w:pPr>
              <w:adjustRightInd w:val="0"/>
              <w:spacing w:line="360" w:lineRule="auto"/>
              <w:jc w:val="center"/>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14:paraId="5D4CEAA7">
            <w:pPr>
              <w:adjustRightInd w:val="0"/>
              <w:spacing w:line="360" w:lineRule="auto"/>
              <w:jc w:val="center"/>
              <w:rPr>
                <w:rFonts w:cs="Arial" w:asciiTheme="minorEastAsia" w:hAnsiTheme="minorEastAsia" w:eastAsiaTheme="minorEastAsia"/>
                <w:color w:val="auto"/>
                <w:szCs w:val="21"/>
                <w:highlight w:val="none"/>
              </w:rPr>
            </w:pPr>
          </w:p>
        </w:tc>
      </w:tr>
      <w:tr w14:paraId="78AE93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43B3F9AA">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2</w:t>
            </w:r>
          </w:p>
        </w:tc>
        <w:tc>
          <w:tcPr>
            <w:tcW w:w="1745" w:type="dxa"/>
            <w:tcBorders>
              <w:top w:val="single" w:color="auto" w:sz="4" w:space="0"/>
              <w:left w:val="single" w:color="auto" w:sz="4" w:space="0"/>
              <w:bottom w:val="single" w:color="auto" w:sz="4" w:space="0"/>
              <w:right w:val="single" w:color="auto" w:sz="4" w:space="0"/>
            </w:tcBorders>
            <w:vAlign w:val="center"/>
          </w:tcPr>
          <w:p w14:paraId="0F328917">
            <w:pPr>
              <w:adjustRightInd w:val="0"/>
              <w:spacing w:line="360" w:lineRule="auto"/>
              <w:jc w:val="center"/>
              <w:rPr>
                <w:rFonts w:asciiTheme="minorEastAsia" w:hAnsiTheme="minorEastAsia" w:eastAsiaTheme="minorEastAsia"/>
                <w:color w:val="auto"/>
                <w:szCs w:val="21"/>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14:paraId="34719E67">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14:paraId="2C13EDF8">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14:paraId="3EACB497">
            <w:pPr>
              <w:adjustRightInd w:val="0"/>
              <w:spacing w:line="360" w:lineRule="auto"/>
              <w:jc w:val="right"/>
              <w:rPr>
                <w:rFonts w:cs="Arial" w:asciiTheme="minorEastAsia" w:hAnsiTheme="minorEastAsia" w:eastAsiaTheme="minorEastAsia"/>
                <w:color w:val="auto"/>
                <w:szCs w:val="21"/>
                <w:highlight w:val="none"/>
              </w:rPr>
            </w:pPr>
          </w:p>
        </w:tc>
      </w:tr>
      <w:tr w14:paraId="4F1203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4666B5E6">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3</w:t>
            </w:r>
          </w:p>
        </w:tc>
        <w:tc>
          <w:tcPr>
            <w:tcW w:w="1745" w:type="dxa"/>
            <w:tcBorders>
              <w:top w:val="single" w:color="auto" w:sz="4" w:space="0"/>
              <w:left w:val="single" w:color="auto" w:sz="4" w:space="0"/>
              <w:bottom w:val="single" w:color="auto" w:sz="4" w:space="0"/>
              <w:right w:val="single" w:color="auto" w:sz="4" w:space="0"/>
            </w:tcBorders>
            <w:vAlign w:val="center"/>
          </w:tcPr>
          <w:p w14:paraId="0FE7D1F0">
            <w:pPr>
              <w:adjustRightInd w:val="0"/>
              <w:spacing w:line="360" w:lineRule="auto"/>
              <w:jc w:val="center"/>
              <w:rPr>
                <w:rFonts w:asciiTheme="minorEastAsia" w:hAnsiTheme="minorEastAsia" w:eastAsiaTheme="minorEastAsia"/>
                <w:b/>
                <w:bCs/>
                <w:color w:val="auto"/>
                <w:szCs w:val="21"/>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14:paraId="164444A1">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14:paraId="0FAB4A35">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14:paraId="7AA0B467">
            <w:pPr>
              <w:adjustRightInd w:val="0"/>
              <w:spacing w:line="360" w:lineRule="auto"/>
              <w:jc w:val="right"/>
              <w:rPr>
                <w:rFonts w:cs="Arial" w:asciiTheme="minorEastAsia" w:hAnsiTheme="minorEastAsia" w:eastAsiaTheme="minorEastAsia"/>
                <w:color w:val="auto"/>
                <w:szCs w:val="21"/>
                <w:highlight w:val="none"/>
              </w:rPr>
            </w:pPr>
          </w:p>
        </w:tc>
      </w:tr>
      <w:tr w14:paraId="1E855B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45ED161B">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4</w:t>
            </w:r>
          </w:p>
        </w:tc>
        <w:tc>
          <w:tcPr>
            <w:tcW w:w="1745" w:type="dxa"/>
            <w:tcBorders>
              <w:top w:val="single" w:color="auto" w:sz="4" w:space="0"/>
              <w:left w:val="single" w:color="auto" w:sz="4" w:space="0"/>
              <w:bottom w:val="single" w:color="auto" w:sz="4" w:space="0"/>
              <w:right w:val="single" w:color="auto" w:sz="4" w:space="0"/>
            </w:tcBorders>
            <w:vAlign w:val="center"/>
          </w:tcPr>
          <w:p w14:paraId="34CEDFD1">
            <w:pPr>
              <w:adjustRightInd w:val="0"/>
              <w:spacing w:line="360" w:lineRule="auto"/>
              <w:jc w:val="center"/>
              <w:rPr>
                <w:rFonts w:asciiTheme="minorEastAsia" w:hAnsiTheme="minorEastAsia" w:eastAsiaTheme="minorEastAsia"/>
                <w:color w:val="auto"/>
                <w:szCs w:val="21"/>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14:paraId="519CADEB">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14:paraId="39930CF5">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14:paraId="71FA5136">
            <w:pPr>
              <w:adjustRightInd w:val="0"/>
              <w:spacing w:line="360" w:lineRule="auto"/>
              <w:jc w:val="right"/>
              <w:rPr>
                <w:rFonts w:cs="Arial" w:asciiTheme="minorEastAsia" w:hAnsiTheme="minorEastAsia" w:eastAsiaTheme="minorEastAsia"/>
                <w:color w:val="auto"/>
                <w:szCs w:val="21"/>
                <w:highlight w:val="none"/>
              </w:rPr>
            </w:pPr>
          </w:p>
        </w:tc>
      </w:tr>
      <w:tr w14:paraId="1B5027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606625DD">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5</w:t>
            </w:r>
          </w:p>
        </w:tc>
        <w:tc>
          <w:tcPr>
            <w:tcW w:w="1745" w:type="dxa"/>
            <w:tcBorders>
              <w:top w:val="single" w:color="auto" w:sz="4" w:space="0"/>
              <w:left w:val="single" w:color="auto" w:sz="4" w:space="0"/>
              <w:bottom w:val="single" w:color="auto" w:sz="4" w:space="0"/>
              <w:right w:val="single" w:color="auto" w:sz="4" w:space="0"/>
            </w:tcBorders>
            <w:vAlign w:val="center"/>
          </w:tcPr>
          <w:p w14:paraId="30028D6F">
            <w:pPr>
              <w:adjustRightInd w:val="0"/>
              <w:spacing w:line="360" w:lineRule="auto"/>
              <w:jc w:val="center"/>
              <w:rPr>
                <w:rFonts w:asciiTheme="minorEastAsia" w:hAnsiTheme="minorEastAsia" w:eastAsiaTheme="minorEastAsia"/>
                <w:color w:val="auto"/>
                <w:szCs w:val="21"/>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14:paraId="732E6358">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14:paraId="5279E5D9">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14:paraId="3BC506F4">
            <w:pPr>
              <w:adjustRightInd w:val="0"/>
              <w:spacing w:line="360" w:lineRule="auto"/>
              <w:jc w:val="right"/>
              <w:rPr>
                <w:rFonts w:cs="Arial" w:asciiTheme="minorEastAsia" w:hAnsiTheme="minorEastAsia" w:eastAsiaTheme="minorEastAsia"/>
                <w:color w:val="auto"/>
                <w:szCs w:val="21"/>
                <w:highlight w:val="none"/>
              </w:rPr>
            </w:pPr>
          </w:p>
        </w:tc>
      </w:tr>
      <w:tr w14:paraId="329D05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3A7B3F24">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6</w:t>
            </w:r>
          </w:p>
        </w:tc>
        <w:tc>
          <w:tcPr>
            <w:tcW w:w="1745" w:type="dxa"/>
            <w:tcBorders>
              <w:top w:val="single" w:color="auto" w:sz="4" w:space="0"/>
              <w:left w:val="single" w:color="auto" w:sz="4" w:space="0"/>
              <w:bottom w:val="single" w:color="auto" w:sz="4" w:space="0"/>
              <w:right w:val="single" w:color="auto" w:sz="4" w:space="0"/>
            </w:tcBorders>
            <w:vAlign w:val="center"/>
          </w:tcPr>
          <w:p w14:paraId="6DCCC0DC">
            <w:pPr>
              <w:adjustRightInd w:val="0"/>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1758" w:type="dxa"/>
            <w:tcBorders>
              <w:top w:val="single" w:color="auto" w:sz="4" w:space="0"/>
              <w:left w:val="single" w:color="auto" w:sz="4" w:space="0"/>
              <w:bottom w:val="single" w:color="auto" w:sz="4" w:space="0"/>
              <w:right w:val="single" w:color="auto" w:sz="4" w:space="0"/>
            </w:tcBorders>
            <w:vAlign w:val="center"/>
          </w:tcPr>
          <w:p w14:paraId="2B0C29DF">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14:paraId="40D025A6">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14:paraId="5085D693">
            <w:pPr>
              <w:adjustRightInd w:val="0"/>
              <w:spacing w:line="360" w:lineRule="auto"/>
              <w:jc w:val="right"/>
              <w:rPr>
                <w:rFonts w:cs="Arial" w:asciiTheme="minorEastAsia" w:hAnsiTheme="minorEastAsia" w:eastAsiaTheme="minorEastAsia"/>
                <w:color w:val="auto"/>
                <w:szCs w:val="21"/>
                <w:highlight w:val="none"/>
              </w:rPr>
            </w:pPr>
          </w:p>
        </w:tc>
      </w:tr>
      <w:tr w14:paraId="660E83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25D01662">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7</w:t>
            </w:r>
          </w:p>
        </w:tc>
        <w:tc>
          <w:tcPr>
            <w:tcW w:w="1745" w:type="dxa"/>
            <w:tcBorders>
              <w:top w:val="single" w:color="auto" w:sz="4" w:space="0"/>
              <w:left w:val="single" w:color="auto" w:sz="4" w:space="0"/>
              <w:bottom w:val="single" w:color="auto" w:sz="4" w:space="0"/>
              <w:right w:val="single" w:color="auto" w:sz="4" w:space="0"/>
            </w:tcBorders>
            <w:vAlign w:val="center"/>
          </w:tcPr>
          <w:p w14:paraId="2812F299">
            <w:pPr>
              <w:adjustRightInd w:val="0"/>
              <w:spacing w:line="360" w:lineRule="auto"/>
              <w:jc w:val="center"/>
              <w:rPr>
                <w:rFonts w:asciiTheme="minorEastAsia" w:hAnsiTheme="minorEastAsia" w:eastAsiaTheme="minorEastAsia"/>
                <w:color w:val="auto"/>
                <w:szCs w:val="21"/>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14:paraId="16A43AB5">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14:paraId="14ED36E0">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14:paraId="630F9AA3">
            <w:pPr>
              <w:adjustRightInd w:val="0"/>
              <w:spacing w:line="360" w:lineRule="auto"/>
              <w:jc w:val="right"/>
              <w:rPr>
                <w:rFonts w:cs="Arial" w:asciiTheme="minorEastAsia" w:hAnsiTheme="minorEastAsia" w:eastAsiaTheme="minorEastAsia"/>
                <w:color w:val="auto"/>
                <w:szCs w:val="21"/>
                <w:highlight w:val="none"/>
              </w:rPr>
            </w:pPr>
          </w:p>
        </w:tc>
      </w:tr>
      <w:tr w14:paraId="409EA7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4C0C438C">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8</w:t>
            </w:r>
          </w:p>
        </w:tc>
        <w:tc>
          <w:tcPr>
            <w:tcW w:w="1745" w:type="dxa"/>
            <w:tcBorders>
              <w:top w:val="single" w:color="auto" w:sz="4" w:space="0"/>
              <w:left w:val="single" w:color="auto" w:sz="4" w:space="0"/>
              <w:bottom w:val="single" w:color="auto" w:sz="4" w:space="0"/>
              <w:right w:val="single" w:color="auto" w:sz="4" w:space="0"/>
            </w:tcBorders>
            <w:vAlign w:val="center"/>
          </w:tcPr>
          <w:p w14:paraId="0921698E">
            <w:pPr>
              <w:adjustRightInd w:val="0"/>
              <w:spacing w:line="360" w:lineRule="auto"/>
              <w:jc w:val="center"/>
              <w:rPr>
                <w:rFonts w:asciiTheme="minorEastAsia" w:hAnsiTheme="minorEastAsia" w:eastAsiaTheme="minorEastAsia"/>
                <w:color w:val="auto"/>
                <w:spacing w:val="-20"/>
                <w:szCs w:val="21"/>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14:paraId="0842DE84">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14:paraId="63131B53">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14:paraId="55E28DFF">
            <w:pPr>
              <w:adjustRightInd w:val="0"/>
              <w:spacing w:line="360" w:lineRule="auto"/>
              <w:jc w:val="right"/>
              <w:rPr>
                <w:rFonts w:cs="Arial" w:asciiTheme="minorEastAsia" w:hAnsiTheme="minorEastAsia" w:eastAsiaTheme="minorEastAsia"/>
                <w:color w:val="auto"/>
                <w:szCs w:val="21"/>
                <w:highlight w:val="none"/>
              </w:rPr>
            </w:pPr>
          </w:p>
        </w:tc>
      </w:tr>
      <w:tr w14:paraId="3B7F39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7A990D5A">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9</w:t>
            </w:r>
          </w:p>
        </w:tc>
        <w:tc>
          <w:tcPr>
            <w:tcW w:w="1745" w:type="dxa"/>
            <w:tcBorders>
              <w:top w:val="single" w:color="auto" w:sz="4" w:space="0"/>
              <w:left w:val="single" w:color="auto" w:sz="4" w:space="0"/>
              <w:bottom w:val="single" w:color="auto" w:sz="4" w:space="0"/>
              <w:right w:val="single" w:color="auto" w:sz="4" w:space="0"/>
            </w:tcBorders>
            <w:vAlign w:val="center"/>
          </w:tcPr>
          <w:p w14:paraId="18C68FB5">
            <w:pPr>
              <w:adjustRightInd w:val="0"/>
              <w:spacing w:line="360" w:lineRule="auto"/>
              <w:jc w:val="center"/>
              <w:rPr>
                <w:rFonts w:asciiTheme="minorEastAsia" w:hAnsiTheme="minorEastAsia" w:eastAsiaTheme="minorEastAsia"/>
                <w:color w:val="auto"/>
                <w:spacing w:val="-20"/>
                <w:szCs w:val="21"/>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14:paraId="768683FC">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14:paraId="178EBFF0">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14:paraId="0FD0B095">
            <w:pPr>
              <w:adjustRightInd w:val="0"/>
              <w:spacing w:line="360" w:lineRule="auto"/>
              <w:jc w:val="right"/>
              <w:rPr>
                <w:rFonts w:cs="Arial" w:asciiTheme="minorEastAsia" w:hAnsiTheme="minorEastAsia" w:eastAsiaTheme="minorEastAsia"/>
                <w:color w:val="auto"/>
                <w:szCs w:val="21"/>
                <w:highlight w:val="none"/>
              </w:rPr>
            </w:pPr>
          </w:p>
        </w:tc>
      </w:tr>
      <w:tr w14:paraId="6DB0C6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4AAADFEB">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10</w:t>
            </w:r>
          </w:p>
        </w:tc>
        <w:tc>
          <w:tcPr>
            <w:tcW w:w="1745" w:type="dxa"/>
            <w:tcBorders>
              <w:top w:val="single" w:color="auto" w:sz="4" w:space="0"/>
              <w:left w:val="single" w:color="auto" w:sz="4" w:space="0"/>
              <w:bottom w:val="single" w:color="auto" w:sz="4" w:space="0"/>
              <w:right w:val="single" w:color="auto" w:sz="4" w:space="0"/>
            </w:tcBorders>
            <w:vAlign w:val="center"/>
          </w:tcPr>
          <w:p w14:paraId="315D7AB1">
            <w:pPr>
              <w:adjustRightInd w:val="0"/>
              <w:spacing w:line="360" w:lineRule="auto"/>
              <w:jc w:val="center"/>
              <w:rPr>
                <w:rFonts w:asciiTheme="minorEastAsia" w:hAnsiTheme="minorEastAsia" w:eastAsiaTheme="minorEastAsia"/>
                <w:color w:val="auto"/>
                <w:szCs w:val="21"/>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14:paraId="107A5001">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14:paraId="2D3978AC">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14:paraId="631D4C43">
            <w:pPr>
              <w:adjustRightInd w:val="0"/>
              <w:spacing w:line="360" w:lineRule="auto"/>
              <w:jc w:val="right"/>
              <w:rPr>
                <w:rFonts w:cs="Arial" w:asciiTheme="minorEastAsia" w:hAnsiTheme="minorEastAsia" w:eastAsiaTheme="minorEastAsia"/>
                <w:color w:val="auto"/>
                <w:szCs w:val="21"/>
                <w:highlight w:val="none"/>
              </w:rPr>
            </w:pPr>
          </w:p>
        </w:tc>
      </w:tr>
      <w:tr w14:paraId="0A882E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6C92B4D8">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11</w:t>
            </w:r>
          </w:p>
        </w:tc>
        <w:tc>
          <w:tcPr>
            <w:tcW w:w="1745" w:type="dxa"/>
            <w:tcBorders>
              <w:top w:val="single" w:color="auto" w:sz="4" w:space="0"/>
              <w:left w:val="single" w:color="auto" w:sz="4" w:space="0"/>
              <w:bottom w:val="single" w:color="auto" w:sz="4" w:space="0"/>
              <w:right w:val="single" w:color="auto" w:sz="4" w:space="0"/>
            </w:tcBorders>
            <w:vAlign w:val="center"/>
          </w:tcPr>
          <w:p w14:paraId="62C21012">
            <w:pPr>
              <w:adjustRightInd w:val="0"/>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1758" w:type="dxa"/>
            <w:tcBorders>
              <w:top w:val="single" w:color="auto" w:sz="4" w:space="0"/>
              <w:left w:val="single" w:color="auto" w:sz="4" w:space="0"/>
              <w:bottom w:val="single" w:color="auto" w:sz="4" w:space="0"/>
              <w:right w:val="single" w:color="auto" w:sz="4" w:space="0"/>
            </w:tcBorders>
            <w:vAlign w:val="center"/>
          </w:tcPr>
          <w:p w14:paraId="3A3BA391">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14:paraId="56576619">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14:paraId="64467C84">
            <w:pPr>
              <w:adjustRightInd w:val="0"/>
              <w:spacing w:line="360" w:lineRule="auto"/>
              <w:jc w:val="right"/>
              <w:rPr>
                <w:rFonts w:cs="Arial" w:asciiTheme="minorEastAsia" w:hAnsiTheme="minorEastAsia" w:eastAsiaTheme="minorEastAsia"/>
                <w:color w:val="auto"/>
                <w:szCs w:val="21"/>
                <w:highlight w:val="none"/>
              </w:rPr>
            </w:pPr>
          </w:p>
        </w:tc>
      </w:tr>
      <w:tr w14:paraId="3B5AB0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2556" w:type="dxa"/>
            <w:gridSpan w:val="2"/>
            <w:tcBorders>
              <w:top w:val="single" w:color="auto" w:sz="4" w:space="0"/>
              <w:left w:val="single" w:color="auto" w:sz="4" w:space="0"/>
              <w:bottom w:val="single" w:color="auto" w:sz="4" w:space="0"/>
              <w:right w:val="single" w:color="auto" w:sz="4" w:space="0"/>
            </w:tcBorders>
            <w:vAlign w:val="center"/>
          </w:tcPr>
          <w:p w14:paraId="190789BF">
            <w:pPr>
              <w:adjustRightInd w:val="0"/>
              <w:spacing w:line="360" w:lineRule="auto"/>
              <w:jc w:val="center"/>
              <w:rPr>
                <w:rFonts w:cs="Arial" w:asciiTheme="minorEastAsia" w:hAnsiTheme="minorEastAsia" w:eastAsiaTheme="minorEastAsia"/>
                <w:b/>
                <w:color w:val="auto"/>
                <w:szCs w:val="21"/>
                <w:highlight w:val="none"/>
              </w:rPr>
            </w:pPr>
            <w:r>
              <w:rPr>
                <w:rFonts w:hint="eastAsia" w:cs="Arial" w:asciiTheme="minorEastAsia" w:hAnsiTheme="minorEastAsia" w:eastAsiaTheme="minorEastAsia"/>
                <w:b/>
                <w:color w:val="auto"/>
                <w:szCs w:val="21"/>
                <w:highlight w:val="none"/>
              </w:rPr>
              <w:t>合计总人数</w:t>
            </w:r>
          </w:p>
        </w:tc>
        <w:tc>
          <w:tcPr>
            <w:tcW w:w="6230" w:type="dxa"/>
            <w:gridSpan w:val="3"/>
            <w:tcBorders>
              <w:top w:val="single" w:color="auto" w:sz="4" w:space="0"/>
              <w:left w:val="single" w:color="auto" w:sz="4" w:space="0"/>
              <w:bottom w:val="single" w:color="auto" w:sz="4" w:space="0"/>
              <w:right w:val="single" w:color="auto" w:sz="4" w:space="0"/>
            </w:tcBorders>
            <w:vAlign w:val="center"/>
          </w:tcPr>
          <w:p w14:paraId="45546846">
            <w:pPr>
              <w:adjustRightInd w:val="0"/>
              <w:spacing w:line="360" w:lineRule="auto"/>
              <w:jc w:val="center"/>
              <w:rPr>
                <w:rFonts w:cs="Arial" w:asciiTheme="minorEastAsia" w:hAnsiTheme="minorEastAsia" w:eastAsiaTheme="minorEastAsia"/>
                <w:color w:val="auto"/>
                <w:szCs w:val="21"/>
                <w:highlight w:val="none"/>
              </w:rPr>
            </w:pPr>
          </w:p>
        </w:tc>
      </w:tr>
    </w:tbl>
    <w:p w14:paraId="652F306C">
      <w:pPr>
        <w:snapToGrid w:val="0"/>
        <w:spacing w:line="360" w:lineRule="auto"/>
        <w:ind w:firstLine="211" w:firstLineChars="100"/>
        <w:rPr>
          <w:rFonts w:asciiTheme="minorEastAsia" w:hAnsiTheme="minorEastAsia" w:eastAsiaTheme="minorEastAsia"/>
          <w:b/>
          <w:bCs/>
          <w:color w:val="auto"/>
          <w:szCs w:val="21"/>
          <w:highlight w:val="none"/>
        </w:rPr>
      </w:pPr>
    </w:p>
    <w:p w14:paraId="7453DCC8">
      <w:pPr>
        <w:snapToGrid w:val="0"/>
        <w:spacing w:line="360" w:lineRule="auto"/>
        <w:ind w:firstLine="211" w:firstLineChars="100"/>
        <w:rPr>
          <w:rFonts w:asciiTheme="minorEastAsia" w:hAnsiTheme="minorEastAsia" w:eastAsiaTheme="minorEastAsia"/>
          <w:b/>
          <w:bCs/>
          <w:color w:val="auto"/>
          <w:szCs w:val="21"/>
          <w:highlight w:val="none"/>
        </w:rPr>
      </w:pPr>
    </w:p>
    <w:p w14:paraId="7C05A33A">
      <w:pPr>
        <w:adjustRightInd w:val="0"/>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注：1、上表中行数不够可自加。</w:t>
      </w:r>
    </w:p>
    <w:p w14:paraId="16842255">
      <w:pPr>
        <w:snapToGrid w:val="0"/>
        <w:spacing w:line="360" w:lineRule="auto"/>
        <w:ind w:firstLine="200"/>
        <w:jc w:val="right"/>
        <w:rPr>
          <w:rFonts w:asciiTheme="minorEastAsia" w:hAnsiTheme="minorEastAsia" w:eastAsiaTheme="minorEastAsia"/>
          <w:color w:val="auto"/>
          <w:szCs w:val="21"/>
          <w:highlight w:val="none"/>
        </w:rPr>
      </w:pPr>
    </w:p>
    <w:p w14:paraId="1B836B30">
      <w:pPr>
        <w:spacing w:before="120" w:beforeLines="50" w:line="360" w:lineRule="auto"/>
        <w:ind w:firstLine="2750" w:firstLineChars="1100"/>
        <w:jc w:val="right"/>
        <w:rPr>
          <w:rFonts w:asciiTheme="minorEastAsia" w:hAnsiTheme="minorEastAsia" w:eastAsiaTheme="minorEastAsia"/>
          <w:color w:val="auto"/>
          <w:szCs w:val="21"/>
          <w:highlight w:val="none"/>
        </w:rPr>
      </w:pPr>
      <w:bookmarkStart w:id="110" w:name="OLE_LINK8"/>
      <w:r>
        <w:rPr>
          <w:rFonts w:asciiTheme="minorEastAsia" w:hAnsiTheme="minorEastAsia" w:eastAsiaTheme="minorEastAsia"/>
          <w:color w:val="auto"/>
          <w:spacing w:val="20"/>
          <w:szCs w:val="21"/>
          <w:highlight w:val="none"/>
        </w:rPr>
        <w:t>法定代表人或委托代理人</w:t>
      </w:r>
      <w:r>
        <w:rPr>
          <w:rFonts w:hint="eastAsia" w:asciiTheme="minorEastAsia" w:hAnsiTheme="minorEastAsia" w:eastAsiaTheme="minorEastAsia"/>
          <w:color w:val="auto"/>
          <w:spacing w:val="20"/>
          <w:szCs w:val="21"/>
          <w:highlight w:val="none"/>
        </w:rPr>
        <w:t>签名：</w:t>
      </w:r>
    </w:p>
    <w:p w14:paraId="5AF89968">
      <w:pPr>
        <w:spacing w:line="360" w:lineRule="auto"/>
        <w:ind w:firstLine="500" w:firstLineChars="200"/>
        <w:jc w:val="right"/>
        <w:rPr>
          <w:rFonts w:asciiTheme="minorEastAsia" w:hAnsiTheme="minorEastAsia" w:eastAsiaTheme="minorEastAsia"/>
          <w:color w:val="auto"/>
          <w:spacing w:val="20"/>
          <w:szCs w:val="21"/>
          <w:highlight w:val="none"/>
          <w:u w:val="single"/>
        </w:rPr>
      </w:pPr>
      <w:r>
        <w:rPr>
          <w:rFonts w:hint="eastAsia" w:asciiTheme="minorEastAsia" w:hAnsiTheme="minorEastAsia" w:eastAsiaTheme="minorEastAsia"/>
          <w:color w:val="auto"/>
          <w:spacing w:val="20"/>
          <w:szCs w:val="21"/>
          <w:highlight w:val="none"/>
        </w:rPr>
        <w:t xml:space="preserve">                            投标人盖章：</w:t>
      </w:r>
    </w:p>
    <w:p w14:paraId="42F0FB72">
      <w:pPr>
        <w:tabs>
          <w:tab w:val="left" w:pos="1418"/>
        </w:tabs>
        <w:spacing w:line="360" w:lineRule="auto"/>
        <w:jc w:val="right"/>
        <w:rPr>
          <w:rFonts w:asciiTheme="minorEastAsia" w:hAnsiTheme="minorEastAsia" w:eastAsiaTheme="minorEastAsia"/>
          <w:b/>
          <w:color w:val="auto"/>
          <w:szCs w:val="21"/>
          <w:highlight w:val="none"/>
        </w:rPr>
      </w:pPr>
      <w:r>
        <w:rPr>
          <w:rFonts w:hint="eastAsia" w:asciiTheme="minorEastAsia" w:hAnsiTheme="minorEastAsia" w:eastAsiaTheme="minorEastAsia"/>
          <w:color w:val="auto"/>
          <w:spacing w:val="20"/>
          <w:szCs w:val="21"/>
          <w:highlight w:val="none"/>
        </w:rPr>
        <w:t xml:space="preserve">                                日     期：</w:t>
      </w:r>
    </w:p>
    <w:p w14:paraId="7A0E0BC1">
      <w:pPr>
        <w:pStyle w:val="29"/>
        <w:spacing w:before="120" w:after="120" w:line="360" w:lineRule="auto"/>
        <w:jc w:val="center"/>
        <w:rPr>
          <w:rFonts w:asciiTheme="minorEastAsia" w:hAnsiTheme="minorEastAsia" w:eastAsiaTheme="minorEastAsia"/>
          <w:b/>
          <w:color w:val="auto"/>
          <w:szCs w:val="21"/>
          <w:highlight w:val="none"/>
        </w:rPr>
      </w:pPr>
    </w:p>
    <w:p w14:paraId="6E60CFE7">
      <w:pPr>
        <w:pStyle w:val="29"/>
        <w:spacing w:before="120" w:after="120" w:line="360" w:lineRule="auto"/>
        <w:jc w:val="center"/>
        <w:rPr>
          <w:rFonts w:asciiTheme="minorEastAsia" w:hAnsiTheme="minorEastAsia" w:eastAsiaTheme="minorEastAsia"/>
          <w:b/>
          <w:color w:val="auto"/>
          <w:szCs w:val="21"/>
          <w:highlight w:val="none"/>
        </w:rPr>
      </w:pPr>
    </w:p>
    <w:p w14:paraId="558EF91C">
      <w:pPr>
        <w:pStyle w:val="29"/>
        <w:spacing w:before="120" w:after="120" w:line="360" w:lineRule="auto"/>
        <w:jc w:val="center"/>
        <w:rPr>
          <w:rFonts w:asciiTheme="minorEastAsia" w:hAnsiTheme="minorEastAsia" w:eastAsiaTheme="minorEastAsia"/>
          <w:b/>
          <w:color w:val="auto"/>
          <w:szCs w:val="21"/>
          <w:highlight w:val="none"/>
        </w:rPr>
      </w:pPr>
    </w:p>
    <w:p w14:paraId="0039F484">
      <w:pPr>
        <w:pStyle w:val="29"/>
        <w:spacing w:before="120" w:after="120" w:line="360" w:lineRule="auto"/>
        <w:jc w:val="center"/>
        <w:rPr>
          <w:rFonts w:asciiTheme="minorEastAsia" w:hAnsiTheme="minorEastAsia" w:eastAsiaTheme="minorEastAsia"/>
          <w:b/>
          <w:color w:val="auto"/>
          <w:szCs w:val="21"/>
          <w:highlight w:val="none"/>
        </w:rPr>
      </w:pPr>
    </w:p>
    <w:p w14:paraId="21BD3465">
      <w:pPr>
        <w:pStyle w:val="29"/>
        <w:spacing w:before="120" w:after="120" w:line="360" w:lineRule="auto"/>
        <w:jc w:val="center"/>
        <w:rPr>
          <w:rFonts w:asciiTheme="minorEastAsia" w:hAnsiTheme="minorEastAsia" w:eastAsiaTheme="minorEastAsia"/>
          <w:b/>
          <w:color w:val="auto"/>
          <w:szCs w:val="21"/>
          <w:highlight w:val="none"/>
        </w:rPr>
      </w:pPr>
    </w:p>
    <w:p w14:paraId="7668952C">
      <w:pPr>
        <w:pStyle w:val="29"/>
        <w:spacing w:before="120" w:after="120" w:line="360" w:lineRule="auto"/>
        <w:jc w:val="center"/>
        <w:rPr>
          <w:rFonts w:asciiTheme="minorEastAsia" w:hAnsiTheme="minorEastAsia" w:eastAsiaTheme="minorEastAsia"/>
          <w:b/>
          <w:color w:val="auto"/>
          <w:szCs w:val="21"/>
          <w:highlight w:val="none"/>
        </w:rPr>
      </w:pPr>
    </w:p>
    <w:p w14:paraId="7A00EBF4">
      <w:pPr>
        <w:pStyle w:val="29"/>
        <w:spacing w:before="120" w:after="120" w:line="360" w:lineRule="auto"/>
        <w:jc w:val="center"/>
        <w:rPr>
          <w:rFonts w:asciiTheme="minorEastAsia" w:hAnsiTheme="minorEastAsia" w:eastAsiaTheme="minorEastAsia"/>
          <w:b/>
          <w:color w:val="auto"/>
          <w:szCs w:val="21"/>
          <w:highlight w:val="none"/>
        </w:rPr>
      </w:pPr>
    </w:p>
    <w:p w14:paraId="4800BA5D">
      <w:pPr>
        <w:pStyle w:val="29"/>
        <w:spacing w:before="120" w:after="120"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8、项目负责人简历表</w:t>
      </w:r>
      <w:bookmarkEnd w:id="110"/>
    </w:p>
    <w:tbl>
      <w:tblPr>
        <w:tblStyle w:val="54"/>
        <w:tblW w:w="8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1652"/>
        <w:gridCol w:w="1648"/>
        <w:gridCol w:w="1357"/>
        <w:gridCol w:w="1417"/>
        <w:gridCol w:w="1134"/>
      </w:tblGrid>
      <w:tr w14:paraId="74974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619" w:type="dxa"/>
            <w:tcBorders>
              <w:top w:val="single" w:color="auto" w:sz="12" w:space="0"/>
              <w:left w:val="single" w:color="auto" w:sz="12" w:space="0"/>
              <w:bottom w:val="single" w:color="auto" w:sz="6" w:space="0"/>
              <w:right w:val="single" w:color="auto" w:sz="6" w:space="0"/>
            </w:tcBorders>
            <w:vAlign w:val="center"/>
          </w:tcPr>
          <w:p w14:paraId="4DE93724">
            <w:pPr>
              <w:pStyle w:val="29"/>
              <w:spacing w:before="120" w:after="120" w:line="360" w:lineRule="auto"/>
              <w:ind w:left="630" w:hanging="630" w:hangingChars="30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姓 名</w:t>
            </w:r>
          </w:p>
        </w:tc>
        <w:tc>
          <w:tcPr>
            <w:tcW w:w="1652" w:type="dxa"/>
            <w:tcBorders>
              <w:top w:val="single" w:color="auto" w:sz="12" w:space="0"/>
              <w:left w:val="single" w:color="auto" w:sz="6" w:space="0"/>
              <w:bottom w:val="single" w:color="auto" w:sz="6" w:space="0"/>
              <w:right w:val="single" w:color="auto" w:sz="6" w:space="0"/>
            </w:tcBorders>
            <w:vAlign w:val="center"/>
          </w:tcPr>
          <w:p w14:paraId="5C19375B">
            <w:pPr>
              <w:pStyle w:val="29"/>
              <w:spacing w:before="120" w:after="120" w:line="360" w:lineRule="auto"/>
              <w:ind w:left="630" w:hanging="630" w:hangingChars="300"/>
              <w:jc w:val="center"/>
              <w:rPr>
                <w:rFonts w:asciiTheme="minorEastAsia" w:hAnsiTheme="minorEastAsia" w:eastAsiaTheme="minorEastAsia"/>
                <w:color w:val="auto"/>
                <w:szCs w:val="21"/>
                <w:highlight w:val="none"/>
              </w:rPr>
            </w:pPr>
          </w:p>
        </w:tc>
        <w:tc>
          <w:tcPr>
            <w:tcW w:w="1648" w:type="dxa"/>
            <w:tcBorders>
              <w:top w:val="single" w:color="auto" w:sz="12" w:space="0"/>
              <w:left w:val="single" w:color="auto" w:sz="6" w:space="0"/>
              <w:bottom w:val="single" w:color="auto" w:sz="6" w:space="0"/>
              <w:right w:val="single" w:color="auto" w:sz="6" w:space="0"/>
            </w:tcBorders>
            <w:vAlign w:val="center"/>
          </w:tcPr>
          <w:p w14:paraId="39F6FB9F">
            <w:pPr>
              <w:pStyle w:val="29"/>
              <w:spacing w:before="120" w:after="120" w:line="360" w:lineRule="auto"/>
              <w:ind w:left="630" w:hanging="630" w:hangingChars="30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性 别</w:t>
            </w:r>
          </w:p>
        </w:tc>
        <w:tc>
          <w:tcPr>
            <w:tcW w:w="1357" w:type="dxa"/>
            <w:tcBorders>
              <w:top w:val="single" w:color="auto" w:sz="12" w:space="0"/>
              <w:left w:val="single" w:color="auto" w:sz="6" w:space="0"/>
              <w:bottom w:val="single" w:color="auto" w:sz="6" w:space="0"/>
              <w:right w:val="single" w:color="auto" w:sz="6" w:space="0"/>
            </w:tcBorders>
            <w:vAlign w:val="center"/>
          </w:tcPr>
          <w:p w14:paraId="4BEE05FB">
            <w:pPr>
              <w:pStyle w:val="29"/>
              <w:spacing w:before="120" w:after="120" w:line="360" w:lineRule="auto"/>
              <w:ind w:left="630" w:hanging="630" w:hangingChars="300"/>
              <w:jc w:val="center"/>
              <w:rPr>
                <w:rFonts w:asciiTheme="minorEastAsia" w:hAnsiTheme="minorEastAsia" w:eastAsiaTheme="minorEastAsia"/>
                <w:color w:val="auto"/>
                <w:szCs w:val="21"/>
                <w:highlight w:val="none"/>
              </w:rPr>
            </w:pPr>
          </w:p>
        </w:tc>
        <w:tc>
          <w:tcPr>
            <w:tcW w:w="1417" w:type="dxa"/>
            <w:tcBorders>
              <w:top w:val="single" w:color="auto" w:sz="12" w:space="0"/>
              <w:left w:val="single" w:color="auto" w:sz="6" w:space="0"/>
              <w:bottom w:val="single" w:color="auto" w:sz="6" w:space="0"/>
              <w:right w:val="single" w:color="auto" w:sz="6" w:space="0"/>
            </w:tcBorders>
            <w:vAlign w:val="center"/>
          </w:tcPr>
          <w:p w14:paraId="289699D8">
            <w:pPr>
              <w:pStyle w:val="29"/>
              <w:spacing w:before="120" w:after="120" w:line="360" w:lineRule="auto"/>
              <w:ind w:left="630" w:hanging="630" w:hangingChars="30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年 龄</w:t>
            </w:r>
          </w:p>
        </w:tc>
        <w:tc>
          <w:tcPr>
            <w:tcW w:w="1134" w:type="dxa"/>
            <w:tcBorders>
              <w:top w:val="single" w:color="auto" w:sz="12" w:space="0"/>
              <w:left w:val="single" w:color="auto" w:sz="6" w:space="0"/>
              <w:bottom w:val="single" w:color="auto" w:sz="6" w:space="0"/>
              <w:right w:val="single" w:color="auto" w:sz="12" w:space="0"/>
            </w:tcBorders>
            <w:vAlign w:val="center"/>
          </w:tcPr>
          <w:p w14:paraId="092DDE28">
            <w:pPr>
              <w:pStyle w:val="29"/>
              <w:spacing w:before="120" w:after="120" w:line="360" w:lineRule="auto"/>
              <w:ind w:left="630" w:hanging="630" w:hangingChars="300"/>
              <w:jc w:val="center"/>
              <w:rPr>
                <w:rFonts w:asciiTheme="minorEastAsia" w:hAnsiTheme="minorEastAsia" w:eastAsiaTheme="minorEastAsia"/>
                <w:color w:val="auto"/>
                <w:szCs w:val="21"/>
                <w:highlight w:val="none"/>
              </w:rPr>
            </w:pPr>
          </w:p>
        </w:tc>
      </w:tr>
      <w:tr w14:paraId="05FDA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619" w:type="dxa"/>
            <w:tcBorders>
              <w:top w:val="single" w:color="auto" w:sz="6" w:space="0"/>
              <w:left w:val="single" w:color="auto" w:sz="12" w:space="0"/>
              <w:bottom w:val="single" w:color="auto" w:sz="6" w:space="0"/>
              <w:right w:val="single" w:color="auto" w:sz="6" w:space="0"/>
            </w:tcBorders>
            <w:vAlign w:val="center"/>
          </w:tcPr>
          <w:p w14:paraId="7E2462F6">
            <w:pPr>
              <w:pStyle w:val="29"/>
              <w:spacing w:before="120" w:after="120" w:line="360" w:lineRule="auto"/>
              <w:ind w:left="630" w:hanging="630" w:hangingChars="30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学 历</w:t>
            </w:r>
          </w:p>
        </w:tc>
        <w:tc>
          <w:tcPr>
            <w:tcW w:w="1652" w:type="dxa"/>
            <w:tcBorders>
              <w:top w:val="single" w:color="auto" w:sz="6" w:space="0"/>
              <w:left w:val="single" w:color="auto" w:sz="6" w:space="0"/>
              <w:bottom w:val="single" w:color="auto" w:sz="6" w:space="0"/>
              <w:right w:val="single" w:color="auto" w:sz="6" w:space="0"/>
            </w:tcBorders>
            <w:vAlign w:val="center"/>
          </w:tcPr>
          <w:p w14:paraId="786E1DB2">
            <w:pPr>
              <w:pStyle w:val="29"/>
              <w:spacing w:before="120" w:after="120" w:line="360" w:lineRule="auto"/>
              <w:ind w:left="630" w:hanging="630" w:hangingChars="300"/>
              <w:jc w:val="center"/>
              <w:rPr>
                <w:rFonts w:asciiTheme="minorEastAsia" w:hAnsiTheme="minorEastAsia" w:eastAsiaTheme="minorEastAsia"/>
                <w:color w:val="auto"/>
                <w:szCs w:val="21"/>
                <w:highlight w:val="none"/>
              </w:rPr>
            </w:pPr>
          </w:p>
        </w:tc>
        <w:tc>
          <w:tcPr>
            <w:tcW w:w="1648" w:type="dxa"/>
            <w:tcBorders>
              <w:top w:val="single" w:color="auto" w:sz="6" w:space="0"/>
              <w:left w:val="single" w:color="auto" w:sz="6" w:space="0"/>
              <w:bottom w:val="single" w:color="auto" w:sz="6" w:space="0"/>
              <w:right w:val="single" w:color="auto" w:sz="6" w:space="0"/>
            </w:tcBorders>
            <w:vAlign w:val="center"/>
          </w:tcPr>
          <w:p w14:paraId="4E436587">
            <w:pPr>
              <w:pStyle w:val="29"/>
              <w:spacing w:before="120" w:after="120" w:line="360" w:lineRule="auto"/>
              <w:ind w:left="630" w:hanging="630" w:hangingChars="30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职 称</w:t>
            </w:r>
          </w:p>
        </w:tc>
        <w:tc>
          <w:tcPr>
            <w:tcW w:w="1357" w:type="dxa"/>
            <w:tcBorders>
              <w:top w:val="single" w:color="auto" w:sz="6" w:space="0"/>
              <w:left w:val="single" w:color="auto" w:sz="6" w:space="0"/>
              <w:bottom w:val="single" w:color="auto" w:sz="6" w:space="0"/>
              <w:right w:val="single" w:color="auto" w:sz="6" w:space="0"/>
            </w:tcBorders>
            <w:vAlign w:val="center"/>
          </w:tcPr>
          <w:p w14:paraId="5C612545">
            <w:pPr>
              <w:pStyle w:val="29"/>
              <w:spacing w:before="120" w:after="120" w:line="360" w:lineRule="auto"/>
              <w:ind w:left="630" w:hanging="630" w:hangingChars="300"/>
              <w:jc w:val="center"/>
              <w:rPr>
                <w:rFonts w:asciiTheme="minorEastAsia" w:hAnsiTheme="minorEastAsia" w:eastAsiaTheme="minorEastAsia"/>
                <w:color w:val="auto"/>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14:paraId="34804CA9">
            <w:pPr>
              <w:pStyle w:val="29"/>
              <w:spacing w:before="120" w:after="120" w:line="360" w:lineRule="auto"/>
              <w:ind w:left="630" w:hanging="630" w:hangingChars="30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职 务</w:t>
            </w:r>
          </w:p>
        </w:tc>
        <w:tc>
          <w:tcPr>
            <w:tcW w:w="1134" w:type="dxa"/>
            <w:tcBorders>
              <w:top w:val="single" w:color="auto" w:sz="6" w:space="0"/>
              <w:left w:val="single" w:color="auto" w:sz="6" w:space="0"/>
              <w:bottom w:val="single" w:color="auto" w:sz="6" w:space="0"/>
              <w:right w:val="single" w:color="auto" w:sz="12" w:space="0"/>
            </w:tcBorders>
            <w:vAlign w:val="center"/>
          </w:tcPr>
          <w:p w14:paraId="4C2A60DE">
            <w:pPr>
              <w:pStyle w:val="29"/>
              <w:spacing w:before="120" w:after="120" w:line="360" w:lineRule="auto"/>
              <w:ind w:left="630" w:hanging="630" w:hangingChars="300"/>
              <w:jc w:val="center"/>
              <w:rPr>
                <w:rFonts w:asciiTheme="minorEastAsia" w:hAnsiTheme="minorEastAsia" w:eastAsiaTheme="minorEastAsia"/>
                <w:color w:val="auto"/>
                <w:szCs w:val="21"/>
                <w:highlight w:val="none"/>
              </w:rPr>
            </w:pPr>
          </w:p>
        </w:tc>
      </w:tr>
      <w:tr w14:paraId="15976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619" w:type="dxa"/>
            <w:tcBorders>
              <w:top w:val="single" w:color="auto" w:sz="6" w:space="0"/>
              <w:left w:val="single" w:color="auto" w:sz="12" w:space="0"/>
              <w:bottom w:val="single" w:color="auto" w:sz="6" w:space="0"/>
              <w:right w:val="single" w:color="auto" w:sz="6" w:space="0"/>
            </w:tcBorders>
            <w:vAlign w:val="center"/>
          </w:tcPr>
          <w:p w14:paraId="46957309">
            <w:pPr>
              <w:pStyle w:val="29"/>
              <w:spacing w:before="120" w:after="120" w:line="360" w:lineRule="auto"/>
              <w:ind w:left="630" w:hanging="630" w:hangingChars="30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联系电话</w:t>
            </w:r>
          </w:p>
        </w:tc>
        <w:tc>
          <w:tcPr>
            <w:tcW w:w="3300" w:type="dxa"/>
            <w:gridSpan w:val="2"/>
            <w:tcBorders>
              <w:top w:val="single" w:color="auto" w:sz="6" w:space="0"/>
              <w:left w:val="single" w:color="auto" w:sz="6" w:space="0"/>
              <w:bottom w:val="single" w:color="auto" w:sz="6" w:space="0"/>
              <w:right w:val="single" w:color="auto" w:sz="6" w:space="0"/>
            </w:tcBorders>
            <w:vAlign w:val="center"/>
          </w:tcPr>
          <w:p w14:paraId="5500FC8A">
            <w:pPr>
              <w:pStyle w:val="29"/>
              <w:spacing w:before="120" w:after="120" w:line="360" w:lineRule="auto"/>
              <w:ind w:left="630" w:hanging="630" w:hangingChars="300"/>
              <w:jc w:val="center"/>
              <w:rPr>
                <w:rFonts w:asciiTheme="minorEastAsia" w:hAnsiTheme="minorEastAsia" w:eastAsiaTheme="minorEastAsia"/>
                <w:color w:val="auto"/>
                <w:szCs w:val="21"/>
                <w:highlight w:val="none"/>
              </w:rPr>
            </w:pPr>
          </w:p>
        </w:tc>
        <w:tc>
          <w:tcPr>
            <w:tcW w:w="1357" w:type="dxa"/>
            <w:tcBorders>
              <w:top w:val="single" w:color="auto" w:sz="6" w:space="0"/>
              <w:left w:val="single" w:color="auto" w:sz="6" w:space="0"/>
              <w:bottom w:val="single" w:color="auto" w:sz="6" w:space="0"/>
              <w:right w:val="single" w:color="auto" w:sz="6" w:space="0"/>
            </w:tcBorders>
            <w:vAlign w:val="center"/>
          </w:tcPr>
          <w:p w14:paraId="045A1D35">
            <w:pPr>
              <w:pStyle w:val="29"/>
              <w:spacing w:before="120" w:after="120" w:line="360" w:lineRule="auto"/>
              <w:ind w:left="630" w:hanging="630" w:hangingChars="30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手 机</w:t>
            </w:r>
          </w:p>
        </w:tc>
        <w:tc>
          <w:tcPr>
            <w:tcW w:w="2551" w:type="dxa"/>
            <w:gridSpan w:val="2"/>
            <w:tcBorders>
              <w:top w:val="single" w:color="auto" w:sz="6" w:space="0"/>
              <w:left w:val="single" w:color="auto" w:sz="6" w:space="0"/>
              <w:bottom w:val="single" w:color="auto" w:sz="6" w:space="0"/>
              <w:right w:val="single" w:color="auto" w:sz="12" w:space="0"/>
            </w:tcBorders>
            <w:vAlign w:val="center"/>
          </w:tcPr>
          <w:p w14:paraId="26645454">
            <w:pPr>
              <w:pStyle w:val="29"/>
              <w:spacing w:before="120" w:after="120" w:line="360" w:lineRule="auto"/>
              <w:ind w:left="630" w:hanging="630" w:hangingChars="300"/>
              <w:jc w:val="center"/>
              <w:rPr>
                <w:rFonts w:asciiTheme="minorEastAsia" w:hAnsiTheme="minorEastAsia" w:eastAsiaTheme="minorEastAsia"/>
                <w:color w:val="auto"/>
                <w:szCs w:val="21"/>
                <w:highlight w:val="none"/>
              </w:rPr>
            </w:pPr>
          </w:p>
        </w:tc>
      </w:tr>
      <w:tr w14:paraId="0FABA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1" w:hRule="atLeast"/>
          <w:jc w:val="center"/>
        </w:trPr>
        <w:tc>
          <w:tcPr>
            <w:tcW w:w="8827" w:type="dxa"/>
            <w:gridSpan w:val="6"/>
            <w:tcBorders>
              <w:top w:val="single" w:color="auto" w:sz="6" w:space="0"/>
              <w:left w:val="single" w:color="auto" w:sz="12" w:space="0"/>
              <w:bottom w:val="single" w:color="auto" w:sz="12" w:space="0"/>
              <w:right w:val="single" w:color="auto" w:sz="12" w:space="0"/>
            </w:tcBorders>
          </w:tcPr>
          <w:p w14:paraId="46FA2BD2">
            <w:pPr>
              <w:pStyle w:val="29"/>
              <w:spacing w:before="120" w:after="120" w:line="360" w:lineRule="auto"/>
              <w:ind w:left="630" w:hanging="630" w:hangingChars="3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近三年从事相关工作经历及经验：</w:t>
            </w:r>
          </w:p>
        </w:tc>
      </w:tr>
    </w:tbl>
    <w:p w14:paraId="02127FEE">
      <w:pPr>
        <w:pStyle w:val="29"/>
        <w:spacing w:before="120" w:after="120" w:line="360" w:lineRule="auto"/>
        <w:ind w:left="632" w:hanging="632" w:hangingChars="300"/>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 xml:space="preserve"> 注:</w:t>
      </w:r>
      <w:r>
        <w:rPr>
          <w:rFonts w:hint="eastAsia" w:asciiTheme="minorEastAsia" w:hAnsiTheme="minorEastAsia" w:eastAsiaTheme="minorEastAsia"/>
          <w:color w:val="auto"/>
          <w:szCs w:val="21"/>
          <w:highlight w:val="none"/>
        </w:rPr>
        <w:t>附身份证等复印件。</w:t>
      </w:r>
    </w:p>
    <w:p w14:paraId="40AA71F5">
      <w:pPr>
        <w:spacing w:line="360" w:lineRule="auto"/>
        <w:ind w:firstLine="3750" w:firstLineChars="1500"/>
        <w:jc w:val="right"/>
        <w:rPr>
          <w:rFonts w:ascii="宋体" w:hAnsi="宋体"/>
          <w:color w:val="auto"/>
          <w:spacing w:val="20"/>
          <w:szCs w:val="21"/>
          <w:highlight w:val="none"/>
          <w:u w:val="single"/>
        </w:rPr>
      </w:pPr>
      <w:r>
        <w:rPr>
          <w:rFonts w:ascii="宋体" w:hAnsi="宋体"/>
          <w:color w:val="auto"/>
          <w:spacing w:val="20"/>
          <w:szCs w:val="21"/>
          <w:highlight w:val="none"/>
        </w:rPr>
        <w:t>法定代表人或委托代理人</w:t>
      </w:r>
      <w:r>
        <w:rPr>
          <w:rFonts w:hint="eastAsia" w:ascii="宋体" w:hAnsi="宋体"/>
          <w:color w:val="auto"/>
          <w:spacing w:val="20"/>
          <w:szCs w:val="21"/>
          <w:highlight w:val="none"/>
        </w:rPr>
        <w:t>签名：</w:t>
      </w:r>
      <w:r>
        <w:rPr>
          <w:rFonts w:hint="eastAsia" w:ascii="宋体" w:hAnsi="宋体"/>
          <w:color w:val="auto"/>
          <w:spacing w:val="20"/>
          <w:szCs w:val="21"/>
          <w:highlight w:val="none"/>
          <w:u w:val="single"/>
        </w:rPr>
        <w:t xml:space="preserve">             </w:t>
      </w:r>
    </w:p>
    <w:p w14:paraId="6A4A9E6A">
      <w:pPr>
        <w:spacing w:line="360" w:lineRule="auto"/>
        <w:ind w:firstLine="500" w:firstLineChars="200"/>
        <w:jc w:val="right"/>
        <w:rPr>
          <w:rFonts w:ascii="宋体" w:hAnsi="宋体"/>
          <w:color w:val="auto"/>
          <w:spacing w:val="20"/>
          <w:szCs w:val="21"/>
          <w:highlight w:val="none"/>
          <w:u w:val="single"/>
        </w:rPr>
      </w:pPr>
      <w:r>
        <w:rPr>
          <w:rFonts w:hint="eastAsia" w:ascii="宋体" w:hAnsi="宋体"/>
          <w:color w:val="auto"/>
          <w:spacing w:val="20"/>
          <w:szCs w:val="21"/>
          <w:highlight w:val="none"/>
        </w:rPr>
        <w:t xml:space="preserve">                              投标单位盖章：</w:t>
      </w:r>
      <w:r>
        <w:rPr>
          <w:rFonts w:hint="eastAsia" w:ascii="宋体" w:hAnsi="宋体"/>
          <w:color w:val="auto"/>
          <w:spacing w:val="20"/>
          <w:szCs w:val="21"/>
          <w:highlight w:val="none"/>
          <w:u w:val="single"/>
        </w:rPr>
        <w:t xml:space="preserve">            </w:t>
      </w:r>
    </w:p>
    <w:p w14:paraId="12B0C9EB">
      <w:pPr>
        <w:tabs>
          <w:tab w:val="left" w:pos="1418"/>
        </w:tabs>
        <w:spacing w:line="360" w:lineRule="auto"/>
        <w:ind w:left="1418" w:hanging="567"/>
        <w:jc w:val="right"/>
        <w:rPr>
          <w:rFonts w:ascii="宋体" w:hAnsi="宋体"/>
          <w:color w:val="auto"/>
          <w:spacing w:val="20"/>
          <w:szCs w:val="21"/>
          <w:highlight w:val="none"/>
          <w:u w:val="single"/>
        </w:rPr>
      </w:pPr>
      <w:r>
        <w:rPr>
          <w:rFonts w:hint="eastAsia" w:ascii="宋体" w:hAnsi="宋体"/>
          <w:color w:val="auto"/>
          <w:spacing w:val="20"/>
          <w:szCs w:val="21"/>
          <w:highlight w:val="none"/>
        </w:rPr>
        <w:t xml:space="preserve">              日     期：</w:t>
      </w:r>
      <w:r>
        <w:rPr>
          <w:rFonts w:hint="eastAsia" w:ascii="宋体" w:hAnsi="宋体"/>
          <w:color w:val="auto"/>
          <w:spacing w:val="20"/>
          <w:szCs w:val="21"/>
          <w:highlight w:val="none"/>
          <w:u w:val="single"/>
        </w:rPr>
        <w:t xml:space="preserve">            </w:t>
      </w:r>
    </w:p>
    <w:p w14:paraId="1E1B005E">
      <w:pPr>
        <w:pStyle w:val="29"/>
        <w:snapToGrid w:val="0"/>
        <w:spacing w:line="360" w:lineRule="auto"/>
        <w:jc w:val="right"/>
        <w:rPr>
          <w:rFonts w:asciiTheme="minorEastAsia" w:hAnsiTheme="minorEastAsia" w:eastAsiaTheme="minorEastAsia"/>
          <w:b/>
          <w:color w:val="auto"/>
          <w:szCs w:val="21"/>
          <w:highlight w:val="none"/>
        </w:rPr>
      </w:pPr>
    </w:p>
    <w:p w14:paraId="1F1A78C3">
      <w:pPr>
        <w:pStyle w:val="29"/>
        <w:spacing w:before="120" w:after="120" w:line="360" w:lineRule="auto"/>
        <w:jc w:val="center"/>
        <w:rPr>
          <w:rFonts w:hAnsi="宋体"/>
          <w:b/>
          <w:color w:val="auto"/>
          <w:szCs w:val="21"/>
          <w:highlight w:val="none"/>
        </w:rPr>
      </w:pPr>
      <w:r>
        <w:rPr>
          <w:rFonts w:hint="eastAsia" w:hAnsi="宋体"/>
          <w:b/>
          <w:color w:val="auto"/>
          <w:szCs w:val="21"/>
          <w:highlight w:val="none"/>
        </w:rPr>
        <w:t>组员简历表</w:t>
      </w:r>
    </w:p>
    <w:tbl>
      <w:tblPr>
        <w:tblStyle w:val="54"/>
        <w:tblW w:w="913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6"/>
        <w:gridCol w:w="1516"/>
        <w:gridCol w:w="1513"/>
        <w:gridCol w:w="1616"/>
        <w:gridCol w:w="1446"/>
        <w:gridCol w:w="1554"/>
      </w:tblGrid>
      <w:tr w14:paraId="16D2D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1486" w:type="dxa"/>
            <w:tcBorders>
              <w:top w:val="single" w:color="auto" w:sz="12" w:space="0"/>
              <w:left w:val="single" w:color="auto" w:sz="12" w:space="0"/>
              <w:bottom w:val="single" w:color="auto" w:sz="6" w:space="0"/>
              <w:right w:val="single" w:color="auto" w:sz="6" w:space="0"/>
            </w:tcBorders>
            <w:vAlign w:val="center"/>
          </w:tcPr>
          <w:p w14:paraId="7925E20D">
            <w:pPr>
              <w:pStyle w:val="29"/>
              <w:spacing w:before="120" w:after="120" w:line="360" w:lineRule="auto"/>
              <w:ind w:left="630" w:hanging="630" w:hangingChars="300"/>
              <w:jc w:val="center"/>
              <w:rPr>
                <w:rFonts w:hAnsi="宋体"/>
                <w:color w:val="auto"/>
                <w:szCs w:val="21"/>
                <w:highlight w:val="none"/>
              </w:rPr>
            </w:pPr>
            <w:r>
              <w:rPr>
                <w:rFonts w:hint="eastAsia" w:hAnsi="宋体"/>
                <w:color w:val="auto"/>
                <w:szCs w:val="21"/>
                <w:highlight w:val="none"/>
              </w:rPr>
              <w:t>姓 名</w:t>
            </w:r>
          </w:p>
        </w:tc>
        <w:tc>
          <w:tcPr>
            <w:tcW w:w="1516" w:type="dxa"/>
            <w:tcBorders>
              <w:top w:val="single" w:color="auto" w:sz="12" w:space="0"/>
              <w:left w:val="single" w:color="auto" w:sz="6" w:space="0"/>
              <w:bottom w:val="single" w:color="auto" w:sz="6" w:space="0"/>
              <w:right w:val="single" w:color="auto" w:sz="6" w:space="0"/>
            </w:tcBorders>
            <w:vAlign w:val="center"/>
          </w:tcPr>
          <w:p w14:paraId="3BC41745">
            <w:pPr>
              <w:pStyle w:val="29"/>
              <w:spacing w:before="120" w:after="120" w:line="360" w:lineRule="auto"/>
              <w:ind w:left="630" w:hanging="630" w:hangingChars="300"/>
              <w:jc w:val="center"/>
              <w:rPr>
                <w:rFonts w:hAnsi="宋体"/>
                <w:color w:val="auto"/>
                <w:szCs w:val="21"/>
                <w:highlight w:val="none"/>
              </w:rPr>
            </w:pPr>
          </w:p>
        </w:tc>
        <w:tc>
          <w:tcPr>
            <w:tcW w:w="1513" w:type="dxa"/>
            <w:tcBorders>
              <w:top w:val="single" w:color="auto" w:sz="12" w:space="0"/>
              <w:left w:val="single" w:color="auto" w:sz="6" w:space="0"/>
              <w:bottom w:val="single" w:color="auto" w:sz="6" w:space="0"/>
              <w:right w:val="single" w:color="auto" w:sz="6" w:space="0"/>
            </w:tcBorders>
            <w:vAlign w:val="center"/>
          </w:tcPr>
          <w:p w14:paraId="08E1F1CF">
            <w:pPr>
              <w:pStyle w:val="29"/>
              <w:spacing w:before="120" w:after="120" w:line="360" w:lineRule="auto"/>
              <w:ind w:left="630" w:hanging="630" w:hangingChars="300"/>
              <w:jc w:val="center"/>
              <w:rPr>
                <w:rFonts w:hAnsi="宋体"/>
                <w:color w:val="auto"/>
                <w:szCs w:val="21"/>
                <w:highlight w:val="none"/>
              </w:rPr>
            </w:pPr>
            <w:r>
              <w:rPr>
                <w:rFonts w:hint="eastAsia" w:hAnsi="宋体"/>
                <w:color w:val="auto"/>
                <w:szCs w:val="21"/>
                <w:highlight w:val="none"/>
              </w:rPr>
              <w:t>性 别</w:t>
            </w:r>
          </w:p>
        </w:tc>
        <w:tc>
          <w:tcPr>
            <w:tcW w:w="1616" w:type="dxa"/>
            <w:tcBorders>
              <w:top w:val="single" w:color="auto" w:sz="12" w:space="0"/>
              <w:left w:val="single" w:color="auto" w:sz="6" w:space="0"/>
              <w:bottom w:val="single" w:color="auto" w:sz="6" w:space="0"/>
              <w:right w:val="single" w:color="auto" w:sz="6" w:space="0"/>
            </w:tcBorders>
            <w:vAlign w:val="center"/>
          </w:tcPr>
          <w:p w14:paraId="0C6AF5F5">
            <w:pPr>
              <w:pStyle w:val="29"/>
              <w:spacing w:before="120" w:after="120" w:line="360" w:lineRule="auto"/>
              <w:ind w:left="630" w:hanging="630" w:hangingChars="300"/>
              <w:jc w:val="center"/>
              <w:rPr>
                <w:rFonts w:hAnsi="宋体"/>
                <w:color w:val="auto"/>
                <w:szCs w:val="21"/>
                <w:highlight w:val="none"/>
              </w:rPr>
            </w:pPr>
          </w:p>
        </w:tc>
        <w:tc>
          <w:tcPr>
            <w:tcW w:w="1446" w:type="dxa"/>
            <w:tcBorders>
              <w:top w:val="single" w:color="auto" w:sz="12" w:space="0"/>
              <w:left w:val="single" w:color="auto" w:sz="6" w:space="0"/>
              <w:bottom w:val="single" w:color="auto" w:sz="6" w:space="0"/>
              <w:right w:val="single" w:color="auto" w:sz="6" w:space="0"/>
            </w:tcBorders>
            <w:vAlign w:val="center"/>
          </w:tcPr>
          <w:p w14:paraId="135F2CA2">
            <w:pPr>
              <w:pStyle w:val="29"/>
              <w:spacing w:before="120" w:after="120" w:line="360" w:lineRule="auto"/>
              <w:ind w:left="630" w:hanging="630" w:hangingChars="300"/>
              <w:jc w:val="center"/>
              <w:rPr>
                <w:rFonts w:hAnsi="宋体"/>
                <w:color w:val="auto"/>
                <w:szCs w:val="21"/>
                <w:highlight w:val="none"/>
              </w:rPr>
            </w:pPr>
            <w:r>
              <w:rPr>
                <w:rFonts w:hint="eastAsia" w:hAnsi="宋体"/>
                <w:color w:val="auto"/>
                <w:szCs w:val="21"/>
                <w:highlight w:val="none"/>
              </w:rPr>
              <w:t>年 龄</w:t>
            </w:r>
          </w:p>
        </w:tc>
        <w:tc>
          <w:tcPr>
            <w:tcW w:w="1554" w:type="dxa"/>
            <w:tcBorders>
              <w:top w:val="single" w:color="auto" w:sz="12" w:space="0"/>
              <w:left w:val="single" w:color="auto" w:sz="6" w:space="0"/>
              <w:bottom w:val="single" w:color="auto" w:sz="6" w:space="0"/>
              <w:right w:val="single" w:color="auto" w:sz="12" w:space="0"/>
            </w:tcBorders>
            <w:vAlign w:val="center"/>
          </w:tcPr>
          <w:p w14:paraId="66262F54">
            <w:pPr>
              <w:pStyle w:val="29"/>
              <w:spacing w:before="120" w:after="120" w:line="360" w:lineRule="auto"/>
              <w:ind w:left="630" w:hanging="630" w:hangingChars="300"/>
              <w:jc w:val="center"/>
              <w:rPr>
                <w:rFonts w:hAnsi="宋体"/>
                <w:color w:val="auto"/>
                <w:szCs w:val="21"/>
                <w:highlight w:val="none"/>
              </w:rPr>
            </w:pPr>
          </w:p>
        </w:tc>
      </w:tr>
      <w:tr w14:paraId="4AF57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1486" w:type="dxa"/>
            <w:tcBorders>
              <w:top w:val="single" w:color="auto" w:sz="6" w:space="0"/>
              <w:left w:val="single" w:color="auto" w:sz="12" w:space="0"/>
              <w:bottom w:val="single" w:color="auto" w:sz="6" w:space="0"/>
              <w:right w:val="single" w:color="auto" w:sz="6" w:space="0"/>
            </w:tcBorders>
            <w:vAlign w:val="center"/>
          </w:tcPr>
          <w:p w14:paraId="45F76199">
            <w:pPr>
              <w:pStyle w:val="29"/>
              <w:spacing w:before="120" w:after="120" w:line="360" w:lineRule="auto"/>
              <w:ind w:left="630" w:hanging="630" w:hangingChars="300"/>
              <w:jc w:val="center"/>
              <w:rPr>
                <w:rFonts w:hAnsi="宋体"/>
                <w:color w:val="auto"/>
                <w:szCs w:val="21"/>
                <w:highlight w:val="none"/>
              </w:rPr>
            </w:pPr>
            <w:r>
              <w:rPr>
                <w:rFonts w:hint="eastAsia" w:hAnsi="宋体"/>
                <w:color w:val="auto"/>
                <w:szCs w:val="21"/>
                <w:highlight w:val="none"/>
              </w:rPr>
              <w:t>学 历</w:t>
            </w:r>
          </w:p>
        </w:tc>
        <w:tc>
          <w:tcPr>
            <w:tcW w:w="1516" w:type="dxa"/>
            <w:tcBorders>
              <w:top w:val="single" w:color="auto" w:sz="6" w:space="0"/>
              <w:left w:val="single" w:color="auto" w:sz="6" w:space="0"/>
              <w:bottom w:val="single" w:color="auto" w:sz="6" w:space="0"/>
              <w:right w:val="single" w:color="auto" w:sz="6" w:space="0"/>
            </w:tcBorders>
            <w:vAlign w:val="center"/>
          </w:tcPr>
          <w:p w14:paraId="5F2C9010">
            <w:pPr>
              <w:pStyle w:val="29"/>
              <w:spacing w:before="120" w:after="120" w:line="360" w:lineRule="auto"/>
              <w:ind w:left="630" w:hanging="630" w:hangingChars="300"/>
              <w:jc w:val="center"/>
              <w:rPr>
                <w:rFonts w:hAnsi="宋体"/>
                <w:color w:val="auto"/>
                <w:szCs w:val="21"/>
                <w:highlight w:val="none"/>
              </w:rPr>
            </w:pPr>
          </w:p>
        </w:tc>
        <w:tc>
          <w:tcPr>
            <w:tcW w:w="1513" w:type="dxa"/>
            <w:tcBorders>
              <w:top w:val="single" w:color="auto" w:sz="6" w:space="0"/>
              <w:left w:val="single" w:color="auto" w:sz="6" w:space="0"/>
              <w:bottom w:val="single" w:color="auto" w:sz="6" w:space="0"/>
              <w:right w:val="single" w:color="auto" w:sz="6" w:space="0"/>
            </w:tcBorders>
            <w:vAlign w:val="center"/>
          </w:tcPr>
          <w:p w14:paraId="3519FAE8">
            <w:pPr>
              <w:pStyle w:val="29"/>
              <w:spacing w:before="120" w:after="120" w:line="360" w:lineRule="auto"/>
              <w:ind w:left="630" w:hanging="630" w:hangingChars="300"/>
              <w:jc w:val="center"/>
              <w:rPr>
                <w:rFonts w:hAnsi="宋体"/>
                <w:color w:val="auto"/>
                <w:szCs w:val="21"/>
                <w:highlight w:val="none"/>
              </w:rPr>
            </w:pPr>
            <w:r>
              <w:rPr>
                <w:rFonts w:hint="eastAsia" w:hAnsi="宋体"/>
                <w:color w:val="auto"/>
                <w:szCs w:val="21"/>
                <w:highlight w:val="none"/>
              </w:rPr>
              <w:t>职 称</w:t>
            </w:r>
          </w:p>
        </w:tc>
        <w:tc>
          <w:tcPr>
            <w:tcW w:w="1616" w:type="dxa"/>
            <w:tcBorders>
              <w:top w:val="single" w:color="auto" w:sz="6" w:space="0"/>
              <w:left w:val="single" w:color="auto" w:sz="6" w:space="0"/>
              <w:bottom w:val="single" w:color="auto" w:sz="6" w:space="0"/>
              <w:right w:val="single" w:color="auto" w:sz="6" w:space="0"/>
            </w:tcBorders>
            <w:vAlign w:val="center"/>
          </w:tcPr>
          <w:p w14:paraId="7920D94D">
            <w:pPr>
              <w:pStyle w:val="29"/>
              <w:spacing w:before="120" w:after="120" w:line="360" w:lineRule="auto"/>
              <w:ind w:left="630" w:hanging="630" w:hangingChars="300"/>
              <w:jc w:val="center"/>
              <w:rPr>
                <w:rFonts w:hAnsi="宋体"/>
                <w:color w:val="auto"/>
                <w:szCs w:val="21"/>
                <w:highlight w:val="none"/>
              </w:rPr>
            </w:pPr>
          </w:p>
        </w:tc>
        <w:tc>
          <w:tcPr>
            <w:tcW w:w="1446" w:type="dxa"/>
            <w:tcBorders>
              <w:top w:val="single" w:color="auto" w:sz="6" w:space="0"/>
              <w:left w:val="single" w:color="auto" w:sz="6" w:space="0"/>
              <w:bottom w:val="single" w:color="auto" w:sz="6" w:space="0"/>
              <w:right w:val="single" w:color="auto" w:sz="6" w:space="0"/>
            </w:tcBorders>
            <w:vAlign w:val="center"/>
          </w:tcPr>
          <w:p w14:paraId="023A308F">
            <w:pPr>
              <w:pStyle w:val="29"/>
              <w:spacing w:before="120" w:after="120" w:line="360" w:lineRule="auto"/>
              <w:ind w:left="630" w:hanging="630" w:hangingChars="300"/>
              <w:jc w:val="center"/>
              <w:rPr>
                <w:rFonts w:hAnsi="宋体"/>
                <w:color w:val="auto"/>
                <w:szCs w:val="21"/>
                <w:highlight w:val="none"/>
              </w:rPr>
            </w:pPr>
            <w:r>
              <w:rPr>
                <w:rFonts w:hint="eastAsia" w:hAnsi="宋体"/>
                <w:color w:val="auto"/>
                <w:szCs w:val="21"/>
                <w:highlight w:val="none"/>
              </w:rPr>
              <w:t>职 务</w:t>
            </w:r>
          </w:p>
        </w:tc>
        <w:tc>
          <w:tcPr>
            <w:tcW w:w="1554" w:type="dxa"/>
            <w:tcBorders>
              <w:top w:val="single" w:color="auto" w:sz="6" w:space="0"/>
              <w:left w:val="single" w:color="auto" w:sz="6" w:space="0"/>
              <w:bottom w:val="single" w:color="auto" w:sz="6" w:space="0"/>
              <w:right w:val="single" w:color="auto" w:sz="12" w:space="0"/>
            </w:tcBorders>
            <w:vAlign w:val="center"/>
          </w:tcPr>
          <w:p w14:paraId="78FD9432">
            <w:pPr>
              <w:pStyle w:val="29"/>
              <w:spacing w:before="120" w:after="120" w:line="360" w:lineRule="auto"/>
              <w:ind w:left="630" w:hanging="630" w:hangingChars="300"/>
              <w:jc w:val="center"/>
              <w:rPr>
                <w:rFonts w:hAnsi="宋体"/>
                <w:color w:val="auto"/>
                <w:szCs w:val="21"/>
                <w:highlight w:val="none"/>
              </w:rPr>
            </w:pPr>
          </w:p>
        </w:tc>
      </w:tr>
      <w:tr w14:paraId="68D2C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1486" w:type="dxa"/>
            <w:tcBorders>
              <w:top w:val="single" w:color="auto" w:sz="6" w:space="0"/>
              <w:left w:val="single" w:color="auto" w:sz="12" w:space="0"/>
              <w:bottom w:val="single" w:color="auto" w:sz="6" w:space="0"/>
              <w:right w:val="single" w:color="auto" w:sz="6" w:space="0"/>
            </w:tcBorders>
            <w:vAlign w:val="center"/>
          </w:tcPr>
          <w:p w14:paraId="52CF6831">
            <w:pPr>
              <w:pStyle w:val="29"/>
              <w:spacing w:before="120" w:after="120" w:line="360" w:lineRule="auto"/>
              <w:ind w:left="630" w:hanging="630" w:hangingChars="300"/>
              <w:jc w:val="center"/>
              <w:rPr>
                <w:rFonts w:hAnsi="宋体"/>
                <w:color w:val="auto"/>
                <w:szCs w:val="21"/>
                <w:highlight w:val="none"/>
              </w:rPr>
            </w:pPr>
            <w:r>
              <w:rPr>
                <w:rFonts w:hint="eastAsia" w:hAnsi="宋体"/>
                <w:color w:val="auto"/>
                <w:szCs w:val="21"/>
                <w:highlight w:val="none"/>
              </w:rPr>
              <w:t>联系电话</w:t>
            </w:r>
          </w:p>
        </w:tc>
        <w:tc>
          <w:tcPr>
            <w:tcW w:w="3029" w:type="dxa"/>
            <w:gridSpan w:val="2"/>
            <w:tcBorders>
              <w:top w:val="single" w:color="auto" w:sz="6" w:space="0"/>
              <w:left w:val="single" w:color="auto" w:sz="6" w:space="0"/>
              <w:bottom w:val="single" w:color="auto" w:sz="6" w:space="0"/>
              <w:right w:val="single" w:color="auto" w:sz="6" w:space="0"/>
            </w:tcBorders>
            <w:vAlign w:val="center"/>
          </w:tcPr>
          <w:p w14:paraId="7020C560">
            <w:pPr>
              <w:pStyle w:val="29"/>
              <w:spacing w:before="120" w:after="120" w:line="360" w:lineRule="auto"/>
              <w:ind w:left="630" w:hanging="630" w:hangingChars="300"/>
              <w:jc w:val="center"/>
              <w:rPr>
                <w:rFonts w:hAnsi="宋体"/>
                <w:color w:val="auto"/>
                <w:szCs w:val="21"/>
                <w:highlight w:val="none"/>
              </w:rPr>
            </w:pPr>
          </w:p>
        </w:tc>
        <w:tc>
          <w:tcPr>
            <w:tcW w:w="1616" w:type="dxa"/>
            <w:tcBorders>
              <w:top w:val="single" w:color="auto" w:sz="6" w:space="0"/>
              <w:left w:val="single" w:color="auto" w:sz="6" w:space="0"/>
              <w:bottom w:val="single" w:color="auto" w:sz="6" w:space="0"/>
              <w:right w:val="single" w:color="auto" w:sz="6" w:space="0"/>
            </w:tcBorders>
            <w:vAlign w:val="center"/>
          </w:tcPr>
          <w:p w14:paraId="6315A445">
            <w:pPr>
              <w:pStyle w:val="29"/>
              <w:spacing w:before="120" w:after="120" w:line="360" w:lineRule="auto"/>
              <w:ind w:left="630" w:hanging="630" w:hangingChars="300"/>
              <w:jc w:val="center"/>
              <w:rPr>
                <w:rFonts w:hAnsi="宋体"/>
                <w:color w:val="auto"/>
                <w:szCs w:val="21"/>
                <w:highlight w:val="none"/>
              </w:rPr>
            </w:pPr>
            <w:r>
              <w:rPr>
                <w:rFonts w:hint="eastAsia" w:hAnsi="宋体"/>
                <w:color w:val="auto"/>
                <w:szCs w:val="21"/>
                <w:highlight w:val="none"/>
              </w:rPr>
              <w:t>手 机</w:t>
            </w:r>
          </w:p>
        </w:tc>
        <w:tc>
          <w:tcPr>
            <w:tcW w:w="3000" w:type="dxa"/>
            <w:gridSpan w:val="2"/>
            <w:tcBorders>
              <w:top w:val="single" w:color="auto" w:sz="6" w:space="0"/>
              <w:left w:val="single" w:color="auto" w:sz="6" w:space="0"/>
              <w:bottom w:val="single" w:color="auto" w:sz="6" w:space="0"/>
              <w:right w:val="single" w:color="auto" w:sz="12" w:space="0"/>
            </w:tcBorders>
            <w:vAlign w:val="center"/>
          </w:tcPr>
          <w:p w14:paraId="67AB1403">
            <w:pPr>
              <w:pStyle w:val="29"/>
              <w:spacing w:before="120" w:after="120" w:line="360" w:lineRule="auto"/>
              <w:ind w:left="630" w:hanging="630" w:hangingChars="300"/>
              <w:jc w:val="center"/>
              <w:rPr>
                <w:rFonts w:hAnsi="宋体"/>
                <w:color w:val="auto"/>
                <w:szCs w:val="21"/>
                <w:highlight w:val="none"/>
              </w:rPr>
            </w:pPr>
          </w:p>
        </w:tc>
      </w:tr>
      <w:tr w14:paraId="21506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7" w:hRule="atLeast"/>
        </w:trPr>
        <w:tc>
          <w:tcPr>
            <w:tcW w:w="9131" w:type="dxa"/>
            <w:gridSpan w:val="6"/>
            <w:tcBorders>
              <w:top w:val="single" w:color="auto" w:sz="6" w:space="0"/>
              <w:left w:val="single" w:color="auto" w:sz="12" w:space="0"/>
              <w:bottom w:val="single" w:color="auto" w:sz="12" w:space="0"/>
              <w:right w:val="single" w:color="auto" w:sz="12" w:space="0"/>
            </w:tcBorders>
          </w:tcPr>
          <w:p w14:paraId="0E05DE57">
            <w:pPr>
              <w:pStyle w:val="29"/>
              <w:spacing w:before="120" w:after="120" w:line="360" w:lineRule="auto"/>
              <w:ind w:left="630" w:hanging="630" w:hangingChars="300"/>
              <w:rPr>
                <w:rFonts w:hAnsi="宋体"/>
                <w:color w:val="auto"/>
                <w:szCs w:val="21"/>
                <w:highlight w:val="none"/>
              </w:rPr>
            </w:pPr>
            <w:r>
              <w:rPr>
                <w:rFonts w:hint="eastAsia" w:hAnsi="宋体"/>
                <w:color w:val="auto"/>
                <w:szCs w:val="21"/>
                <w:highlight w:val="none"/>
              </w:rPr>
              <w:t>介绍</w:t>
            </w:r>
          </w:p>
        </w:tc>
      </w:tr>
    </w:tbl>
    <w:p w14:paraId="4F036FD1">
      <w:pPr>
        <w:pStyle w:val="29"/>
        <w:spacing w:before="120" w:after="120" w:line="360" w:lineRule="auto"/>
        <w:ind w:left="630" w:hanging="630" w:hangingChars="300"/>
        <w:rPr>
          <w:rFonts w:hAnsi="宋体"/>
          <w:b/>
          <w:bCs/>
          <w:color w:val="auto"/>
          <w:szCs w:val="21"/>
          <w:highlight w:val="none"/>
        </w:rPr>
      </w:pPr>
      <w:r>
        <w:rPr>
          <w:rFonts w:hint="eastAsia" w:hAnsi="宋体"/>
          <w:color w:val="auto"/>
          <w:szCs w:val="21"/>
          <w:highlight w:val="none"/>
        </w:rPr>
        <w:t xml:space="preserve"> </w:t>
      </w:r>
      <w:r>
        <w:rPr>
          <w:rFonts w:hint="eastAsia" w:hAnsi="宋体"/>
          <w:b/>
          <w:bCs/>
          <w:color w:val="auto"/>
          <w:szCs w:val="21"/>
          <w:highlight w:val="none"/>
        </w:rPr>
        <w:t xml:space="preserve"> </w:t>
      </w:r>
    </w:p>
    <w:p w14:paraId="436C0ACA">
      <w:pPr>
        <w:spacing w:line="360" w:lineRule="auto"/>
        <w:ind w:firstLine="3750" w:firstLineChars="1500"/>
        <w:rPr>
          <w:rFonts w:ascii="宋体" w:hAnsi="宋体"/>
          <w:color w:val="auto"/>
          <w:spacing w:val="20"/>
          <w:szCs w:val="21"/>
          <w:highlight w:val="none"/>
        </w:rPr>
      </w:pPr>
    </w:p>
    <w:p w14:paraId="5F45D78A">
      <w:pPr>
        <w:spacing w:line="360" w:lineRule="auto"/>
        <w:ind w:firstLine="3750" w:firstLineChars="1500"/>
        <w:jc w:val="right"/>
        <w:rPr>
          <w:rFonts w:ascii="宋体" w:hAnsi="宋体"/>
          <w:color w:val="auto"/>
          <w:spacing w:val="20"/>
          <w:szCs w:val="21"/>
          <w:highlight w:val="none"/>
          <w:u w:val="single"/>
        </w:rPr>
      </w:pPr>
      <w:r>
        <w:rPr>
          <w:rFonts w:ascii="宋体" w:hAnsi="宋体"/>
          <w:color w:val="auto"/>
          <w:spacing w:val="20"/>
          <w:szCs w:val="21"/>
          <w:highlight w:val="none"/>
        </w:rPr>
        <w:t>法定代表人或委托代理人</w:t>
      </w:r>
      <w:r>
        <w:rPr>
          <w:rFonts w:hint="eastAsia" w:ascii="宋体" w:hAnsi="宋体"/>
          <w:color w:val="auto"/>
          <w:spacing w:val="20"/>
          <w:szCs w:val="21"/>
          <w:highlight w:val="none"/>
        </w:rPr>
        <w:t>签名：</w:t>
      </w:r>
      <w:r>
        <w:rPr>
          <w:rFonts w:hint="eastAsia" w:ascii="宋体" w:hAnsi="宋体"/>
          <w:color w:val="auto"/>
          <w:spacing w:val="20"/>
          <w:szCs w:val="21"/>
          <w:highlight w:val="none"/>
          <w:u w:val="single"/>
        </w:rPr>
        <w:t xml:space="preserve">             </w:t>
      </w:r>
    </w:p>
    <w:p w14:paraId="11961E5F">
      <w:pPr>
        <w:spacing w:line="360" w:lineRule="auto"/>
        <w:ind w:firstLine="500" w:firstLineChars="200"/>
        <w:jc w:val="right"/>
        <w:rPr>
          <w:rFonts w:ascii="宋体" w:hAnsi="宋体"/>
          <w:color w:val="auto"/>
          <w:spacing w:val="20"/>
          <w:szCs w:val="21"/>
          <w:highlight w:val="none"/>
          <w:u w:val="single"/>
        </w:rPr>
      </w:pPr>
      <w:r>
        <w:rPr>
          <w:rFonts w:hint="eastAsia" w:ascii="宋体" w:hAnsi="宋体"/>
          <w:color w:val="auto"/>
          <w:spacing w:val="20"/>
          <w:szCs w:val="21"/>
          <w:highlight w:val="none"/>
        </w:rPr>
        <w:t xml:space="preserve">                              投标单位盖章：</w:t>
      </w:r>
      <w:r>
        <w:rPr>
          <w:rFonts w:hint="eastAsia" w:ascii="宋体" w:hAnsi="宋体"/>
          <w:color w:val="auto"/>
          <w:spacing w:val="20"/>
          <w:szCs w:val="21"/>
          <w:highlight w:val="none"/>
          <w:u w:val="single"/>
        </w:rPr>
        <w:t xml:space="preserve">            </w:t>
      </w:r>
    </w:p>
    <w:p w14:paraId="383885E5">
      <w:pPr>
        <w:tabs>
          <w:tab w:val="left" w:pos="1418"/>
        </w:tabs>
        <w:spacing w:line="360" w:lineRule="auto"/>
        <w:ind w:left="1418" w:hanging="567"/>
        <w:jc w:val="right"/>
        <w:rPr>
          <w:rFonts w:ascii="宋体" w:hAnsi="宋体"/>
          <w:color w:val="auto"/>
          <w:spacing w:val="20"/>
          <w:szCs w:val="21"/>
          <w:highlight w:val="none"/>
          <w:u w:val="single"/>
        </w:rPr>
      </w:pPr>
      <w:r>
        <w:rPr>
          <w:rFonts w:hint="eastAsia" w:ascii="宋体" w:hAnsi="宋体"/>
          <w:color w:val="auto"/>
          <w:spacing w:val="20"/>
          <w:szCs w:val="21"/>
          <w:highlight w:val="none"/>
        </w:rPr>
        <w:t xml:space="preserve">              日     期：</w:t>
      </w:r>
      <w:r>
        <w:rPr>
          <w:rFonts w:hint="eastAsia" w:ascii="宋体" w:hAnsi="宋体"/>
          <w:color w:val="auto"/>
          <w:spacing w:val="20"/>
          <w:szCs w:val="21"/>
          <w:highlight w:val="none"/>
          <w:u w:val="single"/>
        </w:rPr>
        <w:t xml:space="preserve">            </w:t>
      </w:r>
    </w:p>
    <w:p w14:paraId="4E93D93F">
      <w:pPr>
        <w:pStyle w:val="29"/>
        <w:snapToGrid w:val="0"/>
        <w:spacing w:line="360" w:lineRule="auto"/>
        <w:jc w:val="right"/>
        <w:rPr>
          <w:rFonts w:asciiTheme="minorEastAsia" w:hAnsiTheme="minorEastAsia" w:eastAsiaTheme="minorEastAsia"/>
          <w:b/>
          <w:color w:val="auto"/>
          <w:szCs w:val="21"/>
          <w:highlight w:val="none"/>
        </w:rPr>
      </w:pPr>
    </w:p>
    <w:p w14:paraId="603C175A">
      <w:pPr>
        <w:pStyle w:val="29"/>
        <w:snapToGrid w:val="0"/>
        <w:spacing w:line="360" w:lineRule="auto"/>
        <w:rPr>
          <w:rFonts w:asciiTheme="minorEastAsia" w:hAnsiTheme="minorEastAsia" w:eastAsiaTheme="minorEastAsia"/>
          <w:b/>
          <w:color w:val="auto"/>
          <w:szCs w:val="21"/>
          <w:highlight w:val="none"/>
        </w:rPr>
      </w:pPr>
    </w:p>
    <w:p w14:paraId="25E561A8">
      <w:pPr>
        <w:pStyle w:val="29"/>
        <w:snapToGrid w:val="0"/>
        <w:spacing w:line="360" w:lineRule="auto"/>
        <w:rPr>
          <w:rFonts w:asciiTheme="minorEastAsia" w:hAnsiTheme="minorEastAsia" w:eastAsiaTheme="minorEastAsia"/>
          <w:b/>
          <w:color w:val="auto"/>
          <w:szCs w:val="21"/>
          <w:highlight w:val="none"/>
        </w:rPr>
      </w:pPr>
    </w:p>
    <w:p w14:paraId="617947C6">
      <w:pPr>
        <w:pStyle w:val="29"/>
        <w:snapToGrid w:val="0"/>
        <w:spacing w:line="360" w:lineRule="auto"/>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9</w:t>
      </w:r>
      <w:r>
        <w:rPr>
          <w:rFonts w:hint="eastAsia" w:asciiTheme="minorEastAsia" w:hAnsiTheme="minorEastAsia" w:eastAsiaTheme="minorEastAsia"/>
          <w:b/>
          <w:color w:val="auto"/>
          <w:szCs w:val="21"/>
          <w:highlight w:val="none"/>
        </w:rPr>
        <w:t>、</w:t>
      </w:r>
    </w:p>
    <w:p w14:paraId="212C3913">
      <w:pPr>
        <w:pStyle w:val="29"/>
        <w:snapToGrid w:val="0"/>
        <w:spacing w:line="360" w:lineRule="auto"/>
        <w:ind w:left="1262" w:hanging="422"/>
        <w:jc w:val="center"/>
        <w:rPr>
          <w:rFonts w:hAnsi="宋体"/>
          <w:b/>
          <w:color w:val="auto"/>
          <w:szCs w:val="21"/>
          <w:highlight w:val="none"/>
        </w:rPr>
      </w:pPr>
      <w:r>
        <w:rPr>
          <w:rFonts w:hint="eastAsia" w:asciiTheme="minorEastAsia" w:hAnsiTheme="minorEastAsia" w:eastAsiaTheme="minorEastAsia"/>
          <w:b/>
          <w:color w:val="auto"/>
          <w:szCs w:val="21"/>
          <w:highlight w:val="none"/>
        </w:rPr>
        <w:t>中小企业声明函</w:t>
      </w:r>
      <w:r>
        <w:rPr>
          <w:rFonts w:hint="eastAsia" w:asciiTheme="minorEastAsia" w:hAnsiTheme="minorEastAsia" w:eastAsiaTheme="minorEastAsia"/>
          <w:b/>
          <w:bCs/>
          <w:color w:val="auto"/>
          <w:szCs w:val="21"/>
          <w:highlight w:val="none"/>
        </w:rPr>
        <w:t>（附件7）</w:t>
      </w:r>
      <w:r>
        <w:rPr>
          <w:rFonts w:hint="eastAsia" w:hAnsi="宋体"/>
          <w:b/>
          <w:bCs/>
          <w:color w:val="auto"/>
          <w:szCs w:val="21"/>
          <w:highlight w:val="none"/>
        </w:rPr>
        <w:t>（工程、服务）</w:t>
      </w:r>
    </w:p>
    <w:p w14:paraId="6FE92720">
      <w:pPr>
        <w:spacing w:line="360" w:lineRule="auto"/>
        <w:ind w:firstLine="420" w:firstLineChars="200"/>
        <w:rPr>
          <w:rFonts w:ascii="宋体" w:hAnsi="宋体"/>
          <w:color w:val="auto"/>
          <w:szCs w:val="21"/>
          <w:highlight w:val="none"/>
        </w:rPr>
      </w:pPr>
      <w:r>
        <w:rPr>
          <w:rFonts w:ascii="宋体" w:hAnsi="宋体"/>
          <w:color w:val="auto"/>
          <w:szCs w:val="21"/>
          <w:highlight w:val="none"/>
        </w:rPr>
        <w:t>公司（联合体）郑重声明，根据《政府采购促进中小企业发展管理办法》（财库﹝2020﹞46号）的规定，本公司（联合体）参加</w:t>
      </w:r>
      <w:r>
        <w:rPr>
          <w:rFonts w:ascii="宋体" w:hAnsi="宋体"/>
          <w:color w:val="auto"/>
          <w:szCs w:val="21"/>
          <w:highlight w:val="none"/>
          <w:u w:val="single"/>
        </w:rPr>
        <w:t>（单位名称）</w:t>
      </w:r>
      <w:r>
        <w:rPr>
          <w:rFonts w:ascii="宋体" w:hAnsi="宋体"/>
          <w:color w:val="auto"/>
          <w:szCs w:val="21"/>
          <w:highlight w:val="none"/>
        </w:rPr>
        <w:t>的</w:t>
      </w:r>
      <w:r>
        <w:rPr>
          <w:rFonts w:ascii="宋体" w:hAnsi="宋体"/>
          <w:color w:val="auto"/>
          <w:szCs w:val="21"/>
          <w:highlight w:val="none"/>
          <w:u w:val="single"/>
        </w:rPr>
        <w:t>（项目名称）</w:t>
      </w:r>
      <w:r>
        <w:rPr>
          <w:rFonts w:ascii="宋体" w:hAnsi="宋体"/>
          <w:color w:val="auto"/>
          <w:szCs w:val="21"/>
          <w:highlight w:val="none"/>
        </w:rPr>
        <w:t>采购活动，</w:t>
      </w:r>
      <w:r>
        <w:rPr>
          <w:rFonts w:hint="eastAsia" w:ascii="宋体" w:hAnsi="宋体"/>
          <w:color w:val="auto"/>
          <w:szCs w:val="21"/>
          <w:highlight w:val="none"/>
        </w:rPr>
        <w:t>工程的施工单位</w:t>
      </w:r>
      <w:r>
        <w:rPr>
          <w:rFonts w:ascii="宋体" w:hAnsi="宋体"/>
          <w:color w:val="auto"/>
          <w:szCs w:val="21"/>
          <w:highlight w:val="none"/>
        </w:rPr>
        <w:t>全部</w:t>
      </w:r>
      <w:r>
        <w:rPr>
          <w:rFonts w:hint="eastAsia" w:ascii="宋体" w:hAnsi="宋体"/>
          <w:color w:val="auto"/>
          <w:szCs w:val="21"/>
          <w:highlight w:val="none"/>
        </w:rPr>
        <w:t>为</w:t>
      </w:r>
      <w:r>
        <w:rPr>
          <w:rFonts w:ascii="宋体" w:hAnsi="宋体"/>
          <w:color w:val="auto"/>
          <w:szCs w:val="21"/>
          <w:highlight w:val="none"/>
        </w:rPr>
        <w:t>符合政策要求的中小企业</w:t>
      </w:r>
      <w:r>
        <w:rPr>
          <w:rFonts w:hint="eastAsia" w:ascii="宋体" w:hAnsi="宋体"/>
          <w:color w:val="auto"/>
          <w:szCs w:val="21"/>
          <w:highlight w:val="none"/>
        </w:rPr>
        <w:t>（或者服务全部由符合政策要求的中小企业承接）</w:t>
      </w:r>
      <w:r>
        <w:rPr>
          <w:rFonts w:ascii="宋体" w:hAnsi="宋体"/>
          <w:color w:val="auto"/>
          <w:szCs w:val="21"/>
          <w:highlight w:val="none"/>
        </w:rPr>
        <w:t>。相关企业（含联合体中的中小企业、签订分包意向协议的中小企业）的具体情况如下：</w:t>
      </w:r>
    </w:p>
    <w:p w14:paraId="4B1EE2F8">
      <w:pPr>
        <w:spacing w:line="360" w:lineRule="auto"/>
        <w:ind w:left="420" w:left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 xml:space="preserve"> </w:t>
      </w:r>
      <w:r>
        <w:rPr>
          <w:rFonts w:ascii="宋体" w:hAnsi="宋体"/>
          <w:color w:val="auto"/>
          <w:szCs w:val="21"/>
          <w:highlight w:val="none"/>
          <w:u w:val="single"/>
        </w:rPr>
        <w:t>（标的名称）</w:t>
      </w:r>
      <w:r>
        <w:rPr>
          <w:rFonts w:hint="eastAsia" w:ascii="宋体" w:hAnsi="宋体"/>
          <w:color w:val="auto"/>
          <w:szCs w:val="21"/>
          <w:highlight w:val="none"/>
          <w:u w:val="single"/>
        </w:rPr>
        <w:t xml:space="preserve">   </w:t>
      </w:r>
      <w:r>
        <w:rPr>
          <w:rFonts w:ascii="宋体" w:hAnsi="宋体"/>
          <w:color w:val="auto"/>
          <w:szCs w:val="21"/>
          <w:highlight w:val="none"/>
        </w:rPr>
        <w:t>，属于</w:t>
      </w:r>
      <w:r>
        <w:rPr>
          <w:rFonts w:ascii="宋体" w:hAnsi="宋体"/>
          <w:color w:val="auto"/>
          <w:szCs w:val="21"/>
          <w:highlight w:val="none"/>
          <w:u w:val="single"/>
        </w:rPr>
        <w:t>（采购文件中明确的所属行业）</w:t>
      </w:r>
      <w:r>
        <w:rPr>
          <w:rFonts w:ascii="宋体" w:hAnsi="宋体"/>
          <w:color w:val="auto"/>
          <w:szCs w:val="21"/>
          <w:highlight w:val="none"/>
        </w:rPr>
        <w:t>行业；</w:t>
      </w:r>
      <w:r>
        <w:rPr>
          <w:rFonts w:hint="eastAsia" w:ascii="宋体" w:hAnsi="宋体"/>
          <w:color w:val="auto"/>
          <w:szCs w:val="21"/>
          <w:highlight w:val="none"/>
        </w:rPr>
        <w:t>承建（承接）企业为</w:t>
      </w:r>
      <w:r>
        <w:rPr>
          <w:rFonts w:hint="eastAsia" w:ascii="宋体" w:hAnsi="宋体"/>
          <w:color w:val="auto"/>
          <w:szCs w:val="21"/>
          <w:highlight w:val="none"/>
          <w:u w:val="single"/>
        </w:rPr>
        <w:t xml:space="preserve"> （企业名称）</w:t>
      </w:r>
      <w:r>
        <w:rPr>
          <w:rFonts w:ascii="宋体" w:hAnsi="宋体"/>
          <w:color w:val="auto"/>
          <w:szCs w:val="21"/>
          <w:highlight w:val="none"/>
        </w:rPr>
        <w:t>，从业人员</w:t>
      </w:r>
      <w:r>
        <w:rPr>
          <w:rFonts w:hint="eastAsia" w:ascii="宋体" w:hAnsi="宋体"/>
          <w:color w:val="auto"/>
          <w:szCs w:val="21"/>
          <w:highlight w:val="none"/>
          <w:u w:val="single"/>
        </w:rPr>
        <w:t xml:space="preserve">           </w:t>
      </w:r>
      <w:r>
        <w:rPr>
          <w:rFonts w:ascii="宋体" w:hAnsi="宋体"/>
          <w:color w:val="auto"/>
          <w:szCs w:val="21"/>
          <w:highlight w:val="none"/>
        </w:rPr>
        <w:t>人，营业收入为</w:t>
      </w:r>
      <w:r>
        <w:rPr>
          <w:rFonts w:hint="eastAsia" w:ascii="宋体" w:hAnsi="宋体"/>
          <w:color w:val="auto"/>
          <w:szCs w:val="21"/>
          <w:highlight w:val="none"/>
          <w:u w:val="single"/>
        </w:rPr>
        <w:t xml:space="preserve">          </w:t>
      </w:r>
      <w:r>
        <w:rPr>
          <w:rFonts w:ascii="宋体" w:hAnsi="宋体"/>
          <w:color w:val="auto"/>
          <w:szCs w:val="21"/>
          <w:highlight w:val="none"/>
        </w:rPr>
        <w:t>万元，资产总额为</w:t>
      </w:r>
      <w:r>
        <w:rPr>
          <w:rFonts w:hint="eastAsia" w:ascii="宋体" w:hAnsi="宋体"/>
          <w:color w:val="auto"/>
          <w:szCs w:val="21"/>
          <w:highlight w:val="none"/>
          <w:u w:val="single"/>
        </w:rPr>
        <w:t xml:space="preserve">                </w:t>
      </w:r>
      <w:r>
        <w:rPr>
          <w:rFonts w:ascii="宋体" w:hAnsi="宋体"/>
          <w:color w:val="auto"/>
          <w:szCs w:val="21"/>
          <w:highlight w:val="none"/>
        </w:rPr>
        <w:t>万元1，属于</w:t>
      </w:r>
      <w:r>
        <w:rPr>
          <w:rFonts w:ascii="宋体" w:hAnsi="宋体"/>
          <w:color w:val="auto"/>
          <w:szCs w:val="21"/>
          <w:highlight w:val="none"/>
          <w:u w:val="single"/>
        </w:rPr>
        <w:t>（中型企业、小型企业、微型企业）</w:t>
      </w:r>
      <w:r>
        <w:rPr>
          <w:rFonts w:ascii="宋体" w:hAnsi="宋体"/>
          <w:color w:val="auto"/>
          <w:szCs w:val="21"/>
          <w:highlight w:val="none"/>
        </w:rPr>
        <w:t>；</w:t>
      </w:r>
    </w:p>
    <w:p w14:paraId="3F788D91">
      <w:pPr>
        <w:spacing w:line="360" w:lineRule="auto"/>
        <w:ind w:firstLine="525" w:firstLineChars="250"/>
        <w:rPr>
          <w:rFonts w:ascii="宋体" w:hAnsi="宋体"/>
          <w:color w:val="auto"/>
          <w:szCs w:val="21"/>
          <w:highlight w:val="none"/>
        </w:rPr>
      </w:pPr>
      <w:r>
        <w:rPr>
          <w:rFonts w:ascii="宋体" w:hAnsi="宋体"/>
          <w:color w:val="auto"/>
          <w:szCs w:val="21"/>
          <w:highlight w:val="none"/>
        </w:rPr>
        <w:t>以上企业，不属于大企业的分支机构，不存在控股股东为大企业的情形，也不存在与大企业的负责人为同一人的情形。</w:t>
      </w:r>
    </w:p>
    <w:p w14:paraId="58E0A5B8">
      <w:pPr>
        <w:spacing w:line="360" w:lineRule="auto"/>
        <w:ind w:firstLine="525" w:firstLineChars="250"/>
        <w:rPr>
          <w:rFonts w:ascii="宋体" w:hAnsi="宋体"/>
          <w:color w:val="auto"/>
          <w:szCs w:val="21"/>
          <w:highlight w:val="none"/>
        </w:rPr>
      </w:pPr>
      <w:r>
        <w:rPr>
          <w:rFonts w:ascii="宋体" w:hAnsi="宋体"/>
          <w:color w:val="auto"/>
          <w:szCs w:val="21"/>
          <w:highlight w:val="none"/>
        </w:rPr>
        <w:t>本企业对上述声明内容的真实性负责。如有虚假，将依法承担相应责任。</w:t>
      </w:r>
    </w:p>
    <w:p w14:paraId="0AA2F30A">
      <w:pPr>
        <w:spacing w:line="360" w:lineRule="auto"/>
        <w:ind w:firstLine="525" w:firstLineChars="250"/>
        <w:rPr>
          <w:rFonts w:ascii="宋体" w:hAnsi="宋体"/>
          <w:color w:val="auto"/>
          <w:szCs w:val="21"/>
          <w:highlight w:val="none"/>
        </w:rPr>
      </w:pPr>
      <w:r>
        <w:rPr>
          <w:rFonts w:ascii="宋体" w:hAnsi="宋体"/>
          <w:color w:val="auto"/>
          <w:szCs w:val="21"/>
          <w:highlight w:val="none"/>
        </w:rPr>
        <w:t>从业人员、营业收入、资产总额填报上一年度数据，无上一年度数据的新成立企业可不填报。</w:t>
      </w:r>
    </w:p>
    <w:p w14:paraId="2D12545B">
      <w:pPr>
        <w:spacing w:line="360" w:lineRule="auto"/>
        <w:ind w:firstLine="4515" w:firstLineChars="2150"/>
        <w:jc w:val="right"/>
        <w:rPr>
          <w:rFonts w:ascii="宋体" w:hAnsi="宋体"/>
          <w:color w:val="auto"/>
          <w:szCs w:val="21"/>
          <w:highlight w:val="none"/>
        </w:rPr>
      </w:pPr>
    </w:p>
    <w:p w14:paraId="0833AFD8">
      <w:pPr>
        <w:spacing w:line="360" w:lineRule="auto"/>
        <w:ind w:firstLine="4515" w:firstLineChars="2150"/>
        <w:jc w:val="right"/>
        <w:rPr>
          <w:rFonts w:ascii="宋体" w:hAnsi="宋体"/>
          <w:color w:val="auto"/>
          <w:spacing w:val="20"/>
          <w:szCs w:val="21"/>
          <w:highlight w:val="none"/>
          <w:u w:val="single"/>
        </w:rPr>
      </w:pPr>
      <w:r>
        <w:rPr>
          <w:rFonts w:ascii="宋体" w:hAnsi="宋体"/>
          <w:color w:val="auto"/>
          <w:szCs w:val="21"/>
          <w:highlight w:val="none"/>
        </w:rPr>
        <w:t>企业称（盖章）</w:t>
      </w:r>
      <w:r>
        <w:rPr>
          <w:rFonts w:hint="eastAsia" w:ascii="宋体" w:hAnsi="宋体"/>
          <w:color w:val="auto"/>
          <w:szCs w:val="21"/>
          <w:highlight w:val="none"/>
        </w:rPr>
        <w:t>：</w:t>
      </w:r>
    </w:p>
    <w:p w14:paraId="2DA4CFED">
      <w:pPr>
        <w:pStyle w:val="29"/>
        <w:spacing w:before="120" w:after="120" w:line="360" w:lineRule="auto"/>
        <w:ind w:left="1340" w:hanging="500"/>
        <w:jc w:val="right"/>
        <w:rPr>
          <w:rFonts w:hAnsi="宋体"/>
          <w:b/>
          <w:color w:val="auto"/>
          <w:szCs w:val="21"/>
          <w:highlight w:val="none"/>
        </w:rPr>
      </w:pPr>
      <w:r>
        <w:rPr>
          <w:rFonts w:hint="eastAsia" w:hAnsi="宋体"/>
          <w:color w:val="auto"/>
          <w:spacing w:val="20"/>
          <w:szCs w:val="21"/>
          <w:highlight w:val="none"/>
        </w:rPr>
        <w:t xml:space="preserve">             日     期：</w:t>
      </w:r>
    </w:p>
    <w:p w14:paraId="5F95D32B">
      <w:pPr>
        <w:spacing w:line="360" w:lineRule="auto"/>
        <w:ind w:firstLine="422" w:firstLineChars="200"/>
        <w:rPr>
          <w:rFonts w:asciiTheme="minorEastAsia" w:hAnsiTheme="minorEastAsia" w:eastAsiaTheme="minorEastAsia"/>
          <w:b/>
          <w:color w:val="auto"/>
          <w:szCs w:val="21"/>
          <w:highlight w:val="none"/>
        </w:rPr>
      </w:pPr>
    </w:p>
    <w:p w14:paraId="6F1BF3D7">
      <w:pPr>
        <w:spacing w:line="360" w:lineRule="auto"/>
        <w:ind w:firstLine="422" w:firstLineChars="200"/>
        <w:rPr>
          <w:rFonts w:asciiTheme="minorEastAsia" w:hAnsiTheme="minorEastAsia" w:eastAsiaTheme="minorEastAsia"/>
          <w:b/>
          <w:color w:val="auto"/>
          <w:szCs w:val="21"/>
          <w:highlight w:val="none"/>
        </w:rPr>
      </w:pPr>
    </w:p>
    <w:p w14:paraId="3CF05291">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10</w:t>
      </w:r>
      <w:r>
        <w:rPr>
          <w:rFonts w:hint="eastAsia" w:asciiTheme="minorEastAsia" w:hAnsiTheme="minorEastAsia" w:eastAsiaTheme="minorEastAsia"/>
          <w:b/>
          <w:color w:val="auto"/>
          <w:szCs w:val="21"/>
          <w:highlight w:val="none"/>
        </w:rPr>
        <w:t>、</w:t>
      </w:r>
    </w:p>
    <w:p w14:paraId="78E79E27">
      <w:pPr>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残疾人福利性单位声明函</w:t>
      </w:r>
      <w:r>
        <w:rPr>
          <w:rFonts w:hint="eastAsia" w:asciiTheme="minorEastAsia" w:hAnsiTheme="minorEastAsia" w:eastAsiaTheme="minorEastAsia"/>
          <w:b/>
          <w:bCs/>
          <w:color w:val="auto"/>
          <w:szCs w:val="21"/>
          <w:highlight w:val="none"/>
        </w:rPr>
        <w:t>（附件8）</w:t>
      </w:r>
    </w:p>
    <w:p w14:paraId="1A71F3D2">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D6B2376">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本单位对上述声明的真实性负责。如有虚假，将依法承担相应责任</w:t>
      </w:r>
    </w:p>
    <w:p w14:paraId="5B5805B4">
      <w:pPr>
        <w:spacing w:line="360" w:lineRule="auto"/>
        <w:ind w:firstLine="420" w:firstLineChars="200"/>
        <w:rPr>
          <w:rFonts w:asciiTheme="minorEastAsia" w:hAnsiTheme="minorEastAsia" w:eastAsiaTheme="minorEastAsia"/>
          <w:color w:val="auto"/>
          <w:szCs w:val="21"/>
          <w:highlight w:val="none"/>
        </w:rPr>
      </w:pPr>
    </w:p>
    <w:p w14:paraId="73DF7497">
      <w:pPr>
        <w:spacing w:before="120" w:beforeLines="50" w:line="360" w:lineRule="auto"/>
        <w:ind w:firstLine="1000" w:firstLineChars="400"/>
        <w:jc w:val="right"/>
        <w:rPr>
          <w:rFonts w:asciiTheme="minorEastAsia" w:hAnsiTheme="minorEastAsia" w:eastAsiaTheme="minorEastAsia"/>
          <w:color w:val="auto"/>
          <w:szCs w:val="21"/>
          <w:highlight w:val="none"/>
        </w:rPr>
      </w:pPr>
      <w:r>
        <w:rPr>
          <w:rFonts w:asciiTheme="minorEastAsia" w:hAnsiTheme="minorEastAsia" w:eastAsiaTheme="minorEastAsia"/>
          <w:color w:val="auto"/>
          <w:spacing w:val="20"/>
          <w:szCs w:val="21"/>
          <w:highlight w:val="none"/>
        </w:rPr>
        <w:t>法定代表人或委托代理人</w:t>
      </w:r>
      <w:r>
        <w:rPr>
          <w:rFonts w:hint="eastAsia" w:asciiTheme="minorEastAsia" w:hAnsiTheme="minorEastAsia" w:eastAsiaTheme="minorEastAsia"/>
          <w:color w:val="auto"/>
          <w:spacing w:val="20"/>
          <w:szCs w:val="21"/>
          <w:highlight w:val="none"/>
        </w:rPr>
        <w:t>签名（或盖章）：</w:t>
      </w:r>
    </w:p>
    <w:p w14:paraId="071FD175">
      <w:pPr>
        <w:spacing w:line="360" w:lineRule="auto"/>
        <w:ind w:firstLine="500" w:firstLineChars="200"/>
        <w:jc w:val="right"/>
        <w:rPr>
          <w:rFonts w:asciiTheme="minorEastAsia" w:hAnsiTheme="minorEastAsia" w:eastAsiaTheme="minorEastAsia"/>
          <w:color w:val="auto"/>
          <w:spacing w:val="20"/>
          <w:szCs w:val="21"/>
          <w:highlight w:val="none"/>
          <w:u w:val="single"/>
        </w:rPr>
      </w:pPr>
      <w:r>
        <w:rPr>
          <w:rFonts w:hint="eastAsia" w:asciiTheme="minorEastAsia" w:hAnsiTheme="minorEastAsia" w:eastAsiaTheme="minorEastAsia"/>
          <w:color w:val="auto"/>
          <w:spacing w:val="20"/>
          <w:szCs w:val="21"/>
          <w:highlight w:val="none"/>
        </w:rPr>
        <w:t xml:space="preserve">                            投标人盖章：</w:t>
      </w:r>
    </w:p>
    <w:p w14:paraId="0CDD80ED">
      <w:pPr>
        <w:pStyle w:val="29"/>
        <w:spacing w:before="120" w:after="120" w:line="360" w:lineRule="auto"/>
        <w:ind w:firstLine="420"/>
        <w:jc w:val="right"/>
        <w:rPr>
          <w:rFonts w:asciiTheme="minorEastAsia" w:hAnsiTheme="minorEastAsia" w:eastAsiaTheme="minorEastAsia"/>
          <w:b/>
          <w:color w:val="auto"/>
          <w:szCs w:val="21"/>
          <w:highlight w:val="none"/>
        </w:rPr>
      </w:pPr>
      <w:r>
        <w:rPr>
          <w:rFonts w:hint="eastAsia" w:asciiTheme="minorEastAsia" w:hAnsiTheme="minorEastAsia" w:eastAsiaTheme="minorEastAsia"/>
          <w:color w:val="auto"/>
          <w:spacing w:val="20"/>
          <w:szCs w:val="21"/>
          <w:highlight w:val="none"/>
        </w:rPr>
        <w:t xml:space="preserve"> 日     期：</w:t>
      </w:r>
    </w:p>
    <w:p w14:paraId="1D29E99E">
      <w:pPr>
        <w:snapToGrid w:val="0"/>
        <w:spacing w:line="360" w:lineRule="auto"/>
        <w:rPr>
          <w:rFonts w:asciiTheme="minorEastAsia" w:hAnsiTheme="minorEastAsia" w:eastAsiaTheme="minorEastAsia"/>
          <w:color w:val="auto"/>
          <w:spacing w:val="20"/>
          <w:szCs w:val="21"/>
          <w:highlight w:val="none"/>
        </w:rPr>
      </w:pPr>
    </w:p>
    <w:p w14:paraId="5DED8285">
      <w:pPr>
        <w:snapToGrid w:val="0"/>
        <w:spacing w:line="360" w:lineRule="auto"/>
        <w:rPr>
          <w:rFonts w:asciiTheme="minorEastAsia" w:hAnsiTheme="minorEastAsia" w:eastAsiaTheme="minorEastAsia"/>
          <w:color w:val="auto"/>
          <w:spacing w:val="20"/>
          <w:szCs w:val="21"/>
          <w:highlight w:val="none"/>
        </w:rPr>
      </w:pPr>
    </w:p>
    <w:p w14:paraId="2AF66C1F">
      <w:pPr>
        <w:snapToGrid w:val="0"/>
        <w:spacing w:line="360" w:lineRule="auto"/>
        <w:rPr>
          <w:rFonts w:asciiTheme="minorEastAsia" w:hAnsiTheme="minorEastAsia" w:eastAsiaTheme="minorEastAsia"/>
          <w:color w:val="auto"/>
          <w:spacing w:val="20"/>
          <w:szCs w:val="21"/>
          <w:highlight w:val="none"/>
        </w:rPr>
      </w:pPr>
    </w:p>
    <w:p w14:paraId="232AF027">
      <w:pPr>
        <w:snapToGrid w:val="0"/>
        <w:spacing w:line="360" w:lineRule="auto"/>
        <w:rPr>
          <w:rStyle w:val="748"/>
          <w:rFonts w:asciiTheme="minorEastAsia" w:hAnsiTheme="minorEastAsia" w:eastAsiaTheme="minorEastAsia"/>
          <w:b/>
          <w:color w:val="auto"/>
          <w:szCs w:val="21"/>
          <w:highlight w:val="none"/>
        </w:rPr>
      </w:pPr>
    </w:p>
    <w:p w14:paraId="7BC84C40">
      <w:pPr>
        <w:snapToGrid w:val="0"/>
        <w:spacing w:line="360" w:lineRule="auto"/>
        <w:rPr>
          <w:rStyle w:val="748"/>
          <w:rFonts w:asciiTheme="minorEastAsia" w:hAnsiTheme="minorEastAsia" w:eastAsiaTheme="minorEastAsia"/>
          <w:b/>
          <w:color w:val="auto"/>
          <w:szCs w:val="21"/>
          <w:highlight w:val="none"/>
        </w:rPr>
      </w:pPr>
      <w:r>
        <w:rPr>
          <w:rStyle w:val="748"/>
          <w:rFonts w:hint="eastAsia" w:asciiTheme="minorEastAsia" w:hAnsiTheme="minorEastAsia" w:eastAsiaTheme="minorEastAsia"/>
          <w:b/>
          <w:color w:val="auto"/>
          <w:szCs w:val="21"/>
          <w:highlight w:val="none"/>
        </w:rPr>
        <w:t>1</w:t>
      </w:r>
      <w:r>
        <w:rPr>
          <w:rStyle w:val="748"/>
          <w:rFonts w:asciiTheme="minorEastAsia" w:hAnsiTheme="minorEastAsia" w:eastAsiaTheme="minorEastAsia"/>
          <w:b/>
          <w:color w:val="auto"/>
          <w:szCs w:val="21"/>
          <w:highlight w:val="none"/>
        </w:rPr>
        <w:t>1</w:t>
      </w:r>
      <w:r>
        <w:rPr>
          <w:rStyle w:val="748"/>
          <w:rFonts w:hint="eastAsia" w:asciiTheme="minorEastAsia" w:hAnsiTheme="minorEastAsia" w:eastAsiaTheme="minorEastAsia"/>
          <w:b/>
          <w:color w:val="auto"/>
          <w:szCs w:val="21"/>
          <w:highlight w:val="none"/>
        </w:rPr>
        <w:t>、劳动用工书面承诺</w:t>
      </w:r>
      <w:r>
        <w:rPr>
          <w:rFonts w:hint="eastAsia" w:asciiTheme="minorEastAsia" w:hAnsiTheme="minorEastAsia" w:eastAsiaTheme="minorEastAsia"/>
          <w:b/>
          <w:bCs/>
          <w:color w:val="auto"/>
          <w:szCs w:val="21"/>
          <w:highlight w:val="none"/>
        </w:rPr>
        <w:t>（附件9）</w:t>
      </w:r>
    </w:p>
    <w:p w14:paraId="3D37CF10">
      <w:pPr>
        <w:snapToGrid w:val="0"/>
        <w:spacing w:line="360" w:lineRule="auto"/>
        <w:ind w:left="237" w:leftChars="113" w:firstLine="420" w:firstLineChars="200"/>
        <w:rPr>
          <w:rStyle w:val="748"/>
          <w:rFonts w:asciiTheme="minorEastAsia" w:hAnsiTheme="minorEastAsia" w:eastAsiaTheme="minorEastAsia"/>
          <w:color w:val="auto"/>
          <w:szCs w:val="21"/>
          <w:highlight w:val="none"/>
        </w:rPr>
      </w:pPr>
      <w:r>
        <w:rPr>
          <w:rStyle w:val="748"/>
          <w:rFonts w:hint="eastAsia" w:asciiTheme="minorEastAsia" w:hAnsiTheme="minorEastAsia" w:eastAsiaTheme="minorEastAsia"/>
          <w:color w:val="auto"/>
          <w:szCs w:val="21"/>
          <w:highlight w:val="none"/>
        </w:rPr>
        <w:t>如我公司在本次公开招标中标后成为中标供应商，我公司将严格遵守《劳动法》及《劳动合同法》的相关规定，按招标文件的要求及我公司投标文件文件配置服务人员，按国家规定为员工缴纳社会保险，员工的工资标准不低于嘉兴市最低工资标准，并将所有条款写入劳动用工合同。</w:t>
      </w:r>
    </w:p>
    <w:p w14:paraId="18EBA349">
      <w:pPr>
        <w:snapToGrid w:val="0"/>
        <w:spacing w:line="360" w:lineRule="auto"/>
        <w:ind w:left="237" w:leftChars="113" w:firstLine="420" w:firstLineChars="200"/>
        <w:rPr>
          <w:rStyle w:val="748"/>
          <w:rFonts w:asciiTheme="minorEastAsia" w:hAnsiTheme="minorEastAsia" w:eastAsiaTheme="minorEastAsia"/>
          <w:color w:val="auto"/>
          <w:szCs w:val="21"/>
          <w:highlight w:val="none"/>
        </w:rPr>
      </w:pPr>
      <w:r>
        <w:rPr>
          <w:rStyle w:val="748"/>
          <w:rFonts w:hint="eastAsia" w:asciiTheme="minorEastAsia" w:hAnsiTheme="minorEastAsia" w:eastAsiaTheme="minorEastAsia"/>
          <w:color w:val="auto"/>
          <w:szCs w:val="21"/>
          <w:highlight w:val="none"/>
        </w:rPr>
        <w:t>特此承诺。</w:t>
      </w:r>
    </w:p>
    <w:p w14:paraId="6BD655C0">
      <w:pPr>
        <w:snapToGrid w:val="0"/>
        <w:spacing w:line="360" w:lineRule="auto"/>
        <w:ind w:left="238" w:firstLine="1680" w:firstLineChars="800"/>
        <w:jc w:val="right"/>
        <w:rPr>
          <w:rStyle w:val="748"/>
          <w:rFonts w:asciiTheme="minorEastAsia" w:hAnsiTheme="minorEastAsia" w:eastAsiaTheme="minorEastAsia"/>
          <w:color w:val="auto"/>
          <w:szCs w:val="21"/>
          <w:highlight w:val="none"/>
        </w:rPr>
      </w:pPr>
    </w:p>
    <w:p w14:paraId="0B2179ED">
      <w:pPr>
        <w:snapToGrid w:val="0"/>
        <w:spacing w:line="360" w:lineRule="auto"/>
        <w:ind w:left="238" w:firstLine="1680" w:firstLineChars="800"/>
        <w:jc w:val="right"/>
        <w:rPr>
          <w:rStyle w:val="748"/>
          <w:rFonts w:asciiTheme="minorEastAsia" w:hAnsiTheme="minorEastAsia" w:eastAsiaTheme="minorEastAsia"/>
          <w:color w:val="auto"/>
          <w:szCs w:val="21"/>
          <w:highlight w:val="none"/>
        </w:rPr>
      </w:pPr>
      <w:r>
        <w:rPr>
          <w:rStyle w:val="748"/>
          <w:rFonts w:hint="eastAsia" w:asciiTheme="minorEastAsia" w:hAnsiTheme="minorEastAsia" w:eastAsiaTheme="minorEastAsia"/>
          <w:color w:val="auto"/>
          <w:szCs w:val="21"/>
          <w:highlight w:val="none"/>
        </w:rPr>
        <w:t>　　                           投标人（盖章）：</w:t>
      </w:r>
    </w:p>
    <w:p w14:paraId="648AC09B">
      <w:pPr>
        <w:pStyle w:val="3"/>
        <w:rPr>
          <w:color w:val="auto"/>
          <w:highlight w:val="none"/>
        </w:rPr>
      </w:pPr>
    </w:p>
    <w:p w14:paraId="3C529AA2">
      <w:pPr>
        <w:pStyle w:val="755"/>
        <w:spacing w:line="360" w:lineRule="auto"/>
        <w:rPr>
          <w:rStyle w:val="748"/>
          <w:rFonts w:asciiTheme="minorEastAsia" w:hAnsiTheme="minorEastAsia" w:eastAsiaTheme="minorEastAsia"/>
          <w:b/>
          <w:color w:val="auto"/>
          <w:sz w:val="21"/>
          <w:szCs w:val="21"/>
          <w:highlight w:val="none"/>
        </w:rPr>
      </w:pPr>
      <w:r>
        <w:rPr>
          <w:rStyle w:val="748"/>
          <w:rFonts w:hint="eastAsia" w:asciiTheme="minorEastAsia" w:hAnsiTheme="minorEastAsia" w:eastAsiaTheme="minorEastAsia"/>
          <w:b/>
          <w:color w:val="auto"/>
          <w:sz w:val="21"/>
          <w:szCs w:val="21"/>
          <w:highlight w:val="none"/>
        </w:rPr>
        <w:t>1</w:t>
      </w:r>
      <w:r>
        <w:rPr>
          <w:rStyle w:val="748"/>
          <w:rFonts w:asciiTheme="minorEastAsia" w:hAnsiTheme="minorEastAsia" w:eastAsiaTheme="minorEastAsia"/>
          <w:b/>
          <w:color w:val="auto"/>
          <w:sz w:val="21"/>
          <w:szCs w:val="21"/>
          <w:highlight w:val="none"/>
        </w:rPr>
        <w:t>2</w:t>
      </w:r>
      <w:r>
        <w:rPr>
          <w:rStyle w:val="748"/>
          <w:rFonts w:hint="eastAsia" w:asciiTheme="minorEastAsia" w:hAnsiTheme="minorEastAsia" w:eastAsiaTheme="minorEastAsia"/>
          <w:b/>
          <w:color w:val="auto"/>
          <w:sz w:val="21"/>
          <w:szCs w:val="21"/>
          <w:highlight w:val="none"/>
        </w:rPr>
        <w:t>、                               商务响应表（附件10）</w:t>
      </w:r>
    </w:p>
    <w:tbl>
      <w:tblPr>
        <w:tblStyle w:val="54"/>
        <w:tblW w:w="8490" w:type="dxa"/>
        <w:tblInd w:w="275"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909"/>
        <w:gridCol w:w="3085"/>
        <w:gridCol w:w="3085"/>
        <w:gridCol w:w="1411"/>
      </w:tblGrid>
      <w:tr w14:paraId="1AD0192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909" w:type="dxa"/>
            <w:tcBorders>
              <w:top w:val="single" w:color="000000" w:sz="12" w:space="0"/>
              <w:left w:val="single" w:color="000000" w:sz="12" w:space="0"/>
              <w:bottom w:val="single" w:color="000000" w:sz="4" w:space="0"/>
              <w:right w:val="single" w:color="000000" w:sz="4" w:space="0"/>
            </w:tcBorders>
          </w:tcPr>
          <w:p w14:paraId="643E93FC">
            <w:pPr>
              <w:spacing w:line="360" w:lineRule="auto"/>
              <w:jc w:val="center"/>
              <w:rPr>
                <w:rStyle w:val="748"/>
                <w:rFonts w:asciiTheme="minorEastAsia" w:hAnsiTheme="minorEastAsia" w:eastAsiaTheme="minorEastAsia"/>
                <w:color w:val="auto"/>
                <w:szCs w:val="21"/>
                <w:highlight w:val="none"/>
              </w:rPr>
            </w:pPr>
            <w:r>
              <w:rPr>
                <w:rStyle w:val="748"/>
                <w:rFonts w:hint="eastAsia" w:asciiTheme="minorEastAsia" w:hAnsiTheme="minorEastAsia" w:eastAsiaTheme="minorEastAsia"/>
                <w:color w:val="auto"/>
                <w:szCs w:val="21"/>
                <w:highlight w:val="none"/>
              </w:rPr>
              <w:t>序号</w:t>
            </w:r>
          </w:p>
        </w:tc>
        <w:tc>
          <w:tcPr>
            <w:tcW w:w="3085" w:type="dxa"/>
            <w:tcBorders>
              <w:top w:val="single" w:color="000000" w:sz="12" w:space="0"/>
              <w:left w:val="single" w:color="000000" w:sz="4" w:space="0"/>
              <w:bottom w:val="single" w:color="000000" w:sz="4" w:space="0"/>
              <w:right w:val="single" w:color="000000" w:sz="4" w:space="0"/>
            </w:tcBorders>
          </w:tcPr>
          <w:p w14:paraId="7B9B8376">
            <w:pPr>
              <w:spacing w:line="360" w:lineRule="auto"/>
              <w:jc w:val="center"/>
              <w:rPr>
                <w:rStyle w:val="748"/>
                <w:rFonts w:asciiTheme="minorEastAsia" w:hAnsiTheme="minorEastAsia" w:eastAsiaTheme="minorEastAsia"/>
                <w:color w:val="auto"/>
                <w:szCs w:val="21"/>
                <w:highlight w:val="none"/>
              </w:rPr>
            </w:pPr>
            <w:r>
              <w:rPr>
                <w:rStyle w:val="748"/>
                <w:rFonts w:hint="eastAsia" w:asciiTheme="minorEastAsia" w:hAnsiTheme="minorEastAsia" w:eastAsiaTheme="minorEastAsia"/>
                <w:color w:val="auto"/>
                <w:szCs w:val="21"/>
                <w:highlight w:val="none"/>
              </w:rPr>
              <w:t>招标文件的规定</w:t>
            </w:r>
          </w:p>
        </w:tc>
        <w:tc>
          <w:tcPr>
            <w:tcW w:w="3085" w:type="dxa"/>
            <w:tcBorders>
              <w:top w:val="single" w:color="000000" w:sz="12" w:space="0"/>
              <w:left w:val="single" w:color="000000" w:sz="4" w:space="0"/>
              <w:bottom w:val="single" w:color="000000" w:sz="4" w:space="0"/>
              <w:right w:val="single" w:color="000000" w:sz="4" w:space="0"/>
            </w:tcBorders>
          </w:tcPr>
          <w:p w14:paraId="58469C29">
            <w:pPr>
              <w:spacing w:line="360" w:lineRule="auto"/>
              <w:jc w:val="center"/>
              <w:rPr>
                <w:rStyle w:val="748"/>
                <w:rFonts w:asciiTheme="minorEastAsia" w:hAnsiTheme="minorEastAsia" w:eastAsiaTheme="minorEastAsia"/>
                <w:color w:val="auto"/>
                <w:szCs w:val="21"/>
                <w:highlight w:val="none"/>
              </w:rPr>
            </w:pPr>
            <w:r>
              <w:rPr>
                <w:rStyle w:val="748"/>
                <w:rFonts w:hint="eastAsia" w:asciiTheme="minorEastAsia" w:hAnsiTheme="minorEastAsia" w:eastAsiaTheme="minorEastAsia"/>
                <w:color w:val="auto"/>
                <w:szCs w:val="21"/>
                <w:highlight w:val="none"/>
              </w:rPr>
              <w:t>投标文件的相应</w:t>
            </w:r>
          </w:p>
        </w:tc>
        <w:tc>
          <w:tcPr>
            <w:tcW w:w="1411" w:type="dxa"/>
            <w:tcBorders>
              <w:top w:val="single" w:color="000000" w:sz="12" w:space="0"/>
              <w:left w:val="single" w:color="000000" w:sz="4" w:space="0"/>
              <w:bottom w:val="single" w:color="000000" w:sz="4" w:space="0"/>
              <w:right w:val="single" w:color="000000" w:sz="12" w:space="0"/>
            </w:tcBorders>
          </w:tcPr>
          <w:p w14:paraId="08DE8830">
            <w:pPr>
              <w:spacing w:line="360" w:lineRule="auto"/>
              <w:jc w:val="center"/>
              <w:rPr>
                <w:rStyle w:val="748"/>
                <w:rFonts w:asciiTheme="minorEastAsia" w:hAnsiTheme="minorEastAsia" w:eastAsiaTheme="minorEastAsia"/>
                <w:color w:val="auto"/>
                <w:szCs w:val="21"/>
                <w:highlight w:val="none"/>
              </w:rPr>
            </w:pPr>
            <w:r>
              <w:rPr>
                <w:rStyle w:val="748"/>
                <w:rFonts w:hint="eastAsia" w:asciiTheme="minorEastAsia" w:hAnsiTheme="minorEastAsia" w:eastAsiaTheme="minorEastAsia"/>
                <w:color w:val="auto"/>
                <w:szCs w:val="21"/>
                <w:highlight w:val="none"/>
              </w:rPr>
              <w:t>偏离说明</w:t>
            </w:r>
          </w:p>
        </w:tc>
      </w:tr>
      <w:tr w14:paraId="584154A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909" w:type="dxa"/>
            <w:tcBorders>
              <w:top w:val="single" w:color="000000" w:sz="4" w:space="0"/>
              <w:left w:val="single" w:color="000000" w:sz="12" w:space="0"/>
              <w:bottom w:val="single" w:color="000000" w:sz="4" w:space="0"/>
              <w:right w:val="single" w:color="000000" w:sz="4" w:space="0"/>
            </w:tcBorders>
          </w:tcPr>
          <w:p w14:paraId="2A8E9268">
            <w:pPr>
              <w:spacing w:line="360" w:lineRule="auto"/>
              <w:rPr>
                <w:rStyle w:val="748"/>
                <w:rFonts w:asciiTheme="minorEastAsia" w:hAnsiTheme="minorEastAsia" w:eastAsiaTheme="minorEastAsia"/>
                <w:color w:val="auto"/>
                <w:szCs w:val="21"/>
                <w:highlight w:val="none"/>
              </w:rPr>
            </w:pPr>
          </w:p>
        </w:tc>
        <w:tc>
          <w:tcPr>
            <w:tcW w:w="3085" w:type="dxa"/>
            <w:tcBorders>
              <w:top w:val="single" w:color="000000" w:sz="4" w:space="0"/>
              <w:left w:val="single" w:color="000000" w:sz="4" w:space="0"/>
              <w:bottom w:val="single" w:color="000000" w:sz="4" w:space="0"/>
              <w:right w:val="single" w:color="000000" w:sz="4" w:space="0"/>
            </w:tcBorders>
          </w:tcPr>
          <w:p w14:paraId="154A870F">
            <w:pPr>
              <w:spacing w:line="360" w:lineRule="auto"/>
              <w:rPr>
                <w:rStyle w:val="748"/>
                <w:rFonts w:asciiTheme="minorEastAsia" w:hAnsiTheme="minorEastAsia" w:eastAsiaTheme="minorEastAsia"/>
                <w:color w:val="auto"/>
                <w:szCs w:val="21"/>
                <w:highlight w:val="none"/>
              </w:rPr>
            </w:pPr>
          </w:p>
        </w:tc>
        <w:tc>
          <w:tcPr>
            <w:tcW w:w="3085" w:type="dxa"/>
            <w:tcBorders>
              <w:top w:val="single" w:color="000000" w:sz="4" w:space="0"/>
              <w:left w:val="single" w:color="000000" w:sz="4" w:space="0"/>
              <w:bottom w:val="single" w:color="000000" w:sz="4" w:space="0"/>
              <w:right w:val="single" w:color="000000" w:sz="4" w:space="0"/>
            </w:tcBorders>
          </w:tcPr>
          <w:p w14:paraId="70628592">
            <w:pPr>
              <w:spacing w:line="360" w:lineRule="auto"/>
              <w:rPr>
                <w:rStyle w:val="748"/>
                <w:rFonts w:asciiTheme="minorEastAsia" w:hAnsiTheme="minorEastAsia" w:eastAsiaTheme="minorEastAsia"/>
                <w:color w:val="auto"/>
                <w:szCs w:val="21"/>
                <w:highlight w:val="none"/>
              </w:rPr>
            </w:pPr>
          </w:p>
        </w:tc>
        <w:tc>
          <w:tcPr>
            <w:tcW w:w="1411" w:type="dxa"/>
            <w:tcBorders>
              <w:top w:val="single" w:color="000000" w:sz="4" w:space="0"/>
              <w:left w:val="single" w:color="000000" w:sz="4" w:space="0"/>
              <w:bottom w:val="single" w:color="000000" w:sz="4" w:space="0"/>
              <w:right w:val="single" w:color="000000" w:sz="12" w:space="0"/>
            </w:tcBorders>
          </w:tcPr>
          <w:p w14:paraId="6E82D56B">
            <w:pPr>
              <w:spacing w:line="360" w:lineRule="auto"/>
              <w:rPr>
                <w:rStyle w:val="748"/>
                <w:rFonts w:asciiTheme="minorEastAsia" w:hAnsiTheme="minorEastAsia" w:eastAsiaTheme="minorEastAsia"/>
                <w:color w:val="auto"/>
                <w:szCs w:val="21"/>
                <w:highlight w:val="none"/>
              </w:rPr>
            </w:pPr>
          </w:p>
        </w:tc>
      </w:tr>
      <w:tr w14:paraId="604DBE4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909" w:type="dxa"/>
            <w:tcBorders>
              <w:top w:val="single" w:color="000000" w:sz="4" w:space="0"/>
              <w:left w:val="single" w:color="000000" w:sz="12" w:space="0"/>
              <w:bottom w:val="single" w:color="000000" w:sz="4" w:space="0"/>
              <w:right w:val="single" w:color="000000" w:sz="4" w:space="0"/>
            </w:tcBorders>
          </w:tcPr>
          <w:p w14:paraId="79ADE9C8">
            <w:pPr>
              <w:spacing w:line="360" w:lineRule="auto"/>
              <w:rPr>
                <w:rStyle w:val="748"/>
                <w:rFonts w:asciiTheme="minorEastAsia" w:hAnsiTheme="minorEastAsia" w:eastAsiaTheme="minorEastAsia"/>
                <w:color w:val="auto"/>
                <w:szCs w:val="21"/>
                <w:highlight w:val="none"/>
              </w:rPr>
            </w:pPr>
          </w:p>
        </w:tc>
        <w:tc>
          <w:tcPr>
            <w:tcW w:w="3085" w:type="dxa"/>
            <w:tcBorders>
              <w:top w:val="single" w:color="000000" w:sz="4" w:space="0"/>
              <w:left w:val="single" w:color="000000" w:sz="4" w:space="0"/>
              <w:bottom w:val="single" w:color="000000" w:sz="4" w:space="0"/>
              <w:right w:val="single" w:color="000000" w:sz="4" w:space="0"/>
            </w:tcBorders>
          </w:tcPr>
          <w:p w14:paraId="4927EE8A">
            <w:pPr>
              <w:spacing w:line="360" w:lineRule="auto"/>
              <w:rPr>
                <w:rStyle w:val="748"/>
                <w:rFonts w:asciiTheme="minorEastAsia" w:hAnsiTheme="minorEastAsia" w:eastAsiaTheme="minorEastAsia"/>
                <w:color w:val="auto"/>
                <w:szCs w:val="21"/>
                <w:highlight w:val="none"/>
              </w:rPr>
            </w:pPr>
          </w:p>
        </w:tc>
        <w:tc>
          <w:tcPr>
            <w:tcW w:w="3085" w:type="dxa"/>
            <w:tcBorders>
              <w:top w:val="single" w:color="000000" w:sz="4" w:space="0"/>
              <w:left w:val="single" w:color="000000" w:sz="4" w:space="0"/>
              <w:bottom w:val="single" w:color="000000" w:sz="4" w:space="0"/>
              <w:right w:val="single" w:color="000000" w:sz="4" w:space="0"/>
            </w:tcBorders>
          </w:tcPr>
          <w:p w14:paraId="66123589">
            <w:pPr>
              <w:spacing w:line="360" w:lineRule="auto"/>
              <w:rPr>
                <w:rStyle w:val="748"/>
                <w:rFonts w:asciiTheme="minorEastAsia" w:hAnsiTheme="minorEastAsia" w:eastAsiaTheme="minorEastAsia"/>
                <w:color w:val="auto"/>
                <w:szCs w:val="21"/>
                <w:highlight w:val="none"/>
              </w:rPr>
            </w:pPr>
          </w:p>
        </w:tc>
        <w:tc>
          <w:tcPr>
            <w:tcW w:w="1411" w:type="dxa"/>
            <w:tcBorders>
              <w:top w:val="single" w:color="000000" w:sz="4" w:space="0"/>
              <w:left w:val="single" w:color="000000" w:sz="4" w:space="0"/>
              <w:bottom w:val="single" w:color="000000" w:sz="4" w:space="0"/>
              <w:right w:val="single" w:color="000000" w:sz="12" w:space="0"/>
            </w:tcBorders>
          </w:tcPr>
          <w:p w14:paraId="0EC99B2E">
            <w:pPr>
              <w:spacing w:line="360" w:lineRule="auto"/>
              <w:rPr>
                <w:rStyle w:val="748"/>
                <w:rFonts w:asciiTheme="minorEastAsia" w:hAnsiTheme="minorEastAsia" w:eastAsiaTheme="minorEastAsia"/>
                <w:color w:val="auto"/>
                <w:szCs w:val="21"/>
                <w:highlight w:val="none"/>
              </w:rPr>
            </w:pPr>
          </w:p>
        </w:tc>
      </w:tr>
      <w:tr w14:paraId="601DB54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909" w:type="dxa"/>
            <w:tcBorders>
              <w:top w:val="single" w:color="000000" w:sz="4" w:space="0"/>
              <w:left w:val="single" w:color="000000" w:sz="12" w:space="0"/>
              <w:bottom w:val="single" w:color="000000" w:sz="12" w:space="0"/>
              <w:right w:val="single" w:color="000000" w:sz="4" w:space="0"/>
            </w:tcBorders>
          </w:tcPr>
          <w:p w14:paraId="2DE12454">
            <w:pPr>
              <w:spacing w:line="360" w:lineRule="auto"/>
              <w:rPr>
                <w:rStyle w:val="748"/>
                <w:rFonts w:asciiTheme="minorEastAsia" w:hAnsiTheme="minorEastAsia" w:eastAsiaTheme="minorEastAsia"/>
                <w:color w:val="auto"/>
                <w:szCs w:val="21"/>
                <w:highlight w:val="none"/>
              </w:rPr>
            </w:pPr>
          </w:p>
        </w:tc>
        <w:tc>
          <w:tcPr>
            <w:tcW w:w="3085" w:type="dxa"/>
            <w:tcBorders>
              <w:top w:val="single" w:color="000000" w:sz="4" w:space="0"/>
              <w:left w:val="single" w:color="000000" w:sz="4" w:space="0"/>
              <w:bottom w:val="single" w:color="000000" w:sz="12" w:space="0"/>
              <w:right w:val="single" w:color="000000" w:sz="4" w:space="0"/>
            </w:tcBorders>
          </w:tcPr>
          <w:p w14:paraId="340ABFD2">
            <w:pPr>
              <w:spacing w:line="360" w:lineRule="auto"/>
              <w:rPr>
                <w:rStyle w:val="748"/>
                <w:rFonts w:asciiTheme="minorEastAsia" w:hAnsiTheme="minorEastAsia" w:eastAsiaTheme="minorEastAsia"/>
                <w:color w:val="auto"/>
                <w:szCs w:val="21"/>
                <w:highlight w:val="none"/>
              </w:rPr>
            </w:pPr>
          </w:p>
        </w:tc>
        <w:tc>
          <w:tcPr>
            <w:tcW w:w="3085" w:type="dxa"/>
            <w:tcBorders>
              <w:top w:val="single" w:color="000000" w:sz="4" w:space="0"/>
              <w:left w:val="single" w:color="000000" w:sz="4" w:space="0"/>
              <w:bottom w:val="single" w:color="000000" w:sz="12" w:space="0"/>
              <w:right w:val="single" w:color="000000" w:sz="4" w:space="0"/>
            </w:tcBorders>
          </w:tcPr>
          <w:p w14:paraId="6532BC2B">
            <w:pPr>
              <w:spacing w:line="360" w:lineRule="auto"/>
              <w:rPr>
                <w:rStyle w:val="748"/>
                <w:rFonts w:asciiTheme="minorEastAsia" w:hAnsiTheme="minorEastAsia" w:eastAsiaTheme="minorEastAsia"/>
                <w:color w:val="auto"/>
                <w:szCs w:val="21"/>
                <w:highlight w:val="none"/>
              </w:rPr>
            </w:pPr>
          </w:p>
        </w:tc>
        <w:tc>
          <w:tcPr>
            <w:tcW w:w="1411" w:type="dxa"/>
            <w:tcBorders>
              <w:top w:val="single" w:color="000000" w:sz="4" w:space="0"/>
              <w:left w:val="single" w:color="000000" w:sz="4" w:space="0"/>
              <w:bottom w:val="single" w:color="000000" w:sz="12" w:space="0"/>
              <w:right w:val="single" w:color="000000" w:sz="12" w:space="0"/>
            </w:tcBorders>
          </w:tcPr>
          <w:p w14:paraId="1D329348">
            <w:pPr>
              <w:spacing w:line="360" w:lineRule="auto"/>
              <w:rPr>
                <w:rStyle w:val="748"/>
                <w:rFonts w:asciiTheme="minorEastAsia" w:hAnsiTheme="minorEastAsia" w:eastAsiaTheme="minorEastAsia"/>
                <w:color w:val="auto"/>
                <w:szCs w:val="21"/>
                <w:highlight w:val="none"/>
              </w:rPr>
            </w:pPr>
          </w:p>
        </w:tc>
      </w:tr>
    </w:tbl>
    <w:p w14:paraId="41E1034E">
      <w:pPr>
        <w:spacing w:line="360" w:lineRule="auto"/>
        <w:rPr>
          <w:rStyle w:val="748"/>
          <w:rFonts w:asciiTheme="minorEastAsia" w:hAnsiTheme="minorEastAsia" w:eastAsiaTheme="minorEastAsia"/>
          <w:b/>
          <w:color w:val="auto"/>
          <w:szCs w:val="21"/>
          <w:highlight w:val="none"/>
        </w:rPr>
      </w:pPr>
      <w:r>
        <w:rPr>
          <w:rStyle w:val="748"/>
          <w:rFonts w:hint="eastAsia" w:asciiTheme="minorEastAsia" w:hAnsiTheme="minorEastAsia" w:eastAsiaTheme="minorEastAsia"/>
          <w:b/>
          <w:color w:val="auto"/>
          <w:szCs w:val="21"/>
          <w:highlight w:val="none"/>
        </w:rPr>
        <w:t>注：供应商的投标文件（除技术规格部分）与招标文件之规定存在偏离的，应在此表中如实说明。未在上表中说明的，将被认为完全响应招标文件的规定。</w:t>
      </w:r>
    </w:p>
    <w:p w14:paraId="603E7FEE">
      <w:pPr>
        <w:snapToGrid w:val="0"/>
        <w:spacing w:line="360" w:lineRule="auto"/>
        <w:rPr>
          <w:rFonts w:asciiTheme="minorEastAsia" w:hAnsiTheme="minorEastAsia" w:eastAsiaTheme="minorEastAsia"/>
          <w:color w:val="auto"/>
          <w:spacing w:val="20"/>
          <w:szCs w:val="21"/>
          <w:highlight w:val="none"/>
        </w:rPr>
      </w:pPr>
    </w:p>
    <w:p w14:paraId="5F1077C7">
      <w:pPr>
        <w:rPr>
          <w:color w:val="auto"/>
          <w:highlight w:val="none"/>
        </w:rPr>
      </w:pPr>
    </w:p>
    <w:p w14:paraId="129E2D51">
      <w:pPr>
        <w:snapToGrid w:val="0"/>
        <w:spacing w:line="360" w:lineRule="auto"/>
        <w:rPr>
          <w:rStyle w:val="748"/>
          <w:rFonts w:asciiTheme="minorEastAsia" w:hAnsiTheme="minorEastAsia" w:eastAsiaTheme="minorEastAsia"/>
          <w:b/>
          <w:color w:val="auto"/>
          <w:szCs w:val="21"/>
          <w:highlight w:val="none"/>
        </w:rPr>
      </w:pPr>
      <w:r>
        <w:rPr>
          <w:rStyle w:val="748"/>
          <w:rFonts w:hint="eastAsia" w:asciiTheme="minorEastAsia" w:hAnsiTheme="minorEastAsia" w:eastAsiaTheme="minorEastAsia"/>
          <w:b/>
          <w:color w:val="auto"/>
          <w:szCs w:val="21"/>
          <w:highlight w:val="none"/>
        </w:rPr>
        <w:t>1</w:t>
      </w:r>
      <w:r>
        <w:rPr>
          <w:rStyle w:val="748"/>
          <w:rFonts w:asciiTheme="minorEastAsia" w:hAnsiTheme="minorEastAsia" w:eastAsiaTheme="minorEastAsia"/>
          <w:b/>
          <w:color w:val="auto"/>
          <w:szCs w:val="21"/>
          <w:highlight w:val="none"/>
        </w:rPr>
        <w:t>3</w:t>
      </w:r>
      <w:r>
        <w:rPr>
          <w:rStyle w:val="748"/>
          <w:rFonts w:hint="eastAsia" w:asciiTheme="minorEastAsia" w:hAnsiTheme="minorEastAsia" w:eastAsiaTheme="minorEastAsia"/>
          <w:b/>
          <w:color w:val="auto"/>
          <w:szCs w:val="21"/>
          <w:highlight w:val="none"/>
        </w:rPr>
        <w:t>、技术响应表格式：</w:t>
      </w:r>
    </w:p>
    <w:p w14:paraId="61DA1D37">
      <w:pPr>
        <w:snapToGrid w:val="0"/>
        <w:spacing w:line="360" w:lineRule="auto"/>
        <w:jc w:val="center"/>
        <w:rPr>
          <w:rStyle w:val="748"/>
          <w:rFonts w:asciiTheme="minorEastAsia" w:hAnsiTheme="minorEastAsia" w:eastAsiaTheme="minorEastAsia"/>
          <w:color w:val="auto"/>
          <w:szCs w:val="21"/>
          <w:highlight w:val="none"/>
          <w:u w:val="single"/>
        </w:rPr>
      </w:pPr>
      <w:r>
        <w:rPr>
          <w:rStyle w:val="748"/>
          <w:rFonts w:hint="eastAsia" w:asciiTheme="minorEastAsia" w:hAnsiTheme="minorEastAsia" w:eastAsiaTheme="minorEastAsia"/>
          <w:b/>
          <w:color w:val="auto"/>
          <w:szCs w:val="21"/>
          <w:highlight w:val="none"/>
        </w:rPr>
        <w:t>技术响应表（附件11）</w:t>
      </w:r>
    </w:p>
    <w:tbl>
      <w:tblPr>
        <w:tblStyle w:val="54"/>
        <w:tblW w:w="8789"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578"/>
        <w:gridCol w:w="2675"/>
        <w:gridCol w:w="1386"/>
        <w:gridCol w:w="1089"/>
        <w:gridCol w:w="762"/>
        <w:gridCol w:w="1299"/>
      </w:tblGrid>
      <w:tr w14:paraId="0A512DD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396" w:hRule="atLeast"/>
        </w:trPr>
        <w:tc>
          <w:tcPr>
            <w:tcW w:w="4253" w:type="dxa"/>
            <w:gridSpan w:val="2"/>
            <w:tcBorders>
              <w:top w:val="single" w:color="000000" w:sz="4" w:space="0"/>
              <w:left w:val="single" w:color="000000" w:sz="4" w:space="0"/>
              <w:bottom w:val="single" w:color="000000" w:sz="4" w:space="0"/>
              <w:right w:val="single" w:color="000000" w:sz="4" w:space="0"/>
            </w:tcBorders>
          </w:tcPr>
          <w:p w14:paraId="45B5A168">
            <w:pPr>
              <w:pStyle w:val="752"/>
              <w:snapToGrid w:val="0"/>
              <w:spacing w:before="0" w:after="0" w:line="360" w:lineRule="auto"/>
              <w:jc w:val="center"/>
              <w:rPr>
                <w:rStyle w:val="748"/>
                <w:rFonts w:asciiTheme="minorEastAsia" w:hAnsiTheme="minorEastAsia" w:eastAsiaTheme="minorEastAsia"/>
                <w:color w:val="auto"/>
                <w:sz w:val="21"/>
                <w:szCs w:val="21"/>
                <w:highlight w:val="none"/>
              </w:rPr>
            </w:pPr>
            <w:r>
              <w:rPr>
                <w:rStyle w:val="748"/>
                <w:rFonts w:hint="eastAsia" w:asciiTheme="minorEastAsia" w:hAnsiTheme="minorEastAsia" w:eastAsiaTheme="minorEastAsia"/>
                <w:color w:val="auto"/>
                <w:sz w:val="21"/>
                <w:szCs w:val="21"/>
                <w:highlight w:val="none"/>
              </w:rPr>
              <w:t>招标文件要求</w:t>
            </w:r>
          </w:p>
        </w:tc>
        <w:tc>
          <w:tcPr>
            <w:tcW w:w="3237" w:type="dxa"/>
            <w:gridSpan w:val="3"/>
            <w:tcBorders>
              <w:top w:val="single" w:color="000000" w:sz="4" w:space="0"/>
              <w:left w:val="single" w:color="000000" w:sz="4" w:space="0"/>
              <w:bottom w:val="single" w:color="000000" w:sz="4" w:space="0"/>
              <w:right w:val="single" w:color="000000" w:sz="4" w:space="0"/>
            </w:tcBorders>
          </w:tcPr>
          <w:p w14:paraId="79BE563A">
            <w:pPr>
              <w:pStyle w:val="752"/>
              <w:snapToGrid w:val="0"/>
              <w:spacing w:before="0" w:after="0" w:line="360" w:lineRule="auto"/>
              <w:jc w:val="center"/>
              <w:rPr>
                <w:rStyle w:val="748"/>
                <w:rFonts w:asciiTheme="minorEastAsia" w:hAnsiTheme="minorEastAsia" w:eastAsiaTheme="minorEastAsia"/>
                <w:color w:val="auto"/>
                <w:sz w:val="21"/>
                <w:szCs w:val="21"/>
                <w:highlight w:val="none"/>
              </w:rPr>
            </w:pPr>
            <w:r>
              <w:rPr>
                <w:rStyle w:val="748"/>
                <w:rFonts w:hint="eastAsia" w:asciiTheme="minorEastAsia" w:hAnsiTheme="minorEastAsia" w:eastAsiaTheme="minorEastAsia"/>
                <w:color w:val="auto"/>
                <w:sz w:val="21"/>
                <w:szCs w:val="21"/>
                <w:highlight w:val="none"/>
              </w:rPr>
              <w:t>投标文件响应</w:t>
            </w:r>
          </w:p>
        </w:tc>
        <w:tc>
          <w:tcPr>
            <w:tcW w:w="1299" w:type="dxa"/>
            <w:vMerge w:val="restart"/>
            <w:tcBorders>
              <w:top w:val="single" w:color="000000" w:sz="4" w:space="0"/>
              <w:left w:val="single" w:color="000000" w:sz="4" w:space="0"/>
              <w:bottom w:val="single" w:color="000000" w:sz="4" w:space="0"/>
              <w:right w:val="single" w:color="000000" w:sz="4" w:space="0"/>
            </w:tcBorders>
            <w:vAlign w:val="center"/>
          </w:tcPr>
          <w:p w14:paraId="76C3BD56">
            <w:pPr>
              <w:pStyle w:val="752"/>
              <w:snapToGrid w:val="0"/>
              <w:spacing w:before="0" w:after="0" w:line="360" w:lineRule="auto"/>
              <w:jc w:val="center"/>
              <w:rPr>
                <w:rStyle w:val="748"/>
                <w:rFonts w:asciiTheme="minorEastAsia" w:hAnsiTheme="minorEastAsia" w:eastAsiaTheme="minorEastAsia"/>
                <w:color w:val="auto"/>
                <w:sz w:val="21"/>
                <w:szCs w:val="21"/>
                <w:highlight w:val="none"/>
              </w:rPr>
            </w:pPr>
            <w:r>
              <w:rPr>
                <w:rStyle w:val="748"/>
                <w:rFonts w:hint="eastAsia" w:asciiTheme="minorEastAsia" w:hAnsiTheme="minorEastAsia" w:eastAsiaTheme="minorEastAsia"/>
                <w:color w:val="auto"/>
                <w:sz w:val="21"/>
                <w:szCs w:val="21"/>
                <w:highlight w:val="none"/>
              </w:rPr>
              <w:t>偏离</w:t>
            </w:r>
          </w:p>
          <w:p w14:paraId="2B4F6C3B">
            <w:pPr>
              <w:pStyle w:val="752"/>
              <w:snapToGrid w:val="0"/>
              <w:spacing w:before="0" w:after="0" w:line="360" w:lineRule="auto"/>
              <w:jc w:val="center"/>
              <w:rPr>
                <w:rStyle w:val="748"/>
                <w:rFonts w:asciiTheme="minorEastAsia" w:hAnsiTheme="minorEastAsia" w:eastAsiaTheme="minorEastAsia"/>
                <w:color w:val="auto"/>
                <w:sz w:val="21"/>
                <w:szCs w:val="21"/>
                <w:highlight w:val="none"/>
              </w:rPr>
            </w:pPr>
            <w:r>
              <w:rPr>
                <w:rStyle w:val="748"/>
                <w:rFonts w:hint="eastAsia" w:asciiTheme="minorEastAsia" w:hAnsiTheme="minorEastAsia" w:eastAsiaTheme="minorEastAsia"/>
                <w:color w:val="auto"/>
                <w:sz w:val="21"/>
                <w:szCs w:val="21"/>
                <w:highlight w:val="none"/>
              </w:rPr>
              <w:t>情况</w:t>
            </w:r>
          </w:p>
        </w:tc>
      </w:tr>
      <w:tr w14:paraId="324BDC6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480" w:hRule="atLeast"/>
        </w:trPr>
        <w:tc>
          <w:tcPr>
            <w:tcW w:w="1578" w:type="dxa"/>
            <w:tcBorders>
              <w:top w:val="single" w:color="000000" w:sz="4" w:space="0"/>
              <w:left w:val="single" w:color="000000" w:sz="4" w:space="0"/>
              <w:bottom w:val="single" w:color="000000" w:sz="4" w:space="0"/>
              <w:right w:val="single" w:color="000000" w:sz="4" w:space="0"/>
            </w:tcBorders>
          </w:tcPr>
          <w:p w14:paraId="0E9BDB7D">
            <w:pPr>
              <w:pStyle w:val="752"/>
              <w:snapToGrid w:val="0"/>
              <w:spacing w:before="0" w:after="0" w:line="360" w:lineRule="auto"/>
              <w:jc w:val="center"/>
              <w:rPr>
                <w:rStyle w:val="748"/>
                <w:rFonts w:asciiTheme="minorEastAsia" w:hAnsiTheme="minorEastAsia" w:eastAsiaTheme="minorEastAsia"/>
                <w:color w:val="auto"/>
                <w:sz w:val="21"/>
                <w:szCs w:val="21"/>
                <w:highlight w:val="none"/>
              </w:rPr>
            </w:pPr>
            <w:r>
              <w:rPr>
                <w:rStyle w:val="748"/>
                <w:rFonts w:hint="eastAsia" w:asciiTheme="minorEastAsia" w:hAnsiTheme="minorEastAsia" w:eastAsiaTheme="minorEastAsia"/>
                <w:color w:val="auto"/>
                <w:sz w:val="21"/>
                <w:szCs w:val="21"/>
                <w:highlight w:val="none"/>
              </w:rPr>
              <w:t>项目</w:t>
            </w:r>
          </w:p>
        </w:tc>
        <w:tc>
          <w:tcPr>
            <w:tcW w:w="2675" w:type="dxa"/>
            <w:tcBorders>
              <w:top w:val="single" w:color="000000" w:sz="4" w:space="0"/>
              <w:left w:val="single" w:color="000000" w:sz="4" w:space="0"/>
              <w:bottom w:val="single" w:color="000000" w:sz="4" w:space="0"/>
              <w:right w:val="single" w:color="000000" w:sz="4" w:space="0"/>
            </w:tcBorders>
          </w:tcPr>
          <w:p w14:paraId="7569C3E5">
            <w:pPr>
              <w:pStyle w:val="752"/>
              <w:snapToGrid w:val="0"/>
              <w:spacing w:before="0" w:after="0" w:line="360" w:lineRule="auto"/>
              <w:jc w:val="center"/>
              <w:rPr>
                <w:rStyle w:val="748"/>
                <w:rFonts w:asciiTheme="minorEastAsia" w:hAnsiTheme="minorEastAsia" w:eastAsiaTheme="minorEastAsia"/>
                <w:color w:val="auto"/>
                <w:sz w:val="21"/>
                <w:szCs w:val="21"/>
                <w:highlight w:val="none"/>
              </w:rPr>
            </w:pPr>
            <w:r>
              <w:rPr>
                <w:rStyle w:val="748"/>
                <w:rFonts w:hint="eastAsia" w:asciiTheme="minorEastAsia" w:hAnsiTheme="minorEastAsia" w:eastAsiaTheme="minorEastAsia"/>
                <w:color w:val="auto"/>
                <w:sz w:val="21"/>
                <w:szCs w:val="21"/>
                <w:highlight w:val="none"/>
              </w:rPr>
              <w:t>要求</w:t>
            </w:r>
          </w:p>
        </w:tc>
        <w:tc>
          <w:tcPr>
            <w:tcW w:w="1386" w:type="dxa"/>
            <w:tcBorders>
              <w:top w:val="single" w:color="000000" w:sz="4" w:space="0"/>
              <w:left w:val="single" w:color="000000" w:sz="4" w:space="0"/>
              <w:bottom w:val="single" w:color="000000" w:sz="4" w:space="0"/>
              <w:right w:val="single" w:color="000000" w:sz="4" w:space="0"/>
            </w:tcBorders>
          </w:tcPr>
          <w:p w14:paraId="34E3DBEE">
            <w:pPr>
              <w:pStyle w:val="752"/>
              <w:snapToGrid w:val="0"/>
              <w:spacing w:before="0" w:after="0" w:line="360" w:lineRule="auto"/>
              <w:jc w:val="center"/>
              <w:rPr>
                <w:rStyle w:val="748"/>
                <w:rFonts w:asciiTheme="minorEastAsia" w:hAnsiTheme="minorEastAsia" w:eastAsiaTheme="minorEastAsia"/>
                <w:color w:val="auto"/>
                <w:sz w:val="21"/>
                <w:szCs w:val="21"/>
                <w:highlight w:val="none"/>
              </w:rPr>
            </w:pPr>
            <w:r>
              <w:rPr>
                <w:rStyle w:val="748"/>
                <w:rFonts w:hint="eastAsia" w:asciiTheme="minorEastAsia" w:hAnsiTheme="minorEastAsia" w:eastAsiaTheme="minorEastAsia"/>
                <w:color w:val="auto"/>
                <w:sz w:val="21"/>
                <w:szCs w:val="21"/>
                <w:highlight w:val="none"/>
              </w:rPr>
              <w:t>设备名称</w:t>
            </w:r>
          </w:p>
        </w:tc>
        <w:tc>
          <w:tcPr>
            <w:tcW w:w="1089" w:type="dxa"/>
            <w:tcBorders>
              <w:top w:val="single" w:color="000000" w:sz="4" w:space="0"/>
              <w:left w:val="single" w:color="000000" w:sz="4" w:space="0"/>
              <w:bottom w:val="single" w:color="000000" w:sz="4" w:space="0"/>
              <w:right w:val="single" w:color="auto" w:sz="4" w:space="0"/>
            </w:tcBorders>
          </w:tcPr>
          <w:p w14:paraId="613C4A5A">
            <w:pPr>
              <w:pStyle w:val="752"/>
              <w:snapToGrid w:val="0"/>
              <w:spacing w:before="0" w:after="0" w:line="360" w:lineRule="auto"/>
              <w:jc w:val="center"/>
              <w:rPr>
                <w:rStyle w:val="748"/>
                <w:rFonts w:asciiTheme="minorEastAsia" w:hAnsiTheme="minorEastAsia" w:eastAsiaTheme="minorEastAsia"/>
                <w:color w:val="auto"/>
                <w:sz w:val="21"/>
                <w:szCs w:val="21"/>
                <w:highlight w:val="none"/>
              </w:rPr>
            </w:pPr>
            <w:r>
              <w:rPr>
                <w:rStyle w:val="748"/>
                <w:rFonts w:hint="eastAsia" w:asciiTheme="minorEastAsia" w:hAnsiTheme="minorEastAsia" w:eastAsiaTheme="minorEastAsia"/>
                <w:color w:val="auto"/>
                <w:sz w:val="21"/>
                <w:szCs w:val="21"/>
                <w:highlight w:val="none"/>
              </w:rPr>
              <w:t>性能及指标</w:t>
            </w:r>
          </w:p>
        </w:tc>
        <w:tc>
          <w:tcPr>
            <w:tcW w:w="762" w:type="dxa"/>
            <w:tcBorders>
              <w:top w:val="single" w:color="000000" w:sz="4" w:space="0"/>
              <w:left w:val="single" w:color="auto" w:sz="4" w:space="0"/>
              <w:bottom w:val="single" w:color="000000" w:sz="4" w:space="0"/>
              <w:right w:val="single" w:color="000000" w:sz="4" w:space="0"/>
            </w:tcBorders>
          </w:tcPr>
          <w:p w14:paraId="737A7AD4">
            <w:pPr>
              <w:pStyle w:val="752"/>
              <w:snapToGrid w:val="0"/>
              <w:spacing w:before="0" w:after="0" w:line="360" w:lineRule="auto"/>
              <w:jc w:val="center"/>
              <w:rPr>
                <w:rStyle w:val="748"/>
                <w:rFonts w:asciiTheme="minorEastAsia" w:hAnsiTheme="minorEastAsia" w:eastAsiaTheme="minorEastAsia"/>
                <w:color w:val="auto"/>
                <w:sz w:val="21"/>
                <w:szCs w:val="21"/>
                <w:highlight w:val="none"/>
              </w:rPr>
            </w:pPr>
            <w:r>
              <w:rPr>
                <w:rStyle w:val="748"/>
                <w:rFonts w:hint="eastAsia" w:asciiTheme="minorEastAsia" w:hAnsiTheme="minorEastAsia" w:eastAsiaTheme="minorEastAsia"/>
                <w:color w:val="auto"/>
                <w:sz w:val="21"/>
                <w:szCs w:val="21"/>
                <w:highlight w:val="none"/>
              </w:rPr>
              <w:t>品牌</w:t>
            </w:r>
          </w:p>
        </w:tc>
        <w:tc>
          <w:tcPr>
            <w:tcW w:w="1299" w:type="dxa"/>
            <w:vMerge w:val="continue"/>
            <w:tcBorders>
              <w:top w:val="single" w:color="000000" w:sz="4" w:space="0"/>
              <w:left w:val="single" w:color="000000" w:sz="4" w:space="0"/>
              <w:bottom w:val="single" w:color="000000" w:sz="4" w:space="0"/>
              <w:right w:val="single" w:color="000000" w:sz="4" w:space="0"/>
            </w:tcBorders>
            <w:vAlign w:val="center"/>
          </w:tcPr>
          <w:p w14:paraId="7481144F">
            <w:pPr>
              <w:pStyle w:val="752"/>
              <w:spacing w:line="360" w:lineRule="auto"/>
              <w:rPr>
                <w:rStyle w:val="748"/>
                <w:rFonts w:asciiTheme="minorEastAsia" w:hAnsiTheme="minorEastAsia" w:eastAsiaTheme="minorEastAsia"/>
                <w:color w:val="auto"/>
                <w:szCs w:val="21"/>
                <w:highlight w:val="none"/>
              </w:rPr>
            </w:pPr>
          </w:p>
        </w:tc>
      </w:tr>
      <w:tr w14:paraId="5BB1D9E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841" w:hRule="atLeast"/>
        </w:trPr>
        <w:tc>
          <w:tcPr>
            <w:tcW w:w="1578" w:type="dxa"/>
            <w:tcBorders>
              <w:top w:val="single" w:color="000000" w:sz="4" w:space="0"/>
              <w:left w:val="single" w:color="000000" w:sz="4" w:space="0"/>
              <w:bottom w:val="single" w:color="000000" w:sz="4" w:space="0"/>
              <w:right w:val="single" w:color="000000" w:sz="4" w:space="0"/>
            </w:tcBorders>
            <w:vAlign w:val="center"/>
          </w:tcPr>
          <w:p w14:paraId="3D450402">
            <w:pPr>
              <w:pStyle w:val="752"/>
              <w:snapToGrid w:val="0"/>
              <w:spacing w:before="0" w:after="0" w:line="360" w:lineRule="auto"/>
              <w:rPr>
                <w:rStyle w:val="748"/>
                <w:rFonts w:asciiTheme="minorEastAsia" w:hAnsiTheme="minorEastAsia" w:eastAsiaTheme="minorEastAsia"/>
                <w:color w:val="auto"/>
                <w:sz w:val="21"/>
                <w:szCs w:val="21"/>
                <w:highlight w:val="none"/>
              </w:rPr>
            </w:pPr>
          </w:p>
        </w:tc>
        <w:tc>
          <w:tcPr>
            <w:tcW w:w="2675" w:type="dxa"/>
            <w:tcBorders>
              <w:top w:val="single" w:color="000000" w:sz="4" w:space="0"/>
              <w:left w:val="single" w:color="000000" w:sz="4" w:space="0"/>
              <w:bottom w:val="single" w:color="000000" w:sz="4" w:space="0"/>
              <w:right w:val="single" w:color="000000" w:sz="4" w:space="0"/>
            </w:tcBorders>
            <w:vAlign w:val="center"/>
          </w:tcPr>
          <w:p w14:paraId="501318E8">
            <w:pPr>
              <w:pStyle w:val="752"/>
              <w:snapToGrid w:val="0"/>
              <w:spacing w:before="0" w:after="0" w:line="360" w:lineRule="auto"/>
              <w:rPr>
                <w:rStyle w:val="748"/>
                <w:rFonts w:asciiTheme="minorEastAsia" w:hAnsiTheme="minorEastAsia" w:eastAsiaTheme="minorEastAsia"/>
                <w:color w:val="auto"/>
                <w:sz w:val="21"/>
                <w:szCs w:val="21"/>
                <w:highlight w:val="none"/>
              </w:rPr>
            </w:pPr>
          </w:p>
        </w:tc>
        <w:tc>
          <w:tcPr>
            <w:tcW w:w="1386" w:type="dxa"/>
            <w:tcBorders>
              <w:top w:val="single" w:color="000000" w:sz="4" w:space="0"/>
              <w:left w:val="single" w:color="000000" w:sz="4" w:space="0"/>
              <w:bottom w:val="single" w:color="000000" w:sz="4" w:space="0"/>
              <w:right w:val="single" w:color="000000" w:sz="4" w:space="0"/>
            </w:tcBorders>
          </w:tcPr>
          <w:p w14:paraId="2B80261A">
            <w:pPr>
              <w:pStyle w:val="752"/>
              <w:snapToGrid w:val="0"/>
              <w:spacing w:before="0" w:after="0" w:line="360" w:lineRule="auto"/>
              <w:rPr>
                <w:rStyle w:val="748"/>
                <w:rFonts w:asciiTheme="minorEastAsia" w:hAnsiTheme="minorEastAsia" w:eastAsiaTheme="minorEastAsia"/>
                <w:color w:val="auto"/>
                <w:sz w:val="21"/>
                <w:szCs w:val="21"/>
                <w:highlight w:val="none"/>
              </w:rPr>
            </w:pPr>
          </w:p>
        </w:tc>
        <w:tc>
          <w:tcPr>
            <w:tcW w:w="1089" w:type="dxa"/>
            <w:tcBorders>
              <w:top w:val="single" w:color="000000" w:sz="4" w:space="0"/>
              <w:left w:val="single" w:color="000000" w:sz="4" w:space="0"/>
              <w:bottom w:val="single" w:color="000000" w:sz="4" w:space="0"/>
              <w:right w:val="single" w:color="auto" w:sz="4" w:space="0"/>
            </w:tcBorders>
          </w:tcPr>
          <w:p w14:paraId="141DF689">
            <w:pPr>
              <w:pStyle w:val="752"/>
              <w:snapToGrid w:val="0"/>
              <w:spacing w:before="0" w:after="0" w:line="360" w:lineRule="auto"/>
              <w:rPr>
                <w:rStyle w:val="748"/>
                <w:rFonts w:asciiTheme="minorEastAsia" w:hAnsiTheme="minorEastAsia" w:eastAsiaTheme="minorEastAsia"/>
                <w:color w:val="auto"/>
                <w:sz w:val="21"/>
                <w:szCs w:val="21"/>
                <w:highlight w:val="none"/>
              </w:rPr>
            </w:pPr>
          </w:p>
        </w:tc>
        <w:tc>
          <w:tcPr>
            <w:tcW w:w="762" w:type="dxa"/>
            <w:tcBorders>
              <w:top w:val="single" w:color="000000" w:sz="4" w:space="0"/>
              <w:left w:val="single" w:color="auto" w:sz="4" w:space="0"/>
              <w:bottom w:val="single" w:color="000000" w:sz="4" w:space="0"/>
              <w:right w:val="single" w:color="000000" w:sz="4" w:space="0"/>
            </w:tcBorders>
          </w:tcPr>
          <w:p w14:paraId="12C5E2EF">
            <w:pPr>
              <w:pStyle w:val="752"/>
              <w:snapToGrid w:val="0"/>
              <w:spacing w:before="0" w:after="0" w:line="360" w:lineRule="auto"/>
              <w:rPr>
                <w:rStyle w:val="748"/>
                <w:rFonts w:asciiTheme="minorEastAsia" w:hAnsiTheme="minorEastAsia" w:eastAsiaTheme="minorEastAsia"/>
                <w:color w:val="auto"/>
                <w:sz w:val="21"/>
                <w:szCs w:val="21"/>
                <w:highlight w:val="none"/>
              </w:rPr>
            </w:pPr>
          </w:p>
        </w:tc>
        <w:tc>
          <w:tcPr>
            <w:tcW w:w="1299" w:type="dxa"/>
            <w:tcBorders>
              <w:top w:val="single" w:color="000000" w:sz="4" w:space="0"/>
              <w:left w:val="single" w:color="000000" w:sz="4" w:space="0"/>
              <w:bottom w:val="single" w:color="000000" w:sz="4" w:space="0"/>
              <w:right w:val="single" w:color="000000" w:sz="4" w:space="0"/>
            </w:tcBorders>
          </w:tcPr>
          <w:p w14:paraId="5CB4A3A1">
            <w:pPr>
              <w:pStyle w:val="752"/>
              <w:snapToGrid w:val="0"/>
              <w:spacing w:before="0" w:after="0" w:line="360" w:lineRule="auto"/>
              <w:rPr>
                <w:rStyle w:val="748"/>
                <w:rFonts w:asciiTheme="minorEastAsia" w:hAnsiTheme="minorEastAsia" w:eastAsiaTheme="minorEastAsia"/>
                <w:color w:val="auto"/>
                <w:sz w:val="21"/>
                <w:szCs w:val="21"/>
                <w:highlight w:val="none"/>
              </w:rPr>
            </w:pPr>
          </w:p>
        </w:tc>
      </w:tr>
      <w:tr w14:paraId="4EEF9A3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841" w:hRule="atLeast"/>
        </w:trPr>
        <w:tc>
          <w:tcPr>
            <w:tcW w:w="1578" w:type="dxa"/>
            <w:tcBorders>
              <w:top w:val="single" w:color="000000" w:sz="4" w:space="0"/>
              <w:left w:val="single" w:color="000000" w:sz="4" w:space="0"/>
              <w:bottom w:val="single" w:color="000000" w:sz="4" w:space="0"/>
              <w:right w:val="single" w:color="000000" w:sz="4" w:space="0"/>
            </w:tcBorders>
            <w:vAlign w:val="center"/>
          </w:tcPr>
          <w:p w14:paraId="1C1627E0">
            <w:pPr>
              <w:pStyle w:val="752"/>
              <w:snapToGrid w:val="0"/>
              <w:spacing w:before="0" w:after="0" w:line="360" w:lineRule="auto"/>
              <w:rPr>
                <w:rStyle w:val="748"/>
                <w:rFonts w:asciiTheme="minorEastAsia" w:hAnsiTheme="minorEastAsia" w:eastAsiaTheme="minorEastAsia"/>
                <w:color w:val="auto"/>
                <w:sz w:val="21"/>
                <w:szCs w:val="21"/>
                <w:highlight w:val="none"/>
              </w:rPr>
            </w:pPr>
          </w:p>
        </w:tc>
        <w:tc>
          <w:tcPr>
            <w:tcW w:w="2675" w:type="dxa"/>
            <w:tcBorders>
              <w:top w:val="single" w:color="000000" w:sz="4" w:space="0"/>
              <w:left w:val="single" w:color="000000" w:sz="4" w:space="0"/>
              <w:bottom w:val="single" w:color="000000" w:sz="4" w:space="0"/>
              <w:right w:val="single" w:color="000000" w:sz="4" w:space="0"/>
            </w:tcBorders>
            <w:vAlign w:val="center"/>
          </w:tcPr>
          <w:p w14:paraId="5B476531">
            <w:pPr>
              <w:pStyle w:val="752"/>
              <w:snapToGrid w:val="0"/>
              <w:spacing w:before="0" w:after="0" w:line="360" w:lineRule="auto"/>
              <w:rPr>
                <w:rStyle w:val="748"/>
                <w:rFonts w:asciiTheme="minorEastAsia" w:hAnsiTheme="minorEastAsia" w:eastAsiaTheme="minorEastAsia"/>
                <w:color w:val="auto"/>
                <w:sz w:val="21"/>
                <w:szCs w:val="21"/>
                <w:highlight w:val="none"/>
              </w:rPr>
            </w:pPr>
          </w:p>
        </w:tc>
        <w:tc>
          <w:tcPr>
            <w:tcW w:w="1386" w:type="dxa"/>
            <w:tcBorders>
              <w:top w:val="single" w:color="000000" w:sz="4" w:space="0"/>
              <w:left w:val="single" w:color="000000" w:sz="4" w:space="0"/>
              <w:bottom w:val="single" w:color="000000" w:sz="4" w:space="0"/>
              <w:right w:val="single" w:color="000000" w:sz="4" w:space="0"/>
            </w:tcBorders>
          </w:tcPr>
          <w:p w14:paraId="427A5928">
            <w:pPr>
              <w:pStyle w:val="752"/>
              <w:snapToGrid w:val="0"/>
              <w:spacing w:before="0" w:after="0" w:line="360" w:lineRule="auto"/>
              <w:rPr>
                <w:rStyle w:val="748"/>
                <w:rFonts w:asciiTheme="minorEastAsia" w:hAnsiTheme="minorEastAsia" w:eastAsiaTheme="minorEastAsia"/>
                <w:color w:val="auto"/>
                <w:sz w:val="21"/>
                <w:szCs w:val="21"/>
                <w:highlight w:val="none"/>
              </w:rPr>
            </w:pPr>
          </w:p>
        </w:tc>
        <w:tc>
          <w:tcPr>
            <w:tcW w:w="1089" w:type="dxa"/>
            <w:tcBorders>
              <w:top w:val="single" w:color="000000" w:sz="4" w:space="0"/>
              <w:left w:val="single" w:color="000000" w:sz="4" w:space="0"/>
              <w:bottom w:val="single" w:color="000000" w:sz="4" w:space="0"/>
              <w:right w:val="single" w:color="auto" w:sz="4" w:space="0"/>
            </w:tcBorders>
          </w:tcPr>
          <w:p w14:paraId="1AEE06DE">
            <w:pPr>
              <w:pStyle w:val="752"/>
              <w:snapToGrid w:val="0"/>
              <w:spacing w:before="0" w:after="0" w:line="360" w:lineRule="auto"/>
              <w:rPr>
                <w:rStyle w:val="748"/>
                <w:rFonts w:asciiTheme="minorEastAsia" w:hAnsiTheme="minorEastAsia" w:eastAsiaTheme="minorEastAsia"/>
                <w:color w:val="auto"/>
                <w:sz w:val="21"/>
                <w:szCs w:val="21"/>
                <w:highlight w:val="none"/>
              </w:rPr>
            </w:pPr>
          </w:p>
        </w:tc>
        <w:tc>
          <w:tcPr>
            <w:tcW w:w="762" w:type="dxa"/>
            <w:tcBorders>
              <w:top w:val="single" w:color="000000" w:sz="4" w:space="0"/>
              <w:left w:val="single" w:color="auto" w:sz="4" w:space="0"/>
              <w:bottom w:val="single" w:color="000000" w:sz="4" w:space="0"/>
              <w:right w:val="single" w:color="000000" w:sz="4" w:space="0"/>
            </w:tcBorders>
          </w:tcPr>
          <w:p w14:paraId="671F34F2">
            <w:pPr>
              <w:pStyle w:val="752"/>
              <w:snapToGrid w:val="0"/>
              <w:spacing w:before="0" w:after="0" w:line="360" w:lineRule="auto"/>
              <w:rPr>
                <w:rStyle w:val="748"/>
                <w:rFonts w:asciiTheme="minorEastAsia" w:hAnsiTheme="minorEastAsia" w:eastAsiaTheme="minorEastAsia"/>
                <w:color w:val="auto"/>
                <w:sz w:val="21"/>
                <w:szCs w:val="21"/>
                <w:highlight w:val="none"/>
              </w:rPr>
            </w:pPr>
          </w:p>
        </w:tc>
        <w:tc>
          <w:tcPr>
            <w:tcW w:w="1299" w:type="dxa"/>
            <w:tcBorders>
              <w:top w:val="single" w:color="000000" w:sz="4" w:space="0"/>
              <w:left w:val="single" w:color="000000" w:sz="4" w:space="0"/>
              <w:bottom w:val="single" w:color="000000" w:sz="4" w:space="0"/>
              <w:right w:val="single" w:color="000000" w:sz="4" w:space="0"/>
            </w:tcBorders>
          </w:tcPr>
          <w:p w14:paraId="4D3DDDFB">
            <w:pPr>
              <w:pStyle w:val="752"/>
              <w:snapToGrid w:val="0"/>
              <w:spacing w:before="0" w:after="0" w:line="360" w:lineRule="auto"/>
              <w:rPr>
                <w:rStyle w:val="748"/>
                <w:rFonts w:asciiTheme="minorEastAsia" w:hAnsiTheme="minorEastAsia" w:eastAsiaTheme="minorEastAsia"/>
                <w:color w:val="auto"/>
                <w:sz w:val="21"/>
                <w:szCs w:val="21"/>
                <w:highlight w:val="none"/>
              </w:rPr>
            </w:pPr>
          </w:p>
        </w:tc>
      </w:tr>
      <w:tr w14:paraId="33A3ED8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841" w:hRule="atLeast"/>
        </w:trPr>
        <w:tc>
          <w:tcPr>
            <w:tcW w:w="1578" w:type="dxa"/>
            <w:tcBorders>
              <w:top w:val="single" w:color="000000" w:sz="4" w:space="0"/>
              <w:left w:val="single" w:color="000000" w:sz="4" w:space="0"/>
              <w:bottom w:val="single" w:color="000000" w:sz="4" w:space="0"/>
              <w:right w:val="single" w:color="000000" w:sz="4" w:space="0"/>
            </w:tcBorders>
            <w:vAlign w:val="center"/>
          </w:tcPr>
          <w:p w14:paraId="57829E91">
            <w:pPr>
              <w:pStyle w:val="752"/>
              <w:snapToGrid w:val="0"/>
              <w:spacing w:before="0" w:after="0" w:line="360" w:lineRule="auto"/>
              <w:rPr>
                <w:rStyle w:val="748"/>
                <w:rFonts w:asciiTheme="minorEastAsia" w:hAnsiTheme="minorEastAsia" w:eastAsiaTheme="minorEastAsia"/>
                <w:color w:val="auto"/>
                <w:sz w:val="21"/>
                <w:szCs w:val="21"/>
                <w:highlight w:val="none"/>
              </w:rPr>
            </w:pPr>
          </w:p>
        </w:tc>
        <w:tc>
          <w:tcPr>
            <w:tcW w:w="2675" w:type="dxa"/>
            <w:tcBorders>
              <w:top w:val="single" w:color="000000" w:sz="4" w:space="0"/>
              <w:left w:val="single" w:color="000000" w:sz="4" w:space="0"/>
              <w:bottom w:val="single" w:color="000000" w:sz="4" w:space="0"/>
              <w:right w:val="single" w:color="000000" w:sz="4" w:space="0"/>
            </w:tcBorders>
            <w:vAlign w:val="center"/>
          </w:tcPr>
          <w:p w14:paraId="6FBF9CB8">
            <w:pPr>
              <w:pStyle w:val="752"/>
              <w:snapToGrid w:val="0"/>
              <w:spacing w:before="0" w:after="0" w:line="360" w:lineRule="auto"/>
              <w:rPr>
                <w:rStyle w:val="748"/>
                <w:rFonts w:asciiTheme="minorEastAsia" w:hAnsiTheme="minorEastAsia" w:eastAsiaTheme="minorEastAsia"/>
                <w:color w:val="auto"/>
                <w:sz w:val="21"/>
                <w:szCs w:val="21"/>
                <w:highlight w:val="none"/>
              </w:rPr>
            </w:pPr>
          </w:p>
        </w:tc>
        <w:tc>
          <w:tcPr>
            <w:tcW w:w="1386" w:type="dxa"/>
            <w:tcBorders>
              <w:top w:val="single" w:color="000000" w:sz="4" w:space="0"/>
              <w:left w:val="single" w:color="000000" w:sz="4" w:space="0"/>
              <w:bottom w:val="single" w:color="000000" w:sz="4" w:space="0"/>
              <w:right w:val="single" w:color="000000" w:sz="4" w:space="0"/>
            </w:tcBorders>
          </w:tcPr>
          <w:p w14:paraId="625A6948">
            <w:pPr>
              <w:pStyle w:val="752"/>
              <w:snapToGrid w:val="0"/>
              <w:spacing w:before="0" w:after="0" w:line="360" w:lineRule="auto"/>
              <w:rPr>
                <w:rStyle w:val="748"/>
                <w:rFonts w:asciiTheme="minorEastAsia" w:hAnsiTheme="minorEastAsia" w:eastAsiaTheme="minorEastAsia"/>
                <w:color w:val="auto"/>
                <w:sz w:val="21"/>
                <w:szCs w:val="21"/>
                <w:highlight w:val="none"/>
              </w:rPr>
            </w:pPr>
          </w:p>
        </w:tc>
        <w:tc>
          <w:tcPr>
            <w:tcW w:w="1089" w:type="dxa"/>
            <w:tcBorders>
              <w:top w:val="single" w:color="000000" w:sz="4" w:space="0"/>
              <w:left w:val="single" w:color="000000" w:sz="4" w:space="0"/>
              <w:bottom w:val="single" w:color="000000" w:sz="4" w:space="0"/>
              <w:right w:val="single" w:color="auto" w:sz="4" w:space="0"/>
            </w:tcBorders>
          </w:tcPr>
          <w:p w14:paraId="4E58A3F2">
            <w:pPr>
              <w:pStyle w:val="752"/>
              <w:snapToGrid w:val="0"/>
              <w:spacing w:before="0" w:after="0" w:line="360" w:lineRule="auto"/>
              <w:rPr>
                <w:rStyle w:val="748"/>
                <w:rFonts w:asciiTheme="minorEastAsia" w:hAnsiTheme="minorEastAsia" w:eastAsiaTheme="minorEastAsia"/>
                <w:color w:val="auto"/>
                <w:sz w:val="21"/>
                <w:szCs w:val="21"/>
                <w:highlight w:val="none"/>
              </w:rPr>
            </w:pPr>
          </w:p>
        </w:tc>
        <w:tc>
          <w:tcPr>
            <w:tcW w:w="762" w:type="dxa"/>
            <w:tcBorders>
              <w:top w:val="single" w:color="000000" w:sz="4" w:space="0"/>
              <w:left w:val="single" w:color="auto" w:sz="4" w:space="0"/>
              <w:bottom w:val="single" w:color="000000" w:sz="4" w:space="0"/>
              <w:right w:val="single" w:color="000000" w:sz="4" w:space="0"/>
            </w:tcBorders>
          </w:tcPr>
          <w:p w14:paraId="58431489">
            <w:pPr>
              <w:pStyle w:val="752"/>
              <w:snapToGrid w:val="0"/>
              <w:spacing w:before="0" w:after="0" w:line="360" w:lineRule="auto"/>
              <w:rPr>
                <w:rStyle w:val="748"/>
                <w:rFonts w:asciiTheme="minorEastAsia" w:hAnsiTheme="minorEastAsia" w:eastAsiaTheme="minorEastAsia"/>
                <w:color w:val="auto"/>
                <w:sz w:val="21"/>
                <w:szCs w:val="21"/>
                <w:highlight w:val="none"/>
              </w:rPr>
            </w:pPr>
          </w:p>
        </w:tc>
        <w:tc>
          <w:tcPr>
            <w:tcW w:w="1299" w:type="dxa"/>
            <w:tcBorders>
              <w:top w:val="single" w:color="000000" w:sz="4" w:space="0"/>
              <w:left w:val="single" w:color="000000" w:sz="4" w:space="0"/>
              <w:bottom w:val="single" w:color="000000" w:sz="4" w:space="0"/>
              <w:right w:val="single" w:color="000000" w:sz="4" w:space="0"/>
            </w:tcBorders>
          </w:tcPr>
          <w:p w14:paraId="04DD97BA">
            <w:pPr>
              <w:pStyle w:val="752"/>
              <w:snapToGrid w:val="0"/>
              <w:spacing w:before="0" w:after="0" w:line="360" w:lineRule="auto"/>
              <w:rPr>
                <w:rStyle w:val="748"/>
                <w:rFonts w:asciiTheme="minorEastAsia" w:hAnsiTheme="minorEastAsia" w:eastAsiaTheme="minorEastAsia"/>
                <w:color w:val="auto"/>
                <w:sz w:val="21"/>
                <w:szCs w:val="21"/>
                <w:highlight w:val="none"/>
              </w:rPr>
            </w:pPr>
          </w:p>
        </w:tc>
      </w:tr>
    </w:tbl>
    <w:p w14:paraId="181834B4">
      <w:pPr>
        <w:pStyle w:val="754"/>
        <w:spacing w:before="0" w:after="0" w:line="360" w:lineRule="auto"/>
        <w:ind w:left="63" w:right="63"/>
        <w:rPr>
          <w:rStyle w:val="748"/>
          <w:rFonts w:asciiTheme="minorEastAsia" w:hAnsiTheme="minorEastAsia" w:eastAsiaTheme="minorEastAsia"/>
          <w:color w:val="auto"/>
          <w:sz w:val="21"/>
          <w:szCs w:val="21"/>
          <w:highlight w:val="none"/>
        </w:rPr>
      </w:pPr>
      <w:r>
        <w:rPr>
          <w:rStyle w:val="748"/>
          <w:rFonts w:hint="eastAsia" w:asciiTheme="minorEastAsia" w:hAnsiTheme="minorEastAsia" w:eastAsiaTheme="minorEastAsia"/>
          <w:color w:val="auto"/>
          <w:sz w:val="21"/>
          <w:szCs w:val="21"/>
          <w:highlight w:val="none"/>
        </w:rPr>
        <w:t>注：供应商应根据投标设备的性能指标、对照招标文件要求在“偏离情况”栏注明“正偏离”、“负偏离”或“无偏离”。货物无品牌可打/。</w:t>
      </w:r>
    </w:p>
    <w:p w14:paraId="4F9A0524">
      <w:pPr>
        <w:pStyle w:val="754"/>
        <w:spacing w:before="0" w:after="0" w:line="360" w:lineRule="auto"/>
        <w:ind w:left="63" w:right="63"/>
        <w:rPr>
          <w:rStyle w:val="748"/>
          <w:rFonts w:asciiTheme="minorEastAsia" w:hAnsiTheme="minorEastAsia" w:eastAsiaTheme="minorEastAsia"/>
          <w:color w:val="auto"/>
          <w:sz w:val="21"/>
          <w:szCs w:val="21"/>
          <w:highlight w:val="none"/>
        </w:rPr>
      </w:pPr>
    </w:p>
    <w:p w14:paraId="4FE077DD">
      <w:pPr>
        <w:pStyle w:val="754"/>
        <w:spacing w:before="0" w:after="0" w:line="360" w:lineRule="auto"/>
        <w:ind w:left="63" w:right="63"/>
        <w:rPr>
          <w:rStyle w:val="748"/>
          <w:rFonts w:asciiTheme="minorEastAsia" w:hAnsiTheme="minorEastAsia" w:eastAsiaTheme="minorEastAsia"/>
          <w:b w:val="0"/>
          <w:bCs w:val="0"/>
          <w:color w:val="auto"/>
          <w:sz w:val="21"/>
          <w:szCs w:val="21"/>
          <w:highlight w:val="none"/>
        </w:rPr>
      </w:pPr>
    </w:p>
    <w:p w14:paraId="1D6F3F75">
      <w:pPr>
        <w:snapToGrid w:val="0"/>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w:t>
      </w:r>
      <w:r>
        <w:rPr>
          <w:rFonts w:asciiTheme="minorEastAsia" w:hAnsiTheme="minorEastAsia" w:eastAsiaTheme="minorEastAsia"/>
          <w:b/>
          <w:color w:val="auto"/>
          <w:szCs w:val="21"/>
          <w:highlight w:val="none"/>
        </w:rPr>
        <w:t>4</w:t>
      </w:r>
      <w:r>
        <w:rPr>
          <w:rFonts w:hint="eastAsia" w:asciiTheme="minorEastAsia" w:hAnsiTheme="minorEastAsia" w:eastAsiaTheme="minorEastAsia"/>
          <w:b/>
          <w:color w:val="auto"/>
          <w:szCs w:val="21"/>
          <w:highlight w:val="none"/>
        </w:rPr>
        <w:t>、</w:t>
      </w:r>
    </w:p>
    <w:p w14:paraId="525ADE66">
      <w:pPr>
        <w:snapToGrid w:val="0"/>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投标函</w:t>
      </w:r>
      <w:r>
        <w:rPr>
          <w:rFonts w:hint="eastAsia" w:asciiTheme="minorEastAsia" w:hAnsiTheme="minorEastAsia" w:eastAsiaTheme="minorEastAsia"/>
          <w:b/>
          <w:bCs/>
          <w:color w:val="auto"/>
          <w:szCs w:val="21"/>
          <w:highlight w:val="none"/>
        </w:rPr>
        <w:t>（附件12）</w:t>
      </w:r>
    </w:p>
    <w:p w14:paraId="3DF9DBE3">
      <w:pPr>
        <w:adjustRightInd w:val="0"/>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致：嘉兴市秀洲区人民政府新城街道办事处</w:t>
      </w:r>
    </w:p>
    <w:p w14:paraId="1B355E9A">
      <w:pPr>
        <w:adjustRightInd w:val="0"/>
        <w:snapToGrid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根据贵方</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招</w:t>
      </w:r>
      <w:r>
        <w:rPr>
          <w:rFonts w:asciiTheme="minorEastAsia" w:hAnsiTheme="minorEastAsia" w:eastAsiaTheme="minorEastAsia"/>
          <w:color w:val="auto"/>
          <w:szCs w:val="21"/>
          <w:highlight w:val="none"/>
        </w:rPr>
        <w:t>标</w:t>
      </w:r>
      <w:r>
        <w:rPr>
          <w:rFonts w:hint="eastAsia" w:asciiTheme="minorEastAsia" w:hAnsiTheme="minorEastAsia" w:eastAsiaTheme="minorEastAsia"/>
          <w:color w:val="auto"/>
          <w:szCs w:val="21"/>
          <w:highlight w:val="none"/>
        </w:rPr>
        <w:t>项目</w:t>
      </w:r>
      <w:r>
        <w:rPr>
          <w:rFonts w:asciiTheme="minorEastAsia" w:hAnsiTheme="minorEastAsia" w:eastAsiaTheme="minorEastAsia"/>
          <w:color w:val="auto"/>
          <w:szCs w:val="21"/>
          <w:highlight w:val="none"/>
        </w:rPr>
        <w:t>，签字代表________（</w:t>
      </w:r>
      <w:r>
        <w:rPr>
          <w:rFonts w:hint="eastAsia" w:asciiTheme="minorEastAsia" w:hAnsiTheme="minorEastAsia" w:eastAsiaTheme="minorEastAsia"/>
          <w:color w:val="auto"/>
          <w:szCs w:val="21"/>
          <w:highlight w:val="none"/>
        </w:rPr>
        <w:t>法人</w:t>
      </w:r>
      <w:r>
        <w:rPr>
          <w:rFonts w:asciiTheme="minorEastAsia" w:hAnsiTheme="minorEastAsia" w:eastAsiaTheme="minorEastAsia"/>
          <w:color w:val="auto"/>
          <w:szCs w:val="21"/>
          <w:highlight w:val="none"/>
        </w:rPr>
        <w:t>全名）经正式授权</w:t>
      </w:r>
      <w:r>
        <w:rPr>
          <w:rFonts w:hint="eastAsia" w:asciiTheme="minorEastAsia" w:hAnsiTheme="minorEastAsia" w:eastAsiaTheme="minorEastAsia"/>
          <w:color w:val="auto"/>
          <w:szCs w:val="21"/>
          <w:highlight w:val="none"/>
        </w:rPr>
        <w:t>（被授权人）</w:t>
      </w:r>
      <w:r>
        <w:rPr>
          <w:rFonts w:asciiTheme="minorEastAsia" w:hAnsiTheme="minorEastAsia" w:eastAsiaTheme="minorEastAsia"/>
          <w:color w:val="auto"/>
          <w:szCs w:val="21"/>
          <w:highlight w:val="none"/>
        </w:rPr>
        <w:t>并代表投标</w:t>
      </w:r>
      <w:r>
        <w:rPr>
          <w:rFonts w:hint="eastAsia" w:asciiTheme="minorEastAsia" w:hAnsiTheme="minorEastAsia" w:eastAsiaTheme="minorEastAsia"/>
          <w:color w:val="auto"/>
          <w:szCs w:val="21"/>
          <w:highlight w:val="none"/>
        </w:rPr>
        <w:t>人</w:t>
      </w:r>
      <w:r>
        <w:rPr>
          <w:rFonts w:asciiTheme="minorEastAsia" w:hAnsiTheme="minorEastAsia" w:eastAsiaTheme="minorEastAsia"/>
          <w:color w:val="auto"/>
          <w:szCs w:val="21"/>
          <w:highlight w:val="none"/>
        </w:rPr>
        <w:t>________________________________________（投标</w:t>
      </w:r>
      <w:r>
        <w:rPr>
          <w:rFonts w:hint="eastAsia" w:asciiTheme="minorEastAsia" w:hAnsiTheme="minorEastAsia" w:eastAsiaTheme="minorEastAsia"/>
          <w:color w:val="auto"/>
          <w:szCs w:val="21"/>
          <w:highlight w:val="none"/>
        </w:rPr>
        <w:t>人</w:t>
      </w:r>
      <w:r>
        <w:rPr>
          <w:rFonts w:asciiTheme="minorEastAsia" w:hAnsiTheme="minorEastAsia" w:eastAsiaTheme="minorEastAsia"/>
          <w:color w:val="auto"/>
          <w:szCs w:val="21"/>
          <w:highlight w:val="none"/>
        </w:rPr>
        <w:t>名称）提交</w:t>
      </w:r>
      <w:r>
        <w:rPr>
          <w:rFonts w:hint="eastAsia" w:asciiTheme="minorEastAsia" w:hAnsiTheme="minorEastAsia" w:eastAsiaTheme="minorEastAsia"/>
          <w:color w:val="auto"/>
          <w:szCs w:val="21"/>
          <w:highlight w:val="none"/>
        </w:rPr>
        <w:t>投标文件、开标过程中的工作</w:t>
      </w:r>
      <w:r>
        <w:rPr>
          <w:rFonts w:asciiTheme="minorEastAsia" w:hAnsiTheme="minorEastAsia" w:eastAsiaTheme="minorEastAsia"/>
          <w:color w:val="auto"/>
          <w:szCs w:val="21"/>
          <w:highlight w:val="none"/>
        </w:rPr>
        <w:t>。</w:t>
      </w:r>
    </w:p>
    <w:p w14:paraId="4E358A50">
      <w:pPr>
        <w:adjustRightInd w:val="0"/>
        <w:snapToGrid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据此函，</w:t>
      </w:r>
      <w:r>
        <w:rPr>
          <w:rFonts w:hint="eastAsia" w:asciiTheme="minorEastAsia" w:hAnsiTheme="minorEastAsia" w:eastAsiaTheme="minorEastAsia"/>
          <w:color w:val="auto"/>
          <w:szCs w:val="21"/>
          <w:highlight w:val="none"/>
        </w:rPr>
        <w:t>签字代表宣布同意如下：</w:t>
      </w:r>
    </w:p>
    <w:p w14:paraId="6DD54C27">
      <w:pPr>
        <w:adjustRightInd w:val="0"/>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1、投标人已详细审查全部“招标文件”，包括修改文件（如有的话）以及全部参考资料和有关附件，已经了解我方对于招标文件、采购过程、采购结果有依法进行询问、质疑、投诉的权利及相关渠道和要求。</w:t>
      </w:r>
    </w:p>
    <w:p w14:paraId="492C328B">
      <w:pPr>
        <w:adjustRightInd w:val="0"/>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2、投标人在投标之前已经与贵方进行了充分的沟通，完全理解并接受招标文件的各项规定和要求，对招标文件的合理性、合法性不再有异议。</w:t>
      </w:r>
    </w:p>
    <w:p w14:paraId="617021D6">
      <w:pPr>
        <w:adjustRightInd w:val="0"/>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3、本投标有效期自开标日起 90个日历天</w:t>
      </w:r>
      <w:r>
        <w:rPr>
          <w:rFonts w:asciiTheme="minorEastAsia" w:hAnsiTheme="minorEastAsia" w:eastAsiaTheme="minorEastAsia"/>
          <w:color w:val="auto"/>
          <w:szCs w:val="21"/>
          <w:highlight w:val="none"/>
        </w:rPr>
        <w:t>。</w:t>
      </w:r>
    </w:p>
    <w:p w14:paraId="26A238F5">
      <w:pPr>
        <w:adjustRightInd w:val="0"/>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4、如中标，本投标文件至本项目合同履行完毕止均保持有效，本投标人将按“招标文件”及政府采购法律、法规的规定履行合同责任和义务。</w:t>
      </w:r>
    </w:p>
    <w:p w14:paraId="4BD0E167">
      <w:pPr>
        <w:adjustRightInd w:val="0"/>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5、投标人同意按照贵方要求提供与投标有关的一切数据或资料，并保证其真实性、合法性。</w:t>
      </w:r>
    </w:p>
    <w:p w14:paraId="6CD9F579">
      <w:pPr>
        <w:adjustRightInd w:val="0"/>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6、与本投标有关的一切正式往来信函请寄：</w:t>
      </w:r>
    </w:p>
    <w:p w14:paraId="7E0383AF">
      <w:pPr>
        <w:adjustRightInd w:val="0"/>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地址：</w:t>
      </w:r>
      <w:r>
        <w:rPr>
          <w:rFonts w:asciiTheme="minorEastAsia" w:hAnsiTheme="minorEastAsia" w:eastAsiaTheme="minorEastAsia"/>
          <w:color w:val="auto"/>
          <w:szCs w:val="21"/>
          <w:highlight w:val="none"/>
        </w:rPr>
        <w:t>____________________邮编：__________</w:t>
      </w:r>
      <w:r>
        <w:rPr>
          <w:rFonts w:hint="eastAsia" w:asciiTheme="minorEastAsia" w:hAnsiTheme="minorEastAsia" w:eastAsiaTheme="minorEastAsia"/>
          <w:color w:val="auto"/>
          <w:szCs w:val="21"/>
          <w:highlight w:val="none"/>
        </w:rPr>
        <w:t xml:space="preserve">   电话：</w:t>
      </w:r>
      <w:r>
        <w:rPr>
          <w:rFonts w:asciiTheme="minorEastAsia" w:hAnsiTheme="minorEastAsia" w:eastAsiaTheme="minorEastAsia"/>
          <w:color w:val="auto"/>
          <w:szCs w:val="21"/>
          <w:highlight w:val="none"/>
        </w:rPr>
        <w:t>______________</w:t>
      </w:r>
    </w:p>
    <w:p w14:paraId="01C69B00">
      <w:pPr>
        <w:adjustRightInd w:val="0"/>
        <w:snapToGrid w:val="0"/>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传真：______________</w:t>
      </w:r>
      <w:r>
        <w:rPr>
          <w:rFonts w:hint="eastAsia" w:asciiTheme="minorEastAsia" w:hAnsiTheme="minorEastAsia" w:eastAsiaTheme="minorEastAsia"/>
          <w:color w:val="auto"/>
          <w:szCs w:val="21"/>
          <w:highlight w:val="none"/>
        </w:rPr>
        <w:t>投标人代表姓名</w:t>
      </w:r>
      <w:r>
        <w:rPr>
          <w:rFonts w:asciiTheme="minorEastAsia" w:hAnsiTheme="minorEastAsia" w:eastAsiaTheme="minorEastAsia"/>
          <w:color w:val="auto"/>
          <w:szCs w:val="21"/>
          <w:highlight w:val="none"/>
        </w:rPr>
        <w:t xml:space="preserve"> ___________ 职务：______________</w:t>
      </w:r>
    </w:p>
    <w:p w14:paraId="3B10D2D2">
      <w:pPr>
        <w:adjustRightInd w:val="0"/>
        <w:snapToGrid w:val="0"/>
        <w:spacing w:line="360" w:lineRule="auto"/>
        <w:rPr>
          <w:rFonts w:asciiTheme="minorEastAsia" w:hAnsiTheme="minorEastAsia" w:eastAsiaTheme="minorEastAsia"/>
          <w:color w:val="auto"/>
          <w:szCs w:val="21"/>
          <w:highlight w:val="none"/>
        </w:rPr>
      </w:pPr>
    </w:p>
    <w:p w14:paraId="626FD6A5">
      <w:pPr>
        <w:adjustRightInd w:val="0"/>
        <w:snapToGrid w:val="0"/>
        <w:spacing w:line="360" w:lineRule="auto"/>
        <w:rPr>
          <w:rFonts w:asciiTheme="minorEastAsia" w:hAnsiTheme="minorEastAsia" w:eastAsiaTheme="minorEastAsia"/>
          <w:color w:val="auto"/>
          <w:szCs w:val="21"/>
          <w:highlight w:val="none"/>
        </w:rPr>
      </w:pPr>
    </w:p>
    <w:p w14:paraId="5D90ABB9">
      <w:pPr>
        <w:adjustRightInd w:val="0"/>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投标人名称</w:t>
      </w:r>
      <w:r>
        <w:rPr>
          <w:rFonts w:asciiTheme="minorEastAsia" w:hAnsiTheme="minorEastAsia" w:eastAsiaTheme="minorEastAsia"/>
          <w:color w:val="auto"/>
          <w:szCs w:val="21"/>
          <w:highlight w:val="none"/>
        </w:rPr>
        <w:t>(盖章):___________________</w:t>
      </w:r>
    </w:p>
    <w:p w14:paraId="41E0E536">
      <w:pPr>
        <w:adjustRightInd w:val="0"/>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开户银行：   </w:t>
      </w:r>
    </w:p>
    <w:p w14:paraId="1FE3941A">
      <w:pPr>
        <w:adjustRightInd w:val="0"/>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银行帐号：</w:t>
      </w:r>
    </w:p>
    <w:p w14:paraId="2909CC2A">
      <w:pPr>
        <w:spacing w:before="120" w:beforeLines="50" w:line="360" w:lineRule="auto"/>
        <w:ind w:firstLine="1375" w:firstLineChars="550"/>
        <w:jc w:val="right"/>
        <w:rPr>
          <w:rFonts w:asciiTheme="minorEastAsia" w:hAnsiTheme="minorEastAsia" w:eastAsiaTheme="minorEastAsia"/>
          <w:color w:val="auto"/>
          <w:szCs w:val="21"/>
          <w:highlight w:val="none"/>
        </w:rPr>
      </w:pPr>
      <w:r>
        <w:rPr>
          <w:rFonts w:asciiTheme="minorEastAsia" w:hAnsiTheme="minorEastAsia" w:eastAsiaTheme="minorEastAsia"/>
          <w:color w:val="auto"/>
          <w:spacing w:val="20"/>
          <w:szCs w:val="21"/>
          <w:highlight w:val="none"/>
        </w:rPr>
        <w:t>法定代表人或委托代理人</w:t>
      </w:r>
      <w:r>
        <w:rPr>
          <w:rFonts w:hint="eastAsia" w:asciiTheme="minorEastAsia" w:hAnsiTheme="minorEastAsia" w:eastAsiaTheme="minorEastAsia"/>
          <w:color w:val="auto"/>
          <w:spacing w:val="20"/>
          <w:szCs w:val="21"/>
          <w:highlight w:val="none"/>
        </w:rPr>
        <w:t>签名（或盖章）：</w:t>
      </w:r>
    </w:p>
    <w:p w14:paraId="760B9E4C">
      <w:pPr>
        <w:spacing w:line="360" w:lineRule="auto"/>
        <w:ind w:firstLine="500" w:firstLineChars="200"/>
        <w:jc w:val="right"/>
        <w:rPr>
          <w:rFonts w:asciiTheme="minorEastAsia" w:hAnsiTheme="minorEastAsia" w:eastAsiaTheme="minorEastAsia"/>
          <w:color w:val="auto"/>
          <w:spacing w:val="20"/>
          <w:szCs w:val="21"/>
          <w:highlight w:val="none"/>
          <w:u w:val="single"/>
        </w:rPr>
      </w:pPr>
      <w:r>
        <w:rPr>
          <w:rFonts w:hint="eastAsia" w:asciiTheme="minorEastAsia" w:hAnsiTheme="minorEastAsia" w:eastAsiaTheme="minorEastAsia"/>
          <w:color w:val="auto"/>
          <w:spacing w:val="20"/>
          <w:szCs w:val="21"/>
          <w:highlight w:val="none"/>
        </w:rPr>
        <w:t xml:space="preserve">                            投标人盖章：</w:t>
      </w:r>
    </w:p>
    <w:p w14:paraId="10250349">
      <w:pPr>
        <w:spacing w:line="360" w:lineRule="auto"/>
        <w:ind w:firstLine="500" w:firstLineChars="200"/>
        <w:jc w:val="right"/>
        <w:rPr>
          <w:rFonts w:asciiTheme="minorEastAsia" w:hAnsiTheme="minorEastAsia" w:eastAsiaTheme="minorEastAsia"/>
          <w:color w:val="auto"/>
          <w:spacing w:val="20"/>
          <w:szCs w:val="21"/>
          <w:highlight w:val="none"/>
          <w:u w:val="single"/>
        </w:rPr>
      </w:pPr>
      <w:r>
        <w:rPr>
          <w:rFonts w:hint="eastAsia" w:asciiTheme="minorEastAsia" w:hAnsiTheme="minorEastAsia" w:eastAsiaTheme="minorEastAsia"/>
          <w:color w:val="auto"/>
          <w:spacing w:val="20"/>
          <w:szCs w:val="21"/>
          <w:highlight w:val="none"/>
        </w:rPr>
        <w:t xml:space="preserve">                            日     期：</w:t>
      </w:r>
    </w:p>
    <w:p w14:paraId="60F4627F">
      <w:pPr>
        <w:snapToGrid w:val="0"/>
        <w:spacing w:line="360" w:lineRule="auto"/>
        <w:rPr>
          <w:rFonts w:asciiTheme="minorEastAsia" w:hAnsiTheme="minorEastAsia" w:eastAsiaTheme="minorEastAsia"/>
          <w:b/>
          <w:color w:val="auto"/>
          <w:szCs w:val="21"/>
          <w:highlight w:val="none"/>
        </w:rPr>
      </w:pPr>
    </w:p>
    <w:p w14:paraId="25FA0EA3">
      <w:pPr>
        <w:snapToGrid w:val="0"/>
        <w:spacing w:line="360" w:lineRule="auto"/>
        <w:rPr>
          <w:rFonts w:asciiTheme="minorEastAsia" w:hAnsiTheme="minorEastAsia" w:eastAsiaTheme="minorEastAsia"/>
          <w:b/>
          <w:color w:val="auto"/>
          <w:szCs w:val="21"/>
          <w:highlight w:val="none"/>
        </w:rPr>
      </w:pPr>
    </w:p>
    <w:p w14:paraId="0A4DAF6C">
      <w:pPr>
        <w:snapToGrid w:val="0"/>
        <w:spacing w:line="360" w:lineRule="auto"/>
        <w:rPr>
          <w:rFonts w:asciiTheme="minorEastAsia" w:hAnsiTheme="minorEastAsia" w:eastAsiaTheme="minorEastAsia"/>
          <w:b/>
          <w:color w:val="auto"/>
          <w:szCs w:val="21"/>
          <w:highlight w:val="none"/>
        </w:rPr>
      </w:pPr>
    </w:p>
    <w:p w14:paraId="2AB341EF">
      <w:pPr>
        <w:snapToGrid w:val="0"/>
        <w:spacing w:line="360" w:lineRule="auto"/>
        <w:rPr>
          <w:rFonts w:asciiTheme="minorEastAsia" w:hAnsiTheme="minorEastAsia" w:eastAsiaTheme="minorEastAsia"/>
          <w:b/>
          <w:color w:val="auto"/>
          <w:szCs w:val="21"/>
          <w:highlight w:val="none"/>
        </w:rPr>
      </w:pPr>
    </w:p>
    <w:p w14:paraId="042DC72F">
      <w:pP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br w:type="page"/>
      </w:r>
    </w:p>
    <w:p w14:paraId="518F172F">
      <w:pPr>
        <w:snapToGrid w:val="0"/>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w:t>
      </w:r>
      <w:r>
        <w:rPr>
          <w:rFonts w:asciiTheme="minorEastAsia" w:hAnsiTheme="minorEastAsia" w:eastAsiaTheme="minorEastAsia"/>
          <w:b/>
          <w:color w:val="auto"/>
          <w:szCs w:val="21"/>
          <w:highlight w:val="none"/>
        </w:rPr>
        <w:t>5</w:t>
      </w:r>
      <w:r>
        <w:rPr>
          <w:rFonts w:hint="eastAsia" w:asciiTheme="minorEastAsia" w:hAnsiTheme="minorEastAsia" w:eastAsiaTheme="minorEastAsia"/>
          <w:b/>
          <w:color w:val="auto"/>
          <w:szCs w:val="21"/>
          <w:highlight w:val="none"/>
        </w:rPr>
        <w:t>、</w:t>
      </w:r>
    </w:p>
    <w:p w14:paraId="606846A4">
      <w:pPr>
        <w:snapToGrid w:val="0"/>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开标一览表（附件13）</w:t>
      </w:r>
    </w:p>
    <w:p w14:paraId="08FF293F">
      <w:pPr>
        <w:spacing w:line="360" w:lineRule="auto"/>
        <w:rPr>
          <w:rFonts w:hint="eastAsia" w:asciiTheme="minorEastAsia" w:hAnsiTheme="minorEastAsia" w:eastAsiaTheme="minorEastAsia"/>
          <w:b/>
          <w:color w:val="auto"/>
          <w:szCs w:val="21"/>
          <w:highlight w:val="none"/>
          <w:lang w:eastAsia="zh-CN"/>
        </w:rPr>
      </w:pPr>
      <w:r>
        <w:rPr>
          <w:rFonts w:hint="eastAsia" w:asciiTheme="minorEastAsia" w:hAnsiTheme="minorEastAsia" w:eastAsiaTheme="minorEastAsia"/>
          <w:color w:val="auto"/>
          <w:szCs w:val="21"/>
          <w:highlight w:val="none"/>
        </w:rPr>
        <w:t>项目名称：</w:t>
      </w:r>
      <w:r>
        <w:rPr>
          <w:rFonts w:hint="eastAsia" w:asciiTheme="minorEastAsia" w:hAnsiTheme="minorEastAsia" w:eastAsiaTheme="minorEastAsia"/>
          <w:color w:val="auto"/>
          <w:szCs w:val="21"/>
          <w:highlight w:val="none"/>
          <w:lang w:eastAsia="zh-CN"/>
        </w:rPr>
        <w:t>新城派出所院内翻新改造</w:t>
      </w:r>
    </w:p>
    <w:tbl>
      <w:tblPr>
        <w:tblStyle w:val="54"/>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541"/>
        <w:gridCol w:w="1483"/>
        <w:gridCol w:w="1217"/>
        <w:gridCol w:w="1003"/>
        <w:gridCol w:w="1790"/>
        <w:gridCol w:w="896"/>
      </w:tblGrid>
      <w:tr w14:paraId="5C352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710" w:type="dxa"/>
            <w:vAlign w:val="center"/>
          </w:tcPr>
          <w:p w14:paraId="64BC7266">
            <w:pPr>
              <w:adjustRightInd w:val="0"/>
              <w:spacing w:line="360" w:lineRule="auto"/>
              <w:jc w:val="center"/>
              <w:rPr>
                <w:rFonts w:cs="Arial" w:asciiTheme="minorEastAsia" w:hAnsiTheme="minorEastAsia" w:eastAsiaTheme="minorEastAsia"/>
                <w:b/>
                <w:color w:val="auto"/>
                <w:szCs w:val="21"/>
                <w:highlight w:val="none"/>
              </w:rPr>
            </w:pPr>
            <w:r>
              <w:rPr>
                <w:rFonts w:hint="eastAsia" w:cs="Arial" w:asciiTheme="minorEastAsia" w:hAnsiTheme="minorEastAsia" w:eastAsiaTheme="minorEastAsia"/>
                <w:b/>
                <w:color w:val="auto"/>
                <w:szCs w:val="21"/>
                <w:highlight w:val="none"/>
              </w:rPr>
              <w:t>序号</w:t>
            </w:r>
          </w:p>
        </w:tc>
        <w:tc>
          <w:tcPr>
            <w:tcW w:w="2541" w:type="dxa"/>
            <w:vAlign w:val="center"/>
          </w:tcPr>
          <w:p w14:paraId="5D6871F1">
            <w:pPr>
              <w:adjustRightInd w:val="0"/>
              <w:spacing w:line="360" w:lineRule="auto"/>
              <w:jc w:val="center"/>
              <w:rPr>
                <w:rFonts w:cs="Arial" w:asciiTheme="minorEastAsia" w:hAnsiTheme="minorEastAsia" w:eastAsiaTheme="minorEastAsia"/>
                <w:b/>
                <w:color w:val="auto"/>
                <w:szCs w:val="21"/>
                <w:highlight w:val="none"/>
              </w:rPr>
            </w:pPr>
            <w:r>
              <w:rPr>
                <w:rFonts w:hint="eastAsia" w:cs="Arial" w:asciiTheme="minorEastAsia" w:hAnsiTheme="minorEastAsia" w:eastAsiaTheme="minorEastAsia"/>
                <w:b/>
                <w:color w:val="auto"/>
                <w:szCs w:val="21"/>
                <w:highlight w:val="none"/>
              </w:rPr>
              <w:t>项目名称</w:t>
            </w:r>
          </w:p>
        </w:tc>
        <w:tc>
          <w:tcPr>
            <w:tcW w:w="1483" w:type="dxa"/>
            <w:vAlign w:val="center"/>
          </w:tcPr>
          <w:p w14:paraId="5F2B642E">
            <w:pPr>
              <w:adjustRightInd w:val="0"/>
              <w:spacing w:line="360" w:lineRule="auto"/>
              <w:jc w:val="center"/>
              <w:rPr>
                <w:rFonts w:cs="Arial" w:asciiTheme="minorEastAsia" w:hAnsiTheme="minorEastAsia" w:eastAsiaTheme="minorEastAsia"/>
                <w:b/>
                <w:color w:val="auto"/>
                <w:szCs w:val="21"/>
                <w:highlight w:val="none"/>
              </w:rPr>
            </w:pPr>
            <w:r>
              <w:rPr>
                <w:rFonts w:hint="eastAsia" w:cs="Arial" w:asciiTheme="minorEastAsia" w:hAnsiTheme="minorEastAsia" w:eastAsiaTheme="minorEastAsia"/>
                <w:b/>
                <w:color w:val="auto"/>
                <w:szCs w:val="21"/>
                <w:highlight w:val="none"/>
              </w:rPr>
              <w:t>上限价</w:t>
            </w:r>
          </w:p>
          <w:p w14:paraId="5820FC2C">
            <w:pPr>
              <w:adjustRightInd w:val="0"/>
              <w:spacing w:line="360" w:lineRule="auto"/>
              <w:jc w:val="center"/>
              <w:rPr>
                <w:rFonts w:cs="Arial" w:asciiTheme="minorEastAsia" w:hAnsiTheme="minorEastAsia" w:eastAsiaTheme="minorEastAsia"/>
                <w:b/>
                <w:color w:val="auto"/>
                <w:szCs w:val="21"/>
                <w:highlight w:val="none"/>
              </w:rPr>
            </w:pPr>
            <w:r>
              <w:rPr>
                <w:rFonts w:hint="eastAsia" w:cs="Arial" w:asciiTheme="minorEastAsia" w:hAnsiTheme="minorEastAsia" w:eastAsiaTheme="minorEastAsia"/>
                <w:b/>
                <w:color w:val="auto"/>
                <w:szCs w:val="21"/>
                <w:highlight w:val="none"/>
              </w:rPr>
              <w:t>（万元）</w:t>
            </w:r>
          </w:p>
        </w:tc>
        <w:tc>
          <w:tcPr>
            <w:tcW w:w="1217" w:type="dxa"/>
            <w:vAlign w:val="center"/>
          </w:tcPr>
          <w:p w14:paraId="666B339A">
            <w:pPr>
              <w:adjustRightInd w:val="0"/>
              <w:spacing w:line="360" w:lineRule="auto"/>
              <w:jc w:val="center"/>
              <w:rPr>
                <w:rFonts w:cs="Arial" w:asciiTheme="minorEastAsia" w:hAnsiTheme="minorEastAsia" w:eastAsiaTheme="minorEastAsia"/>
                <w:b/>
                <w:color w:val="auto"/>
                <w:szCs w:val="21"/>
                <w:highlight w:val="none"/>
              </w:rPr>
            </w:pPr>
            <w:r>
              <w:rPr>
                <w:rFonts w:hint="eastAsia" w:cs="Arial" w:asciiTheme="minorEastAsia" w:hAnsiTheme="minorEastAsia" w:eastAsiaTheme="minorEastAsia"/>
                <w:b/>
                <w:color w:val="auto"/>
                <w:szCs w:val="21"/>
                <w:highlight w:val="none"/>
              </w:rPr>
              <w:t>投标报价</w:t>
            </w:r>
          </w:p>
          <w:p w14:paraId="22BAB1BD">
            <w:pPr>
              <w:adjustRightInd w:val="0"/>
              <w:spacing w:line="360" w:lineRule="auto"/>
              <w:jc w:val="center"/>
              <w:rPr>
                <w:rFonts w:cs="Arial" w:asciiTheme="minorEastAsia" w:hAnsiTheme="minorEastAsia" w:eastAsiaTheme="minorEastAsia"/>
                <w:b/>
                <w:color w:val="auto"/>
                <w:szCs w:val="21"/>
                <w:highlight w:val="none"/>
              </w:rPr>
            </w:pPr>
            <w:r>
              <w:rPr>
                <w:rFonts w:hint="eastAsia" w:cs="Arial" w:asciiTheme="minorEastAsia" w:hAnsiTheme="minorEastAsia" w:eastAsiaTheme="minorEastAsia"/>
                <w:b/>
                <w:color w:val="auto"/>
                <w:szCs w:val="21"/>
                <w:highlight w:val="none"/>
              </w:rPr>
              <w:t>（万元）</w:t>
            </w:r>
          </w:p>
        </w:tc>
        <w:tc>
          <w:tcPr>
            <w:tcW w:w="1003" w:type="dxa"/>
            <w:vAlign w:val="center"/>
          </w:tcPr>
          <w:p w14:paraId="71569C83">
            <w:pPr>
              <w:adjustRightInd w:val="0"/>
              <w:spacing w:line="360" w:lineRule="auto"/>
              <w:jc w:val="center"/>
              <w:rPr>
                <w:rFonts w:cs="Arial" w:asciiTheme="minorEastAsia" w:hAnsiTheme="minorEastAsia" w:eastAsiaTheme="minorEastAsia"/>
                <w:b/>
                <w:color w:val="auto"/>
                <w:szCs w:val="21"/>
                <w:highlight w:val="none"/>
              </w:rPr>
            </w:pPr>
            <w:r>
              <w:rPr>
                <w:rFonts w:hint="eastAsia" w:cs="Arial" w:asciiTheme="minorEastAsia" w:hAnsiTheme="minorEastAsia" w:eastAsiaTheme="minorEastAsia"/>
                <w:b/>
                <w:color w:val="auto"/>
                <w:szCs w:val="21"/>
                <w:highlight w:val="none"/>
              </w:rPr>
              <w:t>项目负责人</w:t>
            </w:r>
          </w:p>
        </w:tc>
        <w:tc>
          <w:tcPr>
            <w:tcW w:w="1790" w:type="dxa"/>
            <w:vAlign w:val="center"/>
          </w:tcPr>
          <w:p w14:paraId="4A418ACE">
            <w:pPr>
              <w:adjustRightInd w:val="0"/>
              <w:spacing w:line="360" w:lineRule="auto"/>
              <w:jc w:val="center"/>
              <w:rPr>
                <w:rFonts w:cs="Arial" w:asciiTheme="minorEastAsia" w:hAnsiTheme="minorEastAsia" w:eastAsiaTheme="minorEastAsia"/>
                <w:b/>
                <w:color w:val="auto"/>
                <w:szCs w:val="21"/>
                <w:highlight w:val="none"/>
              </w:rPr>
            </w:pPr>
            <w:r>
              <w:rPr>
                <w:rFonts w:hint="eastAsia" w:cs="Arial" w:asciiTheme="minorEastAsia" w:hAnsiTheme="minorEastAsia" w:eastAsiaTheme="minorEastAsia"/>
                <w:b/>
                <w:color w:val="auto"/>
                <w:szCs w:val="21"/>
                <w:highlight w:val="none"/>
              </w:rPr>
              <w:t>工期</w:t>
            </w:r>
          </w:p>
        </w:tc>
        <w:tc>
          <w:tcPr>
            <w:tcW w:w="896" w:type="dxa"/>
            <w:vAlign w:val="center"/>
          </w:tcPr>
          <w:p w14:paraId="6656C796">
            <w:pPr>
              <w:adjustRightInd w:val="0"/>
              <w:spacing w:line="360" w:lineRule="auto"/>
              <w:jc w:val="center"/>
              <w:rPr>
                <w:rFonts w:cs="Arial" w:asciiTheme="minorEastAsia" w:hAnsiTheme="minorEastAsia" w:eastAsiaTheme="minorEastAsia"/>
                <w:b/>
                <w:color w:val="auto"/>
                <w:szCs w:val="21"/>
                <w:highlight w:val="none"/>
              </w:rPr>
            </w:pPr>
            <w:r>
              <w:rPr>
                <w:rFonts w:hint="eastAsia" w:cs="Arial" w:asciiTheme="minorEastAsia" w:hAnsiTheme="minorEastAsia" w:eastAsiaTheme="minorEastAsia"/>
                <w:b/>
                <w:color w:val="auto"/>
                <w:szCs w:val="21"/>
                <w:highlight w:val="none"/>
              </w:rPr>
              <w:t>备注</w:t>
            </w:r>
          </w:p>
        </w:tc>
      </w:tr>
      <w:tr w14:paraId="0A950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710" w:type="dxa"/>
            <w:vAlign w:val="center"/>
          </w:tcPr>
          <w:p w14:paraId="43BAF867">
            <w:pPr>
              <w:adjustRightInd w:val="0"/>
              <w:snapToGrid w:val="0"/>
              <w:spacing w:line="360" w:lineRule="auto"/>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w:t>
            </w:r>
          </w:p>
        </w:tc>
        <w:tc>
          <w:tcPr>
            <w:tcW w:w="2541" w:type="dxa"/>
            <w:vAlign w:val="center"/>
          </w:tcPr>
          <w:p w14:paraId="20A027E8">
            <w:pPr>
              <w:snapToGrid w:val="0"/>
              <w:spacing w:line="360" w:lineRule="auto"/>
              <w:jc w:val="center"/>
              <w:rPr>
                <w:rFonts w:hint="eastAsia" w:cs="Arial"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highlight w:val="none"/>
                <w:lang w:eastAsia="zh-CN"/>
              </w:rPr>
              <w:t>新城派出所院内翻新改造</w:t>
            </w:r>
          </w:p>
        </w:tc>
        <w:tc>
          <w:tcPr>
            <w:tcW w:w="1483" w:type="dxa"/>
            <w:vAlign w:val="center"/>
          </w:tcPr>
          <w:p w14:paraId="2D859247">
            <w:pPr>
              <w:adjustRightInd w:val="0"/>
              <w:snapToGrid w:val="0"/>
              <w:spacing w:line="360" w:lineRule="auto"/>
              <w:jc w:val="center"/>
              <w:rPr>
                <w:rFonts w:hint="eastAsia"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148.8939</w:t>
            </w:r>
          </w:p>
        </w:tc>
        <w:tc>
          <w:tcPr>
            <w:tcW w:w="1217" w:type="dxa"/>
            <w:vAlign w:val="center"/>
          </w:tcPr>
          <w:p w14:paraId="44F772E0">
            <w:pPr>
              <w:adjustRightInd w:val="0"/>
              <w:snapToGrid w:val="0"/>
              <w:spacing w:line="360" w:lineRule="auto"/>
              <w:jc w:val="center"/>
              <w:rPr>
                <w:rFonts w:cs="宋体" w:asciiTheme="minorEastAsia" w:hAnsiTheme="minorEastAsia" w:eastAsiaTheme="minorEastAsia"/>
                <w:color w:val="auto"/>
                <w:highlight w:val="none"/>
              </w:rPr>
            </w:pPr>
          </w:p>
        </w:tc>
        <w:tc>
          <w:tcPr>
            <w:tcW w:w="1003" w:type="dxa"/>
            <w:vAlign w:val="center"/>
          </w:tcPr>
          <w:p w14:paraId="7F10DCCE">
            <w:pPr>
              <w:adjustRightInd w:val="0"/>
              <w:spacing w:line="360" w:lineRule="auto"/>
              <w:jc w:val="center"/>
              <w:rPr>
                <w:rFonts w:cs="Arial" w:asciiTheme="minorEastAsia" w:hAnsiTheme="minorEastAsia" w:eastAsiaTheme="minorEastAsia"/>
                <w:color w:val="auto"/>
                <w:szCs w:val="21"/>
                <w:highlight w:val="none"/>
              </w:rPr>
            </w:pPr>
          </w:p>
        </w:tc>
        <w:tc>
          <w:tcPr>
            <w:tcW w:w="1790" w:type="dxa"/>
            <w:vAlign w:val="center"/>
          </w:tcPr>
          <w:p w14:paraId="42F82510">
            <w:pPr>
              <w:adjustRightInd w:val="0"/>
              <w:spacing w:line="360" w:lineRule="auto"/>
              <w:jc w:val="center"/>
              <w:rPr>
                <w:rFonts w:cs="Arial" w:asciiTheme="minorEastAsia" w:hAnsiTheme="minorEastAsia" w:eastAsiaTheme="minorEastAsia"/>
                <w:color w:val="auto"/>
                <w:szCs w:val="21"/>
                <w:highlight w:val="none"/>
              </w:rPr>
            </w:pPr>
          </w:p>
        </w:tc>
        <w:tc>
          <w:tcPr>
            <w:tcW w:w="896" w:type="dxa"/>
            <w:vAlign w:val="center"/>
          </w:tcPr>
          <w:p w14:paraId="052CC5C7">
            <w:pPr>
              <w:adjustRightInd w:val="0"/>
              <w:spacing w:line="360" w:lineRule="auto"/>
              <w:jc w:val="center"/>
              <w:rPr>
                <w:rFonts w:cs="Arial" w:asciiTheme="minorEastAsia" w:hAnsiTheme="minorEastAsia" w:eastAsiaTheme="minorEastAsia"/>
                <w:color w:val="auto"/>
                <w:szCs w:val="21"/>
                <w:highlight w:val="none"/>
              </w:rPr>
            </w:pPr>
          </w:p>
        </w:tc>
      </w:tr>
      <w:tr w14:paraId="19C04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9640" w:type="dxa"/>
            <w:gridSpan w:val="7"/>
            <w:vAlign w:val="center"/>
          </w:tcPr>
          <w:p w14:paraId="5E3DDBB4">
            <w:pPr>
              <w:adjustRightInd w:val="0"/>
              <w:spacing w:line="360" w:lineRule="auto"/>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 xml:space="preserve">合计大写（人民币）：                               </w:t>
            </w:r>
          </w:p>
        </w:tc>
      </w:tr>
    </w:tbl>
    <w:p w14:paraId="3AFF4B68">
      <w:pPr>
        <w:spacing w:line="360" w:lineRule="auto"/>
        <w:rPr>
          <w:rFonts w:asciiTheme="minorEastAsia" w:hAnsiTheme="minorEastAsia" w:eastAsiaTheme="minorEastAsia"/>
          <w:b/>
          <w:color w:val="auto"/>
          <w:szCs w:val="21"/>
          <w:highlight w:val="none"/>
        </w:rPr>
      </w:pPr>
    </w:p>
    <w:p w14:paraId="5B0240CA">
      <w:pPr>
        <w:adjustRightInd w:val="0"/>
        <w:spacing w:line="360" w:lineRule="auto"/>
        <w:rPr>
          <w:rFonts w:cs="Arial" w:asciiTheme="minorEastAsia" w:hAnsiTheme="minorEastAsia" w:eastAsiaTheme="minorEastAsia"/>
          <w:color w:val="auto"/>
          <w:szCs w:val="21"/>
          <w:highlight w:val="none"/>
        </w:rPr>
      </w:pPr>
      <w:r>
        <w:rPr>
          <w:rFonts w:hint="eastAsia" w:cs="Arial" w:asciiTheme="minorEastAsia" w:hAnsiTheme="minorEastAsia" w:eastAsiaTheme="minorEastAsia"/>
          <w:bCs/>
          <w:color w:val="auto"/>
          <w:szCs w:val="21"/>
          <w:highlight w:val="none"/>
        </w:rPr>
        <w:t>注</w:t>
      </w:r>
      <w:r>
        <w:rPr>
          <w:rFonts w:hint="eastAsia" w:cs="Arial" w:asciiTheme="minorEastAsia" w:hAnsiTheme="minorEastAsia" w:eastAsiaTheme="minorEastAsia"/>
          <w:color w:val="auto"/>
          <w:szCs w:val="21"/>
          <w:highlight w:val="none"/>
        </w:rPr>
        <w:t>：</w:t>
      </w:r>
      <w:r>
        <w:rPr>
          <w:rFonts w:cs="Arial" w:asciiTheme="minorEastAsia" w:hAnsiTheme="minorEastAsia" w:eastAsiaTheme="minorEastAsia"/>
          <w:color w:val="auto"/>
          <w:szCs w:val="21"/>
          <w:highlight w:val="none"/>
        </w:rPr>
        <w:t>1</w:t>
      </w:r>
      <w:r>
        <w:rPr>
          <w:rFonts w:hint="eastAsia" w:cs="Arial" w:asciiTheme="minorEastAsia" w:hAnsiTheme="minorEastAsia" w:eastAsiaTheme="minorEastAsia"/>
          <w:color w:val="auto"/>
          <w:szCs w:val="21"/>
          <w:highlight w:val="none"/>
        </w:rPr>
        <w:t>、</w:t>
      </w:r>
      <w:r>
        <w:rPr>
          <w:rFonts w:cs="Arial" w:asciiTheme="minorEastAsia" w:hAnsiTheme="minorEastAsia" w:eastAsiaTheme="minorEastAsia"/>
          <w:color w:val="auto"/>
          <w:szCs w:val="21"/>
          <w:highlight w:val="none"/>
        </w:rPr>
        <w:t>填写此表时不得改变表格的形式。</w:t>
      </w:r>
    </w:p>
    <w:p w14:paraId="7CD36609">
      <w:pPr>
        <w:adjustRightInd w:val="0"/>
        <w:spacing w:line="360" w:lineRule="auto"/>
        <w:ind w:firstLine="420" w:firstLineChars="200"/>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2、投标报</w:t>
      </w:r>
      <w:r>
        <w:rPr>
          <w:rFonts w:cs="Arial" w:asciiTheme="minorEastAsia" w:hAnsiTheme="minorEastAsia" w:eastAsiaTheme="minorEastAsia"/>
          <w:color w:val="auto"/>
          <w:szCs w:val="21"/>
          <w:highlight w:val="none"/>
        </w:rPr>
        <w:t>价包括</w:t>
      </w:r>
      <w:r>
        <w:rPr>
          <w:rFonts w:hint="eastAsia" w:cs="Arial" w:asciiTheme="minorEastAsia" w:hAnsiTheme="minorEastAsia" w:eastAsiaTheme="minorEastAsia"/>
          <w:color w:val="auto"/>
          <w:szCs w:val="21"/>
          <w:highlight w:val="none"/>
        </w:rPr>
        <w:t>提供服务、人员、交通、税金等本项目所需的</w:t>
      </w:r>
      <w:r>
        <w:rPr>
          <w:rFonts w:cs="Arial" w:asciiTheme="minorEastAsia" w:hAnsiTheme="minorEastAsia" w:eastAsiaTheme="minorEastAsia"/>
          <w:color w:val="auto"/>
          <w:szCs w:val="21"/>
          <w:highlight w:val="none"/>
        </w:rPr>
        <w:t>全部费用。</w:t>
      </w:r>
    </w:p>
    <w:p w14:paraId="7DD57539">
      <w:pPr>
        <w:adjustRightInd w:val="0"/>
        <w:spacing w:line="360" w:lineRule="auto"/>
        <w:ind w:firstLine="420" w:firstLineChars="200"/>
        <w:rPr>
          <w:rFonts w:asciiTheme="minorEastAsia" w:hAnsiTheme="minorEastAsia" w:eastAsiaTheme="minorEastAsia"/>
          <w:color w:val="auto"/>
          <w:szCs w:val="21"/>
          <w:highlight w:val="none"/>
        </w:rPr>
      </w:pPr>
    </w:p>
    <w:p w14:paraId="07E641EC">
      <w:pPr>
        <w:spacing w:before="120" w:beforeLines="50" w:line="360" w:lineRule="auto"/>
        <w:ind w:firstLine="1375" w:firstLineChars="550"/>
        <w:jc w:val="right"/>
        <w:rPr>
          <w:rFonts w:asciiTheme="minorEastAsia" w:hAnsiTheme="minorEastAsia" w:eastAsiaTheme="minorEastAsia"/>
          <w:color w:val="auto"/>
          <w:szCs w:val="21"/>
          <w:highlight w:val="none"/>
        </w:rPr>
      </w:pPr>
      <w:r>
        <w:rPr>
          <w:rFonts w:asciiTheme="minorEastAsia" w:hAnsiTheme="minorEastAsia" w:eastAsiaTheme="minorEastAsia"/>
          <w:color w:val="auto"/>
          <w:spacing w:val="20"/>
          <w:szCs w:val="21"/>
          <w:highlight w:val="none"/>
        </w:rPr>
        <w:t>法定代表人或委托代理人</w:t>
      </w:r>
      <w:r>
        <w:rPr>
          <w:rFonts w:hint="eastAsia" w:asciiTheme="minorEastAsia" w:hAnsiTheme="minorEastAsia" w:eastAsiaTheme="minorEastAsia"/>
          <w:color w:val="auto"/>
          <w:spacing w:val="20"/>
          <w:szCs w:val="21"/>
          <w:highlight w:val="none"/>
        </w:rPr>
        <w:t>签名（或盖章）：</w:t>
      </w:r>
    </w:p>
    <w:p w14:paraId="52D4ED8A">
      <w:pPr>
        <w:spacing w:line="360" w:lineRule="auto"/>
        <w:ind w:firstLine="500" w:firstLineChars="200"/>
        <w:jc w:val="right"/>
        <w:rPr>
          <w:rFonts w:asciiTheme="minorEastAsia" w:hAnsiTheme="minorEastAsia" w:eastAsiaTheme="minorEastAsia"/>
          <w:color w:val="auto"/>
          <w:spacing w:val="20"/>
          <w:szCs w:val="21"/>
          <w:highlight w:val="none"/>
          <w:u w:val="single"/>
        </w:rPr>
      </w:pPr>
      <w:r>
        <w:rPr>
          <w:rFonts w:hint="eastAsia" w:asciiTheme="minorEastAsia" w:hAnsiTheme="minorEastAsia" w:eastAsiaTheme="minorEastAsia"/>
          <w:color w:val="auto"/>
          <w:spacing w:val="20"/>
          <w:szCs w:val="21"/>
          <w:highlight w:val="none"/>
        </w:rPr>
        <w:t xml:space="preserve">                            投标人盖章：</w:t>
      </w:r>
    </w:p>
    <w:p w14:paraId="0BDAAFEC">
      <w:pPr>
        <w:spacing w:line="360" w:lineRule="auto"/>
        <w:ind w:firstLine="500" w:firstLineChars="200"/>
        <w:jc w:val="right"/>
        <w:rPr>
          <w:rFonts w:asciiTheme="minorEastAsia" w:hAnsiTheme="minorEastAsia" w:eastAsiaTheme="minorEastAsia"/>
          <w:color w:val="auto"/>
          <w:spacing w:val="20"/>
          <w:szCs w:val="21"/>
          <w:highlight w:val="none"/>
          <w:u w:val="single"/>
        </w:rPr>
      </w:pPr>
      <w:r>
        <w:rPr>
          <w:rFonts w:hint="eastAsia" w:asciiTheme="minorEastAsia" w:hAnsiTheme="minorEastAsia" w:eastAsiaTheme="minorEastAsia"/>
          <w:color w:val="auto"/>
          <w:spacing w:val="20"/>
          <w:szCs w:val="21"/>
          <w:highlight w:val="none"/>
        </w:rPr>
        <w:t xml:space="preserve">                            日     期：</w:t>
      </w:r>
    </w:p>
    <w:p w14:paraId="17C951F9">
      <w:pPr>
        <w:spacing w:line="360" w:lineRule="auto"/>
        <w:rPr>
          <w:rFonts w:asciiTheme="minorEastAsia" w:hAnsiTheme="minorEastAsia" w:eastAsiaTheme="minorEastAsia"/>
          <w:b/>
          <w:color w:val="auto"/>
          <w:szCs w:val="21"/>
          <w:highlight w:val="none"/>
        </w:rPr>
      </w:pPr>
    </w:p>
    <w:p w14:paraId="06921E11">
      <w:pPr>
        <w:spacing w:line="360" w:lineRule="auto"/>
        <w:rPr>
          <w:rFonts w:asciiTheme="minorEastAsia" w:hAnsiTheme="minorEastAsia" w:eastAsiaTheme="minorEastAsia"/>
          <w:b/>
          <w:color w:val="auto"/>
          <w:szCs w:val="21"/>
          <w:highlight w:val="none"/>
        </w:rPr>
      </w:pPr>
    </w:p>
    <w:p w14:paraId="47A0E414">
      <w:pPr>
        <w:spacing w:line="360" w:lineRule="auto"/>
        <w:rPr>
          <w:rFonts w:asciiTheme="minorEastAsia" w:hAnsiTheme="minorEastAsia" w:eastAsiaTheme="minorEastAsia"/>
          <w:b/>
          <w:color w:val="auto"/>
          <w:szCs w:val="21"/>
          <w:highlight w:val="none"/>
        </w:rPr>
      </w:pPr>
    </w:p>
    <w:p w14:paraId="78CA6DBC">
      <w:pPr>
        <w:spacing w:line="360" w:lineRule="auto"/>
        <w:rPr>
          <w:rFonts w:asciiTheme="minorEastAsia" w:hAnsiTheme="minorEastAsia" w:eastAsiaTheme="minorEastAsia"/>
          <w:b/>
          <w:color w:val="auto"/>
          <w:szCs w:val="21"/>
          <w:highlight w:val="none"/>
        </w:rPr>
      </w:pPr>
    </w:p>
    <w:p w14:paraId="51732FF6">
      <w:pPr>
        <w:spacing w:line="360" w:lineRule="auto"/>
        <w:rPr>
          <w:rFonts w:asciiTheme="minorEastAsia" w:hAnsiTheme="minorEastAsia" w:eastAsiaTheme="minorEastAsia"/>
          <w:b/>
          <w:color w:val="auto"/>
          <w:szCs w:val="21"/>
          <w:highlight w:val="none"/>
        </w:rPr>
      </w:pPr>
    </w:p>
    <w:p w14:paraId="5A7165DA">
      <w:pPr>
        <w:spacing w:line="360" w:lineRule="auto"/>
        <w:rPr>
          <w:rFonts w:asciiTheme="minorEastAsia" w:hAnsiTheme="minorEastAsia" w:eastAsiaTheme="minorEastAsia"/>
          <w:b/>
          <w:color w:val="auto"/>
          <w:szCs w:val="21"/>
          <w:highlight w:val="none"/>
        </w:rPr>
      </w:pPr>
    </w:p>
    <w:p w14:paraId="37209375">
      <w:pPr>
        <w:spacing w:line="360" w:lineRule="auto"/>
        <w:rPr>
          <w:rFonts w:asciiTheme="minorEastAsia" w:hAnsiTheme="minorEastAsia" w:eastAsiaTheme="minorEastAsia"/>
          <w:b/>
          <w:color w:val="auto"/>
          <w:szCs w:val="21"/>
          <w:highlight w:val="none"/>
        </w:rPr>
      </w:pPr>
    </w:p>
    <w:p w14:paraId="36C74CB2">
      <w:pPr>
        <w:spacing w:line="360" w:lineRule="auto"/>
        <w:rPr>
          <w:rFonts w:asciiTheme="minorEastAsia" w:hAnsiTheme="minorEastAsia" w:eastAsiaTheme="minorEastAsia"/>
          <w:b/>
          <w:color w:val="auto"/>
          <w:szCs w:val="21"/>
          <w:highlight w:val="none"/>
        </w:rPr>
      </w:pPr>
    </w:p>
    <w:p w14:paraId="13238B70">
      <w:pPr>
        <w:spacing w:line="360" w:lineRule="auto"/>
        <w:rPr>
          <w:rFonts w:asciiTheme="minorEastAsia" w:hAnsiTheme="minorEastAsia" w:eastAsiaTheme="minorEastAsia"/>
          <w:b/>
          <w:color w:val="auto"/>
          <w:szCs w:val="21"/>
          <w:highlight w:val="none"/>
        </w:rPr>
      </w:pPr>
    </w:p>
    <w:p w14:paraId="6A18D52A">
      <w:pPr>
        <w:spacing w:line="360" w:lineRule="auto"/>
        <w:rPr>
          <w:rFonts w:asciiTheme="minorEastAsia" w:hAnsiTheme="minorEastAsia" w:eastAsiaTheme="minorEastAsia"/>
          <w:b/>
          <w:color w:val="auto"/>
          <w:szCs w:val="21"/>
          <w:highlight w:val="none"/>
        </w:rPr>
      </w:pPr>
    </w:p>
    <w:p w14:paraId="68D2D053">
      <w:pPr>
        <w:spacing w:line="360" w:lineRule="auto"/>
        <w:rPr>
          <w:rFonts w:asciiTheme="minorEastAsia" w:hAnsiTheme="minorEastAsia" w:eastAsiaTheme="minorEastAsia"/>
          <w:b/>
          <w:color w:val="auto"/>
          <w:szCs w:val="21"/>
          <w:highlight w:val="none"/>
        </w:rPr>
      </w:pPr>
    </w:p>
    <w:p w14:paraId="4608CF76">
      <w:pPr>
        <w:spacing w:line="360" w:lineRule="auto"/>
        <w:rPr>
          <w:rFonts w:asciiTheme="minorEastAsia" w:hAnsiTheme="minorEastAsia" w:eastAsiaTheme="minorEastAsia"/>
          <w:b/>
          <w:color w:val="auto"/>
          <w:szCs w:val="21"/>
          <w:highlight w:val="none"/>
        </w:rPr>
      </w:pPr>
    </w:p>
    <w:p w14:paraId="43AAECF1">
      <w:pPr>
        <w:spacing w:line="360" w:lineRule="auto"/>
        <w:rPr>
          <w:rFonts w:asciiTheme="minorEastAsia" w:hAnsiTheme="minorEastAsia" w:eastAsiaTheme="minorEastAsia"/>
          <w:b/>
          <w:color w:val="auto"/>
          <w:szCs w:val="21"/>
          <w:highlight w:val="none"/>
        </w:rPr>
      </w:pPr>
    </w:p>
    <w:p w14:paraId="60699864">
      <w:pPr>
        <w:spacing w:line="360" w:lineRule="auto"/>
        <w:rPr>
          <w:rFonts w:asciiTheme="minorEastAsia" w:hAnsiTheme="minorEastAsia" w:eastAsiaTheme="minorEastAsia"/>
          <w:b/>
          <w:color w:val="auto"/>
          <w:szCs w:val="21"/>
          <w:highlight w:val="none"/>
        </w:rPr>
      </w:pPr>
    </w:p>
    <w:p w14:paraId="3B35F4A8">
      <w:pPr>
        <w:spacing w:line="360" w:lineRule="auto"/>
        <w:rPr>
          <w:rFonts w:asciiTheme="minorEastAsia" w:hAnsiTheme="minorEastAsia" w:eastAsiaTheme="minorEastAsia"/>
          <w:b/>
          <w:color w:val="auto"/>
          <w:szCs w:val="21"/>
          <w:highlight w:val="none"/>
        </w:rPr>
      </w:pPr>
    </w:p>
    <w:p w14:paraId="15F7B9E8">
      <w:pPr>
        <w:spacing w:line="360" w:lineRule="auto"/>
        <w:rPr>
          <w:rFonts w:asciiTheme="minorEastAsia" w:hAnsiTheme="minorEastAsia" w:eastAsiaTheme="minorEastAsia"/>
          <w:b/>
          <w:color w:val="auto"/>
          <w:szCs w:val="21"/>
          <w:highlight w:val="none"/>
        </w:rPr>
      </w:pPr>
    </w:p>
    <w:p w14:paraId="0FE9BD59">
      <w:pPr>
        <w:spacing w:line="360" w:lineRule="auto"/>
        <w:rPr>
          <w:rFonts w:asciiTheme="minorEastAsia" w:hAnsiTheme="minorEastAsia" w:eastAsiaTheme="minorEastAsia"/>
          <w:b/>
          <w:color w:val="auto"/>
          <w:szCs w:val="21"/>
          <w:highlight w:val="none"/>
        </w:rPr>
      </w:pPr>
    </w:p>
    <w:p w14:paraId="2197B2EB">
      <w:pPr>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w:t>
      </w:r>
      <w:r>
        <w:rPr>
          <w:rFonts w:asciiTheme="minorEastAsia" w:hAnsiTheme="minorEastAsia" w:eastAsiaTheme="minorEastAsia"/>
          <w:b/>
          <w:color w:val="auto"/>
          <w:szCs w:val="21"/>
          <w:highlight w:val="none"/>
        </w:rPr>
        <w:t>6</w:t>
      </w:r>
      <w:r>
        <w:rPr>
          <w:rFonts w:hint="eastAsia" w:asciiTheme="minorEastAsia" w:hAnsiTheme="minorEastAsia" w:eastAsiaTheme="minorEastAsia"/>
          <w:b/>
          <w:color w:val="auto"/>
          <w:szCs w:val="21"/>
          <w:highlight w:val="none"/>
        </w:rPr>
        <w:t>.</w:t>
      </w:r>
      <w:r>
        <w:rPr>
          <w:rFonts w:hint="eastAsia" w:asciiTheme="minorEastAsia" w:hAnsiTheme="minorEastAsia" w:eastAsiaTheme="minorEastAsia"/>
          <w:b/>
          <w:bCs/>
          <w:color w:val="auto"/>
          <w:szCs w:val="21"/>
          <w:highlight w:val="none"/>
        </w:rPr>
        <w:t>分项报价明细表</w:t>
      </w:r>
      <w:r>
        <w:rPr>
          <w:rFonts w:hint="eastAsia" w:asciiTheme="minorEastAsia" w:hAnsiTheme="minorEastAsia" w:eastAsiaTheme="minorEastAsia"/>
          <w:b/>
          <w:color w:val="auto"/>
          <w:szCs w:val="21"/>
          <w:highlight w:val="none"/>
        </w:rPr>
        <w:t>（附件14）</w:t>
      </w:r>
    </w:p>
    <w:p w14:paraId="6EF83EF2">
      <w:pPr>
        <w:pStyle w:val="73"/>
        <w:jc w:val="center"/>
        <w:rPr>
          <w:color w:val="auto"/>
          <w:highlight w:val="none"/>
        </w:rPr>
      </w:pPr>
      <w:r>
        <w:rPr>
          <w:rFonts w:hint="eastAsia"/>
          <w:color w:val="auto"/>
          <w:highlight w:val="none"/>
        </w:rPr>
        <w:t>详见工程量清单表</w:t>
      </w:r>
    </w:p>
    <w:p w14:paraId="1AC99B3F">
      <w:pPr>
        <w:pStyle w:val="29"/>
        <w:snapToGrid w:val="0"/>
        <w:spacing w:line="360" w:lineRule="auto"/>
        <w:rPr>
          <w:rFonts w:asciiTheme="minorEastAsia" w:hAnsiTheme="minorEastAsia" w:eastAsiaTheme="minorEastAsia"/>
          <w:b/>
          <w:color w:val="auto"/>
          <w:szCs w:val="21"/>
          <w:highlight w:val="none"/>
        </w:rPr>
      </w:pPr>
    </w:p>
    <w:p w14:paraId="232889F9">
      <w:pPr>
        <w:spacing w:line="360" w:lineRule="auto"/>
        <w:rPr>
          <w:rFonts w:asciiTheme="minorEastAsia" w:hAnsiTheme="minorEastAsia" w:eastAsiaTheme="minorEastAsia"/>
          <w:color w:val="auto"/>
          <w:highlight w:val="none"/>
        </w:rPr>
      </w:pPr>
    </w:p>
    <w:p w14:paraId="0909254D">
      <w:pPr>
        <w:pStyle w:val="29"/>
        <w:snapToGrid w:val="0"/>
        <w:spacing w:line="360" w:lineRule="auto"/>
        <w:rPr>
          <w:rFonts w:asciiTheme="minorEastAsia" w:hAnsiTheme="minorEastAsia" w:eastAsiaTheme="minorEastAsia"/>
          <w:color w:val="auto"/>
          <w:highlight w:val="none"/>
        </w:rPr>
      </w:pPr>
    </w:p>
    <w:sectPr>
      <w:footerReference r:id="rId5" w:type="default"/>
      <w:pgSz w:w="11906" w:h="16838"/>
      <w:pgMar w:top="1021" w:right="1440" w:bottom="1021" w:left="1440" w:header="851" w:footer="992" w:gutter="0"/>
      <w:cols w:space="720" w:num="1"/>
      <w:docGrid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微软繁隶书">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 w:name="微软雅黑 Light">
    <w:panose1 w:val="020B0502040204020203"/>
    <w:charset w:val="7A"/>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CS?o｡ﾀ?">
    <w:altName w:val="Yu Gothic"/>
    <w:panose1 w:val="00000000000000000000"/>
    <w:charset w:val="80"/>
    <w:family w:val="modern"/>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_x000B__x000C_">
    <w:altName w:val="微软雅黑"/>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方正兰亭黑简体">
    <w:altName w:val="黑体"/>
    <w:panose1 w:val="00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3046095"/>
    </w:sdtPr>
    <w:sdtContent>
      <w:p w14:paraId="300F994E">
        <w:pPr>
          <w:pStyle w:val="35"/>
          <w:jc w:val="center"/>
        </w:pPr>
        <w:r>
          <w:fldChar w:fldCharType="begin"/>
        </w:r>
        <w:r>
          <w:instrText xml:space="preserve">PAGE   \* MERGEFORMAT</w:instrText>
        </w:r>
        <w:r>
          <w:fldChar w:fldCharType="separate"/>
        </w:r>
        <w:r>
          <w:rPr>
            <w:lang w:val="zh-CN"/>
          </w:rPr>
          <w:t>1</w:t>
        </w:r>
        <w:r>
          <w:rPr>
            <w:lang w:val="zh-CN"/>
          </w:rPr>
          <w:fldChar w:fldCharType="end"/>
        </w:r>
      </w:p>
    </w:sdtContent>
  </w:sdt>
  <w:p w14:paraId="2A98402E">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55746588"/>
    </w:sdtPr>
    <w:sdtContent>
      <w:p w14:paraId="6B07F62D">
        <w:pPr>
          <w:pStyle w:val="35"/>
          <w:jc w:val="center"/>
        </w:pPr>
        <w:r>
          <w:fldChar w:fldCharType="begin"/>
        </w:r>
        <w:r>
          <w:instrText xml:space="preserve">PAGE   \* MERGEFORMAT</w:instrText>
        </w:r>
        <w:r>
          <w:fldChar w:fldCharType="separate"/>
        </w:r>
        <w:r>
          <w:rPr>
            <w:lang w:val="zh-CN"/>
          </w:rPr>
          <w:t>22</w:t>
        </w:r>
        <w:r>
          <w:fldChar w:fldCharType="end"/>
        </w:r>
      </w:p>
    </w:sdtContent>
  </w:sdt>
  <w:p w14:paraId="32BAA594">
    <w:pPr>
      <w:pStyle w:val="3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84925">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65A05D"/>
    <w:multiLevelType w:val="singleLevel"/>
    <w:tmpl w:val="2965A05D"/>
    <w:lvl w:ilvl="0" w:tentative="0">
      <w:start w:val="15"/>
      <w:numFmt w:val="chineseCounting"/>
      <w:suff w:val="nothing"/>
      <w:lvlText w:val="%1、"/>
      <w:lvlJc w:val="left"/>
      <w:rPr>
        <w:rFonts w:hint="eastAsia"/>
      </w:rPr>
    </w:lvl>
  </w:abstractNum>
  <w:abstractNum w:abstractNumId="1">
    <w:nsid w:val="3B86313F"/>
    <w:multiLevelType w:val="multilevel"/>
    <w:tmpl w:val="3B86313F"/>
    <w:lvl w:ilvl="0" w:tentative="0">
      <w:start w:val="1"/>
      <w:numFmt w:val="decimal"/>
      <w:pStyle w:val="759"/>
      <w:lvlText w:val="%1."/>
      <w:lvlJc w:val="left"/>
      <w:pPr>
        <w:ind w:left="420" w:hanging="420"/>
      </w:pPr>
    </w:lvl>
    <w:lvl w:ilvl="1" w:tentative="0">
      <w:start w:val="2"/>
      <w:numFmt w:val="decimal"/>
      <w:isLgl/>
      <w:lvlText w:val="%1.%2"/>
      <w:lvlJc w:val="left"/>
      <w:pPr>
        <w:ind w:left="435" w:hanging="435"/>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2">
    <w:nsid w:val="5370D9AC"/>
    <w:multiLevelType w:val="singleLevel"/>
    <w:tmpl w:val="5370D9AC"/>
    <w:lvl w:ilvl="0" w:tentative="0">
      <w:start w:val="1"/>
      <w:numFmt w:val="chineseCounting"/>
      <w:pStyle w:val="13"/>
      <w:suff w:val="space"/>
      <w:lvlText w:val="第%1条"/>
      <w:lvlJc w:val="left"/>
    </w:lvl>
  </w:abstractNum>
  <w:abstractNum w:abstractNumId="3">
    <w:nsid w:val="59A901B1"/>
    <w:multiLevelType w:val="multilevel"/>
    <w:tmpl w:val="59A901B1"/>
    <w:lvl w:ilvl="0" w:tentative="0">
      <w:start w:val="1"/>
      <w:numFmt w:val="bullet"/>
      <w:pStyle w:val="762"/>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EwODkzNmVkZjA0NzNkZjdlZDQ2MGMwMTI4NmU4ODgifQ=="/>
  </w:docVars>
  <w:rsids>
    <w:rsidRoot w:val="00172A27"/>
    <w:rsid w:val="00000E21"/>
    <w:rsid w:val="00001AAF"/>
    <w:rsid w:val="00001BEE"/>
    <w:rsid w:val="00002AB2"/>
    <w:rsid w:val="00003C5B"/>
    <w:rsid w:val="00003E8F"/>
    <w:rsid w:val="00003F63"/>
    <w:rsid w:val="000043A1"/>
    <w:rsid w:val="00004C4B"/>
    <w:rsid w:val="00004E47"/>
    <w:rsid w:val="000051A0"/>
    <w:rsid w:val="000061DC"/>
    <w:rsid w:val="000077E5"/>
    <w:rsid w:val="000078E0"/>
    <w:rsid w:val="00010F2E"/>
    <w:rsid w:val="00011D31"/>
    <w:rsid w:val="000122D3"/>
    <w:rsid w:val="00012A8A"/>
    <w:rsid w:val="0001376D"/>
    <w:rsid w:val="00020163"/>
    <w:rsid w:val="000201B9"/>
    <w:rsid w:val="0002181C"/>
    <w:rsid w:val="00022513"/>
    <w:rsid w:val="0002314D"/>
    <w:rsid w:val="0002330D"/>
    <w:rsid w:val="000238EA"/>
    <w:rsid w:val="000244D2"/>
    <w:rsid w:val="00024B72"/>
    <w:rsid w:val="000253DF"/>
    <w:rsid w:val="0002574C"/>
    <w:rsid w:val="00025B09"/>
    <w:rsid w:val="0003087B"/>
    <w:rsid w:val="00030D6F"/>
    <w:rsid w:val="000311DF"/>
    <w:rsid w:val="000315AB"/>
    <w:rsid w:val="0003322A"/>
    <w:rsid w:val="0003340B"/>
    <w:rsid w:val="000340C2"/>
    <w:rsid w:val="00034985"/>
    <w:rsid w:val="0003539E"/>
    <w:rsid w:val="00037097"/>
    <w:rsid w:val="00037363"/>
    <w:rsid w:val="000375DB"/>
    <w:rsid w:val="00037A9A"/>
    <w:rsid w:val="00040333"/>
    <w:rsid w:val="00040CB5"/>
    <w:rsid w:val="00041D60"/>
    <w:rsid w:val="0004294A"/>
    <w:rsid w:val="000429AF"/>
    <w:rsid w:val="00043C36"/>
    <w:rsid w:val="000442A1"/>
    <w:rsid w:val="00045155"/>
    <w:rsid w:val="0004519E"/>
    <w:rsid w:val="000458F1"/>
    <w:rsid w:val="00047334"/>
    <w:rsid w:val="00051106"/>
    <w:rsid w:val="00051404"/>
    <w:rsid w:val="00051C82"/>
    <w:rsid w:val="000537D1"/>
    <w:rsid w:val="00053BE5"/>
    <w:rsid w:val="00054D31"/>
    <w:rsid w:val="00054EB3"/>
    <w:rsid w:val="00055AF5"/>
    <w:rsid w:val="00055FBF"/>
    <w:rsid w:val="00061ABD"/>
    <w:rsid w:val="00061B3A"/>
    <w:rsid w:val="00062532"/>
    <w:rsid w:val="00063282"/>
    <w:rsid w:val="00064155"/>
    <w:rsid w:val="000649B0"/>
    <w:rsid w:val="00065059"/>
    <w:rsid w:val="0006518E"/>
    <w:rsid w:val="00065396"/>
    <w:rsid w:val="000653FF"/>
    <w:rsid w:val="000676A9"/>
    <w:rsid w:val="0007109E"/>
    <w:rsid w:val="000714FA"/>
    <w:rsid w:val="00071C7D"/>
    <w:rsid w:val="00072944"/>
    <w:rsid w:val="00073BB5"/>
    <w:rsid w:val="00074104"/>
    <w:rsid w:val="000748A5"/>
    <w:rsid w:val="000751AC"/>
    <w:rsid w:val="00075662"/>
    <w:rsid w:val="00075BA3"/>
    <w:rsid w:val="0007632E"/>
    <w:rsid w:val="00076FFB"/>
    <w:rsid w:val="00077506"/>
    <w:rsid w:val="00077D32"/>
    <w:rsid w:val="00080BEC"/>
    <w:rsid w:val="000813B6"/>
    <w:rsid w:val="00081FCE"/>
    <w:rsid w:val="00082224"/>
    <w:rsid w:val="00082A7D"/>
    <w:rsid w:val="0008306D"/>
    <w:rsid w:val="000832EC"/>
    <w:rsid w:val="00083F27"/>
    <w:rsid w:val="000845E6"/>
    <w:rsid w:val="00084D5D"/>
    <w:rsid w:val="00085B83"/>
    <w:rsid w:val="000861BA"/>
    <w:rsid w:val="0008694E"/>
    <w:rsid w:val="00086DF2"/>
    <w:rsid w:val="00086F21"/>
    <w:rsid w:val="00087024"/>
    <w:rsid w:val="00087CC6"/>
    <w:rsid w:val="00087DFD"/>
    <w:rsid w:val="00087F62"/>
    <w:rsid w:val="000903F3"/>
    <w:rsid w:val="0009156B"/>
    <w:rsid w:val="00092233"/>
    <w:rsid w:val="00092898"/>
    <w:rsid w:val="00093865"/>
    <w:rsid w:val="00093900"/>
    <w:rsid w:val="00094240"/>
    <w:rsid w:val="00095443"/>
    <w:rsid w:val="00095479"/>
    <w:rsid w:val="000958EB"/>
    <w:rsid w:val="00095C71"/>
    <w:rsid w:val="00096198"/>
    <w:rsid w:val="00096503"/>
    <w:rsid w:val="00096EAA"/>
    <w:rsid w:val="000A06C0"/>
    <w:rsid w:val="000A0F80"/>
    <w:rsid w:val="000A2011"/>
    <w:rsid w:val="000A238D"/>
    <w:rsid w:val="000A48C1"/>
    <w:rsid w:val="000A50C6"/>
    <w:rsid w:val="000A510A"/>
    <w:rsid w:val="000A5379"/>
    <w:rsid w:val="000A53F0"/>
    <w:rsid w:val="000A575B"/>
    <w:rsid w:val="000A5898"/>
    <w:rsid w:val="000A6C4B"/>
    <w:rsid w:val="000A7338"/>
    <w:rsid w:val="000A774D"/>
    <w:rsid w:val="000A7A29"/>
    <w:rsid w:val="000B08C6"/>
    <w:rsid w:val="000B0F5B"/>
    <w:rsid w:val="000B148F"/>
    <w:rsid w:val="000B2967"/>
    <w:rsid w:val="000B2C33"/>
    <w:rsid w:val="000B2ECF"/>
    <w:rsid w:val="000B429C"/>
    <w:rsid w:val="000B464A"/>
    <w:rsid w:val="000B4F8C"/>
    <w:rsid w:val="000B50BE"/>
    <w:rsid w:val="000B51A9"/>
    <w:rsid w:val="000B5744"/>
    <w:rsid w:val="000B5D2E"/>
    <w:rsid w:val="000B60BC"/>
    <w:rsid w:val="000B6E6E"/>
    <w:rsid w:val="000B6EA7"/>
    <w:rsid w:val="000B7093"/>
    <w:rsid w:val="000B70AA"/>
    <w:rsid w:val="000B7310"/>
    <w:rsid w:val="000B7488"/>
    <w:rsid w:val="000C02DD"/>
    <w:rsid w:val="000C0E2C"/>
    <w:rsid w:val="000C1488"/>
    <w:rsid w:val="000C2FE6"/>
    <w:rsid w:val="000C320D"/>
    <w:rsid w:val="000C3803"/>
    <w:rsid w:val="000C3E69"/>
    <w:rsid w:val="000C4C13"/>
    <w:rsid w:val="000C586C"/>
    <w:rsid w:val="000C6176"/>
    <w:rsid w:val="000C6204"/>
    <w:rsid w:val="000C630D"/>
    <w:rsid w:val="000C77DB"/>
    <w:rsid w:val="000C7C79"/>
    <w:rsid w:val="000D029D"/>
    <w:rsid w:val="000D128A"/>
    <w:rsid w:val="000D28BA"/>
    <w:rsid w:val="000D29CE"/>
    <w:rsid w:val="000D34F7"/>
    <w:rsid w:val="000D3CF2"/>
    <w:rsid w:val="000D54DB"/>
    <w:rsid w:val="000D599A"/>
    <w:rsid w:val="000D6956"/>
    <w:rsid w:val="000D76CF"/>
    <w:rsid w:val="000D7869"/>
    <w:rsid w:val="000E1D5A"/>
    <w:rsid w:val="000E1EB4"/>
    <w:rsid w:val="000E2614"/>
    <w:rsid w:val="000E2FE7"/>
    <w:rsid w:val="000E3C17"/>
    <w:rsid w:val="000E4407"/>
    <w:rsid w:val="000E48C5"/>
    <w:rsid w:val="000E4CEF"/>
    <w:rsid w:val="000E50CF"/>
    <w:rsid w:val="000E5A5B"/>
    <w:rsid w:val="000E5DB9"/>
    <w:rsid w:val="000E6A02"/>
    <w:rsid w:val="000E77A6"/>
    <w:rsid w:val="000F04C0"/>
    <w:rsid w:val="000F05A7"/>
    <w:rsid w:val="000F2113"/>
    <w:rsid w:val="000F254C"/>
    <w:rsid w:val="000F28AD"/>
    <w:rsid w:val="000F2E59"/>
    <w:rsid w:val="000F386A"/>
    <w:rsid w:val="000F39EE"/>
    <w:rsid w:val="000F3FFF"/>
    <w:rsid w:val="000F448B"/>
    <w:rsid w:val="000F46E9"/>
    <w:rsid w:val="000F47AE"/>
    <w:rsid w:val="000F4BF6"/>
    <w:rsid w:val="000F4E78"/>
    <w:rsid w:val="000F516E"/>
    <w:rsid w:val="000F5183"/>
    <w:rsid w:val="000F5312"/>
    <w:rsid w:val="000F5980"/>
    <w:rsid w:val="000F5ACF"/>
    <w:rsid w:val="000F5FA7"/>
    <w:rsid w:val="000F6319"/>
    <w:rsid w:val="000F67AB"/>
    <w:rsid w:val="000F6BEB"/>
    <w:rsid w:val="000F752C"/>
    <w:rsid w:val="000F759E"/>
    <w:rsid w:val="00100070"/>
    <w:rsid w:val="00100180"/>
    <w:rsid w:val="001007E9"/>
    <w:rsid w:val="00101749"/>
    <w:rsid w:val="00102843"/>
    <w:rsid w:val="00102B92"/>
    <w:rsid w:val="00102EC8"/>
    <w:rsid w:val="00102F86"/>
    <w:rsid w:val="001032F4"/>
    <w:rsid w:val="00107A41"/>
    <w:rsid w:val="00111CBE"/>
    <w:rsid w:val="0011225A"/>
    <w:rsid w:val="00112E94"/>
    <w:rsid w:val="001135DC"/>
    <w:rsid w:val="001147BC"/>
    <w:rsid w:val="00114C25"/>
    <w:rsid w:val="001154AC"/>
    <w:rsid w:val="00117D67"/>
    <w:rsid w:val="00117ED6"/>
    <w:rsid w:val="001207CB"/>
    <w:rsid w:val="001210CA"/>
    <w:rsid w:val="00121154"/>
    <w:rsid w:val="00121AA3"/>
    <w:rsid w:val="00121FBF"/>
    <w:rsid w:val="00122A50"/>
    <w:rsid w:val="00122AAA"/>
    <w:rsid w:val="00123EC2"/>
    <w:rsid w:val="00124849"/>
    <w:rsid w:val="00124A6D"/>
    <w:rsid w:val="00125AA1"/>
    <w:rsid w:val="00125C42"/>
    <w:rsid w:val="00127C07"/>
    <w:rsid w:val="001306D1"/>
    <w:rsid w:val="00130E8D"/>
    <w:rsid w:val="001327B4"/>
    <w:rsid w:val="001330F3"/>
    <w:rsid w:val="001354DC"/>
    <w:rsid w:val="001355F9"/>
    <w:rsid w:val="00135B94"/>
    <w:rsid w:val="0013682F"/>
    <w:rsid w:val="001402D2"/>
    <w:rsid w:val="00140389"/>
    <w:rsid w:val="00140E88"/>
    <w:rsid w:val="00143501"/>
    <w:rsid w:val="00143C4F"/>
    <w:rsid w:val="0014455D"/>
    <w:rsid w:val="00144A2C"/>
    <w:rsid w:val="00144D83"/>
    <w:rsid w:val="001453E9"/>
    <w:rsid w:val="00145A70"/>
    <w:rsid w:val="00145E01"/>
    <w:rsid w:val="00146013"/>
    <w:rsid w:val="00146F3E"/>
    <w:rsid w:val="00147176"/>
    <w:rsid w:val="001476EC"/>
    <w:rsid w:val="00147C49"/>
    <w:rsid w:val="00147CFB"/>
    <w:rsid w:val="00150258"/>
    <w:rsid w:val="001504B3"/>
    <w:rsid w:val="001504DD"/>
    <w:rsid w:val="0015067F"/>
    <w:rsid w:val="00150EEA"/>
    <w:rsid w:val="00151020"/>
    <w:rsid w:val="00151AA5"/>
    <w:rsid w:val="00151EE8"/>
    <w:rsid w:val="00152122"/>
    <w:rsid w:val="00152514"/>
    <w:rsid w:val="0015259D"/>
    <w:rsid w:val="001528D7"/>
    <w:rsid w:val="00153CDD"/>
    <w:rsid w:val="00155B2B"/>
    <w:rsid w:val="00156248"/>
    <w:rsid w:val="0015658D"/>
    <w:rsid w:val="0016002A"/>
    <w:rsid w:val="0016083B"/>
    <w:rsid w:val="00160AA5"/>
    <w:rsid w:val="00161AAA"/>
    <w:rsid w:val="00163781"/>
    <w:rsid w:val="001639EC"/>
    <w:rsid w:val="00164ABE"/>
    <w:rsid w:val="00164C51"/>
    <w:rsid w:val="00166915"/>
    <w:rsid w:val="0016717A"/>
    <w:rsid w:val="00167614"/>
    <w:rsid w:val="00167AA3"/>
    <w:rsid w:val="00167F79"/>
    <w:rsid w:val="00171462"/>
    <w:rsid w:val="00171EE0"/>
    <w:rsid w:val="00172A27"/>
    <w:rsid w:val="00173D80"/>
    <w:rsid w:val="0017424E"/>
    <w:rsid w:val="001756D3"/>
    <w:rsid w:val="001765CA"/>
    <w:rsid w:val="00176E6C"/>
    <w:rsid w:val="00176EAF"/>
    <w:rsid w:val="00177452"/>
    <w:rsid w:val="0017764A"/>
    <w:rsid w:val="00180D48"/>
    <w:rsid w:val="00181BEF"/>
    <w:rsid w:val="00182AB9"/>
    <w:rsid w:val="00183197"/>
    <w:rsid w:val="001833FA"/>
    <w:rsid w:val="00183B07"/>
    <w:rsid w:val="00183D32"/>
    <w:rsid w:val="00184243"/>
    <w:rsid w:val="001847D3"/>
    <w:rsid w:val="00184EC7"/>
    <w:rsid w:val="00184FB3"/>
    <w:rsid w:val="001850A3"/>
    <w:rsid w:val="00185BE3"/>
    <w:rsid w:val="001865EF"/>
    <w:rsid w:val="001875BC"/>
    <w:rsid w:val="0019044D"/>
    <w:rsid w:val="001905A2"/>
    <w:rsid w:val="00190CA3"/>
    <w:rsid w:val="00191B5C"/>
    <w:rsid w:val="00191E55"/>
    <w:rsid w:val="00192320"/>
    <w:rsid w:val="00192C43"/>
    <w:rsid w:val="0019312F"/>
    <w:rsid w:val="0019338C"/>
    <w:rsid w:val="001939CA"/>
    <w:rsid w:val="00194545"/>
    <w:rsid w:val="00194906"/>
    <w:rsid w:val="00194EFD"/>
    <w:rsid w:val="001950CF"/>
    <w:rsid w:val="00195151"/>
    <w:rsid w:val="00197331"/>
    <w:rsid w:val="001976D4"/>
    <w:rsid w:val="00197C48"/>
    <w:rsid w:val="001A0F42"/>
    <w:rsid w:val="001A12E6"/>
    <w:rsid w:val="001A1D88"/>
    <w:rsid w:val="001A1F5E"/>
    <w:rsid w:val="001A2F38"/>
    <w:rsid w:val="001A3427"/>
    <w:rsid w:val="001A35EC"/>
    <w:rsid w:val="001A3E32"/>
    <w:rsid w:val="001A40C1"/>
    <w:rsid w:val="001A4757"/>
    <w:rsid w:val="001A4A53"/>
    <w:rsid w:val="001A4E64"/>
    <w:rsid w:val="001A56DE"/>
    <w:rsid w:val="001A65B8"/>
    <w:rsid w:val="001A6AC4"/>
    <w:rsid w:val="001A713E"/>
    <w:rsid w:val="001B0454"/>
    <w:rsid w:val="001B0BD9"/>
    <w:rsid w:val="001B0D89"/>
    <w:rsid w:val="001B15F1"/>
    <w:rsid w:val="001B2EC1"/>
    <w:rsid w:val="001B5D4C"/>
    <w:rsid w:val="001B70E0"/>
    <w:rsid w:val="001B7E28"/>
    <w:rsid w:val="001C07EA"/>
    <w:rsid w:val="001C0E99"/>
    <w:rsid w:val="001C11E5"/>
    <w:rsid w:val="001C1FED"/>
    <w:rsid w:val="001C30B5"/>
    <w:rsid w:val="001C351C"/>
    <w:rsid w:val="001C450C"/>
    <w:rsid w:val="001C46C1"/>
    <w:rsid w:val="001C4A2C"/>
    <w:rsid w:val="001C5199"/>
    <w:rsid w:val="001C5AF2"/>
    <w:rsid w:val="001C5E31"/>
    <w:rsid w:val="001C60B2"/>
    <w:rsid w:val="001C6530"/>
    <w:rsid w:val="001C719B"/>
    <w:rsid w:val="001D05F5"/>
    <w:rsid w:val="001D0B8D"/>
    <w:rsid w:val="001D0E89"/>
    <w:rsid w:val="001D12AE"/>
    <w:rsid w:val="001D13C7"/>
    <w:rsid w:val="001D284A"/>
    <w:rsid w:val="001D2A7F"/>
    <w:rsid w:val="001D3BAF"/>
    <w:rsid w:val="001D42DA"/>
    <w:rsid w:val="001D42FE"/>
    <w:rsid w:val="001D4E26"/>
    <w:rsid w:val="001D5574"/>
    <w:rsid w:val="001D5885"/>
    <w:rsid w:val="001E0B91"/>
    <w:rsid w:val="001E1A4E"/>
    <w:rsid w:val="001E1E4D"/>
    <w:rsid w:val="001E2819"/>
    <w:rsid w:val="001E2B2B"/>
    <w:rsid w:val="001E2DE5"/>
    <w:rsid w:val="001E2FD7"/>
    <w:rsid w:val="001E37CB"/>
    <w:rsid w:val="001E3916"/>
    <w:rsid w:val="001E4107"/>
    <w:rsid w:val="001E44FC"/>
    <w:rsid w:val="001E51DB"/>
    <w:rsid w:val="001E551B"/>
    <w:rsid w:val="001E5D74"/>
    <w:rsid w:val="001E68E0"/>
    <w:rsid w:val="001E68FF"/>
    <w:rsid w:val="001E720F"/>
    <w:rsid w:val="001F019F"/>
    <w:rsid w:val="001F12C6"/>
    <w:rsid w:val="001F1AF2"/>
    <w:rsid w:val="001F2113"/>
    <w:rsid w:val="001F38B6"/>
    <w:rsid w:val="001F39DE"/>
    <w:rsid w:val="001F3DC9"/>
    <w:rsid w:val="001F6340"/>
    <w:rsid w:val="001F64EE"/>
    <w:rsid w:val="001F695A"/>
    <w:rsid w:val="001F771D"/>
    <w:rsid w:val="00200937"/>
    <w:rsid w:val="002018EB"/>
    <w:rsid w:val="00201959"/>
    <w:rsid w:val="0020384D"/>
    <w:rsid w:val="00203CE8"/>
    <w:rsid w:val="002059F1"/>
    <w:rsid w:val="00205A60"/>
    <w:rsid w:val="00205ABD"/>
    <w:rsid w:val="00205B51"/>
    <w:rsid w:val="00205D6D"/>
    <w:rsid w:val="00205E24"/>
    <w:rsid w:val="002063B0"/>
    <w:rsid w:val="0020722A"/>
    <w:rsid w:val="0020733A"/>
    <w:rsid w:val="00207EBC"/>
    <w:rsid w:val="002100BB"/>
    <w:rsid w:val="002102A9"/>
    <w:rsid w:val="00210427"/>
    <w:rsid w:val="00210670"/>
    <w:rsid w:val="002107F3"/>
    <w:rsid w:val="002108A2"/>
    <w:rsid w:val="00211744"/>
    <w:rsid w:val="00211D9A"/>
    <w:rsid w:val="00212118"/>
    <w:rsid w:val="00212333"/>
    <w:rsid w:val="00212779"/>
    <w:rsid w:val="002133A5"/>
    <w:rsid w:val="00213670"/>
    <w:rsid w:val="00213A17"/>
    <w:rsid w:val="00213A34"/>
    <w:rsid w:val="00213B4E"/>
    <w:rsid w:val="00214342"/>
    <w:rsid w:val="002146B8"/>
    <w:rsid w:val="00216195"/>
    <w:rsid w:val="002161F5"/>
    <w:rsid w:val="002163A9"/>
    <w:rsid w:val="0021702A"/>
    <w:rsid w:val="0022196E"/>
    <w:rsid w:val="00221974"/>
    <w:rsid w:val="00221CF0"/>
    <w:rsid w:val="002221BA"/>
    <w:rsid w:val="00222338"/>
    <w:rsid w:val="002228FC"/>
    <w:rsid w:val="00222B08"/>
    <w:rsid w:val="00222EA2"/>
    <w:rsid w:val="00223B89"/>
    <w:rsid w:val="002245C6"/>
    <w:rsid w:val="002250FE"/>
    <w:rsid w:val="002259FB"/>
    <w:rsid w:val="0022603B"/>
    <w:rsid w:val="002275A0"/>
    <w:rsid w:val="00230182"/>
    <w:rsid w:val="00230B9B"/>
    <w:rsid w:val="00230F7F"/>
    <w:rsid w:val="002315C8"/>
    <w:rsid w:val="0023188F"/>
    <w:rsid w:val="0023191B"/>
    <w:rsid w:val="00231928"/>
    <w:rsid w:val="00232ABC"/>
    <w:rsid w:val="00232E97"/>
    <w:rsid w:val="00233F7A"/>
    <w:rsid w:val="00235206"/>
    <w:rsid w:val="00235B1C"/>
    <w:rsid w:val="00236A2C"/>
    <w:rsid w:val="00236A6F"/>
    <w:rsid w:val="0023724E"/>
    <w:rsid w:val="00240C77"/>
    <w:rsid w:val="00240C87"/>
    <w:rsid w:val="00240CFF"/>
    <w:rsid w:val="00241CDD"/>
    <w:rsid w:val="00242328"/>
    <w:rsid w:val="00242B32"/>
    <w:rsid w:val="00242CCB"/>
    <w:rsid w:val="00242CEB"/>
    <w:rsid w:val="00242F99"/>
    <w:rsid w:val="00242FF0"/>
    <w:rsid w:val="00243861"/>
    <w:rsid w:val="00243C88"/>
    <w:rsid w:val="002449E3"/>
    <w:rsid w:val="0024553A"/>
    <w:rsid w:val="00245C62"/>
    <w:rsid w:val="00245C8B"/>
    <w:rsid w:val="00246406"/>
    <w:rsid w:val="002500F9"/>
    <w:rsid w:val="00250106"/>
    <w:rsid w:val="00251E2A"/>
    <w:rsid w:val="0025343C"/>
    <w:rsid w:val="00253E80"/>
    <w:rsid w:val="00254053"/>
    <w:rsid w:val="002544FF"/>
    <w:rsid w:val="002545E0"/>
    <w:rsid w:val="002547BB"/>
    <w:rsid w:val="00254DD5"/>
    <w:rsid w:val="002552BE"/>
    <w:rsid w:val="0025551A"/>
    <w:rsid w:val="002558C3"/>
    <w:rsid w:val="00255920"/>
    <w:rsid w:val="002559DB"/>
    <w:rsid w:val="00255B9C"/>
    <w:rsid w:val="00255D18"/>
    <w:rsid w:val="002561DF"/>
    <w:rsid w:val="002564CB"/>
    <w:rsid w:val="0026011F"/>
    <w:rsid w:val="002604C5"/>
    <w:rsid w:val="002607F8"/>
    <w:rsid w:val="00261663"/>
    <w:rsid w:val="00261A60"/>
    <w:rsid w:val="00261E78"/>
    <w:rsid w:val="00262AAC"/>
    <w:rsid w:val="00263A46"/>
    <w:rsid w:val="00264EE2"/>
    <w:rsid w:val="00265245"/>
    <w:rsid w:val="00265A1F"/>
    <w:rsid w:val="00265B36"/>
    <w:rsid w:val="00266A51"/>
    <w:rsid w:val="0026716A"/>
    <w:rsid w:val="0026755C"/>
    <w:rsid w:val="00270003"/>
    <w:rsid w:val="00270A86"/>
    <w:rsid w:val="00270C0D"/>
    <w:rsid w:val="00270DC7"/>
    <w:rsid w:val="00270E9A"/>
    <w:rsid w:val="00270F58"/>
    <w:rsid w:val="0027187F"/>
    <w:rsid w:val="002722CB"/>
    <w:rsid w:val="00272E6A"/>
    <w:rsid w:val="00273366"/>
    <w:rsid w:val="00273C69"/>
    <w:rsid w:val="0027458B"/>
    <w:rsid w:val="00274E77"/>
    <w:rsid w:val="00275127"/>
    <w:rsid w:val="00275160"/>
    <w:rsid w:val="00275168"/>
    <w:rsid w:val="00276138"/>
    <w:rsid w:val="002772D0"/>
    <w:rsid w:val="00277AC6"/>
    <w:rsid w:val="00277C7E"/>
    <w:rsid w:val="00280EDF"/>
    <w:rsid w:val="00280F67"/>
    <w:rsid w:val="002812DE"/>
    <w:rsid w:val="002825D6"/>
    <w:rsid w:val="00282F2F"/>
    <w:rsid w:val="0028344E"/>
    <w:rsid w:val="00284861"/>
    <w:rsid w:val="00284B83"/>
    <w:rsid w:val="002856BA"/>
    <w:rsid w:val="00285959"/>
    <w:rsid w:val="00285C96"/>
    <w:rsid w:val="0028657F"/>
    <w:rsid w:val="00286641"/>
    <w:rsid w:val="00286E3E"/>
    <w:rsid w:val="0029007A"/>
    <w:rsid w:val="002903C4"/>
    <w:rsid w:val="00290928"/>
    <w:rsid w:val="002911FA"/>
    <w:rsid w:val="00292328"/>
    <w:rsid w:val="00294885"/>
    <w:rsid w:val="00294A2C"/>
    <w:rsid w:val="00294AF7"/>
    <w:rsid w:val="00294DAD"/>
    <w:rsid w:val="00295CCF"/>
    <w:rsid w:val="0029676E"/>
    <w:rsid w:val="00296B57"/>
    <w:rsid w:val="00296BF9"/>
    <w:rsid w:val="00296D05"/>
    <w:rsid w:val="00297013"/>
    <w:rsid w:val="00297297"/>
    <w:rsid w:val="00297438"/>
    <w:rsid w:val="0029743C"/>
    <w:rsid w:val="002A1259"/>
    <w:rsid w:val="002A1FA9"/>
    <w:rsid w:val="002A27CB"/>
    <w:rsid w:val="002A2A71"/>
    <w:rsid w:val="002A2B16"/>
    <w:rsid w:val="002A4DB5"/>
    <w:rsid w:val="002A5F2F"/>
    <w:rsid w:val="002A616C"/>
    <w:rsid w:val="002A668D"/>
    <w:rsid w:val="002A6B95"/>
    <w:rsid w:val="002A6DF7"/>
    <w:rsid w:val="002A760A"/>
    <w:rsid w:val="002A7750"/>
    <w:rsid w:val="002A79B9"/>
    <w:rsid w:val="002B038D"/>
    <w:rsid w:val="002B0AB5"/>
    <w:rsid w:val="002B1A8C"/>
    <w:rsid w:val="002B1B8C"/>
    <w:rsid w:val="002B1BD8"/>
    <w:rsid w:val="002B24C3"/>
    <w:rsid w:val="002B2608"/>
    <w:rsid w:val="002B3875"/>
    <w:rsid w:val="002B3CF8"/>
    <w:rsid w:val="002B4171"/>
    <w:rsid w:val="002B4196"/>
    <w:rsid w:val="002B52F8"/>
    <w:rsid w:val="002B578A"/>
    <w:rsid w:val="002B63A2"/>
    <w:rsid w:val="002B63AB"/>
    <w:rsid w:val="002B6907"/>
    <w:rsid w:val="002B7BC2"/>
    <w:rsid w:val="002C1310"/>
    <w:rsid w:val="002C1B7A"/>
    <w:rsid w:val="002C333B"/>
    <w:rsid w:val="002C3A23"/>
    <w:rsid w:val="002C3CC2"/>
    <w:rsid w:val="002C45EC"/>
    <w:rsid w:val="002C51BB"/>
    <w:rsid w:val="002C630C"/>
    <w:rsid w:val="002C65BB"/>
    <w:rsid w:val="002C6601"/>
    <w:rsid w:val="002C6C5A"/>
    <w:rsid w:val="002C6E59"/>
    <w:rsid w:val="002C7577"/>
    <w:rsid w:val="002C7A7A"/>
    <w:rsid w:val="002C7EEE"/>
    <w:rsid w:val="002D097C"/>
    <w:rsid w:val="002D18BD"/>
    <w:rsid w:val="002D1A64"/>
    <w:rsid w:val="002D1AB1"/>
    <w:rsid w:val="002D1E90"/>
    <w:rsid w:val="002D22BF"/>
    <w:rsid w:val="002D2464"/>
    <w:rsid w:val="002D24E1"/>
    <w:rsid w:val="002D2EF4"/>
    <w:rsid w:val="002D4330"/>
    <w:rsid w:val="002D43BA"/>
    <w:rsid w:val="002D4607"/>
    <w:rsid w:val="002D5C29"/>
    <w:rsid w:val="002D62C0"/>
    <w:rsid w:val="002D646C"/>
    <w:rsid w:val="002D64F0"/>
    <w:rsid w:val="002D6642"/>
    <w:rsid w:val="002E0DB6"/>
    <w:rsid w:val="002E1272"/>
    <w:rsid w:val="002E12DC"/>
    <w:rsid w:val="002E192A"/>
    <w:rsid w:val="002E1C72"/>
    <w:rsid w:val="002E258B"/>
    <w:rsid w:val="002E2807"/>
    <w:rsid w:val="002E3C36"/>
    <w:rsid w:val="002E4248"/>
    <w:rsid w:val="002E537B"/>
    <w:rsid w:val="002E593D"/>
    <w:rsid w:val="002E6831"/>
    <w:rsid w:val="002E68B4"/>
    <w:rsid w:val="002E7867"/>
    <w:rsid w:val="002E7C3B"/>
    <w:rsid w:val="002F1A6A"/>
    <w:rsid w:val="002F28D1"/>
    <w:rsid w:val="002F2BFC"/>
    <w:rsid w:val="002F2DB6"/>
    <w:rsid w:val="002F34C2"/>
    <w:rsid w:val="002F551E"/>
    <w:rsid w:val="002F5A7B"/>
    <w:rsid w:val="002F5AA7"/>
    <w:rsid w:val="002F630E"/>
    <w:rsid w:val="002F643C"/>
    <w:rsid w:val="002F70A8"/>
    <w:rsid w:val="0030028A"/>
    <w:rsid w:val="00300B61"/>
    <w:rsid w:val="00300F48"/>
    <w:rsid w:val="00301660"/>
    <w:rsid w:val="0030166D"/>
    <w:rsid w:val="0030242A"/>
    <w:rsid w:val="00303641"/>
    <w:rsid w:val="00303D2C"/>
    <w:rsid w:val="0030510E"/>
    <w:rsid w:val="0030513C"/>
    <w:rsid w:val="003075E8"/>
    <w:rsid w:val="003101E3"/>
    <w:rsid w:val="003103FD"/>
    <w:rsid w:val="003110B4"/>
    <w:rsid w:val="00311588"/>
    <w:rsid w:val="00311793"/>
    <w:rsid w:val="00311863"/>
    <w:rsid w:val="00312D47"/>
    <w:rsid w:val="00312D50"/>
    <w:rsid w:val="00313022"/>
    <w:rsid w:val="0031324B"/>
    <w:rsid w:val="00313401"/>
    <w:rsid w:val="00314C4E"/>
    <w:rsid w:val="003169C2"/>
    <w:rsid w:val="00316C3B"/>
    <w:rsid w:val="00316E3F"/>
    <w:rsid w:val="003170B5"/>
    <w:rsid w:val="0031790F"/>
    <w:rsid w:val="00317FE2"/>
    <w:rsid w:val="00320488"/>
    <w:rsid w:val="00320FBB"/>
    <w:rsid w:val="003213F1"/>
    <w:rsid w:val="00321453"/>
    <w:rsid w:val="003215EF"/>
    <w:rsid w:val="00321945"/>
    <w:rsid w:val="003221EA"/>
    <w:rsid w:val="00322310"/>
    <w:rsid w:val="00322461"/>
    <w:rsid w:val="00322639"/>
    <w:rsid w:val="00322B1C"/>
    <w:rsid w:val="003231E7"/>
    <w:rsid w:val="00323457"/>
    <w:rsid w:val="00323B54"/>
    <w:rsid w:val="003252CE"/>
    <w:rsid w:val="00325B39"/>
    <w:rsid w:val="00325DB0"/>
    <w:rsid w:val="0032656C"/>
    <w:rsid w:val="00326BCC"/>
    <w:rsid w:val="00326EEF"/>
    <w:rsid w:val="003271C4"/>
    <w:rsid w:val="00330B8C"/>
    <w:rsid w:val="00332620"/>
    <w:rsid w:val="00332776"/>
    <w:rsid w:val="003329E4"/>
    <w:rsid w:val="00332A23"/>
    <w:rsid w:val="00333E41"/>
    <w:rsid w:val="00334199"/>
    <w:rsid w:val="003360AE"/>
    <w:rsid w:val="0033733C"/>
    <w:rsid w:val="00340599"/>
    <w:rsid w:val="00343D1F"/>
    <w:rsid w:val="00345968"/>
    <w:rsid w:val="00345C09"/>
    <w:rsid w:val="0034602C"/>
    <w:rsid w:val="0034640B"/>
    <w:rsid w:val="0034699A"/>
    <w:rsid w:val="003477EF"/>
    <w:rsid w:val="00347969"/>
    <w:rsid w:val="0034797B"/>
    <w:rsid w:val="00350735"/>
    <w:rsid w:val="0035174D"/>
    <w:rsid w:val="00351DA1"/>
    <w:rsid w:val="00351FD9"/>
    <w:rsid w:val="003528FD"/>
    <w:rsid w:val="00353AF8"/>
    <w:rsid w:val="00353C02"/>
    <w:rsid w:val="00353EA7"/>
    <w:rsid w:val="00353F76"/>
    <w:rsid w:val="003558C9"/>
    <w:rsid w:val="00356036"/>
    <w:rsid w:val="003570DD"/>
    <w:rsid w:val="00357292"/>
    <w:rsid w:val="00357459"/>
    <w:rsid w:val="00361632"/>
    <w:rsid w:val="003619B7"/>
    <w:rsid w:val="0036321D"/>
    <w:rsid w:val="00363F80"/>
    <w:rsid w:val="00364937"/>
    <w:rsid w:val="00364BC8"/>
    <w:rsid w:val="00365956"/>
    <w:rsid w:val="00367205"/>
    <w:rsid w:val="00367406"/>
    <w:rsid w:val="003674A4"/>
    <w:rsid w:val="00367A8F"/>
    <w:rsid w:val="00367B18"/>
    <w:rsid w:val="0037179D"/>
    <w:rsid w:val="003727E0"/>
    <w:rsid w:val="0037308A"/>
    <w:rsid w:val="00373409"/>
    <w:rsid w:val="00373839"/>
    <w:rsid w:val="00373B5A"/>
    <w:rsid w:val="0037418D"/>
    <w:rsid w:val="00374ABE"/>
    <w:rsid w:val="00374E03"/>
    <w:rsid w:val="0037538D"/>
    <w:rsid w:val="003757EC"/>
    <w:rsid w:val="003767BD"/>
    <w:rsid w:val="003774DD"/>
    <w:rsid w:val="00377829"/>
    <w:rsid w:val="0037793E"/>
    <w:rsid w:val="00380A3B"/>
    <w:rsid w:val="003811D3"/>
    <w:rsid w:val="003827ED"/>
    <w:rsid w:val="003833A9"/>
    <w:rsid w:val="003838F6"/>
    <w:rsid w:val="00384532"/>
    <w:rsid w:val="00384BE3"/>
    <w:rsid w:val="00384E1F"/>
    <w:rsid w:val="0038524E"/>
    <w:rsid w:val="00385594"/>
    <w:rsid w:val="00385CA1"/>
    <w:rsid w:val="00385ED5"/>
    <w:rsid w:val="00385ED9"/>
    <w:rsid w:val="00392853"/>
    <w:rsid w:val="00392A38"/>
    <w:rsid w:val="0039368A"/>
    <w:rsid w:val="00393AE2"/>
    <w:rsid w:val="00394CD6"/>
    <w:rsid w:val="00394EEE"/>
    <w:rsid w:val="003956B8"/>
    <w:rsid w:val="00395718"/>
    <w:rsid w:val="00396B06"/>
    <w:rsid w:val="003975A9"/>
    <w:rsid w:val="00397B41"/>
    <w:rsid w:val="003A0A57"/>
    <w:rsid w:val="003A1A9B"/>
    <w:rsid w:val="003A1B9A"/>
    <w:rsid w:val="003A2305"/>
    <w:rsid w:val="003A244D"/>
    <w:rsid w:val="003A2CD3"/>
    <w:rsid w:val="003A303A"/>
    <w:rsid w:val="003A35F6"/>
    <w:rsid w:val="003A4187"/>
    <w:rsid w:val="003A4676"/>
    <w:rsid w:val="003A4A17"/>
    <w:rsid w:val="003A4E43"/>
    <w:rsid w:val="003A5B93"/>
    <w:rsid w:val="003A61E7"/>
    <w:rsid w:val="003A6C25"/>
    <w:rsid w:val="003A6D46"/>
    <w:rsid w:val="003B000D"/>
    <w:rsid w:val="003B0419"/>
    <w:rsid w:val="003B06C0"/>
    <w:rsid w:val="003B1900"/>
    <w:rsid w:val="003B2124"/>
    <w:rsid w:val="003B27AF"/>
    <w:rsid w:val="003B2D17"/>
    <w:rsid w:val="003B3265"/>
    <w:rsid w:val="003B4CCF"/>
    <w:rsid w:val="003B4DC1"/>
    <w:rsid w:val="003B6A95"/>
    <w:rsid w:val="003B6B8C"/>
    <w:rsid w:val="003B7C59"/>
    <w:rsid w:val="003B7DD5"/>
    <w:rsid w:val="003C0668"/>
    <w:rsid w:val="003C0F4D"/>
    <w:rsid w:val="003C12CF"/>
    <w:rsid w:val="003C2BC1"/>
    <w:rsid w:val="003C416B"/>
    <w:rsid w:val="003C482C"/>
    <w:rsid w:val="003C5A98"/>
    <w:rsid w:val="003C702A"/>
    <w:rsid w:val="003C719D"/>
    <w:rsid w:val="003C72C5"/>
    <w:rsid w:val="003C736C"/>
    <w:rsid w:val="003D03A5"/>
    <w:rsid w:val="003D0F8F"/>
    <w:rsid w:val="003D1396"/>
    <w:rsid w:val="003D1EAD"/>
    <w:rsid w:val="003D2023"/>
    <w:rsid w:val="003D2A66"/>
    <w:rsid w:val="003D2F0B"/>
    <w:rsid w:val="003D306F"/>
    <w:rsid w:val="003D3451"/>
    <w:rsid w:val="003D38A7"/>
    <w:rsid w:val="003D3DCF"/>
    <w:rsid w:val="003D427C"/>
    <w:rsid w:val="003D4731"/>
    <w:rsid w:val="003D4F5E"/>
    <w:rsid w:val="003D5098"/>
    <w:rsid w:val="003D5269"/>
    <w:rsid w:val="003D5547"/>
    <w:rsid w:val="003D5853"/>
    <w:rsid w:val="003D6582"/>
    <w:rsid w:val="003D711C"/>
    <w:rsid w:val="003D7AC0"/>
    <w:rsid w:val="003E0050"/>
    <w:rsid w:val="003E02C8"/>
    <w:rsid w:val="003E125C"/>
    <w:rsid w:val="003E2891"/>
    <w:rsid w:val="003E2911"/>
    <w:rsid w:val="003E4259"/>
    <w:rsid w:val="003E451D"/>
    <w:rsid w:val="003E4704"/>
    <w:rsid w:val="003E4756"/>
    <w:rsid w:val="003E485F"/>
    <w:rsid w:val="003E53D6"/>
    <w:rsid w:val="003E6C40"/>
    <w:rsid w:val="003E7315"/>
    <w:rsid w:val="003F034F"/>
    <w:rsid w:val="003F0D16"/>
    <w:rsid w:val="003F0E66"/>
    <w:rsid w:val="003F12E0"/>
    <w:rsid w:val="003F1E33"/>
    <w:rsid w:val="003F1FC0"/>
    <w:rsid w:val="003F2556"/>
    <w:rsid w:val="003F2DA1"/>
    <w:rsid w:val="003F2FBE"/>
    <w:rsid w:val="003F3448"/>
    <w:rsid w:val="003F3F87"/>
    <w:rsid w:val="003F4060"/>
    <w:rsid w:val="003F4FBF"/>
    <w:rsid w:val="003F52B6"/>
    <w:rsid w:val="003F557E"/>
    <w:rsid w:val="003F5B22"/>
    <w:rsid w:val="003F5B35"/>
    <w:rsid w:val="003F66E7"/>
    <w:rsid w:val="003F71DA"/>
    <w:rsid w:val="004026BB"/>
    <w:rsid w:val="0040278B"/>
    <w:rsid w:val="00402B3B"/>
    <w:rsid w:val="00402FC2"/>
    <w:rsid w:val="00403421"/>
    <w:rsid w:val="00405292"/>
    <w:rsid w:val="004065CB"/>
    <w:rsid w:val="004068BF"/>
    <w:rsid w:val="00406E72"/>
    <w:rsid w:val="00407217"/>
    <w:rsid w:val="00407594"/>
    <w:rsid w:val="00407599"/>
    <w:rsid w:val="0041079E"/>
    <w:rsid w:val="00410F65"/>
    <w:rsid w:val="0041117B"/>
    <w:rsid w:val="00411EBD"/>
    <w:rsid w:val="00412964"/>
    <w:rsid w:val="00413091"/>
    <w:rsid w:val="0041466D"/>
    <w:rsid w:val="00414697"/>
    <w:rsid w:val="0041575F"/>
    <w:rsid w:val="0041637E"/>
    <w:rsid w:val="004165E6"/>
    <w:rsid w:val="00416B25"/>
    <w:rsid w:val="004170E1"/>
    <w:rsid w:val="004173A2"/>
    <w:rsid w:val="00417EEA"/>
    <w:rsid w:val="004201E4"/>
    <w:rsid w:val="00420323"/>
    <w:rsid w:val="00420971"/>
    <w:rsid w:val="0042100C"/>
    <w:rsid w:val="0042238B"/>
    <w:rsid w:val="00422952"/>
    <w:rsid w:val="00422ACA"/>
    <w:rsid w:val="00422B59"/>
    <w:rsid w:val="0042416C"/>
    <w:rsid w:val="004243A7"/>
    <w:rsid w:val="004249E3"/>
    <w:rsid w:val="00425CED"/>
    <w:rsid w:val="004260F6"/>
    <w:rsid w:val="00426147"/>
    <w:rsid w:val="004307EB"/>
    <w:rsid w:val="004311A1"/>
    <w:rsid w:val="0043232C"/>
    <w:rsid w:val="0043244E"/>
    <w:rsid w:val="00433A97"/>
    <w:rsid w:val="00433CE2"/>
    <w:rsid w:val="0043416C"/>
    <w:rsid w:val="00434406"/>
    <w:rsid w:val="00435093"/>
    <w:rsid w:val="004357E2"/>
    <w:rsid w:val="00436972"/>
    <w:rsid w:val="00436A70"/>
    <w:rsid w:val="00437319"/>
    <w:rsid w:val="00440E97"/>
    <w:rsid w:val="004413F7"/>
    <w:rsid w:val="00442327"/>
    <w:rsid w:val="00442A81"/>
    <w:rsid w:val="00442DB8"/>
    <w:rsid w:val="00443690"/>
    <w:rsid w:val="00443D26"/>
    <w:rsid w:val="00444646"/>
    <w:rsid w:val="00444958"/>
    <w:rsid w:val="00445397"/>
    <w:rsid w:val="004457EB"/>
    <w:rsid w:val="00445B42"/>
    <w:rsid w:val="00445CB8"/>
    <w:rsid w:val="0044619F"/>
    <w:rsid w:val="004466F6"/>
    <w:rsid w:val="00446EAD"/>
    <w:rsid w:val="00447029"/>
    <w:rsid w:val="00450712"/>
    <w:rsid w:val="00450A68"/>
    <w:rsid w:val="00450F69"/>
    <w:rsid w:val="0045109D"/>
    <w:rsid w:val="00451525"/>
    <w:rsid w:val="004527E0"/>
    <w:rsid w:val="00452956"/>
    <w:rsid w:val="00452DE3"/>
    <w:rsid w:val="00452F0F"/>
    <w:rsid w:val="004530C4"/>
    <w:rsid w:val="0045314E"/>
    <w:rsid w:val="004531AC"/>
    <w:rsid w:val="00453765"/>
    <w:rsid w:val="00453B98"/>
    <w:rsid w:val="0045445B"/>
    <w:rsid w:val="0045573C"/>
    <w:rsid w:val="00455FAE"/>
    <w:rsid w:val="00455FB6"/>
    <w:rsid w:val="00456355"/>
    <w:rsid w:val="004572C4"/>
    <w:rsid w:val="0045737D"/>
    <w:rsid w:val="004575A1"/>
    <w:rsid w:val="004575DE"/>
    <w:rsid w:val="004577A9"/>
    <w:rsid w:val="004600E8"/>
    <w:rsid w:val="004608DC"/>
    <w:rsid w:val="00460FD3"/>
    <w:rsid w:val="004634EE"/>
    <w:rsid w:val="00463F74"/>
    <w:rsid w:val="00464401"/>
    <w:rsid w:val="0046458F"/>
    <w:rsid w:val="0046566D"/>
    <w:rsid w:val="00465A27"/>
    <w:rsid w:val="00465D47"/>
    <w:rsid w:val="004672B5"/>
    <w:rsid w:val="004674C4"/>
    <w:rsid w:val="0046781D"/>
    <w:rsid w:val="00467D55"/>
    <w:rsid w:val="00467E29"/>
    <w:rsid w:val="00471252"/>
    <w:rsid w:val="004712BF"/>
    <w:rsid w:val="00471398"/>
    <w:rsid w:val="004715DE"/>
    <w:rsid w:val="00471736"/>
    <w:rsid w:val="004719EE"/>
    <w:rsid w:val="00472082"/>
    <w:rsid w:val="004729F5"/>
    <w:rsid w:val="00472A45"/>
    <w:rsid w:val="00472AE3"/>
    <w:rsid w:val="00472D4F"/>
    <w:rsid w:val="0047321F"/>
    <w:rsid w:val="004736A3"/>
    <w:rsid w:val="00473831"/>
    <w:rsid w:val="00473E6D"/>
    <w:rsid w:val="004745C7"/>
    <w:rsid w:val="00474A16"/>
    <w:rsid w:val="00474C04"/>
    <w:rsid w:val="00474FE4"/>
    <w:rsid w:val="00475979"/>
    <w:rsid w:val="004763F9"/>
    <w:rsid w:val="0047665C"/>
    <w:rsid w:val="004769F7"/>
    <w:rsid w:val="00476A74"/>
    <w:rsid w:val="00476AD7"/>
    <w:rsid w:val="00476E42"/>
    <w:rsid w:val="00476EA1"/>
    <w:rsid w:val="00477623"/>
    <w:rsid w:val="00477864"/>
    <w:rsid w:val="00477958"/>
    <w:rsid w:val="00477FC7"/>
    <w:rsid w:val="00480AB3"/>
    <w:rsid w:val="00481270"/>
    <w:rsid w:val="004816EA"/>
    <w:rsid w:val="004817E9"/>
    <w:rsid w:val="00481DDD"/>
    <w:rsid w:val="0048211F"/>
    <w:rsid w:val="00482B5A"/>
    <w:rsid w:val="00482B82"/>
    <w:rsid w:val="00482BEE"/>
    <w:rsid w:val="004845E0"/>
    <w:rsid w:val="004855C7"/>
    <w:rsid w:val="00486154"/>
    <w:rsid w:val="00486259"/>
    <w:rsid w:val="00486575"/>
    <w:rsid w:val="0048749A"/>
    <w:rsid w:val="004924C0"/>
    <w:rsid w:val="00492ED9"/>
    <w:rsid w:val="0049300D"/>
    <w:rsid w:val="0049307F"/>
    <w:rsid w:val="00493D12"/>
    <w:rsid w:val="00493D45"/>
    <w:rsid w:val="0049426D"/>
    <w:rsid w:val="00494385"/>
    <w:rsid w:val="00494AF5"/>
    <w:rsid w:val="004958E4"/>
    <w:rsid w:val="0049626A"/>
    <w:rsid w:val="004972D2"/>
    <w:rsid w:val="00497956"/>
    <w:rsid w:val="004A02D9"/>
    <w:rsid w:val="004A1912"/>
    <w:rsid w:val="004A247D"/>
    <w:rsid w:val="004A24C3"/>
    <w:rsid w:val="004A30B3"/>
    <w:rsid w:val="004A3836"/>
    <w:rsid w:val="004A39CC"/>
    <w:rsid w:val="004A4B90"/>
    <w:rsid w:val="004A5403"/>
    <w:rsid w:val="004A5511"/>
    <w:rsid w:val="004A7497"/>
    <w:rsid w:val="004B0721"/>
    <w:rsid w:val="004B0C7E"/>
    <w:rsid w:val="004B1A3A"/>
    <w:rsid w:val="004B20A4"/>
    <w:rsid w:val="004B2240"/>
    <w:rsid w:val="004B2742"/>
    <w:rsid w:val="004B2C70"/>
    <w:rsid w:val="004B3BA5"/>
    <w:rsid w:val="004B453F"/>
    <w:rsid w:val="004B5961"/>
    <w:rsid w:val="004B6C73"/>
    <w:rsid w:val="004B7042"/>
    <w:rsid w:val="004B7818"/>
    <w:rsid w:val="004B7C08"/>
    <w:rsid w:val="004C0475"/>
    <w:rsid w:val="004C1AD2"/>
    <w:rsid w:val="004C2A1F"/>
    <w:rsid w:val="004C33D1"/>
    <w:rsid w:val="004C43AC"/>
    <w:rsid w:val="004C45FE"/>
    <w:rsid w:val="004C4F2B"/>
    <w:rsid w:val="004C5052"/>
    <w:rsid w:val="004C63EE"/>
    <w:rsid w:val="004C679F"/>
    <w:rsid w:val="004C6F9A"/>
    <w:rsid w:val="004C70B6"/>
    <w:rsid w:val="004C7905"/>
    <w:rsid w:val="004D00E6"/>
    <w:rsid w:val="004D149C"/>
    <w:rsid w:val="004D1CBC"/>
    <w:rsid w:val="004D1DC3"/>
    <w:rsid w:val="004D2144"/>
    <w:rsid w:val="004D3325"/>
    <w:rsid w:val="004D3DBA"/>
    <w:rsid w:val="004D3EC7"/>
    <w:rsid w:val="004D50B2"/>
    <w:rsid w:val="004D56BF"/>
    <w:rsid w:val="004D5C41"/>
    <w:rsid w:val="004D6A28"/>
    <w:rsid w:val="004D6C1A"/>
    <w:rsid w:val="004E0089"/>
    <w:rsid w:val="004E139D"/>
    <w:rsid w:val="004E30B2"/>
    <w:rsid w:val="004E382E"/>
    <w:rsid w:val="004E6090"/>
    <w:rsid w:val="004E6639"/>
    <w:rsid w:val="004E6B71"/>
    <w:rsid w:val="004E6B73"/>
    <w:rsid w:val="004E6B7F"/>
    <w:rsid w:val="004E7853"/>
    <w:rsid w:val="004E7FBA"/>
    <w:rsid w:val="004F042C"/>
    <w:rsid w:val="004F05B9"/>
    <w:rsid w:val="004F06C9"/>
    <w:rsid w:val="004F0768"/>
    <w:rsid w:val="004F0FD4"/>
    <w:rsid w:val="004F1F02"/>
    <w:rsid w:val="004F333A"/>
    <w:rsid w:val="004F341E"/>
    <w:rsid w:val="004F34FE"/>
    <w:rsid w:val="004F4B31"/>
    <w:rsid w:val="004F50C5"/>
    <w:rsid w:val="004F569E"/>
    <w:rsid w:val="004F6570"/>
    <w:rsid w:val="004F6DF2"/>
    <w:rsid w:val="005006D6"/>
    <w:rsid w:val="0050073C"/>
    <w:rsid w:val="00500A97"/>
    <w:rsid w:val="005022E5"/>
    <w:rsid w:val="005026AF"/>
    <w:rsid w:val="00503408"/>
    <w:rsid w:val="00503C71"/>
    <w:rsid w:val="00504C7B"/>
    <w:rsid w:val="00504C9F"/>
    <w:rsid w:val="005053DE"/>
    <w:rsid w:val="00505441"/>
    <w:rsid w:val="00505968"/>
    <w:rsid w:val="0050610E"/>
    <w:rsid w:val="00507597"/>
    <w:rsid w:val="00512CD5"/>
    <w:rsid w:val="00514131"/>
    <w:rsid w:val="00514220"/>
    <w:rsid w:val="00514720"/>
    <w:rsid w:val="00514EF3"/>
    <w:rsid w:val="005168E7"/>
    <w:rsid w:val="005171C3"/>
    <w:rsid w:val="00517669"/>
    <w:rsid w:val="00517A87"/>
    <w:rsid w:val="005209FD"/>
    <w:rsid w:val="00520C13"/>
    <w:rsid w:val="00521EC3"/>
    <w:rsid w:val="0052229F"/>
    <w:rsid w:val="005222DF"/>
    <w:rsid w:val="00522B25"/>
    <w:rsid w:val="00522D6C"/>
    <w:rsid w:val="00522EC1"/>
    <w:rsid w:val="00523950"/>
    <w:rsid w:val="00523E6C"/>
    <w:rsid w:val="005246FA"/>
    <w:rsid w:val="00525BC7"/>
    <w:rsid w:val="00525D99"/>
    <w:rsid w:val="00526A21"/>
    <w:rsid w:val="00526BD1"/>
    <w:rsid w:val="00527BB4"/>
    <w:rsid w:val="00530359"/>
    <w:rsid w:val="005307E7"/>
    <w:rsid w:val="00530A4D"/>
    <w:rsid w:val="0053118F"/>
    <w:rsid w:val="00531C84"/>
    <w:rsid w:val="00532600"/>
    <w:rsid w:val="0053268F"/>
    <w:rsid w:val="00532954"/>
    <w:rsid w:val="00532A60"/>
    <w:rsid w:val="00532EE4"/>
    <w:rsid w:val="005332EC"/>
    <w:rsid w:val="005338A7"/>
    <w:rsid w:val="00535212"/>
    <w:rsid w:val="00535502"/>
    <w:rsid w:val="00535B27"/>
    <w:rsid w:val="00535CB2"/>
    <w:rsid w:val="00536A59"/>
    <w:rsid w:val="005416E9"/>
    <w:rsid w:val="0054190C"/>
    <w:rsid w:val="005422AA"/>
    <w:rsid w:val="00542F1A"/>
    <w:rsid w:val="005435B5"/>
    <w:rsid w:val="00544768"/>
    <w:rsid w:val="00544849"/>
    <w:rsid w:val="00544B3E"/>
    <w:rsid w:val="00545436"/>
    <w:rsid w:val="00545EE1"/>
    <w:rsid w:val="00546190"/>
    <w:rsid w:val="005463A6"/>
    <w:rsid w:val="005465A1"/>
    <w:rsid w:val="00546755"/>
    <w:rsid w:val="00546A2F"/>
    <w:rsid w:val="00546B33"/>
    <w:rsid w:val="005475C7"/>
    <w:rsid w:val="0054795B"/>
    <w:rsid w:val="00550102"/>
    <w:rsid w:val="00550CD7"/>
    <w:rsid w:val="0055197B"/>
    <w:rsid w:val="00553168"/>
    <w:rsid w:val="00553956"/>
    <w:rsid w:val="0055423D"/>
    <w:rsid w:val="0055459B"/>
    <w:rsid w:val="0055474D"/>
    <w:rsid w:val="00554D83"/>
    <w:rsid w:val="00554F78"/>
    <w:rsid w:val="00555226"/>
    <w:rsid w:val="005553D4"/>
    <w:rsid w:val="00555C78"/>
    <w:rsid w:val="00555FA5"/>
    <w:rsid w:val="00556452"/>
    <w:rsid w:val="00556AB9"/>
    <w:rsid w:val="00557172"/>
    <w:rsid w:val="00557378"/>
    <w:rsid w:val="00557F6D"/>
    <w:rsid w:val="00560046"/>
    <w:rsid w:val="00560A0C"/>
    <w:rsid w:val="005611C6"/>
    <w:rsid w:val="00561976"/>
    <w:rsid w:val="0056259D"/>
    <w:rsid w:val="00564FDC"/>
    <w:rsid w:val="00565864"/>
    <w:rsid w:val="00566AE7"/>
    <w:rsid w:val="00566B16"/>
    <w:rsid w:val="0056774F"/>
    <w:rsid w:val="00567CB4"/>
    <w:rsid w:val="005700B8"/>
    <w:rsid w:val="00570726"/>
    <w:rsid w:val="00570E57"/>
    <w:rsid w:val="00571013"/>
    <w:rsid w:val="005717EC"/>
    <w:rsid w:val="00571C4D"/>
    <w:rsid w:val="00571C51"/>
    <w:rsid w:val="005732C4"/>
    <w:rsid w:val="00573370"/>
    <w:rsid w:val="00573B05"/>
    <w:rsid w:val="00573B0E"/>
    <w:rsid w:val="005743CA"/>
    <w:rsid w:val="005745D1"/>
    <w:rsid w:val="00574672"/>
    <w:rsid w:val="005755C5"/>
    <w:rsid w:val="00575CAB"/>
    <w:rsid w:val="00576850"/>
    <w:rsid w:val="005775FC"/>
    <w:rsid w:val="005778D7"/>
    <w:rsid w:val="00577E45"/>
    <w:rsid w:val="00580854"/>
    <w:rsid w:val="00583D0F"/>
    <w:rsid w:val="0058475D"/>
    <w:rsid w:val="00584E48"/>
    <w:rsid w:val="00586817"/>
    <w:rsid w:val="00587476"/>
    <w:rsid w:val="00587C50"/>
    <w:rsid w:val="00590A8E"/>
    <w:rsid w:val="00591299"/>
    <w:rsid w:val="00591616"/>
    <w:rsid w:val="00591654"/>
    <w:rsid w:val="00591F3E"/>
    <w:rsid w:val="00592071"/>
    <w:rsid w:val="00592985"/>
    <w:rsid w:val="00593BAA"/>
    <w:rsid w:val="00595B1E"/>
    <w:rsid w:val="00596DC8"/>
    <w:rsid w:val="00597749"/>
    <w:rsid w:val="00597BF2"/>
    <w:rsid w:val="00597C6C"/>
    <w:rsid w:val="00597F38"/>
    <w:rsid w:val="005A07CE"/>
    <w:rsid w:val="005A19FE"/>
    <w:rsid w:val="005A1DF8"/>
    <w:rsid w:val="005A2C55"/>
    <w:rsid w:val="005A2F09"/>
    <w:rsid w:val="005A336F"/>
    <w:rsid w:val="005A33B6"/>
    <w:rsid w:val="005A3581"/>
    <w:rsid w:val="005A3ADA"/>
    <w:rsid w:val="005A3FF7"/>
    <w:rsid w:val="005A4B16"/>
    <w:rsid w:val="005A4D74"/>
    <w:rsid w:val="005A6350"/>
    <w:rsid w:val="005A6BE0"/>
    <w:rsid w:val="005B0878"/>
    <w:rsid w:val="005B091F"/>
    <w:rsid w:val="005B0D4C"/>
    <w:rsid w:val="005B1236"/>
    <w:rsid w:val="005B16F5"/>
    <w:rsid w:val="005B2425"/>
    <w:rsid w:val="005B2D2C"/>
    <w:rsid w:val="005B2FD5"/>
    <w:rsid w:val="005B41C4"/>
    <w:rsid w:val="005B49C6"/>
    <w:rsid w:val="005B5659"/>
    <w:rsid w:val="005B6F09"/>
    <w:rsid w:val="005C0BDB"/>
    <w:rsid w:val="005C0D4D"/>
    <w:rsid w:val="005C1473"/>
    <w:rsid w:val="005C1B99"/>
    <w:rsid w:val="005C1DB5"/>
    <w:rsid w:val="005C2EE5"/>
    <w:rsid w:val="005C32DD"/>
    <w:rsid w:val="005C3CBA"/>
    <w:rsid w:val="005C44A3"/>
    <w:rsid w:val="005C4C93"/>
    <w:rsid w:val="005C4F7E"/>
    <w:rsid w:val="005C51FD"/>
    <w:rsid w:val="005C52AA"/>
    <w:rsid w:val="005C543E"/>
    <w:rsid w:val="005C6249"/>
    <w:rsid w:val="005C7C13"/>
    <w:rsid w:val="005C7F99"/>
    <w:rsid w:val="005D054D"/>
    <w:rsid w:val="005D198A"/>
    <w:rsid w:val="005D1DDF"/>
    <w:rsid w:val="005D2A4A"/>
    <w:rsid w:val="005D38EE"/>
    <w:rsid w:val="005D46B1"/>
    <w:rsid w:val="005D48D0"/>
    <w:rsid w:val="005D4AD8"/>
    <w:rsid w:val="005D4C76"/>
    <w:rsid w:val="005D57CC"/>
    <w:rsid w:val="005D58B9"/>
    <w:rsid w:val="005D58D7"/>
    <w:rsid w:val="005D5B2C"/>
    <w:rsid w:val="005D5CAA"/>
    <w:rsid w:val="005D6956"/>
    <w:rsid w:val="005E1CF8"/>
    <w:rsid w:val="005E254B"/>
    <w:rsid w:val="005E2659"/>
    <w:rsid w:val="005E2722"/>
    <w:rsid w:val="005E38D8"/>
    <w:rsid w:val="005E410F"/>
    <w:rsid w:val="005E41EF"/>
    <w:rsid w:val="005E5CFD"/>
    <w:rsid w:val="005E6512"/>
    <w:rsid w:val="005E75BE"/>
    <w:rsid w:val="005E7D4E"/>
    <w:rsid w:val="005F085D"/>
    <w:rsid w:val="005F1CD0"/>
    <w:rsid w:val="005F2FE7"/>
    <w:rsid w:val="005F39D5"/>
    <w:rsid w:val="005F3AF5"/>
    <w:rsid w:val="005F4D9E"/>
    <w:rsid w:val="005F52A6"/>
    <w:rsid w:val="005F5B52"/>
    <w:rsid w:val="005F5CFA"/>
    <w:rsid w:val="005F6242"/>
    <w:rsid w:val="005F7AF6"/>
    <w:rsid w:val="005F7C35"/>
    <w:rsid w:val="005F7F69"/>
    <w:rsid w:val="00600589"/>
    <w:rsid w:val="00600BC7"/>
    <w:rsid w:val="00601705"/>
    <w:rsid w:val="0060330C"/>
    <w:rsid w:val="006040BF"/>
    <w:rsid w:val="0060507A"/>
    <w:rsid w:val="00605BBC"/>
    <w:rsid w:val="00606E6F"/>
    <w:rsid w:val="00607373"/>
    <w:rsid w:val="0060760F"/>
    <w:rsid w:val="00611576"/>
    <w:rsid w:val="00611FD9"/>
    <w:rsid w:val="00614D31"/>
    <w:rsid w:val="00616F83"/>
    <w:rsid w:val="00620216"/>
    <w:rsid w:val="00620C54"/>
    <w:rsid w:val="00621317"/>
    <w:rsid w:val="0062165B"/>
    <w:rsid w:val="0062221F"/>
    <w:rsid w:val="00622523"/>
    <w:rsid w:val="00623A65"/>
    <w:rsid w:val="00624264"/>
    <w:rsid w:val="0062467E"/>
    <w:rsid w:val="00625A4F"/>
    <w:rsid w:val="0062683B"/>
    <w:rsid w:val="00626E7A"/>
    <w:rsid w:val="0063022D"/>
    <w:rsid w:val="00630915"/>
    <w:rsid w:val="00631045"/>
    <w:rsid w:val="00631657"/>
    <w:rsid w:val="006328D4"/>
    <w:rsid w:val="00632D26"/>
    <w:rsid w:val="0063313F"/>
    <w:rsid w:val="00633399"/>
    <w:rsid w:val="006338BC"/>
    <w:rsid w:val="0063467E"/>
    <w:rsid w:val="00634CEF"/>
    <w:rsid w:val="00634F7A"/>
    <w:rsid w:val="00634FDF"/>
    <w:rsid w:val="00636529"/>
    <w:rsid w:val="00636CAB"/>
    <w:rsid w:val="00637A57"/>
    <w:rsid w:val="006408A8"/>
    <w:rsid w:val="00640F37"/>
    <w:rsid w:val="00641567"/>
    <w:rsid w:val="0064195D"/>
    <w:rsid w:val="00643E7A"/>
    <w:rsid w:val="006448AF"/>
    <w:rsid w:val="006449F8"/>
    <w:rsid w:val="0064666E"/>
    <w:rsid w:val="006473AF"/>
    <w:rsid w:val="00647403"/>
    <w:rsid w:val="00647426"/>
    <w:rsid w:val="006474CE"/>
    <w:rsid w:val="00647666"/>
    <w:rsid w:val="006504D2"/>
    <w:rsid w:val="00650B73"/>
    <w:rsid w:val="00650E81"/>
    <w:rsid w:val="006510B4"/>
    <w:rsid w:val="006530E8"/>
    <w:rsid w:val="006547D8"/>
    <w:rsid w:val="00654E65"/>
    <w:rsid w:val="006555A0"/>
    <w:rsid w:val="0065562C"/>
    <w:rsid w:val="0065572C"/>
    <w:rsid w:val="00655B16"/>
    <w:rsid w:val="00656869"/>
    <w:rsid w:val="00656F58"/>
    <w:rsid w:val="006572CF"/>
    <w:rsid w:val="0065768C"/>
    <w:rsid w:val="006579D3"/>
    <w:rsid w:val="00657DA1"/>
    <w:rsid w:val="00660187"/>
    <w:rsid w:val="00660282"/>
    <w:rsid w:val="006613FA"/>
    <w:rsid w:val="0066179A"/>
    <w:rsid w:val="00661C69"/>
    <w:rsid w:val="00661DAD"/>
    <w:rsid w:val="006622E3"/>
    <w:rsid w:val="00662334"/>
    <w:rsid w:val="00662CB1"/>
    <w:rsid w:val="0066379D"/>
    <w:rsid w:val="00663C82"/>
    <w:rsid w:val="0066555D"/>
    <w:rsid w:val="006665A4"/>
    <w:rsid w:val="00667723"/>
    <w:rsid w:val="006711C3"/>
    <w:rsid w:val="0067134B"/>
    <w:rsid w:val="00671D7B"/>
    <w:rsid w:val="006730C0"/>
    <w:rsid w:val="00673C17"/>
    <w:rsid w:val="00673F6F"/>
    <w:rsid w:val="00673F76"/>
    <w:rsid w:val="0067451E"/>
    <w:rsid w:val="00674882"/>
    <w:rsid w:val="00674BBD"/>
    <w:rsid w:val="00675075"/>
    <w:rsid w:val="00675E85"/>
    <w:rsid w:val="0067639C"/>
    <w:rsid w:val="00676528"/>
    <w:rsid w:val="00676E95"/>
    <w:rsid w:val="006804E0"/>
    <w:rsid w:val="00680A94"/>
    <w:rsid w:val="00680C5C"/>
    <w:rsid w:val="00680E82"/>
    <w:rsid w:val="00682427"/>
    <w:rsid w:val="00682480"/>
    <w:rsid w:val="0068294D"/>
    <w:rsid w:val="00683E77"/>
    <w:rsid w:val="006863A6"/>
    <w:rsid w:val="006866E9"/>
    <w:rsid w:val="00686ED5"/>
    <w:rsid w:val="00687FB4"/>
    <w:rsid w:val="006901D3"/>
    <w:rsid w:val="00690433"/>
    <w:rsid w:val="00690DF5"/>
    <w:rsid w:val="006911AD"/>
    <w:rsid w:val="006911EC"/>
    <w:rsid w:val="00693C14"/>
    <w:rsid w:val="00695404"/>
    <w:rsid w:val="00696412"/>
    <w:rsid w:val="006965F7"/>
    <w:rsid w:val="00696BBE"/>
    <w:rsid w:val="006977EC"/>
    <w:rsid w:val="00697F8E"/>
    <w:rsid w:val="00697FE8"/>
    <w:rsid w:val="006A0CF9"/>
    <w:rsid w:val="006A0E03"/>
    <w:rsid w:val="006A0EF8"/>
    <w:rsid w:val="006A1645"/>
    <w:rsid w:val="006A1A89"/>
    <w:rsid w:val="006A2269"/>
    <w:rsid w:val="006A3338"/>
    <w:rsid w:val="006A3932"/>
    <w:rsid w:val="006A3A5D"/>
    <w:rsid w:val="006A412D"/>
    <w:rsid w:val="006A4590"/>
    <w:rsid w:val="006A4854"/>
    <w:rsid w:val="006A49A3"/>
    <w:rsid w:val="006A5872"/>
    <w:rsid w:val="006A5CE3"/>
    <w:rsid w:val="006A66A6"/>
    <w:rsid w:val="006A71E9"/>
    <w:rsid w:val="006A762E"/>
    <w:rsid w:val="006A7833"/>
    <w:rsid w:val="006B1B3F"/>
    <w:rsid w:val="006B2680"/>
    <w:rsid w:val="006B27F4"/>
    <w:rsid w:val="006B5CB2"/>
    <w:rsid w:val="006B62EF"/>
    <w:rsid w:val="006B6C18"/>
    <w:rsid w:val="006B6C93"/>
    <w:rsid w:val="006B6D4C"/>
    <w:rsid w:val="006B7A01"/>
    <w:rsid w:val="006B7CF5"/>
    <w:rsid w:val="006C0B4D"/>
    <w:rsid w:val="006C1094"/>
    <w:rsid w:val="006C13D4"/>
    <w:rsid w:val="006C1C39"/>
    <w:rsid w:val="006C1F93"/>
    <w:rsid w:val="006C303E"/>
    <w:rsid w:val="006C3390"/>
    <w:rsid w:val="006C3F44"/>
    <w:rsid w:val="006C4183"/>
    <w:rsid w:val="006C4537"/>
    <w:rsid w:val="006C4B7E"/>
    <w:rsid w:val="006C5150"/>
    <w:rsid w:val="006C5737"/>
    <w:rsid w:val="006C6570"/>
    <w:rsid w:val="006C6733"/>
    <w:rsid w:val="006C750C"/>
    <w:rsid w:val="006C75E3"/>
    <w:rsid w:val="006D06CF"/>
    <w:rsid w:val="006D078B"/>
    <w:rsid w:val="006D0857"/>
    <w:rsid w:val="006D08FE"/>
    <w:rsid w:val="006D0BCF"/>
    <w:rsid w:val="006D22B8"/>
    <w:rsid w:val="006D2B66"/>
    <w:rsid w:val="006D2B67"/>
    <w:rsid w:val="006D2B6E"/>
    <w:rsid w:val="006D348A"/>
    <w:rsid w:val="006D4CB2"/>
    <w:rsid w:val="006D5A30"/>
    <w:rsid w:val="006D5B3B"/>
    <w:rsid w:val="006D5D9F"/>
    <w:rsid w:val="006D6BA1"/>
    <w:rsid w:val="006D7AB4"/>
    <w:rsid w:val="006E070F"/>
    <w:rsid w:val="006E12D7"/>
    <w:rsid w:val="006E1E5B"/>
    <w:rsid w:val="006E21B5"/>
    <w:rsid w:val="006E470A"/>
    <w:rsid w:val="006E5515"/>
    <w:rsid w:val="006E5A70"/>
    <w:rsid w:val="006E7633"/>
    <w:rsid w:val="006E7FB5"/>
    <w:rsid w:val="006F03F3"/>
    <w:rsid w:val="006F1606"/>
    <w:rsid w:val="006F42F4"/>
    <w:rsid w:val="006F57AD"/>
    <w:rsid w:val="006F62F7"/>
    <w:rsid w:val="006F6BA7"/>
    <w:rsid w:val="007004F1"/>
    <w:rsid w:val="007009BE"/>
    <w:rsid w:val="007018F1"/>
    <w:rsid w:val="00701A86"/>
    <w:rsid w:val="00702708"/>
    <w:rsid w:val="007032F3"/>
    <w:rsid w:val="00703871"/>
    <w:rsid w:val="0070415D"/>
    <w:rsid w:val="00705F35"/>
    <w:rsid w:val="00706BD0"/>
    <w:rsid w:val="00706E73"/>
    <w:rsid w:val="007070EB"/>
    <w:rsid w:val="007100E3"/>
    <w:rsid w:val="00711002"/>
    <w:rsid w:val="007118FF"/>
    <w:rsid w:val="00711E16"/>
    <w:rsid w:val="00711F7F"/>
    <w:rsid w:val="00712223"/>
    <w:rsid w:val="00713562"/>
    <w:rsid w:val="00713D0A"/>
    <w:rsid w:val="00714B0D"/>
    <w:rsid w:val="007150B7"/>
    <w:rsid w:val="00715BB0"/>
    <w:rsid w:val="00716926"/>
    <w:rsid w:val="00717DED"/>
    <w:rsid w:val="0072043E"/>
    <w:rsid w:val="007204E8"/>
    <w:rsid w:val="00720A5F"/>
    <w:rsid w:val="00720CB1"/>
    <w:rsid w:val="007212FB"/>
    <w:rsid w:val="00721A76"/>
    <w:rsid w:val="00722E5C"/>
    <w:rsid w:val="007230E1"/>
    <w:rsid w:val="00723BF4"/>
    <w:rsid w:val="007240F2"/>
    <w:rsid w:val="0072448C"/>
    <w:rsid w:val="00724E80"/>
    <w:rsid w:val="00724F2B"/>
    <w:rsid w:val="00725229"/>
    <w:rsid w:val="0072538C"/>
    <w:rsid w:val="007255A8"/>
    <w:rsid w:val="007256C5"/>
    <w:rsid w:val="00725A9B"/>
    <w:rsid w:val="00726717"/>
    <w:rsid w:val="00726C34"/>
    <w:rsid w:val="00727AAD"/>
    <w:rsid w:val="00727C31"/>
    <w:rsid w:val="00727CD4"/>
    <w:rsid w:val="00727FE7"/>
    <w:rsid w:val="007306DE"/>
    <w:rsid w:val="00731C42"/>
    <w:rsid w:val="00731DD6"/>
    <w:rsid w:val="0073208D"/>
    <w:rsid w:val="00732F8B"/>
    <w:rsid w:val="007355E6"/>
    <w:rsid w:val="00735BCD"/>
    <w:rsid w:val="00735E83"/>
    <w:rsid w:val="00737138"/>
    <w:rsid w:val="00737E3F"/>
    <w:rsid w:val="00741006"/>
    <w:rsid w:val="00741D32"/>
    <w:rsid w:val="00741ED0"/>
    <w:rsid w:val="00742EA0"/>
    <w:rsid w:val="007438EE"/>
    <w:rsid w:val="00743FD0"/>
    <w:rsid w:val="00744721"/>
    <w:rsid w:val="007450B5"/>
    <w:rsid w:val="0074593C"/>
    <w:rsid w:val="00745A9F"/>
    <w:rsid w:val="0074638A"/>
    <w:rsid w:val="0074641D"/>
    <w:rsid w:val="00746B17"/>
    <w:rsid w:val="00746C08"/>
    <w:rsid w:val="00747A19"/>
    <w:rsid w:val="00750C47"/>
    <w:rsid w:val="00750CDB"/>
    <w:rsid w:val="00751132"/>
    <w:rsid w:val="00751CB0"/>
    <w:rsid w:val="007522E8"/>
    <w:rsid w:val="007527A3"/>
    <w:rsid w:val="007527E4"/>
    <w:rsid w:val="0075302A"/>
    <w:rsid w:val="007534B9"/>
    <w:rsid w:val="007537C9"/>
    <w:rsid w:val="00753D16"/>
    <w:rsid w:val="00754D99"/>
    <w:rsid w:val="00755F87"/>
    <w:rsid w:val="00757580"/>
    <w:rsid w:val="00760002"/>
    <w:rsid w:val="00760305"/>
    <w:rsid w:val="007606C0"/>
    <w:rsid w:val="00760FAB"/>
    <w:rsid w:val="00761884"/>
    <w:rsid w:val="00762290"/>
    <w:rsid w:val="007649D8"/>
    <w:rsid w:val="007651BA"/>
    <w:rsid w:val="00766559"/>
    <w:rsid w:val="00766D63"/>
    <w:rsid w:val="0076734B"/>
    <w:rsid w:val="00767722"/>
    <w:rsid w:val="0077028B"/>
    <w:rsid w:val="00770772"/>
    <w:rsid w:val="0077091F"/>
    <w:rsid w:val="00770DEF"/>
    <w:rsid w:val="00771EC8"/>
    <w:rsid w:val="00771FE1"/>
    <w:rsid w:val="00772E69"/>
    <w:rsid w:val="00773105"/>
    <w:rsid w:val="00773DC2"/>
    <w:rsid w:val="00774908"/>
    <w:rsid w:val="00774BCE"/>
    <w:rsid w:val="00775E5F"/>
    <w:rsid w:val="00776635"/>
    <w:rsid w:val="00776AC0"/>
    <w:rsid w:val="0077792F"/>
    <w:rsid w:val="00777A95"/>
    <w:rsid w:val="00777DF5"/>
    <w:rsid w:val="00777EF4"/>
    <w:rsid w:val="00780CB1"/>
    <w:rsid w:val="007811D1"/>
    <w:rsid w:val="00782DE3"/>
    <w:rsid w:val="0078346D"/>
    <w:rsid w:val="00783556"/>
    <w:rsid w:val="00783B41"/>
    <w:rsid w:val="00783F01"/>
    <w:rsid w:val="00784121"/>
    <w:rsid w:val="007845A1"/>
    <w:rsid w:val="00784EBB"/>
    <w:rsid w:val="00785027"/>
    <w:rsid w:val="007853E9"/>
    <w:rsid w:val="007859EB"/>
    <w:rsid w:val="00785B47"/>
    <w:rsid w:val="007862AF"/>
    <w:rsid w:val="00786C67"/>
    <w:rsid w:val="00787408"/>
    <w:rsid w:val="00787C67"/>
    <w:rsid w:val="0079098E"/>
    <w:rsid w:val="00790F15"/>
    <w:rsid w:val="00791163"/>
    <w:rsid w:val="007915DF"/>
    <w:rsid w:val="007934BE"/>
    <w:rsid w:val="00793D4E"/>
    <w:rsid w:val="00793EC0"/>
    <w:rsid w:val="00796A23"/>
    <w:rsid w:val="00797234"/>
    <w:rsid w:val="007977EA"/>
    <w:rsid w:val="00797B06"/>
    <w:rsid w:val="007A0B02"/>
    <w:rsid w:val="007A166F"/>
    <w:rsid w:val="007A18A2"/>
    <w:rsid w:val="007A2C38"/>
    <w:rsid w:val="007A2E3E"/>
    <w:rsid w:val="007A33FC"/>
    <w:rsid w:val="007A3468"/>
    <w:rsid w:val="007A398C"/>
    <w:rsid w:val="007A3A4B"/>
    <w:rsid w:val="007A3D05"/>
    <w:rsid w:val="007A4070"/>
    <w:rsid w:val="007A45EE"/>
    <w:rsid w:val="007A4B5D"/>
    <w:rsid w:val="007A5BC5"/>
    <w:rsid w:val="007A6136"/>
    <w:rsid w:val="007A6F56"/>
    <w:rsid w:val="007A6F6F"/>
    <w:rsid w:val="007B066E"/>
    <w:rsid w:val="007B0D31"/>
    <w:rsid w:val="007B17EA"/>
    <w:rsid w:val="007B1C54"/>
    <w:rsid w:val="007B1C9B"/>
    <w:rsid w:val="007B251F"/>
    <w:rsid w:val="007B2B71"/>
    <w:rsid w:val="007B2EF1"/>
    <w:rsid w:val="007B3737"/>
    <w:rsid w:val="007B3792"/>
    <w:rsid w:val="007B396B"/>
    <w:rsid w:val="007B3B50"/>
    <w:rsid w:val="007B4DC3"/>
    <w:rsid w:val="007B4FF9"/>
    <w:rsid w:val="007B5221"/>
    <w:rsid w:val="007B5A47"/>
    <w:rsid w:val="007B75CD"/>
    <w:rsid w:val="007C0071"/>
    <w:rsid w:val="007C013C"/>
    <w:rsid w:val="007C0977"/>
    <w:rsid w:val="007C188A"/>
    <w:rsid w:val="007C1BE4"/>
    <w:rsid w:val="007C2255"/>
    <w:rsid w:val="007C2616"/>
    <w:rsid w:val="007C2E64"/>
    <w:rsid w:val="007C3A40"/>
    <w:rsid w:val="007C3A5F"/>
    <w:rsid w:val="007C4099"/>
    <w:rsid w:val="007C4A79"/>
    <w:rsid w:val="007C4AFE"/>
    <w:rsid w:val="007C4E47"/>
    <w:rsid w:val="007C5460"/>
    <w:rsid w:val="007C5A22"/>
    <w:rsid w:val="007C64E8"/>
    <w:rsid w:val="007D0446"/>
    <w:rsid w:val="007D1076"/>
    <w:rsid w:val="007D1441"/>
    <w:rsid w:val="007D166E"/>
    <w:rsid w:val="007D1B0B"/>
    <w:rsid w:val="007D1C6D"/>
    <w:rsid w:val="007D1D1A"/>
    <w:rsid w:val="007D20DE"/>
    <w:rsid w:val="007D21BB"/>
    <w:rsid w:val="007D2385"/>
    <w:rsid w:val="007D2934"/>
    <w:rsid w:val="007D29B5"/>
    <w:rsid w:val="007D33FB"/>
    <w:rsid w:val="007D3E0B"/>
    <w:rsid w:val="007D41E8"/>
    <w:rsid w:val="007D4371"/>
    <w:rsid w:val="007D46B8"/>
    <w:rsid w:val="007D4D4D"/>
    <w:rsid w:val="007D5895"/>
    <w:rsid w:val="007D5C88"/>
    <w:rsid w:val="007D5E32"/>
    <w:rsid w:val="007D5F94"/>
    <w:rsid w:val="007D6A46"/>
    <w:rsid w:val="007D6DD0"/>
    <w:rsid w:val="007D700B"/>
    <w:rsid w:val="007D7632"/>
    <w:rsid w:val="007D7812"/>
    <w:rsid w:val="007E029C"/>
    <w:rsid w:val="007E11E0"/>
    <w:rsid w:val="007E14C7"/>
    <w:rsid w:val="007E27D9"/>
    <w:rsid w:val="007E2E8C"/>
    <w:rsid w:val="007E333E"/>
    <w:rsid w:val="007E3492"/>
    <w:rsid w:val="007E3C53"/>
    <w:rsid w:val="007E3E4D"/>
    <w:rsid w:val="007E4084"/>
    <w:rsid w:val="007E4442"/>
    <w:rsid w:val="007E4C1B"/>
    <w:rsid w:val="007E4DA7"/>
    <w:rsid w:val="007E5319"/>
    <w:rsid w:val="007E5C2C"/>
    <w:rsid w:val="007E5CCB"/>
    <w:rsid w:val="007E7112"/>
    <w:rsid w:val="007F0058"/>
    <w:rsid w:val="007F1751"/>
    <w:rsid w:val="007F1C2B"/>
    <w:rsid w:val="007F1D88"/>
    <w:rsid w:val="007F24CE"/>
    <w:rsid w:val="007F2A0C"/>
    <w:rsid w:val="007F2C7F"/>
    <w:rsid w:val="007F2D27"/>
    <w:rsid w:val="007F3599"/>
    <w:rsid w:val="007F3834"/>
    <w:rsid w:val="007F3DED"/>
    <w:rsid w:val="007F409B"/>
    <w:rsid w:val="007F4172"/>
    <w:rsid w:val="007F442A"/>
    <w:rsid w:val="007F45CC"/>
    <w:rsid w:val="007F4793"/>
    <w:rsid w:val="007F58C2"/>
    <w:rsid w:val="007F6040"/>
    <w:rsid w:val="007F65A8"/>
    <w:rsid w:val="007F6871"/>
    <w:rsid w:val="007F69E3"/>
    <w:rsid w:val="007F69F7"/>
    <w:rsid w:val="007F7132"/>
    <w:rsid w:val="007F724B"/>
    <w:rsid w:val="00800CB3"/>
    <w:rsid w:val="00800E50"/>
    <w:rsid w:val="008014B1"/>
    <w:rsid w:val="00801830"/>
    <w:rsid w:val="0080204B"/>
    <w:rsid w:val="0080251E"/>
    <w:rsid w:val="00802BF4"/>
    <w:rsid w:val="00802D3C"/>
    <w:rsid w:val="0080324D"/>
    <w:rsid w:val="008037E9"/>
    <w:rsid w:val="00803C5F"/>
    <w:rsid w:val="00803CFE"/>
    <w:rsid w:val="00804661"/>
    <w:rsid w:val="008051B7"/>
    <w:rsid w:val="0080570D"/>
    <w:rsid w:val="00805C3E"/>
    <w:rsid w:val="00806483"/>
    <w:rsid w:val="00807DE2"/>
    <w:rsid w:val="0081006E"/>
    <w:rsid w:val="00811A5E"/>
    <w:rsid w:val="0081245C"/>
    <w:rsid w:val="00812A14"/>
    <w:rsid w:val="00812ED6"/>
    <w:rsid w:val="00813837"/>
    <w:rsid w:val="0081452D"/>
    <w:rsid w:val="00814A31"/>
    <w:rsid w:val="00815227"/>
    <w:rsid w:val="0081726A"/>
    <w:rsid w:val="00817C8A"/>
    <w:rsid w:val="00820633"/>
    <w:rsid w:val="0082086B"/>
    <w:rsid w:val="00820A5B"/>
    <w:rsid w:val="00820FFD"/>
    <w:rsid w:val="008230EB"/>
    <w:rsid w:val="00823D2D"/>
    <w:rsid w:val="0082455A"/>
    <w:rsid w:val="0082472E"/>
    <w:rsid w:val="00824790"/>
    <w:rsid w:val="00824970"/>
    <w:rsid w:val="00824EC1"/>
    <w:rsid w:val="00825941"/>
    <w:rsid w:val="00825E50"/>
    <w:rsid w:val="00826E62"/>
    <w:rsid w:val="00827303"/>
    <w:rsid w:val="0082772F"/>
    <w:rsid w:val="00827F09"/>
    <w:rsid w:val="00830A85"/>
    <w:rsid w:val="00830FFB"/>
    <w:rsid w:val="00831E17"/>
    <w:rsid w:val="00832062"/>
    <w:rsid w:val="008321DE"/>
    <w:rsid w:val="00832A5E"/>
    <w:rsid w:val="00833377"/>
    <w:rsid w:val="008339B3"/>
    <w:rsid w:val="00833CC3"/>
    <w:rsid w:val="008356FB"/>
    <w:rsid w:val="0083580A"/>
    <w:rsid w:val="00835C46"/>
    <w:rsid w:val="008363F8"/>
    <w:rsid w:val="00837244"/>
    <w:rsid w:val="00837289"/>
    <w:rsid w:val="0083742F"/>
    <w:rsid w:val="008374BA"/>
    <w:rsid w:val="00837610"/>
    <w:rsid w:val="00837DE9"/>
    <w:rsid w:val="00841CD5"/>
    <w:rsid w:val="0084248F"/>
    <w:rsid w:val="00843110"/>
    <w:rsid w:val="00843981"/>
    <w:rsid w:val="00844709"/>
    <w:rsid w:val="008448B5"/>
    <w:rsid w:val="00844C99"/>
    <w:rsid w:val="0084521A"/>
    <w:rsid w:val="0084544D"/>
    <w:rsid w:val="00845A57"/>
    <w:rsid w:val="00846E2F"/>
    <w:rsid w:val="00847F57"/>
    <w:rsid w:val="00850E1E"/>
    <w:rsid w:val="0085140F"/>
    <w:rsid w:val="008516C1"/>
    <w:rsid w:val="00851DD3"/>
    <w:rsid w:val="00851ED4"/>
    <w:rsid w:val="00852060"/>
    <w:rsid w:val="00852337"/>
    <w:rsid w:val="008525CC"/>
    <w:rsid w:val="00852AF6"/>
    <w:rsid w:val="0085321A"/>
    <w:rsid w:val="0085323A"/>
    <w:rsid w:val="00853DDA"/>
    <w:rsid w:val="00855100"/>
    <w:rsid w:val="0085537D"/>
    <w:rsid w:val="008555A4"/>
    <w:rsid w:val="008565B6"/>
    <w:rsid w:val="00857A03"/>
    <w:rsid w:val="00857C96"/>
    <w:rsid w:val="0086087C"/>
    <w:rsid w:val="00860DAE"/>
    <w:rsid w:val="00860EED"/>
    <w:rsid w:val="00861121"/>
    <w:rsid w:val="00861A2B"/>
    <w:rsid w:val="00861CC1"/>
    <w:rsid w:val="00861D2E"/>
    <w:rsid w:val="00862B59"/>
    <w:rsid w:val="00864BA3"/>
    <w:rsid w:val="0086560D"/>
    <w:rsid w:val="00866369"/>
    <w:rsid w:val="00866C1E"/>
    <w:rsid w:val="00866E87"/>
    <w:rsid w:val="0086749A"/>
    <w:rsid w:val="008702B8"/>
    <w:rsid w:val="008709FE"/>
    <w:rsid w:val="0087121E"/>
    <w:rsid w:val="008715B7"/>
    <w:rsid w:val="00871D41"/>
    <w:rsid w:val="00872F8C"/>
    <w:rsid w:val="00873D52"/>
    <w:rsid w:val="00874313"/>
    <w:rsid w:val="00874577"/>
    <w:rsid w:val="008745E4"/>
    <w:rsid w:val="00874970"/>
    <w:rsid w:val="00874A22"/>
    <w:rsid w:val="008750BB"/>
    <w:rsid w:val="00875749"/>
    <w:rsid w:val="00876424"/>
    <w:rsid w:val="008777E0"/>
    <w:rsid w:val="00880B91"/>
    <w:rsid w:val="00880F2D"/>
    <w:rsid w:val="008815AF"/>
    <w:rsid w:val="00881D25"/>
    <w:rsid w:val="00882D2E"/>
    <w:rsid w:val="00882E27"/>
    <w:rsid w:val="00882EFC"/>
    <w:rsid w:val="008830B3"/>
    <w:rsid w:val="00883252"/>
    <w:rsid w:val="00883483"/>
    <w:rsid w:val="008840FE"/>
    <w:rsid w:val="00884497"/>
    <w:rsid w:val="00884523"/>
    <w:rsid w:val="00884DA3"/>
    <w:rsid w:val="008873A4"/>
    <w:rsid w:val="008876D0"/>
    <w:rsid w:val="008876F8"/>
    <w:rsid w:val="00887EC5"/>
    <w:rsid w:val="00887F72"/>
    <w:rsid w:val="008909DC"/>
    <w:rsid w:val="00892099"/>
    <w:rsid w:val="00892789"/>
    <w:rsid w:val="00892B74"/>
    <w:rsid w:val="00894354"/>
    <w:rsid w:val="00895792"/>
    <w:rsid w:val="0089655E"/>
    <w:rsid w:val="008977D1"/>
    <w:rsid w:val="008A056C"/>
    <w:rsid w:val="008A0E07"/>
    <w:rsid w:val="008A201E"/>
    <w:rsid w:val="008A2A4D"/>
    <w:rsid w:val="008A2ABD"/>
    <w:rsid w:val="008A3E0E"/>
    <w:rsid w:val="008A4A2B"/>
    <w:rsid w:val="008A506F"/>
    <w:rsid w:val="008A5132"/>
    <w:rsid w:val="008A520A"/>
    <w:rsid w:val="008A5D0B"/>
    <w:rsid w:val="008A7511"/>
    <w:rsid w:val="008A7D1F"/>
    <w:rsid w:val="008A7D38"/>
    <w:rsid w:val="008A7DBA"/>
    <w:rsid w:val="008B043D"/>
    <w:rsid w:val="008B2123"/>
    <w:rsid w:val="008B24C2"/>
    <w:rsid w:val="008B2B59"/>
    <w:rsid w:val="008B2E65"/>
    <w:rsid w:val="008B312D"/>
    <w:rsid w:val="008B3F24"/>
    <w:rsid w:val="008B4EEE"/>
    <w:rsid w:val="008B5960"/>
    <w:rsid w:val="008B5B84"/>
    <w:rsid w:val="008B5CF5"/>
    <w:rsid w:val="008B7B8A"/>
    <w:rsid w:val="008C0489"/>
    <w:rsid w:val="008C0F96"/>
    <w:rsid w:val="008C155D"/>
    <w:rsid w:val="008C25B3"/>
    <w:rsid w:val="008C25D1"/>
    <w:rsid w:val="008C2617"/>
    <w:rsid w:val="008C2D3C"/>
    <w:rsid w:val="008C3185"/>
    <w:rsid w:val="008C42BD"/>
    <w:rsid w:val="008C4DF8"/>
    <w:rsid w:val="008C4E18"/>
    <w:rsid w:val="008C543B"/>
    <w:rsid w:val="008C568D"/>
    <w:rsid w:val="008C5E8D"/>
    <w:rsid w:val="008C695E"/>
    <w:rsid w:val="008C6B8D"/>
    <w:rsid w:val="008C7CCE"/>
    <w:rsid w:val="008C7DF6"/>
    <w:rsid w:val="008C7F7D"/>
    <w:rsid w:val="008D0B3B"/>
    <w:rsid w:val="008D1550"/>
    <w:rsid w:val="008D22BD"/>
    <w:rsid w:val="008D28FD"/>
    <w:rsid w:val="008D4079"/>
    <w:rsid w:val="008D4ADF"/>
    <w:rsid w:val="008D4ED5"/>
    <w:rsid w:val="008D4F00"/>
    <w:rsid w:val="008D5164"/>
    <w:rsid w:val="008D533E"/>
    <w:rsid w:val="008D5DB3"/>
    <w:rsid w:val="008D7878"/>
    <w:rsid w:val="008E0E6B"/>
    <w:rsid w:val="008E21B7"/>
    <w:rsid w:val="008E2597"/>
    <w:rsid w:val="008E3157"/>
    <w:rsid w:val="008E33B4"/>
    <w:rsid w:val="008E45F1"/>
    <w:rsid w:val="008E483D"/>
    <w:rsid w:val="008E4C45"/>
    <w:rsid w:val="008E4DBC"/>
    <w:rsid w:val="008E54BF"/>
    <w:rsid w:val="008E5790"/>
    <w:rsid w:val="008E57B3"/>
    <w:rsid w:val="008E58B9"/>
    <w:rsid w:val="008E5C5E"/>
    <w:rsid w:val="008E5E45"/>
    <w:rsid w:val="008E5F79"/>
    <w:rsid w:val="008E6D35"/>
    <w:rsid w:val="008E6E67"/>
    <w:rsid w:val="008E76D3"/>
    <w:rsid w:val="008E7C7E"/>
    <w:rsid w:val="008F09E0"/>
    <w:rsid w:val="008F0D5C"/>
    <w:rsid w:val="008F17D0"/>
    <w:rsid w:val="008F23AC"/>
    <w:rsid w:val="008F33BC"/>
    <w:rsid w:val="008F3600"/>
    <w:rsid w:val="008F4143"/>
    <w:rsid w:val="008F477B"/>
    <w:rsid w:val="008F498F"/>
    <w:rsid w:val="008F49FC"/>
    <w:rsid w:val="008F4DDB"/>
    <w:rsid w:val="008F54E8"/>
    <w:rsid w:val="008F55BF"/>
    <w:rsid w:val="008F587F"/>
    <w:rsid w:val="008F5A80"/>
    <w:rsid w:val="008F6AF3"/>
    <w:rsid w:val="008F6BF4"/>
    <w:rsid w:val="008F6CDF"/>
    <w:rsid w:val="009002ED"/>
    <w:rsid w:val="009004C7"/>
    <w:rsid w:val="00900DC5"/>
    <w:rsid w:val="00901588"/>
    <w:rsid w:val="009020CC"/>
    <w:rsid w:val="009024BA"/>
    <w:rsid w:val="0090265F"/>
    <w:rsid w:val="00904CAA"/>
    <w:rsid w:val="00905392"/>
    <w:rsid w:val="009060F9"/>
    <w:rsid w:val="00906B39"/>
    <w:rsid w:val="00906DA3"/>
    <w:rsid w:val="00906F85"/>
    <w:rsid w:val="009072D3"/>
    <w:rsid w:val="00907AA9"/>
    <w:rsid w:val="00910547"/>
    <w:rsid w:val="00910612"/>
    <w:rsid w:val="0091253E"/>
    <w:rsid w:val="00912C67"/>
    <w:rsid w:val="00913B05"/>
    <w:rsid w:val="00914260"/>
    <w:rsid w:val="00914805"/>
    <w:rsid w:val="00915464"/>
    <w:rsid w:val="00915795"/>
    <w:rsid w:val="0091637C"/>
    <w:rsid w:val="0091698A"/>
    <w:rsid w:val="00917548"/>
    <w:rsid w:val="00917645"/>
    <w:rsid w:val="009177C8"/>
    <w:rsid w:val="00917F15"/>
    <w:rsid w:val="0092020A"/>
    <w:rsid w:val="009203A9"/>
    <w:rsid w:val="00921196"/>
    <w:rsid w:val="0092182B"/>
    <w:rsid w:val="009220D4"/>
    <w:rsid w:val="00922794"/>
    <w:rsid w:val="00922B56"/>
    <w:rsid w:val="009231FD"/>
    <w:rsid w:val="009234D1"/>
    <w:rsid w:val="0092355C"/>
    <w:rsid w:val="00923673"/>
    <w:rsid w:val="00923DDD"/>
    <w:rsid w:val="00923F2D"/>
    <w:rsid w:val="00924F8D"/>
    <w:rsid w:val="00925164"/>
    <w:rsid w:val="0092524D"/>
    <w:rsid w:val="0092535A"/>
    <w:rsid w:val="00925622"/>
    <w:rsid w:val="00926777"/>
    <w:rsid w:val="00926DE5"/>
    <w:rsid w:val="00930850"/>
    <w:rsid w:val="0093092E"/>
    <w:rsid w:val="00930E53"/>
    <w:rsid w:val="009314B3"/>
    <w:rsid w:val="00932455"/>
    <w:rsid w:val="009328A7"/>
    <w:rsid w:val="00932A81"/>
    <w:rsid w:val="00932AC5"/>
    <w:rsid w:val="00933BB9"/>
    <w:rsid w:val="009341E6"/>
    <w:rsid w:val="00934A48"/>
    <w:rsid w:val="0093534F"/>
    <w:rsid w:val="009360F3"/>
    <w:rsid w:val="009361AD"/>
    <w:rsid w:val="00936E4D"/>
    <w:rsid w:val="00937B1D"/>
    <w:rsid w:val="00940C2A"/>
    <w:rsid w:val="009420DF"/>
    <w:rsid w:val="009421D4"/>
    <w:rsid w:val="0094270E"/>
    <w:rsid w:val="0094278C"/>
    <w:rsid w:val="00942C5E"/>
    <w:rsid w:val="00942E89"/>
    <w:rsid w:val="00946651"/>
    <w:rsid w:val="00947825"/>
    <w:rsid w:val="00947CD1"/>
    <w:rsid w:val="00950691"/>
    <w:rsid w:val="00950DC1"/>
    <w:rsid w:val="009510D1"/>
    <w:rsid w:val="0095111C"/>
    <w:rsid w:val="00951A74"/>
    <w:rsid w:val="00951DDB"/>
    <w:rsid w:val="0095213F"/>
    <w:rsid w:val="009529A8"/>
    <w:rsid w:val="00952ABF"/>
    <w:rsid w:val="00952EA9"/>
    <w:rsid w:val="0095323B"/>
    <w:rsid w:val="00953427"/>
    <w:rsid w:val="009551A7"/>
    <w:rsid w:val="00955A30"/>
    <w:rsid w:val="00955D69"/>
    <w:rsid w:val="0095669D"/>
    <w:rsid w:val="00956D64"/>
    <w:rsid w:val="0095748F"/>
    <w:rsid w:val="00957BD7"/>
    <w:rsid w:val="00960AA0"/>
    <w:rsid w:val="00960BA8"/>
    <w:rsid w:val="00961AC9"/>
    <w:rsid w:val="00961C33"/>
    <w:rsid w:val="00961D71"/>
    <w:rsid w:val="00962070"/>
    <w:rsid w:val="009622F8"/>
    <w:rsid w:val="0096236B"/>
    <w:rsid w:val="00962EF7"/>
    <w:rsid w:val="00963035"/>
    <w:rsid w:val="00963067"/>
    <w:rsid w:val="0096324C"/>
    <w:rsid w:val="009632B2"/>
    <w:rsid w:val="0096349B"/>
    <w:rsid w:val="00964157"/>
    <w:rsid w:val="009644A2"/>
    <w:rsid w:val="00965667"/>
    <w:rsid w:val="00965D42"/>
    <w:rsid w:val="009670DC"/>
    <w:rsid w:val="00967226"/>
    <w:rsid w:val="0096777F"/>
    <w:rsid w:val="0096797E"/>
    <w:rsid w:val="00967A8C"/>
    <w:rsid w:val="00970ABE"/>
    <w:rsid w:val="00970B33"/>
    <w:rsid w:val="00972EEA"/>
    <w:rsid w:val="00973F85"/>
    <w:rsid w:val="009748BC"/>
    <w:rsid w:val="00974CCA"/>
    <w:rsid w:val="00974D7D"/>
    <w:rsid w:val="00974E8B"/>
    <w:rsid w:val="00975108"/>
    <w:rsid w:val="009761A0"/>
    <w:rsid w:val="009761CB"/>
    <w:rsid w:val="00976257"/>
    <w:rsid w:val="0097675A"/>
    <w:rsid w:val="00976B56"/>
    <w:rsid w:val="00977970"/>
    <w:rsid w:val="00977CBA"/>
    <w:rsid w:val="00977DF5"/>
    <w:rsid w:val="00977FF2"/>
    <w:rsid w:val="00980540"/>
    <w:rsid w:val="00980C06"/>
    <w:rsid w:val="009827A9"/>
    <w:rsid w:val="009839D2"/>
    <w:rsid w:val="00983EE1"/>
    <w:rsid w:val="009847E1"/>
    <w:rsid w:val="009849AC"/>
    <w:rsid w:val="00984FF9"/>
    <w:rsid w:val="00985184"/>
    <w:rsid w:val="009853B3"/>
    <w:rsid w:val="00985438"/>
    <w:rsid w:val="009854E3"/>
    <w:rsid w:val="00986EC3"/>
    <w:rsid w:val="009871E3"/>
    <w:rsid w:val="00990332"/>
    <w:rsid w:val="0099035E"/>
    <w:rsid w:val="00990524"/>
    <w:rsid w:val="009908D0"/>
    <w:rsid w:val="00990F56"/>
    <w:rsid w:val="009928F6"/>
    <w:rsid w:val="009935FE"/>
    <w:rsid w:val="0099360C"/>
    <w:rsid w:val="0099363F"/>
    <w:rsid w:val="00993E82"/>
    <w:rsid w:val="00994195"/>
    <w:rsid w:val="0099488D"/>
    <w:rsid w:val="00994987"/>
    <w:rsid w:val="00994F51"/>
    <w:rsid w:val="009970A0"/>
    <w:rsid w:val="00997F87"/>
    <w:rsid w:val="009A004E"/>
    <w:rsid w:val="009A0386"/>
    <w:rsid w:val="009A30D2"/>
    <w:rsid w:val="009A344C"/>
    <w:rsid w:val="009A34F3"/>
    <w:rsid w:val="009A3A9B"/>
    <w:rsid w:val="009A4A85"/>
    <w:rsid w:val="009A548D"/>
    <w:rsid w:val="009A5C34"/>
    <w:rsid w:val="009A6840"/>
    <w:rsid w:val="009A68F7"/>
    <w:rsid w:val="009A7323"/>
    <w:rsid w:val="009A7C47"/>
    <w:rsid w:val="009B02E5"/>
    <w:rsid w:val="009B0927"/>
    <w:rsid w:val="009B1C7A"/>
    <w:rsid w:val="009B2125"/>
    <w:rsid w:val="009B4058"/>
    <w:rsid w:val="009B4EB3"/>
    <w:rsid w:val="009B58B2"/>
    <w:rsid w:val="009B596B"/>
    <w:rsid w:val="009B66E3"/>
    <w:rsid w:val="009B75E5"/>
    <w:rsid w:val="009B7960"/>
    <w:rsid w:val="009C0E05"/>
    <w:rsid w:val="009C24D7"/>
    <w:rsid w:val="009C28D0"/>
    <w:rsid w:val="009C51B7"/>
    <w:rsid w:val="009C51C3"/>
    <w:rsid w:val="009C5243"/>
    <w:rsid w:val="009C5749"/>
    <w:rsid w:val="009C59B8"/>
    <w:rsid w:val="009C6395"/>
    <w:rsid w:val="009C71B4"/>
    <w:rsid w:val="009C7485"/>
    <w:rsid w:val="009C78FD"/>
    <w:rsid w:val="009D07D8"/>
    <w:rsid w:val="009D0E2C"/>
    <w:rsid w:val="009D1898"/>
    <w:rsid w:val="009D1CE5"/>
    <w:rsid w:val="009D2118"/>
    <w:rsid w:val="009D21AF"/>
    <w:rsid w:val="009D2A07"/>
    <w:rsid w:val="009D2B56"/>
    <w:rsid w:val="009D35EF"/>
    <w:rsid w:val="009D5235"/>
    <w:rsid w:val="009D5656"/>
    <w:rsid w:val="009D5861"/>
    <w:rsid w:val="009D5B51"/>
    <w:rsid w:val="009D5EAD"/>
    <w:rsid w:val="009D63DB"/>
    <w:rsid w:val="009D68D2"/>
    <w:rsid w:val="009D7DEE"/>
    <w:rsid w:val="009E1125"/>
    <w:rsid w:val="009E142A"/>
    <w:rsid w:val="009E14AE"/>
    <w:rsid w:val="009E164A"/>
    <w:rsid w:val="009E1921"/>
    <w:rsid w:val="009E1C56"/>
    <w:rsid w:val="009E2369"/>
    <w:rsid w:val="009E49E6"/>
    <w:rsid w:val="009E5763"/>
    <w:rsid w:val="009E7270"/>
    <w:rsid w:val="009E76AF"/>
    <w:rsid w:val="009F0034"/>
    <w:rsid w:val="009F0852"/>
    <w:rsid w:val="009F0FEB"/>
    <w:rsid w:val="009F25F0"/>
    <w:rsid w:val="009F3485"/>
    <w:rsid w:val="009F38E7"/>
    <w:rsid w:val="009F400C"/>
    <w:rsid w:val="009F4A14"/>
    <w:rsid w:val="009F503D"/>
    <w:rsid w:val="00A01F7C"/>
    <w:rsid w:val="00A01FDE"/>
    <w:rsid w:val="00A02A28"/>
    <w:rsid w:val="00A03369"/>
    <w:rsid w:val="00A04457"/>
    <w:rsid w:val="00A044B3"/>
    <w:rsid w:val="00A046CB"/>
    <w:rsid w:val="00A05128"/>
    <w:rsid w:val="00A05809"/>
    <w:rsid w:val="00A05AF6"/>
    <w:rsid w:val="00A06057"/>
    <w:rsid w:val="00A063C3"/>
    <w:rsid w:val="00A06AF8"/>
    <w:rsid w:val="00A06FDC"/>
    <w:rsid w:val="00A10A6E"/>
    <w:rsid w:val="00A12F69"/>
    <w:rsid w:val="00A1361B"/>
    <w:rsid w:val="00A13814"/>
    <w:rsid w:val="00A13D27"/>
    <w:rsid w:val="00A145F5"/>
    <w:rsid w:val="00A1468F"/>
    <w:rsid w:val="00A15626"/>
    <w:rsid w:val="00A1656B"/>
    <w:rsid w:val="00A167CD"/>
    <w:rsid w:val="00A173A6"/>
    <w:rsid w:val="00A17413"/>
    <w:rsid w:val="00A20223"/>
    <w:rsid w:val="00A20AF8"/>
    <w:rsid w:val="00A21377"/>
    <w:rsid w:val="00A227EA"/>
    <w:rsid w:val="00A23495"/>
    <w:rsid w:val="00A23BFF"/>
    <w:rsid w:val="00A250AB"/>
    <w:rsid w:val="00A25E0B"/>
    <w:rsid w:val="00A26053"/>
    <w:rsid w:val="00A2610F"/>
    <w:rsid w:val="00A26211"/>
    <w:rsid w:val="00A26A0B"/>
    <w:rsid w:val="00A26AC5"/>
    <w:rsid w:val="00A26EEF"/>
    <w:rsid w:val="00A271CC"/>
    <w:rsid w:val="00A278C0"/>
    <w:rsid w:val="00A27FA0"/>
    <w:rsid w:val="00A3092B"/>
    <w:rsid w:val="00A31B4E"/>
    <w:rsid w:val="00A31DE5"/>
    <w:rsid w:val="00A31EB8"/>
    <w:rsid w:val="00A32768"/>
    <w:rsid w:val="00A332E7"/>
    <w:rsid w:val="00A342C8"/>
    <w:rsid w:val="00A35565"/>
    <w:rsid w:val="00A355B6"/>
    <w:rsid w:val="00A358FD"/>
    <w:rsid w:val="00A3648C"/>
    <w:rsid w:val="00A4077D"/>
    <w:rsid w:val="00A40C50"/>
    <w:rsid w:val="00A40E01"/>
    <w:rsid w:val="00A4159D"/>
    <w:rsid w:val="00A41B1C"/>
    <w:rsid w:val="00A41F8D"/>
    <w:rsid w:val="00A41FCC"/>
    <w:rsid w:val="00A4272C"/>
    <w:rsid w:val="00A42AF2"/>
    <w:rsid w:val="00A42F05"/>
    <w:rsid w:val="00A43158"/>
    <w:rsid w:val="00A433BA"/>
    <w:rsid w:val="00A43422"/>
    <w:rsid w:val="00A43AE7"/>
    <w:rsid w:val="00A43B1A"/>
    <w:rsid w:val="00A44905"/>
    <w:rsid w:val="00A44CB9"/>
    <w:rsid w:val="00A458CD"/>
    <w:rsid w:val="00A46E9D"/>
    <w:rsid w:val="00A47519"/>
    <w:rsid w:val="00A47BB4"/>
    <w:rsid w:val="00A50627"/>
    <w:rsid w:val="00A50B01"/>
    <w:rsid w:val="00A51E2A"/>
    <w:rsid w:val="00A5590D"/>
    <w:rsid w:val="00A56656"/>
    <w:rsid w:val="00A5680B"/>
    <w:rsid w:val="00A571D1"/>
    <w:rsid w:val="00A57BA9"/>
    <w:rsid w:val="00A57E98"/>
    <w:rsid w:val="00A60522"/>
    <w:rsid w:val="00A60A9B"/>
    <w:rsid w:val="00A612AF"/>
    <w:rsid w:val="00A617B6"/>
    <w:rsid w:val="00A623BF"/>
    <w:rsid w:val="00A630F5"/>
    <w:rsid w:val="00A6327F"/>
    <w:rsid w:val="00A63D08"/>
    <w:rsid w:val="00A65507"/>
    <w:rsid w:val="00A65CAB"/>
    <w:rsid w:val="00A65EDB"/>
    <w:rsid w:val="00A66322"/>
    <w:rsid w:val="00A70E76"/>
    <w:rsid w:val="00A71E3D"/>
    <w:rsid w:val="00A72089"/>
    <w:rsid w:val="00A72512"/>
    <w:rsid w:val="00A72B50"/>
    <w:rsid w:val="00A73762"/>
    <w:rsid w:val="00A73B67"/>
    <w:rsid w:val="00A740D3"/>
    <w:rsid w:val="00A745CD"/>
    <w:rsid w:val="00A748DC"/>
    <w:rsid w:val="00A74996"/>
    <w:rsid w:val="00A74BE5"/>
    <w:rsid w:val="00A74C8E"/>
    <w:rsid w:val="00A7559E"/>
    <w:rsid w:val="00A7592A"/>
    <w:rsid w:val="00A75AB9"/>
    <w:rsid w:val="00A76BA6"/>
    <w:rsid w:val="00A77095"/>
    <w:rsid w:val="00A7784A"/>
    <w:rsid w:val="00A77ECA"/>
    <w:rsid w:val="00A80683"/>
    <w:rsid w:val="00A80705"/>
    <w:rsid w:val="00A80AB9"/>
    <w:rsid w:val="00A80AC9"/>
    <w:rsid w:val="00A81479"/>
    <w:rsid w:val="00A82911"/>
    <w:rsid w:val="00A82AA6"/>
    <w:rsid w:val="00A832B0"/>
    <w:rsid w:val="00A8375F"/>
    <w:rsid w:val="00A838DC"/>
    <w:rsid w:val="00A8392C"/>
    <w:rsid w:val="00A8402F"/>
    <w:rsid w:val="00A85133"/>
    <w:rsid w:val="00A85632"/>
    <w:rsid w:val="00A9019E"/>
    <w:rsid w:val="00A90E54"/>
    <w:rsid w:val="00A91218"/>
    <w:rsid w:val="00A912FD"/>
    <w:rsid w:val="00A92F0F"/>
    <w:rsid w:val="00A94A33"/>
    <w:rsid w:val="00A95692"/>
    <w:rsid w:val="00A95A55"/>
    <w:rsid w:val="00A96043"/>
    <w:rsid w:val="00A96438"/>
    <w:rsid w:val="00A96642"/>
    <w:rsid w:val="00AA05B7"/>
    <w:rsid w:val="00AA0985"/>
    <w:rsid w:val="00AA09E2"/>
    <w:rsid w:val="00AA10ED"/>
    <w:rsid w:val="00AA1309"/>
    <w:rsid w:val="00AA31CC"/>
    <w:rsid w:val="00AA35CB"/>
    <w:rsid w:val="00AA478D"/>
    <w:rsid w:val="00AA4BAC"/>
    <w:rsid w:val="00AA5699"/>
    <w:rsid w:val="00AA5944"/>
    <w:rsid w:val="00AA63FF"/>
    <w:rsid w:val="00AA673F"/>
    <w:rsid w:val="00AA6EDD"/>
    <w:rsid w:val="00AA77F1"/>
    <w:rsid w:val="00AA79CD"/>
    <w:rsid w:val="00AA7C17"/>
    <w:rsid w:val="00AB0479"/>
    <w:rsid w:val="00AB05D3"/>
    <w:rsid w:val="00AB06F6"/>
    <w:rsid w:val="00AB0FF7"/>
    <w:rsid w:val="00AB10DD"/>
    <w:rsid w:val="00AB1AB6"/>
    <w:rsid w:val="00AB1B8F"/>
    <w:rsid w:val="00AB1B96"/>
    <w:rsid w:val="00AB1C13"/>
    <w:rsid w:val="00AB2DC0"/>
    <w:rsid w:val="00AB4D12"/>
    <w:rsid w:val="00AB5533"/>
    <w:rsid w:val="00AB682E"/>
    <w:rsid w:val="00AB7609"/>
    <w:rsid w:val="00AB7AD0"/>
    <w:rsid w:val="00AC0164"/>
    <w:rsid w:val="00AC066B"/>
    <w:rsid w:val="00AC1F92"/>
    <w:rsid w:val="00AC28A8"/>
    <w:rsid w:val="00AC2AB1"/>
    <w:rsid w:val="00AC530A"/>
    <w:rsid w:val="00AC5BF0"/>
    <w:rsid w:val="00AC729B"/>
    <w:rsid w:val="00AC7734"/>
    <w:rsid w:val="00AC7EDA"/>
    <w:rsid w:val="00AD018F"/>
    <w:rsid w:val="00AD09B2"/>
    <w:rsid w:val="00AD309B"/>
    <w:rsid w:val="00AD3343"/>
    <w:rsid w:val="00AD3A39"/>
    <w:rsid w:val="00AD44DA"/>
    <w:rsid w:val="00AD4B9B"/>
    <w:rsid w:val="00AD58D6"/>
    <w:rsid w:val="00AD5C0A"/>
    <w:rsid w:val="00AE0D89"/>
    <w:rsid w:val="00AE23CB"/>
    <w:rsid w:val="00AE37A0"/>
    <w:rsid w:val="00AE37C3"/>
    <w:rsid w:val="00AE4032"/>
    <w:rsid w:val="00AE523C"/>
    <w:rsid w:val="00AE53EB"/>
    <w:rsid w:val="00AE5C63"/>
    <w:rsid w:val="00AE6E07"/>
    <w:rsid w:val="00AE7F9A"/>
    <w:rsid w:val="00AF0321"/>
    <w:rsid w:val="00AF062C"/>
    <w:rsid w:val="00AF0ECA"/>
    <w:rsid w:val="00AF1C37"/>
    <w:rsid w:val="00AF1EA6"/>
    <w:rsid w:val="00AF301D"/>
    <w:rsid w:val="00AF33FE"/>
    <w:rsid w:val="00AF356A"/>
    <w:rsid w:val="00AF3791"/>
    <w:rsid w:val="00AF491E"/>
    <w:rsid w:val="00AF5277"/>
    <w:rsid w:val="00AF57D6"/>
    <w:rsid w:val="00AF64D4"/>
    <w:rsid w:val="00AF796E"/>
    <w:rsid w:val="00AF7CE4"/>
    <w:rsid w:val="00B002AF"/>
    <w:rsid w:val="00B0082C"/>
    <w:rsid w:val="00B00FB9"/>
    <w:rsid w:val="00B017A7"/>
    <w:rsid w:val="00B02927"/>
    <w:rsid w:val="00B034D0"/>
    <w:rsid w:val="00B035A8"/>
    <w:rsid w:val="00B04A8E"/>
    <w:rsid w:val="00B04C71"/>
    <w:rsid w:val="00B04EB7"/>
    <w:rsid w:val="00B04F85"/>
    <w:rsid w:val="00B05119"/>
    <w:rsid w:val="00B0546C"/>
    <w:rsid w:val="00B0651A"/>
    <w:rsid w:val="00B06B40"/>
    <w:rsid w:val="00B0727A"/>
    <w:rsid w:val="00B0754F"/>
    <w:rsid w:val="00B07FD7"/>
    <w:rsid w:val="00B10105"/>
    <w:rsid w:val="00B10823"/>
    <w:rsid w:val="00B12B4E"/>
    <w:rsid w:val="00B1303A"/>
    <w:rsid w:val="00B13207"/>
    <w:rsid w:val="00B132F7"/>
    <w:rsid w:val="00B1371B"/>
    <w:rsid w:val="00B13EB3"/>
    <w:rsid w:val="00B13F11"/>
    <w:rsid w:val="00B1407A"/>
    <w:rsid w:val="00B147A5"/>
    <w:rsid w:val="00B14C86"/>
    <w:rsid w:val="00B14FD1"/>
    <w:rsid w:val="00B16292"/>
    <w:rsid w:val="00B16F65"/>
    <w:rsid w:val="00B17742"/>
    <w:rsid w:val="00B20292"/>
    <w:rsid w:val="00B20E06"/>
    <w:rsid w:val="00B20E86"/>
    <w:rsid w:val="00B213E2"/>
    <w:rsid w:val="00B21686"/>
    <w:rsid w:val="00B21C60"/>
    <w:rsid w:val="00B21C68"/>
    <w:rsid w:val="00B25049"/>
    <w:rsid w:val="00B252BF"/>
    <w:rsid w:val="00B25784"/>
    <w:rsid w:val="00B25D88"/>
    <w:rsid w:val="00B26269"/>
    <w:rsid w:val="00B2718C"/>
    <w:rsid w:val="00B27BC8"/>
    <w:rsid w:val="00B300AB"/>
    <w:rsid w:val="00B3014B"/>
    <w:rsid w:val="00B332B5"/>
    <w:rsid w:val="00B334C0"/>
    <w:rsid w:val="00B3355A"/>
    <w:rsid w:val="00B33A53"/>
    <w:rsid w:val="00B350D0"/>
    <w:rsid w:val="00B350F8"/>
    <w:rsid w:val="00B3533B"/>
    <w:rsid w:val="00B40128"/>
    <w:rsid w:val="00B40416"/>
    <w:rsid w:val="00B40FDC"/>
    <w:rsid w:val="00B4106B"/>
    <w:rsid w:val="00B4379F"/>
    <w:rsid w:val="00B43920"/>
    <w:rsid w:val="00B43A59"/>
    <w:rsid w:val="00B43A7C"/>
    <w:rsid w:val="00B441FC"/>
    <w:rsid w:val="00B44991"/>
    <w:rsid w:val="00B466E9"/>
    <w:rsid w:val="00B46EC1"/>
    <w:rsid w:val="00B476B6"/>
    <w:rsid w:val="00B47D7D"/>
    <w:rsid w:val="00B50081"/>
    <w:rsid w:val="00B5058A"/>
    <w:rsid w:val="00B505D6"/>
    <w:rsid w:val="00B50674"/>
    <w:rsid w:val="00B50B5D"/>
    <w:rsid w:val="00B512FE"/>
    <w:rsid w:val="00B52057"/>
    <w:rsid w:val="00B523E4"/>
    <w:rsid w:val="00B528BA"/>
    <w:rsid w:val="00B530AE"/>
    <w:rsid w:val="00B53697"/>
    <w:rsid w:val="00B54879"/>
    <w:rsid w:val="00B5507A"/>
    <w:rsid w:val="00B553DF"/>
    <w:rsid w:val="00B55DC5"/>
    <w:rsid w:val="00B5630F"/>
    <w:rsid w:val="00B57C36"/>
    <w:rsid w:val="00B57EAE"/>
    <w:rsid w:val="00B60186"/>
    <w:rsid w:val="00B603CF"/>
    <w:rsid w:val="00B606FF"/>
    <w:rsid w:val="00B6102A"/>
    <w:rsid w:val="00B61A80"/>
    <w:rsid w:val="00B61E8E"/>
    <w:rsid w:val="00B63374"/>
    <w:rsid w:val="00B63576"/>
    <w:rsid w:val="00B650B6"/>
    <w:rsid w:val="00B65AEB"/>
    <w:rsid w:val="00B669F0"/>
    <w:rsid w:val="00B66A66"/>
    <w:rsid w:val="00B67928"/>
    <w:rsid w:val="00B67B64"/>
    <w:rsid w:val="00B70144"/>
    <w:rsid w:val="00B717A3"/>
    <w:rsid w:val="00B724D9"/>
    <w:rsid w:val="00B729A3"/>
    <w:rsid w:val="00B74BD5"/>
    <w:rsid w:val="00B74EBB"/>
    <w:rsid w:val="00B758DD"/>
    <w:rsid w:val="00B761E1"/>
    <w:rsid w:val="00B761FA"/>
    <w:rsid w:val="00B80295"/>
    <w:rsid w:val="00B803ED"/>
    <w:rsid w:val="00B80943"/>
    <w:rsid w:val="00B80A77"/>
    <w:rsid w:val="00B8149F"/>
    <w:rsid w:val="00B82A45"/>
    <w:rsid w:val="00B82E59"/>
    <w:rsid w:val="00B83F53"/>
    <w:rsid w:val="00B85536"/>
    <w:rsid w:val="00B85B0F"/>
    <w:rsid w:val="00B86678"/>
    <w:rsid w:val="00B8695E"/>
    <w:rsid w:val="00B86E09"/>
    <w:rsid w:val="00B915FB"/>
    <w:rsid w:val="00B91970"/>
    <w:rsid w:val="00B91C3C"/>
    <w:rsid w:val="00B9294D"/>
    <w:rsid w:val="00B93080"/>
    <w:rsid w:val="00B93517"/>
    <w:rsid w:val="00B94957"/>
    <w:rsid w:val="00B94E2B"/>
    <w:rsid w:val="00B95238"/>
    <w:rsid w:val="00B96126"/>
    <w:rsid w:val="00B9627A"/>
    <w:rsid w:val="00B963BB"/>
    <w:rsid w:val="00B96696"/>
    <w:rsid w:val="00B967B3"/>
    <w:rsid w:val="00BA1D09"/>
    <w:rsid w:val="00BA2322"/>
    <w:rsid w:val="00BA2407"/>
    <w:rsid w:val="00BA3034"/>
    <w:rsid w:val="00BA326F"/>
    <w:rsid w:val="00BA4049"/>
    <w:rsid w:val="00BA4278"/>
    <w:rsid w:val="00BA43A9"/>
    <w:rsid w:val="00BA44C3"/>
    <w:rsid w:val="00BA4A40"/>
    <w:rsid w:val="00BA4B81"/>
    <w:rsid w:val="00BA54CF"/>
    <w:rsid w:val="00BA551F"/>
    <w:rsid w:val="00BA5684"/>
    <w:rsid w:val="00BA6883"/>
    <w:rsid w:val="00BA6AAC"/>
    <w:rsid w:val="00BA6C93"/>
    <w:rsid w:val="00BA75B8"/>
    <w:rsid w:val="00BB045D"/>
    <w:rsid w:val="00BB0541"/>
    <w:rsid w:val="00BB0F53"/>
    <w:rsid w:val="00BB1A99"/>
    <w:rsid w:val="00BB2008"/>
    <w:rsid w:val="00BB296F"/>
    <w:rsid w:val="00BB2BCD"/>
    <w:rsid w:val="00BB326B"/>
    <w:rsid w:val="00BB36F5"/>
    <w:rsid w:val="00BB3CF3"/>
    <w:rsid w:val="00BB5A34"/>
    <w:rsid w:val="00BB672F"/>
    <w:rsid w:val="00BB6E1C"/>
    <w:rsid w:val="00BB7481"/>
    <w:rsid w:val="00BB7BCD"/>
    <w:rsid w:val="00BB7DFE"/>
    <w:rsid w:val="00BC057B"/>
    <w:rsid w:val="00BC0632"/>
    <w:rsid w:val="00BC0BF9"/>
    <w:rsid w:val="00BC1830"/>
    <w:rsid w:val="00BC1CAD"/>
    <w:rsid w:val="00BC25F8"/>
    <w:rsid w:val="00BC2E94"/>
    <w:rsid w:val="00BC55C1"/>
    <w:rsid w:val="00BC5F55"/>
    <w:rsid w:val="00BC759D"/>
    <w:rsid w:val="00BC77C1"/>
    <w:rsid w:val="00BD0FF6"/>
    <w:rsid w:val="00BD1A9E"/>
    <w:rsid w:val="00BD1F57"/>
    <w:rsid w:val="00BD2144"/>
    <w:rsid w:val="00BD2428"/>
    <w:rsid w:val="00BD2456"/>
    <w:rsid w:val="00BD312E"/>
    <w:rsid w:val="00BD3239"/>
    <w:rsid w:val="00BD4442"/>
    <w:rsid w:val="00BD4817"/>
    <w:rsid w:val="00BD49DE"/>
    <w:rsid w:val="00BD4BC7"/>
    <w:rsid w:val="00BD5A77"/>
    <w:rsid w:val="00BD5B0E"/>
    <w:rsid w:val="00BD5BCC"/>
    <w:rsid w:val="00BD637A"/>
    <w:rsid w:val="00BD6607"/>
    <w:rsid w:val="00BD6F80"/>
    <w:rsid w:val="00BD753F"/>
    <w:rsid w:val="00BD79CF"/>
    <w:rsid w:val="00BE01EF"/>
    <w:rsid w:val="00BE0B8B"/>
    <w:rsid w:val="00BE0BAE"/>
    <w:rsid w:val="00BE0BBF"/>
    <w:rsid w:val="00BE115A"/>
    <w:rsid w:val="00BE172F"/>
    <w:rsid w:val="00BE175C"/>
    <w:rsid w:val="00BE1856"/>
    <w:rsid w:val="00BE22E0"/>
    <w:rsid w:val="00BE2323"/>
    <w:rsid w:val="00BE2A66"/>
    <w:rsid w:val="00BE3286"/>
    <w:rsid w:val="00BE3389"/>
    <w:rsid w:val="00BE356F"/>
    <w:rsid w:val="00BE35CF"/>
    <w:rsid w:val="00BE3F97"/>
    <w:rsid w:val="00BE4230"/>
    <w:rsid w:val="00BE463B"/>
    <w:rsid w:val="00BE488C"/>
    <w:rsid w:val="00BE524B"/>
    <w:rsid w:val="00BE71F5"/>
    <w:rsid w:val="00BF1813"/>
    <w:rsid w:val="00BF2C9D"/>
    <w:rsid w:val="00BF3CF0"/>
    <w:rsid w:val="00BF422A"/>
    <w:rsid w:val="00BF4340"/>
    <w:rsid w:val="00BF4A53"/>
    <w:rsid w:val="00BF55F3"/>
    <w:rsid w:val="00BF5A1A"/>
    <w:rsid w:val="00BF6346"/>
    <w:rsid w:val="00BF74C2"/>
    <w:rsid w:val="00BF77F3"/>
    <w:rsid w:val="00C0099A"/>
    <w:rsid w:val="00C0109A"/>
    <w:rsid w:val="00C0167A"/>
    <w:rsid w:val="00C01787"/>
    <w:rsid w:val="00C02515"/>
    <w:rsid w:val="00C02C83"/>
    <w:rsid w:val="00C032D1"/>
    <w:rsid w:val="00C043A6"/>
    <w:rsid w:val="00C048B0"/>
    <w:rsid w:val="00C0582E"/>
    <w:rsid w:val="00C05D55"/>
    <w:rsid w:val="00C06047"/>
    <w:rsid w:val="00C06AC8"/>
    <w:rsid w:val="00C06DD7"/>
    <w:rsid w:val="00C0772C"/>
    <w:rsid w:val="00C07AB7"/>
    <w:rsid w:val="00C07B9C"/>
    <w:rsid w:val="00C07C19"/>
    <w:rsid w:val="00C1098B"/>
    <w:rsid w:val="00C109FB"/>
    <w:rsid w:val="00C10A34"/>
    <w:rsid w:val="00C10D0C"/>
    <w:rsid w:val="00C118F1"/>
    <w:rsid w:val="00C123B8"/>
    <w:rsid w:val="00C1326B"/>
    <w:rsid w:val="00C136F0"/>
    <w:rsid w:val="00C13CB0"/>
    <w:rsid w:val="00C14539"/>
    <w:rsid w:val="00C14692"/>
    <w:rsid w:val="00C14892"/>
    <w:rsid w:val="00C149EF"/>
    <w:rsid w:val="00C15F77"/>
    <w:rsid w:val="00C1602D"/>
    <w:rsid w:val="00C16CF7"/>
    <w:rsid w:val="00C17926"/>
    <w:rsid w:val="00C2016E"/>
    <w:rsid w:val="00C20969"/>
    <w:rsid w:val="00C2121C"/>
    <w:rsid w:val="00C2153B"/>
    <w:rsid w:val="00C21F05"/>
    <w:rsid w:val="00C2208F"/>
    <w:rsid w:val="00C23D80"/>
    <w:rsid w:val="00C24251"/>
    <w:rsid w:val="00C25D95"/>
    <w:rsid w:val="00C26DF2"/>
    <w:rsid w:val="00C30A75"/>
    <w:rsid w:val="00C32402"/>
    <w:rsid w:val="00C32E4C"/>
    <w:rsid w:val="00C32EF9"/>
    <w:rsid w:val="00C331FD"/>
    <w:rsid w:val="00C34AE2"/>
    <w:rsid w:val="00C36185"/>
    <w:rsid w:val="00C36792"/>
    <w:rsid w:val="00C36942"/>
    <w:rsid w:val="00C37170"/>
    <w:rsid w:val="00C376D5"/>
    <w:rsid w:val="00C40B3A"/>
    <w:rsid w:val="00C40B4D"/>
    <w:rsid w:val="00C40C7E"/>
    <w:rsid w:val="00C40CA9"/>
    <w:rsid w:val="00C40F3E"/>
    <w:rsid w:val="00C420AC"/>
    <w:rsid w:val="00C4253D"/>
    <w:rsid w:val="00C426DF"/>
    <w:rsid w:val="00C427E9"/>
    <w:rsid w:val="00C428EC"/>
    <w:rsid w:val="00C4330F"/>
    <w:rsid w:val="00C436D1"/>
    <w:rsid w:val="00C44EA8"/>
    <w:rsid w:val="00C467A6"/>
    <w:rsid w:val="00C467CD"/>
    <w:rsid w:val="00C47561"/>
    <w:rsid w:val="00C5053E"/>
    <w:rsid w:val="00C50B99"/>
    <w:rsid w:val="00C50C0E"/>
    <w:rsid w:val="00C512FC"/>
    <w:rsid w:val="00C515B8"/>
    <w:rsid w:val="00C51994"/>
    <w:rsid w:val="00C52717"/>
    <w:rsid w:val="00C5298D"/>
    <w:rsid w:val="00C531C3"/>
    <w:rsid w:val="00C5343A"/>
    <w:rsid w:val="00C537A4"/>
    <w:rsid w:val="00C538E9"/>
    <w:rsid w:val="00C53B54"/>
    <w:rsid w:val="00C53DBA"/>
    <w:rsid w:val="00C54C44"/>
    <w:rsid w:val="00C56297"/>
    <w:rsid w:val="00C60469"/>
    <w:rsid w:val="00C607A9"/>
    <w:rsid w:val="00C60B32"/>
    <w:rsid w:val="00C63CAA"/>
    <w:rsid w:val="00C65C15"/>
    <w:rsid w:val="00C66F28"/>
    <w:rsid w:val="00C67825"/>
    <w:rsid w:val="00C70103"/>
    <w:rsid w:val="00C70177"/>
    <w:rsid w:val="00C706AE"/>
    <w:rsid w:val="00C7088D"/>
    <w:rsid w:val="00C71BE5"/>
    <w:rsid w:val="00C72171"/>
    <w:rsid w:val="00C724E8"/>
    <w:rsid w:val="00C72832"/>
    <w:rsid w:val="00C72A32"/>
    <w:rsid w:val="00C72B3E"/>
    <w:rsid w:val="00C73D30"/>
    <w:rsid w:val="00C7440B"/>
    <w:rsid w:val="00C74514"/>
    <w:rsid w:val="00C74F50"/>
    <w:rsid w:val="00C7717E"/>
    <w:rsid w:val="00C800FA"/>
    <w:rsid w:val="00C80130"/>
    <w:rsid w:val="00C80595"/>
    <w:rsid w:val="00C80768"/>
    <w:rsid w:val="00C817A7"/>
    <w:rsid w:val="00C82FBB"/>
    <w:rsid w:val="00C849C7"/>
    <w:rsid w:val="00C84C25"/>
    <w:rsid w:val="00C84EEB"/>
    <w:rsid w:val="00C85010"/>
    <w:rsid w:val="00C85273"/>
    <w:rsid w:val="00C85371"/>
    <w:rsid w:val="00C85D79"/>
    <w:rsid w:val="00C85F94"/>
    <w:rsid w:val="00C86012"/>
    <w:rsid w:val="00C86330"/>
    <w:rsid w:val="00C8641F"/>
    <w:rsid w:val="00C868F6"/>
    <w:rsid w:val="00C87641"/>
    <w:rsid w:val="00C87CB8"/>
    <w:rsid w:val="00C87CEF"/>
    <w:rsid w:val="00C90379"/>
    <w:rsid w:val="00C90416"/>
    <w:rsid w:val="00C912C9"/>
    <w:rsid w:val="00C92125"/>
    <w:rsid w:val="00C922BA"/>
    <w:rsid w:val="00C92850"/>
    <w:rsid w:val="00C92BFD"/>
    <w:rsid w:val="00C93CD5"/>
    <w:rsid w:val="00C93FAC"/>
    <w:rsid w:val="00C95117"/>
    <w:rsid w:val="00C95B4D"/>
    <w:rsid w:val="00C96569"/>
    <w:rsid w:val="00C96570"/>
    <w:rsid w:val="00C96D9B"/>
    <w:rsid w:val="00C96DB8"/>
    <w:rsid w:val="00CA0453"/>
    <w:rsid w:val="00CA0823"/>
    <w:rsid w:val="00CA1981"/>
    <w:rsid w:val="00CA1EC3"/>
    <w:rsid w:val="00CA1F8C"/>
    <w:rsid w:val="00CA1FDC"/>
    <w:rsid w:val="00CA2140"/>
    <w:rsid w:val="00CA253A"/>
    <w:rsid w:val="00CA3207"/>
    <w:rsid w:val="00CA395B"/>
    <w:rsid w:val="00CA5406"/>
    <w:rsid w:val="00CA7D9C"/>
    <w:rsid w:val="00CA7F1F"/>
    <w:rsid w:val="00CB090A"/>
    <w:rsid w:val="00CB0D51"/>
    <w:rsid w:val="00CB1B37"/>
    <w:rsid w:val="00CB1D82"/>
    <w:rsid w:val="00CB3709"/>
    <w:rsid w:val="00CB50E9"/>
    <w:rsid w:val="00CB56B9"/>
    <w:rsid w:val="00CB5902"/>
    <w:rsid w:val="00CB5A9D"/>
    <w:rsid w:val="00CB5DF3"/>
    <w:rsid w:val="00CB670F"/>
    <w:rsid w:val="00CB7B96"/>
    <w:rsid w:val="00CC02CE"/>
    <w:rsid w:val="00CC0BC7"/>
    <w:rsid w:val="00CC0E0C"/>
    <w:rsid w:val="00CC1BE3"/>
    <w:rsid w:val="00CC28D1"/>
    <w:rsid w:val="00CC2DB3"/>
    <w:rsid w:val="00CC314E"/>
    <w:rsid w:val="00CC3623"/>
    <w:rsid w:val="00CC36A8"/>
    <w:rsid w:val="00CC3BD2"/>
    <w:rsid w:val="00CC51B9"/>
    <w:rsid w:val="00CC5612"/>
    <w:rsid w:val="00CC5915"/>
    <w:rsid w:val="00CC6297"/>
    <w:rsid w:val="00CC64AA"/>
    <w:rsid w:val="00CD0429"/>
    <w:rsid w:val="00CD22F1"/>
    <w:rsid w:val="00CD29FC"/>
    <w:rsid w:val="00CD2A26"/>
    <w:rsid w:val="00CD2B32"/>
    <w:rsid w:val="00CD3693"/>
    <w:rsid w:val="00CD5745"/>
    <w:rsid w:val="00CD5D7D"/>
    <w:rsid w:val="00CD5F5C"/>
    <w:rsid w:val="00CD63CC"/>
    <w:rsid w:val="00CD70EB"/>
    <w:rsid w:val="00CD787C"/>
    <w:rsid w:val="00CD7ACC"/>
    <w:rsid w:val="00CE03CB"/>
    <w:rsid w:val="00CE13F2"/>
    <w:rsid w:val="00CE2988"/>
    <w:rsid w:val="00CE2E0A"/>
    <w:rsid w:val="00CE31FC"/>
    <w:rsid w:val="00CE423D"/>
    <w:rsid w:val="00CE54FF"/>
    <w:rsid w:val="00CE567D"/>
    <w:rsid w:val="00CE657A"/>
    <w:rsid w:val="00CE6F2C"/>
    <w:rsid w:val="00CE737E"/>
    <w:rsid w:val="00CF0371"/>
    <w:rsid w:val="00CF04DA"/>
    <w:rsid w:val="00CF0E99"/>
    <w:rsid w:val="00CF0F30"/>
    <w:rsid w:val="00CF0FAE"/>
    <w:rsid w:val="00CF169F"/>
    <w:rsid w:val="00CF2259"/>
    <w:rsid w:val="00CF2CB2"/>
    <w:rsid w:val="00CF2D81"/>
    <w:rsid w:val="00CF2DEE"/>
    <w:rsid w:val="00CF40FA"/>
    <w:rsid w:val="00CF46BF"/>
    <w:rsid w:val="00CF4BA9"/>
    <w:rsid w:val="00CF5275"/>
    <w:rsid w:val="00CF5A61"/>
    <w:rsid w:val="00CF6463"/>
    <w:rsid w:val="00CF6A9B"/>
    <w:rsid w:val="00CF7285"/>
    <w:rsid w:val="00CF7463"/>
    <w:rsid w:val="00CF79EB"/>
    <w:rsid w:val="00CF7BE8"/>
    <w:rsid w:val="00D000CA"/>
    <w:rsid w:val="00D0065F"/>
    <w:rsid w:val="00D00A99"/>
    <w:rsid w:val="00D024E6"/>
    <w:rsid w:val="00D0388E"/>
    <w:rsid w:val="00D03D16"/>
    <w:rsid w:val="00D03FD4"/>
    <w:rsid w:val="00D04288"/>
    <w:rsid w:val="00D0517F"/>
    <w:rsid w:val="00D05534"/>
    <w:rsid w:val="00D058F8"/>
    <w:rsid w:val="00D05CEE"/>
    <w:rsid w:val="00D05E1F"/>
    <w:rsid w:val="00D06090"/>
    <w:rsid w:val="00D11A22"/>
    <w:rsid w:val="00D120AC"/>
    <w:rsid w:val="00D1262B"/>
    <w:rsid w:val="00D129ED"/>
    <w:rsid w:val="00D12F17"/>
    <w:rsid w:val="00D13235"/>
    <w:rsid w:val="00D132D8"/>
    <w:rsid w:val="00D13CB7"/>
    <w:rsid w:val="00D141F3"/>
    <w:rsid w:val="00D14319"/>
    <w:rsid w:val="00D14672"/>
    <w:rsid w:val="00D14B93"/>
    <w:rsid w:val="00D14C90"/>
    <w:rsid w:val="00D15A20"/>
    <w:rsid w:val="00D15C28"/>
    <w:rsid w:val="00D15D6B"/>
    <w:rsid w:val="00D166DB"/>
    <w:rsid w:val="00D16C3D"/>
    <w:rsid w:val="00D17323"/>
    <w:rsid w:val="00D17AB5"/>
    <w:rsid w:val="00D20046"/>
    <w:rsid w:val="00D21054"/>
    <w:rsid w:val="00D21A70"/>
    <w:rsid w:val="00D235CE"/>
    <w:rsid w:val="00D24208"/>
    <w:rsid w:val="00D24967"/>
    <w:rsid w:val="00D24C5C"/>
    <w:rsid w:val="00D25697"/>
    <w:rsid w:val="00D25932"/>
    <w:rsid w:val="00D25A12"/>
    <w:rsid w:val="00D26C24"/>
    <w:rsid w:val="00D275C5"/>
    <w:rsid w:val="00D27C40"/>
    <w:rsid w:val="00D302E8"/>
    <w:rsid w:val="00D30800"/>
    <w:rsid w:val="00D3139B"/>
    <w:rsid w:val="00D31927"/>
    <w:rsid w:val="00D32A3F"/>
    <w:rsid w:val="00D32C3D"/>
    <w:rsid w:val="00D33CB0"/>
    <w:rsid w:val="00D3426C"/>
    <w:rsid w:val="00D34769"/>
    <w:rsid w:val="00D364DD"/>
    <w:rsid w:val="00D37383"/>
    <w:rsid w:val="00D37616"/>
    <w:rsid w:val="00D37AFA"/>
    <w:rsid w:val="00D40306"/>
    <w:rsid w:val="00D40E1B"/>
    <w:rsid w:val="00D41630"/>
    <w:rsid w:val="00D41AC7"/>
    <w:rsid w:val="00D42A9E"/>
    <w:rsid w:val="00D43253"/>
    <w:rsid w:val="00D4355A"/>
    <w:rsid w:val="00D43571"/>
    <w:rsid w:val="00D436B2"/>
    <w:rsid w:val="00D43F5B"/>
    <w:rsid w:val="00D45F82"/>
    <w:rsid w:val="00D461EC"/>
    <w:rsid w:val="00D46C5C"/>
    <w:rsid w:val="00D46FD8"/>
    <w:rsid w:val="00D479E1"/>
    <w:rsid w:val="00D47DC4"/>
    <w:rsid w:val="00D50C9F"/>
    <w:rsid w:val="00D50E28"/>
    <w:rsid w:val="00D51599"/>
    <w:rsid w:val="00D520CE"/>
    <w:rsid w:val="00D52EE4"/>
    <w:rsid w:val="00D54360"/>
    <w:rsid w:val="00D54718"/>
    <w:rsid w:val="00D54AF5"/>
    <w:rsid w:val="00D55E70"/>
    <w:rsid w:val="00D56012"/>
    <w:rsid w:val="00D56DF1"/>
    <w:rsid w:val="00D56E4F"/>
    <w:rsid w:val="00D5730D"/>
    <w:rsid w:val="00D57B18"/>
    <w:rsid w:val="00D57EC2"/>
    <w:rsid w:val="00D618B7"/>
    <w:rsid w:val="00D61B88"/>
    <w:rsid w:val="00D62313"/>
    <w:rsid w:val="00D637D1"/>
    <w:rsid w:val="00D63813"/>
    <w:rsid w:val="00D63AE3"/>
    <w:rsid w:val="00D63AEA"/>
    <w:rsid w:val="00D63EE5"/>
    <w:rsid w:val="00D641CB"/>
    <w:rsid w:val="00D64972"/>
    <w:rsid w:val="00D6537F"/>
    <w:rsid w:val="00D6685F"/>
    <w:rsid w:val="00D7048F"/>
    <w:rsid w:val="00D7087C"/>
    <w:rsid w:val="00D70A6C"/>
    <w:rsid w:val="00D7136A"/>
    <w:rsid w:val="00D71451"/>
    <w:rsid w:val="00D71EE8"/>
    <w:rsid w:val="00D72AE8"/>
    <w:rsid w:val="00D7331F"/>
    <w:rsid w:val="00D73BE2"/>
    <w:rsid w:val="00D73F79"/>
    <w:rsid w:val="00D74736"/>
    <w:rsid w:val="00D74ACD"/>
    <w:rsid w:val="00D74C91"/>
    <w:rsid w:val="00D74ED0"/>
    <w:rsid w:val="00D7544F"/>
    <w:rsid w:val="00D75688"/>
    <w:rsid w:val="00D75B79"/>
    <w:rsid w:val="00D763BC"/>
    <w:rsid w:val="00D76657"/>
    <w:rsid w:val="00D76920"/>
    <w:rsid w:val="00D80A7A"/>
    <w:rsid w:val="00D80ECD"/>
    <w:rsid w:val="00D81C8F"/>
    <w:rsid w:val="00D8216D"/>
    <w:rsid w:val="00D8345C"/>
    <w:rsid w:val="00D84301"/>
    <w:rsid w:val="00D843A9"/>
    <w:rsid w:val="00D84444"/>
    <w:rsid w:val="00D85390"/>
    <w:rsid w:val="00D86125"/>
    <w:rsid w:val="00D876FE"/>
    <w:rsid w:val="00D90B86"/>
    <w:rsid w:val="00D92CAE"/>
    <w:rsid w:val="00D93EEF"/>
    <w:rsid w:val="00D9424D"/>
    <w:rsid w:val="00D94520"/>
    <w:rsid w:val="00D94E5F"/>
    <w:rsid w:val="00D950F0"/>
    <w:rsid w:val="00D9574D"/>
    <w:rsid w:val="00D9691E"/>
    <w:rsid w:val="00D9772A"/>
    <w:rsid w:val="00DA00ED"/>
    <w:rsid w:val="00DA042C"/>
    <w:rsid w:val="00DA094A"/>
    <w:rsid w:val="00DA114B"/>
    <w:rsid w:val="00DA1319"/>
    <w:rsid w:val="00DA381C"/>
    <w:rsid w:val="00DA3B43"/>
    <w:rsid w:val="00DA423D"/>
    <w:rsid w:val="00DA4A4C"/>
    <w:rsid w:val="00DA4F5B"/>
    <w:rsid w:val="00DA51D3"/>
    <w:rsid w:val="00DA57BE"/>
    <w:rsid w:val="00DA583F"/>
    <w:rsid w:val="00DA6007"/>
    <w:rsid w:val="00DA7331"/>
    <w:rsid w:val="00DA74C3"/>
    <w:rsid w:val="00DB0628"/>
    <w:rsid w:val="00DB0FBE"/>
    <w:rsid w:val="00DB114B"/>
    <w:rsid w:val="00DB14C9"/>
    <w:rsid w:val="00DB1A2F"/>
    <w:rsid w:val="00DB223B"/>
    <w:rsid w:val="00DB24B2"/>
    <w:rsid w:val="00DB32A6"/>
    <w:rsid w:val="00DB370D"/>
    <w:rsid w:val="00DB4C40"/>
    <w:rsid w:val="00DB6201"/>
    <w:rsid w:val="00DB6FD8"/>
    <w:rsid w:val="00DB7104"/>
    <w:rsid w:val="00DB7BC7"/>
    <w:rsid w:val="00DC02F5"/>
    <w:rsid w:val="00DC058E"/>
    <w:rsid w:val="00DC1086"/>
    <w:rsid w:val="00DC1F4F"/>
    <w:rsid w:val="00DC244F"/>
    <w:rsid w:val="00DC2F1D"/>
    <w:rsid w:val="00DC2FDE"/>
    <w:rsid w:val="00DC3048"/>
    <w:rsid w:val="00DC39B4"/>
    <w:rsid w:val="00DC3A7C"/>
    <w:rsid w:val="00DC3F28"/>
    <w:rsid w:val="00DC43CA"/>
    <w:rsid w:val="00DC4531"/>
    <w:rsid w:val="00DC4CD2"/>
    <w:rsid w:val="00DC5808"/>
    <w:rsid w:val="00DC5F89"/>
    <w:rsid w:val="00DC68F3"/>
    <w:rsid w:val="00DC6AC7"/>
    <w:rsid w:val="00DC6C3E"/>
    <w:rsid w:val="00DC72A4"/>
    <w:rsid w:val="00DC745B"/>
    <w:rsid w:val="00DC7693"/>
    <w:rsid w:val="00DC7849"/>
    <w:rsid w:val="00DC7B3D"/>
    <w:rsid w:val="00DD03BF"/>
    <w:rsid w:val="00DD0DB9"/>
    <w:rsid w:val="00DD12B1"/>
    <w:rsid w:val="00DD1C8A"/>
    <w:rsid w:val="00DD3BFE"/>
    <w:rsid w:val="00DD3FDD"/>
    <w:rsid w:val="00DD54BC"/>
    <w:rsid w:val="00DD5907"/>
    <w:rsid w:val="00DD59CE"/>
    <w:rsid w:val="00DD60F3"/>
    <w:rsid w:val="00DD6968"/>
    <w:rsid w:val="00DD69C1"/>
    <w:rsid w:val="00DD75EF"/>
    <w:rsid w:val="00DE012D"/>
    <w:rsid w:val="00DE02C4"/>
    <w:rsid w:val="00DE055D"/>
    <w:rsid w:val="00DE0606"/>
    <w:rsid w:val="00DE09F8"/>
    <w:rsid w:val="00DE1128"/>
    <w:rsid w:val="00DE12F9"/>
    <w:rsid w:val="00DE13B9"/>
    <w:rsid w:val="00DE186D"/>
    <w:rsid w:val="00DE1D22"/>
    <w:rsid w:val="00DE1F31"/>
    <w:rsid w:val="00DE1F41"/>
    <w:rsid w:val="00DE31C5"/>
    <w:rsid w:val="00DE3AA2"/>
    <w:rsid w:val="00DE57A7"/>
    <w:rsid w:val="00DE5EF4"/>
    <w:rsid w:val="00DE648A"/>
    <w:rsid w:val="00DE664B"/>
    <w:rsid w:val="00DE7C54"/>
    <w:rsid w:val="00DF0915"/>
    <w:rsid w:val="00DF0C2F"/>
    <w:rsid w:val="00DF2A67"/>
    <w:rsid w:val="00DF36B9"/>
    <w:rsid w:val="00DF3E13"/>
    <w:rsid w:val="00DF3E20"/>
    <w:rsid w:val="00DF421A"/>
    <w:rsid w:val="00DF4C5A"/>
    <w:rsid w:val="00DF4C9C"/>
    <w:rsid w:val="00DF54D8"/>
    <w:rsid w:val="00DF557A"/>
    <w:rsid w:val="00DF7865"/>
    <w:rsid w:val="00DF7A96"/>
    <w:rsid w:val="00E00592"/>
    <w:rsid w:val="00E00E1C"/>
    <w:rsid w:val="00E01325"/>
    <w:rsid w:val="00E015F9"/>
    <w:rsid w:val="00E0252E"/>
    <w:rsid w:val="00E03920"/>
    <w:rsid w:val="00E03C58"/>
    <w:rsid w:val="00E0679F"/>
    <w:rsid w:val="00E06AB7"/>
    <w:rsid w:val="00E06B10"/>
    <w:rsid w:val="00E06FF8"/>
    <w:rsid w:val="00E07B1C"/>
    <w:rsid w:val="00E10172"/>
    <w:rsid w:val="00E10EC8"/>
    <w:rsid w:val="00E1196B"/>
    <w:rsid w:val="00E14C12"/>
    <w:rsid w:val="00E16075"/>
    <w:rsid w:val="00E16998"/>
    <w:rsid w:val="00E1700F"/>
    <w:rsid w:val="00E17178"/>
    <w:rsid w:val="00E173E0"/>
    <w:rsid w:val="00E17877"/>
    <w:rsid w:val="00E20705"/>
    <w:rsid w:val="00E20724"/>
    <w:rsid w:val="00E20D66"/>
    <w:rsid w:val="00E20FF0"/>
    <w:rsid w:val="00E21A09"/>
    <w:rsid w:val="00E22352"/>
    <w:rsid w:val="00E227B0"/>
    <w:rsid w:val="00E22984"/>
    <w:rsid w:val="00E22E8F"/>
    <w:rsid w:val="00E23049"/>
    <w:rsid w:val="00E23772"/>
    <w:rsid w:val="00E239B5"/>
    <w:rsid w:val="00E23D3C"/>
    <w:rsid w:val="00E24434"/>
    <w:rsid w:val="00E24CAB"/>
    <w:rsid w:val="00E25204"/>
    <w:rsid w:val="00E25599"/>
    <w:rsid w:val="00E27154"/>
    <w:rsid w:val="00E27A24"/>
    <w:rsid w:val="00E27EAE"/>
    <w:rsid w:val="00E30D95"/>
    <w:rsid w:val="00E31183"/>
    <w:rsid w:val="00E31403"/>
    <w:rsid w:val="00E31A59"/>
    <w:rsid w:val="00E32303"/>
    <w:rsid w:val="00E32596"/>
    <w:rsid w:val="00E332C5"/>
    <w:rsid w:val="00E33CD8"/>
    <w:rsid w:val="00E33D3A"/>
    <w:rsid w:val="00E33EFF"/>
    <w:rsid w:val="00E34CC2"/>
    <w:rsid w:val="00E34D72"/>
    <w:rsid w:val="00E359BB"/>
    <w:rsid w:val="00E35C64"/>
    <w:rsid w:val="00E35C91"/>
    <w:rsid w:val="00E362B2"/>
    <w:rsid w:val="00E367F7"/>
    <w:rsid w:val="00E36CE0"/>
    <w:rsid w:val="00E36FC5"/>
    <w:rsid w:val="00E37B1F"/>
    <w:rsid w:val="00E40451"/>
    <w:rsid w:val="00E4050F"/>
    <w:rsid w:val="00E40683"/>
    <w:rsid w:val="00E407AC"/>
    <w:rsid w:val="00E40977"/>
    <w:rsid w:val="00E41252"/>
    <w:rsid w:val="00E413E7"/>
    <w:rsid w:val="00E41CB0"/>
    <w:rsid w:val="00E441E4"/>
    <w:rsid w:val="00E441E5"/>
    <w:rsid w:val="00E4440F"/>
    <w:rsid w:val="00E44512"/>
    <w:rsid w:val="00E44D66"/>
    <w:rsid w:val="00E462C0"/>
    <w:rsid w:val="00E4784B"/>
    <w:rsid w:val="00E50C8C"/>
    <w:rsid w:val="00E50E3C"/>
    <w:rsid w:val="00E517DB"/>
    <w:rsid w:val="00E51D37"/>
    <w:rsid w:val="00E51EB6"/>
    <w:rsid w:val="00E52122"/>
    <w:rsid w:val="00E5245C"/>
    <w:rsid w:val="00E529B4"/>
    <w:rsid w:val="00E52BE9"/>
    <w:rsid w:val="00E52D5C"/>
    <w:rsid w:val="00E53EBE"/>
    <w:rsid w:val="00E54B8B"/>
    <w:rsid w:val="00E54FD1"/>
    <w:rsid w:val="00E558B8"/>
    <w:rsid w:val="00E55A9F"/>
    <w:rsid w:val="00E56626"/>
    <w:rsid w:val="00E57914"/>
    <w:rsid w:val="00E60510"/>
    <w:rsid w:val="00E60903"/>
    <w:rsid w:val="00E60FA3"/>
    <w:rsid w:val="00E61E3A"/>
    <w:rsid w:val="00E61E9F"/>
    <w:rsid w:val="00E62300"/>
    <w:rsid w:val="00E627C7"/>
    <w:rsid w:val="00E6367F"/>
    <w:rsid w:val="00E64BEC"/>
    <w:rsid w:val="00E64D3E"/>
    <w:rsid w:val="00E64DB4"/>
    <w:rsid w:val="00E652BF"/>
    <w:rsid w:val="00E65547"/>
    <w:rsid w:val="00E65850"/>
    <w:rsid w:val="00E65E45"/>
    <w:rsid w:val="00E6754D"/>
    <w:rsid w:val="00E70D5D"/>
    <w:rsid w:val="00E70E84"/>
    <w:rsid w:val="00E73FCC"/>
    <w:rsid w:val="00E74049"/>
    <w:rsid w:val="00E740E0"/>
    <w:rsid w:val="00E74D11"/>
    <w:rsid w:val="00E75055"/>
    <w:rsid w:val="00E756BC"/>
    <w:rsid w:val="00E76608"/>
    <w:rsid w:val="00E7665D"/>
    <w:rsid w:val="00E76903"/>
    <w:rsid w:val="00E77B18"/>
    <w:rsid w:val="00E77DF2"/>
    <w:rsid w:val="00E806BE"/>
    <w:rsid w:val="00E8111B"/>
    <w:rsid w:val="00E8113F"/>
    <w:rsid w:val="00E81D83"/>
    <w:rsid w:val="00E82D4B"/>
    <w:rsid w:val="00E82DFD"/>
    <w:rsid w:val="00E83047"/>
    <w:rsid w:val="00E83168"/>
    <w:rsid w:val="00E84DDC"/>
    <w:rsid w:val="00E84E88"/>
    <w:rsid w:val="00E85573"/>
    <w:rsid w:val="00E87498"/>
    <w:rsid w:val="00E878E9"/>
    <w:rsid w:val="00E87A91"/>
    <w:rsid w:val="00E87C4F"/>
    <w:rsid w:val="00E90A98"/>
    <w:rsid w:val="00E90D72"/>
    <w:rsid w:val="00E913A6"/>
    <w:rsid w:val="00E9156F"/>
    <w:rsid w:val="00E91CE1"/>
    <w:rsid w:val="00E91D5E"/>
    <w:rsid w:val="00E91D9F"/>
    <w:rsid w:val="00E9223A"/>
    <w:rsid w:val="00E93496"/>
    <w:rsid w:val="00E93694"/>
    <w:rsid w:val="00E93B42"/>
    <w:rsid w:val="00E94C4A"/>
    <w:rsid w:val="00E94F16"/>
    <w:rsid w:val="00E951F8"/>
    <w:rsid w:val="00E953F0"/>
    <w:rsid w:val="00E95C66"/>
    <w:rsid w:val="00E95DA8"/>
    <w:rsid w:val="00E95F8C"/>
    <w:rsid w:val="00E96BDC"/>
    <w:rsid w:val="00E97615"/>
    <w:rsid w:val="00E97CBC"/>
    <w:rsid w:val="00EA0456"/>
    <w:rsid w:val="00EA1F8F"/>
    <w:rsid w:val="00EA222C"/>
    <w:rsid w:val="00EA25B0"/>
    <w:rsid w:val="00EA26BD"/>
    <w:rsid w:val="00EA2A07"/>
    <w:rsid w:val="00EA2A9D"/>
    <w:rsid w:val="00EA2B27"/>
    <w:rsid w:val="00EA3C89"/>
    <w:rsid w:val="00EA3FAF"/>
    <w:rsid w:val="00EA5098"/>
    <w:rsid w:val="00EA518F"/>
    <w:rsid w:val="00EA5654"/>
    <w:rsid w:val="00EA59DB"/>
    <w:rsid w:val="00EA617F"/>
    <w:rsid w:val="00EA7EDE"/>
    <w:rsid w:val="00EB07C2"/>
    <w:rsid w:val="00EB111A"/>
    <w:rsid w:val="00EB1467"/>
    <w:rsid w:val="00EB1614"/>
    <w:rsid w:val="00EB326E"/>
    <w:rsid w:val="00EB376F"/>
    <w:rsid w:val="00EB487C"/>
    <w:rsid w:val="00EB48E6"/>
    <w:rsid w:val="00EB4C93"/>
    <w:rsid w:val="00EB53CE"/>
    <w:rsid w:val="00EB5746"/>
    <w:rsid w:val="00EB5E80"/>
    <w:rsid w:val="00EB6F7A"/>
    <w:rsid w:val="00EC06CA"/>
    <w:rsid w:val="00EC0A3C"/>
    <w:rsid w:val="00EC0CF7"/>
    <w:rsid w:val="00EC2829"/>
    <w:rsid w:val="00EC2D86"/>
    <w:rsid w:val="00EC3FFB"/>
    <w:rsid w:val="00EC4570"/>
    <w:rsid w:val="00EC4F8A"/>
    <w:rsid w:val="00ED003A"/>
    <w:rsid w:val="00ED05CA"/>
    <w:rsid w:val="00ED093A"/>
    <w:rsid w:val="00ED1E48"/>
    <w:rsid w:val="00ED2749"/>
    <w:rsid w:val="00ED2A92"/>
    <w:rsid w:val="00ED2B77"/>
    <w:rsid w:val="00ED306E"/>
    <w:rsid w:val="00ED314F"/>
    <w:rsid w:val="00ED391B"/>
    <w:rsid w:val="00ED3D79"/>
    <w:rsid w:val="00ED5BA8"/>
    <w:rsid w:val="00ED62B5"/>
    <w:rsid w:val="00ED7C54"/>
    <w:rsid w:val="00EE115A"/>
    <w:rsid w:val="00EE16F1"/>
    <w:rsid w:val="00EE1885"/>
    <w:rsid w:val="00EE2A67"/>
    <w:rsid w:val="00EE304C"/>
    <w:rsid w:val="00EE3CEA"/>
    <w:rsid w:val="00EE459F"/>
    <w:rsid w:val="00EE4CBF"/>
    <w:rsid w:val="00EE504E"/>
    <w:rsid w:val="00EE623F"/>
    <w:rsid w:val="00EE6A05"/>
    <w:rsid w:val="00EE6D63"/>
    <w:rsid w:val="00EE6DD9"/>
    <w:rsid w:val="00EE744E"/>
    <w:rsid w:val="00EE7E05"/>
    <w:rsid w:val="00EF0525"/>
    <w:rsid w:val="00EF086B"/>
    <w:rsid w:val="00EF2651"/>
    <w:rsid w:val="00EF2946"/>
    <w:rsid w:val="00EF31F7"/>
    <w:rsid w:val="00EF3314"/>
    <w:rsid w:val="00EF33CE"/>
    <w:rsid w:val="00EF379C"/>
    <w:rsid w:val="00EF41E8"/>
    <w:rsid w:val="00EF4813"/>
    <w:rsid w:val="00EF5170"/>
    <w:rsid w:val="00EF6148"/>
    <w:rsid w:val="00EF6449"/>
    <w:rsid w:val="00EF6E27"/>
    <w:rsid w:val="00EF788F"/>
    <w:rsid w:val="00EF7AF2"/>
    <w:rsid w:val="00EF7C81"/>
    <w:rsid w:val="00EF7EB0"/>
    <w:rsid w:val="00EF7F0E"/>
    <w:rsid w:val="00F00037"/>
    <w:rsid w:val="00F002BA"/>
    <w:rsid w:val="00F00CA3"/>
    <w:rsid w:val="00F019CC"/>
    <w:rsid w:val="00F0389D"/>
    <w:rsid w:val="00F04157"/>
    <w:rsid w:val="00F047DF"/>
    <w:rsid w:val="00F05211"/>
    <w:rsid w:val="00F05D41"/>
    <w:rsid w:val="00F05DB1"/>
    <w:rsid w:val="00F05ECE"/>
    <w:rsid w:val="00F0602E"/>
    <w:rsid w:val="00F06086"/>
    <w:rsid w:val="00F06BCB"/>
    <w:rsid w:val="00F07654"/>
    <w:rsid w:val="00F07D87"/>
    <w:rsid w:val="00F1096C"/>
    <w:rsid w:val="00F11506"/>
    <w:rsid w:val="00F12FF2"/>
    <w:rsid w:val="00F1310A"/>
    <w:rsid w:val="00F14FD0"/>
    <w:rsid w:val="00F154DF"/>
    <w:rsid w:val="00F156FD"/>
    <w:rsid w:val="00F15B7B"/>
    <w:rsid w:val="00F15DB9"/>
    <w:rsid w:val="00F166C9"/>
    <w:rsid w:val="00F16DE1"/>
    <w:rsid w:val="00F171AE"/>
    <w:rsid w:val="00F171D1"/>
    <w:rsid w:val="00F17706"/>
    <w:rsid w:val="00F17A7C"/>
    <w:rsid w:val="00F17B83"/>
    <w:rsid w:val="00F20699"/>
    <w:rsid w:val="00F214E9"/>
    <w:rsid w:val="00F216E5"/>
    <w:rsid w:val="00F217AD"/>
    <w:rsid w:val="00F21A58"/>
    <w:rsid w:val="00F229F8"/>
    <w:rsid w:val="00F25891"/>
    <w:rsid w:val="00F27157"/>
    <w:rsid w:val="00F27207"/>
    <w:rsid w:val="00F2754E"/>
    <w:rsid w:val="00F276DC"/>
    <w:rsid w:val="00F27DD7"/>
    <w:rsid w:val="00F27EC0"/>
    <w:rsid w:val="00F30486"/>
    <w:rsid w:val="00F30BB1"/>
    <w:rsid w:val="00F31B61"/>
    <w:rsid w:val="00F31F9A"/>
    <w:rsid w:val="00F3225E"/>
    <w:rsid w:val="00F3234E"/>
    <w:rsid w:val="00F325F7"/>
    <w:rsid w:val="00F32A4D"/>
    <w:rsid w:val="00F33225"/>
    <w:rsid w:val="00F334DA"/>
    <w:rsid w:val="00F33705"/>
    <w:rsid w:val="00F35472"/>
    <w:rsid w:val="00F3564E"/>
    <w:rsid w:val="00F35FE5"/>
    <w:rsid w:val="00F36432"/>
    <w:rsid w:val="00F36CDC"/>
    <w:rsid w:val="00F37375"/>
    <w:rsid w:val="00F37CA1"/>
    <w:rsid w:val="00F37DA6"/>
    <w:rsid w:val="00F400C8"/>
    <w:rsid w:val="00F4058B"/>
    <w:rsid w:val="00F40D37"/>
    <w:rsid w:val="00F41690"/>
    <w:rsid w:val="00F41F4D"/>
    <w:rsid w:val="00F42FC5"/>
    <w:rsid w:val="00F44F4B"/>
    <w:rsid w:val="00F4586F"/>
    <w:rsid w:val="00F45A23"/>
    <w:rsid w:val="00F46373"/>
    <w:rsid w:val="00F4680C"/>
    <w:rsid w:val="00F469DA"/>
    <w:rsid w:val="00F47161"/>
    <w:rsid w:val="00F478DE"/>
    <w:rsid w:val="00F50180"/>
    <w:rsid w:val="00F51976"/>
    <w:rsid w:val="00F5198A"/>
    <w:rsid w:val="00F51B53"/>
    <w:rsid w:val="00F523D7"/>
    <w:rsid w:val="00F52536"/>
    <w:rsid w:val="00F526F3"/>
    <w:rsid w:val="00F52F25"/>
    <w:rsid w:val="00F536EE"/>
    <w:rsid w:val="00F54D8B"/>
    <w:rsid w:val="00F557D2"/>
    <w:rsid w:val="00F55923"/>
    <w:rsid w:val="00F55C1E"/>
    <w:rsid w:val="00F574A7"/>
    <w:rsid w:val="00F57F49"/>
    <w:rsid w:val="00F6035C"/>
    <w:rsid w:val="00F60D9E"/>
    <w:rsid w:val="00F60E5F"/>
    <w:rsid w:val="00F61B6F"/>
    <w:rsid w:val="00F62704"/>
    <w:rsid w:val="00F62BCA"/>
    <w:rsid w:val="00F62FE1"/>
    <w:rsid w:val="00F63618"/>
    <w:rsid w:val="00F638C8"/>
    <w:rsid w:val="00F63C2A"/>
    <w:rsid w:val="00F64276"/>
    <w:rsid w:val="00F648C9"/>
    <w:rsid w:val="00F65103"/>
    <w:rsid w:val="00F656AD"/>
    <w:rsid w:val="00F668B4"/>
    <w:rsid w:val="00F67C88"/>
    <w:rsid w:val="00F70818"/>
    <w:rsid w:val="00F710C7"/>
    <w:rsid w:val="00F711C5"/>
    <w:rsid w:val="00F71E28"/>
    <w:rsid w:val="00F73EC4"/>
    <w:rsid w:val="00F74ADE"/>
    <w:rsid w:val="00F75EBB"/>
    <w:rsid w:val="00F765A8"/>
    <w:rsid w:val="00F77A68"/>
    <w:rsid w:val="00F82A28"/>
    <w:rsid w:val="00F833B2"/>
    <w:rsid w:val="00F83501"/>
    <w:rsid w:val="00F83955"/>
    <w:rsid w:val="00F83DC3"/>
    <w:rsid w:val="00F84420"/>
    <w:rsid w:val="00F844EB"/>
    <w:rsid w:val="00F8452E"/>
    <w:rsid w:val="00F8466E"/>
    <w:rsid w:val="00F8469E"/>
    <w:rsid w:val="00F8550F"/>
    <w:rsid w:val="00F86C44"/>
    <w:rsid w:val="00F87B85"/>
    <w:rsid w:val="00F87D05"/>
    <w:rsid w:val="00F901CC"/>
    <w:rsid w:val="00F91F8C"/>
    <w:rsid w:val="00F920C7"/>
    <w:rsid w:val="00F93157"/>
    <w:rsid w:val="00F93A5C"/>
    <w:rsid w:val="00F93B66"/>
    <w:rsid w:val="00F93C9E"/>
    <w:rsid w:val="00F95658"/>
    <w:rsid w:val="00F969C8"/>
    <w:rsid w:val="00F97605"/>
    <w:rsid w:val="00F976D6"/>
    <w:rsid w:val="00FA02DB"/>
    <w:rsid w:val="00FA0C13"/>
    <w:rsid w:val="00FA1059"/>
    <w:rsid w:val="00FA1505"/>
    <w:rsid w:val="00FA1873"/>
    <w:rsid w:val="00FA195C"/>
    <w:rsid w:val="00FA1B9A"/>
    <w:rsid w:val="00FA2606"/>
    <w:rsid w:val="00FA342E"/>
    <w:rsid w:val="00FA3625"/>
    <w:rsid w:val="00FA3688"/>
    <w:rsid w:val="00FA4534"/>
    <w:rsid w:val="00FA4E67"/>
    <w:rsid w:val="00FA501E"/>
    <w:rsid w:val="00FA56F1"/>
    <w:rsid w:val="00FA5B48"/>
    <w:rsid w:val="00FA681D"/>
    <w:rsid w:val="00FA7A2B"/>
    <w:rsid w:val="00FB1520"/>
    <w:rsid w:val="00FB35A4"/>
    <w:rsid w:val="00FB42A5"/>
    <w:rsid w:val="00FB4777"/>
    <w:rsid w:val="00FB549D"/>
    <w:rsid w:val="00FB5563"/>
    <w:rsid w:val="00FB5869"/>
    <w:rsid w:val="00FB5B84"/>
    <w:rsid w:val="00FB6641"/>
    <w:rsid w:val="00FB6703"/>
    <w:rsid w:val="00FB6738"/>
    <w:rsid w:val="00FB71E2"/>
    <w:rsid w:val="00FB7276"/>
    <w:rsid w:val="00FC0048"/>
    <w:rsid w:val="00FC0522"/>
    <w:rsid w:val="00FC1AA9"/>
    <w:rsid w:val="00FC25E6"/>
    <w:rsid w:val="00FC2F54"/>
    <w:rsid w:val="00FC4135"/>
    <w:rsid w:val="00FC54C8"/>
    <w:rsid w:val="00FC56A6"/>
    <w:rsid w:val="00FC5811"/>
    <w:rsid w:val="00FC635C"/>
    <w:rsid w:val="00FC75D3"/>
    <w:rsid w:val="00FC75E5"/>
    <w:rsid w:val="00FC7873"/>
    <w:rsid w:val="00FD0253"/>
    <w:rsid w:val="00FD050A"/>
    <w:rsid w:val="00FD0B94"/>
    <w:rsid w:val="00FD1A82"/>
    <w:rsid w:val="00FD2911"/>
    <w:rsid w:val="00FD2D65"/>
    <w:rsid w:val="00FD326A"/>
    <w:rsid w:val="00FD46D0"/>
    <w:rsid w:val="00FD4D3C"/>
    <w:rsid w:val="00FD5E3A"/>
    <w:rsid w:val="00FD698E"/>
    <w:rsid w:val="00FD6A84"/>
    <w:rsid w:val="00FE074C"/>
    <w:rsid w:val="00FE0B03"/>
    <w:rsid w:val="00FE164B"/>
    <w:rsid w:val="00FE1D12"/>
    <w:rsid w:val="00FE1EDA"/>
    <w:rsid w:val="00FE205C"/>
    <w:rsid w:val="00FE20C9"/>
    <w:rsid w:val="00FE22D0"/>
    <w:rsid w:val="00FE31DF"/>
    <w:rsid w:val="00FE3262"/>
    <w:rsid w:val="00FE32EE"/>
    <w:rsid w:val="00FE33B2"/>
    <w:rsid w:val="00FE3A6F"/>
    <w:rsid w:val="00FE3E4E"/>
    <w:rsid w:val="00FE42CE"/>
    <w:rsid w:val="00FE4C92"/>
    <w:rsid w:val="00FE522D"/>
    <w:rsid w:val="00FE52C2"/>
    <w:rsid w:val="00FE534E"/>
    <w:rsid w:val="00FE5A57"/>
    <w:rsid w:val="00FE60CF"/>
    <w:rsid w:val="00FE620D"/>
    <w:rsid w:val="00FF084D"/>
    <w:rsid w:val="00FF0925"/>
    <w:rsid w:val="00FF0B69"/>
    <w:rsid w:val="00FF1190"/>
    <w:rsid w:val="00FF1726"/>
    <w:rsid w:val="00FF17AC"/>
    <w:rsid w:val="00FF18B1"/>
    <w:rsid w:val="00FF190D"/>
    <w:rsid w:val="00FF2A55"/>
    <w:rsid w:val="00FF2D8E"/>
    <w:rsid w:val="00FF2E90"/>
    <w:rsid w:val="00FF317E"/>
    <w:rsid w:val="00FF4BDE"/>
    <w:rsid w:val="00FF63B1"/>
    <w:rsid w:val="00FF6C99"/>
    <w:rsid w:val="00FF7243"/>
    <w:rsid w:val="00FF756C"/>
    <w:rsid w:val="010B22BF"/>
    <w:rsid w:val="01477DF6"/>
    <w:rsid w:val="01585D83"/>
    <w:rsid w:val="01675C00"/>
    <w:rsid w:val="017F2F66"/>
    <w:rsid w:val="019236FF"/>
    <w:rsid w:val="01B21506"/>
    <w:rsid w:val="01C12788"/>
    <w:rsid w:val="01C3078A"/>
    <w:rsid w:val="01D910C1"/>
    <w:rsid w:val="02172B02"/>
    <w:rsid w:val="026D2185"/>
    <w:rsid w:val="027E6549"/>
    <w:rsid w:val="029D6428"/>
    <w:rsid w:val="03042E1F"/>
    <w:rsid w:val="036B581E"/>
    <w:rsid w:val="03951A9C"/>
    <w:rsid w:val="03B07793"/>
    <w:rsid w:val="03DA45DB"/>
    <w:rsid w:val="04061801"/>
    <w:rsid w:val="044A436A"/>
    <w:rsid w:val="04591674"/>
    <w:rsid w:val="045E3D03"/>
    <w:rsid w:val="04960CC1"/>
    <w:rsid w:val="04B636B0"/>
    <w:rsid w:val="05021CF5"/>
    <w:rsid w:val="0554767A"/>
    <w:rsid w:val="05553238"/>
    <w:rsid w:val="055C5361"/>
    <w:rsid w:val="057F78AE"/>
    <w:rsid w:val="05BC55FF"/>
    <w:rsid w:val="05F344C5"/>
    <w:rsid w:val="0647577E"/>
    <w:rsid w:val="071E3D6E"/>
    <w:rsid w:val="072401B6"/>
    <w:rsid w:val="07244F87"/>
    <w:rsid w:val="074579D3"/>
    <w:rsid w:val="07524999"/>
    <w:rsid w:val="07715302"/>
    <w:rsid w:val="077205C0"/>
    <w:rsid w:val="077B4525"/>
    <w:rsid w:val="07B4284E"/>
    <w:rsid w:val="07E9636F"/>
    <w:rsid w:val="080E623C"/>
    <w:rsid w:val="08195EF3"/>
    <w:rsid w:val="08235A4A"/>
    <w:rsid w:val="085B33C8"/>
    <w:rsid w:val="085C46C4"/>
    <w:rsid w:val="086F58A2"/>
    <w:rsid w:val="089502CD"/>
    <w:rsid w:val="08B95416"/>
    <w:rsid w:val="08E55977"/>
    <w:rsid w:val="096526B6"/>
    <w:rsid w:val="09E84799"/>
    <w:rsid w:val="0A363AF0"/>
    <w:rsid w:val="0AFC7DFC"/>
    <w:rsid w:val="0B3533C3"/>
    <w:rsid w:val="0B582A62"/>
    <w:rsid w:val="0B86796D"/>
    <w:rsid w:val="0BBF52B2"/>
    <w:rsid w:val="0BD82C3F"/>
    <w:rsid w:val="0BDA0738"/>
    <w:rsid w:val="0C1A0510"/>
    <w:rsid w:val="0C6B185E"/>
    <w:rsid w:val="0CA6063E"/>
    <w:rsid w:val="0CD30C2B"/>
    <w:rsid w:val="0D1B5F95"/>
    <w:rsid w:val="0D410293"/>
    <w:rsid w:val="0D5B58CD"/>
    <w:rsid w:val="0D6931DE"/>
    <w:rsid w:val="0DE20272"/>
    <w:rsid w:val="0DFC2C13"/>
    <w:rsid w:val="0E4B045A"/>
    <w:rsid w:val="0E5D0249"/>
    <w:rsid w:val="0E7773AF"/>
    <w:rsid w:val="0EE17FD7"/>
    <w:rsid w:val="0EFA6F28"/>
    <w:rsid w:val="0F3A2AC9"/>
    <w:rsid w:val="0FF0485B"/>
    <w:rsid w:val="1033268E"/>
    <w:rsid w:val="10346C76"/>
    <w:rsid w:val="10574896"/>
    <w:rsid w:val="108913C8"/>
    <w:rsid w:val="108D45A8"/>
    <w:rsid w:val="109D1177"/>
    <w:rsid w:val="11280B30"/>
    <w:rsid w:val="11561218"/>
    <w:rsid w:val="115936E3"/>
    <w:rsid w:val="11A70258"/>
    <w:rsid w:val="120F7599"/>
    <w:rsid w:val="12415B32"/>
    <w:rsid w:val="12432335"/>
    <w:rsid w:val="12F1290D"/>
    <w:rsid w:val="130E0BED"/>
    <w:rsid w:val="1340104E"/>
    <w:rsid w:val="13653A41"/>
    <w:rsid w:val="140C3397"/>
    <w:rsid w:val="143809F8"/>
    <w:rsid w:val="144A2DEF"/>
    <w:rsid w:val="145D22C7"/>
    <w:rsid w:val="149D7253"/>
    <w:rsid w:val="14A9014B"/>
    <w:rsid w:val="14BA1BCC"/>
    <w:rsid w:val="14BE0A79"/>
    <w:rsid w:val="14C17E72"/>
    <w:rsid w:val="14C37442"/>
    <w:rsid w:val="1500003E"/>
    <w:rsid w:val="15930665"/>
    <w:rsid w:val="15B74C13"/>
    <w:rsid w:val="15BE22FF"/>
    <w:rsid w:val="15D85FE2"/>
    <w:rsid w:val="15EB4E45"/>
    <w:rsid w:val="16047358"/>
    <w:rsid w:val="1626496D"/>
    <w:rsid w:val="16B37B07"/>
    <w:rsid w:val="16B8317A"/>
    <w:rsid w:val="16C43553"/>
    <w:rsid w:val="16EF7BA5"/>
    <w:rsid w:val="16FD008D"/>
    <w:rsid w:val="17893D02"/>
    <w:rsid w:val="178C784F"/>
    <w:rsid w:val="17B46EBC"/>
    <w:rsid w:val="17CD594A"/>
    <w:rsid w:val="17EB3DD8"/>
    <w:rsid w:val="18111F8B"/>
    <w:rsid w:val="1837794E"/>
    <w:rsid w:val="183B4C5D"/>
    <w:rsid w:val="184D0C7A"/>
    <w:rsid w:val="18524BAC"/>
    <w:rsid w:val="18592B10"/>
    <w:rsid w:val="185968F5"/>
    <w:rsid w:val="18782CC4"/>
    <w:rsid w:val="18BC7A5E"/>
    <w:rsid w:val="19033734"/>
    <w:rsid w:val="1932689D"/>
    <w:rsid w:val="19536E25"/>
    <w:rsid w:val="198733AD"/>
    <w:rsid w:val="19991EEC"/>
    <w:rsid w:val="19EA6197"/>
    <w:rsid w:val="19F54BAF"/>
    <w:rsid w:val="1A125EDC"/>
    <w:rsid w:val="1A1B6321"/>
    <w:rsid w:val="1A3D316E"/>
    <w:rsid w:val="1A617F9D"/>
    <w:rsid w:val="1A917E62"/>
    <w:rsid w:val="1AAB41FD"/>
    <w:rsid w:val="1B4825F1"/>
    <w:rsid w:val="1B4B17D0"/>
    <w:rsid w:val="1B52084A"/>
    <w:rsid w:val="1B6B19AF"/>
    <w:rsid w:val="1B7B4D26"/>
    <w:rsid w:val="1B7E3CB0"/>
    <w:rsid w:val="1BEE4193"/>
    <w:rsid w:val="1BF64F4F"/>
    <w:rsid w:val="1C84376D"/>
    <w:rsid w:val="1C8A6593"/>
    <w:rsid w:val="1D282EFD"/>
    <w:rsid w:val="1D5D0D7A"/>
    <w:rsid w:val="1D63771D"/>
    <w:rsid w:val="1DFFD9BF"/>
    <w:rsid w:val="1E1932E1"/>
    <w:rsid w:val="1E674FC9"/>
    <w:rsid w:val="1E8E691C"/>
    <w:rsid w:val="1E98103E"/>
    <w:rsid w:val="1EBF09D7"/>
    <w:rsid w:val="1F2209E9"/>
    <w:rsid w:val="1F51520F"/>
    <w:rsid w:val="1F851444"/>
    <w:rsid w:val="1FB802F2"/>
    <w:rsid w:val="1FCB119D"/>
    <w:rsid w:val="1FD63FF1"/>
    <w:rsid w:val="1FE86B3C"/>
    <w:rsid w:val="20571479"/>
    <w:rsid w:val="20BE0AEB"/>
    <w:rsid w:val="211D3931"/>
    <w:rsid w:val="2125229D"/>
    <w:rsid w:val="212B30B6"/>
    <w:rsid w:val="214231F9"/>
    <w:rsid w:val="21604FB1"/>
    <w:rsid w:val="21905375"/>
    <w:rsid w:val="21936E30"/>
    <w:rsid w:val="21A0524B"/>
    <w:rsid w:val="21CD54CF"/>
    <w:rsid w:val="21E0768C"/>
    <w:rsid w:val="21F86024"/>
    <w:rsid w:val="22175620"/>
    <w:rsid w:val="22212092"/>
    <w:rsid w:val="224E750C"/>
    <w:rsid w:val="228F4DE2"/>
    <w:rsid w:val="22C90207"/>
    <w:rsid w:val="23444129"/>
    <w:rsid w:val="23A53168"/>
    <w:rsid w:val="23DD61F9"/>
    <w:rsid w:val="241365FC"/>
    <w:rsid w:val="24843698"/>
    <w:rsid w:val="24AE4580"/>
    <w:rsid w:val="24CE5D6E"/>
    <w:rsid w:val="24DD2E9C"/>
    <w:rsid w:val="24E0523F"/>
    <w:rsid w:val="24FC0C90"/>
    <w:rsid w:val="25116156"/>
    <w:rsid w:val="25197D36"/>
    <w:rsid w:val="25272A37"/>
    <w:rsid w:val="252A0AD7"/>
    <w:rsid w:val="254F2F0D"/>
    <w:rsid w:val="257E1F49"/>
    <w:rsid w:val="259D71CD"/>
    <w:rsid w:val="25BF1F60"/>
    <w:rsid w:val="25F468ED"/>
    <w:rsid w:val="26013F03"/>
    <w:rsid w:val="26056E8A"/>
    <w:rsid w:val="26274B5A"/>
    <w:rsid w:val="267E5ADA"/>
    <w:rsid w:val="268C7753"/>
    <w:rsid w:val="26961CF6"/>
    <w:rsid w:val="26EA575C"/>
    <w:rsid w:val="26FC2724"/>
    <w:rsid w:val="2705677C"/>
    <w:rsid w:val="272376E9"/>
    <w:rsid w:val="2753664C"/>
    <w:rsid w:val="27991A32"/>
    <w:rsid w:val="27AA1E24"/>
    <w:rsid w:val="27E51E09"/>
    <w:rsid w:val="281D1919"/>
    <w:rsid w:val="28450329"/>
    <w:rsid w:val="284E121B"/>
    <w:rsid w:val="28557F50"/>
    <w:rsid w:val="288C38D8"/>
    <w:rsid w:val="289F35E5"/>
    <w:rsid w:val="28A06623"/>
    <w:rsid w:val="28E54A9E"/>
    <w:rsid w:val="29995B0D"/>
    <w:rsid w:val="29B21742"/>
    <w:rsid w:val="29CD4867"/>
    <w:rsid w:val="2A0E6D39"/>
    <w:rsid w:val="2A37136A"/>
    <w:rsid w:val="2A816277"/>
    <w:rsid w:val="2A966EAE"/>
    <w:rsid w:val="2AE610ED"/>
    <w:rsid w:val="2B3C660D"/>
    <w:rsid w:val="2B5A6805"/>
    <w:rsid w:val="2BB26C42"/>
    <w:rsid w:val="2BE86DD4"/>
    <w:rsid w:val="2C7E3F14"/>
    <w:rsid w:val="2C9373B1"/>
    <w:rsid w:val="2CBD3A81"/>
    <w:rsid w:val="2D0D0F6C"/>
    <w:rsid w:val="2D31190F"/>
    <w:rsid w:val="2D447E0E"/>
    <w:rsid w:val="2D5474A6"/>
    <w:rsid w:val="2D5F2018"/>
    <w:rsid w:val="2D5FC0E4"/>
    <w:rsid w:val="2D9E2BDC"/>
    <w:rsid w:val="2DFB71A2"/>
    <w:rsid w:val="2E1E5C40"/>
    <w:rsid w:val="2E2154A7"/>
    <w:rsid w:val="2E42139C"/>
    <w:rsid w:val="2E656FD2"/>
    <w:rsid w:val="2E670CC4"/>
    <w:rsid w:val="2E9C205A"/>
    <w:rsid w:val="2EB4353D"/>
    <w:rsid w:val="2F4847BE"/>
    <w:rsid w:val="2F7C58A4"/>
    <w:rsid w:val="2FE17DD7"/>
    <w:rsid w:val="2FF63A3A"/>
    <w:rsid w:val="30066D3C"/>
    <w:rsid w:val="30244A7B"/>
    <w:rsid w:val="30500350"/>
    <w:rsid w:val="309C6923"/>
    <w:rsid w:val="30AC4667"/>
    <w:rsid w:val="30BE5C11"/>
    <w:rsid w:val="30C61205"/>
    <w:rsid w:val="30F84F44"/>
    <w:rsid w:val="311B4858"/>
    <w:rsid w:val="31B34F5B"/>
    <w:rsid w:val="31C76103"/>
    <w:rsid w:val="31DA682F"/>
    <w:rsid w:val="31E06798"/>
    <w:rsid w:val="31F75CA1"/>
    <w:rsid w:val="320F6140"/>
    <w:rsid w:val="32184C4A"/>
    <w:rsid w:val="322F1B9D"/>
    <w:rsid w:val="327947E1"/>
    <w:rsid w:val="32EC3A7E"/>
    <w:rsid w:val="33133A2B"/>
    <w:rsid w:val="331A6D5B"/>
    <w:rsid w:val="3354739B"/>
    <w:rsid w:val="336B250C"/>
    <w:rsid w:val="339D29DC"/>
    <w:rsid w:val="33C618D6"/>
    <w:rsid w:val="33FF2D73"/>
    <w:rsid w:val="342844FA"/>
    <w:rsid w:val="343839CB"/>
    <w:rsid w:val="345A6307"/>
    <w:rsid w:val="346A286F"/>
    <w:rsid w:val="347F190D"/>
    <w:rsid w:val="34B271AA"/>
    <w:rsid w:val="354923F0"/>
    <w:rsid w:val="35556A0F"/>
    <w:rsid w:val="3565764E"/>
    <w:rsid w:val="35684401"/>
    <w:rsid w:val="356B543D"/>
    <w:rsid w:val="35841412"/>
    <w:rsid w:val="3645589B"/>
    <w:rsid w:val="36813F90"/>
    <w:rsid w:val="36DA5A01"/>
    <w:rsid w:val="37080424"/>
    <w:rsid w:val="373B711F"/>
    <w:rsid w:val="37525A26"/>
    <w:rsid w:val="37927700"/>
    <w:rsid w:val="379F1CCC"/>
    <w:rsid w:val="37DA56D8"/>
    <w:rsid w:val="37DD1F80"/>
    <w:rsid w:val="37EA02D3"/>
    <w:rsid w:val="38283F0F"/>
    <w:rsid w:val="382A06A9"/>
    <w:rsid w:val="38690C21"/>
    <w:rsid w:val="38736D6A"/>
    <w:rsid w:val="38C10001"/>
    <w:rsid w:val="38C602AF"/>
    <w:rsid w:val="391D3829"/>
    <w:rsid w:val="39285304"/>
    <w:rsid w:val="397F2F54"/>
    <w:rsid w:val="398F0FFC"/>
    <w:rsid w:val="398F3CA1"/>
    <w:rsid w:val="39AF6E87"/>
    <w:rsid w:val="39E065C6"/>
    <w:rsid w:val="39E24237"/>
    <w:rsid w:val="39E3652C"/>
    <w:rsid w:val="3A38094C"/>
    <w:rsid w:val="3A4B6C9E"/>
    <w:rsid w:val="3A7E47CB"/>
    <w:rsid w:val="3B053B39"/>
    <w:rsid w:val="3B3D36AA"/>
    <w:rsid w:val="3B536376"/>
    <w:rsid w:val="3B8576B0"/>
    <w:rsid w:val="3B944BE1"/>
    <w:rsid w:val="3BC4103C"/>
    <w:rsid w:val="3BF6086A"/>
    <w:rsid w:val="3C5373A2"/>
    <w:rsid w:val="3C6C127E"/>
    <w:rsid w:val="3CAD3B9A"/>
    <w:rsid w:val="3CDB69FF"/>
    <w:rsid w:val="3CEC4000"/>
    <w:rsid w:val="3D9E2B22"/>
    <w:rsid w:val="3DE02F55"/>
    <w:rsid w:val="3DE05719"/>
    <w:rsid w:val="3DFF5FCD"/>
    <w:rsid w:val="3E4623E6"/>
    <w:rsid w:val="3E492C5C"/>
    <w:rsid w:val="3EA35764"/>
    <w:rsid w:val="3ECC67EA"/>
    <w:rsid w:val="3EE13EE9"/>
    <w:rsid w:val="3EF44577"/>
    <w:rsid w:val="3F0F0BE2"/>
    <w:rsid w:val="3F3C2B8E"/>
    <w:rsid w:val="3F694895"/>
    <w:rsid w:val="3F9E7CF1"/>
    <w:rsid w:val="3FB472AD"/>
    <w:rsid w:val="3FDA3976"/>
    <w:rsid w:val="3FEEAA64"/>
    <w:rsid w:val="3FEF3FC9"/>
    <w:rsid w:val="3FF52E19"/>
    <w:rsid w:val="403E1960"/>
    <w:rsid w:val="40496A40"/>
    <w:rsid w:val="407C318D"/>
    <w:rsid w:val="40B651B6"/>
    <w:rsid w:val="40C22711"/>
    <w:rsid w:val="40D65D0B"/>
    <w:rsid w:val="410B50C8"/>
    <w:rsid w:val="41122101"/>
    <w:rsid w:val="415E6AEF"/>
    <w:rsid w:val="41821120"/>
    <w:rsid w:val="41A85855"/>
    <w:rsid w:val="41B056FD"/>
    <w:rsid w:val="41B45A71"/>
    <w:rsid w:val="41B829FD"/>
    <w:rsid w:val="41BD104F"/>
    <w:rsid w:val="41D946F0"/>
    <w:rsid w:val="42DA5A94"/>
    <w:rsid w:val="430950B9"/>
    <w:rsid w:val="431A3F12"/>
    <w:rsid w:val="43352D37"/>
    <w:rsid w:val="440D33ED"/>
    <w:rsid w:val="446318F4"/>
    <w:rsid w:val="44DF29F6"/>
    <w:rsid w:val="452F446F"/>
    <w:rsid w:val="453829F6"/>
    <w:rsid w:val="453D481B"/>
    <w:rsid w:val="4561560D"/>
    <w:rsid w:val="458C3719"/>
    <w:rsid w:val="45EC73BA"/>
    <w:rsid w:val="45EE1AFF"/>
    <w:rsid w:val="46223E12"/>
    <w:rsid w:val="462B1DDD"/>
    <w:rsid w:val="46307D05"/>
    <w:rsid w:val="463E118C"/>
    <w:rsid w:val="46491B6F"/>
    <w:rsid w:val="465B2D8B"/>
    <w:rsid w:val="46776605"/>
    <w:rsid w:val="469B3313"/>
    <w:rsid w:val="46D17B65"/>
    <w:rsid w:val="46D93CF1"/>
    <w:rsid w:val="470A538B"/>
    <w:rsid w:val="475A41A2"/>
    <w:rsid w:val="478D229A"/>
    <w:rsid w:val="47B543C7"/>
    <w:rsid w:val="47F71EB6"/>
    <w:rsid w:val="483D2B0E"/>
    <w:rsid w:val="48800D4D"/>
    <w:rsid w:val="48BE3356"/>
    <w:rsid w:val="48D573B2"/>
    <w:rsid w:val="48EF0B1C"/>
    <w:rsid w:val="48EF6644"/>
    <w:rsid w:val="4901632C"/>
    <w:rsid w:val="49367DCB"/>
    <w:rsid w:val="493E6225"/>
    <w:rsid w:val="49AC5302"/>
    <w:rsid w:val="49B204CE"/>
    <w:rsid w:val="4A014102"/>
    <w:rsid w:val="4ADF0021"/>
    <w:rsid w:val="4B6B2624"/>
    <w:rsid w:val="4B7163E4"/>
    <w:rsid w:val="4B814C16"/>
    <w:rsid w:val="4BCF5A03"/>
    <w:rsid w:val="4BD051C6"/>
    <w:rsid w:val="4BFA28DF"/>
    <w:rsid w:val="4C096C91"/>
    <w:rsid w:val="4C1F4426"/>
    <w:rsid w:val="4C2F52B9"/>
    <w:rsid w:val="4C5E40D5"/>
    <w:rsid w:val="4C8062FB"/>
    <w:rsid w:val="4CA448D9"/>
    <w:rsid w:val="4CB03E07"/>
    <w:rsid w:val="4CCA578B"/>
    <w:rsid w:val="4CE12FF4"/>
    <w:rsid w:val="4CE6624D"/>
    <w:rsid w:val="4D022AC8"/>
    <w:rsid w:val="4D136991"/>
    <w:rsid w:val="4D224F15"/>
    <w:rsid w:val="4D2EF403"/>
    <w:rsid w:val="4D514C87"/>
    <w:rsid w:val="4D560C1D"/>
    <w:rsid w:val="4D654DCD"/>
    <w:rsid w:val="4DBC0010"/>
    <w:rsid w:val="4DD642A7"/>
    <w:rsid w:val="4DFB1F60"/>
    <w:rsid w:val="4E2E6792"/>
    <w:rsid w:val="4E9776CC"/>
    <w:rsid w:val="4EA24854"/>
    <w:rsid w:val="4EE71FFE"/>
    <w:rsid w:val="4EE96F7A"/>
    <w:rsid w:val="4F341B4C"/>
    <w:rsid w:val="4F967008"/>
    <w:rsid w:val="4F9A2C4A"/>
    <w:rsid w:val="4FEA2CB9"/>
    <w:rsid w:val="50673179"/>
    <w:rsid w:val="51024103"/>
    <w:rsid w:val="510E79A5"/>
    <w:rsid w:val="51674809"/>
    <w:rsid w:val="51F65161"/>
    <w:rsid w:val="51F66AA6"/>
    <w:rsid w:val="51F71ED3"/>
    <w:rsid w:val="520B4AAB"/>
    <w:rsid w:val="52117B0C"/>
    <w:rsid w:val="52450ED8"/>
    <w:rsid w:val="52506A76"/>
    <w:rsid w:val="52757B0E"/>
    <w:rsid w:val="5276311A"/>
    <w:rsid w:val="52ED1546"/>
    <w:rsid w:val="530E2528"/>
    <w:rsid w:val="5336216F"/>
    <w:rsid w:val="536476E1"/>
    <w:rsid w:val="537D695B"/>
    <w:rsid w:val="538637CC"/>
    <w:rsid w:val="53863D11"/>
    <w:rsid w:val="538C545F"/>
    <w:rsid w:val="53947B06"/>
    <w:rsid w:val="53C96B19"/>
    <w:rsid w:val="53D05CE3"/>
    <w:rsid w:val="53EB1A58"/>
    <w:rsid w:val="53FE2BC8"/>
    <w:rsid w:val="541E0424"/>
    <w:rsid w:val="54366A1C"/>
    <w:rsid w:val="546E205D"/>
    <w:rsid w:val="547A5B6F"/>
    <w:rsid w:val="549F52E8"/>
    <w:rsid w:val="54D6605C"/>
    <w:rsid w:val="54DD64C8"/>
    <w:rsid w:val="55264138"/>
    <w:rsid w:val="55613240"/>
    <w:rsid w:val="55773420"/>
    <w:rsid w:val="558C68FC"/>
    <w:rsid w:val="559E5A11"/>
    <w:rsid w:val="55A5347D"/>
    <w:rsid w:val="564121B6"/>
    <w:rsid w:val="564A3756"/>
    <w:rsid w:val="57142670"/>
    <w:rsid w:val="574D57E6"/>
    <w:rsid w:val="57CA0115"/>
    <w:rsid w:val="57D0743E"/>
    <w:rsid w:val="57F20686"/>
    <w:rsid w:val="58091BB9"/>
    <w:rsid w:val="583C03D8"/>
    <w:rsid w:val="586755A8"/>
    <w:rsid w:val="58C77C4C"/>
    <w:rsid w:val="58CE431A"/>
    <w:rsid w:val="58F16A74"/>
    <w:rsid w:val="58F214AF"/>
    <w:rsid w:val="58FF210C"/>
    <w:rsid w:val="59090384"/>
    <w:rsid w:val="59125105"/>
    <w:rsid w:val="59406718"/>
    <w:rsid w:val="59790DC9"/>
    <w:rsid w:val="597B61E4"/>
    <w:rsid w:val="599649A8"/>
    <w:rsid w:val="59A55470"/>
    <w:rsid w:val="59AA44AC"/>
    <w:rsid w:val="59EB516A"/>
    <w:rsid w:val="5A114393"/>
    <w:rsid w:val="5A2D5403"/>
    <w:rsid w:val="5A582575"/>
    <w:rsid w:val="5A726D75"/>
    <w:rsid w:val="5A72701C"/>
    <w:rsid w:val="5B274488"/>
    <w:rsid w:val="5B532A3F"/>
    <w:rsid w:val="5B7D5C8B"/>
    <w:rsid w:val="5B9A61E2"/>
    <w:rsid w:val="5BBA672B"/>
    <w:rsid w:val="5BC92996"/>
    <w:rsid w:val="5BCE3868"/>
    <w:rsid w:val="5BDE1DC2"/>
    <w:rsid w:val="5CA07A90"/>
    <w:rsid w:val="5CB30787"/>
    <w:rsid w:val="5CDD378B"/>
    <w:rsid w:val="5D4C62B0"/>
    <w:rsid w:val="5D5338AC"/>
    <w:rsid w:val="5D7173C7"/>
    <w:rsid w:val="5D790044"/>
    <w:rsid w:val="5D8D340D"/>
    <w:rsid w:val="5D94619C"/>
    <w:rsid w:val="5DD2076A"/>
    <w:rsid w:val="5E882E35"/>
    <w:rsid w:val="5EA60235"/>
    <w:rsid w:val="5EB159A8"/>
    <w:rsid w:val="5F160263"/>
    <w:rsid w:val="5F580586"/>
    <w:rsid w:val="5F792E95"/>
    <w:rsid w:val="5F952C4F"/>
    <w:rsid w:val="5FA36AB1"/>
    <w:rsid w:val="5FAD40F5"/>
    <w:rsid w:val="5FB02792"/>
    <w:rsid w:val="5FB32D21"/>
    <w:rsid w:val="5FB5513D"/>
    <w:rsid w:val="5FC91F92"/>
    <w:rsid w:val="5FCA43B9"/>
    <w:rsid w:val="5FD20458"/>
    <w:rsid w:val="5FDA1AB5"/>
    <w:rsid w:val="5FDC6A46"/>
    <w:rsid w:val="5FF27F8E"/>
    <w:rsid w:val="602225C6"/>
    <w:rsid w:val="60351019"/>
    <w:rsid w:val="60517652"/>
    <w:rsid w:val="60671D01"/>
    <w:rsid w:val="60A82F9D"/>
    <w:rsid w:val="60C154BA"/>
    <w:rsid w:val="60D763FE"/>
    <w:rsid w:val="614208AF"/>
    <w:rsid w:val="61FD1633"/>
    <w:rsid w:val="6206374F"/>
    <w:rsid w:val="620D5F4E"/>
    <w:rsid w:val="62574B9F"/>
    <w:rsid w:val="62672FAF"/>
    <w:rsid w:val="626F6054"/>
    <w:rsid w:val="62750B1A"/>
    <w:rsid w:val="62BA1672"/>
    <w:rsid w:val="62E61C76"/>
    <w:rsid w:val="62FB74EE"/>
    <w:rsid w:val="63127E64"/>
    <w:rsid w:val="633D3934"/>
    <w:rsid w:val="63656FAE"/>
    <w:rsid w:val="63827AFC"/>
    <w:rsid w:val="639D0D3D"/>
    <w:rsid w:val="63A70D24"/>
    <w:rsid w:val="63BA50B5"/>
    <w:rsid w:val="63D20880"/>
    <w:rsid w:val="63F15EA2"/>
    <w:rsid w:val="64380F8E"/>
    <w:rsid w:val="644902DF"/>
    <w:rsid w:val="64670A4D"/>
    <w:rsid w:val="647369F2"/>
    <w:rsid w:val="648010BA"/>
    <w:rsid w:val="64825AEF"/>
    <w:rsid w:val="64BC449E"/>
    <w:rsid w:val="64E161B1"/>
    <w:rsid w:val="6518256A"/>
    <w:rsid w:val="653B397C"/>
    <w:rsid w:val="65446C6D"/>
    <w:rsid w:val="65560944"/>
    <w:rsid w:val="6582167A"/>
    <w:rsid w:val="65903CFB"/>
    <w:rsid w:val="65E22B7D"/>
    <w:rsid w:val="65E358E4"/>
    <w:rsid w:val="660974CA"/>
    <w:rsid w:val="66144B02"/>
    <w:rsid w:val="661F1DE7"/>
    <w:rsid w:val="663A5C37"/>
    <w:rsid w:val="66B80FD4"/>
    <w:rsid w:val="672E4EBD"/>
    <w:rsid w:val="674939D6"/>
    <w:rsid w:val="675E59B4"/>
    <w:rsid w:val="67827ABF"/>
    <w:rsid w:val="67B67DBB"/>
    <w:rsid w:val="67CC2F67"/>
    <w:rsid w:val="67CC543C"/>
    <w:rsid w:val="67F16764"/>
    <w:rsid w:val="67F9B2EC"/>
    <w:rsid w:val="67FF273B"/>
    <w:rsid w:val="681A4FC4"/>
    <w:rsid w:val="686C48BF"/>
    <w:rsid w:val="68917019"/>
    <w:rsid w:val="68C726A5"/>
    <w:rsid w:val="6948378F"/>
    <w:rsid w:val="698352E7"/>
    <w:rsid w:val="6984327E"/>
    <w:rsid w:val="69873C4D"/>
    <w:rsid w:val="698D7F90"/>
    <w:rsid w:val="69971CDC"/>
    <w:rsid w:val="69C015CA"/>
    <w:rsid w:val="6A223EA6"/>
    <w:rsid w:val="6A48588C"/>
    <w:rsid w:val="6A575A70"/>
    <w:rsid w:val="6A5C01F5"/>
    <w:rsid w:val="6A620056"/>
    <w:rsid w:val="6A7B356D"/>
    <w:rsid w:val="6AC31DB0"/>
    <w:rsid w:val="6B452BBB"/>
    <w:rsid w:val="6B454B57"/>
    <w:rsid w:val="6BD82612"/>
    <w:rsid w:val="6BE20FB1"/>
    <w:rsid w:val="6C6C68CE"/>
    <w:rsid w:val="6CA134AA"/>
    <w:rsid w:val="6CD85494"/>
    <w:rsid w:val="6D5761CF"/>
    <w:rsid w:val="6DB406A7"/>
    <w:rsid w:val="6DEE25FE"/>
    <w:rsid w:val="6DF53E4D"/>
    <w:rsid w:val="6E310F21"/>
    <w:rsid w:val="6E6E27A6"/>
    <w:rsid w:val="6E753F28"/>
    <w:rsid w:val="6E83368B"/>
    <w:rsid w:val="6EA52E4E"/>
    <w:rsid w:val="6EA97457"/>
    <w:rsid w:val="6ECE0C85"/>
    <w:rsid w:val="6F6018A4"/>
    <w:rsid w:val="6F693189"/>
    <w:rsid w:val="6F9DC60E"/>
    <w:rsid w:val="6FBE7F0D"/>
    <w:rsid w:val="7007308C"/>
    <w:rsid w:val="704E41A8"/>
    <w:rsid w:val="70BB75A3"/>
    <w:rsid w:val="70C578A2"/>
    <w:rsid w:val="70E50A34"/>
    <w:rsid w:val="70F63668"/>
    <w:rsid w:val="71526B69"/>
    <w:rsid w:val="7160281F"/>
    <w:rsid w:val="719A6BE7"/>
    <w:rsid w:val="71C923CC"/>
    <w:rsid w:val="71EB5739"/>
    <w:rsid w:val="720D5060"/>
    <w:rsid w:val="72306B38"/>
    <w:rsid w:val="72373D93"/>
    <w:rsid w:val="727A5985"/>
    <w:rsid w:val="727C6D52"/>
    <w:rsid w:val="731B3719"/>
    <w:rsid w:val="739B4217"/>
    <w:rsid w:val="74530C41"/>
    <w:rsid w:val="74670BD3"/>
    <w:rsid w:val="746A18D5"/>
    <w:rsid w:val="748F72A5"/>
    <w:rsid w:val="749C79C6"/>
    <w:rsid w:val="74B15D62"/>
    <w:rsid w:val="74E1677B"/>
    <w:rsid w:val="75050C6E"/>
    <w:rsid w:val="75521329"/>
    <w:rsid w:val="75603FA8"/>
    <w:rsid w:val="75F72AAB"/>
    <w:rsid w:val="76212B09"/>
    <w:rsid w:val="76366FA8"/>
    <w:rsid w:val="767E9AD9"/>
    <w:rsid w:val="76BC2E9C"/>
    <w:rsid w:val="7715018B"/>
    <w:rsid w:val="775A2047"/>
    <w:rsid w:val="778174BF"/>
    <w:rsid w:val="779A53B2"/>
    <w:rsid w:val="77A812CC"/>
    <w:rsid w:val="77D537C7"/>
    <w:rsid w:val="785A6E89"/>
    <w:rsid w:val="78786AE6"/>
    <w:rsid w:val="78B53B73"/>
    <w:rsid w:val="78BF11F1"/>
    <w:rsid w:val="7916585A"/>
    <w:rsid w:val="791F6B25"/>
    <w:rsid w:val="79257414"/>
    <w:rsid w:val="799B60AC"/>
    <w:rsid w:val="79A24AE0"/>
    <w:rsid w:val="79E8413F"/>
    <w:rsid w:val="7A140EFA"/>
    <w:rsid w:val="7A3054FE"/>
    <w:rsid w:val="7A3754CF"/>
    <w:rsid w:val="7A8667B3"/>
    <w:rsid w:val="7A8F3AAE"/>
    <w:rsid w:val="7AA1406E"/>
    <w:rsid w:val="7AB41161"/>
    <w:rsid w:val="7B1A0118"/>
    <w:rsid w:val="7B486EC0"/>
    <w:rsid w:val="7BBD4F47"/>
    <w:rsid w:val="7BDECB6F"/>
    <w:rsid w:val="7C2050E3"/>
    <w:rsid w:val="7C6C33AC"/>
    <w:rsid w:val="7C9977CC"/>
    <w:rsid w:val="7CBA7768"/>
    <w:rsid w:val="7CCA289C"/>
    <w:rsid w:val="7CFEB1EA"/>
    <w:rsid w:val="7D0668E7"/>
    <w:rsid w:val="7D86695B"/>
    <w:rsid w:val="7DA95022"/>
    <w:rsid w:val="7DBE536A"/>
    <w:rsid w:val="7DD54C56"/>
    <w:rsid w:val="7DEA07E4"/>
    <w:rsid w:val="7DEF3717"/>
    <w:rsid w:val="7E006375"/>
    <w:rsid w:val="7E317C24"/>
    <w:rsid w:val="7E48019B"/>
    <w:rsid w:val="7E5029B5"/>
    <w:rsid w:val="7E514C6E"/>
    <w:rsid w:val="7E682726"/>
    <w:rsid w:val="7E811580"/>
    <w:rsid w:val="7EEC4A8A"/>
    <w:rsid w:val="7F325C7E"/>
    <w:rsid w:val="7F52516C"/>
    <w:rsid w:val="7F6F242B"/>
    <w:rsid w:val="7F7736ED"/>
    <w:rsid w:val="7F7B02A3"/>
    <w:rsid w:val="7F7C1CF8"/>
    <w:rsid w:val="7F8B3675"/>
    <w:rsid w:val="7F980CE9"/>
    <w:rsid w:val="7FA11504"/>
    <w:rsid w:val="7FE7D689"/>
    <w:rsid w:val="7FFC2B80"/>
    <w:rsid w:val="9FD7D4DF"/>
    <w:rsid w:val="A6EFBB00"/>
    <w:rsid w:val="ADF913DC"/>
    <w:rsid w:val="BCDFDF96"/>
    <w:rsid w:val="BECEE61A"/>
    <w:rsid w:val="BFFC3EF0"/>
    <w:rsid w:val="D7D7DAFC"/>
    <w:rsid w:val="DBFFD457"/>
    <w:rsid w:val="DEFFE100"/>
    <w:rsid w:val="DFFE7479"/>
    <w:rsid w:val="EFB1A551"/>
    <w:rsid w:val="EFBFCDC1"/>
    <w:rsid w:val="EFFB46B6"/>
    <w:rsid w:val="F3BE2247"/>
    <w:rsid w:val="F3FF673F"/>
    <w:rsid w:val="F7F5B293"/>
    <w:rsid w:val="FF7752F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qFormat="1" w:unhideWhenUsed="0" w:uiPriority="0" w:semiHidden="0" w:name="index 4"/>
    <w:lsdException w:uiPriority="0" w:name="index 5"/>
    <w:lsdException w:uiPriority="0" w:name="index 6"/>
    <w:lsdException w:qFormat="1" w:unhideWhenUsed="0" w:uiPriority="0" w:semiHidden="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99"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99" w:semiHidden="0" w:name="List Number"/>
    <w:lsdException w:qFormat="1" w:unhideWhenUsed="0" w:uiPriority="99" w:semiHidden="0" w:name="List 2"/>
    <w:lsdException w:qFormat="1" w:unhideWhenUsed="0" w:uiPriority="0" w:semiHidden="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US" w:eastAsia="zh-CN" w:bidi="ar-SA"/>
    </w:rPr>
  </w:style>
  <w:style w:type="paragraph" w:styleId="2">
    <w:name w:val="heading 1"/>
    <w:basedOn w:val="1"/>
    <w:next w:val="1"/>
    <w:link w:val="75"/>
    <w:qFormat/>
    <w:uiPriority w:val="9"/>
    <w:pPr>
      <w:keepNext/>
      <w:keepLines/>
      <w:widowControl w:val="0"/>
      <w:tabs>
        <w:tab w:val="left" w:pos="840"/>
      </w:tabs>
      <w:adjustRightInd w:val="0"/>
      <w:snapToGrid w:val="0"/>
      <w:spacing w:line="360" w:lineRule="auto"/>
      <w:jc w:val="both"/>
      <w:outlineLvl w:val="0"/>
    </w:pPr>
    <w:rPr>
      <w:rFonts w:ascii="宋体"/>
      <w:b/>
      <w:kern w:val="44"/>
      <w:sz w:val="24"/>
    </w:rPr>
  </w:style>
  <w:style w:type="paragraph" w:styleId="3">
    <w:name w:val="heading 2"/>
    <w:basedOn w:val="1"/>
    <w:next w:val="1"/>
    <w:link w:val="76"/>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74"/>
    <w:qFormat/>
    <w:uiPriority w:val="9"/>
    <w:pPr>
      <w:keepNext/>
      <w:keepLines/>
      <w:spacing w:before="260" w:after="260" w:line="416" w:lineRule="auto"/>
      <w:outlineLvl w:val="2"/>
    </w:pPr>
    <w:rPr>
      <w:b/>
      <w:bCs/>
      <w:sz w:val="32"/>
      <w:szCs w:val="32"/>
    </w:rPr>
  </w:style>
  <w:style w:type="paragraph" w:styleId="5">
    <w:name w:val="heading 4"/>
    <w:basedOn w:val="1"/>
    <w:next w:val="1"/>
    <w:link w:val="77"/>
    <w:qFormat/>
    <w:uiPriority w:val="99"/>
    <w:pPr>
      <w:keepNext/>
      <w:keepLines/>
      <w:widowControl w:val="0"/>
      <w:tabs>
        <w:tab w:val="left" w:pos="864"/>
      </w:tabs>
      <w:spacing w:before="280" w:after="290" w:line="376" w:lineRule="auto"/>
      <w:jc w:val="both"/>
      <w:outlineLvl w:val="3"/>
    </w:pPr>
    <w:rPr>
      <w:rFonts w:ascii="Arial" w:hAnsi="Arial" w:eastAsia="黑体"/>
      <w:b/>
      <w:bCs/>
      <w:kern w:val="2"/>
      <w:sz w:val="28"/>
      <w:szCs w:val="28"/>
      <w:lang w:val="zh-CN"/>
    </w:rPr>
  </w:style>
  <w:style w:type="paragraph" w:styleId="6">
    <w:name w:val="heading 5"/>
    <w:basedOn w:val="1"/>
    <w:next w:val="1"/>
    <w:link w:val="78"/>
    <w:qFormat/>
    <w:uiPriority w:val="0"/>
    <w:pPr>
      <w:keepNext/>
      <w:keepLines/>
      <w:widowControl w:val="0"/>
      <w:tabs>
        <w:tab w:val="left" w:pos="1008"/>
      </w:tabs>
      <w:spacing w:before="280" w:after="290" w:line="376" w:lineRule="auto"/>
      <w:jc w:val="both"/>
      <w:outlineLvl w:val="4"/>
    </w:pPr>
    <w:rPr>
      <w:rFonts w:ascii="Calibri" w:hAnsi="Calibri"/>
      <w:b/>
      <w:bCs/>
      <w:kern w:val="2"/>
      <w:sz w:val="28"/>
      <w:szCs w:val="28"/>
    </w:rPr>
  </w:style>
  <w:style w:type="paragraph" w:styleId="7">
    <w:name w:val="heading 6"/>
    <w:basedOn w:val="1"/>
    <w:next w:val="1"/>
    <w:link w:val="79"/>
    <w:qFormat/>
    <w:uiPriority w:val="0"/>
    <w:pPr>
      <w:keepNext/>
      <w:keepLines/>
      <w:widowControl w:val="0"/>
      <w:tabs>
        <w:tab w:val="left" w:pos="1152"/>
      </w:tabs>
      <w:spacing w:before="240" w:after="64" w:line="320" w:lineRule="auto"/>
      <w:jc w:val="both"/>
      <w:outlineLvl w:val="5"/>
    </w:pPr>
    <w:rPr>
      <w:rFonts w:ascii="Arial" w:hAnsi="Arial" w:eastAsia="黑体"/>
      <w:b/>
      <w:bCs/>
      <w:kern w:val="2"/>
      <w:sz w:val="24"/>
      <w:szCs w:val="24"/>
    </w:rPr>
  </w:style>
  <w:style w:type="paragraph" w:styleId="8">
    <w:name w:val="heading 7"/>
    <w:basedOn w:val="1"/>
    <w:next w:val="1"/>
    <w:link w:val="80"/>
    <w:qFormat/>
    <w:uiPriority w:val="0"/>
    <w:pPr>
      <w:keepNext/>
      <w:keepLines/>
      <w:widowControl w:val="0"/>
      <w:tabs>
        <w:tab w:val="left" w:pos="1296"/>
      </w:tabs>
      <w:spacing w:before="240" w:after="64" w:line="320" w:lineRule="auto"/>
      <w:jc w:val="both"/>
      <w:outlineLvl w:val="6"/>
    </w:pPr>
    <w:rPr>
      <w:rFonts w:ascii="Calibri" w:hAnsi="Calibri"/>
      <w:b/>
      <w:bCs/>
      <w:kern w:val="2"/>
      <w:sz w:val="24"/>
      <w:szCs w:val="24"/>
    </w:rPr>
  </w:style>
  <w:style w:type="paragraph" w:styleId="9">
    <w:name w:val="heading 8"/>
    <w:basedOn w:val="1"/>
    <w:next w:val="1"/>
    <w:link w:val="81"/>
    <w:qFormat/>
    <w:uiPriority w:val="0"/>
    <w:pPr>
      <w:keepNext/>
      <w:keepLines/>
      <w:widowControl w:val="0"/>
      <w:tabs>
        <w:tab w:val="left" w:pos="1440"/>
      </w:tabs>
      <w:spacing w:before="240" w:after="64" w:line="320" w:lineRule="auto"/>
      <w:jc w:val="both"/>
      <w:outlineLvl w:val="7"/>
    </w:pPr>
    <w:rPr>
      <w:rFonts w:ascii="Arial" w:hAnsi="Arial" w:eastAsia="黑体"/>
      <w:kern w:val="2"/>
      <w:sz w:val="24"/>
      <w:szCs w:val="24"/>
    </w:rPr>
  </w:style>
  <w:style w:type="paragraph" w:styleId="10">
    <w:name w:val="heading 9"/>
    <w:basedOn w:val="1"/>
    <w:next w:val="1"/>
    <w:link w:val="82"/>
    <w:qFormat/>
    <w:uiPriority w:val="0"/>
    <w:pPr>
      <w:keepNext/>
      <w:keepLines/>
      <w:widowControl w:val="0"/>
      <w:tabs>
        <w:tab w:val="left" w:pos="1584"/>
      </w:tabs>
      <w:spacing w:before="240" w:after="64" w:line="320" w:lineRule="auto"/>
      <w:jc w:val="both"/>
      <w:outlineLvl w:val="8"/>
    </w:pPr>
    <w:rPr>
      <w:rFonts w:ascii="Arial" w:hAnsi="Arial" w:eastAsia="黑体"/>
      <w:kern w:val="2"/>
      <w:szCs w:val="21"/>
    </w:rPr>
  </w:style>
  <w:style w:type="character" w:default="1" w:styleId="56">
    <w:name w:val="Default Paragraph Font"/>
    <w:semiHidden/>
    <w:unhideWhenUsed/>
    <w:qFormat/>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widowControl w:val="0"/>
      <w:ind w:left="100" w:leftChars="400" w:hanging="200" w:hangingChars="200"/>
      <w:jc w:val="both"/>
    </w:pPr>
    <w:rPr>
      <w:kern w:val="2"/>
      <w:szCs w:val="24"/>
    </w:rPr>
  </w:style>
  <w:style w:type="paragraph" w:styleId="12">
    <w:name w:val="toc 7"/>
    <w:basedOn w:val="1"/>
    <w:next w:val="1"/>
    <w:qFormat/>
    <w:uiPriority w:val="99"/>
    <w:pPr>
      <w:ind w:left="1260"/>
    </w:pPr>
    <w:rPr>
      <w:rFonts w:ascii="Calibri" w:hAnsi="Calibri"/>
      <w:sz w:val="18"/>
      <w:szCs w:val="18"/>
    </w:rPr>
  </w:style>
  <w:style w:type="paragraph" w:styleId="13">
    <w:name w:val="List Number"/>
    <w:basedOn w:val="1"/>
    <w:qFormat/>
    <w:uiPriority w:val="99"/>
    <w:pPr>
      <w:widowControl w:val="0"/>
      <w:numPr>
        <w:ilvl w:val="0"/>
        <w:numId w:val="1"/>
      </w:numPr>
      <w:tabs>
        <w:tab w:val="left" w:pos="360"/>
      </w:tabs>
      <w:jc w:val="both"/>
    </w:pPr>
    <w:rPr>
      <w:rFonts w:ascii="Calibri" w:hAnsi="Calibri"/>
      <w:kern w:val="2"/>
      <w:szCs w:val="24"/>
    </w:rPr>
  </w:style>
  <w:style w:type="paragraph" w:styleId="14">
    <w:name w:val="Normal Indent"/>
    <w:basedOn w:val="1"/>
    <w:link w:val="83"/>
    <w:qFormat/>
    <w:uiPriority w:val="0"/>
    <w:pPr>
      <w:ind w:firstLine="420"/>
    </w:pPr>
  </w:style>
  <w:style w:type="paragraph" w:styleId="15">
    <w:name w:val="caption"/>
    <w:basedOn w:val="1"/>
    <w:next w:val="1"/>
    <w:qFormat/>
    <w:uiPriority w:val="0"/>
    <w:pPr>
      <w:framePr w:w="9721" w:h="1873" w:hSpace="180" w:wrap="around" w:vAnchor="text" w:hAnchor="page" w:x="1621" w:y="1"/>
      <w:widowControl w:val="0"/>
      <w:shd w:val="clear" w:color="C0C0C0" w:fill="FFFFFF"/>
      <w:tabs>
        <w:tab w:val="left" w:pos="9000"/>
      </w:tabs>
      <w:ind w:firstLine="180" w:firstLineChars="75"/>
      <w:jc w:val="both"/>
    </w:pPr>
    <w:rPr>
      <w:rFonts w:ascii="Arial Narrow" w:hAnsi="Arial Narrow" w:eastAsia="微软繁隶书"/>
      <w:b/>
      <w:color w:val="FF0000"/>
      <w:kern w:val="2"/>
      <w:sz w:val="24"/>
      <w:szCs w:val="24"/>
    </w:rPr>
  </w:style>
  <w:style w:type="paragraph" w:styleId="16">
    <w:name w:val="Document Map"/>
    <w:basedOn w:val="1"/>
    <w:link w:val="84"/>
    <w:qFormat/>
    <w:uiPriority w:val="0"/>
    <w:rPr>
      <w:rFonts w:ascii="宋体"/>
      <w:sz w:val="18"/>
      <w:szCs w:val="18"/>
    </w:rPr>
  </w:style>
  <w:style w:type="paragraph" w:styleId="17">
    <w:name w:val="annotation text"/>
    <w:basedOn w:val="1"/>
    <w:link w:val="85"/>
    <w:qFormat/>
    <w:uiPriority w:val="0"/>
  </w:style>
  <w:style w:type="paragraph" w:styleId="18">
    <w:name w:val="Body Text 3"/>
    <w:basedOn w:val="1"/>
    <w:link w:val="86"/>
    <w:qFormat/>
    <w:uiPriority w:val="0"/>
    <w:pPr>
      <w:widowControl w:val="0"/>
      <w:jc w:val="both"/>
    </w:pPr>
    <w:rPr>
      <w:rFonts w:ascii="宋体"/>
      <w:kern w:val="2"/>
      <w:sz w:val="24"/>
    </w:rPr>
  </w:style>
  <w:style w:type="paragraph" w:styleId="19">
    <w:name w:val="Body Text"/>
    <w:basedOn w:val="1"/>
    <w:next w:val="20"/>
    <w:link w:val="87"/>
    <w:qFormat/>
    <w:uiPriority w:val="0"/>
    <w:pPr>
      <w:widowControl w:val="0"/>
      <w:spacing w:line="360" w:lineRule="auto"/>
      <w:jc w:val="both"/>
    </w:pPr>
    <w:rPr>
      <w:rFonts w:ascii="楷体_GB2312" w:eastAsia="楷体_GB2312"/>
      <w:kern w:val="2"/>
      <w:sz w:val="32"/>
    </w:rPr>
  </w:style>
  <w:style w:type="paragraph" w:styleId="20">
    <w:name w:val="Body Text First Indent"/>
    <w:basedOn w:val="19"/>
    <w:next w:val="21"/>
    <w:link w:val="104"/>
    <w:qFormat/>
    <w:uiPriority w:val="0"/>
    <w:pPr>
      <w:spacing w:after="120" w:line="240" w:lineRule="auto"/>
      <w:ind w:firstLine="420" w:firstLineChars="100"/>
    </w:pPr>
    <w:rPr>
      <w:rFonts w:ascii="Times New Roman" w:eastAsia="宋体"/>
      <w:sz w:val="21"/>
      <w:szCs w:val="24"/>
    </w:rPr>
  </w:style>
  <w:style w:type="paragraph" w:styleId="21">
    <w:name w:val="toc 6"/>
    <w:basedOn w:val="1"/>
    <w:next w:val="1"/>
    <w:qFormat/>
    <w:uiPriority w:val="99"/>
    <w:pPr>
      <w:ind w:left="1050"/>
    </w:pPr>
    <w:rPr>
      <w:rFonts w:ascii="Calibri" w:hAnsi="Calibri"/>
      <w:sz w:val="18"/>
      <w:szCs w:val="18"/>
    </w:rPr>
  </w:style>
  <w:style w:type="paragraph" w:styleId="22">
    <w:name w:val="Body Text Indent"/>
    <w:basedOn w:val="1"/>
    <w:link w:val="88"/>
    <w:qFormat/>
    <w:uiPriority w:val="0"/>
    <w:pPr>
      <w:spacing w:after="120"/>
      <w:ind w:left="420" w:leftChars="200"/>
    </w:pPr>
  </w:style>
  <w:style w:type="paragraph" w:styleId="23">
    <w:name w:val="List 2"/>
    <w:basedOn w:val="1"/>
    <w:qFormat/>
    <w:uiPriority w:val="99"/>
    <w:pPr>
      <w:ind w:left="100" w:leftChars="200" w:hanging="200" w:hangingChars="200"/>
      <w:contextualSpacing/>
    </w:pPr>
  </w:style>
  <w:style w:type="paragraph" w:styleId="24">
    <w:name w:val="Block Text"/>
    <w:basedOn w:val="1"/>
    <w:qFormat/>
    <w:uiPriority w:val="0"/>
    <w:pPr>
      <w:widowControl w:val="0"/>
      <w:adjustRightInd w:val="0"/>
      <w:ind w:left="420" w:right="33"/>
      <w:textAlignment w:val="baseline"/>
    </w:pPr>
    <w:rPr>
      <w:rFonts w:ascii="Calibri" w:hAnsi="Calibri"/>
      <w:sz w:val="24"/>
    </w:rPr>
  </w:style>
  <w:style w:type="paragraph" w:styleId="25">
    <w:name w:val="List Bullet 2"/>
    <w:basedOn w:val="1"/>
    <w:qFormat/>
    <w:uiPriority w:val="0"/>
    <w:pPr>
      <w:widowControl w:val="0"/>
      <w:tabs>
        <w:tab w:val="left" w:pos="1200"/>
      </w:tabs>
      <w:spacing w:line="460" w:lineRule="exact"/>
      <w:ind w:left="1200" w:hanging="720"/>
      <w:jc w:val="both"/>
    </w:pPr>
    <w:rPr>
      <w:rFonts w:ascii="Calibri" w:hAnsi="Calibri"/>
      <w:spacing w:val="6"/>
      <w:kern w:val="2"/>
      <w:sz w:val="24"/>
    </w:rPr>
  </w:style>
  <w:style w:type="paragraph" w:styleId="26">
    <w:name w:val="index 4"/>
    <w:basedOn w:val="1"/>
    <w:next w:val="1"/>
    <w:qFormat/>
    <w:uiPriority w:val="0"/>
    <w:pPr>
      <w:widowControl w:val="0"/>
      <w:ind w:left="600" w:leftChars="600"/>
      <w:jc w:val="both"/>
    </w:pPr>
    <w:rPr>
      <w:rFonts w:ascii="Calibri" w:hAnsi="Calibri"/>
      <w:kern w:val="2"/>
      <w:szCs w:val="24"/>
    </w:rPr>
  </w:style>
  <w:style w:type="paragraph" w:styleId="27">
    <w:name w:val="toc 5"/>
    <w:basedOn w:val="1"/>
    <w:next w:val="1"/>
    <w:qFormat/>
    <w:uiPriority w:val="99"/>
    <w:pPr>
      <w:ind w:left="840"/>
    </w:pPr>
    <w:rPr>
      <w:rFonts w:ascii="Calibri" w:hAnsi="Calibri"/>
      <w:sz w:val="18"/>
      <w:szCs w:val="18"/>
    </w:rPr>
  </w:style>
  <w:style w:type="paragraph" w:styleId="28">
    <w:name w:val="toc 3"/>
    <w:basedOn w:val="1"/>
    <w:next w:val="1"/>
    <w:qFormat/>
    <w:uiPriority w:val="99"/>
    <w:pPr>
      <w:ind w:left="420"/>
    </w:pPr>
    <w:rPr>
      <w:rFonts w:ascii="Calibri" w:hAnsi="Calibri"/>
      <w:i/>
      <w:iCs/>
      <w:sz w:val="20"/>
    </w:rPr>
  </w:style>
  <w:style w:type="paragraph" w:styleId="29">
    <w:name w:val="Plain Text"/>
    <w:basedOn w:val="1"/>
    <w:link w:val="89"/>
    <w:qFormat/>
    <w:uiPriority w:val="0"/>
    <w:pPr>
      <w:widowControl w:val="0"/>
      <w:jc w:val="both"/>
    </w:pPr>
    <w:rPr>
      <w:rFonts w:ascii="宋体" w:hAnsi="Courier New"/>
      <w:kern w:val="2"/>
    </w:rPr>
  </w:style>
  <w:style w:type="paragraph" w:styleId="30">
    <w:name w:val="toc 8"/>
    <w:basedOn w:val="1"/>
    <w:next w:val="1"/>
    <w:qFormat/>
    <w:uiPriority w:val="99"/>
    <w:pPr>
      <w:ind w:left="1470"/>
    </w:pPr>
    <w:rPr>
      <w:rFonts w:ascii="Calibri" w:hAnsi="Calibri"/>
      <w:sz w:val="18"/>
      <w:szCs w:val="18"/>
    </w:rPr>
  </w:style>
  <w:style w:type="paragraph" w:styleId="31">
    <w:name w:val="Date"/>
    <w:basedOn w:val="1"/>
    <w:next w:val="1"/>
    <w:link w:val="90"/>
    <w:qFormat/>
    <w:uiPriority w:val="99"/>
    <w:pPr>
      <w:widowControl w:val="0"/>
      <w:jc w:val="both"/>
    </w:pPr>
    <w:rPr>
      <w:rFonts w:ascii="宋体"/>
      <w:sz w:val="24"/>
    </w:rPr>
  </w:style>
  <w:style w:type="paragraph" w:styleId="32">
    <w:name w:val="Body Text Indent 2"/>
    <w:basedOn w:val="1"/>
    <w:link w:val="91"/>
    <w:qFormat/>
    <w:uiPriority w:val="0"/>
    <w:pPr>
      <w:widowControl w:val="0"/>
      <w:spacing w:after="120" w:line="480" w:lineRule="auto"/>
      <w:ind w:left="420" w:leftChars="200"/>
      <w:jc w:val="both"/>
    </w:pPr>
    <w:rPr>
      <w:kern w:val="2"/>
      <w:szCs w:val="24"/>
    </w:rPr>
  </w:style>
  <w:style w:type="paragraph" w:styleId="33">
    <w:name w:val="endnote text"/>
    <w:basedOn w:val="1"/>
    <w:link w:val="92"/>
    <w:qFormat/>
    <w:uiPriority w:val="0"/>
    <w:pPr>
      <w:widowControl w:val="0"/>
      <w:snapToGrid w:val="0"/>
    </w:pPr>
    <w:rPr>
      <w:kern w:val="2"/>
    </w:rPr>
  </w:style>
  <w:style w:type="paragraph" w:styleId="34">
    <w:name w:val="Balloon Text"/>
    <w:basedOn w:val="1"/>
    <w:link w:val="93"/>
    <w:qFormat/>
    <w:uiPriority w:val="99"/>
    <w:rPr>
      <w:sz w:val="18"/>
      <w:szCs w:val="18"/>
    </w:rPr>
  </w:style>
  <w:style w:type="paragraph" w:styleId="35">
    <w:name w:val="footer"/>
    <w:basedOn w:val="1"/>
    <w:link w:val="94"/>
    <w:qFormat/>
    <w:uiPriority w:val="99"/>
    <w:pPr>
      <w:tabs>
        <w:tab w:val="center" w:pos="4153"/>
        <w:tab w:val="right" w:pos="8306"/>
      </w:tabs>
      <w:snapToGrid w:val="0"/>
    </w:pPr>
    <w:rPr>
      <w:sz w:val="18"/>
    </w:rPr>
  </w:style>
  <w:style w:type="paragraph" w:styleId="36">
    <w:name w:val="header"/>
    <w:basedOn w:val="1"/>
    <w:link w:val="95"/>
    <w:qFormat/>
    <w:uiPriority w:val="99"/>
    <w:pPr>
      <w:pBdr>
        <w:bottom w:val="single" w:color="auto" w:sz="6" w:space="1"/>
      </w:pBdr>
      <w:tabs>
        <w:tab w:val="center" w:pos="4153"/>
        <w:tab w:val="right" w:pos="8306"/>
      </w:tabs>
      <w:snapToGrid w:val="0"/>
      <w:jc w:val="center"/>
    </w:pPr>
    <w:rPr>
      <w:sz w:val="18"/>
      <w:szCs w:val="18"/>
    </w:rPr>
  </w:style>
  <w:style w:type="paragraph" w:styleId="37">
    <w:name w:val="toc 1"/>
    <w:basedOn w:val="1"/>
    <w:next w:val="1"/>
    <w:qFormat/>
    <w:uiPriority w:val="39"/>
    <w:pPr>
      <w:spacing w:before="120" w:after="120"/>
    </w:pPr>
    <w:rPr>
      <w:rFonts w:ascii="Calibri" w:hAnsi="Calibri"/>
      <w:b/>
      <w:bCs/>
      <w:caps/>
      <w:sz w:val="20"/>
    </w:rPr>
  </w:style>
  <w:style w:type="paragraph" w:styleId="38">
    <w:name w:val="toc 4"/>
    <w:basedOn w:val="1"/>
    <w:next w:val="1"/>
    <w:qFormat/>
    <w:uiPriority w:val="99"/>
    <w:pPr>
      <w:ind w:left="630"/>
    </w:pPr>
    <w:rPr>
      <w:rFonts w:ascii="Calibri" w:hAnsi="Calibri"/>
      <w:sz w:val="18"/>
      <w:szCs w:val="18"/>
    </w:rPr>
  </w:style>
  <w:style w:type="paragraph" w:styleId="39">
    <w:name w:val="Subtitle"/>
    <w:basedOn w:val="1"/>
    <w:next w:val="1"/>
    <w:link w:val="96"/>
    <w:qFormat/>
    <w:uiPriority w:val="0"/>
    <w:pPr>
      <w:widowControl w:val="0"/>
      <w:spacing w:before="240" w:after="60" w:line="312" w:lineRule="auto"/>
      <w:jc w:val="center"/>
      <w:outlineLvl w:val="1"/>
    </w:pPr>
    <w:rPr>
      <w:rFonts w:ascii="Cambria" w:hAnsi="Cambria"/>
      <w:b/>
      <w:kern w:val="28"/>
      <w:sz w:val="32"/>
    </w:rPr>
  </w:style>
  <w:style w:type="paragraph" w:styleId="40">
    <w:name w:val="List"/>
    <w:basedOn w:val="1"/>
    <w:qFormat/>
    <w:uiPriority w:val="0"/>
    <w:pPr>
      <w:widowControl w:val="0"/>
      <w:ind w:left="200" w:hanging="200" w:hangingChars="200"/>
      <w:jc w:val="both"/>
    </w:pPr>
    <w:rPr>
      <w:rFonts w:ascii="Calibri" w:hAnsi="Calibri"/>
      <w:kern w:val="2"/>
      <w:szCs w:val="22"/>
    </w:rPr>
  </w:style>
  <w:style w:type="paragraph" w:styleId="41">
    <w:name w:val="footnote text"/>
    <w:basedOn w:val="1"/>
    <w:link w:val="97"/>
    <w:qFormat/>
    <w:uiPriority w:val="0"/>
    <w:pPr>
      <w:widowControl w:val="0"/>
      <w:jc w:val="both"/>
    </w:pPr>
    <w:rPr>
      <w:kern w:val="2"/>
      <w:sz w:val="20"/>
    </w:rPr>
  </w:style>
  <w:style w:type="paragraph" w:styleId="42">
    <w:name w:val="Body Text Indent 3"/>
    <w:basedOn w:val="1"/>
    <w:link w:val="98"/>
    <w:qFormat/>
    <w:uiPriority w:val="0"/>
    <w:pPr>
      <w:spacing w:after="120"/>
      <w:ind w:left="420" w:leftChars="200"/>
    </w:pPr>
    <w:rPr>
      <w:sz w:val="16"/>
      <w:szCs w:val="16"/>
    </w:rPr>
  </w:style>
  <w:style w:type="paragraph" w:styleId="43">
    <w:name w:val="index 7"/>
    <w:basedOn w:val="1"/>
    <w:next w:val="1"/>
    <w:qFormat/>
    <w:uiPriority w:val="0"/>
    <w:pPr>
      <w:tabs>
        <w:tab w:val="left" w:pos="0"/>
        <w:tab w:val="left" w:pos="390"/>
      </w:tabs>
      <w:autoSpaceDE w:val="0"/>
      <w:autoSpaceDN w:val="0"/>
      <w:snapToGrid w:val="0"/>
      <w:spacing w:line="360" w:lineRule="auto"/>
      <w:ind w:left="1470" w:hanging="210" w:firstLineChars="177"/>
    </w:pPr>
    <w:rPr>
      <w:rFonts w:hAnsi="宋体"/>
      <w:color w:val="000000"/>
      <w:sz w:val="20"/>
    </w:rPr>
  </w:style>
  <w:style w:type="paragraph" w:styleId="44">
    <w:name w:val="table of figures"/>
    <w:basedOn w:val="1"/>
    <w:next w:val="1"/>
    <w:qFormat/>
    <w:uiPriority w:val="0"/>
    <w:pPr>
      <w:ind w:left="840" w:leftChars="200" w:hanging="420" w:hangingChars="200"/>
    </w:pPr>
  </w:style>
  <w:style w:type="paragraph" w:styleId="45">
    <w:name w:val="toc 2"/>
    <w:basedOn w:val="1"/>
    <w:next w:val="1"/>
    <w:qFormat/>
    <w:uiPriority w:val="39"/>
    <w:pPr>
      <w:ind w:left="210"/>
    </w:pPr>
    <w:rPr>
      <w:rFonts w:ascii="Calibri" w:hAnsi="Calibri"/>
      <w:smallCaps/>
      <w:sz w:val="20"/>
    </w:rPr>
  </w:style>
  <w:style w:type="paragraph" w:styleId="46">
    <w:name w:val="toc 9"/>
    <w:basedOn w:val="1"/>
    <w:next w:val="1"/>
    <w:qFormat/>
    <w:uiPriority w:val="99"/>
    <w:pPr>
      <w:ind w:left="1680"/>
    </w:pPr>
    <w:rPr>
      <w:rFonts w:ascii="Calibri" w:hAnsi="Calibri"/>
      <w:sz w:val="18"/>
      <w:szCs w:val="18"/>
    </w:rPr>
  </w:style>
  <w:style w:type="paragraph" w:styleId="47">
    <w:name w:val="Body Text 2"/>
    <w:basedOn w:val="1"/>
    <w:link w:val="99"/>
    <w:qFormat/>
    <w:uiPriority w:val="0"/>
    <w:pPr>
      <w:widowControl w:val="0"/>
      <w:spacing w:line="500" w:lineRule="exact"/>
      <w:jc w:val="both"/>
    </w:pPr>
    <w:rPr>
      <w:rFonts w:ascii="宋体" w:hAnsi="宋体"/>
      <w:color w:val="000000"/>
      <w:kern w:val="2"/>
      <w:sz w:val="24"/>
      <w:szCs w:val="24"/>
    </w:rPr>
  </w:style>
  <w:style w:type="paragraph" w:styleId="48">
    <w:name w:val="HTML Preformatted"/>
    <w:basedOn w:val="1"/>
    <w:link w:val="100"/>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eastAsia="Times New Roman"/>
      <w:sz w:val="20"/>
    </w:rPr>
  </w:style>
  <w:style w:type="paragraph" w:styleId="49">
    <w:name w:val="Normal (Web)"/>
    <w:basedOn w:val="1"/>
    <w:link w:val="101"/>
    <w:qFormat/>
    <w:uiPriority w:val="0"/>
    <w:pPr>
      <w:spacing w:before="100" w:beforeAutospacing="1" w:after="100" w:afterAutospacing="1"/>
    </w:pPr>
    <w:rPr>
      <w:rFonts w:ascii="Arial Unicode MS" w:hAnsi="Arial Unicode MS" w:eastAsia="Times New Roman"/>
      <w:color w:val="000000"/>
      <w:sz w:val="24"/>
      <w:szCs w:val="24"/>
    </w:rPr>
  </w:style>
  <w:style w:type="paragraph" w:styleId="50">
    <w:name w:val="index 1"/>
    <w:basedOn w:val="1"/>
    <w:next w:val="1"/>
    <w:qFormat/>
    <w:uiPriority w:val="0"/>
    <w:pPr>
      <w:widowControl w:val="0"/>
      <w:spacing w:line="220" w:lineRule="exact"/>
      <w:jc w:val="center"/>
    </w:pPr>
    <w:rPr>
      <w:rFonts w:ascii="仿宋_GB2312" w:hAnsi="Calibri" w:eastAsia="仿宋_GB2312"/>
      <w:kern w:val="2"/>
      <w:szCs w:val="21"/>
    </w:rPr>
  </w:style>
  <w:style w:type="paragraph" w:styleId="51">
    <w:name w:val="Title"/>
    <w:basedOn w:val="1"/>
    <w:link w:val="102"/>
    <w:qFormat/>
    <w:uiPriority w:val="0"/>
    <w:pPr>
      <w:widowControl w:val="0"/>
      <w:adjustRightInd w:val="0"/>
      <w:spacing w:before="240" w:after="60" w:line="420" w:lineRule="atLeast"/>
      <w:jc w:val="center"/>
      <w:textAlignment w:val="baseline"/>
      <w:outlineLvl w:val="0"/>
    </w:pPr>
    <w:rPr>
      <w:rFonts w:ascii="Arial" w:hAnsi="Arial"/>
      <w:b/>
      <w:sz w:val="32"/>
    </w:rPr>
  </w:style>
  <w:style w:type="paragraph" w:styleId="52">
    <w:name w:val="annotation subject"/>
    <w:basedOn w:val="17"/>
    <w:next w:val="17"/>
    <w:link w:val="103"/>
    <w:qFormat/>
    <w:uiPriority w:val="0"/>
    <w:rPr>
      <w:b/>
      <w:bCs/>
    </w:rPr>
  </w:style>
  <w:style w:type="paragraph" w:styleId="53">
    <w:name w:val="Body Text First Indent 2"/>
    <w:basedOn w:val="22"/>
    <w:link w:val="767"/>
    <w:qFormat/>
    <w:uiPriority w:val="99"/>
    <w:pPr>
      <w:ind w:firstLine="420"/>
    </w:pPr>
    <w:rPr>
      <w:rFonts w:cs="宋体"/>
      <w:szCs w:val="21"/>
    </w:rPr>
  </w:style>
  <w:style w:type="table" w:styleId="55">
    <w:name w:val="Table Grid"/>
    <w:basedOn w:val="5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7">
    <w:name w:val="Strong"/>
    <w:qFormat/>
    <w:uiPriority w:val="99"/>
    <w:rPr>
      <w:b/>
      <w:bCs/>
    </w:rPr>
  </w:style>
  <w:style w:type="character" w:styleId="58">
    <w:name w:val="endnote reference"/>
    <w:qFormat/>
    <w:uiPriority w:val="0"/>
    <w:rPr>
      <w:rFonts w:cs="Times New Roman"/>
      <w:vertAlign w:val="superscript"/>
    </w:rPr>
  </w:style>
  <w:style w:type="character" w:styleId="59">
    <w:name w:val="page number"/>
    <w:basedOn w:val="56"/>
    <w:qFormat/>
    <w:uiPriority w:val="99"/>
  </w:style>
  <w:style w:type="character" w:styleId="60">
    <w:name w:val="FollowedHyperlink"/>
    <w:qFormat/>
    <w:uiPriority w:val="99"/>
    <w:rPr>
      <w:color w:val="800080"/>
      <w:u w:val="single"/>
    </w:rPr>
  </w:style>
  <w:style w:type="character" w:styleId="61">
    <w:name w:val="Emphasis"/>
    <w:qFormat/>
    <w:uiPriority w:val="99"/>
    <w:rPr>
      <w:i/>
    </w:rPr>
  </w:style>
  <w:style w:type="character" w:styleId="62">
    <w:name w:val="HTML Definition"/>
    <w:qFormat/>
    <w:uiPriority w:val="99"/>
    <w:rPr>
      <w:i/>
    </w:rPr>
  </w:style>
  <w:style w:type="character" w:styleId="63">
    <w:name w:val="HTML Typewriter"/>
    <w:qFormat/>
    <w:uiPriority w:val="99"/>
    <w:rPr>
      <w:rFonts w:ascii="微软雅黑" w:hAnsi="微软雅黑" w:eastAsia="微软雅黑" w:cs="Times New Roman"/>
      <w:sz w:val="20"/>
    </w:rPr>
  </w:style>
  <w:style w:type="character" w:styleId="64">
    <w:name w:val="HTML Variable"/>
    <w:qFormat/>
    <w:uiPriority w:val="99"/>
    <w:rPr>
      <w:rFonts w:cs="Times New Roman"/>
    </w:rPr>
  </w:style>
  <w:style w:type="character" w:styleId="65">
    <w:name w:val="Hyperlink"/>
    <w:qFormat/>
    <w:uiPriority w:val="99"/>
    <w:rPr>
      <w:color w:val="0000FF"/>
      <w:u w:val="single"/>
    </w:rPr>
  </w:style>
  <w:style w:type="character" w:styleId="66">
    <w:name w:val="HTML Code"/>
    <w:qFormat/>
    <w:uiPriority w:val="99"/>
    <w:rPr>
      <w:rFonts w:hint="default" w:ascii="Segoe UI" w:hAnsi="Segoe UI" w:eastAsia="Segoe UI" w:cs="Segoe UI"/>
      <w:sz w:val="21"/>
      <w:szCs w:val="21"/>
    </w:rPr>
  </w:style>
  <w:style w:type="character" w:styleId="67">
    <w:name w:val="annotation reference"/>
    <w:qFormat/>
    <w:uiPriority w:val="0"/>
    <w:rPr>
      <w:sz w:val="21"/>
      <w:szCs w:val="21"/>
    </w:rPr>
  </w:style>
  <w:style w:type="character" w:styleId="68">
    <w:name w:val="HTML Cite"/>
    <w:qFormat/>
    <w:uiPriority w:val="99"/>
    <w:rPr>
      <w:rFonts w:cs="Times New Roman"/>
    </w:rPr>
  </w:style>
  <w:style w:type="character" w:styleId="69">
    <w:name w:val="footnote reference"/>
    <w:qFormat/>
    <w:uiPriority w:val="0"/>
    <w:rPr>
      <w:rFonts w:cs="Times New Roman"/>
      <w:vertAlign w:val="superscript"/>
    </w:rPr>
  </w:style>
  <w:style w:type="character" w:styleId="70">
    <w:name w:val="HTML Keyboard"/>
    <w:qFormat/>
    <w:uiPriority w:val="0"/>
    <w:rPr>
      <w:rFonts w:hint="default" w:ascii="Segoe UI" w:hAnsi="Segoe UI" w:eastAsia="Segoe UI" w:cs="Segoe UI"/>
      <w:sz w:val="21"/>
      <w:szCs w:val="21"/>
    </w:rPr>
  </w:style>
  <w:style w:type="character" w:styleId="71">
    <w:name w:val="HTML Sample"/>
    <w:qFormat/>
    <w:uiPriority w:val="0"/>
    <w:rPr>
      <w:rFonts w:ascii="Segoe UI" w:hAnsi="Segoe UI" w:eastAsia="Segoe UI" w:cs="Segoe UI"/>
      <w:sz w:val="21"/>
      <w:szCs w:val="21"/>
    </w:rPr>
  </w:style>
  <w:style w:type="paragraph" w:customStyle="1" w:styleId="72">
    <w:name w:val="无间距1"/>
    <w:qFormat/>
    <w:uiPriority w:val="0"/>
    <w:pPr>
      <w:widowControl w:val="0"/>
      <w:jc w:val="both"/>
    </w:pPr>
    <w:rPr>
      <w:rFonts w:ascii="Calibri" w:hAnsi="Calibri" w:eastAsia="微软雅黑 Light" w:cs="Times New Roman"/>
      <w:kern w:val="2"/>
      <w:sz w:val="24"/>
      <w:szCs w:val="22"/>
      <w:lang w:val="en-US" w:eastAsia="zh-CN" w:bidi="ar-SA"/>
    </w:rPr>
  </w:style>
  <w:style w:type="paragraph" w:customStyle="1" w:styleId="73">
    <w:name w:val="[Normal]"/>
    <w:qFormat/>
    <w:uiPriority w:val="0"/>
    <w:rPr>
      <w:rFonts w:ascii="宋体" w:hAnsi="宋体" w:eastAsia="宋体" w:cs="Times New Roman"/>
      <w:sz w:val="24"/>
      <w:szCs w:val="22"/>
      <w:lang w:val="zh-CN" w:eastAsia="zh-CN" w:bidi="ar-SA"/>
    </w:rPr>
  </w:style>
  <w:style w:type="character" w:customStyle="1" w:styleId="74">
    <w:name w:val="标题 3 字符"/>
    <w:link w:val="4"/>
    <w:qFormat/>
    <w:uiPriority w:val="9"/>
    <w:rPr>
      <w:rFonts w:ascii="Times New Roman" w:hAnsi="Times New Roman"/>
      <w:b/>
      <w:bCs/>
      <w:sz w:val="32"/>
      <w:szCs w:val="32"/>
    </w:rPr>
  </w:style>
  <w:style w:type="character" w:customStyle="1" w:styleId="75">
    <w:name w:val="标题 1 字符"/>
    <w:link w:val="2"/>
    <w:qFormat/>
    <w:uiPriority w:val="9"/>
    <w:rPr>
      <w:rFonts w:ascii="宋体" w:hAnsi="Times New Roman" w:eastAsia="宋体" w:cs="Times New Roman"/>
      <w:b/>
      <w:kern w:val="44"/>
      <w:sz w:val="24"/>
      <w:szCs w:val="20"/>
    </w:rPr>
  </w:style>
  <w:style w:type="character" w:customStyle="1" w:styleId="76">
    <w:name w:val="标题 2 字符1"/>
    <w:link w:val="3"/>
    <w:qFormat/>
    <w:uiPriority w:val="0"/>
    <w:rPr>
      <w:rFonts w:ascii="Cambria" w:hAnsi="Cambria" w:eastAsia="宋体" w:cs="Times New Roman"/>
      <w:b/>
      <w:bCs/>
      <w:sz w:val="32"/>
      <w:szCs w:val="32"/>
    </w:rPr>
  </w:style>
  <w:style w:type="character" w:customStyle="1" w:styleId="77">
    <w:name w:val="标题 4 字符"/>
    <w:link w:val="5"/>
    <w:qFormat/>
    <w:uiPriority w:val="99"/>
    <w:rPr>
      <w:rFonts w:ascii="Arial" w:hAnsi="Arial" w:eastAsia="黑体"/>
      <w:b/>
      <w:bCs/>
      <w:kern w:val="2"/>
      <w:sz w:val="28"/>
      <w:szCs w:val="28"/>
      <w:lang w:val="zh-CN"/>
    </w:rPr>
  </w:style>
  <w:style w:type="character" w:customStyle="1" w:styleId="78">
    <w:name w:val="标题 5 字符"/>
    <w:link w:val="6"/>
    <w:qFormat/>
    <w:uiPriority w:val="0"/>
    <w:rPr>
      <w:rFonts w:ascii="Calibri" w:hAnsi="Calibri"/>
      <w:b/>
      <w:bCs/>
      <w:kern w:val="2"/>
      <w:sz w:val="28"/>
      <w:szCs w:val="28"/>
    </w:rPr>
  </w:style>
  <w:style w:type="character" w:customStyle="1" w:styleId="79">
    <w:name w:val="标题 6 字符"/>
    <w:link w:val="7"/>
    <w:qFormat/>
    <w:uiPriority w:val="0"/>
    <w:rPr>
      <w:rFonts w:ascii="Arial" w:hAnsi="Arial" w:eastAsia="黑体"/>
      <w:b/>
      <w:bCs/>
      <w:kern w:val="2"/>
      <w:sz w:val="24"/>
      <w:szCs w:val="24"/>
    </w:rPr>
  </w:style>
  <w:style w:type="character" w:customStyle="1" w:styleId="80">
    <w:name w:val="标题 7 字符"/>
    <w:link w:val="8"/>
    <w:qFormat/>
    <w:uiPriority w:val="0"/>
    <w:rPr>
      <w:rFonts w:ascii="Calibri" w:hAnsi="Calibri"/>
      <w:b/>
      <w:bCs/>
      <w:kern w:val="2"/>
      <w:sz w:val="24"/>
      <w:szCs w:val="24"/>
    </w:rPr>
  </w:style>
  <w:style w:type="character" w:customStyle="1" w:styleId="81">
    <w:name w:val="标题 8 字符"/>
    <w:link w:val="9"/>
    <w:qFormat/>
    <w:uiPriority w:val="0"/>
    <w:rPr>
      <w:rFonts w:ascii="Arial" w:hAnsi="Arial" w:eastAsia="黑体"/>
      <w:kern w:val="2"/>
      <w:sz w:val="24"/>
      <w:szCs w:val="24"/>
    </w:rPr>
  </w:style>
  <w:style w:type="character" w:customStyle="1" w:styleId="82">
    <w:name w:val="标题 9 字符"/>
    <w:link w:val="10"/>
    <w:qFormat/>
    <w:uiPriority w:val="0"/>
    <w:rPr>
      <w:rFonts w:ascii="Arial" w:hAnsi="Arial" w:eastAsia="黑体"/>
      <w:kern w:val="2"/>
      <w:sz w:val="21"/>
      <w:szCs w:val="21"/>
    </w:rPr>
  </w:style>
  <w:style w:type="character" w:customStyle="1" w:styleId="83">
    <w:name w:val="正文缩进 字符"/>
    <w:link w:val="14"/>
    <w:qFormat/>
    <w:uiPriority w:val="0"/>
    <w:rPr>
      <w:rFonts w:ascii="Times New Roman" w:hAnsi="Times New Roman"/>
      <w:sz w:val="21"/>
    </w:rPr>
  </w:style>
  <w:style w:type="character" w:customStyle="1" w:styleId="84">
    <w:name w:val="文档结构图 字符"/>
    <w:link w:val="16"/>
    <w:qFormat/>
    <w:uiPriority w:val="0"/>
    <w:rPr>
      <w:rFonts w:ascii="宋体" w:hAnsi="Times New Roman"/>
      <w:sz w:val="18"/>
      <w:szCs w:val="18"/>
    </w:rPr>
  </w:style>
  <w:style w:type="character" w:customStyle="1" w:styleId="85">
    <w:name w:val="批注文字 字符"/>
    <w:link w:val="17"/>
    <w:qFormat/>
    <w:uiPriority w:val="0"/>
    <w:rPr>
      <w:rFonts w:ascii="Times New Roman" w:hAnsi="Times New Roman"/>
      <w:sz w:val="21"/>
    </w:rPr>
  </w:style>
  <w:style w:type="character" w:customStyle="1" w:styleId="86">
    <w:name w:val="正文文本 3 字符"/>
    <w:link w:val="18"/>
    <w:qFormat/>
    <w:locked/>
    <w:uiPriority w:val="0"/>
    <w:rPr>
      <w:rFonts w:ascii="宋体"/>
      <w:kern w:val="2"/>
      <w:sz w:val="24"/>
    </w:rPr>
  </w:style>
  <w:style w:type="character" w:customStyle="1" w:styleId="87">
    <w:name w:val="正文文本 字符"/>
    <w:link w:val="19"/>
    <w:qFormat/>
    <w:uiPriority w:val="0"/>
    <w:rPr>
      <w:rFonts w:ascii="楷体_GB2312" w:hAnsi="Times New Roman" w:eastAsia="楷体_GB2312"/>
      <w:kern w:val="2"/>
      <w:sz w:val="32"/>
    </w:rPr>
  </w:style>
  <w:style w:type="character" w:customStyle="1" w:styleId="88">
    <w:name w:val="正文文本缩进 字符1"/>
    <w:link w:val="22"/>
    <w:qFormat/>
    <w:uiPriority w:val="99"/>
    <w:rPr>
      <w:sz w:val="21"/>
    </w:rPr>
  </w:style>
  <w:style w:type="character" w:customStyle="1" w:styleId="89">
    <w:name w:val="纯文本 字符3"/>
    <w:link w:val="29"/>
    <w:qFormat/>
    <w:uiPriority w:val="0"/>
    <w:rPr>
      <w:rFonts w:ascii="宋体" w:hAnsi="Courier New" w:eastAsia="宋体"/>
      <w:kern w:val="2"/>
      <w:sz w:val="21"/>
      <w:lang w:val="en-US" w:eastAsia="zh-CN" w:bidi="ar-SA"/>
    </w:rPr>
  </w:style>
  <w:style w:type="character" w:customStyle="1" w:styleId="90">
    <w:name w:val="日期 字符"/>
    <w:link w:val="31"/>
    <w:qFormat/>
    <w:locked/>
    <w:uiPriority w:val="99"/>
    <w:rPr>
      <w:rFonts w:ascii="宋体"/>
      <w:sz w:val="24"/>
    </w:rPr>
  </w:style>
  <w:style w:type="character" w:customStyle="1" w:styleId="91">
    <w:name w:val="正文文本缩进 2 字符"/>
    <w:link w:val="32"/>
    <w:qFormat/>
    <w:locked/>
    <w:uiPriority w:val="0"/>
    <w:rPr>
      <w:kern w:val="2"/>
      <w:sz w:val="21"/>
      <w:szCs w:val="24"/>
    </w:rPr>
  </w:style>
  <w:style w:type="character" w:customStyle="1" w:styleId="92">
    <w:name w:val="尾注文本 字符"/>
    <w:link w:val="33"/>
    <w:qFormat/>
    <w:locked/>
    <w:uiPriority w:val="0"/>
    <w:rPr>
      <w:kern w:val="2"/>
      <w:sz w:val="21"/>
    </w:rPr>
  </w:style>
  <w:style w:type="character" w:customStyle="1" w:styleId="93">
    <w:name w:val="批注框文本 字符"/>
    <w:link w:val="34"/>
    <w:qFormat/>
    <w:uiPriority w:val="99"/>
    <w:rPr>
      <w:rFonts w:ascii="Times New Roman" w:hAnsi="Times New Roman"/>
      <w:sz w:val="18"/>
      <w:szCs w:val="18"/>
    </w:rPr>
  </w:style>
  <w:style w:type="character" w:customStyle="1" w:styleId="94">
    <w:name w:val="页脚 字符"/>
    <w:link w:val="35"/>
    <w:qFormat/>
    <w:uiPriority w:val="99"/>
    <w:rPr>
      <w:rFonts w:ascii="Times New Roman" w:hAnsi="Times New Roman" w:eastAsia="宋体" w:cs="Times New Roman"/>
      <w:kern w:val="0"/>
      <w:sz w:val="18"/>
      <w:szCs w:val="20"/>
    </w:rPr>
  </w:style>
  <w:style w:type="character" w:customStyle="1" w:styleId="95">
    <w:name w:val="页眉 字符"/>
    <w:link w:val="36"/>
    <w:qFormat/>
    <w:uiPriority w:val="99"/>
    <w:rPr>
      <w:rFonts w:ascii="Times New Roman" w:hAnsi="Times New Roman" w:eastAsia="宋体" w:cs="Times New Roman"/>
      <w:kern w:val="0"/>
      <w:sz w:val="18"/>
      <w:szCs w:val="18"/>
    </w:rPr>
  </w:style>
  <w:style w:type="character" w:customStyle="1" w:styleId="96">
    <w:name w:val="副标题 字符"/>
    <w:link w:val="39"/>
    <w:qFormat/>
    <w:locked/>
    <w:uiPriority w:val="0"/>
    <w:rPr>
      <w:rFonts w:ascii="Cambria" w:hAnsi="Cambria"/>
      <w:b/>
      <w:kern w:val="28"/>
      <w:sz w:val="32"/>
    </w:rPr>
  </w:style>
  <w:style w:type="character" w:customStyle="1" w:styleId="97">
    <w:name w:val="脚注文本 字符"/>
    <w:link w:val="41"/>
    <w:qFormat/>
    <w:locked/>
    <w:uiPriority w:val="0"/>
    <w:rPr>
      <w:kern w:val="2"/>
    </w:rPr>
  </w:style>
  <w:style w:type="character" w:customStyle="1" w:styleId="98">
    <w:name w:val="正文文本缩进 3 字符"/>
    <w:link w:val="42"/>
    <w:qFormat/>
    <w:locked/>
    <w:uiPriority w:val="0"/>
    <w:rPr>
      <w:sz w:val="16"/>
      <w:szCs w:val="16"/>
    </w:rPr>
  </w:style>
  <w:style w:type="character" w:customStyle="1" w:styleId="99">
    <w:name w:val="正文文本 2 字符"/>
    <w:link w:val="47"/>
    <w:qFormat/>
    <w:uiPriority w:val="0"/>
    <w:rPr>
      <w:rFonts w:ascii="宋体" w:hAnsi="宋体"/>
      <w:color w:val="000000"/>
      <w:kern w:val="2"/>
      <w:sz w:val="24"/>
      <w:szCs w:val="24"/>
    </w:rPr>
  </w:style>
  <w:style w:type="character" w:customStyle="1" w:styleId="100">
    <w:name w:val="HTML 预设格式 字符"/>
    <w:link w:val="48"/>
    <w:qFormat/>
    <w:uiPriority w:val="99"/>
    <w:rPr>
      <w:rFonts w:ascii="Arial Unicode MS" w:hAnsi="Arial Unicode MS" w:eastAsia="Times New Roman"/>
    </w:rPr>
  </w:style>
  <w:style w:type="character" w:customStyle="1" w:styleId="101">
    <w:name w:val="普通(网站) 字符"/>
    <w:link w:val="49"/>
    <w:qFormat/>
    <w:uiPriority w:val="0"/>
    <w:rPr>
      <w:rFonts w:ascii="Arial Unicode MS" w:hAnsi="Arial Unicode MS" w:eastAsia="Times New Roman"/>
      <w:color w:val="000000"/>
      <w:sz w:val="24"/>
      <w:szCs w:val="24"/>
    </w:rPr>
  </w:style>
  <w:style w:type="character" w:customStyle="1" w:styleId="102">
    <w:name w:val="标题 字符"/>
    <w:link w:val="51"/>
    <w:qFormat/>
    <w:locked/>
    <w:uiPriority w:val="0"/>
    <w:rPr>
      <w:rFonts w:ascii="Arial" w:hAnsi="Arial"/>
      <w:b/>
      <w:sz w:val="32"/>
    </w:rPr>
  </w:style>
  <w:style w:type="character" w:customStyle="1" w:styleId="103">
    <w:name w:val="批注主题 字符"/>
    <w:link w:val="52"/>
    <w:qFormat/>
    <w:uiPriority w:val="0"/>
    <w:rPr>
      <w:rFonts w:ascii="Times New Roman" w:hAnsi="Times New Roman"/>
      <w:b/>
      <w:bCs/>
      <w:sz w:val="21"/>
    </w:rPr>
  </w:style>
  <w:style w:type="character" w:customStyle="1" w:styleId="104">
    <w:name w:val="正文首行缩进 字符"/>
    <w:link w:val="20"/>
    <w:qFormat/>
    <w:locked/>
    <w:uiPriority w:val="0"/>
    <w:rPr>
      <w:kern w:val="2"/>
      <w:sz w:val="21"/>
      <w:szCs w:val="24"/>
    </w:rPr>
  </w:style>
  <w:style w:type="paragraph" w:customStyle="1" w:styleId="105">
    <w:name w:val="pa-142"/>
    <w:basedOn w:val="1"/>
    <w:qFormat/>
    <w:uiPriority w:val="0"/>
    <w:pPr>
      <w:spacing w:line="320" w:lineRule="atLeast"/>
      <w:ind w:firstLine="280"/>
      <w:jc w:val="right"/>
    </w:pPr>
    <w:rPr>
      <w:rFonts w:ascii="宋体" w:hAnsi="宋体" w:cs="宋体"/>
      <w:sz w:val="24"/>
      <w:szCs w:val="24"/>
    </w:rPr>
  </w:style>
  <w:style w:type="paragraph" w:customStyle="1" w:styleId="106">
    <w:name w:val="pa-16"/>
    <w:basedOn w:val="1"/>
    <w:qFormat/>
    <w:uiPriority w:val="0"/>
    <w:pPr>
      <w:spacing w:line="240" w:lineRule="atLeast"/>
      <w:jc w:val="both"/>
    </w:pPr>
    <w:rPr>
      <w:rFonts w:ascii="宋体" w:hAnsi="宋体" w:cs="宋体"/>
      <w:sz w:val="24"/>
      <w:szCs w:val="24"/>
    </w:rPr>
  </w:style>
  <w:style w:type="paragraph" w:customStyle="1" w:styleId="107">
    <w:name w:val="ca-12"/>
    <w:basedOn w:val="1"/>
    <w:qFormat/>
    <w:uiPriority w:val="0"/>
    <w:rPr>
      <w:rFonts w:ascii="Calibri" w:hAnsi="Calibri"/>
      <w:color w:val="000000"/>
      <w:sz w:val="32"/>
      <w:szCs w:val="32"/>
    </w:rPr>
  </w:style>
  <w:style w:type="paragraph" w:customStyle="1" w:styleId="108">
    <w:name w:val="Char12"/>
    <w:basedOn w:val="1"/>
    <w:qFormat/>
    <w:uiPriority w:val="0"/>
    <w:pPr>
      <w:widowControl w:val="0"/>
      <w:jc w:val="both"/>
    </w:pPr>
    <w:rPr>
      <w:rFonts w:ascii="仿宋_GB2312" w:hAnsi="Calibri" w:eastAsia="仿宋_GB2312"/>
      <w:b/>
      <w:kern w:val="2"/>
      <w:sz w:val="32"/>
      <w:szCs w:val="32"/>
    </w:rPr>
  </w:style>
  <w:style w:type="paragraph" w:customStyle="1" w:styleId="109">
    <w:name w:val="xl9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sz w:val="16"/>
      <w:szCs w:val="16"/>
    </w:rPr>
  </w:style>
  <w:style w:type="paragraph" w:customStyle="1" w:styleId="110">
    <w:name w:val="pa-86"/>
    <w:basedOn w:val="1"/>
    <w:qFormat/>
    <w:uiPriority w:val="0"/>
    <w:pPr>
      <w:spacing w:line="320" w:lineRule="atLeast"/>
      <w:ind w:firstLine="560"/>
      <w:jc w:val="both"/>
    </w:pPr>
    <w:rPr>
      <w:rFonts w:ascii="宋体" w:hAnsi="宋体" w:cs="宋体"/>
      <w:sz w:val="24"/>
      <w:szCs w:val="24"/>
    </w:rPr>
  </w:style>
  <w:style w:type="paragraph" w:customStyle="1" w:styleId="111">
    <w:name w:val="标题5"/>
    <w:basedOn w:val="4"/>
    <w:link w:val="112"/>
    <w:qFormat/>
    <w:uiPriority w:val="0"/>
    <w:pPr>
      <w:widowControl w:val="0"/>
      <w:spacing w:line="413" w:lineRule="auto"/>
      <w:ind w:left="720" w:hanging="720"/>
      <w:jc w:val="both"/>
    </w:pPr>
    <w:rPr>
      <w:rFonts w:ascii="Arial" w:hAnsi="Arial"/>
      <w:bCs w:val="0"/>
      <w:szCs w:val="20"/>
    </w:rPr>
  </w:style>
  <w:style w:type="character" w:customStyle="1" w:styleId="112">
    <w:name w:val="标题5 Char Char"/>
    <w:link w:val="111"/>
    <w:qFormat/>
    <w:locked/>
    <w:uiPriority w:val="0"/>
    <w:rPr>
      <w:rFonts w:ascii="Arial" w:hAnsi="Arial"/>
      <w:b/>
      <w:sz w:val="32"/>
    </w:rPr>
  </w:style>
  <w:style w:type="paragraph" w:customStyle="1" w:styleId="113">
    <w:name w:val="pa-98"/>
    <w:basedOn w:val="1"/>
    <w:qFormat/>
    <w:uiPriority w:val="0"/>
    <w:pPr>
      <w:spacing w:line="720" w:lineRule="atLeast"/>
      <w:ind w:firstLine="480"/>
      <w:jc w:val="both"/>
    </w:pPr>
    <w:rPr>
      <w:rFonts w:ascii="宋体" w:hAnsi="宋体" w:cs="宋体"/>
      <w:sz w:val="24"/>
      <w:szCs w:val="24"/>
    </w:rPr>
  </w:style>
  <w:style w:type="paragraph" w:customStyle="1" w:styleId="114">
    <w:name w:val="pa-67"/>
    <w:basedOn w:val="1"/>
    <w:qFormat/>
    <w:uiPriority w:val="0"/>
    <w:pPr>
      <w:spacing w:line="240" w:lineRule="atLeast"/>
      <w:ind w:firstLine="420"/>
    </w:pPr>
    <w:rPr>
      <w:rFonts w:ascii="宋体" w:hAnsi="宋体" w:cs="宋体"/>
      <w:sz w:val="24"/>
      <w:szCs w:val="24"/>
    </w:rPr>
  </w:style>
  <w:style w:type="paragraph" w:customStyle="1" w:styleId="115">
    <w:name w:val="样式1"/>
    <w:basedOn w:val="2"/>
    <w:qFormat/>
    <w:uiPriority w:val="0"/>
    <w:pPr>
      <w:tabs>
        <w:tab w:val="clear" w:pos="840"/>
      </w:tabs>
      <w:adjustRightInd/>
      <w:snapToGrid/>
      <w:spacing w:before="340" w:after="330" w:line="576" w:lineRule="auto"/>
      <w:jc w:val="center"/>
    </w:pPr>
    <w:rPr>
      <w:rFonts w:ascii="Calibri" w:hAnsi="Calibri" w:eastAsia="黑体"/>
      <w:bCs/>
      <w:sz w:val="44"/>
      <w:szCs w:val="44"/>
    </w:rPr>
  </w:style>
  <w:style w:type="paragraph" w:customStyle="1" w:styleId="116">
    <w:name w:val="td-4"/>
    <w:basedOn w:val="1"/>
    <w:qFormat/>
    <w:uiPriority w:val="0"/>
    <w:pPr>
      <w:pBdr>
        <w:top w:val="single" w:color="000000" w:sz="12" w:space="0"/>
        <w:left w:val="single" w:color="000000" w:sz="12" w:space="4"/>
        <w:bottom w:val="single" w:color="000000" w:sz="4" w:space="0"/>
        <w:right w:val="single" w:color="000000" w:sz="4" w:space="0"/>
      </w:pBdr>
    </w:pPr>
    <w:rPr>
      <w:rFonts w:ascii="宋体" w:hAnsi="宋体" w:cs="宋体"/>
      <w:sz w:val="24"/>
      <w:szCs w:val="24"/>
    </w:rPr>
  </w:style>
  <w:style w:type="paragraph" w:customStyle="1" w:styleId="117">
    <w:name w:val="ca-24"/>
    <w:basedOn w:val="1"/>
    <w:qFormat/>
    <w:uiPriority w:val="0"/>
    <w:rPr>
      <w:rFonts w:ascii="宋体" w:hAnsi="宋体" w:cs="宋体"/>
      <w:sz w:val="24"/>
      <w:szCs w:val="24"/>
    </w:rPr>
  </w:style>
  <w:style w:type="paragraph" w:customStyle="1" w:styleId="118">
    <w:name w:val="pa-100"/>
    <w:basedOn w:val="1"/>
    <w:qFormat/>
    <w:uiPriority w:val="0"/>
    <w:pPr>
      <w:spacing w:line="300" w:lineRule="atLeast"/>
      <w:jc w:val="both"/>
    </w:pPr>
    <w:rPr>
      <w:rFonts w:ascii="宋体" w:hAnsi="宋体" w:cs="宋体"/>
      <w:sz w:val="24"/>
      <w:szCs w:val="24"/>
    </w:rPr>
  </w:style>
  <w:style w:type="paragraph" w:customStyle="1" w:styleId="119">
    <w:name w:val="ca-38"/>
    <w:basedOn w:val="1"/>
    <w:qFormat/>
    <w:uiPriority w:val="0"/>
    <w:rPr>
      <w:rFonts w:ascii="Calibri" w:hAnsi="Calibri"/>
      <w:b/>
      <w:bCs/>
      <w:spacing w:val="-20"/>
      <w:szCs w:val="21"/>
    </w:rPr>
  </w:style>
  <w:style w:type="paragraph" w:customStyle="1" w:styleId="120">
    <w:name w:val="引用2"/>
    <w:basedOn w:val="1"/>
    <w:next w:val="1"/>
    <w:qFormat/>
    <w:uiPriority w:val="0"/>
    <w:pPr>
      <w:widowControl w:val="0"/>
      <w:jc w:val="both"/>
    </w:pPr>
    <w:rPr>
      <w:rFonts w:ascii="Calibri" w:hAnsi="Calibri"/>
      <w:i/>
      <w:color w:val="000000"/>
      <w:kern w:val="2"/>
      <w:sz w:val="22"/>
    </w:rPr>
  </w:style>
  <w:style w:type="paragraph" w:customStyle="1" w:styleId="121">
    <w:name w:val="样式 标题 3 + (中文) 黑体 小四 非加粗 段前: 7.8 磅 段后: 0 磅 行距: 固定值 20 磅"/>
    <w:basedOn w:val="4"/>
    <w:qFormat/>
    <w:uiPriority w:val="0"/>
    <w:pPr>
      <w:widowControl w:val="0"/>
      <w:spacing w:before="0" w:after="0" w:line="400" w:lineRule="exact"/>
      <w:ind w:left="720" w:hanging="720"/>
      <w:jc w:val="both"/>
    </w:pPr>
    <w:rPr>
      <w:rFonts w:ascii="Calibri" w:hAnsi="Calibri" w:eastAsia="黑体" w:cs="宋体"/>
      <w:b w:val="0"/>
      <w:bCs w:val="0"/>
      <w:kern w:val="2"/>
      <w:sz w:val="24"/>
      <w:szCs w:val="20"/>
    </w:rPr>
  </w:style>
  <w:style w:type="paragraph" w:customStyle="1" w:styleId="122">
    <w:name w:val="Char2 Char Char Char Char Char Char"/>
    <w:basedOn w:val="1"/>
    <w:qFormat/>
    <w:uiPriority w:val="0"/>
    <w:pPr>
      <w:widowControl w:val="0"/>
      <w:autoSpaceDE w:val="0"/>
      <w:autoSpaceDN w:val="0"/>
      <w:adjustRightInd w:val="0"/>
      <w:snapToGrid w:val="0"/>
      <w:spacing w:line="500" w:lineRule="exact"/>
      <w:ind w:firstLine="562" w:firstLineChars="200"/>
      <w:jc w:val="center"/>
    </w:pPr>
    <w:rPr>
      <w:rFonts w:ascii="Calibri" w:hAnsi="Calibri" w:eastAsia="仿宋_GB2312"/>
      <w:b/>
      <w:color w:val="000000"/>
      <w:kern w:val="2"/>
      <w:sz w:val="28"/>
      <w:szCs w:val="28"/>
    </w:rPr>
  </w:style>
  <w:style w:type="paragraph" w:customStyle="1" w:styleId="123">
    <w:name w:val="pa-51"/>
    <w:basedOn w:val="1"/>
    <w:qFormat/>
    <w:uiPriority w:val="0"/>
    <w:pPr>
      <w:spacing w:line="276" w:lineRule="atLeast"/>
      <w:jc w:val="center"/>
    </w:pPr>
    <w:rPr>
      <w:rFonts w:ascii="宋体" w:hAnsi="宋体" w:cs="宋体"/>
      <w:sz w:val="24"/>
      <w:szCs w:val="24"/>
    </w:rPr>
  </w:style>
  <w:style w:type="paragraph" w:customStyle="1" w:styleId="124">
    <w:name w:val="pa-14"/>
    <w:basedOn w:val="1"/>
    <w:qFormat/>
    <w:uiPriority w:val="0"/>
    <w:pPr>
      <w:spacing w:line="360" w:lineRule="atLeast"/>
    </w:pPr>
    <w:rPr>
      <w:rFonts w:ascii="宋体" w:hAnsi="宋体" w:cs="宋体"/>
      <w:sz w:val="24"/>
      <w:szCs w:val="24"/>
    </w:rPr>
  </w:style>
  <w:style w:type="paragraph" w:customStyle="1" w:styleId="125">
    <w:name w:val="pa-110"/>
    <w:basedOn w:val="1"/>
    <w:qFormat/>
    <w:uiPriority w:val="0"/>
    <w:pPr>
      <w:spacing w:line="360" w:lineRule="atLeast"/>
      <w:jc w:val="center"/>
    </w:pPr>
    <w:rPr>
      <w:rFonts w:ascii="宋体" w:hAnsi="宋体" w:cs="宋体"/>
      <w:sz w:val="24"/>
      <w:szCs w:val="24"/>
    </w:rPr>
  </w:style>
  <w:style w:type="paragraph" w:styleId="126">
    <w:name w:val="List Paragraph"/>
    <w:basedOn w:val="1"/>
    <w:link w:val="127"/>
    <w:qFormat/>
    <w:uiPriority w:val="34"/>
    <w:pPr>
      <w:ind w:firstLine="420" w:firstLineChars="200"/>
    </w:pPr>
  </w:style>
  <w:style w:type="character" w:customStyle="1" w:styleId="127">
    <w:name w:val="列出段落 字符"/>
    <w:link w:val="126"/>
    <w:qFormat/>
    <w:uiPriority w:val="99"/>
    <w:rPr>
      <w:sz w:val="21"/>
    </w:rPr>
  </w:style>
  <w:style w:type="paragraph" w:customStyle="1" w:styleId="128">
    <w:name w:val="Char Char1 Char1"/>
    <w:basedOn w:val="1"/>
    <w:qFormat/>
    <w:uiPriority w:val="0"/>
    <w:pPr>
      <w:widowControl w:val="0"/>
      <w:jc w:val="both"/>
    </w:pPr>
    <w:rPr>
      <w:rFonts w:ascii="Calibri" w:hAnsi="Calibri"/>
      <w:kern w:val="2"/>
      <w:szCs w:val="24"/>
    </w:rPr>
  </w:style>
  <w:style w:type="paragraph" w:customStyle="1" w:styleId="129">
    <w:name w:val="xl90"/>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0"/>
    </w:rPr>
  </w:style>
  <w:style w:type="paragraph" w:customStyle="1" w:styleId="130">
    <w:name w:val="引用1"/>
    <w:basedOn w:val="1"/>
    <w:next w:val="1"/>
    <w:link w:val="131"/>
    <w:qFormat/>
    <w:uiPriority w:val="0"/>
    <w:pPr>
      <w:widowControl w:val="0"/>
      <w:jc w:val="both"/>
    </w:pPr>
    <w:rPr>
      <w:i/>
      <w:color w:val="000000"/>
      <w:kern w:val="2"/>
      <w:sz w:val="22"/>
    </w:rPr>
  </w:style>
  <w:style w:type="character" w:customStyle="1" w:styleId="131">
    <w:name w:val="Quote Char"/>
    <w:link w:val="130"/>
    <w:qFormat/>
    <w:locked/>
    <w:uiPriority w:val="0"/>
    <w:rPr>
      <w:i/>
      <w:color w:val="000000"/>
      <w:kern w:val="2"/>
      <w:sz w:val="22"/>
    </w:rPr>
  </w:style>
  <w:style w:type="paragraph" w:customStyle="1" w:styleId="132">
    <w:name w:val="标题4"/>
    <w:basedOn w:val="3"/>
    <w:next w:val="26"/>
    <w:link w:val="133"/>
    <w:qFormat/>
    <w:uiPriority w:val="0"/>
    <w:pPr>
      <w:widowControl w:val="0"/>
      <w:spacing w:line="413" w:lineRule="auto"/>
      <w:jc w:val="both"/>
    </w:pPr>
    <w:rPr>
      <w:rFonts w:ascii="Arial" w:hAnsi="Arial"/>
      <w:bCs w:val="0"/>
      <w:szCs w:val="20"/>
    </w:rPr>
  </w:style>
  <w:style w:type="character" w:customStyle="1" w:styleId="133">
    <w:name w:val="标题4 Char Char"/>
    <w:link w:val="132"/>
    <w:qFormat/>
    <w:locked/>
    <w:uiPriority w:val="0"/>
    <w:rPr>
      <w:rFonts w:ascii="Arial" w:hAnsi="Arial"/>
      <w:b/>
      <w:sz w:val="32"/>
    </w:rPr>
  </w:style>
  <w:style w:type="paragraph" w:customStyle="1" w:styleId="134">
    <w:name w:val="pa-78"/>
    <w:basedOn w:val="1"/>
    <w:qFormat/>
    <w:uiPriority w:val="0"/>
    <w:pPr>
      <w:spacing w:line="340" w:lineRule="atLeast"/>
      <w:jc w:val="both"/>
    </w:pPr>
    <w:rPr>
      <w:rFonts w:ascii="宋体" w:hAnsi="宋体" w:cs="宋体"/>
      <w:sz w:val="24"/>
      <w:szCs w:val="24"/>
    </w:rPr>
  </w:style>
  <w:style w:type="paragraph" w:customStyle="1" w:styleId="135">
    <w:name w:val="xl114"/>
    <w:basedOn w:val="1"/>
    <w:qFormat/>
    <w:uiPriority w:val="0"/>
    <w:pPr>
      <w:shd w:val="clear" w:color="000000" w:fill="FFFFFF"/>
      <w:spacing w:before="100" w:beforeAutospacing="1" w:after="100" w:afterAutospacing="1"/>
      <w:jc w:val="center"/>
      <w:textAlignment w:val="center"/>
    </w:pPr>
    <w:rPr>
      <w:rFonts w:ascii="宋体" w:hAnsi="宋体" w:cs="宋体"/>
      <w:sz w:val="36"/>
      <w:szCs w:val="36"/>
    </w:rPr>
  </w:style>
  <w:style w:type="paragraph" w:customStyle="1" w:styleId="136">
    <w:name w:val="*正文"/>
    <w:basedOn w:val="1"/>
    <w:qFormat/>
    <w:uiPriority w:val="0"/>
    <w:pPr>
      <w:spacing w:line="360" w:lineRule="auto"/>
      <w:ind w:firstLine="480" w:firstLineChars="200"/>
    </w:pPr>
    <w:rPr>
      <w:rFonts w:ascii="Calibri" w:hAnsi="Calibri" w:cs="仿宋_GB2312"/>
      <w:sz w:val="24"/>
    </w:rPr>
  </w:style>
  <w:style w:type="paragraph" w:customStyle="1" w:styleId="137">
    <w:name w:val="默认段落字体 Para Char Char Char Char Char Char Char"/>
    <w:basedOn w:val="1"/>
    <w:qFormat/>
    <w:uiPriority w:val="0"/>
    <w:pPr>
      <w:widowControl w:val="0"/>
      <w:jc w:val="both"/>
    </w:pPr>
    <w:rPr>
      <w:rFonts w:ascii="Tahoma" w:hAnsi="Tahoma"/>
      <w:kern w:val="2"/>
      <w:sz w:val="24"/>
    </w:rPr>
  </w:style>
  <w:style w:type="paragraph" w:customStyle="1" w:styleId="138">
    <w:name w:val="样式 标题 3h3标题 3(节)H3l3CTsect1.2.3Heading 3 - old一level_3..."/>
    <w:basedOn w:val="4"/>
    <w:qFormat/>
    <w:uiPriority w:val="0"/>
    <w:pPr>
      <w:widowControl w:val="0"/>
      <w:adjustRightInd w:val="0"/>
      <w:spacing w:line="360" w:lineRule="auto"/>
      <w:ind w:left="720" w:hanging="720"/>
    </w:pPr>
    <w:rPr>
      <w:rFonts w:ascii="宋体" w:hAnsi="Arial"/>
      <w:kern w:val="24"/>
      <w:sz w:val="24"/>
      <w:szCs w:val="20"/>
    </w:rPr>
  </w:style>
  <w:style w:type="paragraph" w:customStyle="1" w:styleId="139">
    <w:name w:val="Char Char Char Char Char Char1 Char Char Char Char Char Char Char Char Char Char Char Char Char1 Char Char Char1"/>
    <w:basedOn w:val="1"/>
    <w:qFormat/>
    <w:uiPriority w:val="0"/>
    <w:pPr>
      <w:widowControl w:val="0"/>
      <w:jc w:val="both"/>
    </w:pPr>
    <w:rPr>
      <w:rFonts w:ascii="Calibri" w:hAnsi="Calibri"/>
      <w:b/>
      <w:bCs/>
      <w:kern w:val="2"/>
      <w:sz w:val="36"/>
      <w:szCs w:val="32"/>
    </w:rPr>
  </w:style>
  <w:style w:type="paragraph" w:customStyle="1" w:styleId="140">
    <w:name w:val="pa-84"/>
    <w:basedOn w:val="1"/>
    <w:qFormat/>
    <w:uiPriority w:val="0"/>
    <w:pPr>
      <w:spacing w:line="480" w:lineRule="atLeast"/>
      <w:jc w:val="center"/>
    </w:pPr>
    <w:rPr>
      <w:rFonts w:ascii="宋体" w:hAnsi="宋体" w:cs="宋体"/>
      <w:sz w:val="24"/>
      <w:szCs w:val="24"/>
    </w:rPr>
  </w:style>
  <w:style w:type="paragraph" w:customStyle="1" w:styleId="141">
    <w:name w:val="pa-91"/>
    <w:basedOn w:val="1"/>
    <w:qFormat/>
    <w:uiPriority w:val="0"/>
    <w:pPr>
      <w:spacing w:line="360" w:lineRule="atLeast"/>
      <w:ind w:firstLine="4000"/>
    </w:pPr>
    <w:rPr>
      <w:rFonts w:ascii="宋体" w:hAnsi="宋体" w:cs="宋体"/>
      <w:sz w:val="24"/>
      <w:szCs w:val="24"/>
    </w:rPr>
  </w:style>
  <w:style w:type="paragraph" w:customStyle="1" w:styleId="142">
    <w:name w:val="标书标题2"/>
    <w:basedOn w:val="3"/>
    <w:qFormat/>
    <w:uiPriority w:val="0"/>
    <w:pPr>
      <w:keepLines w:val="0"/>
      <w:tabs>
        <w:tab w:val="left" w:pos="1140"/>
      </w:tabs>
      <w:adjustRightInd w:val="0"/>
      <w:snapToGrid w:val="0"/>
      <w:spacing w:beforeLines="50" w:after="60" w:line="300" w:lineRule="auto"/>
      <w:ind w:left="1140" w:hanging="720"/>
    </w:pPr>
    <w:rPr>
      <w:rFonts w:ascii="Arial Narrow" w:hAnsi="Arial Narrow" w:eastAsia="仿宋_GB2312"/>
      <w:bCs w:val="0"/>
      <w:sz w:val="28"/>
      <w:szCs w:val="20"/>
    </w:rPr>
  </w:style>
  <w:style w:type="paragraph" w:customStyle="1" w:styleId="143">
    <w:name w:val="表格格式"/>
    <w:basedOn w:val="1"/>
    <w:qFormat/>
    <w:uiPriority w:val="0"/>
    <w:pPr>
      <w:widowControl w:val="0"/>
      <w:spacing w:line="360" w:lineRule="exact"/>
      <w:ind w:left="-91"/>
    </w:pPr>
    <w:rPr>
      <w:rFonts w:ascii="宋体" w:hAnsi="Calibri"/>
      <w:sz w:val="24"/>
      <w:szCs w:val="11"/>
    </w:rPr>
  </w:style>
  <w:style w:type="paragraph" w:customStyle="1" w:styleId="144">
    <w:name w:val="pa-127"/>
    <w:basedOn w:val="1"/>
    <w:qFormat/>
    <w:uiPriority w:val="0"/>
    <w:pPr>
      <w:spacing w:line="480" w:lineRule="atLeast"/>
      <w:ind w:firstLine="960"/>
      <w:jc w:val="both"/>
    </w:pPr>
    <w:rPr>
      <w:rFonts w:ascii="宋体" w:hAnsi="宋体" w:cs="宋体"/>
      <w:sz w:val="24"/>
      <w:szCs w:val="24"/>
    </w:rPr>
  </w:style>
  <w:style w:type="paragraph" w:customStyle="1" w:styleId="145">
    <w:name w:val="pa-20"/>
    <w:basedOn w:val="1"/>
    <w:qFormat/>
    <w:uiPriority w:val="0"/>
    <w:pPr>
      <w:spacing w:line="360" w:lineRule="atLeast"/>
    </w:pPr>
    <w:rPr>
      <w:rFonts w:ascii="宋体" w:hAnsi="宋体" w:cs="宋体"/>
      <w:sz w:val="24"/>
      <w:szCs w:val="24"/>
    </w:rPr>
  </w:style>
  <w:style w:type="paragraph" w:customStyle="1" w:styleId="146">
    <w:name w:val="样式 标题 3 + 段前: 7.8 磅"/>
    <w:basedOn w:val="4"/>
    <w:qFormat/>
    <w:uiPriority w:val="0"/>
    <w:pPr>
      <w:keepNext w:val="0"/>
      <w:keepLines w:val="0"/>
      <w:widowControl w:val="0"/>
      <w:tabs>
        <w:tab w:val="left" w:pos="432"/>
      </w:tabs>
      <w:spacing w:before="156" w:after="0" w:line="360" w:lineRule="auto"/>
      <w:ind w:left="432" w:hanging="432"/>
      <w:jc w:val="both"/>
    </w:pPr>
    <w:rPr>
      <w:rFonts w:ascii="Calibri" w:hAnsi="Calibri" w:cs="宋体"/>
      <w:b w:val="0"/>
      <w:bCs w:val="0"/>
      <w:kern w:val="2"/>
      <w:sz w:val="24"/>
      <w:szCs w:val="20"/>
    </w:rPr>
  </w:style>
  <w:style w:type="paragraph" w:customStyle="1" w:styleId="147">
    <w:name w:val="内文"/>
    <w:link w:val="148"/>
    <w:qFormat/>
    <w:uiPriority w:val="0"/>
    <w:pPr>
      <w:adjustRightInd w:val="0"/>
      <w:snapToGrid w:val="0"/>
      <w:spacing w:line="400" w:lineRule="exact"/>
      <w:ind w:firstLine="200" w:firstLineChars="200"/>
      <w:jc w:val="both"/>
    </w:pPr>
    <w:rPr>
      <w:rFonts w:ascii="Arial" w:hAnsi="Arial" w:eastAsia="Times New Roman" w:cs="Times New Roman"/>
      <w:kern w:val="2"/>
      <w:sz w:val="21"/>
      <w:lang w:val="en-US" w:eastAsia="zh-CN" w:bidi="ar-SA"/>
    </w:rPr>
  </w:style>
  <w:style w:type="character" w:customStyle="1" w:styleId="148">
    <w:name w:val="内文 Char Char"/>
    <w:link w:val="147"/>
    <w:qFormat/>
    <w:locked/>
    <w:uiPriority w:val="0"/>
    <w:rPr>
      <w:rFonts w:ascii="Arial" w:hAnsi="Arial" w:eastAsia="Times New Roman"/>
      <w:kern w:val="2"/>
      <w:sz w:val="21"/>
      <w:lang w:val="en-US" w:eastAsia="zh-CN" w:bidi="ar-SA"/>
    </w:rPr>
  </w:style>
  <w:style w:type="paragraph" w:customStyle="1" w:styleId="149">
    <w:name w:val="ca-21"/>
    <w:basedOn w:val="1"/>
    <w:qFormat/>
    <w:uiPriority w:val="0"/>
    <w:rPr>
      <w:rFonts w:ascii="宋体" w:hAnsi="宋体" w:cs="宋体"/>
      <w:color w:val="000000"/>
      <w:szCs w:val="21"/>
    </w:rPr>
  </w:style>
  <w:style w:type="paragraph" w:customStyle="1" w:styleId="150">
    <w:name w:val="pa-37"/>
    <w:basedOn w:val="1"/>
    <w:qFormat/>
    <w:uiPriority w:val="0"/>
    <w:pPr>
      <w:spacing w:line="360" w:lineRule="atLeast"/>
      <w:ind w:firstLine="300"/>
      <w:jc w:val="both"/>
    </w:pPr>
    <w:rPr>
      <w:rFonts w:ascii="宋体" w:hAnsi="宋体" w:cs="宋体"/>
      <w:sz w:val="24"/>
      <w:szCs w:val="24"/>
    </w:rPr>
  </w:style>
  <w:style w:type="paragraph" w:customStyle="1" w:styleId="151">
    <w:name w:val="Revision1"/>
    <w:qFormat/>
    <w:uiPriority w:val="0"/>
    <w:rPr>
      <w:rFonts w:ascii="Calibri" w:hAnsi="Calibri" w:eastAsia="宋体" w:cs="Times New Roman"/>
      <w:kern w:val="2"/>
      <w:sz w:val="21"/>
      <w:szCs w:val="24"/>
      <w:lang w:val="en-US" w:eastAsia="zh-CN" w:bidi="ar-SA"/>
    </w:rPr>
  </w:style>
  <w:style w:type="paragraph" w:customStyle="1" w:styleId="152">
    <w:name w:val="ca-33"/>
    <w:basedOn w:val="1"/>
    <w:qFormat/>
    <w:uiPriority w:val="0"/>
    <w:rPr>
      <w:rFonts w:ascii="宋体" w:hAnsi="宋体" w:cs="宋体"/>
      <w:b/>
      <w:bCs/>
      <w:color w:val="002060"/>
      <w:spacing w:val="-20"/>
      <w:sz w:val="20"/>
    </w:rPr>
  </w:style>
  <w:style w:type="paragraph" w:customStyle="1" w:styleId="153">
    <w:name w:val="ca-48"/>
    <w:basedOn w:val="1"/>
    <w:qFormat/>
    <w:uiPriority w:val="0"/>
    <w:rPr>
      <w:rFonts w:ascii="宋体" w:hAnsi="宋体" w:cs="宋体"/>
      <w:color w:val="000000"/>
      <w:sz w:val="26"/>
      <w:szCs w:val="26"/>
    </w:rPr>
  </w:style>
  <w:style w:type="paragraph" w:customStyle="1" w:styleId="154">
    <w:name w:val="pa-133"/>
    <w:basedOn w:val="1"/>
    <w:qFormat/>
    <w:uiPriority w:val="0"/>
    <w:pPr>
      <w:spacing w:line="280" w:lineRule="atLeast"/>
    </w:pPr>
    <w:rPr>
      <w:rFonts w:ascii="宋体" w:hAnsi="宋体" w:cs="宋体"/>
      <w:sz w:val="24"/>
      <w:szCs w:val="24"/>
    </w:rPr>
  </w:style>
  <w:style w:type="paragraph" w:customStyle="1" w:styleId="155">
    <w:name w:val="ca-3"/>
    <w:basedOn w:val="1"/>
    <w:qFormat/>
    <w:uiPriority w:val="0"/>
    <w:rPr>
      <w:rFonts w:ascii="Calibri" w:hAnsi="Calibri"/>
      <w:b/>
      <w:bCs/>
      <w:color w:val="000000"/>
      <w:spacing w:val="-20"/>
      <w:sz w:val="48"/>
      <w:szCs w:val="48"/>
    </w:rPr>
  </w:style>
  <w:style w:type="paragraph" w:customStyle="1" w:styleId="156">
    <w:name w:val="pa-73"/>
    <w:basedOn w:val="1"/>
    <w:qFormat/>
    <w:uiPriority w:val="0"/>
    <w:pPr>
      <w:spacing w:line="360" w:lineRule="atLeast"/>
      <w:ind w:firstLine="640"/>
      <w:jc w:val="both"/>
    </w:pPr>
    <w:rPr>
      <w:rFonts w:ascii="宋体" w:hAnsi="宋体" w:cs="宋体"/>
      <w:sz w:val="24"/>
      <w:szCs w:val="24"/>
    </w:rPr>
  </w:style>
  <w:style w:type="paragraph" w:customStyle="1" w:styleId="157">
    <w:name w:val="pa-81"/>
    <w:basedOn w:val="1"/>
    <w:qFormat/>
    <w:uiPriority w:val="0"/>
    <w:pPr>
      <w:spacing w:line="360" w:lineRule="atLeast"/>
      <w:jc w:val="center"/>
    </w:pPr>
    <w:rPr>
      <w:rFonts w:ascii="宋体" w:hAnsi="宋体" w:cs="宋体"/>
      <w:sz w:val="24"/>
      <w:szCs w:val="24"/>
    </w:rPr>
  </w:style>
  <w:style w:type="paragraph" w:customStyle="1" w:styleId="158">
    <w:name w:val="pa-93"/>
    <w:basedOn w:val="1"/>
    <w:qFormat/>
    <w:uiPriority w:val="0"/>
    <w:pPr>
      <w:spacing w:line="480" w:lineRule="atLeast"/>
      <w:ind w:firstLine="480"/>
    </w:pPr>
    <w:rPr>
      <w:rFonts w:ascii="宋体" w:hAnsi="宋体" w:cs="宋体"/>
      <w:sz w:val="24"/>
      <w:szCs w:val="24"/>
    </w:rPr>
  </w:style>
  <w:style w:type="paragraph" w:customStyle="1" w:styleId="159">
    <w:name w:val="默认段落字体 Para Char Char Char Char Char Char Char Char Char Char"/>
    <w:basedOn w:val="1"/>
    <w:qFormat/>
    <w:uiPriority w:val="0"/>
    <w:pPr>
      <w:widowControl w:val="0"/>
      <w:jc w:val="both"/>
    </w:pPr>
    <w:rPr>
      <w:rFonts w:ascii="Calibri" w:hAnsi="Calibri"/>
      <w:kern w:val="2"/>
    </w:rPr>
  </w:style>
  <w:style w:type="paragraph" w:customStyle="1" w:styleId="160">
    <w:name w:val="pa-89"/>
    <w:basedOn w:val="1"/>
    <w:qFormat/>
    <w:uiPriority w:val="0"/>
    <w:pPr>
      <w:spacing w:line="320" w:lineRule="atLeast"/>
      <w:jc w:val="both"/>
    </w:pPr>
    <w:rPr>
      <w:rFonts w:ascii="宋体" w:hAnsi="宋体" w:cs="宋体"/>
      <w:sz w:val="24"/>
      <w:szCs w:val="24"/>
    </w:rPr>
  </w:style>
  <w:style w:type="paragraph" w:customStyle="1" w:styleId="161">
    <w:name w:val="投标书正文"/>
    <w:link w:val="162"/>
    <w:qFormat/>
    <w:uiPriority w:val="0"/>
    <w:pPr>
      <w:autoSpaceDE w:val="0"/>
      <w:spacing w:line="360" w:lineRule="auto"/>
      <w:ind w:firstLine="200" w:firstLineChars="200"/>
    </w:pPr>
    <w:rPr>
      <w:rFonts w:ascii="Times New Roman" w:hAnsi="Times New Roman" w:eastAsia="Times New Roman" w:cs="Times New Roman"/>
      <w:kern w:val="2"/>
      <w:sz w:val="24"/>
      <w:szCs w:val="24"/>
      <w:lang w:val="en-US" w:eastAsia="zh-CN" w:bidi="ar-SA"/>
    </w:rPr>
  </w:style>
  <w:style w:type="character" w:customStyle="1" w:styleId="162">
    <w:name w:val="投标书正文 Char Char"/>
    <w:link w:val="161"/>
    <w:qFormat/>
    <w:uiPriority w:val="0"/>
    <w:rPr>
      <w:rFonts w:eastAsia="Times New Roman"/>
      <w:kern w:val="2"/>
      <w:sz w:val="24"/>
      <w:szCs w:val="24"/>
    </w:rPr>
  </w:style>
  <w:style w:type="paragraph" w:customStyle="1" w:styleId="163">
    <w:name w:val="xl63"/>
    <w:basedOn w:val="1"/>
    <w:qFormat/>
    <w:uiPriority w:val="0"/>
    <w:pPr>
      <w:spacing w:before="100" w:beforeAutospacing="1" w:after="100" w:afterAutospacing="1"/>
      <w:jc w:val="center"/>
    </w:pPr>
    <w:rPr>
      <w:rFonts w:ascii="宋体" w:hAnsi="宋体" w:cs="宋体"/>
      <w:b/>
      <w:bCs/>
      <w:sz w:val="20"/>
    </w:rPr>
  </w:style>
  <w:style w:type="paragraph" w:customStyle="1" w:styleId="164">
    <w:name w:val="纯文本1"/>
    <w:basedOn w:val="1"/>
    <w:qFormat/>
    <w:uiPriority w:val="99"/>
    <w:pPr>
      <w:widowControl w:val="0"/>
      <w:spacing w:afterLines="50"/>
      <w:jc w:val="both"/>
    </w:pPr>
    <w:rPr>
      <w:rFonts w:ascii="宋体" w:hAnsi="Courier New"/>
      <w:kern w:val="2"/>
      <w:sz w:val="24"/>
    </w:rPr>
  </w:style>
  <w:style w:type="paragraph" w:customStyle="1" w:styleId="165">
    <w:name w:val="ca-25"/>
    <w:basedOn w:val="1"/>
    <w:qFormat/>
    <w:uiPriority w:val="0"/>
    <w:rPr>
      <w:rFonts w:ascii="Calibri" w:hAnsi="Calibri"/>
      <w:szCs w:val="21"/>
    </w:rPr>
  </w:style>
  <w:style w:type="paragraph" w:customStyle="1" w:styleId="166">
    <w:name w:val="ca-6"/>
    <w:basedOn w:val="1"/>
    <w:qFormat/>
    <w:uiPriority w:val="0"/>
    <w:rPr>
      <w:rFonts w:ascii="宋体" w:hAnsi="宋体" w:cs="宋体"/>
      <w:color w:val="000000"/>
      <w:sz w:val="30"/>
      <w:szCs w:val="30"/>
    </w:rPr>
  </w:style>
  <w:style w:type="paragraph" w:customStyle="1" w:styleId="167">
    <w:name w:val="pa-19"/>
    <w:basedOn w:val="1"/>
    <w:qFormat/>
    <w:uiPriority w:val="0"/>
    <w:pPr>
      <w:spacing w:line="240" w:lineRule="atLeast"/>
      <w:ind w:firstLine="20"/>
    </w:pPr>
    <w:rPr>
      <w:rFonts w:ascii="宋体" w:hAnsi="宋体" w:cs="宋体"/>
      <w:sz w:val="24"/>
      <w:szCs w:val="24"/>
    </w:rPr>
  </w:style>
  <w:style w:type="paragraph" w:customStyle="1" w:styleId="168">
    <w:name w:val="正文1"/>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69">
    <w:name w:val="xl65"/>
    <w:basedOn w:val="1"/>
    <w:qFormat/>
    <w:uiPriority w:val="0"/>
    <w:pPr>
      <w:spacing w:before="100" w:beforeAutospacing="1" w:after="100" w:afterAutospacing="1"/>
    </w:pPr>
    <w:rPr>
      <w:rFonts w:ascii="宋体" w:hAnsi="宋体" w:cs="宋体"/>
      <w:b/>
      <w:bCs/>
      <w:sz w:val="24"/>
      <w:szCs w:val="24"/>
    </w:rPr>
  </w:style>
  <w:style w:type="paragraph" w:customStyle="1" w:styleId="170">
    <w:name w:val="TOC Heading1"/>
    <w:basedOn w:val="2"/>
    <w:next w:val="1"/>
    <w:qFormat/>
    <w:uiPriority w:val="0"/>
    <w:pPr>
      <w:tabs>
        <w:tab w:val="clear" w:pos="840"/>
      </w:tabs>
      <w:adjustRightInd/>
      <w:snapToGrid/>
      <w:spacing w:before="340" w:after="330" w:line="576" w:lineRule="auto"/>
      <w:outlineLvl w:val="9"/>
    </w:pPr>
    <w:rPr>
      <w:rFonts w:ascii="Calibri" w:hAnsi="Calibri"/>
      <w:bCs/>
      <w:sz w:val="44"/>
      <w:szCs w:val="44"/>
    </w:rPr>
  </w:style>
  <w:style w:type="paragraph" w:customStyle="1" w:styleId="171">
    <w:name w:val="ca-49"/>
    <w:basedOn w:val="1"/>
    <w:qFormat/>
    <w:uiPriority w:val="0"/>
    <w:rPr>
      <w:rFonts w:ascii="宋体" w:hAnsi="宋体" w:cs="宋体"/>
      <w:sz w:val="32"/>
      <w:szCs w:val="32"/>
    </w:rPr>
  </w:style>
  <w:style w:type="paragraph" w:customStyle="1" w:styleId="172">
    <w:name w:val="菲页2"/>
    <w:basedOn w:val="4"/>
    <w:qFormat/>
    <w:uiPriority w:val="0"/>
    <w:pPr>
      <w:tabs>
        <w:tab w:val="left" w:pos="1680"/>
      </w:tabs>
      <w:spacing w:before="120" w:after="120" w:line="360" w:lineRule="auto"/>
      <w:ind w:left="1680" w:hanging="420"/>
      <w:jc w:val="center"/>
    </w:pPr>
    <w:rPr>
      <w:rFonts w:ascii="黑体" w:hAnsi="宋体" w:eastAsia="黑体"/>
      <w:b w:val="0"/>
      <w:bCs w:val="0"/>
      <w:sz w:val="44"/>
      <w:szCs w:val="20"/>
    </w:rPr>
  </w:style>
  <w:style w:type="paragraph" w:customStyle="1" w:styleId="173">
    <w:name w:val="正文文本缩进1"/>
    <w:basedOn w:val="1"/>
    <w:qFormat/>
    <w:uiPriority w:val="0"/>
    <w:pPr>
      <w:widowControl w:val="0"/>
      <w:spacing w:before="120" w:after="120" w:line="360" w:lineRule="auto"/>
      <w:ind w:left="420" w:leftChars="200"/>
      <w:jc w:val="both"/>
    </w:pPr>
    <w:rPr>
      <w:rFonts w:ascii="Calibri" w:hAnsi="Calibri"/>
      <w:kern w:val="2"/>
      <w:sz w:val="20"/>
    </w:rPr>
  </w:style>
  <w:style w:type="paragraph" w:customStyle="1" w:styleId="174">
    <w:name w:val="td-0"/>
    <w:basedOn w:val="1"/>
    <w:qFormat/>
    <w:uiPriority w:val="0"/>
    <w:pPr>
      <w:pBdr>
        <w:top w:val="single" w:color="000000" w:sz="4" w:space="0"/>
        <w:left w:val="single" w:color="000000" w:sz="4" w:space="4"/>
        <w:bottom w:val="single" w:color="000000" w:sz="4" w:space="0"/>
        <w:right w:val="single" w:color="000000" w:sz="4" w:space="0"/>
      </w:pBdr>
    </w:pPr>
    <w:rPr>
      <w:rFonts w:ascii="宋体" w:hAnsi="宋体" w:cs="宋体"/>
      <w:sz w:val="24"/>
      <w:szCs w:val="24"/>
    </w:rPr>
  </w:style>
  <w:style w:type="paragraph" w:customStyle="1" w:styleId="175">
    <w:name w:val="xl11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sz w:val="18"/>
      <w:szCs w:val="18"/>
    </w:rPr>
  </w:style>
  <w:style w:type="paragraph" w:customStyle="1" w:styleId="176">
    <w:name w:val="pa-34"/>
    <w:basedOn w:val="1"/>
    <w:qFormat/>
    <w:uiPriority w:val="0"/>
    <w:pPr>
      <w:spacing w:line="360" w:lineRule="atLeast"/>
      <w:ind w:firstLine="460"/>
      <w:jc w:val="both"/>
    </w:pPr>
    <w:rPr>
      <w:rFonts w:ascii="宋体" w:hAnsi="宋体" w:cs="宋体"/>
      <w:sz w:val="24"/>
      <w:szCs w:val="24"/>
    </w:rPr>
  </w:style>
  <w:style w:type="paragraph" w:customStyle="1" w:styleId="177">
    <w:name w:val="样式 标题 4 + 段后: 8.15 磅 行距: 1.5 倍行距"/>
    <w:basedOn w:val="5"/>
    <w:qFormat/>
    <w:uiPriority w:val="0"/>
    <w:pPr>
      <w:tabs>
        <w:tab w:val="clear" w:pos="864"/>
      </w:tabs>
      <w:spacing w:after="163" w:line="360" w:lineRule="auto"/>
    </w:pPr>
    <w:rPr>
      <w:rFonts w:eastAsia="宋体" w:cs="宋体"/>
      <w:sz w:val="24"/>
      <w:szCs w:val="20"/>
      <w:lang w:val="en-US"/>
    </w:rPr>
  </w:style>
  <w:style w:type="paragraph" w:customStyle="1" w:styleId="178">
    <w:name w:val="pa-28"/>
    <w:basedOn w:val="1"/>
    <w:qFormat/>
    <w:uiPriority w:val="0"/>
    <w:pPr>
      <w:spacing w:line="360" w:lineRule="atLeast"/>
      <w:ind w:firstLine="420"/>
    </w:pPr>
    <w:rPr>
      <w:rFonts w:ascii="宋体" w:hAnsi="宋体" w:cs="宋体"/>
      <w:sz w:val="24"/>
      <w:szCs w:val="24"/>
    </w:rPr>
  </w:style>
  <w:style w:type="paragraph" w:customStyle="1" w:styleId="179">
    <w:name w:val="6'"/>
    <w:basedOn w:val="1"/>
    <w:qFormat/>
    <w:uiPriority w:val="0"/>
    <w:pPr>
      <w:widowControl w:val="0"/>
      <w:autoSpaceDE w:val="0"/>
      <w:autoSpaceDN w:val="0"/>
      <w:adjustRightInd w:val="0"/>
      <w:snapToGrid w:val="0"/>
      <w:spacing w:line="320" w:lineRule="exact"/>
      <w:jc w:val="center"/>
      <w:textAlignment w:val="baseline"/>
    </w:pPr>
    <w:rPr>
      <w:rFonts w:ascii="Calibri" w:hAnsi="Calibri"/>
      <w:spacing w:val="20"/>
      <w:kern w:val="28"/>
    </w:rPr>
  </w:style>
  <w:style w:type="paragraph" w:customStyle="1" w:styleId="180">
    <w:name w:val="p17"/>
    <w:basedOn w:val="1"/>
    <w:qFormat/>
    <w:uiPriority w:val="0"/>
    <w:pPr>
      <w:jc w:val="both"/>
    </w:pPr>
    <w:rPr>
      <w:szCs w:val="21"/>
    </w:rPr>
  </w:style>
  <w:style w:type="paragraph" w:customStyle="1" w:styleId="181">
    <w:name w:val="ca-37"/>
    <w:basedOn w:val="1"/>
    <w:qFormat/>
    <w:uiPriority w:val="0"/>
    <w:rPr>
      <w:rFonts w:ascii="宋体" w:hAnsi="宋体" w:cs="宋体"/>
      <w:color w:val="000000"/>
      <w:szCs w:val="21"/>
    </w:rPr>
  </w:style>
  <w:style w:type="paragraph" w:customStyle="1" w:styleId="182">
    <w:name w:val="pa-42"/>
    <w:basedOn w:val="1"/>
    <w:qFormat/>
    <w:uiPriority w:val="0"/>
    <w:pPr>
      <w:spacing w:line="280" w:lineRule="atLeast"/>
      <w:ind w:firstLine="420"/>
    </w:pPr>
    <w:rPr>
      <w:rFonts w:ascii="宋体" w:hAnsi="宋体" w:cs="宋体"/>
      <w:sz w:val="24"/>
      <w:szCs w:val="24"/>
    </w:rPr>
  </w:style>
  <w:style w:type="paragraph" w:customStyle="1" w:styleId="183">
    <w:name w:val="明显引用2"/>
    <w:basedOn w:val="1"/>
    <w:next w:val="1"/>
    <w:qFormat/>
    <w:uiPriority w:val="0"/>
    <w:pPr>
      <w:widowControl w:val="0"/>
      <w:pBdr>
        <w:bottom w:val="single" w:color="4F81BD" w:sz="4" w:space="4"/>
      </w:pBdr>
      <w:spacing w:before="200" w:after="280"/>
      <w:ind w:left="936" w:right="936"/>
      <w:jc w:val="both"/>
    </w:pPr>
    <w:rPr>
      <w:rFonts w:ascii="Calibri" w:hAnsi="Calibri"/>
      <w:b/>
      <w:i/>
      <w:color w:val="4F81BD"/>
      <w:kern w:val="2"/>
      <w:sz w:val="22"/>
    </w:rPr>
  </w:style>
  <w:style w:type="paragraph" w:customStyle="1" w:styleId="184">
    <w:name w:val="样式 纯文本普通文字 Char纯文本 Char Char普通文字纯文本 Char Char Char Char Char...6"/>
    <w:basedOn w:val="29"/>
    <w:link w:val="185"/>
    <w:qFormat/>
    <w:uiPriority w:val="0"/>
    <w:rPr>
      <w:color w:val="000000"/>
    </w:rPr>
  </w:style>
  <w:style w:type="character" w:customStyle="1" w:styleId="185">
    <w:name w:val="样式 纯文本普通文字 Char纯文本 Char Char普通文字纯文本 Char Char Char Char Char...6 Char Char"/>
    <w:link w:val="184"/>
    <w:qFormat/>
    <w:locked/>
    <w:uiPriority w:val="0"/>
    <w:rPr>
      <w:rFonts w:ascii="宋体" w:hAnsi="Courier New"/>
      <w:color w:val="000000"/>
      <w:kern w:val="2"/>
      <w:sz w:val="21"/>
    </w:rPr>
  </w:style>
  <w:style w:type="paragraph" w:customStyle="1" w:styleId="186">
    <w:name w:val="pa-140"/>
    <w:basedOn w:val="1"/>
    <w:qFormat/>
    <w:uiPriority w:val="0"/>
    <w:pPr>
      <w:spacing w:line="320" w:lineRule="atLeast"/>
      <w:ind w:firstLine="560"/>
      <w:jc w:val="both"/>
    </w:pPr>
    <w:rPr>
      <w:rFonts w:ascii="宋体" w:hAnsi="宋体" w:cs="宋体"/>
      <w:sz w:val="24"/>
      <w:szCs w:val="24"/>
    </w:rPr>
  </w:style>
  <w:style w:type="paragraph" w:customStyle="1" w:styleId="187">
    <w:name w:val="pa-137"/>
    <w:basedOn w:val="1"/>
    <w:qFormat/>
    <w:uiPriority w:val="0"/>
    <w:pPr>
      <w:spacing w:line="480" w:lineRule="atLeast"/>
      <w:jc w:val="center"/>
    </w:pPr>
    <w:rPr>
      <w:rFonts w:ascii="宋体" w:hAnsi="宋体" w:cs="宋体"/>
      <w:sz w:val="24"/>
      <w:szCs w:val="24"/>
    </w:rPr>
  </w:style>
  <w:style w:type="paragraph" w:customStyle="1" w:styleId="188">
    <w:name w:val="xl10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rFonts w:ascii="宋体" w:hAnsi="宋体" w:cs="宋体"/>
      <w:sz w:val="16"/>
      <w:szCs w:val="16"/>
    </w:rPr>
  </w:style>
  <w:style w:type="paragraph" w:customStyle="1" w:styleId="189">
    <w:name w:val="pa-75"/>
    <w:basedOn w:val="1"/>
    <w:qFormat/>
    <w:uiPriority w:val="0"/>
    <w:pPr>
      <w:spacing w:line="300" w:lineRule="atLeast"/>
      <w:jc w:val="center"/>
    </w:pPr>
    <w:rPr>
      <w:rFonts w:ascii="宋体" w:hAnsi="宋体" w:cs="宋体"/>
      <w:sz w:val="24"/>
      <w:szCs w:val="24"/>
    </w:rPr>
  </w:style>
  <w:style w:type="paragraph" w:customStyle="1" w:styleId="190">
    <w:name w:val="pa-96"/>
    <w:basedOn w:val="1"/>
    <w:qFormat/>
    <w:uiPriority w:val="0"/>
    <w:pPr>
      <w:spacing w:line="480" w:lineRule="atLeast"/>
      <w:jc w:val="both"/>
    </w:pPr>
    <w:rPr>
      <w:rFonts w:ascii="宋体" w:hAnsi="宋体" w:cs="宋体"/>
      <w:sz w:val="24"/>
      <w:szCs w:val="24"/>
    </w:rPr>
  </w:style>
  <w:style w:type="paragraph" w:customStyle="1" w:styleId="191">
    <w:name w:val="pa-90"/>
    <w:basedOn w:val="1"/>
    <w:qFormat/>
    <w:uiPriority w:val="0"/>
    <w:pPr>
      <w:spacing w:line="280" w:lineRule="atLeast"/>
      <w:jc w:val="both"/>
    </w:pPr>
    <w:rPr>
      <w:rFonts w:ascii="宋体" w:hAnsi="宋体" w:cs="宋体"/>
      <w:sz w:val="24"/>
      <w:szCs w:val="24"/>
    </w:rPr>
  </w:style>
  <w:style w:type="paragraph" w:customStyle="1" w:styleId="192">
    <w:name w:val="表头"/>
    <w:basedOn w:val="1"/>
    <w:qFormat/>
    <w:uiPriority w:val="0"/>
    <w:pPr>
      <w:widowControl w:val="0"/>
      <w:spacing w:line="360" w:lineRule="auto"/>
      <w:jc w:val="center"/>
    </w:pPr>
    <w:rPr>
      <w:rFonts w:ascii="黑体" w:hAnsi="Calibri" w:eastAsia="黑体"/>
      <w:sz w:val="24"/>
    </w:rPr>
  </w:style>
  <w:style w:type="paragraph" w:customStyle="1" w:styleId="193">
    <w:name w:val="pa-23"/>
    <w:basedOn w:val="1"/>
    <w:qFormat/>
    <w:uiPriority w:val="0"/>
    <w:pPr>
      <w:spacing w:line="360" w:lineRule="atLeast"/>
      <w:ind w:firstLine="420"/>
      <w:jc w:val="both"/>
    </w:pPr>
    <w:rPr>
      <w:rFonts w:ascii="宋体" w:hAnsi="宋体" w:cs="宋体"/>
      <w:sz w:val="24"/>
      <w:szCs w:val="24"/>
    </w:rPr>
  </w:style>
  <w:style w:type="paragraph" w:customStyle="1" w:styleId="194">
    <w:name w:val="附件"/>
    <w:basedOn w:val="2"/>
    <w:qFormat/>
    <w:uiPriority w:val="0"/>
    <w:pPr>
      <w:keepNext w:val="0"/>
      <w:keepLines w:val="0"/>
      <w:pageBreakBefore/>
      <w:spacing w:beforeLines="100" w:afterLines="100" w:line="240" w:lineRule="auto"/>
      <w:jc w:val="center"/>
    </w:pPr>
    <w:rPr>
      <w:rFonts w:hAnsi="宋体"/>
      <w:sz w:val="28"/>
      <w:szCs w:val="36"/>
    </w:rPr>
  </w:style>
  <w:style w:type="paragraph" w:customStyle="1" w:styleId="195">
    <w:name w:val="ca-19"/>
    <w:basedOn w:val="1"/>
    <w:qFormat/>
    <w:uiPriority w:val="0"/>
    <w:rPr>
      <w:rFonts w:ascii="Calibri" w:hAnsi="Calibri"/>
      <w:sz w:val="18"/>
      <w:szCs w:val="18"/>
    </w:rPr>
  </w:style>
  <w:style w:type="paragraph" w:customStyle="1" w:styleId="196">
    <w:name w:val="样式 样式 标题 3section:33l3Level 3 HeadH3heading 3h3Bold Headbh... + ... Char"/>
    <w:basedOn w:val="1"/>
    <w:qFormat/>
    <w:uiPriority w:val="0"/>
    <w:pPr>
      <w:keepNext/>
      <w:keepLines/>
      <w:widowControl w:val="0"/>
      <w:spacing w:beforeLines="50" w:afterLines="50" w:line="360" w:lineRule="auto"/>
      <w:ind w:left="800" w:leftChars="400"/>
      <w:jc w:val="both"/>
      <w:outlineLvl w:val="2"/>
    </w:pPr>
    <w:rPr>
      <w:rFonts w:ascii="宋体" w:hAnsi="宋体" w:cs="宋体"/>
      <w:b/>
      <w:bCs/>
      <w:color w:val="FF0000"/>
      <w:kern w:val="2"/>
      <w:sz w:val="24"/>
      <w:szCs w:val="24"/>
    </w:rPr>
  </w:style>
  <w:style w:type="paragraph" w:customStyle="1" w:styleId="197">
    <w:name w:val="ca-27"/>
    <w:basedOn w:val="1"/>
    <w:qFormat/>
    <w:uiPriority w:val="0"/>
    <w:rPr>
      <w:rFonts w:ascii="宋体" w:hAnsi="宋体" w:cs="宋体"/>
      <w:b/>
      <w:bCs/>
      <w:color w:val="002060"/>
      <w:spacing w:val="-20"/>
      <w:szCs w:val="21"/>
    </w:rPr>
  </w:style>
  <w:style w:type="paragraph" w:customStyle="1" w:styleId="198">
    <w:name w:val="pa-113"/>
    <w:basedOn w:val="1"/>
    <w:qFormat/>
    <w:uiPriority w:val="0"/>
    <w:pPr>
      <w:spacing w:line="360" w:lineRule="atLeast"/>
      <w:ind w:firstLine="2960"/>
      <w:jc w:val="both"/>
    </w:pPr>
    <w:rPr>
      <w:rFonts w:ascii="宋体" w:hAnsi="宋体" w:cs="宋体"/>
      <w:sz w:val="24"/>
      <w:szCs w:val="24"/>
    </w:rPr>
  </w:style>
  <w:style w:type="paragraph" w:customStyle="1" w:styleId="199">
    <w:name w:val="pa-12"/>
    <w:basedOn w:val="1"/>
    <w:qFormat/>
    <w:uiPriority w:val="0"/>
    <w:pPr>
      <w:spacing w:line="360" w:lineRule="atLeast"/>
      <w:jc w:val="both"/>
    </w:pPr>
    <w:rPr>
      <w:rFonts w:ascii="宋体" w:hAnsi="宋体" w:cs="宋体"/>
      <w:sz w:val="24"/>
      <w:szCs w:val="24"/>
    </w:rPr>
  </w:style>
  <w:style w:type="paragraph" w:customStyle="1" w:styleId="200">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黑体" w:hAnsi="黑体" w:eastAsia="黑体" w:cs="宋体"/>
      <w:sz w:val="20"/>
    </w:rPr>
  </w:style>
  <w:style w:type="paragraph" w:customStyle="1" w:styleId="201">
    <w:name w:val="pa-47"/>
    <w:basedOn w:val="1"/>
    <w:qFormat/>
    <w:uiPriority w:val="0"/>
    <w:pPr>
      <w:spacing w:line="280" w:lineRule="atLeast"/>
      <w:ind w:firstLine="280"/>
      <w:jc w:val="center"/>
    </w:pPr>
    <w:rPr>
      <w:rFonts w:ascii="宋体" w:hAnsi="宋体" w:cs="宋体"/>
      <w:sz w:val="24"/>
      <w:szCs w:val="24"/>
    </w:rPr>
  </w:style>
  <w:style w:type="paragraph" w:customStyle="1" w:styleId="202">
    <w:name w:val="ca-1"/>
    <w:basedOn w:val="1"/>
    <w:qFormat/>
    <w:uiPriority w:val="0"/>
    <w:rPr>
      <w:rFonts w:ascii="宋体" w:hAnsi="宋体" w:cs="宋体"/>
      <w:color w:val="000000"/>
      <w:spacing w:val="40"/>
      <w:sz w:val="44"/>
      <w:szCs w:val="44"/>
    </w:rPr>
  </w:style>
  <w:style w:type="paragraph" w:customStyle="1" w:styleId="203">
    <w:name w:val="xl1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sz w:val="16"/>
      <w:szCs w:val="16"/>
    </w:rPr>
  </w:style>
  <w:style w:type="paragraph" w:customStyle="1" w:styleId="204">
    <w:name w:val="样式 正文缩进正文（首行缩进两字）特点ALT+Z表正文正文非缩进四号段1Normal Indent Char2...2"/>
    <w:basedOn w:val="4"/>
    <w:qFormat/>
    <w:uiPriority w:val="0"/>
    <w:pPr>
      <w:widowControl w:val="0"/>
      <w:spacing w:before="360" w:after="120" w:line="360" w:lineRule="auto"/>
      <w:jc w:val="center"/>
    </w:pPr>
    <w:rPr>
      <w:rFonts w:ascii="宋体" w:hAnsi="宋体"/>
      <w:bCs w:val="0"/>
      <w:kern w:val="2"/>
      <w:sz w:val="28"/>
      <w:szCs w:val="20"/>
    </w:rPr>
  </w:style>
  <w:style w:type="paragraph" w:customStyle="1" w:styleId="205">
    <w:name w:val="Quote1"/>
    <w:basedOn w:val="1"/>
    <w:next w:val="1"/>
    <w:link w:val="206"/>
    <w:qFormat/>
    <w:uiPriority w:val="0"/>
    <w:pPr>
      <w:widowControl w:val="0"/>
      <w:jc w:val="both"/>
    </w:pPr>
    <w:rPr>
      <w:i/>
      <w:color w:val="000000"/>
      <w:kern w:val="2"/>
      <w:sz w:val="22"/>
    </w:rPr>
  </w:style>
  <w:style w:type="character" w:customStyle="1" w:styleId="206">
    <w:name w:val="引用 Char"/>
    <w:link w:val="205"/>
    <w:qFormat/>
    <w:locked/>
    <w:uiPriority w:val="0"/>
    <w:rPr>
      <w:i/>
      <w:color w:val="000000"/>
      <w:kern w:val="2"/>
      <w:sz w:val="22"/>
    </w:rPr>
  </w:style>
  <w:style w:type="paragraph" w:customStyle="1" w:styleId="207">
    <w:name w:val="样式 正文缩进正文（首行缩进两字）特点ALT+Z表正文正文非缩进四号段1Normal Indent Char2...1"/>
    <w:basedOn w:val="3"/>
    <w:qFormat/>
    <w:uiPriority w:val="0"/>
    <w:pPr>
      <w:widowControl w:val="0"/>
      <w:spacing w:before="1320" w:after="240" w:line="300" w:lineRule="auto"/>
      <w:jc w:val="center"/>
    </w:pPr>
    <w:rPr>
      <w:rFonts w:ascii="Arial" w:hAnsi="Arial" w:eastAsia="黑体"/>
      <w:bCs w:val="0"/>
      <w:kern w:val="2"/>
      <w:szCs w:val="20"/>
    </w:rPr>
  </w:style>
  <w:style w:type="paragraph" w:customStyle="1" w:styleId="208">
    <w:name w:val="表内文字"/>
    <w:basedOn w:val="1"/>
    <w:qFormat/>
    <w:uiPriority w:val="0"/>
    <w:pPr>
      <w:widowControl w:val="0"/>
      <w:spacing w:line="500" w:lineRule="atLeast"/>
      <w:jc w:val="center"/>
    </w:pPr>
    <w:rPr>
      <w:rFonts w:ascii="Arial" w:hAnsi="Arial" w:eastAsia="楷体_GB2312"/>
      <w:kern w:val="2"/>
      <w:sz w:val="28"/>
    </w:rPr>
  </w:style>
  <w:style w:type="paragraph" w:customStyle="1" w:styleId="209">
    <w:name w:val="Char Char7 Char"/>
    <w:basedOn w:val="1"/>
    <w:qFormat/>
    <w:uiPriority w:val="0"/>
    <w:pPr>
      <w:widowControl w:val="0"/>
      <w:tabs>
        <w:tab w:val="left" w:pos="425"/>
      </w:tabs>
      <w:ind w:left="420" w:leftChars="200" w:firstLine="270" w:firstLineChars="150"/>
      <w:jc w:val="both"/>
    </w:pPr>
    <w:rPr>
      <w:rFonts w:ascii="宋体" w:hAnsi="宋体" w:cs="Arial"/>
      <w:color w:val="5E5E5E"/>
      <w:szCs w:val="21"/>
    </w:rPr>
  </w:style>
  <w:style w:type="paragraph" w:customStyle="1" w:styleId="210">
    <w:name w:val="xl80"/>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sz w:val="20"/>
    </w:rPr>
  </w:style>
  <w:style w:type="paragraph" w:customStyle="1" w:styleId="211">
    <w:name w:val="pa-120"/>
    <w:basedOn w:val="1"/>
    <w:qFormat/>
    <w:uiPriority w:val="0"/>
    <w:pPr>
      <w:spacing w:line="280" w:lineRule="atLeast"/>
      <w:jc w:val="right"/>
    </w:pPr>
    <w:rPr>
      <w:rFonts w:ascii="宋体" w:hAnsi="宋体" w:cs="宋体"/>
      <w:sz w:val="24"/>
      <w:szCs w:val="24"/>
    </w:rPr>
  </w:style>
  <w:style w:type="paragraph" w:customStyle="1" w:styleId="212">
    <w:name w:val="Char1"/>
    <w:basedOn w:val="1"/>
    <w:qFormat/>
    <w:uiPriority w:val="0"/>
  </w:style>
  <w:style w:type="paragraph" w:customStyle="1" w:styleId="213">
    <w:name w:val="pa-85"/>
    <w:basedOn w:val="1"/>
    <w:qFormat/>
    <w:uiPriority w:val="0"/>
    <w:pPr>
      <w:spacing w:line="760" w:lineRule="atLeast"/>
      <w:jc w:val="center"/>
    </w:pPr>
    <w:rPr>
      <w:rFonts w:ascii="宋体" w:hAnsi="宋体" w:cs="宋体"/>
      <w:sz w:val="24"/>
      <w:szCs w:val="24"/>
    </w:rPr>
  </w:style>
  <w:style w:type="paragraph" w:customStyle="1" w:styleId="214">
    <w:name w:val="ca-22"/>
    <w:basedOn w:val="1"/>
    <w:qFormat/>
    <w:uiPriority w:val="0"/>
    <w:rPr>
      <w:rFonts w:ascii="宋体" w:hAnsi="宋体" w:cs="宋体"/>
      <w:szCs w:val="21"/>
    </w:rPr>
  </w:style>
  <w:style w:type="paragraph" w:customStyle="1" w:styleId="215">
    <w:name w:val="列出段落1"/>
    <w:basedOn w:val="1"/>
    <w:link w:val="216"/>
    <w:qFormat/>
    <w:uiPriority w:val="0"/>
    <w:pPr>
      <w:ind w:left="720"/>
      <w:contextualSpacing/>
    </w:pPr>
    <w:rPr>
      <w:rFonts w:ascii="Arial" w:hAnsi="Arial" w:eastAsia="黑体"/>
      <w:sz w:val="24"/>
      <w:szCs w:val="24"/>
      <w:lang w:eastAsia="en-US" w:bidi="en-US"/>
    </w:rPr>
  </w:style>
  <w:style w:type="character" w:customStyle="1" w:styleId="216">
    <w:name w:val="List Paragraph Char"/>
    <w:link w:val="215"/>
    <w:qFormat/>
    <w:uiPriority w:val="0"/>
    <w:rPr>
      <w:rFonts w:ascii="Arial" w:hAnsi="Arial" w:eastAsia="黑体"/>
      <w:sz w:val="24"/>
      <w:szCs w:val="24"/>
      <w:lang w:eastAsia="en-US" w:bidi="en-US"/>
    </w:rPr>
  </w:style>
  <w:style w:type="paragraph" w:customStyle="1" w:styleId="217">
    <w:name w:val="font6"/>
    <w:basedOn w:val="1"/>
    <w:qFormat/>
    <w:uiPriority w:val="0"/>
    <w:pPr>
      <w:spacing w:before="100" w:beforeAutospacing="1" w:after="100" w:afterAutospacing="1"/>
    </w:pPr>
    <w:rPr>
      <w:rFonts w:ascii="宋体" w:hAnsi="宋体" w:cs="宋体"/>
      <w:color w:val="FF0000"/>
      <w:sz w:val="16"/>
      <w:szCs w:val="16"/>
    </w:rPr>
  </w:style>
  <w:style w:type="paragraph" w:customStyle="1" w:styleId="218">
    <w:name w:val="pa-87"/>
    <w:basedOn w:val="1"/>
    <w:qFormat/>
    <w:uiPriority w:val="0"/>
    <w:pPr>
      <w:spacing w:line="320" w:lineRule="atLeast"/>
      <w:ind w:firstLine="560"/>
    </w:pPr>
    <w:rPr>
      <w:rFonts w:ascii="宋体" w:hAnsi="宋体" w:cs="宋体"/>
      <w:sz w:val="24"/>
      <w:szCs w:val="24"/>
    </w:rPr>
  </w:style>
  <w:style w:type="paragraph" w:customStyle="1" w:styleId="219">
    <w:name w:val="ca-47"/>
    <w:basedOn w:val="1"/>
    <w:qFormat/>
    <w:uiPriority w:val="0"/>
    <w:rPr>
      <w:rFonts w:ascii="宋体" w:hAnsi="宋体" w:cs="宋体"/>
      <w:b/>
      <w:bCs/>
      <w:color w:val="000000"/>
      <w:spacing w:val="-20"/>
      <w:sz w:val="24"/>
      <w:szCs w:val="24"/>
    </w:rPr>
  </w:style>
  <w:style w:type="paragraph" w:customStyle="1" w:styleId="220">
    <w:name w:val="xl113"/>
    <w:basedOn w:val="1"/>
    <w:qFormat/>
    <w:uiPriority w:val="0"/>
    <w:pPr>
      <w:pBdr>
        <w:bottom w:val="single" w:color="auto" w:sz="4" w:space="0"/>
      </w:pBdr>
      <w:shd w:val="clear" w:color="000000" w:fill="FFFFFF"/>
      <w:spacing w:before="100" w:beforeAutospacing="1" w:after="100" w:afterAutospacing="1"/>
      <w:jc w:val="center"/>
      <w:textAlignment w:val="center"/>
    </w:pPr>
    <w:rPr>
      <w:rFonts w:ascii="宋体" w:hAnsi="宋体" w:cs="宋体"/>
      <w:sz w:val="36"/>
      <w:szCs w:val="36"/>
    </w:rPr>
  </w:style>
  <w:style w:type="paragraph" w:customStyle="1" w:styleId="221">
    <w:name w:val="ca-15"/>
    <w:basedOn w:val="1"/>
    <w:qFormat/>
    <w:uiPriority w:val="0"/>
    <w:rPr>
      <w:rFonts w:ascii="宋体" w:hAnsi="宋体" w:cs="宋体"/>
      <w:caps/>
      <w:color w:val="000000"/>
      <w:sz w:val="24"/>
      <w:szCs w:val="24"/>
    </w:rPr>
  </w:style>
  <w:style w:type="paragraph" w:customStyle="1" w:styleId="222">
    <w:name w:val="正文缩进1"/>
    <w:basedOn w:val="1"/>
    <w:qFormat/>
    <w:uiPriority w:val="0"/>
    <w:pPr>
      <w:widowControl w:val="0"/>
      <w:ind w:firstLine="420" w:firstLineChars="200"/>
      <w:jc w:val="both"/>
    </w:pPr>
    <w:rPr>
      <w:rFonts w:ascii="Calibri" w:hAnsi="Calibri"/>
      <w:kern w:val="2"/>
      <w:sz w:val="24"/>
      <w:szCs w:val="24"/>
    </w:rPr>
  </w:style>
  <w:style w:type="paragraph" w:customStyle="1" w:styleId="223">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rPr>
  </w:style>
  <w:style w:type="paragraph" w:customStyle="1" w:styleId="224">
    <w:name w:val="pa-13"/>
    <w:basedOn w:val="1"/>
    <w:qFormat/>
    <w:uiPriority w:val="0"/>
    <w:pPr>
      <w:spacing w:line="360" w:lineRule="atLeast"/>
      <w:jc w:val="both"/>
    </w:pPr>
    <w:rPr>
      <w:rFonts w:ascii="宋体" w:hAnsi="宋体" w:cs="宋体"/>
      <w:sz w:val="24"/>
      <w:szCs w:val="24"/>
    </w:rPr>
  </w:style>
  <w:style w:type="paragraph" w:customStyle="1" w:styleId="225">
    <w:name w:val="pa-101"/>
    <w:basedOn w:val="1"/>
    <w:qFormat/>
    <w:uiPriority w:val="0"/>
    <w:pPr>
      <w:spacing w:line="360" w:lineRule="atLeast"/>
      <w:jc w:val="center"/>
    </w:pPr>
    <w:rPr>
      <w:rFonts w:ascii="宋体" w:hAnsi="宋体" w:cs="宋体"/>
      <w:sz w:val="24"/>
      <w:szCs w:val="24"/>
    </w:rPr>
  </w:style>
  <w:style w:type="paragraph" w:customStyle="1" w:styleId="226">
    <w:name w:val="ca-53"/>
    <w:basedOn w:val="1"/>
    <w:qFormat/>
    <w:uiPriority w:val="0"/>
    <w:rPr>
      <w:rFonts w:ascii="Calibri" w:hAnsi="Calibri"/>
      <w:b/>
      <w:bCs/>
      <w:spacing w:val="-20"/>
      <w:sz w:val="36"/>
      <w:szCs w:val="36"/>
    </w:rPr>
  </w:style>
  <w:style w:type="paragraph" w:customStyle="1" w:styleId="227">
    <w:name w:val="No Spacing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8">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sz w:val="20"/>
    </w:rPr>
  </w:style>
  <w:style w:type="paragraph" w:customStyle="1" w:styleId="229">
    <w:name w:val="标题6"/>
    <w:basedOn w:val="1"/>
    <w:next w:val="2"/>
    <w:qFormat/>
    <w:uiPriority w:val="0"/>
    <w:pPr>
      <w:snapToGrid w:val="0"/>
      <w:spacing w:beforeLines="50" w:afterLines="50" w:line="520" w:lineRule="atLeast"/>
      <w:ind w:firstLine="200" w:firstLineChars="200"/>
      <w:jc w:val="both"/>
    </w:pPr>
    <w:rPr>
      <w:rFonts w:ascii="Calibri" w:hAnsi="Calibri" w:cs="Arial"/>
      <w:b/>
      <w:kern w:val="2"/>
      <w:sz w:val="24"/>
      <w:szCs w:val="24"/>
    </w:rPr>
  </w:style>
  <w:style w:type="paragraph" w:customStyle="1" w:styleId="230">
    <w:name w:val="pa-129"/>
    <w:basedOn w:val="1"/>
    <w:qFormat/>
    <w:uiPriority w:val="0"/>
    <w:pPr>
      <w:spacing w:line="300" w:lineRule="atLeast"/>
      <w:jc w:val="both"/>
    </w:pPr>
    <w:rPr>
      <w:rFonts w:ascii="宋体" w:hAnsi="宋体" w:cs="宋体"/>
      <w:sz w:val="24"/>
      <w:szCs w:val="24"/>
    </w:rPr>
  </w:style>
  <w:style w:type="paragraph" w:customStyle="1" w:styleId="231">
    <w:name w:val="pa-30"/>
    <w:basedOn w:val="1"/>
    <w:qFormat/>
    <w:uiPriority w:val="0"/>
    <w:pPr>
      <w:spacing w:line="360" w:lineRule="atLeast"/>
      <w:ind w:firstLine="4100"/>
      <w:jc w:val="both"/>
    </w:pPr>
    <w:rPr>
      <w:rFonts w:ascii="宋体" w:hAnsi="宋体" w:cs="宋体"/>
      <w:sz w:val="24"/>
      <w:szCs w:val="24"/>
    </w:rPr>
  </w:style>
  <w:style w:type="paragraph" w:customStyle="1" w:styleId="232">
    <w:name w:val="样式 标题 3 + (符号) 宋体 四号 加粗 黑色 段前: 0 磅 段后: 0 磅 行距: 固定值 22 磅"/>
    <w:basedOn w:val="4"/>
    <w:qFormat/>
    <w:uiPriority w:val="0"/>
    <w:pPr>
      <w:widowControl w:val="0"/>
      <w:spacing w:beforeLines="50" w:afterLines="50" w:line="460" w:lineRule="exact"/>
    </w:pPr>
    <w:rPr>
      <w:rFonts w:ascii="宋体" w:hAnsi="宋体"/>
      <w:color w:val="000000"/>
      <w:kern w:val="24"/>
      <w:sz w:val="28"/>
      <w:szCs w:val="20"/>
    </w:rPr>
  </w:style>
  <w:style w:type="paragraph" w:customStyle="1" w:styleId="233">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234">
    <w:name w:val="xl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16"/>
      <w:szCs w:val="16"/>
    </w:rPr>
  </w:style>
  <w:style w:type="paragraph" w:customStyle="1" w:styleId="235">
    <w:name w:val="pa-33"/>
    <w:basedOn w:val="1"/>
    <w:qFormat/>
    <w:uiPriority w:val="0"/>
    <w:pPr>
      <w:spacing w:line="360" w:lineRule="atLeast"/>
      <w:ind w:firstLine="440"/>
      <w:jc w:val="both"/>
    </w:pPr>
    <w:rPr>
      <w:rFonts w:ascii="宋体" w:hAnsi="宋体" w:cs="宋体"/>
      <w:sz w:val="24"/>
      <w:szCs w:val="24"/>
    </w:rPr>
  </w:style>
  <w:style w:type="paragraph" w:customStyle="1" w:styleId="236">
    <w:name w:val="pa-134"/>
    <w:basedOn w:val="1"/>
    <w:qFormat/>
    <w:uiPriority w:val="0"/>
    <w:pPr>
      <w:spacing w:line="360" w:lineRule="atLeast"/>
      <w:jc w:val="both"/>
    </w:pPr>
    <w:rPr>
      <w:rFonts w:ascii="宋体" w:hAnsi="宋体" w:cs="宋体"/>
      <w:sz w:val="24"/>
      <w:szCs w:val="24"/>
    </w:rPr>
  </w:style>
  <w:style w:type="paragraph" w:customStyle="1" w:styleId="237">
    <w:name w:val="td-3"/>
    <w:basedOn w:val="1"/>
    <w:qFormat/>
    <w:uiPriority w:val="0"/>
    <w:pPr>
      <w:pBdr>
        <w:top w:val="single" w:color="000000" w:sz="6" w:space="0"/>
        <w:left w:val="single" w:color="000000" w:sz="6" w:space="4"/>
        <w:right w:val="single" w:color="000000" w:sz="6" w:space="0"/>
      </w:pBdr>
    </w:pPr>
    <w:rPr>
      <w:rFonts w:ascii="宋体" w:hAnsi="宋体" w:cs="宋体"/>
      <w:sz w:val="24"/>
      <w:szCs w:val="24"/>
    </w:rPr>
  </w:style>
  <w:style w:type="paragraph" w:customStyle="1" w:styleId="238">
    <w:name w:val="xl64"/>
    <w:basedOn w:val="1"/>
    <w:qFormat/>
    <w:uiPriority w:val="0"/>
    <w:pPr>
      <w:shd w:val="clear" w:color="000000" w:fill="00FFFF"/>
      <w:spacing w:before="100" w:beforeAutospacing="1" w:after="100" w:afterAutospacing="1"/>
    </w:pPr>
    <w:rPr>
      <w:rFonts w:ascii="宋体" w:hAnsi="宋体" w:cs="宋体"/>
      <w:sz w:val="24"/>
      <w:szCs w:val="24"/>
    </w:rPr>
  </w:style>
  <w:style w:type="paragraph" w:customStyle="1" w:styleId="239">
    <w:name w:val="xl67"/>
    <w:basedOn w:val="1"/>
    <w:qFormat/>
    <w:uiPriority w:val="0"/>
    <w:pPr>
      <w:spacing w:before="100" w:beforeAutospacing="1" w:after="100" w:afterAutospacing="1"/>
      <w:jc w:val="center"/>
    </w:pPr>
    <w:rPr>
      <w:rFonts w:ascii="宋体" w:hAnsi="宋体" w:cs="宋体"/>
      <w:sz w:val="20"/>
    </w:rPr>
  </w:style>
  <w:style w:type="paragraph" w:customStyle="1" w:styleId="240">
    <w:name w:val="表格"/>
    <w:basedOn w:val="1"/>
    <w:qFormat/>
    <w:uiPriority w:val="0"/>
    <w:pPr>
      <w:widowControl w:val="0"/>
      <w:jc w:val="center"/>
      <w:textAlignment w:val="center"/>
    </w:pPr>
    <w:rPr>
      <w:rFonts w:ascii="华文细黑" w:hAnsi="华文细黑"/>
    </w:rPr>
  </w:style>
  <w:style w:type="paragraph" w:customStyle="1" w:styleId="241">
    <w:name w:val="ca-13"/>
    <w:basedOn w:val="1"/>
    <w:qFormat/>
    <w:uiPriority w:val="0"/>
    <w:rPr>
      <w:rFonts w:ascii="宋体" w:hAnsi="宋体" w:cs="宋体"/>
      <w:color w:val="000000"/>
      <w:sz w:val="32"/>
      <w:szCs w:val="32"/>
    </w:rPr>
  </w:style>
  <w:style w:type="paragraph" w:customStyle="1" w:styleId="242">
    <w:name w:val="投标书正文无序编号"/>
    <w:basedOn w:val="161"/>
    <w:link w:val="243"/>
    <w:qFormat/>
    <w:uiPriority w:val="0"/>
    <w:pPr>
      <w:tabs>
        <w:tab w:val="left" w:pos="780"/>
        <w:tab w:val="left" w:pos="902"/>
      </w:tabs>
      <w:adjustRightInd w:val="0"/>
      <w:ind w:firstLine="0" w:firstLineChars="0"/>
    </w:pPr>
    <w:rPr>
      <w:rFonts w:eastAsia="宋体"/>
    </w:rPr>
  </w:style>
  <w:style w:type="character" w:customStyle="1" w:styleId="243">
    <w:name w:val="投标书正文无序编号 Char Char"/>
    <w:link w:val="242"/>
    <w:qFormat/>
    <w:uiPriority w:val="0"/>
    <w:rPr>
      <w:kern w:val="2"/>
      <w:sz w:val="24"/>
      <w:szCs w:val="24"/>
    </w:rPr>
  </w:style>
  <w:style w:type="paragraph" w:customStyle="1" w:styleId="244">
    <w:name w:val="样式 正文（首行缩进两字） + 宋体 首行缩进:  2 字符"/>
    <w:basedOn w:val="14"/>
    <w:qFormat/>
    <w:uiPriority w:val="0"/>
    <w:pPr>
      <w:widowControl w:val="0"/>
      <w:spacing w:line="460" w:lineRule="exact"/>
      <w:ind w:firstLine="503" w:firstLineChars="200"/>
      <w:jc w:val="both"/>
    </w:pPr>
    <w:rPr>
      <w:rFonts w:ascii="宋体" w:hAnsi="宋体" w:cs="宋体"/>
      <w:spacing w:val="6"/>
      <w:kern w:val="24"/>
      <w:sz w:val="24"/>
    </w:rPr>
  </w:style>
  <w:style w:type="paragraph" w:customStyle="1" w:styleId="245">
    <w:name w:val="pa-112"/>
    <w:basedOn w:val="1"/>
    <w:qFormat/>
    <w:uiPriority w:val="0"/>
    <w:pPr>
      <w:spacing w:line="280" w:lineRule="atLeast"/>
      <w:jc w:val="both"/>
    </w:pPr>
    <w:rPr>
      <w:rFonts w:ascii="宋体" w:hAnsi="宋体" w:cs="宋体"/>
      <w:sz w:val="24"/>
      <w:szCs w:val="24"/>
    </w:rPr>
  </w:style>
  <w:style w:type="paragraph" w:customStyle="1" w:styleId="246">
    <w:name w:val="ca-28"/>
    <w:basedOn w:val="1"/>
    <w:qFormat/>
    <w:uiPriority w:val="0"/>
    <w:rPr>
      <w:rFonts w:ascii="宋体" w:hAnsi="宋体" w:cs="宋体"/>
      <w:color w:val="FF0000"/>
      <w:szCs w:val="21"/>
    </w:rPr>
  </w:style>
  <w:style w:type="paragraph" w:customStyle="1" w:styleId="247">
    <w:name w:val="小节"/>
    <w:basedOn w:val="4"/>
    <w:qFormat/>
    <w:uiPriority w:val="0"/>
    <w:pPr>
      <w:widowControl w:val="0"/>
      <w:spacing w:before="200" w:after="200" w:line="560" w:lineRule="exact"/>
    </w:pPr>
    <w:rPr>
      <w:rFonts w:ascii="宋体" w:hAnsi="宋体"/>
      <w:bCs w:val="0"/>
      <w:color w:val="000000"/>
      <w:spacing w:val="10"/>
      <w:kern w:val="24"/>
      <w:sz w:val="28"/>
    </w:rPr>
  </w:style>
  <w:style w:type="paragraph" w:customStyle="1" w:styleId="248">
    <w:name w:val="ca-44"/>
    <w:basedOn w:val="1"/>
    <w:qFormat/>
    <w:uiPriority w:val="0"/>
    <w:rPr>
      <w:rFonts w:ascii="宋体" w:hAnsi="宋体" w:cs="宋体"/>
      <w:color w:val="000000"/>
      <w:sz w:val="52"/>
      <w:szCs w:val="52"/>
    </w:rPr>
  </w:style>
  <w:style w:type="paragraph" w:customStyle="1" w:styleId="249">
    <w:name w:val="td-6"/>
    <w:basedOn w:val="1"/>
    <w:qFormat/>
    <w:uiPriority w:val="0"/>
    <w:pPr>
      <w:pBdr>
        <w:top w:val="single" w:color="000000" w:sz="12" w:space="0"/>
        <w:left w:val="single" w:color="000000" w:sz="4" w:space="4"/>
        <w:bottom w:val="single" w:color="000000" w:sz="4" w:space="0"/>
        <w:right w:val="single" w:color="000000" w:sz="12" w:space="0"/>
      </w:pBdr>
    </w:pPr>
    <w:rPr>
      <w:rFonts w:ascii="宋体" w:hAnsi="宋体" w:cs="宋体"/>
      <w:sz w:val="24"/>
      <w:szCs w:val="24"/>
    </w:rPr>
  </w:style>
  <w:style w:type="paragraph" w:customStyle="1" w:styleId="250">
    <w:name w:val="xl97"/>
    <w:basedOn w:val="1"/>
    <w:qFormat/>
    <w:uiPriority w:val="0"/>
    <w:pPr>
      <w:pBdr>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16"/>
      <w:szCs w:val="16"/>
    </w:rPr>
  </w:style>
  <w:style w:type="paragraph" w:customStyle="1" w:styleId="251">
    <w:name w:val="ca-2"/>
    <w:basedOn w:val="1"/>
    <w:qFormat/>
    <w:uiPriority w:val="0"/>
    <w:rPr>
      <w:rFonts w:ascii="Calibri" w:hAnsi="Calibri"/>
      <w:color w:val="000000"/>
      <w:sz w:val="36"/>
      <w:szCs w:val="36"/>
    </w:rPr>
  </w:style>
  <w:style w:type="paragraph" w:customStyle="1" w:styleId="252">
    <w:name w:val="pa-82"/>
    <w:basedOn w:val="1"/>
    <w:qFormat/>
    <w:uiPriority w:val="0"/>
    <w:pPr>
      <w:spacing w:line="480" w:lineRule="atLeast"/>
      <w:jc w:val="center"/>
    </w:pPr>
    <w:rPr>
      <w:rFonts w:ascii="宋体" w:hAnsi="宋体" w:cs="宋体"/>
      <w:sz w:val="24"/>
      <w:szCs w:val="24"/>
    </w:rPr>
  </w:style>
  <w:style w:type="paragraph" w:customStyle="1" w:styleId="253">
    <w:name w:val="Char Char Char Char Char Char Char1"/>
    <w:basedOn w:val="1"/>
    <w:qFormat/>
    <w:uiPriority w:val="0"/>
    <w:pPr>
      <w:widowControl w:val="0"/>
      <w:jc w:val="both"/>
    </w:pPr>
    <w:rPr>
      <w:rFonts w:ascii="Calibri" w:hAnsi="Calibri"/>
      <w:kern w:val="2"/>
      <w:szCs w:val="24"/>
    </w:rPr>
  </w:style>
  <w:style w:type="paragraph" w:customStyle="1" w:styleId="254">
    <w:name w:val="pa-45"/>
    <w:basedOn w:val="1"/>
    <w:qFormat/>
    <w:uiPriority w:val="0"/>
    <w:pPr>
      <w:spacing w:line="280" w:lineRule="atLeast"/>
      <w:ind w:firstLine="420"/>
      <w:jc w:val="both"/>
    </w:pPr>
    <w:rPr>
      <w:rFonts w:ascii="宋体" w:hAnsi="宋体" w:cs="宋体"/>
      <w:sz w:val="24"/>
      <w:szCs w:val="24"/>
    </w:rPr>
  </w:style>
  <w:style w:type="paragraph" w:customStyle="1" w:styleId="255">
    <w:name w:val="pa-99"/>
    <w:basedOn w:val="1"/>
    <w:qFormat/>
    <w:uiPriority w:val="0"/>
    <w:pPr>
      <w:spacing w:line="300" w:lineRule="atLeast"/>
      <w:ind w:firstLine="520"/>
      <w:jc w:val="both"/>
    </w:pPr>
    <w:rPr>
      <w:rFonts w:ascii="宋体" w:hAnsi="宋体" w:cs="宋体"/>
      <w:sz w:val="24"/>
      <w:szCs w:val="24"/>
    </w:rPr>
  </w:style>
  <w:style w:type="paragraph" w:customStyle="1" w:styleId="256">
    <w:name w:val="ca-40"/>
    <w:basedOn w:val="1"/>
    <w:qFormat/>
    <w:uiPriority w:val="0"/>
    <w:rPr>
      <w:rFonts w:ascii="Calibri" w:hAnsi="Calibri"/>
      <w:sz w:val="20"/>
    </w:rPr>
  </w:style>
  <w:style w:type="paragraph" w:customStyle="1" w:styleId="257">
    <w:name w:val="样式4"/>
    <w:basedOn w:val="4"/>
    <w:qFormat/>
    <w:uiPriority w:val="0"/>
    <w:pPr>
      <w:widowControl w:val="0"/>
      <w:spacing w:line="415" w:lineRule="auto"/>
      <w:ind w:left="720" w:hanging="720"/>
      <w:jc w:val="both"/>
    </w:pPr>
    <w:rPr>
      <w:rFonts w:ascii="Calibri" w:hAnsi="Calibri" w:eastAsia="Times New Roman"/>
      <w:kern w:val="2"/>
    </w:rPr>
  </w:style>
  <w:style w:type="paragraph" w:customStyle="1" w:styleId="258">
    <w:name w:val="pa-107"/>
    <w:basedOn w:val="1"/>
    <w:qFormat/>
    <w:uiPriority w:val="0"/>
    <w:pPr>
      <w:spacing w:line="720" w:lineRule="atLeast"/>
      <w:ind w:firstLine="3000"/>
      <w:jc w:val="both"/>
    </w:pPr>
    <w:rPr>
      <w:rFonts w:ascii="宋体" w:hAnsi="宋体" w:cs="宋体"/>
      <w:sz w:val="24"/>
      <w:szCs w:val="24"/>
    </w:rPr>
  </w:style>
  <w:style w:type="paragraph" w:customStyle="1" w:styleId="259">
    <w:name w:val="ca-46"/>
    <w:basedOn w:val="1"/>
    <w:qFormat/>
    <w:uiPriority w:val="0"/>
    <w:rPr>
      <w:rFonts w:ascii="宋体" w:hAnsi="宋体" w:cs="宋体"/>
      <w:color w:val="000000"/>
      <w:spacing w:val="-20"/>
      <w:sz w:val="28"/>
      <w:szCs w:val="28"/>
    </w:rPr>
  </w:style>
  <w:style w:type="paragraph" w:customStyle="1" w:styleId="260">
    <w:name w:val="xl55"/>
    <w:basedOn w:val="1"/>
    <w:qFormat/>
    <w:uiPriority w:val="0"/>
    <w:pPr>
      <w:spacing w:before="100" w:beforeAutospacing="1" w:after="100" w:afterAutospacing="1"/>
      <w:jc w:val="center"/>
      <w:textAlignment w:val="center"/>
    </w:pPr>
    <w:rPr>
      <w:rFonts w:ascii="Arial Unicode MS" w:hAnsi="Arial Unicode MS"/>
      <w:sz w:val="24"/>
      <w:szCs w:val="24"/>
    </w:rPr>
  </w:style>
  <w:style w:type="paragraph" w:customStyle="1" w:styleId="261">
    <w:name w:val="pa-68"/>
    <w:basedOn w:val="1"/>
    <w:qFormat/>
    <w:uiPriority w:val="0"/>
    <w:pPr>
      <w:spacing w:line="240" w:lineRule="atLeast"/>
      <w:ind w:firstLine="520"/>
      <w:jc w:val="both"/>
    </w:pPr>
    <w:rPr>
      <w:rFonts w:ascii="宋体" w:hAnsi="宋体" w:cs="宋体"/>
      <w:sz w:val="24"/>
      <w:szCs w:val="24"/>
    </w:rPr>
  </w:style>
  <w:style w:type="paragraph" w:customStyle="1" w:styleId="262">
    <w:name w:val="样式 样式 标题 4 + 非加粗 + (中文) 黑体 段前: 0 磅 段后: 0 磅 行距: 固定值 22 磅"/>
    <w:basedOn w:val="1"/>
    <w:qFormat/>
    <w:uiPriority w:val="0"/>
    <w:pPr>
      <w:keepNext/>
      <w:keepLines/>
      <w:widowControl w:val="0"/>
      <w:spacing w:beforeLines="50" w:afterLines="50" w:line="500" w:lineRule="exact"/>
      <w:jc w:val="both"/>
      <w:outlineLvl w:val="3"/>
    </w:pPr>
    <w:rPr>
      <w:rFonts w:ascii="Arial" w:hAnsi="Arial" w:cs="宋体"/>
      <w:b/>
      <w:bCs/>
      <w:kern w:val="2"/>
      <w:sz w:val="24"/>
      <w:szCs w:val="24"/>
    </w:rPr>
  </w:style>
  <w:style w:type="paragraph" w:customStyle="1" w:styleId="263">
    <w:name w:val="样式2"/>
    <w:basedOn w:val="4"/>
    <w:qFormat/>
    <w:uiPriority w:val="0"/>
    <w:pPr>
      <w:widowControl w:val="0"/>
      <w:spacing w:line="415" w:lineRule="auto"/>
      <w:ind w:left="720" w:hanging="720"/>
      <w:jc w:val="both"/>
    </w:pPr>
    <w:rPr>
      <w:rFonts w:ascii="Calibri" w:hAnsi="Calibri"/>
      <w:kern w:val="2"/>
    </w:rPr>
  </w:style>
  <w:style w:type="paragraph" w:customStyle="1" w:styleId="264">
    <w:name w:val="pa-50"/>
    <w:basedOn w:val="1"/>
    <w:qFormat/>
    <w:uiPriority w:val="0"/>
    <w:pPr>
      <w:spacing w:line="280" w:lineRule="atLeast"/>
      <w:ind w:hanging="200"/>
      <w:jc w:val="center"/>
    </w:pPr>
    <w:rPr>
      <w:rFonts w:ascii="宋体" w:hAnsi="宋体" w:cs="宋体"/>
      <w:sz w:val="24"/>
      <w:szCs w:val="24"/>
    </w:rPr>
  </w:style>
  <w:style w:type="paragraph" w:customStyle="1" w:styleId="265">
    <w:name w:val="标书标题4"/>
    <w:basedOn w:val="5"/>
    <w:qFormat/>
    <w:uiPriority w:val="0"/>
    <w:pPr>
      <w:keepLines w:val="0"/>
      <w:tabs>
        <w:tab w:val="clear" w:pos="864"/>
      </w:tabs>
      <w:adjustRightInd w:val="0"/>
      <w:snapToGrid w:val="0"/>
      <w:spacing w:before="0" w:after="0" w:line="300" w:lineRule="auto"/>
    </w:pPr>
    <w:rPr>
      <w:rFonts w:ascii="Arial Narrow" w:hAnsi="Arial Narrow" w:eastAsia="仿宋_GB2312"/>
      <w:bCs w:val="0"/>
      <w:color w:val="000000"/>
      <w:kern w:val="0"/>
      <w:sz w:val="24"/>
      <w:szCs w:val="32"/>
      <w:lang w:val="en-US"/>
    </w:rPr>
  </w:style>
  <w:style w:type="paragraph" w:customStyle="1" w:styleId="266">
    <w:name w:val="xl7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20"/>
    </w:rPr>
  </w:style>
  <w:style w:type="paragraph" w:customStyle="1" w:styleId="267">
    <w:name w:val="t1"/>
    <w:basedOn w:val="1"/>
    <w:qFormat/>
    <w:uiPriority w:val="0"/>
    <w:pPr>
      <w:spacing w:line="280" w:lineRule="atLeast"/>
    </w:pPr>
    <w:rPr>
      <w:rFonts w:ascii="Calibri" w:hAnsi="Calibri"/>
      <w:sz w:val="24"/>
      <w:lang w:val="de-DE" w:eastAsia="de-DE"/>
    </w:rPr>
  </w:style>
  <w:style w:type="paragraph" w:customStyle="1" w:styleId="268">
    <w:name w:val="样式 标题 3 + 段后: 0 磅"/>
    <w:basedOn w:val="4"/>
    <w:qFormat/>
    <w:uiPriority w:val="0"/>
    <w:pPr>
      <w:widowControl w:val="0"/>
      <w:spacing w:after="0" w:line="360" w:lineRule="auto"/>
    </w:pPr>
    <w:rPr>
      <w:rFonts w:ascii="宋体" w:hAnsi="Arial" w:cs="宋体"/>
      <w:bCs w:val="0"/>
      <w:spacing w:val="14"/>
      <w:kern w:val="24"/>
      <w:sz w:val="28"/>
      <w:szCs w:val="20"/>
    </w:rPr>
  </w:style>
  <w:style w:type="paragraph" w:customStyle="1" w:styleId="269">
    <w:name w:val="Char Char Char Char Char Char Char Char Char Char Char Char Char Char Char Char Char Char Char Char Char Char Char Char Char Char Char Char Char Char Char Char Char1"/>
    <w:basedOn w:val="1"/>
    <w:qFormat/>
    <w:uiPriority w:val="0"/>
    <w:pPr>
      <w:spacing w:after="160" w:line="240" w:lineRule="exact"/>
    </w:pPr>
    <w:rPr>
      <w:rFonts w:ascii="Verdana" w:hAnsi="Verdana" w:eastAsia="仿宋_GB2312"/>
      <w:sz w:val="24"/>
      <w:lang w:eastAsia="en-US"/>
    </w:rPr>
  </w:style>
  <w:style w:type="paragraph" w:customStyle="1" w:styleId="270">
    <w:name w:val="ca-16"/>
    <w:basedOn w:val="1"/>
    <w:qFormat/>
    <w:uiPriority w:val="0"/>
    <w:rPr>
      <w:rFonts w:ascii="宋体" w:hAnsi="宋体" w:cs="宋体"/>
      <w:sz w:val="24"/>
      <w:szCs w:val="24"/>
    </w:rPr>
  </w:style>
  <w:style w:type="paragraph" w:customStyle="1" w:styleId="271">
    <w:name w:val="Char Char4"/>
    <w:basedOn w:val="1"/>
    <w:qFormat/>
    <w:uiPriority w:val="0"/>
    <w:pPr>
      <w:widowControl w:val="0"/>
      <w:jc w:val="both"/>
    </w:pPr>
    <w:rPr>
      <w:rFonts w:ascii="Tahoma" w:hAnsi="Tahoma"/>
      <w:kern w:val="2"/>
      <w:sz w:val="24"/>
    </w:rPr>
  </w:style>
  <w:style w:type="paragraph" w:customStyle="1" w:styleId="272">
    <w:name w:val="pa-139"/>
    <w:basedOn w:val="1"/>
    <w:qFormat/>
    <w:uiPriority w:val="0"/>
    <w:pPr>
      <w:spacing w:line="320" w:lineRule="atLeast"/>
      <w:ind w:firstLine="280"/>
      <w:jc w:val="both"/>
    </w:pPr>
    <w:rPr>
      <w:rFonts w:ascii="宋体" w:hAnsi="宋体" w:cs="宋体"/>
      <w:sz w:val="24"/>
      <w:szCs w:val="24"/>
    </w:rPr>
  </w:style>
  <w:style w:type="paragraph" w:customStyle="1" w:styleId="273">
    <w:name w:val="xl66"/>
    <w:basedOn w:val="1"/>
    <w:qFormat/>
    <w:uiPriority w:val="0"/>
    <w:pPr>
      <w:spacing w:before="100" w:beforeAutospacing="1" w:after="100" w:afterAutospacing="1"/>
      <w:jc w:val="center"/>
      <w:textAlignment w:val="top"/>
    </w:pPr>
    <w:rPr>
      <w:rFonts w:ascii="宋体" w:hAnsi="宋体" w:cs="宋体"/>
      <w:sz w:val="20"/>
    </w:rPr>
  </w:style>
  <w:style w:type="paragraph" w:customStyle="1" w:styleId="274">
    <w:name w:val="节"/>
    <w:basedOn w:val="3"/>
    <w:qFormat/>
    <w:uiPriority w:val="0"/>
    <w:pPr>
      <w:widowControl w:val="0"/>
      <w:spacing w:before="160" w:after="160" w:line="720" w:lineRule="exact"/>
      <w:jc w:val="center"/>
    </w:pPr>
    <w:rPr>
      <w:rFonts w:ascii="Arial" w:hAnsi="Arial" w:eastAsia="黑体"/>
      <w:b w:val="0"/>
      <w:bCs w:val="0"/>
      <w:spacing w:val="14"/>
      <w:kern w:val="24"/>
      <w:szCs w:val="20"/>
    </w:rPr>
  </w:style>
  <w:style w:type="paragraph" w:customStyle="1" w:styleId="275">
    <w:name w:val="pa-119"/>
    <w:basedOn w:val="1"/>
    <w:qFormat/>
    <w:uiPriority w:val="0"/>
    <w:pPr>
      <w:spacing w:line="420" w:lineRule="atLeast"/>
      <w:jc w:val="center"/>
    </w:pPr>
    <w:rPr>
      <w:rFonts w:ascii="宋体" w:hAnsi="宋体" w:cs="宋体"/>
      <w:sz w:val="24"/>
      <w:szCs w:val="24"/>
    </w:rPr>
  </w:style>
  <w:style w:type="paragraph" w:customStyle="1" w:styleId="276">
    <w:name w:val="pa-124"/>
    <w:basedOn w:val="1"/>
    <w:qFormat/>
    <w:uiPriority w:val="0"/>
    <w:pPr>
      <w:spacing w:line="760" w:lineRule="atLeast"/>
      <w:jc w:val="both"/>
    </w:pPr>
    <w:rPr>
      <w:rFonts w:ascii="宋体" w:hAnsi="宋体" w:cs="宋体"/>
      <w:sz w:val="24"/>
      <w:szCs w:val="24"/>
    </w:rPr>
  </w:style>
  <w:style w:type="paragraph" w:customStyle="1" w:styleId="277">
    <w:name w:val="xl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16"/>
      <w:szCs w:val="16"/>
    </w:rPr>
  </w:style>
  <w:style w:type="paragraph" w:customStyle="1" w:styleId="278">
    <w:name w:val="pa-38"/>
    <w:basedOn w:val="1"/>
    <w:qFormat/>
    <w:uiPriority w:val="0"/>
    <w:pPr>
      <w:spacing w:line="360" w:lineRule="atLeast"/>
      <w:ind w:firstLine="520"/>
      <w:jc w:val="both"/>
    </w:pPr>
    <w:rPr>
      <w:rFonts w:ascii="宋体" w:hAnsi="宋体" w:cs="宋体"/>
      <w:sz w:val="24"/>
      <w:szCs w:val="24"/>
    </w:rPr>
  </w:style>
  <w:style w:type="paragraph" w:customStyle="1" w:styleId="279">
    <w:name w:val="ca-18"/>
    <w:basedOn w:val="1"/>
    <w:qFormat/>
    <w:uiPriority w:val="0"/>
    <w:rPr>
      <w:rFonts w:ascii="宋体" w:hAnsi="宋体" w:cs="宋体"/>
      <w:color w:val="000000"/>
      <w:sz w:val="18"/>
      <w:szCs w:val="18"/>
    </w:rPr>
  </w:style>
  <w:style w:type="paragraph" w:customStyle="1" w:styleId="280">
    <w:name w:val="xl25"/>
    <w:basedOn w:val="1"/>
    <w:qFormat/>
    <w:uiPriority w:val="0"/>
    <w:pPr>
      <w:spacing w:before="100" w:beforeAutospacing="1" w:after="100" w:afterAutospacing="1"/>
      <w:jc w:val="center"/>
      <w:textAlignment w:val="center"/>
    </w:pPr>
    <w:rPr>
      <w:rFonts w:ascii="宋体" w:hAnsi="宋体"/>
      <w:sz w:val="24"/>
      <w:szCs w:val="24"/>
    </w:rPr>
  </w:style>
  <w:style w:type="paragraph" w:customStyle="1" w:styleId="281">
    <w:name w:val="pa-17"/>
    <w:basedOn w:val="1"/>
    <w:qFormat/>
    <w:uiPriority w:val="0"/>
    <w:pPr>
      <w:spacing w:line="240" w:lineRule="atLeast"/>
      <w:jc w:val="center"/>
    </w:pPr>
    <w:rPr>
      <w:rFonts w:ascii="宋体" w:hAnsi="宋体" w:cs="宋体"/>
      <w:sz w:val="24"/>
      <w:szCs w:val="24"/>
    </w:rPr>
  </w:style>
  <w:style w:type="paragraph" w:customStyle="1" w:styleId="282">
    <w:name w:val="bt1bt1"/>
    <w:basedOn w:val="2"/>
    <w:qFormat/>
    <w:uiPriority w:val="0"/>
    <w:pPr>
      <w:tabs>
        <w:tab w:val="clear" w:pos="840"/>
      </w:tabs>
      <w:adjustRightInd/>
      <w:snapToGrid/>
      <w:spacing w:before="340" w:after="330" w:line="240" w:lineRule="auto"/>
      <w:jc w:val="center"/>
    </w:pPr>
    <w:rPr>
      <w:rFonts w:ascii="黑体" w:hAnsi="Calibri" w:eastAsia="黑体"/>
      <w:b w:val="0"/>
      <w:bCs/>
      <w:sz w:val="36"/>
      <w:szCs w:val="36"/>
    </w:rPr>
  </w:style>
  <w:style w:type="paragraph" w:customStyle="1" w:styleId="283">
    <w:name w:val="pa-59"/>
    <w:basedOn w:val="1"/>
    <w:qFormat/>
    <w:uiPriority w:val="0"/>
    <w:pPr>
      <w:spacing w:line="360" w:lineRule="atLeast"/>
      <w:ind w:firstLine="200"/>
      <w:jc w:val="both"/>
    </w:pPr>
    <w:rPr>
      <w:rFonts w:ascii="宋体" w:hAnsi="宋体" w:cs="宋体"/>
      <w:sz w:val="24"/>
      <w:szCs w:val="24"/>
    </w:rPr>
  </w:style>
  <w:style w:type="paragraph" w:customStyle="1" w:styleId="284">
    <w:name w:val="flNote"/>
    <w:basedOn w:val="1"/>
    <w:qFormat/>
    <w:uiPriority w:val="0"/>
    <w:pPr>
      <w:widowControl w:val="0"/>
      <w:adjustRightInd w:val="0"/>
      <w:spacing w:before="320" w:after="160" w:line="360" w:lineRule="atLeast"/>
      <w:jc w:val="center"/>
      <w:textAlignment w:val="baseline"/>
    </w:pPr>
    <w:rPr>
      <w:rFonts w:ascii="Arial" w:hAnsi="Calibri" w:eastAsia="黑体"/>
      <w:sz w:val="30"/>
    </w:rPr>
  </w:style>
  <w:style w:type="paragraph" w:customStyle="1" w:styleId="285">
    <w:name w:val="pa-48"/>
    <w:basedOn w:val="1"/>
    <w:qFormat/>
    <w:uiPriority w:val="0"/>
    <w:pPr>
      <w:spacing w:line="280" w:lineRule="atLeast"/>
      <w:ind w:firstLine="440"/>
      <w:jc w:val="both"/>
    </w:pPr>
    <w:rPr>
      <w:rFonts w:ascii="宋体" w:hAnsi="宋体" w:cs="宋体"/>
      <w:sz w:val="24"/>
      <w:szCs w:val="24"/>
    </w:rPr>
  </w:style>
  <w:style w:type="paragraph" w:customStyle="1" w:styleId="286">
    <w:name w:val="样式 仿宋_GB2312 四号 首行缩进:  0.74 厘米"/>
    <w:basedOn w:val="1"/>
    <w:qFormat/>
    <w:uiPriority w:val="0"/>
    <w:pPr>
      <w:widowControl w:val="0"/>
      <w:ind w:firstLine="420"/>
      <w:jc w:val="both"/>
    </w:pPr>
    <w:rPr>
      <w:rFonts w:ascii="仿宋_GB2312" w:hAnsi="Calibri" w:eastAsia="仿宋_GB2312" w:cs="宋体"/>
      <w:kern w:val="2"/>
      <w:sz w:val="28"/>
    </w:rPr>
  </w:style>
  <w:style w:type="paragraph" w:customStyle="1" w:styleId="287">
    <w:name w:val="Intense Quote1"/>
    <w:basedOn w:val="1"/>
    <w:next w:val="1"/>
    <w:link w:val="288"/>
    <w:qFormat/>
    <w:uiPriority w:val="0"/>
    <w:pPr>
      <w:widowControl w:val="0"/>
      <w:pBdr>
        <w:bottom w:val="single" w:color="4F81BD" w:sz="4" w:space="4"/>
      </w:pBdr>
      <w:spacing w:before="200" w:after="280"/>
      <w:ind w:left="936" w:right="936"/>
      <w:jc w:val="both"/>
    </w:pPr>
    <w:rPr>
      <w:b/>
      <w:i/>
      <w:color w:val="4F81BD"/>
      <w:kern w:val="2"/>
      <w:sz w:val="22"/>
    </w:rPr>
  </w:style>
  <w:style w:type="character" w:customStyle="1" w:styleId="288">
    <w:name w:val="明显引用 Char"/>
    <w:link w:val="287"/>
    <w:qFormat/>
    <w:locked/>
    <w:uiPriority w:val="0"/>
    <w:rPr>
      <w:b/>
      <w:i/>
      <w:color w:val="4F81BD"/>
      <w:kern w:val="2"/>
      <w:sz w:val="22"/>
    </w:rPr>
  </w:style>
  <w:style w:type="paragraph" w:customStyle="1" w:styleId="289">
    <w:name w:val="缺省文本"/>
    <w:basedOn w:val="1"/>
    <w:qFormat/>
    <w:uiPriority w:val="0"/>
    <w:pPr>
      <w:widowControl w:val="0"/>
      <w:autoSpaceDE w:val="0"/>
      <w:autoSpaceDN w:val="0"/>
      <w:adjustRightInd w:val="0"/>
    </w:pPr>
    <w:rPr>
      <w:rFonts w:ascii="Calibri" w:hAnsi="Calibri"/>
      <w:sz w:val="24"/>
      <w:szCs w:val="24"/>
    </w:rPr>
  </w:style>
  <w:style w:type="paragraph" w:customStyle="1" w:styleId="290">
    <w:name w:val="pa-24"/>
    <w:basedOn w:val="1"/>
    <w:qFormat/>
    <w:uiPriority w:val="0"/>
    <w:pPr>
      <w:spacing w:line="360" w:lineRule="atLeast"/>
      <w:ind w:firstLine="480"/>
      <w:jc w:val="both"/>
    </w:pPr>
    <w:rPr>
      <w:rFonts w:ascii="宋体" w:hAnsi="宋体" w:cs="宋体"/>
      <w:sz w:val="24"/>
      <w:szCs w:val="24"/>
    </w:rPr>
  </w:style>
  <w:style w:type="paragraph" w:customStyle="1" w:styleId="291">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0"/>
    </w:rPr>
  </w:style>
  <w:style w:type="paragraph" w:customStyle="1" w:styleId="292">
    <w:name w:val="Char Char Char Char Char Char Char Char Char Char Char Char Char Char Char Char Char Char Char Char Char Char Char Char Char Char Char Char Char Char Char Char Char2"/>
    <w:basedOn w:val="1"/>
    <w:qFormat/>
    <w:uiPriority w:val="0"/>
    <w:pPr>
      <w:spacing w:after="160" w:line="240" w:lineRule="exact"/>
    </w:pPr>
    <w:rPr>
      <w:rFonts w:ascii="Verdana" w:hAnsi="Verdana" w:eastAsia="仿宋_GB2312"/>
      <w:sz w:val="24"/>
      <w:lang w:eastAsia="en-US"/>
    </w:rPr>
  </w:style>
  <w:style w:type="paragraph" w:customStyle="1" w:styleId="293">
    <w:name w:val="pa-71"/>
    <w:basedOn w:val="1"/>
    <w:qFormat/>
    <w:uiPriority w:val="0"/>
    <w:pPr>
      <w:spacing w:line="240" w:lineRule="atLeast"/>
      <w:ind w:firstLine="320"/>
      <w:jc w:val="both"/>
    </w:pPr>
    <w:rPr>
      <w:rFonts w:ascii="宋体" w:hAnsi="宋体" w:cs="宋体"/>
      <w:sz w:val="24"/>
      <w:szCs w:val="24"/>
    </w:rPr>
  </w:style>
  <w:style w:type="paragraph" w:customStyle="1" w:styleId="294">
    <w:name w:val="ca-39"/>
    <w:basedOn w:val="1"/>
    <w:qFormat/>
    <w:uiPriority w:val="0"/>
    <w:rPr>
      <w:rFonts w:ascii="宋体" w:hAnsi="宋体" w:cs="宋体"/>
      <w:b/>
      <w:bCs/>
      <w:color w:val="000000"/>
      <w:spacing w:val="-20"/>
      <w:sz w:val="28"/>
      <w:szCs w:val="28"/>
    </w:rPr>
  </w:style>
  <w:style w:type="paragraph" w:customStyle="1" w:styleId="295">
    <w:name w:val="样式 标题 3 + 红色"/>
    <w:basedOn w:val="4"/>
    <w:qFormat/>
    <w:uiPriority w:val="0"/>
    <w:pPr>
      <w:widowControl w:val="0"/>
      <w:spacing w:before="120" w:after="120" w:line="700" w:lineRule="exact"/>
    </w:pPr>
    <w:rPr>
      <w:rFonts w:ascii="宋体" w:hAnsi="宋体"/>
      <w:color w:val="FF0000"/>
      <w:spacing w:val="10"/>
      <w:kern w:val="24"/>
      <w:sz w:val="28"/>
    </w:rPr>
  </w:style>
  <w:style w:type="paragraph" w:customStyle="1" w:styleId="296">
    <w:name w:val="xl112"/>
    <w:basedOn w:val="1"/>
    <w:qFormat/>
    <w:uiPriority w:val="0"/>
    <w:pPr>
      <w:shd w:val="clear" w:color="000000" w:fill="FFFFFF"/>
      <w:spacing w:before="100" w:beforeAutospacing="1" w:after="100" w:afterAutospacing="1"/>
      <w:jc w:val="center"/>
      <w:textAlignment w:val="center"/>
    </w:pPr>
    <w:rPr>
      <w:rFonts w:ascii="宋体" w:hAnsi="宋体" w:cs="宋体"/>
      <w:sz w:val="36"/>
      <w:szCs w:val="36"/>
    </w:rPr>
  </w:style>
  <w:style w:type="paragraph" w:customStyle="1" w:styleId="297">
    <w:name w:val="pa-116"/>
    <w:basedOn w:val="1"/>
    <w:qFormat/>
    <w:uiPriority w:val="0"/>
    <w:pPr>
      <w:spacing w:line="480" w:lineRule="atLeast"/>
      <w:ind w:firstLine="200"/>
      <w:jc w:val="both"/>
    </w:pPr>
    <w:rPr>
      <w:rFonts w:ascii="宋体" w:hAnsi="宋体" w:cs="宋体"/>
      <w:sz w:val="24"/>
      <w:szCs w:val="24"/>
    </w:rPr>
  </w:style>
  <w:style w:type="paragraph" w:customStyle="1" w:styleId="298">
    <w:name w:val="pa-102"/>
    <w:basedOn w:val="1"/>
    <w:qFormat/>
    <w:uiPriority w:val="0"/>
    <w:pPr>
      <w:spacing w:line="300" w:lineRule="atLeast"/>
      <w:jc w:val="center"/>
    </w:pPr>
    <w:rPr>
      <w:rFonts w:ascii="宋体" w:hAnsi="宋体" w:cs="宋体"/>
      <w:sz w:val="24"/>
      <w:szCs w:val="24"/>
    </w:rPr>
  </w:style>
  <w:style w:type="paragraph" w:customStyle="1" w:styleId="299">
    <w:name w:val="样式3"/>
    <w:basedOn w:val="4"/>
    <w:qFormat/>
    <w:uiPriority w:val="0"/>
    <w:pPr>
      <w:widowControl w:val="0"/>
      <w:spacing w:line="415" w:lineRule="auto"/>
      <w:jc w:val="both"/>
    </w:pPr>
    <w:rPr>
      <w:rFonts w:ascii="Calibri" w:hAnsi="Calibri" w:eastAsia="Times New Roman"/>
      <w:kern w:val="2"/>
    </w:rPr>
  </w:style>
  <w:style w:type="paragraph" w:customStyle="1" w:styleId="300">
    <w:name w:val="ca-51"/>
    <w:basedOn w:val="1"/>
    <w:qFormat/>
    <w:uiPriority w:val="0"/>
    <w:rPr>
      <w:rFonts w:ascii="Calibri" w:hAnsi="Calibri"/>
      <w:b/>
      <w:bCs/>
      <w:color w:val="000000"/>
      <w:spacing w:val="-20"/>
      <w:sz w:val="32"/>
      <w:szCs w:val="32"/>
    </w:rPr>
  </w:style>
  <w:style w:type="paragraph" w:customStyle="1" w:styleId="301">
    <w:name w:val="Char Char Char Char1"/>
    <w:basedOn w:val="1"/>
    <w:qFormat/>
    <w:uiPriority w:val="0"/>
    <w:pPr>
      <w:widowControl w:val="0"/>
      <w:jc w:val="both"/>
    </w:pPr>
    <w:rPr>
      <w:rFonts w:ascii="Calibri" w:hAnsi="Calibri"/>
      <w:kern w:val="2"/>
      <w:szCs w:val="24"/>
    </w:rPr>
  </w:style>
  <w:style w:type="paragraph" w:customStyle="1" w:styleId="302">
    <w:name w:val="ca-36"/>
    <w:basedOn w:val="1"/>
    <w:qFormat/>
    <w:uiPriority w:val="0"/>
    <w:rPr>
      <w:rFonts w:ascii="宋体" w:hAnsi="宋体" w:cs="宋体"/>
      <w:b/>
      <w:bCs/>
      <w:spacing w:val="-20"/>
      <w:szCs w:val="21"/>
    </w:rPr>
  </w:style>
  <w:style w:type="paragraph" w:customStyle="1" w:styleId="303">
    <w:name w:val="ca-8"/>
    <w:basedOn w:val="1"/>
    <w:qFormat/>
    <w:uiPriority w:val="0"/>
    <w:rPr>
      <w:rFonts w:ascii="宋体" w:hAnsi="宋体" w:cs="宋体"/>
      <w:color w:val="000000"/>
      <w:sz w:val="28"/>
      <w:szCs w:val="28"/>
    </w:rPr>
  </w:style>
  <w:style w:type="paragraph" w:customStyle="1" w:styleId="304">
    <w:name w:val="pa-32"/>
    <w:basedOn w:val="1"/>
    <w:qFormat/>
    <w:uiPriority w:val="0"/>
    <w:pPr>
      <w:spacing w:line="360" w:lineRule="atLeast"/>
      <w:ind w:firstLine="520"/>
      <w:jc w:val="both"/>
    </w:pPr>
    <w:rPr>
      <w:rFonts w:ascii="宋体" w:hAnsi="宋体" w:cs="宋体"/>
      <w:sz w:val="24"/>
      <w:szCs w:val="24"/>
    </w:rPr>
  </w:style>
  <w:style w:type="paragraph" w:customStyle="1" w:styleId="305">
    <w:name w:val="pa-27"/>
    <w:basedOn w:val="1"/>
    <w:qFormat/>
    <w:uiPriority w:val="0"/>
    <w:pPr>
      <w:spacing w:line="276" w:lineRule="atLeast"/>
      <w:ind w:firstLine="300"/>
      <w:jc w:val="both"/>
    </w:pPr>
    <w:rPr>
      <w:rFonts w:ascii="宋体" w:hAnsi="宋体" w:cs="宋体"/>
      <w:sz w:val="24"/>
      <w:szCs w:val="24"/>
    </w:rPr>
  </w:style>
  <w:style w:type="paragraph" w:customStyle="1" w:styleId="306">
    <w:name w:val="pa-6"/>
    <w:basedOn w:val="1"/>
    <w:qFormat/>
    <w:uiPriority w:val="0"/>
    <w:pPr>
      <w:spacing w:line="560" w:lineRule="atLeast"/>
      <w:jc w:val="both"/>
    </w:pPr>
    <w:rPr>
      <w:rFonts w:ascii="宋体" w:hAnsi="宋体" w:cs="宋体"/>
      <w:sz w:val="24"/>
      <w:szCs w:val="24"/>
    </w:rPr>
  </w:style>
  <w:style w:type="paragraph" w:customStyle="1" w:styleId="307">
    <w:name w:val="pa-44"/>
    <w:basedOn w:val="1"/>
    <w:qFormat/>
    <w:uiPriority w:val="0"/>
    <w:pPr>
      <w:spacing w:line="360" w:lineRule="atLeast"/>
      <w:ind w:firstLine="420"/>
    </w:pPr>
    <w:rPr>
      <w:rFonts w:ascii="宋体" w:hAnsi="宋体" w:cs="宋体"/>
      <w:sz w:val="24"/>
      <w:szCs w:val="24"/>
    </w:rPr>
  </w:style>
  <w:style w:type="paragraph" w:customStyle="1" w:styleId="308">
    <w:name w:val="Char Char1 Char"/>
    <w:basedOn w:val="1"/>
    <w:qFormat/>
    <w:uiPriority w:val="0"/>
    <w:pPr>
      <w:widowControl w:val="0"/>
      <w:jc w:val="both"/>
    </w:pPr>
    <w:rPr>
      <w:rFonts w:ascii="Calibri" w:hAnsi="Calibri"/>
      <w:kern w:val="2"/>
      <w:szCs w:val="24"/>
    </w:rPr>
  </w:style>
  <w:style w:type="paragraph" w:customStyle="1" w:styleId="309">
    <w:name w:val="pa-118"/>
    <w:basedOn w:val="1"/>
    <w:qFormat/>
    <w:uiPriority w:val="0"/>
    <w:pPr>
      <w:spacing w:line="480" w:lineRule="atLeast"/>
      <w:ind w:firstLine="1440"/>
      <w:jc w:val="both"/>
    </w:pPr>
    <w:rPr>
      <w:rFonts w:ascii="宋体" w:hAnsi="宋体" w:cs="宋体"/>
      <w:sz w:val="24"/>
      <w:szCs w:val="24"/>
    </w:rPr>
  </w:style>
  <w:style w:type="paragraph" w:customStyle="1" w:styleId="310">
    <w:name w:val="Char Char Char Char Char Char Char Char Char Char Char Char Char Char Char Char Char Char Char Char Char Char Char Char Char Char Char Char Char Char Char Char Char"/>
    <w:basedOn w:val="1"/>
    <w:qFormat/>
    <w:uiPriority w:val="0"/>
    <w:pPr>
      <w:spacing w:after="160" w:line="240" w:lineRule="exact"/>
    </w:pPr>
    <w:rPr>
      <w:rFonts w:ascii="Verdana" w:hAnsi="Verdana" w:eastAsia="仿宋_GB2312"/>
      <w:sz w:val="24"/>
      <w:lang w:eastAsia="en-US"/>
    </w:rPr>
  </w:style>
  <w:style w:type="paragraph" w:customStyle="1" w:styleId="311">
    <w:name w:val="pa-25"/>
    <w:basedOn w:val="1"/>
    <w:qFormat/>
    <w:uiPriority w:val="0"/>
    <w:pPr>
      <w:spacing w:line="360" w:lineRule="atLeast"/>
      <w:ind w:firstLine="480"/>
      <w:jc w:val="center"/>
    </w:pPr>
    <w:rPr>
      <w:rFonts w:ascii="宋体" w:hAnsi="宋体" w:cs="宋体"/>
      <w:sz w:val="24"/>
      <w:szCs w:val="24"/>
    </w:rPr>
  </w:style>
  <w:style w:type="paragraph" w:customStyle="1" w:styleId="312">
    <w:name w:val="样式 标题 1 + 宋体 居中 段前: 48 磅 段后: 12 磅 行距: 1.5 倍行距"/>
    <w:basedOn w:val="2"/>
    <w:qFormat/>
    <w:uiPriority w:val="0"/>
    <w:pPr>
      <w:tabs>
        <w:tab w:val="clear" w:pos="840"/>
      </w:tabs>
      <w:adjustRightInd/>
      <w:snapToGrid/>
      <w:spacing w:before="1560" w:after="240"/>
      <w:jc w:val="center"/>
    </w:pPr>
    <w:rPr>
      <w:rFonts w:hAnsi="宋体"/>
      <w:b w:val="0"/>
      <w:kern w:val="2"/>
      <w:sz w:val="36"/>
    </w:rPr>
  </w:style>
  <w:style w:type="paragraph" w:customStyle="1" w:styleId="313">
    <w:name w:val="pa-77"/>
    <w:basedOn w:val="1"/>
    <w:qFormat/>
    <w:uiPriority w:val="0"/>
    <w:pPr>
      <w:spacing w:line="360" w:lineRule="atLeast"/>
      <w:jc w:val="both"/>
    </w:pPr>
    <w:rPr>
      <w:rFonts w:ascii="宋体" w:hAnsi="宋体" w:cs="宋体"/>
      <w:sz w:val="24"/>
      <w:szCs w:val="24"/>
    </w:rPr>
  </w:style>
  <w:style w:type="paragraph" w:customStyle="1" w:styleId="314">
    <w:name w:val="xl74"/>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sz w:val="20"/>
    </w:rPr>
  </w:style>
  <w:style w:type="paragraph" w:customStyle="1" w:styleId="315">
    <w:name w:val="pa-105"/>
    <w:basedOn w:val="1"/>
    <w:qFormat/>
    <w:uiPriority w:val="0"/>
    <w:pPr>
      <w:spacing w:line="960" w:lineRule="atLeast"/>
      <w:jc w:val="both"/>
    </w:pPr>
    <w:rPr>
      <w:rFonts w:ascii="宋体" w:hAnsi="宋体" w:cs="宋体"/>
      <w:sz w:val="24"/>
      <w:szCs w:val="24"/>
    </w:rPr>
  </w:style>
  <w:style w:type="paragraph" w:customStyle="1" w:styleId="316">
    <w:name w:val="pa-104"/>
    <w:basedOn w:val="1"/>
    <w:qFormat/>
    <w:uiPriority w:val="0"/>
    <w:pPr>
      <w:spacing w:line="280" w:lineRule="atLeast"/>
      <w:ind w:firstLine="500"/>
    </w:pPr>
    <w:rPr>
      <w:rFonts w:ascii="宋体" w:hAnsi="宋体" w:cs="宋体"/>
      <w:sz w:val="24"/>
      <w:szCs w:val="24"/>
    </w:rPr>
  </w:style>
  <w:style w:type="paragraph" w:customStyle="1" w:styleId="317">
    <w:name w:val="部分1"/>
    <w:basedOn w:val="1"/>
    <w:qFormat/>
    <w:uiPriority w:val="0"/>
    <w:pPr>
      <w:keepNext/>
      <w:pageBreakBefore/>
      <w:widowControl w:val="0"/>
      <w:tabs>
        <w:tab w:val="left" w:pos="720"/>
      </w:tabs>
      <w:spacing w:line="360" w:lineRule="auto"/>
      <w:jc w:val="center"/>
      <w:outlineLvl w:val="0"/>
    </w:pPr>
    <w:rPr>
      <w:rFonts w:ascii="Calibri" w:hAnsi="Calibri" w:eastAsia="黑体"/>
      <w:b/>
      <w:kern w:val="44"/>
      <w:sz w:val="36"/>
    </w:rPr>
  </w:style>
  <w:style w:type="paragraph" w:customStyle="1" w:styleId="318">
    <w:name w:val="pa-3"/>
    <w:basedOn w:val="1"/>
    <w:qFormat/>
    <w:uiPriority w:val="0"/>
    <w:pPr>
      <w:spacing w:line="520" w:lineRule="atLeast"/>
      <w:jc w:val="center"/>
    </w:pPr>
    <w:rPr>
      <w:rFonts w:ascii="宋体" w:hAnsi="宋体" w:cs="宋体"/>
      <w:sz w:val="24"/>
      <w:szCs w:val="24"/>
    </w:rPr>
  </w:style>
  <w:style w:type="paragraph" w:customStyle="1" w:styleId="319">
    <w:name w:val="pa-103"/>
    <w:basedOn w:val="1"/>
    <w:qFormat/>
    <w:uiPriority w:val="0"/>
    <w:pPr>
      <w:spacing w:line="480" w:lineRule="atLeast"/>
      <w:ind w:firstLine="500"/>
    </w:pPr>
    <w:rPr>
      <w:rFonts w:ascii="宋体" w:hAnsi="宋体" w:cs="宋体"/>
      <w:sz w:val="24"/>
      <w:szCs w:val="24"/>
    </w:rPr>
  </w:style>
  <w:style w:type="paragraph" w:customStyle="1" w:styleId="320">
    <w:name w:val="pa-9"/>
    <w:basedOn w:val="1"/>
    <w:qFormat/>
    <w:uiPriority w:val="0"/>
    <w:pPr>
      <w:spacing w:line="360" w:lineRule="atLeast"/>
      <w:ind w:firstLine="900"/>
      <w:jc w:val="both"/>
    </w:pPr>
    <w:rPr>
      <w:rFonts w:ascii="宋体" w:hAnsi="宋体" w:cs="宋体"/>
      <w:sz w:val="24"/>
      <w:szCs w:val="24"/>
    </w:rPr>
  </w:style>
  <w:style w:type="paragraph" w:customStyle="1" w:styleId="321">
    <w:name w:val="td-5"/>
    <w:basedOn w:val="1"/>
    <w:qFormat/>
    <w:uiPriority w:val="0"/>
    <w:pPr>
      <w:pBdr>
        <w:top w:val="single" w:color="000000" w:sz="12" w:space="0"/>
        <w:left w:val="single" w:color="000000" w:sz="4" w:space="4"/>
        <w:bottom w:val="single" w:color="000000" w:sz="4" w:space="0"/>
        <w:right w:val="single" w:color="000000" w:sz="4" w:space="0"/>
      </w:pBdr>
    </w:pPr>
    <w:rPr>
      <w:rFonts w:ascii="宋体" w:hAnsi="宋体" w:cs="宋体"/>
      <w:sz w:val="24"/>
      <w:szCs w:val="24"/>
    </w:rPr>
  </w:style>
  <w:style w:type="paragraph" w:customStyle="1" w:styleId="322">
    <w:name w:val="pa-109"/>
    <w:basedOn w:val="1"/>
    <w:qFormat/>
    <w:uiPriority w:val="0"/>
    <w:pPr>
      <w:spacing w:line="280" w:lineRule="atLeast"/>
      <w:jc w:val="both"/>
    </w:pPr>
    <w:rPr>
      <w:rFonts w:ascii="宋体" w:hAnsi="宋体" w:cs="宋体"/>
      <w:sz w:val="24"/>
      <w:szCs w:val="24"/>
    </w:rPr>
  </w:style>
  <w:style w:type="paragraph" w:customStyle="1" w:styleId="323">
    <w:name w:val="pa-95"/>
    <w:basedOn w:val="1"/>
    <w:qFormat/>
    <w:uiPriority w:val="0"/>
    <w:pPr>
      <w:spacing w:line="440" w:lineRule="atLeast"/>
      <w:jc w:val="center"/>
    </w:pPr>
    <w:rPr>
      <w:rFonts w:ascii="宋体" w:hAnsi="宋体" w:cs="宋体"/>
      <w:sz w:val="24"/>
      <w:szCs w:val="24"/>
    </w:rPr>
  </w:style>
  <w:style w:type="paragraph" w:customStyle="1" w:styleId="324">
    <w:name w:val="样式 标题 4 + 非加粗"/>
    <w:basedOn w:val="5"/>
    <w:qFormat/>
    <w:uiPriority w:val="0"/>
    <w:pPr>
      <w:tabs>
        <w:tab w:val="clear" w:pos="864"/>
      </w:tabs>
      <w:spacing w:before="120" w:after="120" w:line="377" w:lineRule="auto"/>
    </w:pPr>
    <w:rPr>
      <w:rFonts w:eastAsia="宋体"/>
      <w:bCs w:val="0"/>
      <w:spacing w:val="4"/>
      <w:sz w:val="24"/>
      <w:szCs w:val="24"/>
      <w:lang w:val="en-US"/>
    </w:rPr>
  </w:style>
  <w:style w:type="paragraph" w:customStyle="1" w:styleId="325">
    <w:name w:val="Preformatted"/>
    <w:basedOn w:val="1"/>
    <w:qFormat/>
    <w:uiPriority w:val="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sz w:val="20"/>
    </w:rPr>
  </w:style>
  <w:style w:type="paragraph" w:customStyle="1" w:styleId="326">
    <w:name w:val="List Paragraph1"/>
    <w:basedOn w:val="1"/>
    <w:qFormat/>
    <w:uiPriority w:val="99"/>
    <w:pPr>
      <w:ind w:left="720"/>
      <w:contextualSpacing/>
    </w:pPr>
    <w:rPr>
      <w:rFonts w:ascii="Arial" w:hAnsi="Arial" w:eastAsia="黑体"/>
      <w:sz w:val="24"/>
      <w:szCs w:val="24"/>
      <w:lang w:eastAsia="en-US"/>
    </w:rPr>
  </w:style>
  <w:style w:type="paragraph" w:customStyle="1" w:styleId="327">
    <w:name w:val="pa-21"/>
    <w:basedOn w:val="1"/>
    <w:qFormat/>
    <w:uiPriority w:val="0"/>
    <w:pPr>
      <w:spacing w:line="240" w:lineRule="atLeast"/>
      <w:ind w:firstLine="420"/>
      <w:jc w:val="both"/>
    </w:pPr>
    <w:rPr>
      <w:rFonts w:ascii="宋体" w:hAnsi="宋体" w:cs="宋体"/>
      <w:sz w:val="24"/>
      <w:szCs w:val="24"/>
    </w:rPr>
  </w:style>
  <w:style w:type="paragraph" w:customStyle="1" w:styleId="328">
    <w:name w:val="pa-131"/>
    <w:basedOn w:val="1"/>
    <w:qFormat/>
    <w:uiPriority w:val="0"/>
    <w:pPr>
      <w:spacing w:line="280" w:lineRule="atLeast"/>
    </w:pPr>
    <w:rPr>
      <w:rFonts w:ascii="宋体" w:hAnsi="宋体" w:cs="宋体"/>
      <w:sz w:val="24"/>
      <w:szCs w:val="24"/>
    </w:rPr>
  </w:style>
  <w:style w:type="paragraph" w:customStyle="1" w:styleId="329">
    <w:name w:val="pa-61"/>
    <w:basedOn w:val="1"/>
    <w:qFormat/>
    <w:uiPriority w:val="0"/>
    <w:pPr>
      <w:spacing w:line="240" w:lineRule="atLeast"/>
      <w:jc w:val="both"/>
    </w:pPr>
    <w:rPr>
      <w:rFonts w:ascii="宋体" w:hAnsi="宋体" w:cs="宋体"/>
      <w:sz w:val="24"/>
      <w:szCs w:val="24"/>
    </w:rPr>
  </w:style>
  <w:style w:type="paragraph" w:customStyle="1" w:styleId="330">
    <w:name w:val="pa-15"/>
    <w:basedOn w:val="1"/>
    <w:qFormat/>
    <w:uiPriority w:val="0"/>
    <w:pPr>
      <w:spacing w:line="240" w:lineRule="atLeast"/>
    </w:pPr>
    <w:rPr>
      <w:rFonts w:ascii="宋体" w:hAnsi="宋体" w:cs="宋体"/>
      <w:sz w:val="24"/>
      <w:szCs w:val="24"/>
    </w:rPr>
  </w:style>
  <w:style w:type="paragraph" w:customStyle="1" w:styleId="331">
    <w:name w:val="td-11"/>
    <w:basedOn w:val="1"/>
    <w:qFormat/>
    <w:uiPriority w:val="0"/>
    <w:pPr>
      <w:pBdr>
        <w:top w:val="single" w:color="000000" w:sz="4" w:space="0"/>
        <w:left w:val="single" w:color="000000" w:sz="4" w:space="4"/>
        <w:bottom w:val="single" w:color="000000" w:sz="12" w:space="0"/>
        <w:right w:val="single" w:color="000000" w:sz="12" w:space="0"/>
      </w:pBdr>
    </w:pPr>
    <w:rPr>
      <w:rFonts w:ascii="宋体" w:hAnsi="宋体" w:cs="宋体"/>
      <w:sz w:val="24"/>
      <w:szCs w:val="24"/>
    </w:rPr>
  </w:style>
  <w:style w:type="paragraph" w:customStyle="1" w:styleId="332">
    <w:name w:val="pa-80"/>
    <w:basedOn w:val="1"/>
    <w:qFormat/>
    <w:uiPriority w:val="0"/>
    <w:pPr>
      <w:spacing w:line="360" w:lineRule="atLeast"/>
      <w:jc w:val="both"/>
    </w:pPr>
    <w:rPr>
      <w:rFonts w:ascii="宋体" w:hAnsi="宋体" w:cs="宋体"/>
      <w:sz w:val="24"/>
      <w:szCs w:val="24"/>
    </w:rPr>
  </w:style>
  <w:style w:type="paragraph" w:customStyle="1" w:styleId="333">
    <w:name w:val="td-2"/>
    <w:basedOn w:val="1"/>
    <w:qFormat/>
    <w:uiPriority w:val="0"/>
    <w:pPr>
      <w:pBdr>
        <w:left w:val="single" w:color="000000" w:sz="6" w:space="4"/>
        <w:bottom w:val="single" w:color="000000" w:sz="6" w:space="0"/>
        <w:right w:val="single" w:color="000000" w:sz="6" w:space="0"/>
      </w:pBdr>
    </w:pPr>
    <w:rPr>
      <w:rFonts w:ascii="宋体" w:hAnsi="宋体" w:cs="宋体"/>
      <w:sz w:val="24"/>
      <w:szCs w:val="24"/>
    </w:rPr>
  </w:style>
  <w:style w:type="paragraph" w:customStyle="1" w:styleId="334">
    <w:name w:val="ca-11"/>
    <w:basedOn w:val="1"/>
    <w:qFormat/>
    <w:uiPriority w:val="0"/>
    <w:rPr>
      <w:rFonts w:ascii="Calibri" w:hAnsi="Calibri"/>
      <w:color w:val="000000"/>
      <w:sz w:val="30"/>
      <w:szCs w:val="30"/>
    </w:rPr>
  </w:style>
  <w:style w:type="paragraph" w:customStyle="1" w:styleId="335">
    <w:name w:val="ca-10"/>
    <w:basedOn w:val="1"/>
    <w:qFormat/>
    <w:uiPriority w:val="0"/>
    <w:rPr>
      <w:rFonts w:ascii="Calibri" w:hAnsi="Calibri"/>
      <w:color w:val="000000"/>
      <w:sz w:val="52"/>
      <w:szCs w:val="52"/>
    </w:rPr>
  </w:style>
  <w:style w:type="paragraph" w:customStyle="1" w:styleId="336">
    <w:name w:val="Char1 Char Char Char Char Char Char"/>
    <w:basedOn w:val="1"/>
    <w:qFormat/>
    <w:uiPriority w:val="0"/>
    <w:pPr>
      <w:widowControl w:val="0"/>
      <w:jc w:val="both"/>
    </w:pPr>
    <w:rPr>
      <w:rFonts w:ascii="Tahoma" w:hAnsi="Tahoma"/>
      <w:kern w:val="2"/>
      <w:sz w:val="24"/>
    </w:rPr>
  </w:style>
  <w:style w:type="paragraph" w:customStyle="1" w:styleId="337">
    <w:name w:val="Char2"/>
    <w:basedOn w:val="1"/>
    <w:qFormat/>
    <w:uiPriority w:val="0"/>
    <w:pPr>
      <w:widowControl w:val="0"/>
      <w:jc w:val="both"/>
    </w:pPr>
    <w:rPr>
      <w:rFonts w:ascii="宋体" w:hAnsi="Calibri"/>
      <w:kern w:val="2"/>
      <w:sz w:val="28"/>
    </w:rPr>
  </w:style>
  <w:style w:type="paragraph" w:customStyle="1" w:styleId="338">
    <w:name w:val="xl85"/>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top"/>
    </w:pPr>
    <w:rPr>
      <w:rFonts w:ascii="宋体" w:hAnsi="宋体" w:cs="宋体"/>
      <w:sz w:val="20"/>
    </w:rPr>
  </w:style>
  <w:style w:type="paragraph" w:customStyle="1" w:styleId="339">
    <w:name w:val="pa-43"/>
    <w:basedOn w:val="1"/>
    <w:qFormat/>
    <w:uiPriority w:val="0"/>
    <w:pPr>
      <w:spacing w:line="280" w:lineRule="atLeast"/>
      <w:jc w:val="center"/>
    </w:pPr>
    <w:rPr>
      <w:rFonts w:ascii="宋体" w:hAnsi="宋体" w:cs="宋体"/>
      <w:sz w:val="24"/>
      <w:szCs w:val="24"/>
    </w:rPr>
  </w:style>
  <w:style w:type="paragraph" w:customStyle="1" w:styleId="340">
    <w:name w:val="pa-0"/>
    <w:basedOn w:val="1"/>
    <w:qFormat/>
    <w:uiPriority w:val="0"/>
    <w:pPr>
      <w:spacing w:line="520" w:lineRule="atLeast"/>
      <w:jc w:val="center"/>
    </w:pPr>
    <w:rPr>
      <w:rFonts w:ascii="宋体" w:hAnsi="宋体" w:cs="宋体"/>
      <w:sz w:val="24"/>
      <w:szCs w:val="24"/>
    </w:rPr>
  </w:style>
  <w:style w:type="paragraph" w:customStyle="1" w:styleId="341">
    <w:name w:val="中等深浅网格 1 - 强调文字颜色 21"/>
    <w:basedOn w:val="1"/>
    <w:qFormat/>
    <w:uiPriority w:val="34"/>
    <w:pPr>
      <w:ind w:firstLine="420" w:firstLineChars="200"/>
    </w:pPr>
  </w:style>
  <w:style w:type="paragraph" w:customStyle="1" w:styleId="342">
    <w:name w:val="xl78"/>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rPr>
  </w:style>
  <w:style w:type="paragraph" w:customStyle="1" w:styleId="343">
    <w:name w:val="pa-88"/>
    <w:basedOn w:val="1"/>
    <w:qFormat/>
    <w:uiPriority w:val="0"/>
    <w:pPr>
      <w:spacing w:line="320" w:lineRule="atLeast"/>
      <w:ind w:firstLine="480"/>
      <w:jc w:val="both"/>
    </w:pPr>
    <w:rPr>
      <w:rFonts w:ascii="宋体" w:hAnsi="宋体" w:cs="宋体"/>
      <w:sz w:val="24"/>
      <w:szCs w:val="24"/>
    </w:rPr>
  </w:style>
  <w:style w:type="paragraph" w:customStyle="1" w:styleId="344">
    <w:name w:val="彩色底纹 - 强调文字颜色 11"/>
    <w:unhideWhenUsed/>
    <w:qFormat/>
    <w:uiPriority w:val="71"/>
    <w:rPr>
      <w:rFonts w:ascii="Times New Roman" w:hAnsi="Times New Roman" w:eastAsia="宋体" w:cs="Times New Roman"/>
      <w:sz w:val="21"/>
      <w:lang w:val="en-US" w:eastAsia="zh-CN" w:bidi="ar-SA"/>
    </w:rPr>
  </w:style>
  <w:style w:type="paragraph" w:customStyle="1" w:styleId="345">
    <w:name w:val="pa-141"/>
    <w:basedOn w:val="1"/>
    <w:qFormat/>
    <w:uiPriority w:val="0"/>
    <w:pPr>
      <w:spacing w:line="320" w:lineRule="atLeast"/>
      <w:jc w:val="right"/>
    </w:pPr>
    <w:rPr>
      <w:rFonts w:ascii="宋体" w:hAnsi="宋体" w:cs="宋体"/>
      <w:sz w:val="24"/>
      <w:szCs w:val="24"/>
    </w:rPr>
  </w:style>
  <w:style w:type="paragraph" w:customStyle="1" w:styleId="346">
    <w:name w:val="pa-39"/>
    <w:basedOn w:val="1"/>
    <w:qFormat/>
    <w:uiPriority w:val="0"/>
    <w:pPr>
      <w:spacing w:line="360" w:lineRule="atLeast"/>
      <w:jc w:val="center"/>
    </w:pPr>
    <w:rPr>
      <w:rFonts w:ascii="宋体" w:hAnsi="宋体" w:cs="宋体"/>
      <w:sz w:val="24"/>
      <w:szCs w:val="24"/>
    </w:rPr>
  </w:style>
  <w:style w:type="paragraph" w:customStyle="1" w:styleId="347">
    <w:name w:val="Date1"/>
    <w:basedOn w:val="1"/>
    <w:next w:val="1"/>
    <w:qFormat/>
    <w:uiPriority w:val="0"/>
    <w:pPr>
      <w:widowControl w:val="0"/>
      <w:adjustRightInd w:val="0"/>
      <w:spacing w:line="360" w:lineRule="auto"/>
      <w:jc w:val="right"/>
      <w:textAlignment w:val="baseline"/>
    </w:pPr>
    <w:rPr>
      <w:rFonts w:ascii="Calibri" w:hAnsi="Calibri"/>
      <w:sz w:val="24"/>
    </w:rPr>
  </w:style>
  <w:style w:type="paragraph" w:customStyle="1" w:styleId="348">
    <w:name w:val="td-1"/>
    <w:basedOn w:val="1"/>
    <w:qFormat/>
    <w:uiPriority w:val="0"/>
    <w:pPr>
      <w:pBdr>
        <w:top w:val="single" w:color="000000" w:sz="6" w:space="0"/>
        <w:left w:val="single" w:color="000000" w:sz="6" w:space="4"/>
        <w:bottom w:val="single" w:color="000000" w:sz="6" w:space="0"/>
        <w:right w:val="single" w:color="000000" w:sz="6" w:space="0"/>
      </w:pBdr>
    </w:pPr>
    <w:rPr>
      <w:rFonts w:ascii="宋体" w:hAnsi="宋体" w:cs="宋体"/>
      <w:sz w:val="24"/>
      <w:szCs w:val="24"/>
    </w:rPr>
  </w:style>
  <w:style w:type="paragraph" w:customStyle="1" w:styleId="349">
    <w:name w:val="正文，首行缩进:"/>
    <w:basedOn w:val="1"/>
    <w:qFormat/>
    <w:uiPriority w:val="0"/>
    <w:pPr>
      <w:widowControl w:val="0"/>
      <w:tabs>
        <w:tab w:val="left" w:pos="3376"/>
      </w:tabs>
      <w:spacing w:line="460" w:lineRule="exact"/>
      <w:ind w:firstLine="480" w:firstLineChars="200"/>
    </w:pPr>
    <w:rPr>
      <w:rFonts w:ascii="宋体" w:hAnsi="宋体" w:cs="宋体"/>
      <w:kern w:val="2"/>
      <w:sz w:val="24"/>
    </w:rPr>
  </w:style>
  <w:style w:type="paragraph" w:customStyle="1" w:styleId="350">
    <w:name w:val="ca-50"/>
    <w:basedOn w:val="1"/>
    <w:qFormat/>
    <w:uiPriority w:val="0"/>
    <w:rPr>
      <w:rFonts w:ascii="宋体" w:hAnsi="宋体" w:cs="宋体"/>
      <w:sz w:val="24"/>
      <w:szCs w:val="24"/>
    </w:rPr>
  </w:style>
  <w:style w:type="paragraph" w:customStyle="1" w:styleId="351">
    <w:name w:val="pa-31"/>
    <w:basedOn w:val="1"/>
    <w:qFormat/>
    <w:uiPriority w:val="0"/>
    <w:pPr>
      <w:spacing w:line="240" w:lineRule="atLeast"/>
      <w:ind w:firstLine="420"/>
    </w:pPr>
    <w:rPr>
      <w:rFonts w:ascii="宋体" w:hAnsi="宋体" w:cs="宋体"/>
      <w:sz w:val="24"/>
      <w:szCs w:val="24"/>
    </w:rPr>
  </w:style>
  <w:style w:type="paragraph" w:customStyle="1" w:styleId="352">
    <w:name w:val="0"/>
    <w:basedOn w:val="1"/>
    <w:qFormat/>
    <w:uiPriority w:val="0"/>
    <w:pPr>
      <w:snapToGrid w:val="0"/>
      <w:jc w:val="both"/>
    </w:pPr>
    <w:rPr>
      <w:rFonts w:ascii="Calibri" w:hAnsi="Calibri"/>
      <w:sz w:val="20"/>
    </w:rPr>
  </w:style>
  <w:style w:type="paragraph" w:customStyle="1" w:styleId="353">
    <w:name w:val="xl88"/>
    <w:basedOn w:val="1"/>
    <w:qFormat/>
    <w:uiPriority w:val="0"/>
    <w:pPr>
      <w:pBdr>
        <w:bottom w:val="single" w:color="auto" w:sz="4" w:space="0"/>
      </w:pBdr>
      <w:spacing w:before="100" w:beforeAutospacing="1" w:after="100" w:afterAutospacing="1"/>
      <w:jc w:val="center"/>
    </w:pPr>
    <w:rPr>
      <w:rFonts w:ascii="黑体" w:hAnsi="黑体" w:eastAsia="黑体" w:cs="宋体"/>
      <w:sz w:val="32"/>
      <w:szCs w:val="32"/>
    </w:rPr>
  </w:style>
  <w:style w:type="paragraph" w:customStyle="1" w:styleId="354">
    <w:name w:val="pa-40"/>
    <w:basedOn w:val="1"/>
    <w:qFormat/>
    <w:uiPriority w:val="0"/>
    <w:pPr>
      <w:spacing w:line="280" w:lineRule="atLeast"/>
      <w:jc w:val="both"/>
    </w:pPr>
    <w:rPr>
      <w:rFonts w:ascii="宋体" w:hAnsi="宋体" w:cs="宋体"/>
      <w:sz w:val="24"/>
      <w:szCs w:val="24"/>
    </w:rPr>
  </w:style>
  <w:style w:type="paragraph" w:customStyle="1" w:styleId="355">
    <w:name w:val="pa-130"/>
    <w:basedOn w:val="1"/>
    <w:qFormat/>
    <w:uiPriority w:val="0"/>
    <w:pPr>
      <w:spacing w:line="300" w:lineRule="atLeast"/>
    </w:pPr>
    <w:rPr>
      <w:rFonts w:ascii="宋体" w:hAnsi="宋体" w:cs="宋体"/>
      <w:sz w:val="24"/>
      <w:szCs w:val="24"/>
    </w:rPr>
  </w:style>
  <w:style w:type="paragraph" w:customStyle="1" w:styleId="356">
    <w:name w:val="Char Char Char Char"/>
    <w:basedOn w:val="1"/>
    <w:qFormat/>
    <w:uiPriority w:val="0"/>
    <w:pPr>
      <w:spacing w:after="160" w:line="240" w:lineRule="exact"/>
    </w:pPr>
    <w:rPr>
      <w:rFonts w:ascii="Verdana" w:hAnsi="Verdana" w:eastAsia="仿宋_GB2312"/>
      <w:sz w:val="24"/>
      <w:lang w:eastAsia="en-US"/>
    </w:rPr>
  </w:style>
  <w:style w:type="paragraph" w:customStyle="1" w:styleId="357">
    <w:name w:val="pa-64"/>
    <w:basedOn w:val="1"/>
    <w:qFormat/>
    <w:uiPriority w:val="0"/>
    <w:pPr>
      <w:spacing w:line="360" w:lineRule="atLeast"/>
      <w:ind w:firstLine="560"/>
    </w:pPr>
    <w:rPr>
      <w:rFonts w:ascii="宋体" w:hAnsi="宋体" w:cs="宋体"/>
      <w:sz w:val="24"/>
      <w:szCs w:val="24"/>
    </w:rPr>
  </w:style>
  <w:style w:type="paragraph" w:customStyle="1" w:styleId="358">
    <w:name w:val="Char Char Char Char Char Char"/>
    <w:basedOn w:val="1"/>
    <w:qFormat/>
    <w:uiPriority w:val="0"/>
    <w:pPr>
      <w:widowControl w:val="0"/>
      <w:jc w:val="both"/>
    </w:pPr>
    <w:rPr>
      <w:rFonts w:ascii="Calibri" w:hAnsi="Calibri"/>
      <w:kern w:val="2"/>
      <w:szCs w:val="24"/>
    </w:rPr>
  </w:style>
  <w:style w:type="paragraph" w:customStyle="1" w:styleId="359">
    <w:name w:val="样式 正文（首行缩进两字） + 宋体 左侧:  0 厘米 悬挂缩进: 1.43 字符"/>
    <w:basedOn w:val="14"/>
    <w:qFormat/>
    <w:uiPriority w:val="0"/>
    <w:pPr>
      <w:widowControl w:val="0"/>
      <w:spacing w:line="460" w:lineRule="exact"/>
      <w:ind w:left="359" w:hanging="359" w:hangingChars="143"/>
      <w:jc w:val="both"/>
    </w:pPr>
    <w:rPr>
      <w:rFonts w:ascii="宋体" w:hAnsi="宋体" w:cs="宋体"/>
      <w:spacing w:val="6"/>
      <w:kern w:val="24"/>
      <w:sz w:val="24"/>
    </w:rPr>
  </w:style>
  <w:style w:type="paragraph" w:customStyle="1" w:styleId="360">
    <w:name w:val="表格正文"/>
    <w:basedOn w:val="1"/>
    <w:link w:val="361"/>
    <w:qFormat/>
    <w:uiPriority w:val="0"/>
    <w:pPr>
      <w:widowControl w:val="0"/>
      <w:jc w:val="both"/>
    </w:pPr>
    <w:rPr>
      <w:kern w:val="2"/>
      <w:szCs w:val="24"/>
    </w:rPr>
  </w:style>
  <w:style w:type="character" w:customStyle="1" w:styleId="361">
    <w:name w:val="表格正文 Char"/>
    <w:link w:val="360"/>
    <w:qFormat/>
    <w:uiPriority w:val="0"/>
    <w:rPr>
      <w:kern w:val="2"/>
      <w:sz w:val="21"/>
      <w:szCs w:val="24"/>
    </w:rPr>
  </w:style>
  <w:style w:type="paragraph" w:customStyle="1" w:styleId="362">
    <w:name w:val="ca-34"/>
    <w:basedOn w:val="1"/>
    <w:qFormat/>
    <w:uiPriority w:val="0"/>
    <w:rPr>
      <w:rFonts w:ascii="宋体" w:hAnsi="宋体" w:cs="宋体"/>
      <w:color w:val="000000"/>
      <w:sz w:val="20"/>
    </w:rPr>
  </w:style>
  <w:style w:type="paragraph" w:customStyle="1" w:styleId="363">
    <w:name w:val="xl39"/>
    <w:basedOn w:val="1"/>
    <w:qFormat/>
    <w:uiPriority w:val="0"/>
    <w:pPr>
      <w:pBdr>
        <w:left w:val="single" w:color="auto" w:sz="4" w:space="0"/>
        <w:right w:val="single" w:color="auto" w:sz="4" w:space="0"/>
      </w:pBdr>
      <w:spacing w:before="100" w:beforeAutospacing="1" w:after="100" w:afterAutospacing="1"/>
      <w:jc w:val="center"/>
      <w:textAlignment w:val="center"/>
    </w:pPr>
    <w:rPr>
      <w:rFonts w:ascii="Arial Unicode MS" w:hAnsi="Arial Unicode MS" w:eastAsia="Times New Roman" w:cs="Arial Unicode MS"/>
      <w:sz w:val="20"/>
    </w:rPr>
  </w:style>
  <w:style w:type="paragraph" w:customStyle="1" w:styleId="364">
    <w:name w:val="pa-63"/>
    <w:basedOn w:val="1"/>
    <w:qFormat/>
    <w:uiPriority w:val="0"/>
    <w:pPr>
      <w:spacing w:line="360" w:lineRule="atLeast"/>
      <w:ind w:firstLine="300"/>
    </w:pPr>
    <w:rPr>
      <w:rFonts w:ascii="宋体" w:hAnsi="宋体" w:cs="宋体"/>
      <w:sz w:val="24"/>
      <w:szCs w:val="24"/>
    </w:rPr>
  </w:style>
  <w:style w:type="paragraph" w:customStyle="1" w:styleId="365">
    <w:name w:val="Char Char Char Char Char Char1"/>
    <w:basedOn w:val="1"/>
    <w:qFormat/>
    <w:uiPriority w:val="0"/>
    <w:pPr>
      <w:spacing w:after="160" w:line="240" w:lineRule="exact"/>
    </w:pPr>
    <w:rPr>
      <w:rFonts w:ascii="Verdana" w:hAnsi="Verdana" w:eastAsia="仿宋_GB2312"/>
      <w:sz w:val="24"/>
      <w:lang w:eastAsia="en-US"/>
    </w:rPr>
  </w:style>
  <w:style w:type="paragraph" w:customStyle="1" w:styleId="366">
    <w:name w:val="pa-56"/>
    <w:basedOn w:val="1"/>
    <w:qFormat/>
    <w:uiPriority w:val="0"/>
    <w:pPr>
      <w:spacing w:line="300" w:lineRule="atLeast"/>
      <w:ind w:firstLine="420"/>
      <w:jc w:val="both"/>
    </w:pPr>
    <w:rPr>
      <w:rFonts w:ascii="宋体" w:hAnsi="宋体" w:cs="宋体"/>
      <w:sz w:val="24"/>
      <w:szCs w:val="24"/>
    </w:rPr>
  </w:style>
  <w:style w:type="paragraph" w:customStyle="1" w:styleId="367">
    <w:name w:val="样式 样式 首行缩进:  2.25 字符 + 首行缩进:  2.25 字符"/>
    <w:basedOn w:val="1"/>
    <w:link w:val="368"/>
    <w:qFormat/>
    <w:uiPriority w:val="0"/>
    <w:pPr>
      <w:widowControl w:val="0"/>
      <w:spacing w:line="360" w:lineRule="auto"/>
      <w:ind w:firstLine="420" w:firstLineChars="200"/>
      <w:jc w:val="both"/>
    </w:pPr>
    <w:rPr>
      <w:rFonts w:ascii="宋体" w:hAnsi="宋体"/>
      <w:kern w:val="2"/>
      <w:szCs w:val="21"/>
    </w:rPr>
  </w:style>
  <w:style w:type="character" w:customStyle="1" w:styleId="368">
    <w:name w:val="样式 样式 首行缩进:  2.25 字符 + 首行缩进:  2.25 字符 Char"/>
    <w:link w:val="367"/>
    <w:qFormat/>
    <w:uiPriority w:val="0"/>
    <w:rPr>
      <w:rFonts w:ascii="宋体" w:hAnsi="宋体" w:cs="宋体"/>
      <w:kern w:val="2"/>
      <w:sz w:val="21"/>
      <w:szCs w:val="21"/>
    </w:rPr>
  </w:style>
  <w:style w:type="paragraph" w:customStyle="1" w:styleId="369">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0">
    <w:name w:val="正文2"/>
    <w:basedOn w:val="1"/>
    <w:link w:val="371"/>
    <w:qFormat/>
    <w:uiPriority w:val="99"/>
    <w:pPr>
      <w:widowControl w:val="0"/>
      <w:spacing w:before="156" w:line="360" w:lineRule="auto"/>
      <w:ind w:firstLine="510" w:firstLineChars="200"/>
      <w:jc w:val="both"/>
    </w:pPr>
    <w:rPr>
      <w:kern w:val="2"/>
      <w:sz w:val="24"/>
    </w:rPr>
  </w:style>
  <w:style w:type="character" w:customStyle="1" w:styleId="371">
    <w:name w:val="正文2 Char Char"/>
    <w:link w:val="370"/>
    <w:qFormat/>
    <w:uiPriority w:val="0"/>
    <w:rPr>
      <w:kern w:val="2"/>
      <w:sz w:val="24"/>
    </w:rPr>
  </w:style>
  <w:style w:type="paragraph" w:customStyle="1" w:styleId="372">
    <w:name w:val="文档正文"/>
    <w:basedOn w:val="1"/>
    <w:qFormat/>
    <w:uiPriority w:val="0"/>
    <w:pPr>
      <w:widowControl w:val="0"/>
      <w:adjustRightInd w:val="0"/>
      <w:spacing w:line="480" w:lineRule="atLeast"/>
      <w:ind w:firstLine="567"/>
      <w:jc w:val="both"/>
      <w:textAlignment w:val="baseline"/>
    </w:pPr>
    <w:rPr>
      <w:rFonts w:ascii="仿宋_GB2312" w:hAnsi="Calibri" w:eastAsia="仿宋_GB2312"/>
      <w:sz w:val="28"/>
    </w:rPr>
  </w:style>
  <w:style w:type="paragraph" w:customStyle="1" w:styleId="373">
    <w:name w:val="pa-10"/>
    <w:basedOn w:val="1"/>
    <w:qFormat/>
    <w:uiPriority w:val="0"/>
    <w:pPr>
      <w:spacing w:line="360" w:lineRule="atLeast"/>
      <w:ind w:firstLine="3220"/>
      <w:jc w:val="both"/>
    </w:pPr>
    <w:rPr>
      <w:rFonts w:ascii="宋体" w:hAnsi="宋体" w:cs="宋体"/>
      <w:sz w:val="24"/>
      <w:szCs w:val="24"/>
    </w:rPr>
  </w:style>
  <w:style w:type="paragraph" w:customStyle="1" w:styleId="374">
    <w:name w:val="菲页1"/>
    <w:basedOn w:val="3"/>
    <w:qFormat/>
    <w:uiPriority w:val="0"/>
    <w:pPr>
      <w:spacing w:line="413" w:lineRule="auto"/>
      <w:jc w:val="center"/>
    </w:pPr>
    <w:rPr>
      <w:rFonts w:ascii="黑体" w:hAnsi="宋体" w:eastAsia="黑体"/>
      <w:b w:val="0"/>
      <w:bCs w:val="0"/>
      <w:sz w:val="52"/>
      <w:szCs w:val="20"/>
    </w:rPr>
  </w:style>
  <w:style w:type="paragraph" w:customStyle="1" w:styleId="375">
    <w:name w:val="pa-114"/>
    <w:basedOn w:val="1"/>
    <w:qFormat/>
    <w:uiPriority w:val="0"/>
    <w:pPr>
      <w:spacing w:line="280" w:lineRule="atLeast"/>
      <w:ind w:firstLine="2220"/>
      <w:jc w:val="both"/>
    </w:pPr>
    <w:rPr>
      <w:rFonts w:ascii="宋体" w:hAnsi="宋体" w:cs="宋体"/>
      <w:sz w:val="24"/>
      <w:szCs w:val="24"/>
    </w:rPr>
  </w:style>
  <w:style w:type="paragraph" w:customStyle="1" w:styleId="376">
    <w:name w:val="zbggmain"/>
    <w:basedOn w:val="1"/>
    <w:qFormat/>
    <w:uiPriority w:val="0"/>
    <w:pPr>
      <w:spacing w:before="100" w:beforeAutospacing="1" w:after="100" w:afterAutospacing="1" w:line="360" w:lineRule="auto"/>
    </w:pPr>
    <w:rPr>
      <w:rFonts w:ascii="Calibri" w:hAnsi="Calibri"/>
      <w:color w:val="000000"/>
      <w:sz w:val="24"/>
      <w:szCs w:val="24"/>
    </w:rPr>
  </w:style>
  <w:style w:type="paragraph" w:customStyle="1" w:styleId="377">
    <w:name w:val="标书标题3"/>
    <w:basedOn w:val="4"/>
    <w:qFormat/>
    <w:uiPriority w:val="0"/>
    <w:pPr>
      <w:keepLines w:val="0"/>
      <w:adjustRightInd w:val="0"/>
      <w:snapToGrid w:val="0"/>
      <w:spacing w:before="120" w:after="60" w:line="300" w:lineRule="auto"/>
    </w:pPr>
    <w:rPr>
      <w:rFonts w:ascii="Arial Narrow" w:hAnsi="Arial Narrow" w:eastAsia="仿宋_GB2312"/>
      <w:b w:val="0"/>
      <w:bCs w:val="0"/>
      <w:color w:val="000000"/>
      <w:sz w:val="28"/>
    </w:rPr>
  </w:style>
  <w:style w:type="paragraph" w:customStyle="1" w:styleId="378">
    <w:name w:val="xl35"/>
    <w:basedOn w:val="1"/>
    <w:qFormat/>
    <w:uiPriority w:val="0"/>
    <w:pPr>
      <w:pBdr>
        <w:left w:val="single" w:color="auto" w:sz="4" w:space="0"/>
        <w:bottom w:val="single" w:color="auto" w:sz="4" w:space="0"/>
        <w:right w:val="single" w:color="auto" w:sz="4" w:space="0"/>
      </w:pBdr>
      <w:spacing w:before="100" w:beforeAutospacing="1" w:after="100" w:afterAutospacing="1"/>
      <w:jc w:val="both"/>
      <w:textAlignment w:val="center"/>
    </w:pPr>
    <w:rPr>
      <w:rFonts w:ascii="Arial Unicode MS" w:hAnsi="Arial Unicode MS" w:eastAsia="Arial Unicode MS"/>
      <w:sz w:val="24"/>
      <w:szCs w:val="24"/>
    </w:rPr>
  </w:style>
  <w:style w:type="paragraph" w:customStyle="1" w:styleId="379">
    <w:name w:val="xl95"/>
    <w:basedOn w:val="1"/>
    <w:qFormat/>
    <w:uiPriority w:val="0"/>
    <w:pPr>
      <w:pBdr>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rPr>
  </w:style>
  <w:style w:type="paragraph" w:customStyle="1" w:styleId="380">
    <w:name w:val="pa-69"/>
    <w:basedOn w:val="1"/>
    <w:qFormat/>
    <w:uiPriority w:val="0"/>
    <w:pPr>
      <w:spacing w:line="240" w:lineRule="atLeast"/>
      <w:ind w:firstLine="1140"/>
      <w:jc w:val="both"/>
    </w:pPr>
    <w:rPr>
      <w:rFonts w:ascii="宋体" w:hAnsi="宋体" w:cs="宋体"/>
      <w:sz w:val="24"/>
      <w:szCs w:val="24"/>
    </w:rPr>
  </w:style>
  <w:style w:type="paragraph" w:customStyle="1" w:styleId="381">
    <w:name w:val="pa-76"/>
    <w:basedOn w:val="1"/>
    <w:qFormat/>
    <w:uiPriority w:val="0"/>
    <w:pPr>
      <w:spacing w:line="400" w:lineRule="atLeast"/>
    </w:pPr>
    <w:rPr>
      <w:rFonts w:ascii="宋体" w:hAnsi="宋体" w:cs="宋体"/>
      <w:sz w:val="24"/>
      <w:szCs w:val="24"/>
    </w:rPr>
  </w:style>
  <w:style w:type="paragraph" w:customStyle="1" w:styleId="382">
    <w:name w:val="pa-46"/>
    <w:basedOn w:val="1"/>
    <w:qFormat/>
    <w:uiPriority w:val="0"/>
    <w:pPr>
      <w:spacing w:line="280" w:lineRule="atLeast"/>
      <w:ind w:firstLine="420"/>
    </w:pPr>
    <w:rPr>
      <w:rFonts w:ascii="宋体" w:hAnsi="宋体" w:cs="宋体"/>
      <w:sz w:val="24"/>
      <w:szCs w:val="24"/>
    </w:rPr>
  </w:style>
  <w:style w:type="paragraph" w:customStyle="1" w:styleId="383">
    <w:name w:val="标准正文"/>
    <w:basedOn w:val="1"/>
    <w:qFormat/>
    <w:uiPriority w:val="0"/>
    <w:pPr>
      <w:spacing w:line="360" w:lineRule="auto"/>
      <w:ind w:firstLine="200" w:firstLineChars="200"/>
    </w:pPr>
    <w:rPr>
      <w:sz w:val="24"/>
    </w:rPr>
  </w:style>
  <w:style w:type="paragraph" w:customStyle="1" w:styleId="384">
    <w:name w:val="pa-49"/>
    <w:basedOn w:val="1"/>
    <w:qFormat/>
    <w:uiPriority w:val="0"/>
    <w:pPr>
      <w:spacing w:line="280" w:lineRule="atLeast"/>
      <w:ind w:firstLine="440"/>
    </w:pPr>
    <w:rPr>
      <w:rFonts w:ascii="宋体" w:hAnsi="宋体" w:cs="宋体"/>
      <w:sz w:val="24"/>
      <w:szCs w:val="24"/>
    </w:rPr>
  </w:style>
  <w:style w:type="paragraph" w:customStyle="1" w:styleId="385">
    <w:name w:val="目录"/>
    <w:basedOn w:val="1"/>
    <w:qFormat/>
    <w:uiPriority w:val="0"/>
    <w:pPr>
      <w:jc w:val="center"/>
    </w:pPr>
    <w:rPr>
      <w:rFonts w:ascii="宋体" w:hAnsi="Calibri"/>
      <w:b/>
      <w:sz w:val="36"/>
    </w:rPr>
  </w:style>
  <w:style w:type="paragraph" w:customStyle="1" w:styleId="386">
    <w:name w:val="pa-94"/>
    <w:basedOn w:val="1"/>
    <w:qFormat/>
    <w:uiPriority w:val="0"/>
    <w:pPr>
      <w:spacing w:line="480" w:lineRule="atLeast"/>
    </w:pPr>
    <w:rPr>
      <w:rFonts w:ascii="宋体" w:hAnsi="宋体" w:cs="宋体"/>
      <w:sz w:val="24"/>
      <w:szCs w:val="24"/>
    </w:rPr>
  </w:style>
  <w:style w:type="paragraph" w:customStyle="1" w:styleId="387">
    <w:name w:val="pa-83"/>
    <w:basedOn w:val="1"/>
    <w:qFormat/>
    <w:uiPriority w:val="0"/>
    <w:pPr>
      <w:spacing w:line="560" w:lineRule="atLeast"/>
      <w:jc w:val="center"/>
    </w:pPr>
    <w:rPr>
      <w:rFonts w:ascii="宋体" w:hAnsi="宋体" w:cs="宋体"/>
      <w:sz w:val="24"/>
      <w:szCs w:val="24"/>
    </w:rPr>
  </w:style>
  <w:style w:type="paragraph" w:customStyle="1" w:styleId="388">
    <w:name w:val="Char Char Char Char21"/>
    <w:basedOn w:val="1"/>
    <w:qFormat/>
    <w:uiPriority w:val="0"/>
    <w:pPr>
      <w:widowControl w:val="0"/>
      <w:jc w:val="both"/>
    </w:pPr>
    <w:rPr>
      <w:rFonts w:ascii="Calibri" w:hAnsi="Calibri"/>
      <w:kern w:val="2"/>
    </w:rPr>
  </w:style>
  <w:style w:type="paragraph" w:customStyle="1" w:styleId="389">
    <w:name w:val="Char Char Char Char Char Char Char"/>
    <w:basedOn w:val="1"/>
    <w:qFormat/>
    <w:uiPriority w:val="0"/>
    <w:pPr>
      <w:widowControl w:val="0"/>
      <w:jc w:val="both"/>
    </w:pPr>
    <w:rPr>
      <w:rFonts w:ascii="仿宋_GB2312" w:eastAsia="仿宋_GB2312"/>
      <w:b/>
      <w:kern w:val="2"/>
      <w:sz w:val="32"/>
      <w:szCs w:val="32"/>
    </w:rPr>
  </w:style>
  <w:style w:type="paragraph" w:customStyle="1" w:styleId="390">
    <w:name w:val="pa-65"/>
    <w:basedOn w:val="1"/>
    <w:qFormat/>
    <w:uiPriority w:val="0"/>
    <w:pPr>
      <w:spacing w:line="360" w:lineRule="atLeast"/>
      <w:jc w:val="both"/>
    </w:pPr>
    <w:rPr>
      <w:rFonts w:ascii="宋体" w:hAnsi="宋体" w:cs="宋体"/>
      <w:sz w:val="24"/>
      <w:szCs w:val="24"/>
    </w:rPr>
  </w:style>
  <w:style w:type="paragraph" w:customStyle="1" w:styleId="391">
    <w:name w:val="xl81"/>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0"/>
    </w:rPr>
  </w:style>
  <w:style w:type="paragraph" w:customStyle="1" w:styleId="392">
    <w:name w:val="pa-4"/>
    <w:basedOn w:val="1"/>
    <w:qFormat/>
    <w:uiPriority w:val="0"/>
    <w:pPr>
      <w:spacing w:line="360" w:lineRule="atLeast"/>
      <w:jc w:val="center"/>
    </w:pPr>
    <w:rPr>
      <w:rFonts w:ascii="宋体" w:hAnsi="宋体" w:cs="宋体"/>
      <w:sz w:val="24"/>
      <w:szCs w:val="24"/>
    </w:rPr>
  </w:style>
  <w:style w:type="paragraph" w:customStyle="1" w:styleId="393">
    <w:name w:val="pa-5"/>
    <w:basedOn w:val="1"/>
    <w:qFormat/>
    <w:uiPriority w:val="0"/>
    <w:pPr>
      <w:spacing w:line="1000" w:lineRule="atLeast"/>
      <w:jc w:val="center"/>
    </w:pPr>
    <w:rPr>
      <w:rFonts w:ascii="宋体" w:hAnsi="宋体" w:cs="宋体"/>
      <w:sz w:val="24"/>
      <w:szCs w:val="24"/>
    </w:rPr>
  </w:style>
  <w:style w:type="paragraph" w:customStyle="1" w:styleId="394">
    <w:name w:val="样式 正文（首行缩进两字） + 首行缩进:  2 字符"/>
    <w:basedOn w:val="14"/>
    <w:qFormat/>
    <w:uiPriority w:val="0"/>
    <w:pPr>
      <w:widowControl w:val="0"/>
      <w:spacing w:line="460" w:lineRule="exact"/>
      <w:ind w:firstLine="536" w:firstLineChars="200"/>
      <w:jc w:val="both"/>
    </w:pPr>
    <w:rPr>
      <w:rFonts w:hAnsi="Calibri"/>
      <w:spacing w:val="6"/>
      <w:kern w:val="24"/>
      <w:sz w:val="24"/>
    </w:rPr>
  </w:style>
  <w:style w:type="paragraph" w:customStyle="1" w:styleId="395">
    <w:name w:val="pa-70"/>
    <w:basedOn w:val="1"/>
    <w:qFormat/>
    <w:uiPriority w:val="0"/>
    <w:pPr>
      <w:spacing w:line="360" w:lineRule="atLeast"/>
      <w:ind w:firstLine="420"/>
    </w:pPr>
    <w:rPr>
      <w:rFonts w:ascii="宋体" w:hAnsi="宋体" w:cs="宋体"/>
      <w:sz w:val="24"/>
      <w:szCs w:val="24"/>
    </w:rPr>
  </w:style>
  <w:style w:type="paragraph" w:customStyle="1" w:styleId="396">
    <w:name w:val="xl77"/>
    <w:basedOn w:val="1"/>
    <w:qFormat/>
    <w:uiPriority w:val="0"/>
    <w:pPr>
      <w:pBdr>
        <w:left w:val="single" w:color="auto" w:sz="4" w:space="0"/>
        <w:right w:val="single" w:color="auto" w:sz="4" w:space="0"/>
      </w:pBdr>
      <w:spacing w:before="100" w:beforeAutospacing="1" w:after="100" w:afterAutospacing="1"/>
      <w:jc w:val="center"/>
    </w:pPr>
    <w:rPr>
      <w:rFonts w:ascii="宋体" w:hAnsi="宋体" w:cs="宋体"/>
      <w:sz w:val="20"/>
    </w:rPr>
  </w:style>
  <w:style w:type="paragraph" w:customStyle="1" w:styleId="397">
    <w:name w:val="投标标题 2"/>
    <w:basedOn w:val="15"/>
    <w:qFormat/>
    <w:uiPriority w:val="0"/>
    <w:pPr>
      <w:framePr w:w="0" w:hRule="auto" w:hSpace="0" w:vAnchor="margin" w:hAnchor="text" w:xAlign="left" w:yAlign="inline"/>
      <w:shd w:val="clear" w:color="auto" w:fill="auto"/>
      <w:tabs>
        <w:tab w:val="clear" w:pos="9000"/>
      </w:tabs>
      <w:ind w:firstLine="6290" w:firstLineChars="2282"/>
    </w:pPr>
    <w:rPr>
      <w:rFonts w:ascii="Times New Roman" w:hAnsi="Times New Roman" w:eastAsia="黑体"/>
      <w:bCs/>
      <w:color w:val="auto"/>
      <w:sz w:val="28"/>
    </w:rPr>
  </w:style>
  <w:style w:type="paragraph" w:customStyle="1" w:styleId="398">
    <w:name w:val="xl9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16"/>
      <w:szCs w:val="16"/>
    </w:rPr>
  </w:style>
  <w:style w:type="paragraph" w:customStyle="1" w:styleId="399">
    <w:name w:val="样式 样式 标题 3 + (符号) 宋体 四号 加粗 黑色 段前: 0 磅 段后: 0 磅 行距: 固定值 22 磅 + 段前:..."/>
    <w:basedOn w:val="1"/>
    <w:qFormat/>
    <w:uiPriority w:val="0"/>
    <w:pPr>
      <w:keepNext/>
      <w:keepLines/>
      <w:widowControl w:val="0"/>
      <w:tabs>
        <w:tab w:val="left" w:pos="1275"/>
      </w:tabs>
      <w:spacing w:beforeLines="50" w:afterLines="50" w:line="580" w:lineRule="exact"/>
      <w:outlineLvl w:val="2"/>
    </w:pPr>
    <w:rPr>
      <w:rFonts w:ascii="宋体" w:hAnsi="宋体"/>
      <w:b/>
      <w:bCs/>
      <w:color w:val="000000"/>
      <w:kern w:val="24"/>
      <w:sz w:val="28"/>
    </w:rPr>
  </w:style>
  <w:style w:type="paragraph" w:customStyle="1" w:styleId="400">
    <w:name w:val="xl115"/>
    <w:basedOn w:val="1"/>
    <w:qFormat/>
    <w:uiPriority w:val="0"/>
    <w:pPr>
      <w:pBdr>
        <w:bottom w:val="single" w:color="auto" w:sz="4" w:space="0"/>
      </w:pBdr>
      <w:shd w:val="clear" w:color="000000" w:fill="FFFFFF"/>
      <w:spacing w:before="100" w:beforeAutospacing="1" w:after="100" w:afterAutospacing="1"/>
      <w:jc w:val="center"/>
      <w:textAlignment w:val="center"/>
    </w:pPr>
    <w:rPr>
      <w:rFonts w:ascii="宋体" w:hAnsi="宋体" w:cs="宋体"/>
      <w:sz w:val="36"/>
      <w:szCs w:val="36"/>
    </w:rPr>
  </w:style>
  <w:style w:type="paragraph" w:customStyle="1" w:styleId="401">
    <w:name w:val="正文文字2"/>
    <w:basedOn w:val="19"/>
    <w:qFormat/>
    <w:uiPriority w:val="0"/>
    <w:pPr>
      <w:adjustRightInd w:val="0"/>
      <w:spacing w:after="60" w:line="360" w:lineRule="atLeast"/>
      <w:ind w:left="72" w:leftChars="30" w:right="72" w:rightChars="30"/>
      <w:jc w:val="center"/>
    </w:pPr>
    <w:rPr>
      <w:rFonts w:ascii="Arial" w:eastAsia="黑体"/>
      <w:kern w:val="0"/>
      <w:sz w:val="21"/>
    </w:rPr>
  </w:style>
  <w:style w:type="paragraph" w:customStyle="1" w:styleId="402">
    <w:name w:val="pa-72"/>
    <w:basedOn w:val="1"/>
    <w:qFormat/>
    <w:uiPriority w:val="0"/>
    <w:pPr>
      <w:spacing w:line="240" w:lineRule="atLeast"/>
      <w:ind w:firstLine="560"/>
      <w:jc w:val="both"/>
    </w:pPr>
    <w:rPr>
      <w:rFonts w:ascii="宋体" w:hAnsi="宋体" w:cs="宋体"/>
      <w:sz w:val="24"/>
      <w:szCs w:val="24"/>
    </w:rPr>
  </w:style>
  <w:style w:type="paragraph" w:customStyle="1" w:styleId="403">
    <w:name w:val="pa-108"/>
    <w:basedOn w:val="1"/>
    <w:qFormat/>
    <w:uiPriority w:val="0"/>
    <w:pPr>
      <w:spacing w:line="280" w:lineRule="atLeast"/>
      <w:jc w:val="center"/>
    </w:pPr>
    <w:rPr>
      <w:rFonts w:ascii="宋体" w:hAnsi="宋体" w:cs="宋体"/>
      <w:sz w:val="24"/>
      <w:szCs w:val="24"/>
    </w:rPr>
  </w:style>
  <w:style w:type="paragraph" w:customStyle="1" w:styleId="404">
    <w:name w:val="xl83"/>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sz w:val="20"/>
    </w:rPr>
  </w:style>
  <w:style w:type="paragraph" w:customStyle="1" w:styleId="405">
    <w:name w:val="_Style 357"/>
    <w:basedOn w:val="2"/>
    <w:next w:val="1"/>
    <w:qFormat/>
    <w:uiPriority w:val="0"/>
    <w:pPr>
      <w:widowControl/>
      <w:tabs>
        <w:tab w:val="clear" w:pos="840"/>
      </w:tabs>
      <w:adjustRightInd/>
      <w:snapToGrid/>
      <w:spacing w:before="480" w:line="276" w:lineRule="auto"/>
      <w:jc w:val="left"/>
      <w:outlineLvl w:val="9"/>
    </w:pPr>
    <w:rPr>
      <w:rFonts w:ascii="Cambria" w:hAnsi="Cambria"/>
      <w:bCs/>
      <w:color w:val="365F91"/>
      <w:kern w:val="0"/>
      <w:sz w:val="28"/>
      <w:szCs w:val="28"/>
    </w:rPr>
  </w:style>
  <w:style w:type="paragraph" w:customStyle="1" w:styleId="406">
    <w:name w:val="pa-123"/>
    <w:basedOn w:val="1"/>
    <w:qFormat/>
    <w:uiPriority w:val="0"/>
    <w:pPr>
      <w:spacing w:line="360" w:lineRule="atLeast"/>
      <w:jc w:val="both"/>
    </w:pPr>
    <w:rPr>
      <w:rFonts w:ascii="宋体" w:hAnsi="宋体" w:cs="宋体"/>
      <w:sz w:val="24"/>
      <w:szCs w:val="24"/>
    </w:rPr>
  </w:style>
  <w:style w:type="paragraph" w:customStyle="1" w:styleId="407">
    <w:name w:val="font7"/>
    <w:basedOn w:val="1"/>
    <w:qFormat/>
    <w:uiPriority w:val="0"/>
    <w:pPr>
      <w:spacing w:before="100" w:beforeAutospacing="1" w:after="100" w:afterAutospacing="1"/>
    </w:pPr>
    <w:rPr>
      <w:rFonts w:ascii="宋体" w:hAnsi="宋体" w:cs="宋体"/>
      <w:sz w:val="18"/>
      <w:szCs w:val="18"/>
    </w:rPr>
  </w:style>
  <w:style w:type="paragraph" w:customStyle="1" w:styleId="408">
    <w:name w:val="ca-35"/>
    <w:basedOn w:val="1"/>
    <w:qFormat/>
    <w:uiPriority w:val="0"/>
    <w:rPr>
      <w:rFonts w:ascii="Calibri" w:hAnsi="Calibri"/>
      <w:sz w:val="10"/>
      <w:szCs w:val="10"/>
    </w:rPr>
  </w:style>
  <w:style w:type="paragraph" w:customStyle="1" w:styleId="409">
    <w:name w:val="Char Char Char Char Char Char Char Char Char Char Char Char Char Char"/>
    <w:basedOn w:val="1"/>
    <w:qFormat/>
    <w:uiPriority w:val="0"/>
    <w:pPr>
      <w:spacing w:after="160" w:line="240" w:lineRule="exact"/>
    </w:pPr>
    <w:rPr>
      <w:rFonts w:ascii="Verdana" w:hAnsi="Verdana" w:cs="宋体"/>
      <w:b/>
      <w:sz w:val="20"/>
      <w:lang w:eastAsia="en-US"/>
    </w:rPr>
  </w:style>
  <w:style w:type="paragraph" w:customStyle="1" w:styleId="410">
    <w:name w:val="样式 正文缩进正文（首行缩进两字）特点ALT+Z表正文正文非缩进四号段1Normal Indent Char2...4"/>
    <w:basedOn w:val="22"/>
    <w:qFormat/>
    <w:uiPriority w:val="0"/>
    <w:pPr>
      <w:widowControl w:val="0"/>
      <w:spacing w:after="0"/>
      <w:ind w:left="0" w:leftChars="0" w:firstLine="570"/>
      <w:jc w:val="both"/>
    </w:pPr>
    <w:rPr>
      <w:kern w:val="2"/>
      <w:sz w:val="28"/>
    </w:rPr>
  </w:style>
  <w:style w:type="paragraph" w:customStyle="1" w:styleId="411">
    <w:name w:val="样式 标题 1 + 黑体 三号 非加粗 居中 段前: 6 磅 段后: 6 磅 行距: 固定值 20 磅"/>
    <w:basedOn w:val="2"/>
    <w:qFormat/>
    <w:uiPriority w:val="0"/>
    <w:pPr>
      <w:tabs>
        <w:tab w:val="clear" w:pos="840"/>
      </w:tabs>
      <w:adjustRightInd/>
      <w:snapToGrid/>
      <w:spacing w:before="120" w:after="120" w:line="400" w:lineRule="exact"/>
      <w:jc w:val="center"/>
    </w:pPr>
    <w:rPr>
      <w:rFonts w:ascii="黑体" w:hAnsi="黑体" w:eastAsia="黑体" w:cs="宋体"/>
      <w:b w:val="0"/>
      <w:sz w:val="32"/>
    </w:rPr>
  </w:style>
  <w:style w:type="paragraph" w:customStyle="1" w:styleId="412">
    <w:name w:val="xl98"/>
    <w:basedOn w:val="1"/>
    <w:qFormat/>
    <w:uiPriority w:val="0"/>
    <w:pPr>
      <w:pBdr>
        <w:top w:val="single" w:color="auto" w:sz="4" w:space="0"/>
        <w:left w:val="single" w:color="auto" w:sz="4" w:space="0"/>
        <w:bottom w:val="single" w:color="auto" w:sz="4" w:space="0"/>
        <w:right w:val="single" w:color="auto" w:sz="4" w:space="0"/>
      </w:pBdr>
      <w:shd w:val="clear" w:color="000000" w:fill="C2E277"/>
      <w:spacing w:before="100" w:beforeAutospacing="1" w:after="100" w:afterAutospacing="1"/>
      <w:jc w:val="center"/>
      <w:textAlignment w:val="center"/>
    </w:pPr>
    <w:rPr>
      <w:rFonts w:ascii="宋体" w:hAnsi="宋体" w:cs="宋体"/>
      <w:b/>
      <w:bCs/>
      <w:sz w:val="24"/>
      <w:szCs w:val="24"/>
    </w:rPr>
  </w:style>
  <w:style w:type="paragraph" w:customStyle="1" w:styleId="413">
    <w:name w:val="ca-20"/>
    <w:basedOn w:val="1"/>
    <w:qFormat/>
    <w:uiPriority w:val="0"/>
    <w:rPr>
      <w:rFonts w:ascii="??" w:hAnsi="??" w:cs="宋体"/>
      <w:color w:val="000000"/>
      <w:sz w:val="18"/>
      <w:szCs w:val="18"/>
    </w:rPr>
  </w:style>
  <w:style w:type="paragraph" w:customStyle="1" w:styleId="414">
    <w:name w:val="ca-30"/>
    <w:basedOn w:val="1"/>
    <w:qFormat/>
    <w:uiPriority w:val="0"/>
    <w:rPr>
      <w:rFonts w:ascii="??" w:hAnsi="??" w:cs="宋体"/>
      <w:color w:val="002060"/>
      <w:szCs w:val="21"/>
    </w:rPr>
  </w:style>
  <w:style w:type="paragraph" w:customStyle="1" w:styleId="415">
    <w:name w:val="pa-128"/>
    <w:basedOn w:val="1"/>
    <w:qFormat/>
    <w:uiPriority w:val="0"/>
    <w:pPr>
      <w:spacing w:line="360" w:lineRule="atLeast"/>
      <w:jc w:val="center"/>
    </w:pPr>
    <w:rPr>
      <w:rFonts w:ascii="宋体" w:hAnsi="宋体" w:cs="宋体"/>
      <w:sz w:val="24"/>
      <w:szCs w:val="24"/>
    </w:rPr>
  </w:style>
  <w:style w:type="paragraph" w:customStyle="1" w:styleId="416">
    <w:name w:val="pa-97"/>
    <w:basedOn w:val="1"/>
    <w:qFormat/>
    <w:uiPriority w:val="0"/>
    <w:pPr>
      <w:spacing w:line="720" w:lineRule="atLeast"/>
      <w:jc w:val="both"/>
    </w:pPr>
    <w:rPr>
      <w:rFonts w:ascii="宋体" w:hAnsi="宋体" w:cs="宋体"/>
      <w:sz w:val="24"/>
      <w:szCs w:val="24"/>
    </w:rPr>
  </w:style>
  <w:style w:type="paragraph" w:customStyle="1" w:styleId="417">
    <w:name w:val="Char Char Char Char Char Char Char Char"/>
    <w:basedOn w:val="16"/>
    <w:qFormat/>
    <w:uiPriority w:val="0"/>
    <w:pPr>
      <w:widowControl w:val="0"/>
      <w:shd w:val="clear" w:color="auto" w:fill="000080"/>
      <w:jc w:val="both"/>
    </w:pPr>
    <w:rPr>
      <w:rFonts w:ascii="Tahoma" w:hAnsi="Tahoma" w:cs="Tahoma"/>
      <w:kern w:val="2"/>
      <w:sz w:val="24"/>
      <w:szCs w:val="24"/>
    </w:rPr>
  </w:style>
  <w:style w:type="paragraph" w:customStyle="1" w:styleId="418">
    <w:name w:val="pa-122"/>
    <w:basedOn w:val="1"/>
    <w:qFormat/>
    <w:uiPriority w:val="0"/>
    <w:pPr>
      <w:spacing w:line="360" w:lineRule="atLeast"/>
      <w:jc w:val="center"/>
    </w:pPr>
    <w:rPr>
      <w:rFonts w:ascii="宋体" w:hAnsi="宋体" w:cs="宋体"/>
      <w:sz w:val="24"/>
      <w:szCs w:val="24"/>
    </w:rPr>
  </w:style>
  <w:style w:type="paragraph" w:customStyle="1" w:styleId="419">
    <w:name w:val="pa-121"/>
    <w:basedOn w:val="1"/>
    <w:qFormat/>
    <w:uiPriority w:val="0"/>
    <w:pPr>
      <w:spacing w:line="360" w:lineRule="atLeast"/>
      <w:jc w:val="center"/>
    </w:pPr>
    <w:rPr>
      <w:rFonts w:ascii="宋体" w:hAnsi="宋体" w:cs="宋体"/>
      <w:sz w:val="24"/>
      <w:szCs w:val="24"/>
    </w:rPr>
  </w:style>
  <w:style w:type="paragraph" w:customStyle="1" w:styleId="420">
    <w:name w:val="xl10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FF0000"/>
      <w:sz w:val="16"/>
      <w:szCs w:val="16"/>
    </w:rPr>
  </w:style>
  <w:style w:type="paragraph" w:customStyle="1" w:styleId="421">
    <w:name w:val="表格文字"/>
    <w:basedOn w:val="1"/>
    <w:qFormat/>
    <w:uiPriority w:val="0"/>
    <w:pPr>
      <w:widowControl w:val="0"/>
      <w:adjustRightInd w:val="0"/>
      <w:spacing w:line="420" w:lineRule="atLeast"/>
      <w:textAlignment w:val="baseline"/>
    </w:pPr>
    <w:rPr>
      <w:rFonts w:ascii="Calibri" w:hAnsi="Calibri"/>
    </w:rPr>
  </w:style>
  <w:style w:type="paragraph" w:customStyle="1" w:styleId="422">
    <w:name w:val="样式 正文缩进正文（首行缩进两字）特点ALT+Z表正文正文非缩进四号段1Normal Indent Char2..."/>
    <w:basedOn w:val="3"/>
    <w:next w:val="4"/>
    <w:qFormat/>
    <w:uiPriority w:val="0"/>
    <w:pPr>
      <w:widowControl w:val="0"/>
      <w:spacing w:before="240" w:after="120" w:line="400" w:lineRule="exact"/>
      <w:ind w:left="1140" w:hanging="630"/>
      <w:jc w:val="center"/>
    </w:pPr>
    <w:rPr>
      <w:rFonts w:ascii="宋体" w:hAnsi="宋体" w:eastAsia="黑体"/>
      <w:bCs w:val="0"/>
      <w:kern w:val="2"/>
      <w:szCs w:val="20"/>
    </w:rPr>
  </w:style>
  <w:style w:type="paragraph" w:customStyle="1" w:styleId="423">
    <w:name w:val="正文 A"/>
    <w:qFormat/>
    <w:uiPriority w:val="0"/>
    <w:pPr>
      <w:widowControl w:val="0"/>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424">
    <w:name w:val="空半行"/>
    <w:basedOn w:val="1"/>
    <w:qFormat/>
    <w:uiPriority w:val="0"/>
    <w:pPr>
      <w:widowControl w:val="0"/>
      <w:adjustRightInd w:val="0"/>
      <w:spacing w:line="120" w:lineRule="exact"/>
      <w:jc w:val="both"/>
      <w:textAlignment w:val="baseline"/>
    </w:pPr>
    <w:rPr>
      <w:rFonts w:ascii="Calibri" w:hAnsi="Calibri" w:eastAsia="仿宋_GB2312"/>
      <w:color w:val="FFFFFF"/>
      <w:sz w:val="30"/>
    </w:rPr>
  </w:style>
  <w:style w:type="paragraph" w:customStyle="1" w:styleId="425">
    <w:name w:val="xl89"/>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sz w:val="20"/>
    </w:rPr>
  </w:style>
  <w:style w:type="paragraph" w:customStyle="1" w:styleId="426">
    <w:name w:val="pa-8"/>
    <w:basedOn w:val="1"/>
    <w:qFormat/>
    <w:uiPriority w:val="0"/>
    <w:pPr>
      <w:spacing w:line="360" w:lineRule="atLeast"/>
      <w:jc w:val="both"/>
    </w:pPr>
    <w:rPr>
      <w:rFonts w:ascii="宋体" w:hAnsi="宋体" w:cs="宋体"/>
      <w:sz w:val="24"/>
      <w:szCs w:val="24"/>
    </w:rPr>
  </w:style>
  <w:style w:type="paragraph" w:customStyle="1" w:styleId="427">
    <w:name w:val="pa-53"/>
    <w:basedOn w:val="1"/>
    <w:qFormat/>
    <w:uiPriority w:val="0"/>
    <w:pPr>
      <w:spacing w:line="280" w:lineRule="atLeast"/>
      <w:ind w:firstLine="100"/>
      <w:jc w:val="both"/>
    </w:pPr>
    <w:rPr>
      <w:rFonts w:ascii="宋体" w:hAnsi="宋体" w:cs="宋体"/>
      <w:sz w:val="24"/>
      <w:szCs w:val="24"/>
    </w:rPr>
  </w:style>
  <w:style w:type="paragraph" w:customStyle="1" w:styleId="428">
    <w:name w:val="Char Char1 Char Char Char Char Char Char Char Char Char Char"/>
    <w:basedOn w:val="1"/>
    <w:qFormat/>
    <w:uiPriority w:val="0"/>
    <w:pPr>
      <w:widowControl w:val="0"/>
      <w:tabs>
        <w:tab w:val="left" w:pos="360"/>
      </w:tabs>
      <w:ind w:firstLine="420" w:firstLineChars="150"/>
      <w:jc w:val="both"/>
    </w:pPr>
    <w:rPr>
      <w:rFonts w:ascii="Arial" w:hAnsi="Arial" w:cs="Arial"/>
      <w:kern w:val="2"/>
      <w:sz w:val="20"/>
    </w:rPr>
  </w:style>
  <w:style w:type="paragraph" w:customStyle="1" w:styleId="429">
    <w:name w:val="pa-18"/>
    <w:basedOn w:val="1"/>
    <w:qFormat/>
    <w:uiPriority w:val="0"/>
    <w:pPr>
      <w:spacing w:line="240" w:lineRule="atLeast"/>
      <w:ind w:firstLine="20"/>
      <w:jc w:val="both"/>
    </w:pPr>
    <w:rPr>
      <w:rFonts w:ascii="宋体" w:hAnsi="宋体" w:cs="宋体"/>
      <w:sz w:val="24"/>
      <w:szCs w:val="24"/>
    </w:rPr>
  </w:style>
  <w:style w:type="paragraph" w:customStyle="1" w:styleId="430">
    <w:name w:val="pa-11"/>
    <w:basedOn w:val="1"/>
    <w:qFormat/>
    <w:uiPriority w:val="0"/>
    <w:pPr>
      <w:spacing w:line="280" w:lineRule="atLeast"/>
      <w:jc w:val="both"/>
    </w:pPr>
    <w:rPr>
      <w:rFonts w:ascii="宋体" w:hAnsi="宋体" w:cs="宋体"/>
      <w:sz w:val="24"/>
      <w:szCs w:val="24"/>
    </w:rPr>
  </w:style>
  <w:style w:type="paragraph" w:customStyle="1" w:styleId="431">
    <w:name w:val="Char Char Char Char Char Char Char2"/>
    <w:basedOn w:val="1"/>
    <w:qFormat/>
    <w:uiPriority w:val="0"/>
    <w:pPr>
      <w:widowControl w:val="0"/>
      <w:jc w:val="both"/>
    </w:pPr>
    <w:rPr>
      <w:rFonts w:ascii="Calibri" w:hAnsi="Calibri"/>
      <w:kern w:val="2"/>
      <w:szCs w:val="24"/>
    </w:rPr>
  </w:style>
  <w:style w:type="paragraph" w:customStyle="1" w:styleId="432">
    <w:name w:val="pa-66"/>
    <w:basedOn w:val="1"/>
    <w:qFormat/>
    <w:uiPriority w:val="0"/>
    <w:pPr>
      <w:spacing w:line="240" w:lineRule="atLeast"/>
      <w:ind w:firstLine="200"/>
      <w:jc w:val="both"/>
    </w:pPr>
    <w:rPr>
      <w:rFonts w:ascii="宋体" w:hAnsi="宋体" w:cs="宋体"/>
      <w:sz w:val="24"/>
      <w:szCs w:val="24"/>
    </w:rPr>
  </w:style>
  <w:style w:type="paragraph" w:customStyle="1" w:styleId="433">
    <w:name w:val="226_Chinese Text"/>
    <w:qFormat/>
    <w:uiPriority w:val="0"/>
    <w:pPr>
      <w:spacing w:after="120" w:line="336" w:lineRule="auto"/>
      <w:jc w:val="both"/>
    </w:pPr>
    <w:rPr>
      <w:rFonts w:ascii="华文中宋" w:hAnsi="华文中宋" w:eastAsia="华文中宋" w:cs="Times New Roman"/>
      <w:lang w:val="en-GB" w:eastAsia="zh-CN" w:bidi="ar-SA"/>
    </w:rPr>
  </w:style>
  <w:style w:type="paragraph" w:customStyle="1" w:styleId="434">
    <w:name w:val="pa-41"/>
    <w:basedOn w:val="1"/>
    <w:qFormat/>
    <w:uiPriority w:val="0"/>
    <w:pPr>
      <w:spacing w:line="280" w:lineRule="atLeast"/>
      <w:ind w:firstLine="420"/>
      <w:jc w:val="both"/>
    </w:pPr>
    <w:rPr>
      <w:rFonts w:ascii="宋体" w:hAnsi="宋体" w:cs="宋体"/>
      <w:sz w:val="24"/>
      <w:szCs w:val="24"/>
    </w:rPr>
  </w:style>
  <w:style w:type="paragraph" w:customStyle="1" w:styleId="435">
    <w:name w:val="ca-52"/>
    <w:basedOn w:val="1"/>
    <w:qFormat/>
    <w:uiPriority w:val="0"/>
    <w:rPr>
      <w:rFonts w:ascii="宋体" w:hAnsi="宋体" w:cs="宋体"/>
      <w:b/>
      <w:bCs/>
      <w:spacing w:val="-20"/>
      <w:sz w:val="36"/>
      <w:szCs w:val="36"/>
    </w:rPr>
  </w:style>
  <w:style w:type="paragraph" w:customStyle="1" w:styleId="436">
    <w:name w:val="纯文本11"/>
    <w:basedOn w:val="1"/>
    <w:qFormat/>
    <w:uiPriority w:val="0"/>
    <w:pPr>
      <w:widowControl w:val="0"/>
      <w:adjustRightInd w:val="0"/>
      <w:jc w:val="both"/>
      <w:textAlignment w:val="baseline"/>
    </w:pPr>
    <w:rPr>
      <w:rFonts w:ascii="宋体" w:hAnsi="Courier New" w:eastAsia="楷体_GB2312"/>
      <w:kern w:val="2"/>
      <w:sz w:val="26"/>
    </w:rPr>
  </w:style>
  <w:style w:type="paragraph" w:styleId="437">
    <w:name w:val="No Spacing"/>
    <w:link w:val="438"/>
    <w:qFormat/>
    <w:uiPriority w:val="1"/>
    <w:rPr>
      <w:rFonts w:ascii="Times New Roman" w:hAnsi="Times New Roman" w:eastAsia="Times New Roman" w:cs="Times New Roman"/>
      <w:sz w:val="22"/>
      <w:szCs w:val="22"/>
      <w:lang w:val="en-US" w:eastAsia="zh-CN" w:bidi="ar-SA"/>
    </w:rPr>
  </w:style>
  <w:style w:type="character" w:customStyle="1" w:styleId="438">
    <w:name w:val="无间隔 字符"/>
    <w:link w:val="437"/>
    <w:qFormat/>
    <w:uiPriority w:val="0"/>
    <w:rPr>
      <w:rFonts w:eastAsia="Times New Roman"/>
      <w:sz w:val="22"/>
      <w:szCs w:val="22"/>
      <w:lang w:val="en-US" w:eastAsia="zh-CN" w:bidi="ar-SA"/>
    </w:rPr>
  </w:style>
  <w:style w:type="paragraph" w:customStyle="1" w:styleId="439">
    <w:name w:val="pa-55"/>
    <w:basedOn w:val="1"/>
    <w:qFormat/>
    <w:uiPriority w:val="0"/>
    <w:pPr>
      <w:spacing w:line="300" w:lineRule="atLeast"/>
      <w:ind w:firstLine="480"/>
      <w:jc w:val="center"/>
    </w:pPr>
    <w:rPr>
      <w:rFonts w:ascii="宋体" w:hAnsi="宋体" w:cs="宋体"/>
      <w:sz w:val="24"/>
      <w:szCs w:val="24"/>
    </w:rPr>
  </w:style>
  <w:style w:type="paragraph" w:customStyle="1" w:styleId="440">
    <w:name w:val="ca-17"/>
    <w:basedOn w:val="1"/>
    <w:qFormat/>
    <w:uiPriority w:val="0"/>
    <w:rPr>
      <w:rFonts w:ascii="Calibri" w:hAnsi="Calibri"/>
      <w:b/>
      <w:bCs/>
      <w:spacing w:val="-20"/>
      <w:sz w:val="24"/>
      <w:szCs w:val="24"/>
    </w:rPr>
  </w:style>
  <w:style w:type="paragraph" w:customStyle="1" w:styleId="441">
    <w:name w:val="ca-31"/>
    <w:basedOn w:val="1"/>
    <w:qFormat/>
    <w:uiPriority w:val="0"/>
    <w:rPr>
      <w:rFonts w:ascii="??" w:hAnsi="??" w:cs="宋体"/>
      <w:color w:val="000000"/>
      <w:szCs w:val="21"/>
    </w:rPr>
  </w:style>
  <w:style w:type="paragraph" w:customStyle="1" w:styleId="442">
    <w:name w:val="默认段落字体 Para Char Char Char Char Char Char Char Char Char1 Char"/>
    <w:basedOn w:val="1"/>
    <w:qFormat/>
    <w:uiPriority w:val="0"/>
    <w:pPr>
      <w:widowControl w:val="0"/>
      <w:tabs>
        <w:tab w:val="left" w:pos="1260"/>
      </w:tabs>
      <w:spacing w:line="360" w:lineRule="auto"/>
      <w:ind w:left="1260" w:firstLine="480" w:firstLineChars="200"/>
      <w:jc w:val="both"/>
    </w:pPr>
    <w:rPr>
      <w:rFonts w:ascii="Tahoma" w:hAnsi="Tahoma"/>
      <w:kern w:val="2"/>
      <w:sz w:val="24"/>
    </w:rPr>
  </w:style>
  <w:style w:type="paragraph" w:customStyle="1" w:styleId="443">
    <w:name w:val="pa-57"/>
    <w:basedOn w:val="1"/>
    <w:qFormat/>
    <w:uiPriority w:val="0"/>
    <w:pPr>
      <w:spacing w:line="300" w:lineRule="atLeast"/>
      <w:ind w:firstLine="560"/>
      <w:jc w:val="both"/>
    </w:pPr>
    <w:rPr>
      <w:rFonts w:ascii="宋体" w:hAnsi="宋体" w:cs="宋体"/>
      <w:sz w:val="24"/>
      <w:szCs w:val="24"/>
    </w:rPr>
  </w:style>
  <w:style w:type="paragraph" w:customStyle="1" w:styleId="444">
    <w:name w:val="xl10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sz w:val="16"/>
      <w:szCs w:val="16"/>
    </w:rPr>
  </w:style>
  <w:style w:type="paragraph" w:customStyle="1" w:styleId="445">
    <w:name w:val="正文段"/>
    <w:basedOn w:val="1"/>
    <w:qFormat/>
    <w:uiPriority w:val="99"/>
    <w:pPr>
      <w:snapToGrid w:val="0"/>
      <w:spacing w:afterLines="50"/>
      <w:ind w:firstLine="200" w:firstLineChars="200"/>
      <w:jc w:val="both"/>
    </w:pPr>
    <w:rPr>
      <w:rFonts w:ascii="Calibri" w:hAnsi="Calibri"/>
      <w:sz w:val="24"/>
    </w:rPr>
  </w:style>
  <w:style w:type="paragraph" w:customStyle="1" w:styleId="446">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447">
    <w:name w:val="pa-7"/>
    <w:basedOn w:val="1"/>
    <w:qFormat/>
    <w:uiPriority w:val="0"/>
    <w:pPr>
      <w:spacing w:line="400" w:lineRule="atLeast"/>
      <w:jc w:val="both"/>
    </w:pPr>
    <w:rPr>
      <w:rFonts w:ascii="宋体" w:hAnsi="宋体" w:cs="宋体"/>
      <w:sz w:val="24"/>
      <w:szCs w:val="24"/>
    </w:rPr>
  </w:style>
  <w:style w:type="paragraph" w:customStyle="1" w:styleId="448">
    <w:name w:val="Blockquote"/>
    <w:basedOn w:val="1"/>
    <w:link w:val="449"/>
    <w:qFormat/>
    <w:uiPriority w:val="0"/>
    <w:pPr>
      <w:widowControl w:val="0"/>
      <w:autoSpaceDE w:val="0"/>
      <w:autoSpaceDN w:val="0"/>
      <w:adjustRightInd w:val="0"/>
      <w:spacing w:before="100" w:after="100"/>
      <w:ind w:left="360" w:right="360"/>
    </w:pPr>
    <w:rPr>
      <w:sz w:val="24"/>
    </w:rPr>
  </w:style>
  <w:style w:type="character" w:customStyle="1" w:styleId="449">
    <w:name w:val="Blockquote Char"/>
    <w:link w:val="448"/>
    <w:qFormat/>
    <w:locked/>
    <w:uiPriority w:val="0"/>
    <w:rPr>
      <w:sz w:val="24"/>
    </w:rPr>
  </w:style>
  <w:style w:type="paragraph" w:customStyle="1" w:styleId="450">
    <w:name w:val="ca-32"/>
    <w:basedOn w:val="1"/>
    <w:qFormat/>
    <w:uiPriority w:val="0"/>
    <w:rPr>
      <w:rFonts w:ascii="宋体" w:hAnsi="宋体" w:cs="宋体"/>
      <w:b/>
      <w:bCs/>
      <w:color w:val="C00000"/>
      <w:spacing w:val="-20"/>
      <w:szCs w:val="21"/>
    </w:rPr>
  </w:style>
  <w:style w:type="paragraph" w:customStyle="1" w:styleId="451">
    <w:name w:val="style1"/>
    <w:basedOn w:val="1"/>
    <w:qFormat/>
    <w:uiPriority w:val="0"/>
    <w:pPr>
      <w:spacing w:before="100" w:beforeAutospacing="1" w:after="100" w:afterAutospacing="1" w:line="432" w:lineRule="auto"/>
    </w:pPr>
    <w:rPr>
      <w:rFonts w:ascii="宋体" w:hAnsi="宋体" w:cs="宋体"/>
      <w:sz w:val="27"/>
      <w:szCs w:val="27"/>
    </w:rPr>
  </w:style>
  <w:style w:type="paragraph" w:customStyle="1" w:styleId="452">
    <w:name w:val="ca-29"/>
    <w:basedOn w:val="1"/>
    <w:qFormat/>
    <w:uiPriority w:val="0"/>
    <w:rPr>
      <w:rFonts w:ascii="宋体" w:hAnsi="宋体" w:cs="宋体"/>
      <w:color w:val="7030A0"/>
      <w:szCs w:val="21"/>
    </w:rPr>
  </w:style>
  <w:style w:type="paragraph" w:customStyle="1" w:styleId="453">
    <w:name w:val="xl106"/>
    <w:basedOn w:val="1"/>
    <w:qFormat/>
    <w:uiPriority w:val="0"/>
    <w:pPr>
      <w:pBdr>
        <w:top w:val="single" w:color="auto" w:sz="4" w:space="0"/>
        <w:left w:val="single" w:color="auto" w:sz="4" w:space="0"/>
        <w:bottom w:val="single" w:color="auto" w:sz="4" w:space="0"/>
      </w:pBdr>
      <w:shd w:val="clear" w:color="000000" w:fill="92D050"/>
      <w:spacing w:before="100" w:beforeAutospacing="1" w:after="100" w:afterAutospacing="1"/>
      <w:jc w:val="center"/>
      <w:textAlignment w:val="center"/>
    </w:pPr>
    <w:rPr>
      <w:rFonts w:ascii="宋体" w:hAnsi="宋体" w:cs="宋体"/>
      <w:b/>
      <w:bCs/>
      <w:sz w:val="24"/>
      <w:szCs w:val="24"/>
    </w:rPr>
  </w:style>
  <w:style w:type="paragraph" w:customStyle="1" w:styleId="454">
    <w:name w:val="样式 宋体 首行缩进:  0.87 厘米"/>
    <w:basedOn w:val="1"/>
    <w:qFormat/>
    <w:uiPriority w:val="0"/>
    <w:pPr>
      <w:widowControl w:val="0"/>
      <w:spacing w:line="480" w:lineRule="exact"/>
      <w:ind w:firstLine="493"/>
      <w:jc w:val="both"/>
    </w:pPr>
    <w:rPr>
      <w:rFonts w:ascii="宋体" w:hAnsi="宋体" w:cs="宋体"/>
      <w:spacing w:val="6"/>
      <w:kern w:val="2"/>
      <w:sz w:val="24"/>
      <w:szCs w:val="24"/>
    </w:rPr>
  </w:style>
  <w:style w:type="paragraph" w:customStyle="1" w:styleId="455">
    <w:name w:val="xl76"/>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20"/>
    </w:rPr>
  </w:style>
  <w:style w:type="paragraph" w:customStyle="1" w:styleId="456">
    <w:name w:val="xl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sz w:val="16"/>
      <w:szCs w:val="16"/>
    </w:rPr>
  </w:style>
  <w:style w:type="paragraph" w:customStyle="1" w:styleId="457">
    <w:name w:val="ca-43"/>
    <w:basedOn w:val="1"/>
    <w:qFormat/>
    <w:uiPriority w:val="0"/>
    <w:rPr>
      <w:rFonts w:ascii="宋体" w:hAnsi="宋体" w:cs="宋体"/>
      <w:color w:val="000000"/>
      <w:sz w:val="44"/>
      <w:szCs w:val="44"/>
    </w:rPr>
  </w:style>
  <w:style w:type="paragraph" w:customStyle="1" w:styleId="458">
    <w:name w:val="pa-92"/>
    <w:basedOn w:val="1"/>
    <w:qFormat/>
    <w:uiPriority w:val="0"/>
    <w:pPr>
      <w:spacing w:line="480" w:lineRule="atLeast"/>
      <w:ind w:firstLine="480"/>
      <w:jc w:val="both"/>
    </w:pPr>
    <w:rPr>
      <w:rFonts w:ascii="宋体" w:hAnsi="宋体" w:cs="宋体"/>
      <w:sz w:val="24"/>
      <w:szCs w:val="24"/>
    </w:rPr>
  </w:style>
  <w:style w:type="paragraph" w:customStyle="1" w:styleId="459">
    <w:name w:val="pa-54"/>
    <w:basedOn w:val="1"/>
    <w:qFormat/>
    <w:uiPriority w:val="0"/>
    <w:pPr>
      <w:spacing w:line="280" w:lineRule="atLeast"/>
    </w:pPr>
    <w:rPr>
      <w:rFonts w:ascii="宋体" w:hAnsi="宋体" w:cs="宋体"/>
      <w:sz w:val="24"/>
      <w:szCs w:val="24"/>
    </w:rPr>
  </w:style>
  <w:style w:type="paragraph" w:customStyle="1" w:styleId="460">
    <w:name w:val="Char Char Char Char3"/>
    <w:basedOn w:val="1"/>
    <w:qFormat/>
    <w:uiPriority w:val="0"/>
    <w:pPr>
      <w:spacing w:after="160" w:line="240" w:lineRule="exact"/>
    </w:pPr>
    <w:rPr>
      <w:rFonts w:ascii="Arial" w:hAnsi="Arial" w:cs="Verdana"/>
      <w:b/>
      <w:sz w:val="24"/>
      <w:lang w:eastAsia="en-US"/>
    </w:rPr>
  </w:style>
  <w:style w:type="paragraph" w:customStyle="1" w:styleId="461">
    <w:name w:val="ca-5"/>
    <w:basedOn w:val="1"/>
    <w:qFormat/>
    <w:uiPriority w:val="0"/>
    <w:rPr>
      <w:rFonts w:ascii="宋体" w:hAnsi="宋体" w:cs="宋体"/>
      <w:b/>
      <w:bCs/>
      <w:color w:val="000000"/>
      <w:spacing w:val="40"/>
      <w:sz w:val="48"/>
      <w:szCs w:val="48"/>
    </w:rPr>
  </w:style>
  <w:style w:type="paragraph" w:customStyle="1" w:styleId="462">
    <w:name w:val="xl86"/>
    <w:basedOn w:val="1"/>
    <w:qFormat/>
    <w:uiPriority w:val="0"/>
    <w:pPr>
      <w:pBdr>
        <w:left w:val="single" w:color="auto" w:sz="4" w:space="0"/>
        <w:right w:val="single" w:color="auto" w:sz="4" w:space="0"/>
      </w:pBdr>
      <w:spacing w:before="100" w:beforeAutospacing="1" w:after="100" w:afterAutospacing="1"/>
      <w:jc w:val="center"/>
      <w:textAlignment w:val="top"/>
    </w:pPr>
    <w:rPr>
      <w:rFonts w:ascii="宋体" w:hAnsi="宋体" w:cs="宋体"/>
      <w:sz w:val="20"/>
    </w:rPr>
  </w:style>
  <w:style w:type="paragraph" w:customStyle="1" w:styleId="463">
    <w:name w:val="pa-79"/>
    <w:basedOn w:val="1"/>
    <w:qFormat/>
    <w:uiPriority w:val="0"/>
    <w:pPr>
      <w:spacing w:line="360" w:lineRule="atLeast"/>
      <w:ind w:firstLine="3040"/>
    </w:pPr>
    <w:rPr>
      <w:rFonts w:ascii="宋体" w:hAnsi="宋体" w:cs="宋体"/>
      <w:sz w:val="24"/>
      <w:szCs w:val="24"/>
    </w:rPr>
  </w:style>
  <w:style w:type="paragraph" w:customStyle="1" w:styleId="464">
    <w:name w:val="xl100"/>
    <w:basedOn w:val="1"/>
    <w:qFormat/>
    <w:uiPriority w:val="0"/>
    <w:pPr>
      <w:spacing w:before="100" w:beforeAutospacing="1" w:after="100" w:afterAutospacing="1"/>
      <w:textAlignment w:val="center"/>
    </w:pPr>
    <w:rPr>
      <w:rFonts w:ascii="宋体" w:hAnsi="宋体" w:cs="宋体"/>
      <w:sz w:val="16"/>
      <w:szCs w:val="16"/>
    </w:rPr>
  </w:style>
  <w:style w:type="paragraph" w:customStyle="1" w:styleId="465">
    <w:name w:val="td-7"/>
    <w:basedOn w:val="1"/>
    <w:qFormat/>
    <w:uiPriority w:val="0"/>
    <w:pPr>
      <w:pBdr>
        <w:top w:val="single" w:color="000000" w:sz="4" w:space="0"/>
        <w:left w:val="single" w:color="000000" w:sz="12" w:space="4"/>
        <w:bottom w:val="single" w:color="000000" w:sz="4" w:space="0"/>
        <w:right w:val="single" w:color="000000" w:sz="4" w:space="0"/>
      </w:pBdr>
    </w:pPr>
    <w:rPr>
      <w:rFonts w:ascii="宋体" w:hAnsi="宋体" w:cs="宋体"/>
      <w:sz w:val="24"/>
      <w:szCs w:val="24"/>
    </w:rPr>
  </w:style>
  <w:style w:type="paragraph" w:customStyle="1" w:styleId="466">
    <w:name w:val="xl109"/>
    <w:basedOn w:val="1"/>
    <w:qFormat/>
    <w:uiPriority w:val="0"/>
    <w:pPr>
      <w:pBdr>
        <w:top w:val="single" w:color="auto" w:sz="4" w:space="0"/>
        <w:bottom w:val="single" w:color="auto" w:sz="4" w:space="0"/>
      </w:pBdr>
      <w:shd w:val="clear" w:color="000000" w:fill="C2E277"/>
      <w:spacing w:before="100" w:beforeAutospacing="1" w:after="100" w:afterAutospacing="1"/>
      <w:jc w:val="center"/>
      <w:textAlignment w:val="center"/>
    </w:pPr>
    <w:rPr>
      <w:rFonts w:ascii="宋体" w:hAnsi="宋体" w:cs="宋体"/>
      <w:b/>
      <w:bCs/>
      <w:sz w:val="24"/>
      <w:szCs w:val="24"/>
    </w:rPr>
  </w:style>
  <w:style w:type="paragraph" w:customStyle="1" w:styleId="467">
    <w:name w:val="样式 节 + 行距: 固定值 37 磅"/>
    <w:basedOn w:val="274"/>
    <w:qFormat/>
    <w:uiPriority w:val="0"/>
    <w:pPr>
      <w:spacing w:before="120" w:after="120" w:line="660" w:lineRule="exact"/>
    </w:pPr>
    <w:rPr>
      <w:rFonts w:cs="宋体"/>
    </w:rPr>
  </w:style>
  <w:style w:type="paragraph" w:customStyle="1" w:styleId="468">
    <w:name w:val="pa-29"/>
    <w:basedOn w:val="1"/>
    <w:qFormat/>
    <w:uiPriority w:val="0"/>
    <w:pPr>
      <w:spacing w:line="360" w:lineRule="atLeast"/>
      <w:ind w:firstLine="2820"/>
      <w:jc w:val="both"/>
    </w:pPr>
    <w:rPr>
      <w:rFonts w:ascii="宋体" w:hAnsi="宋体" w:cs="宋体"/>
      <w:sz w:val="24"/>
      <w:szCs w:val="24"/>
    </w:rPr>
  </w:style>
  <w:style w:type="paragraph" w:customStyle="1" w:styleId="469">
    <w:name w:val="样式 正文文本"/>
    <w:basedOn w:val="1"/>
    <w:qFormat/>
    <w:uiPriority w:val="0"/>
    <w:pPr>
      <w:widowControl w:val="0"/>
      <w:adjustRightInd w:val="0"/>
      <w:snapToGrid w:val="0"/>
      <w:spacing w:line="400" w:lineRule="exact"/>
      <w:ind w:firstLine="200" w:firstLineChars="200"/>
      <w:jc w:val="both"/>
    </w:pPr>
    <w:rPr>
      <w:rFonts w:ascii="Arial" w:hAnsi="Arial" w:cs="宋体"/>
      <w:color w:val="000000"/>
      <w:kern w:val="2"/>
    </w:rPr>
  </w:style>
  <w:style w:type="paragraph" w:customStyle="1" w:styleId="470">
    <w:name w:val="ca-14"/>
    <w:basedOn w:val="1"/>
    <w:qFormat/>
    <w:uiPriority w:val="0"/>
    <w:rPr>
      <w:rFonts w:ascii="Calibri" w:hAnsi="Calibri"/>
      <w:color w:val="000000"/>
      <w:sz w:val="24"/>
      <w:szCs w:val="24"/>
    </w:rPr>
  </w:style>
  <w:style w:type="paragraph" w:customStyle="1" w:styleId="471">
    <w:name w:val="pa-136"/>
    <w:basedOn w:val="1"/>
    <w:qFormat/>
    <w:uiPriority w:val="0"/>
    <w:pPr>
      <w:spacing w:line="360" w:lineRule="atLeast"/>
      <w:ind w:firstLine="5640"/>
      <w:jc w:val="both"/>
    </w:pPr>
    <w:rPr>
      <w:rFonts w:ascii="宋体" w:hAnsi="宋体" w:cs="宋体"/>
      <w:sz w:val="24"/>
      <w:szCs w:val="24"/>
    </w:rPr>
  </w:style>
  <w:style w:type="paragraph" w:customStyle="1" w:styleId="472">
    <w:name w:val="ca-42"/>
    <w:basedOn w:val="1"/>
    <w:qFormat/>
    <w:uiPriority w:val="0"/>
    <w:rPr>
      <w:rFonts w:ascii="宋体" w:hAnsi="宋体" w:cs="宋体"/>
      <w:color w:val="000000"/>
      <w:sz w:val="36"/>
      <w:szCs w:val="36"/>
    </w:rPr>
  </w:style>
  <w:style w:type="paragraph" w:customStyle="1" w:styleId="473">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474">
    <w:name w:val="ca-23"/>
    <w:basedOn w:val="1"/>
    <w:qFormat/>
    <w:uiPriority w:val="0"/>
    <w:rPr>
      <w:rFonts w:ascii="Calibri" w:hAnsi="Calibri"/>
      <w:szCs w:val="21"/>
    </w:rPr>
  </w:style>
  <w:style w:type="paragraph" w:customStyle="1" w:styleId="475">
    <w:name w:val="样式 正文（首行缩进两字） + 宋体"/>
    <w:basedOn w:val="14"/>
    <w:qFormat/>
    <w:uiPriority w:val="0"/>
    <w:pPr>
      <w:widowControl w:val="0"/>
      <w:spacing w:line="460" w:lineRule="exact"/>
      <w:ind w:firstLine="200" w:firstLineChars="200"/>
      <w:jc w:val="both"/>
    </w:pPr>
    <w:rPr>
      <w:rFonts w:ascii="宋体" w:hAnsi="宋体"/>
      <w:spacing w:val="6"/>
      <w:kern w:val="24"/>
      <w:sz w:val="24"/>
    </w:rPr>
  </w:style>
  <w:style w:type="paragraph" w:customStyle="1" w:styleId="476">
    <w:name w:val="_Style 123"/>
    <w:basedOn w:val="1"/>
    <w:next w:val="126"/>
    <w:qFormat/>
    <w:uiPriority w:val="34"/>
    <w:pPr>
      <w:widowControl w:val="0"/>
      <w:ind w:firstLine="420" w:firstLineChars="200"/>
      <w:jc w:val="both"/>
    </w:pPr>
    <w:rPr>
      <w:rFonts w:ascii="Calibri" w:hAnsi="Calibri"/>
      <w:kern w:val="2"/>
      <w:szCs w:val="24"/>
    </w:rPr>
  </w:style>
  <w:style w:type="paragraph" w:customStyle="1" w:styleId="477">
    <w:name w:val="xl9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sz w:val="16"/>
      <w:szCs w:val="16"/>
    </w:rPr>
  </w:style>
  <w:style w:type="paragraph" w:customStyle="1" w:styleId="478">
    <w:name w:val="样式 标题 2 + Times New Roman 四号 非加粗 段前: 5 磅 段后: 0 磅 行距: 固定值 20..."/>
    <w:basedOn w:val="3"/>
    <w:qFormat/>
    <w:uiPriority w:val="0"/>
    <w:pPr>
      <w:widowControl w:val="0"/>
      <w:spacing w:before="100" w:after="0" w:line="400" w:lineRule="exact"/>
      <w:jc w:val="both"/>
    </w:pPr>
    <w:rPr>
      <w:rFonts w:ascii="Times New Roman" w:hAnsi="Times New Roman" w:eastAsia="黑体" w:cs="宋体"/>
      <w:b w:val="0"/>
      <w:bCs w:val="0"/>
      <w:kern w:val="2"/>
      <w:sz w:val="28"/>
      <w:szCs w:val="20"/>
    </w:rPr>
  </w:style>
  <w:style w:type="paragraph" w:customStyle="1" w:styleId="479">
    <w:name w:val="xl87"/>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sz w:val="20"/>
    </w:rPr>
  </w:style>
  <w:style w:type="paragraph" w:customStyle="1" w:styleId="480">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rPr>
  </w:style>
  <w:style w:type="paragraph" w:customStyle="1" w:styleId="481">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sz w:val="24"/>
      <w:szCs w:val="24"/>
    </w:rPr>
  </w:style>
  <w:style w:type="paragraph" w:customStyle="1" w:styleId="482">
    <w:name w:val="xl45"/>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bCs/>
      <w:sz w:val="24"/>
      <w:szCs w:val="24"/>
    </w:rPr>
  </w:style>
  <w:style w:type="paragraph" w:customStyle="1" w:styleId="483">
    <w:name w:val="样式 正文（首行缩进两字） + 宋体 首行缩进:  0 字符"/>
    <w:basedOn w:val="14"/>
    <w:qFormat/>
    <w:uiPriority w:val="0"/>
    <w:pPr>
      <w:widowControl w:val="0"/>
      <w:spacing w:line="460" w:lineRule="exact"/>
      <w:ind w:firstLine="0"/>
      <w:jc w:val="both"/>
    </w:pPr>
    <w:rPr>
      <w:rFonts w:ascii="宋体" w:hAnsi="宋体" w:cs="宋体"/>
      <w:spacing w:val="6"/>
      <w:kern w:val="24"/>
      <w:sz w:val="24"/>
    </w:rPr>
  </w:style>
  <w:style w:type="paragraph" w:customStyle="1" w:styleId="484">
    <w:name w:val="默认段落字体 Para Char"/>
    <w:basedOn w:val="1"/>
    <w:qFormat/>
    <w:uiPriority w:val="0"/>
    <w:pPr>
      <w:widowControl w:val="0"/>
      <w:tabs>
        <w:tab w:val="left" w:pos="432"/>
      </w:tabs>
      <w:ind w:left="840" w:hanging="420"/>
      <w:jc w:val="both"/>
    </w:pPr>
    <w:rPr>
      <w:rFonts w:ascii="Calibri" w:hAnsi="Calibri"/>
      <w:kern w:val="2"/>
      <w:szCs w:val="24"/>
    </w:rPr>
  </w:style>
  <w:style w:type="paragraph" w:customStyle="1" w:styleId="485">
    <w:name w:val="pa-1"/>
    <w:basedOn w:val="1"/>
    <w:qFormat/>
    <w:uiPriority w:val="0"/>
    <w:pPr>
      <w:spacing w:line="480" w:lineRule="atLeast"/>
      <w:jc w:val="center"/>
    </w:pPr>
    <w:rPr>
      <w:rFonts w:ascii="宋体" w:hAnsi="宋体" w:cs="宋体"/>
      <w:sz w:val="24"/>
      <w:szCs w:val="24"/>
    </w:rPr>
  </w:style>
  <w:style w:type="paragraph" w:customStyle="1" w:styleId="486">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7">
    <w:name w:val="Char"/>
    <w:basedOn w:val="1"/>
    <w:qFormat/>
    <w:uiPriority w:val="0"/>
    <w:pPr>
      <w:widowControl w:val="0"/>
      <w:jc w:val="both"/>
    </w:pPr>
    <w:rPr>
      <w:rFonts w:ascii="Calibri" w:hAnsi="Calibri"/>
      <w:kern w:val="2"/>
      <w:szCs w:val="24"/>
    </w:rPr>
  </w:style>
  <w:style w:type="paragraph" w:customStyle="1" w:styleId="488">
    <w:name w:val="正文文本缩进2"/>
    <w:basedOn w:val="1"/>
    <w:qFormat/>
    <w:uiPriority w:val="0"/>
    <w:pPr>
      <w:widowControl w:val="0"/>
      <w:spacing w:before="120" w:after="120" w:line="360" w:lineRule="auto"/>
      <w:ind w:left="420" w:leftChars="200"/>
      <w:jc w:val="both"/>
    </w:pPr>
    <w:rPr>
      <w:rFonts w:ascii="Calibri" w:hAnsi="Calibri"/>
      <w:kern w:val="2"/>
      <w:sz w:val="20"/>
    </w:rPr>
  </w:style>
  <w:style w:type="paragraph" w:customStyle="1" w:styleId="489">
    <w:name w:val="Char3"/>
    <w:basedOn w:val="1"/>
    <w:link w:val="490"/>
    <w:qFormat/>
    <w:uiPriority w:val="0"/>
    <w:pPr>
      <w:widowControl w:val="0"/>
      <w:jc w:val="both"/>
    </w:pPr>
    <w:rPr>
      <w:rFonts w:ascii="Tahoma" w:hAnsi="Tahoma"/>
      <w:kern w:val="2"/>
      <w:sz w:val="24"/>
    </w:rPr>
  </w:style>
  <w:style w:type="character" w:customStyle="1" w:styleId="490">
    <w:name w:val="Char Char25"/>
    <w:link w:val="489"/>
    <w:qFormat/>
    <w:locked/>
    <w:uiPriority w:val="0"/>
    <w:rPr>
      <w:rFonts w:ascii="Tahoma" w:hAnsi="Tahoma"/>
      <w:kern w:val="2"/>
      <w:sz w:val="24"/>
    </w:rPr>
  </w:style>
  <w:style w:type="paragraph" w:customStyle="1" w:styleId="491">
    <w:name w:val="msonormalcxspmiddle"/>
    <w:basedOn w:val="1"/>
    <w:qFormat/>
    <w:uiPriority w:val="0"/>
    <w:pPr>
      <w:spacing w:before="100" w:beforeAutospacing="1" w:after="100" w:afterAutospacing="1"/>
    </w:pPr>
    <w:rPr>
      <w:rFonts w:ascii="宋体" w:hAnsi="宋体" w:cs="宋体"/>
      <w:sz w:val="24"/>
      <w:szCs w:val="24"/>
    </w:rPr>
  </w:style>
  <w:style w:type="paragraph" w:customStyle="1" w:styleId="492">
    <w:name w:val="ca-0"/>
    <w:basedOn w:val="1"/>
    <w:qFormat/>
    <w:uiPriority w:val="0"/>
    <w:rPr>
      <w:rFonts w:ascii="宋体" w:hAnsi="宋体" w:cs="宋体"/>
      <w:color w:val="000000"/>
      <w:sz w:val="48"/>
      <w:szCs w:val="48"/>
    </w:rPr>
  </w:style>
  <w:style w:type="paragraph" w:customStyle="1" w:styleId="493">
    <w:name w:val="pa-22"/>
    <w:basedOn w:val="1"/>
    <w:qFormat/>
    <w:uiPriority w:val="0"/>
    <w:pPr>
      <w:spacing w:line="280" w:lineRule="atLeast"/>
      <w:ind w:firstLine="480"/>
      <w:jc w:val="both"/>
    </w:pPr>
    <w:rPr>
      <w:rFonts w:ascii="宋体" w:hAnsi="宋体" w:cs="宋体"/>
      <w:sz w:val="24"/>
      <w:szCs w:val="24"/>
    </w:rPr>
  </w:style>
  <w:style w:type="paragraph" w:customStyle="1" w:styleId="494">
    <w:name w:val="明显引用1"/>
    <w:basedOn w:val="1"/>
    <w:next w:val="1"/>
    <w:link w:val="495"/>
    <w:qFormat/>
    <w:uiPriority w:val="0"/>
    <w:pPr>
      <w:widowControl w:val="0"/>
      <w:pBdr>
        <w:bottom w:val="single" w:color="4F81BD" w:sz="4" w:space="4"/>
      </w:pBdr>
      <w:spacing w:before="200" w:after="280"/>
      <w:ind w:left="936" w:right="936"/>
      <w:jc w:val="both"/>
    </w:pPr>
    <w:rPr>
      <w:b/>
      <w:i/>
      <w:color w:val="4F81BD"/>
      <w:kern w:val="2"/>
      <w:sz w:val="22"/>
    </w:rPr>
  </w:style>
  <w:style w:type="character" w:customStyle="1" w:styleId="495">
    <w:name w:val="Intense Quote Char"/>
    <w:link w:val="494"/>
    <w:qFormat/>
    <w:locked/>
    <w:uiPriority w:val="0"/>
    <w:rPr>
      <w:b/>
      <w:i/>
      <w:color w:val="4F81BD"/>
      <w:kern w:val="2"/>
      <w:sz w:val="22"/>
    </w:rPr>
  </w:style>
  <w:style w:type="paragraph" w:customStyle="1" w:styleId="496">
    <w:name w:val="目录文字"/>
    <w:basedOn w:val="1"/>
    <w:qFormat/>
    <w:uiPriority w:val="0"/>
    <w:pPr>
      <w:spacing w:line="480" w:lineRule="auto"/>
    </w:pPr>
    <w:rPr>
      <w:rFonts w:ascii="宋体" w:hAnsi="宋体"/>
      <w:sz w:val="24"/>
    </w:rPr>
  </w:style>
  <w:style w:type="paragraph" w:customStyle="1" w:styleId="497">
    <w:name w:val="pa-58"/>
    <w:basedOn w:val="1"/>
    <w:qFormat/>
    <w:uiPriority w:val="0"/>
    <w:pPr>
      <w:spacing w:line="300" w:lineRule="atLeast"/>
      <w:ind w:firstLine="300"/>
      <w:jc w:val="both"/>
    </w:pPr>
    <w:rPr>
      <w:rFonts w:ascii="宋体" w:hAnsi="宋体" w:cs="宋体"/>
      <w:sz w:val="24"/>
      <w:szCs w:val="24"/>
    </w:rPr>
  </w:style>
  <w:style w:type="paragraph" w:customStyle="1" w:styleId="498">
    <w:name w:val="Char11"/>
    <w:basedOn w:val="1"/>
    <w:qFormat/>
    <w:uiPriority w:val="0"/>
    <w:pPr>
      <w:widowControl w:val="0"/>
      <w:jc w:val="both"/>
    </w:pPr>
    <w:rPr>
      <w:rFonts w:ascii="Calibri" w:hAnsi="Calibri"/>
      <w:kern w:val="2"/>
    </w:rPr>
  </w:style>
  <w:style w:type="paragraph" w:customStyle="1" w:styleId="499">
    <w:name w:val="方案正文-样式 小四 行距: 1.5 倍行距"/>
    <w:basedOn w:val="1"/>
    <w:link w:val="500"/>
    <w:qFormat/>
    <w:uiPriority w:val="0"/>
    <w:pPr>
      <w:widowControl w:val="0"/>
      <w:spacing w:line="360" w:lineRule="auto"/>
      <w:ind w:firstLine="480" w:firstLineChars="200"/>
      <w:jc w:val="both"/>
    </w:pPr>
    <w:rPr>
      <w:kern w:val="2"/>
      <w:sz w:val="24"/>
    </w:rPr>
  </w:style>
  <w:style w:type="character" w:customStyle="1" w:styleId="500">
    <w:name w:val="方案正文-样式 小四 行距: 1.5 倍行距 Char Char"/>
    <w:link w:val="499"/>
    <w:qFormat/>
    <w:uiPriority w:val="0"/>
    <w:rPr>
      <w:kern w:val="2"/>
      <w:sz w:val="24"/>
    </w:rPr>
  </w:style>
  <w:style w:type="paragraph" w:customStyle="1" w:styleId="501">
    <w:name w:val="样式 标题 2 + (中文) 黑体 四号 黑色"/>
    <w:basedOn w:val="3"/>
    <w:qFormat/>
    <w:uiPriority w:val="0"/>
    <w:pPr>
      <w:widowControl w:val="0"/>
      <w:spacing w:line="520" w:lineRule="exact"/>
    </w:pPr>
    <w:rPr>
      <w:rFonts w:ascii="Arial" w:hAnsi="Arial" w:eastAsia="黑体"/>
      <w:color w:val="000000"/>
      <w:kern w:val="24"/>
      <w:sz w:val="28"/>
      <w:szCs w:val="20"/>
    </w:rPr>
  </w:style>
  <w:style w:type="paragraph" w:customStyle="1" w:styleId="502">
    <w:name w:val="样式 标题 3h33rd level3l3CTLevel 3 Topic Headingsect1.2.3Hea..."/>
    <w:basedOn w:val="4"/>
    <w:qFormat/>
    <w:uiPriority w:val="0"/>
    <w:pPr>
      <w:widowControl w:val="0"/>
      <w:adjustRightInd w:val="0"/>
      <w:spacing w:beforeLines="50" w:afterLines="50" w:line="240" w:lineRule="atLeast"/>
      <w:ind w:left="180" w:hanging="720"/>
      <w:textAlignment w:val="baseline"/>
    </w:pPr>
    <w:rPr>
      <w:rFonts w:ascii="宋体" w:hAnsi="宋体" w:cs="宋体"/>
      <w:sz w:val="24"/>
      <w:szCs w:val="20"/>
    </w:rPr>
  </w:style>
  <w:style w:type="paragraph" w:customStyle="1" w:styleId="503">
    <w:name w:val="pa-2"/>
    <w:basedOn w:val="1"/>
    <w:qFormat/>
    <w:uiPriority w:val="0"/>
    <w:pPr>
      <w:spacing w:line="400" w:lineRule="atLeast"/>
      <w:jc w:val="center"/>
    </w:pPr>
    <w:rPr>
      <w:rFonts w:ascii="宋体" w:hAnsi="宋体" w:cs="宋体"/>
      <w:sz w:val="24"/>
      <w:szCs w:val="24"/>
    </w:rPr>
  </w:style>
  <w:style w:type="paragraph" w:customStyle="1" w:styleId="504">
    <w:name w:val="pa-135"/>
    <w:basedOn w:val="1"/>
    <w:qFormat/>
    <w:uiPriority w:val="0"/>
    <w:pPr>
      <w:spacing w:line="480" w:lineRule="atLeast"/>
      <w:ind w:firstLine="520"/>
      <w:jc w:val="both"/>
    </w:pPr>
    <w:rPr>
      <w:rFonts w:ascii="宋体" w:hAnsi="宋体" w:cs="宋体"/>
      <w:sz w:val="24"/>
      <w:szCs w:val="24"/>
    </w:rPr>
  </w:style>
  <w:style w:type="paragraph" w:customStyle="1" w:styleId="505">
    <w:name w:val="pa-36"/>
    <w:basedOn w:val="1"/>
    <w:qFormat/>
    <w:uiPriority w:val="0"/>
    <w:pPr>
      <w:spacing w:line="360" w:lineRule="atLeast"/>
      <w:ind w:firstLine="3100"/>
    </w:pPr>
    <w:rPr>
      <w:rFonts w:ascii="宋体" w:hAnsi="宋体" w:cs="宋体"/>
      <w:sz w:val="24"/>
      <w:szCs w:val="24"/>
    </w:rPr>
  </w:style>
  <w:style w:type="paragraph" w:customStyle="1" w:styleId="506">
    <w:name w:val="ca-9"/>
    <w:basedOn w:val="1"/>
    <w:qFormat/>
    <w:uiPriority w:val="0"/>
    <w:rPr>
      <w:rFonts w:ascii="楷体_GB2312" w:hAnsi="宋体" w:eastAsia="楷体_GB2312" w:cs="宋体"/>
      <w:color w:val="000000"/>
      <w:spacing w:val="20"/>
      <w:sz w:val="96"/>
      <w:szCs w:val="96"/>
    </w:rPr>
  </w:style>
  <w:style w:type="paragraph" w:customStyle="1" w:styleId="507">
    <w:name w:val="pa-138"/>
    <w:basedOn w:val="1"/>
    <w:qFormat/>
    <w:uiPriority w:val="0"/>
    <w:pPr>
      <w:spacing w:line="480" w:lineRule="atLeast"/>
      <w:ind w:firstLine="960"/>
      <w:jc w:val="center"/>
    </w:pPr>
    <w:rPr>
      <w:rFonts w:ascii="宋体" w:hAnsi="宋体" w:cs="宋体"/>
      <w:sz w:val="24"/>
      <w:szCs w:val="24"/>
    </w:rPr>
  </w:style>
  <w:style w:type="paragraph" w:customStyle="1" w:styleId="508">
    <w:name w:val="pa-132"/>
    <w:basedOn w:val="1"/>
    <w:qFormat/>
    <w:uiPriority w:val="0"/>
    <w:pPr>
      <w:spacing w:line="360" w:lineRule="atLeast"/>
      <w:jc w:val="both"/>
    </w:pPr>
    <w:rPr>
      <w:rFonts w:ascii="宋体" w:hAnsi="宋体" w:cs="宋体"/>
      <w:sz w:val="24"/>
      <w:szCs w:val="24"/>
    </w:rPr>
  </w:style>
  <w:style w:type="paragraph" w:customStyle="1" w:styleId="509">
    <w:name w:val="pa-126"/>
    <w:basedOn w:val="1"/>
    <w:qFormat/>
    <w:uiPriority w:val="0"/>
    <w:pPr>
      <w:spacing w:line="480" w:lineRule="atLeast"/>
      <w:ind w:firstLine="480"/>
      <w:jc w:val="both"/>
    </w:pPr>
    <w:rPr>
      <w:rFonts w:ascii="宋体" w:hAnsi="宋体" w:cs="宋体"/>
      <w:sz w:val="24"/>
      <w:szCs w:val="24"/>
    </w:rPr>
  </w:style>
  <w:style w:type="paragraph" w:customStyle="1" w:styleId="510">
    <w:name w:val="pa-26"/>
    <w:basedOn w:val="1"/>
    <w:qFormat/>
    <w:uiPriority w:val="0"/>
    <w:pPr>
      <w:spacing w:line="276" w:lineRule="atLeast"/>
      <w:ind w:firstLine="720"/>
      <w:jc w:val="both"/>
    </w:pPr>
    <w:rPr>
      <w:rFonts w:ascii="宋体" w:hAnsi="宋体" w:cs="宋体"/>
      <w:sz w:val="24"/>
      <w:szCs w:val="24"/>
    </w:rPr>
  </w:style>
  <w:style w:type="paragraph" w:customStyle="1" w:styleId="511">
    <w:name w:val="1"/>
    <w:basedOn w:val="1"/>
    <w:next w:val="29"/>
    <w:qFormat/>
    <w:uiPriority w:val="0"/>
    <w:pPr>
      <w:widowControl w:val="0"/>
      <w:jc w:val="both"/>
    </w:pPr>
    <w:rPr>
      <w:rFonts w:ascii="宋体" w:hAnsi="Courier New" w:cs="Courier New"/>
      <w:kern w:val="2"/>
      <w:szCs w:val="21"/>
    </w:rPr>
  </w:style>
  <w:style w:type="paragraph" w:customStyle="1" w:styleId="512">
    <w:name w:val="Char13"/>
    <w:basedOn w:val="1"/>
    <w:qFormat/>
    <w:uiPriority w:val="0"/>
    <w:pPr>
      <w:widowControl w:val="0"/>
      <w:jc w:val="both"/>
    </w:pPr>
    <w:rPr>
      <w:rFonts w:ascii="Calibri" w:hAnsi="Calibri"/>
      <w:kern w:val="2"/>
      <w:szCs w:val="24"/>
    </w:rPr>
  </w:style>
  <w:style w:type="paragraph" w:customStyle="1" w:styleId="513">
    <w:name w:val="font5"/>
    <w:basedOn w:val="1"/>
    <w:qFormat/>
    <w:uiPriority w:val="0"/>
    <w:pPr>
      <w:spacing w:before="100" w:beforeAutospacing="1" w:after="100" w:afterAutospacing="1"/>
    </w:pPr>
    <w:rPr>
      <w:rFonts w:ascii="宋体" w:hAnsi="宋体" w:cs="宋体"/>
      <w:sz w:val="18"/>
      <w:szCs w:val="18"/>
    </w:rPr>
  </w:style>
  <w:style w:type="paragraph" w:customStyle="1" w:styleId="514">
    <w:name w:val="xl10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FF0000"/>
      <w:sz w:val="16"/>
      <w:szCs w:val="16"/>
    </w:rPr>
  </w:style>
  <w:style w:type="paragraph" w:customStyle="1" w:styleId="51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16">
    <w:name w:val="pa-125"/>
    <w:basedOn w:val="1"/>
    <w:qFormat/>
    <w:uiPriority w:val="0"/>
    <w:pPr>
      <w:spacing w:line="480" w:lineRule="atLeast"/>
      <w:ind w:firstLine="1080"/>
      <w:jc w:val="both"/>
    </w:pPr>
    <w:rPr>
      <w:rFonts w:ascii="宋体" w:hAnsi="宋体" w:cs="宋体"/>
      <w:sz w:val="24"/>
      <w:szCs w:val="24"/>
    </w:rPr>
  </w:style>
  <w:style w:type="paragraph" w:customStyle="1" w:styleId="517">
    <w:name w:val="pa-62"/>
    <w:basedOn w:val="1"/>
    <w:qFormat/>
    <w:uiPriority w:val="0"/>
    <w:pPr>
      <w:spacing w:line="360" w:lineRule="atLeast"/>
      <w:ind w:firstLine="420"/>
      <w:jc w:val="both"/>
    </w:pPr>
    <w:rPr>
      <w:rFonts w:ascii="宋体" w:hAnsi="宋体" w:cs="宋体"/>
      <w:sz w:val="24"/>
      <w:szCs w:val="24"/>
    </w:rPr>
  </w:style>
  <w:style w:type="paragraph" w:customStyle="1" w:styleId="518">
    <w:name w:val="Char Char Char Char Char Char Char Char Char Char Char"/>
    <w:basedOn w:val="16"/>
    <w:qFormat/>
    <w:uiPriority w:val="0"/>
    <w:pPr>
      <w:widowControl w:val="0"/>
      <w:shd w:val="clear" w:color="auto" w:fill="000080"/>
      <w:jc w:val="both"/>
    </w:pPr>
    <w:rPr>
      <w:rFonts w:ascii="Tahoma" w:hAnsi="Tahoma"/>
      <w:kern w:val="2"/>
      <w:sz w:val="24"/>
      <w:szCs w:val="24"/>
    </w:rPr>
  </w:style>
  <w:style w:type="paragraph" w:customStyle="1" w:styleId="519">
    <w:name w:val="表格(五号)"/>
    <w:basedOn w:val="1"/>
    <w:qFormat/>
    <w:uiPriority w:val="0"/>
    <w:pPr>
      <w:widowControl w:val="0"/>
      <w:adjustRightInd w:val="0"/>
      <w:snapToGrid w:val="0"/>
      <w:spacing w:before="60" w:after="60"/>
      <w:ind w:left="11"/>
      <w:jc w:val="center"/>
    </w:pPr>
    <w:rPr>
      <w:rFonts w:ascii="Calibri" w:hAnsi="Calibri"/>
    </w:rPr>
  </w:style>
  <w:style w:type="paragraph" w:customStyle="1" w:styleId="520">
    <w:name w:val="正文文字格式"/>
    <w:basedOn w:val="1"/>
    <w:qFormat/>
    <w:uiPriority w:val="0"/>
    <w:pPr>
      <w:widowControl w:val="0"/>
      <w:spacing w:line="460" w:lineRule="exact"/>
      <w:ind w:firstLine="505"/>
    </w:pPr>
    <w:rPr>
      <w:rFonts w:ascii="宋体" w:hAnsi="Calibri"/>
      <w:kern w:val="24"/>
      <w:sz w:val="24"/>
    </w:rPr>
  </w:style>
  <w:style w:type="paragraph" w:customStyle="1" w:styleId="521">
    <w:name w:val="菲页(卷)"/>
    <w:basedOn w:val="2"/>
    <w:next w:val="168"/>
    <w:qFormat/>
    <w:uiPriority w:val="0"/>
    <w:pPr>
      <w:keepLines w:val="0"/>
      <w:widowControl/>
      <w:adjustRightInd/>
      <w:snapToGrid/>
      <w:spacing w:line="240" w:lineRule="auto"/>
      <w:ind w:left="840" w:hanging="420"/>
      <w:jc w:val="center"/>
      <w:outlineLvl w:val="1"/>
    </w:pPr>
    <w:rPr>
      <w:rFonts w:ascii="黑体" w:hAnsi="Calibri" w:eastAsia="黑体"/>
      <w:b w:val="0"/>
      <w:kern w:val="0"/>
      <w:sz w:val="52"/>
    </w:rPr>
  </w:style>
  <w:style w:type="paragraph" w:customStyle="1" w:styleId="522">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0"/>
    </w:rPr>
  </w:style>
  <w:style w:type="paragraph" w:customStyle="1" w:styleId="523">
    <w:name w:val="xl107"/>
    <w:basedOn w:val="1"/>
    <w:qFormat/>
    <w:uiPriority w:val="0"/>
    <w:pPr>
      <w:pBdr>
        <w:top w:val="single" w:color="auto" w:sz="4" w:space="0"/>
        <w:bottom w:val="single" w:color="auto" w:sz="4" w:space="0"/>
      </w:pBdr>
      <w:shd w:val="clear" w:color="000000" w:fill="92D050"/>
      <w:spacing w:before="100" w:beforeAutospacing="1" w:after="100" w:afterAutospacing="1"/>
      <w:jc w:val="center"/>
      <w:textAlignment w:val="center"/>
    </w:pPr>
    <w:rPr>
      <w:rFonts w:ascii="宋体" w:hAnsi="宋体" w:cs="宋体"/>
      <w:b/>
      <w:bCs/>
      <w:sz w:val="24"/>
      <w:szCs w:val="24"/>
    </w:rPr>
  </w:style>
  <w:style w:type="paragraph" w:customStyle="1" w:styleId="524">
    <w:name w:val="pa-52"/>
    <w:basedOn w:val="1"/>
    <w:qFormat/>
    <w:uiPriority w:val="0"/>
    <w:pPr>
      <w:spacing w:line="276" w:lineRule="atLeast"/>
    </w:pPr>
    <w:rPr>
      <w:rFonts w:ascii="宋体" w:hAnsi="宋体" w:cs="宋体"/>
      <w:sz w:val="24"/>
      <w:szCs w:val="24"/>
    </w:rPr>
  </w:style>
  <w:style w:type="paragraph" w:customStyle="1" w:styleId="525">
    <w:name w:val="ca-26"/>
    <w:basedOn w:val="1"/>
    <w:qFormat/>
    <w:uiPriority w:val="0"/>
    <w:rPr>
      <w:rFonts w:ascii="宋体" w:hAnsi="宋体" w:cs="宋体"/>
      <w:color w:val="002060"/>
      <w:szCs w:val="21"/>
    </w:rPr>
  </w:style>
  <w:style w:type="paragraph" w:customStyle="1" w:styleId="526">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527">
    <w:name w:val="pa-60"/>
    <w:basedOn w:val="1"/>
    <w:qFormat/>
    <w:uiPriority w:val="0"/>
    <w:pPr>
      <w:spacing w:line="360" w:lineRule="atLeast"/>
      <w:ind w:firstLine="560"/>
      <w:jc w:val="both"/>
    </w:pPr>
    <w:rPr>
      <w:rFonts w:ascii="宋体" w:hAnsi="宋体" w:cs="宋体"/>
      <w:sz w:val="24"/>
      <w:szCs w:val="24"/>
    </w:rPr>
  </w:style>
  <w:style w:type="paragraph" w:customStyle="1" w:styleId="528">
    <w:name w:val="td-9"/>
    <w:basedOn w:val="1"/>
    <w:qFormat/>
    <w:uiPriority w:val="0"/>
    <w:pPr>
      <w:pBdr>
        <w:top w:val="single" w:color="000000" w:sz="4" w:space="0"/>
        <w:left w:val="single" w:color="000000" w:sz="12" w:space="4"/>
        <w:bottom w:val="single" w:color="000000" w:sz="12" w:space="0"/>
        <w:right w:val="single" w:color="000000" w:sz="4" w:space="0"/>
      </w:pBdr>
    </w:pPr>
    <w:rPr>
      <w:rFonts w:ascii="宋体" w:hAnsi="宋体" w:cs="宋体"/>
      <w:sz w:val="24"/>
      <w:szCs w:val="24"/>
    </w:rPr>
  </w:style>
  <w:style w:type="paragraph" w:customStyle="1" w:styleId="529">
    <w:name w:val="td-10"/>
    <w:basedOn w:val="1"/>
    <w:qFormat/>
    <w:uiPriority w:val="0"/>
    <w:pPr>
      <w:pBdr>
        <w:top w:val="single" w:color="000000" w:sz="4" w:space="0"/>
        <w:left w:val="single" w:color="000000" w:sz="4" w:space="4"/>
        <w:bottom w:val="single" w:color="000000" w:sz="12" w:space="0"/>
        <w:right w:val="single" w:color="000000" w:sz="4" w:space="0"/>
      </w:pBdr>
    </w:pPr>
    <w:rPr>
      <w:rFonts w:ascii="宋体" w:hAnsi="宋体" w:cs="宋体"/>
      <w:sz w:val="24"/>
      <w:szCs w:val="24"/>
    </w:rPr>
  </w:style>
  <w:style w:type="paragraph" w:customStyle="1" w:styleId="530">
    <w:name w:val="pa-111"/>
    <w:basedOn w:val="1"/>
    <w:qFormat/>
    <w:uiPriority w:val="0"/>
    <w:pPr>
      <w:spacing w:line="280" w:lineRule="atLeast"/>
      <w:ind w:firstLine="480"/>
      <w:jc w:val="both"/>
    </w:pPr>
    <w:rPr>
      <w:rFonts w:ascii="宋体" w:hAnsi="宋体" w:cs="宋体"/>
      <w:sz w:val="24"/>
      <w:szCs w:val="24"/>
    </w:rPr>
  </w:style>
  <w:style w:type="paragraph" w:customStyle="1" w:styleId="531">
    <w:name w:val="Char Char Char"/>
    <w:basedOn w:val="1"/>
    <w:qFormat/>
    <w:uiPriority w:val="0"/>
    <w:pPr>
      <w:widowControl w:val="0"/>
      <w:jc w:val="both"/>
    </w:pPr>
    <w:rPr>
      <w:kern w:val="2"/>
    </w:rPr>
  </w:style>
  <w:style w:type="paragraph" w:customStyle="1" w:styleId="532">
    <w:name w:val="pa-35"/>
    <w:basedOn w:val="1"/>
    <w:qFormat/>
    <w:uiPriority w:val="0"/>
    <w:pPr>
      <w:spacing w:line="360" w:lineRule="atLeast"/>
    </w:pPr>
    <w:rPr>
      <w:rFonts w:ascii="宋体" w:hAnsi="宋体" w:cs="宋体"/>
      <w:sz w:val="24"/>
      <w:szCs w:val="24"/>
    </w:rPr>
  </w:style>
  <w:style w:type="paragraph" w:customStyle="1" w:styleId="533">
    <w:name w:val="ca-45"/>
    <w:basedOn w:val="1"/>
    <w:qFormat/>
    <w:uiPriority w:val="0"/>
    <w:rPr>
      <w:rFonts w:ascii="宋体" w:hAnsi="宋体" w:cs="宋体"/>
      <w:color w:val="000000"/>
      <w:sz w:val="72"/>
      <w:szCs w:val="72"/>
    </w:rPr>
  </w:style>
  <w:style w:type="paragraph" w:customStyle="1" w:styleId="534">
    <w:name w:val="pa-74"/>
    <w:basedOn w:val="1"/>
    <w:qFormat/>
    <w:uiPriority w:val="0"/>
    <w:pPr>
      <w:spacing w:line="360" w:lineRule="atLeast"/>
      <w:ind w:firstLine="640"/>
      <w:jc w:val="center"/>
    </w:pPr>
    <w:rPr>
      <w:rFonts w:ascii="宋体" w:hAnsi="宋体" w:cs="宋体"/>
      <w:sz w:val="24"/>
      <w:szCs w:val="24"/>
    </w:rPr>
  </w:style>
  <w:style w:type="paragraph" w:customStyle="1" w:styleId="535">
    <w:name w:val="ca-7"/>
    <w:basedOn w:val="1"/>
    <w:qFormat/>
    <w:uiPriority w:val="0"/>
    <w:rPr>
      <w:rFonts w:ascii="Calibri" w:hAnsi="Calibri"/>
      <w:color w:val="000000"/>
      <w:sz w:val="28"/>
      <w:szCs w:val="28"/>
    </w:rPr>
  </w:style>
  <w:style w:type="paragraph" w:customStyle="1" w:styleId="536">
    <w:name w:val="列出段落2"/>
    <w:basedOn w:val="1"/>
    <w:qFormat/>
    <w:uiPriority w:val="0"/>
    <w:pPr>
      <w:widowControl w:val="0"/>
      <w:spacing w:before="100" w:beforeAutospacing="1" w:after="100" w:afterAutospacing="1"/>
      <w:ind w:left="720"/>
      <w:jc w:val="both"/>
    </w:pPr>
    <w:rPr>
      <w:rFonts w:ascii="Calibri" w:hAnsi="Calibri"/>
      <w:color w:val="000000"/>
      <w:kern w:val="2"/>
      <w:szCs w:val="21"/>
    </w:rPr>
  </w:style>
  <w:style w:type="paragraph" w:customStyle="1" w:styleId="537">
    <w:name w:val="pa-106"/>
    <w:basedOn w:val="1"/>
    <w:qFormat/>
    <w:uiPriority w:val="0"/>
    <w:pPr>
      <w:spacing w:line="720" w:lineRule="atLeast"/>
      <w:jc w:val="both"/>
    </w:pPr>
    <w:rPr>
      <w:rFonts w:ascii="宋体" w:hAnsi="宋体" w:cs="宋体"/>
      <w:sz w:val="24"/>
      <w:szCs w:val="24"/>
    </w:rPr>
  </w:style>
  <w:style w:type="paragraph" w:customStyle="1" w:styleId="538">
    <w:name w:val="ca-41"/>
    <w:basedOn w:val="1"/>
    <w:qFormat/>
    <w:uiPriority w:val="0"/>
    <w:rPr>
      <w:rFonts w:ascii="宋体" w:hAnsi="宋体" w:cs="宋体"/>
      <w:b/>
      <w:bCs/>
      <w:color w:val="000000"/>
      <w:spacing w:val="-20"/>
      <w:sz w:val="32"/>
      <w:szCs w:val="32"/>
    </w:rPr>
  </w:style>
  <w:style w:type="paragraph" w:customStyle="1" w:styleId="539">
    <w:name w:val="xl110"/>
    <w:basedOn w:val="1"/>
    <w:qFormat/>
    <w:uiPriority w:val="0"/>
    <w:pPr>
      <w:pBdr>
        <w:top w:val="single" w:color="auto" w:sz="4" w:space="0"/>
        <w:bottom w:val="single" w:color="auto" w:sz="4" w:space="0"/>
        <w:right w:val="single" w:color="auto" w:sz="4" w:space="0"/>
      </w:pBdr>
      <w:shd w:val="clear" w:color="000000" w:fill="C2E277"/>
      <w:spacing w:before="100" w:beforeAutospacing="1" w:after="100" w:afterAutospacing="1"/>
      <w:jc w:val="center"/>
      <w:textAlignment w:val="center"/>
    </w:pPr>
    <w:rPr>
      <w:rFonts w:ascii="宋体" w:hAnsi="宋体" w:cs="宋体"/>
      <w:b/>
      <w:bCs/>
      <w:sz w:val="24"/>
      <w:szCs w:val="24"/>
    </w:rPr>
  </w:style>
  <w:style w:type="paragraph" w:customStyle="1" w:styleId="540">
    <w:name w:val="ca-4"/>
    <w:basedOn w:val="1"/>
    <w:qFormat/>
    <w:uiPriority w:val="0"/>
    <w:rPr>
      <w:rFonts w:ascii="宋体" w:hAnsi="宋体" w:cs="宋体"/>
      <w:b/>
      <w:bCs/>
      <w:color w:val="000000"/>
      <w:spacing w:val="-20"/>
      <w:sz w:val="48"/>
      <w:szCs w:val="48"/>
    </w:rPr>
  </w:style>
  <w:style w:type="paragraph" w:customStyle="1" w:styleId="541">
    <w:name w:val="图"/>
    <w:basedOn w:val="1"/>
    <w:qFormat/>
    <w:uiPriority w:val="0"/>
    <w:pPr>
      <w:keepNext/>
      <w:widowControl w:val="0"/>
      <w:adjustRightInd w:val="0"/>
      <w:snapToGrid w:val="0"/>
      <w:spacing w:before="60" w:after="60" w:line="300" w:lineRule="auto"/>
      <w:jc w:val="center"/>
    </w:pPr>
    <w:rPr>
      <w:rFonts w:hint="eastAsia" w:ascii="Calibri" w:hAnsi="Calibri"/>
      <w:spacing w:val="20"/>
      <w:sz w:val="24"/>
    </w:rPr>
  </w:style>
  <w:style w:type="paragraph" w:customStyle="1" w:styleId="542">
    <w:name w:val="xl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b/>
      <w:bCs/>
      <w:sz w:val="20"/>
    </w:rPr>
  </w:style>
  <w:style w:type="paragraph" w:customStyle="1" w:styleId="543">
    <w:name w:val="Char Char Char Char2"/>
    <w:basedOn w:val="1"/>
    <w:qFormat/>
    <w:uiPriority w:val="0"/>
    <w:pPr>
      <w:spacing w:after="160" w:line="240" w:lineRule="exact"/>
    </w:pPr>
    <w:rPr>
      <w:rFonts w:ascii="Verdana" w:hAnsi="Verdana" w:eastAsia="仿宋_GB2312"/>
      <w:sz w:val="24"/>
      <w:lang w:eastAsia="en-US"/>
    </w:rPr>
  </w:style>
  <w:style w:type="paragraph" w:customStyle="1" w:styleId="544">
    <w:name w:val="pa-117"/>
    <w:basedOn w:val="1"/>
    <w:qFormat/>
    <w:uiPriority w:val="0"/>
    <w:pPr>
      <w:spacing w:line="360" w:lineRule="atLeast"/>
      <w:ind w:firstLine="3840"/>
      <w:jc w:val="both"/>
    </w:pPr>
    <w:rPr>
      <w:rFonts w:ascii="宋体" w:hAnsi="宋体" w:cs="宋体"/>
      <w:sz w:val="24"/>
      <w:szCs w:val="24"/>
    </w:rPr>
  </w:style>
  <w:style w:type="paragraph" w:customStyle="1" w:styleId="545">
    <w:name w:val="p0"/>
    <w:basedOn w:val="1"/>
    <w:qFormat/>
    <w:uiPriority w:val="99"/>
    <w:pPr>
      <w:jc w:val="both"/>
    </w:pPr>
    <w:rPr>
      <w:rFonts w:ascii="Calibri" w:hAnsi="Calibri" w:cs="宋体"/>
      <w:szCs w:val="21"/>
    </w:rPr>
  </w:style>
  <w:style w:type="paragraph" w:customStyle="1" w:styleId="546">
    <w:name w:val="p16"/>
    <w:basedOn w:val="1"/>
    <w:qFormat/>
    <w:uiPriority w:val="0"/>
    <w:pPr>
      <w:jc w:val="both"/>
    </w:pPr>
    <w:rPr>
      <w:szCs w:val="21"/>
    </w:rPr>
  </w:style>
  <w:style w:type="paragraph" w:customStyle="1" w:styleId="547">
    <w:name w:val="xl108"/>
    <w:basedOn w:val="1"/>
    <w:qFormat/>
    <w:uiPriority w:val="0"/>
    <w:pPr>
      <w:pBdr>
        <w:top w:val="single" w:color="auto" w:sz="4" w:space="0"/>
        <w:left w:val="single" w:color="auto" w:sz="4" w:space="0"/>
        <w:bottom w:val="single" w:color="auto" w:sz="4" w:space="0"/>
      </w:pBdr>
      <w:shd w:val="clear" w:color="000000" w:fill="C2E277"/>
      <w:spacing w:before="100" w:beforeAutospacing="1" w:after="100" w:afterAutospacing="1"/>
      <w:jc w:val="center"/>
      <w:textAlignment w:val="center"/>
    </w:pPr>
    <w:rPr>
      <w:rFonts w:ascii="宋体" w:hAnsi="宋体" w:cs="宋体"/>
      <w:b/>
      <w:bCs/>
      <w:sz w:val="24"/>
      <w:szCs w:val="24"/>
    </w:rPr>
  </w:style>
  <w:style w:type="paragraph" w:customStyle="1" w:styleId="548">
    <w:name w:val="pa-115"/>
    <w:basedOn w:val="1"/>
    <w:qFormat/>
    <w:uiPriority w:val="0"/>
    <w:pPr>
      <w:spacing w:line="480" w:lineRule="atLeast"/>
      <w:jc w:val="both"/>
    </w:pPr>
    <w:rPr>
      <w:rFonts w:ascii="宋体" w:hAnsi="宋体" w:cs="宋体"/>
      <w:sz w:val="24"/>
      <w:szCs w:val="24"/>
    </w:rPr>
  </w:style>
  <w:style w:type="paragraph" w:customStyle="1" w:styleId="549">
    <w:name w:val="td-8"/>
    <w:basedOn w:val="1"/>
    <w:qFormat/>
    <w:uiPriority w:val="0"/>
    <w:pPr>
      <w:pBdr>
        <w:top w:val="single" w:color="000000" w:sz="4" w:space="0"/>
        <w:left w:val="single" w:color="000000" w:sz="4" w:space="4"/>
        <w:bottom w:val="single" w:color="000000" w:sz="4" w:space="0"/>
        <w:right w:val="single" w:color="000000" w:sz="12" w:space="0"/>
      </w:pBdr>
    </w:pPr>
    <w:rPr>
      <w:rFonts w:ascii="宋体" w:hAnsi="宋体" w:cs="宋体"/>
      <w:sz w:val="24"/>
      <w:szCs w:val="24"/>
    </w:rPr>
  </w:style>
  <w:style w:type="paragraph" w:customStyle="1" w:styleId="550">
    <w:name w:val="默认段落字体 Para Char Char Char Char"/>
    <w:basedOn w:val="1"/>
    <w:qFormat/>
    <w:uiPriority w:val="99"/>
    <w:pPr>
      <w:widowControl w:val="0"/>
      <w:spacing w:line="360" w:lineRule="auto"/>
      <w:ind w:firstLine="200" w:firstLineChars="200"/>
      <w:jc w:val="both"/>
    </w:pPr>
    <w:rPr>
      <w:kern w:val="2"/>
      <w:szCs w:val="24"/>
    </w:rPr>
  </w:style>
  <w:style w:type="paragraph" w:customStyle="1" w:styleId="551">
    <w:name w:val="简单回函地址"/>
    <w:basedOn w:val="1"/>
    <w:qFormat/>
    <w:uiPriority w:val="99"/>
    <w:pPr>
      <w:widowControl w:val="0"/>
      <w:jc w:val="both"/>
    </w:pPr>
    <w:rPr>
      <w:kern w:val="2"/>
    </w:rPr>
  </w:style>
  <w:style w:type="paragraph" w:customStyle="1" w:styleId="552">
    <w:name w:val="纯文本2"/>
    <w:basedOn w:val="1"/>
    <w:qFormat/>
    <w:uiPriority w:val="99"/>
    <w:pPr>
      <w:adjustRightInd w:val="0"/>
      <w:spacing w:line="300" w:lineRule="exact"/>
      <w:ind w:firstLine="200" w:firstLineChars="200"/>
      <w:textAlignment w:val="baseline"/>
    </w:pPr>
    <w:rPr>
      <w:rFonts w:ascii="宋体" w:hAnsi="Courier New" w:eastAsia="楷体_GB2312"/>
      <w:kern w:val="2"/>
      <w:sz w:val="26"/>
    </w:rPr>
  </w:style>
  <w:style w:type="paragraph" w:customStyle="1" w:styleId="553">
    <w:name w:val="默认段落字体 Para Char Char Char Char Char Char Char Char Char1 Char Char Char Char"/>
    <w:basedOn w:val="1"/>
    <w:qFormat/>
    <w:uiPriority w:val="99"/>
    <w:pPr>
      <w:widowControl w:val="0"/>
      <w:jc w:val="both"/>
    </w:pPr>
    <w:rPr>
      <w:rFonts w:ascii="Tahoma" w:hAnsi="Tahoma"/>
      <w:kern w:val="2"/>
      <w:sz w:val="24"/>
    </w:rPr>
  </w:style>
  <w:style w:type="paragraph" w:customStyle="1" w:styleId="554">
    <w:name w:val="纯文本3"/>
    <w:basedOn w:val="1"/>
    <w:qFormat/>
    <w:uiPriority w:val="0"/>
    <w:pPr>
      <w:widowControl w:val="0"/>
      <w:spacing w:line="400" w:lineRule="exact"/>
      <w:jc w:val="both"/>
    </w:pPr>
    <w:rPr>
      <w:rFonts w:ascii="宋体" w:hAnsi="宋体"/>
      <w:kern w:val="2"/>
      <w:sz w:val="24"/>
      <w:szCs w:val="24"/>
    </w:rPr>
  </w:style>
  <w:style w:type="paragraph" w:customStyle="1" w:styleId="555">
    <w:name w:val="msonormal"/>
    <w:basedOn w:val="1"/>
    <w:qFormat/>
    <w:uiPriority w:val="0"/>
    <w:pPr>
      <w:spacing w:before="100" w:beforeAutospacing="1" w:after="100" w:afterAutospacing="1"/>
    </w:pPr>
    <w:rPr>
      <w:rFonts w:ascii="宋体" w:hAnsi="宋体" w:cs="宋体"/>
      <w:sz w:val="24"/>
      <w:szCs w:val="24"/>
    </w:rPr>
  </w:style>
  <w:style w:type="character" w:customStyle="1" w:styleId="556">
    <w:name w:val="批注主题 Char3"/>
    <w:qFormat/>
    <w:uiPriority w:val="0"/>
    <w:rPr>
      <w:rFonts w:eastAsia="宋体" w:cs="Times New Roman"/>
      <w:b/>
      <w:bCs/>
      <w:kern w:val="2"/>
      <w:sz w:val="24"/>
      <w:szCs w:val="24"/>
      <w:lang w:val="en-US" w:eastAsia="zh-CN" w:bidi="ar-SA"/>
    </w:rPr>
  </w:style>
  <w:style w:type="character" w:customStyle="1" w:styleId="557">
    <w:name w:val="zbggtop11 style5"/>
    <w:qFormat/>
    <w:uiPriority w:val="0"/>
    <w:rPr>
      <w:rFonts w:cs="Times New Roman"/>
    </w:rPr>
  </w:style>
  <w:style w:type="character" w:customStyle="1" w:styleId="558">
    <w:name w:val="ca-511"/>
    <w:qFormat/>
    <w:uiPriority w:val="0"/>
    <w:rPr>
      <w:rFonts w:ascii="Times New Roman" w:hAnsi="Times New Roman" w:cs="Times New Roman"/>
      <w:b/>
      <w:bCs/>
      <w:color w:val="000000"/>
      <w:spacing w:val="-20"/>
      <w:sz w:val="32"/>
      <w:szCs w:val="32"/>
    </w:rPr>
  </w:style>
  <w:style w:type="character" w:customStyle="1" w:styleId="559">
    <w:name w:val="脚注文本 Char1"/>
    <w:qFormat/>
    <w:uiPriority w:val="0"/>
    <w:rPr>
      <w:sz w:val="18"/>
      <w:szCs w:val="18"/>
    </w:rPr>
  </w:style>
  <w:style w:type="character" w:customStyle="1" w:styleId="560">
    <w:name w:val="ca-191"/>
    <w:qFormat/>
    <w:uiPriority w:val="0"/>
    <w:rPr>
      <w:rFonts w:ascii="Times New Roman" w:hAnsi="Times New Roman" w:cs="Times New Roman"/>
      <w:sz w:val="18"/>
      <w:szCs w:val="18"/>
    </w:rPr>
  </w:style>
  <w:style w:type="character" w:customStyle="1" w:styleId="561">
    <w:name w:val="Title Char"/>
    <w:qFormat/>
    <w:locked/>
    <w:uiPriority w:val="0"/>
    <w:rPr>
      <w:rFonts w:ascii="Arial" w:hAnsi="Arial" w:eastAsia="宋体"/>
      <w:b/>
      <w:sz w:val="32"/>
      <w:lang w:val="en-US" w:eastAsia="zh-CN"/>
    </w:rPr>
  </w:style>
  <w:style w:type="character" w:customStyle="1" w:styleId="562">
    <w:name w:val="ca-361"/>
    <w:qFormat/>
    <w:uiPriority w:val="0"/>
    <w:rPr>
      <w:rFonts w:ascii="宋体" w:hAnsi="宋体" w:eastAsia="宋体" w:cs="Times New Roman"/>
      <w:b/>
      <w:bCs/>
      <w:spacing w:val="-20"/>
      <w:sz w:val="21"/>
      <w:szCs w:val="21"/>
    </w:rPr>
  </w:style>
  <w:style w:type="character" w:customStyle="1" w:styleId="563">
    <w:name w:val="2nd level Char"/>
    <w:qFormat/>
    <w:uiPriority w:val="0"/>
    <w:rPr>
      <w:rFonts w:ascii="Arial" w:hAnsi="Arial" w:eastAsia="宋体" w:cs="Times New Roman"/>
      <w:b/>
      <w:bCs/>
      <w:kern w:val="2"/>
      <w:sz w:val="32"/>
      <w:szCs w:val="32"/>
      <w:lang w:val="en-US" w:eastAsia="zh-CN" w:bidi="ar-SA"/>
    </w:rPr>
  </w:style>
  <w:style w:type="character" w:customStyle="1" w:styleId="564">
    <w:name w:val="ca-211"/>
    <w:qFormat/>
    <w:uiPriority w:val="0"/>
    <w:rPr>
      <w:rFonts w:ascii="宋体" w:hAnsi="宋体" w:eastAsia="宋体" w:cs="Times New Roman"/>
      <w:color w:val="000000"/>
      <w:sz w:val="21"/>
      <w:szCs w:val="21"/>
    </w:rPr>
  </w:style>
  <w:style w:type="character" w:customStyle="1" w:styleId="565">
    <w:name w:val="页脚 Char1"/>
    <w:qFormat/>
    <w:uiPriority w:val="0"/>
    <w:rPr>
      <w:rFonts w:eastAsia="宋体" w:cs="Times New Roman"/>
      <w:kern w:val="2"/>
      <w:sz w:val="18"/>
      <w:szCs w:val="18"/>
      <w:lang w:val="en-US" w:eastAsia="zh-CN" w:bidi="ar-SA"/>
    </w:rPr>
  </w:style>
  <w:style w:type="character" w:customStyle="1" w:styleId="566">
    <w:name w:val="Body Text Indent 2 Char"/>
    <w:qFormat/>
    <w:locked/>
    <w:uiPriority w:val="0"/>
    <w:rPr>
      <w:rFonts w:eastAsia="宋体"/>
      <w:kern w:val="2"/>
      <w:sz w:val="21"/>
      <w:szCs w:val="24"/>
      <w:lang w:val="en-US" w:eastAsia="zh-CN" w:bidi="ar-SA"/>
    </w:rPr>
  </w:style>
  <w:style w:type="character" w:customStyle="1" w:styleId="567">
    <w:name w:val="ca-321"/>
    <w:qFormat/>
    <w:uiPriority w:val="0"/>
    <w:rPr>
      <w:rFonts w:ascii="宋体" w:hAnsi="宋体" w:eastAsia="宋体" w:cs="Times New Roman"/>
      <w:b/>
      <w:bCs/>
      <w:color w:val="C00000"/>
      <w:spacing w:val="-20"/>
      <w:sz w:val="21"/>
      <w:szCs w:val="21"/>
    </w:rPr>
  </w:style>
  <w:style w:type="character" w:customStyle="1" w:styleId="568">
    <w:name w:val="副标题 Char1"/>
    <w:qFormat/>
    <w:uiPriority w:val="0"/>
    <w:rPr>
      <w:rFonts w:ascii="Cambria" w:hAnsi="Cambria"/>
      <w:b/>
      <w:kern w:val="28"/>
      <w:sz w:val="32"/>
    </w:rPr>
  </w:style>
  <w:style w:type="character" w:customStyle="1" w:styleId="569">
    <w:name w:val="ca-161"/>
    <w:qFormat/>
    <w:uiPriority w:val="0"/>
    <w:rPr>
      <w:rFonts w:ascii="宋体" w:hAnsi="宋体" w:eastAsia="宋体" w:cs="Times New Roman"/>
      <w:sz w:val="24"/>
      <w:szCs w:val="24"/>
    </w:rPr>
  </w:style>
  <w:style w:type="character" w:customStyle="1" w:styleId="570">
    <w:name w:val="htd01"/>
    <w:qFormat/>
    <w:uiPriority w:val="0"/>
    <w:rPr>
      <w:rFonts w:cs="Times New Roman"/>
    </w:rPr>
  </w:style>
  <w:style w:type="character" w:customStyle="1" w:styleId="571">
    <w:name w:val="zbggmain style9"/>
    <w:qFormat/>
    <w:uiPriority w:val="0"/>
    <w:rPr>
      <w:rFonts w:cs="Times New Roman"/>
    </w:rPr>
  </w:style>
  <w:style w:type="character" w:customStyle="1" w:styleId="572">
    <w:name w:val="纯文本 Char"/>
    <w:qFormat/>
    <w:uiPriority w:val="0"/>
    <w:rPr>
      <w:rFonts w:ascii="宋体" w:cs="Courier New"/>
      <w:szCs w:val="21"/>
      <w:lang w:bidi="ar-SA"/>
    </w:rPr>
  </w:style>
  <w:style w:type="character" w:customStyle="1" w:styleId="573">
    <w:name w:val="ca-210"/>
    <w:qFormat/>
    <w:uiPriority w:val="0"/>
    <w:rPr>
      <w:rFonts w:ascii="Times New Roman" w:hAnsi="Times New Roman" w:cs="Times New Roman"/>
      <w:color w:val="000000"/>
      <w:sz w:val="36"/>
      <w:szCs w:val="36"/>
    </w:rPr>
  </w:style>
  <w:style w:type="character" w:customStyle="1" w:styleId="574">
    <w:name w:val="Heading 5 Char"/>
    <w:qFormat/>
    <w:locked/>
    <w:uiPriority w:val="0"/>
    <w:rPr>
      <w:rFonts w:eastAsia="宋体"/>
      <w:b/>
      <w:kern w:val="2"/>
      <w:sz w:val="28"/>
      <w:lang w:val="en-US" w:eastAsia="zh-CN"/>
    </w:rPr>
  </w:style>
  <w:style w:type="character" w:customStyle="1" w:styleId="575">
    <w:name w:val="正文2 Char"/>
    <w:qFormat/>
    <w:uiPriority w:val="0"/>
    <w:rPr>
      <w:rFonts w:eastAsia="宋体"/>
      <w:kern w:val="2"/>
      <w:sz w:val="24"/>
      <w:lang w:val="en-US" w:eastAsia="zh-CN" w:bidi="ar-SA"/>
    </w:rPr>
  </w:style>
  <w:style w:type="character" w:customStyle="1" w:styleId="576">
    <w:name w:val="Char Char Char Char Char Char Char Char Char"/>
    <w:qFormat/>
    <w:uiPriority w:val="0"/>
    <w:rPr>
      <w:rFonts w:eastAsia="宋体" w:cs="Times New Roman"/>
      <w:kern w:val="2"/>
      <w:sz w:val="24"/>
      <w:szCs w:val="24"/>
      <w:lang w:val="en-US" w:eastAsia="zh-CN" w:bidi="ar-SA"/>
    </w:rPr>
  </w:style>
  <w:style w:type="character" w:customStyle="1" w:styleId="577">
    <w:name w:val="Header Char"/>
    <w:qFormat/>
    <w:locked/>
    <w:uiPriority w:val="0"/>
    <w:rPr>
      <w:rFonts w:eastAsia="宋体"/>
      <w:kern w:val="2"/>
      <w:sz w:val="18"/>
      <w:lang w:val="en-US" w:eastAsia="zh-CN"/>
    </w:rPr>
  </w:style>
  <w:style w:type="character" w:customStyle="1" w:styleId="578">
    <w:name w:val="ca-381"/>
    <w:qFormat/>
    <w:uiPriority w:val="0"/>
    <w:rPr>
      <w:rFonts w:ascii="Times New Roman" w:hAnsi="Times New Roman" w:cs="Times New Roman"/>
      <w:b/>
      <w:bCs/>
      <w:spacing w:val="-20"/>
      <w:sz w:val="21"/>
      <w:szCs w:val="21"/>
    </w:rPr>
  </w:style>
  <w:style w:type="character" w:customStyle="1" w:styleId="579">
    <w:name w:val="text"/>
    <w:qFormat/>
    <w:uiPriority w:val="0"/>
    <w:rPr>
      <w:rFonts w:cs="Times New Roman"/>
    </w:rPr>
  </w:style>
  <w:style w:type="character" w:customStyle="1" w:styleId="580">
    <w:name w:val="Heading 3 Char1"/>
    <w:qFormat/>
    <w:locked/>
    <w:uiPriority w:val="0"/>
    <w:rPr>
      <w:rFonts w:cs="Times New Roman"/>
      <w:b/>
      <w:bCs/>
      <w:kern w:val="2"/>
      <w:sz w:val="32"/>
      <w:szCs w:val="32"/>
    </w:rPr>
  </w:style>
  <w:style w:type="character" w:customStyle="1" w:styleId="581">
    <w:name w:val="ca-421"/>
    <w:qFormat/>
    <w:uiPriority w:val="0"/>
    <w:rPr>
      <w:rFonts w:ascii="宋体" w:hAnsi="宋体" w:eastAsia="宋体" w:cs="Times New Roman"/>
      <w:color w:val="000000"/>
      <w:sz w:val="36"/>
      <w:szCs w:val="36"/>
    </w:rPr>
  </w:style>
  <w:style w:type="character" w:customStyle="1" w:styleId="582">
    <w:name w:val="by jerry Char1"/>
    <w:qFormat/>
    <w:uiPriority w:val="0"/>
    <w:rPr>
      <w:rFonts w:cs="Times New Roman"/>
      <w:b/>
      <w:bCs/>
      <w:kern w:val="44"/>
      <w:sz w:val="44"/>
      <w:szCs w:val="44"/>
    </w:rPr>
  </w:style>
  <w:style w:type="character" w:customStyle="1" w:styleId="583">
    <w:name w:val="Para head"/>
    <w:qFormat/>
    <w:uiPriority w:val="0"/>
    <w:rPr>
      <w:rFonts w:ascii="Arial" w:hAnsi="Arial" w:cs="Times New Roman"/>
      <w:sz w:val="20"/>
    </w:rPr>
  </w:style>
  <w:style w:type="character" w:customStyle="1" w:styleId="584">
    <w:name w:val="Comment Subject Char"/>
    <w:qFormat/>
    <w:locked/>
    <w:uiPriority w:val="0"/>
    <w:rPr>
      <w:rFonts w:eastAsia="宋体"/>
      <w:b/>
      <w:kern w:val="2"/>
      <w:sz w:val="24"/>
      <w:lang w:val="en-US" w:eastAsia="zh-CN"/>
    </w:rPr>
  </w:style>
  <w:style w:type="character" w:customStyle="1" w:styleId="585">
    <w:name w:val="批注文字 Char1"/>
    <w:qFormat/>
    <w:uiPriority w:val="0"/>
    <w:rPr>
      <w:rFonts w:eastAsia="宋体" w:cs="Times New Roman"/>
      <w:kern w:val="2"/>
      <w:sz w:val="24"/>
      <w:szCs w:val="24"/>
      <w:lang w:val="en-US" w:eastAsia="zh-CN" w:bidi="ar-SA"/>
    </w:rPr>
  </w:style>
  <w:style w:type="character" w:customStyle="1" w:styleId="586">
    <w:name w:val="正文首行缩进 Char2"/>
    <w:qFormat/>
    <w:uiPriority w:val="0"/>
    <w:rPr>
      <w:rFonts w:ascii="楷体_GB2312" w:hAnsi="Times New Roman" w:eastAsia="楷体_GB2312"/>
      <w:kern w:val="2"/>
      <w:sz w:val="21"/>
    </w:rPr>
  </w:style>
  <w:style w:type="character" w:customStyle="1" w:styleId="587">
    <w:name w:val="Date Char1"/>
    <w:qFormat/>
    <w:locked/>
    <w:uiPriority w:val="0"/>
    <w:rPr>
      <w:rFonts w:ascii="仿宋_GB2312" w:eastAsia="仿宋_GB2312"/>
      <w:sz w:val="28"/>
      <w:lang w:val="en-US" w:eastAsia="zh-CN" w:bidi="ar-SA"/>
    </w:rPr>
  </w:style>
  <w:style w:type="character" w:customStyle="1" w:styleId="588">
    <w:name w:val="尾注文本 Char1"/>
    <w:qFormat/>
    <w:uiPriority w:val="0"/>
    <w:rPr>
      <w:sz w:val="21"/>
    </w:rPr>
  </w:style>
  <w:style w:type="character" w:customStyle="1" w:styleId="589">
    <w:name w:val="ca-181"/>
    <w:qFormat/>
    <w:uiPriority w:val="0"/>
    <w:rPr>
      <w:rFonts w:ascii="宋体" w:hAnsi="宋体" w:eastAsia="宋体" w:cs="Times New Roman"/>
      <w:color w:val="000000"/>
      <w:sz w:val="18"/>
      <w:szCs w:val="18"/>
    </w:rPr>
  </w:style>
  <w:style w:type="character" w:customStyle="1" w:styleId="590">
    <w:name w:val="Char Char1"/>
    <w:qFormat/>
    <w:uiPriority w:val="0"/>
    <w:rPr>
      <w:rFonts w:ascii="宋体" w:hAnsi="Courier New" w:eastAsia="宋体" w:cs="Courier New"/>
      <w:kern w:val="2"/>
      <w:sz w:val="21"/>
      <w:szCs w:val="21"/>
      <w:lang w:val="en-US" w:eastAsia="zh-CN" w:bidi="ar-SA"/>
    </w:rPr>
  </w:style>
  <w:style w:type="character" w:customStyle="1" w:styleId="591">
    <w:name w:val="Char Char2"/>
    <w:qFormat/>
    <w:uiPriority w:val="0"/>
    <w:rPr>
      <w:rFonts w:eastAsia="宋体" w:cs="Times New Roman"/>
      <w:kern w:val="2"/>
      <w:sz w:val="24"/>
      <w:szCs w:val="24"/>
      <w:lang w:val="en-US" w:eastAsia="zh-CN" w:bidi="ar-SA"/>
    </w:rPr>
  </w:style>
  <w:style w:type="character" w:customStyle="1" w:styleId="592">
    <w:name w:val="style13"/>
    <w:basedOn w:val="56"/>
    <w:qFormat/>
    <w:uiPriority w:val="0"/>
  </w:style>
  <w:style w:type="character" w:customStyle="1" w:styleId="593">
    <w:name w:val="Body Text Indent Char"/>
    <w:qFormat/>
    <w:locked/>
    <w:uiPriority w:val="0"/>
    <w:rPr>
      <w:rFonts w:ascii="宋体" w:hAnsi="宋体" w:eastAsia="宋体" w:cs="Times New Roman"/>
      <w:kern w:val="2"/>
      <w:sz w:val="24"/>
      <w:szCs w:val="24"/>
      <w:lang w:val="en-US" w:eastAsia="zh-CN" w:bidi="ar-SA"/>
    </w:rPr>
  </w:style>
  <w:style w:type="character" w:customStyle="1" w:styleId="594">
    <w:name w:val="ca-81"/>
    <w:qFormat/>
    <w:uiPriority w:val="0"/>
    <w:rPr>
      <w:rFonts w:ascii="宋体" w:hAnsi="宋体" w:eastAsia="宋体" w:cs="Times New Roman"/>
      <w:color w:val="000000"/>
      <w:sz w:val="28"/>
      <w:szCs w:val="28"/>
    </w:rPr>
  </w:style>
  <w:style w:type="character" w:customStyle="1" w:styleId="595">
    <w:name w:val="Heading 1 Char"/>
    <w:qFormat/>
    <w:locked/>
    <w:uiPriority w:val="0"/>
    <w:rPr>
      <w:rFonts w:cs="Times New Roman"/>
      <w:b/>
      <w:bCs/>
      <w:kern w:val="44"/>
      <w:sz w:val="44"/>
      <w:szCs w:val="44"/>
    </w:rPr>
  </w:style>
  <w:style w:type="character" w:customStyle="1" w:styleId="596">
    <w:name w:val="图表标题 Char"/>
    <w:qFormat/>
    <w:uiPriority w:val="0"/>
    <w:rPr>
      <w:rFonts w:ascii="宋体" w:eastAsia="宋体"/>
      <w:snapToGrid w:val="0"/>
      <w:color w:val="000000"/>
      <w:kern w:val="28"/>
      <w:sz w:val="28"/>
      <w:lang w:val="en-US" w:eastAsia="zh-CN" w:bidi="ar-SA"/>
    </w:rPr>
  </w:style>
  <w:style w:type="character" w:customStyle="1" w:styleId="597">
    <w:name w:val="标题 3 Char Char Char Char Char Char Char Char Char Char Char"/>
    <w:qFormat/>
    <w:uiPriority w:val="0"/>
    <w:rPr>
      <w:rFonts w:cs="Times New Roman"/>
      <w:b/>
      <w:bCs/>
      <w:sz w:val="32"/>
      <w:szCs w:val="32"/>
    </w:rPr>
  </w:style>
  <w:style w:type="character" w:customStyle="1" w:styleId="598">
    <w:name w:val="hover10"/>
    <w:qFormat/>
    <w:uiPriority w:val="0"/>
    <w:rPr>
      <w:shd w:val="clear" w:color="auto" w:fill="EEEEEE"/>
    </w:rPr>
  </w:style>
  <w:style w:type="character" w:customStyle="1" w:styleId="599">
    <w:name w:val="正文文字4 Char Char"/>
    <w:qFormat/>
    <w:uiPriority w:val="0"/>
    <w:rPr>
      <w:rFonts w:eastAsia="宋体" w:cs="Times New Roman"/>
      <w:kern w:val="2"/>
      <w:sz w:val="24"/>
      <w:szCs w:val="24"/>
      <w:lang w:val="en-US" w:eastAsia="zh-CN" w:bidi="ar-SA"/>
    </w:rPr>
  </w:style>
  <w:style w:type="character" w:customStyle="1" w:styleId="600">
    <w:name w:val="Footer Char1"/>
    <w:qFormat/>
    <w:locked/>
    <w:uiPriority w:val="0"/>
    <w:rPr>
      <w:rFonts w:eastAsia="宋体" w:cs="Times New Roman"/>
      <w:kern w:val="2"/>
      <w:sz w:val="18"/>
      <w:szCs w:val="18"/>
      <w:lang w:val="en-US" w:eastAsia="zh-CN" w:bidi="ar-SA"/>
    </w:rPr>
  </w:style>
  <w:style w:type="character" w:customStyle="1" w:styleId="601">
    <w:name w:val="Char Char9"/>
    <w:qFormat/>
    <w:uiPriority w:val="0"/>
    <w:rPr>
      <w:rFonts w:ascii="Times New Roman" w:hAnsi="Times New Roman"/>
      <w:b/>
      <w:bCs/>
      <w:sz w:val="32"/>
      <w:szCs w:val="32"/>
    </w:rPr>
  </w:style>
  <w:style w:type="character" w:customStyle="1" w:styleId="602">
    <w:name w:val="批注文字 Char2"/>
    <w:qFormat/>
    <w:uiPriority w:val="0"/>
    <w:rPr>
      <w:rFonts w:eastAsia="宋体" w:cs="Times New Roman"/>
      <w:kern w:val="2"/>
      <w:sz w:val="24"/>
      <w:szCs w:val="24"/>
      <w:lang w:val="en-US" w:eastAsia="zh-CN" w:bidi="ar-SA"/>
    </w:rPr>
  </w:style>
  <w:style w:type="character" w:customStyle="1" w:styleId="603">
    <w:name w:val="grame"/>
    <w:qFormat/>
    <w:uiPriority w:val="0"/>
  </w:style>
  <w:style w:type="character" w:customStyle="1" w:styleId="604">
    <w:name w:val="ca-531"/>
    <w:qFormat/>
    <w:uiPriority w:val="0"/>
    <w:rPr>
      <w:rFonts w:ascii="Times New Roman" w:hAnsi="Times New Roman" w:cs="Times New Roman"/>
      <w:b/>
      <w:bCs/>
      <w:spacing w:val="-20"/>
      <w:sz w:val="36"/>
      <w:szCs w:val="36"/>
    </w:rPr>
  </w:style>
  <w:style w:type="character" w:customStyle="1" w:styleId="605">
    <w:name w:val="font11"/>
    <w:qFormat/>
    <w:uiPriority w:val="0"/>
    <w:rPr>
      <w:rFonts w:hint="default" w:ascii="Calibri" w:hAnsi="Calibri" w:cs="Calibri"/>
      <w:color w:val="000000"/>
      <w:sz w:val="21"/>
      <w:szCs w:val="21"/>
      <w:u w:val="none"/>
    </w:rPr>
  </w:style>
  <w:style w:type="character" w:customStyle="1" w:styleId="606">
    <w:name w:val="ca-491"/>
    <w:qFormat/>
    <w:uiPriority w:val="0"/>
    <w:rPr>
      <w:rFonts w:ascii="宋体" w:hAnsi="宋体" w:eastAsia="宋体" w:cs="Times New Roman"/>
      <w:spacing w:val="0"/>
      <w:sz w:val="32"/>
      <w:szCs w:val="32"/>
    </w:rPr>
  </w:style>
  <w:style w:type="character" w:customStyle="1" w:styleId="607">
    <w:name w:val="Heading 9 Char"/>
    <w:qFormat/>
    <w:locked/>
    <w:uiPriority w:val="0"/>
    <w:rPr>
      <w:rFonts w:ascii="Arial" w:hAnsi="Arial" w:eastAsia="黑体"/>
      <w:sz w:val="21"/>
      <w:lang w:val="en-US" w:eastAsia="zh-CN"/>
    </w:rPr>
  </w:style>
  <w:style w:type="character" w:customStyle="1" w:styleId="608">
    <w:name w:val="Char Char7"/>
    <w:qFormat/>
    <w:uiPriority w:val="0"/>
    <w:rPr>
      <w:rFonts w:ascii="Arial" w:hAnsi="Arial" w:eastAsia="黑体" w:cs="Times New Roman"/>
      <w:b/>
      <w:bCs/>
      <w:kern w:val="2"/>
      <w:sz w:val="32"/>
      <w:szCs w:val="32"/>
      <w:lang w:val="en-US" w:eastAsia="zh-CN" w:bidi="ar-SA"/>
    </w:rPr>
  </w:style>
  <w:style w:type="character" w:customStyle="1" w:styleId="609">
    <w:name w:val="批注主题 Char Char Char"/>
    <w:qFormat/>
    <w:uiPriority w:val="0"/>
    <w:rPr>
      <w:b/>
      <w:bCs/>
      <w:kern w:val="2"/>
      <w:sz w:val="21"/>
      <w:szCs w:val="24"/>
    </w:rPr>
  </w:style>
  <w:style w:type="character" w:customStyle="1" w:styleId="610">
    <w:name w:val="Heading 4 Char"/>
    <w:qFormat/>
    <w:locked/>
    <w:uiPriority w:val="0"/>
    <w:rPr>
      <w:rFonts w:ascii="Arial" w:hAnsi="Arial" w:eastAsia="黑体"/>
      <w:b/>
      <w:kern w:val="2"/>
      <w:sz w:val="28"/>
      <w:lang w:val="en-US" w:eastAsia="zh-CN"/>
    </w:rPr>
  </w:style>
  <w:style w:type="character" w:customStyle="1" w:styleId="611">
    <w:name w:val="ca-111"/>
    <w:qFormat/>
    <w:uiPriority w:val="0"/>
    <w:rPr>
      <w:rFonts w:ascii="Times New Roman" w:hAnsi="Times New Roman" w:cs="Times New Roman"/>
      <w:color w:val="000000"/>
      <w:sz w:val="30"/>
      <w:szCs w:val="30"/>
    </w:rPr>
  </w:style>
  <w:style w:type="character" w:customStyle="1" w:styleId="612">
    <w:name w:val="ca-301"/>
    <w:qFormat/>
    <w:uiPriority w:val="0"/>
    <w:rPr>
      <w:rFonts w:ascii="??" w:hAnsi="??" w:cs="Times New Roman"/>
      <w:color w:val="002060"/>
      <w:sz w:val="21"/>
      <w:szCs w:val="21"/>
    </w:rPr>
  </w:style>
  <w:style w:type="character" w:customStyle="1" w:styleId="613">
    <w:name w:val="op-map-singlepoint-info-right"/>
    <w:qFormat/>
    <w:uiPriority w:val="0"/>
    <w:rPr>
      <w:rFonts w:cs="Times New Roman"/>
    </w:rPr>
  </w:style>
  <w:style w:type="character" w:customStyle="1" w:styleId="614">
    <w:name w:val="ca-501"/>
    <w:qFormat/>
    <w:uiPriority w:val="0"/>
    <w:rPr>
      <w:rFonts w:ascii="宋体" w:hAnsi="宋体" w:eastAsia="宋体" w:cs="Times New Roman"/>
      <w:spacing w:val="0"/>
      <w:sz w:val="24"/>
      <w:szCs w:val="24"/>
    </w:rPr>
  </w:style>
  <w:style w:type="character" w:customStyle="1" w:styleId="615">
    <w:name w:val="普通文字 Char1"/>
    <w:qFormat/>
    <w:uiPriority w:val="0"/>
    <w:rPr>
      <w:rFonts w:ascii="宋体" w:hAnsi="Courier New" w:eastAsia="宋体"/>
      <w:kern w:val="2"/>
      <w:sz w:val="21"/>
      <w:lang w:val="en-US" w:eastAsia="zh-CN" w:bidi="ar-SA"/>
    </w:rPr>
  </w:style>
  <w:style w:type="character" w:customStyle="1" w:styleId="616">
    <w:name w:val="Subtle Emphasis1"/>
    <w:qFormat/>
    <w:uiPriority w:val="0"/>
    <w:rPr>
      <w:i/>
      <w:color w:val="808080"/>
    </w:rPr>
  </w:style>
  <w:style w:type="character" w:customStyle="1" w:styleId="617">
    <w:name w:val="批注主题 Char1"/>
    <w:qFormat/>
    <w:uiPriority w:val="0"/>
    <w:rPr>
      <w:b/>
      <w:kern w:val="2"/>
      <w:sz w:val="22"/>
    </w:rPr>
  </w:style>
  <w:style w:type="character" w:customStyle="1" w:styleId="618">
    <w:name w:val="标题 1 Char1"/>
    <w:qFormat/>
    <w:uiPriority w:val="0"/>
    <w:rPr>
      <w:rFonts w:eastAsia="宋体" w:cs="Times New Roman"/>
      <w:b/>
      <w:bCs/>
      <w:kern w:val="44"/>
      <w:sz w:val="44"/>
      <w:szCs w:val="44"/>
      <w:lang w:val="en-US" w:eastAsia="zh-CN" w:bidi="ar-SA"/>
    </w:rPr>
  </w:style>
  <w:style w:type="character" w:customStyle="1" w:styleId="619">
    <w:name w:val="Intense Emphasis1"/>
    <w:qFormat/>
    <w:uiPriority w:val="0"/>
    <w:rPr>
      <w:b/>
      <w:i/>
      <w:color w:val="4F81BD"/>
    </w:rPr>
  </w:style>
  <w:style w:type="character" w:customStyle="1" w:styleId="620">
    <w:name w:val="正文文本 3 Char1"/>
    <w:qFormat/>
    <w:uiPriority w:val="0"/>
    <w:rPr>
      <w:sz w:val="16"/>
      <w:szCs w:val="16"/>
    </w:rPr>
  </w:style>
  <w:style w:type="character" w:customStyle="1" w:styleId="621">
    <w:name w:val="textcontents"/>
    <w:qFormat/>
    <w:uiPriority w:val="0"/>
  </w:style>
  <w:style w:type="character" w:customStyle="1" w:styleId="622">
    <w:name w:val="style11"/>
    <w:qFormat/>
    <w:uiPriority w:val="0"/>
    <w:rPr>
      <w:rFonts w:cs="Times New Roman"/>
      <w:sz w:val="27"/>
      <w:szCs w:val="27"/>
    </w:rPr>
  </w:style>
  <w:style w:type="character" w:customStyle="1" w:styleId="623">
    <w:name w:val="ca-371"/>
    <w:qFormat/>
    <w:uiPriority w:val="0"/>
    <w:rPr>
      <w:rFonts w:ascii="宋体" w:hAnsi="宋体" w:eastAsia="宋体" w:cs="Times New Roman"/>
      <w:color w:val="000000"/>
      <w:spacing w:val="0"/>
      <w:sz w:val="21"/>
      <w:szCs w:val="21"/>
    </w:rPr>
  </w:style>
  <w:style w:type="character" w:customStyle="1" w:styleId="624">
    <w:name w:val="正文（首行缩进两字） Char"/>
    <w:qFormat/>
    <w:uiPriority w:val="0"/>
    <w:rPr>
      <w:rFonts w:eastAsia="宋体" w:cs="Times New Roman"/>
      <w:spacing w:val="14"/>
      <w:kern w:val="24"/>
      <w:sz w:val="24"/>
      <w:lang w:val="en-US" w:eastAsia="zh-CN" w:bidi="ar-SA"/>
    </w:rPr>
  </w:style>
  <w:style w:type="character" w:customStyle="1" w:styleId="625">
    <w:name w:val="ca-291"/>
    <w:qFormat/>
    <w:uiPriority w:val="0"/>
    <w:rPr>
      <w:rFonts w:ascii="宋体" w:hAnsi="宋体" w:eastAsia="宋体" w:cs="Times New Roman"/>
      <w:color w:val="7030A0"/>
      <w:sz w:val="21"/>
      <w:szCs w:val="21"/>
    </w:rPr>
  </w:style>
  <w:style w:type="character" w:customStyle="1" w:styleId="626">
    <w:name w:val="hover9"/>
    <w:qFormat/>
    <w:uiPriority w:val="0"/>
    <w:rPr>
      <w:shd w:val="clear" w:color="auto" w:fill="EEEEEE"/>
    </w:rPr>
  </w:style>
  <w:style w:type="character" w:customStyle="1" w:styleId="627">
    <w:name w:val="ca-311"/>
    <w:qFormat/>
    <w:uiPriority w:val="0"/>
    <w:rPr>
      <w:rFonts w:ascii="??" w:hAnsi="??" w:cs="Times New Roman"/>
      <w:color w:val="000000"/>
      <w:sz w:val="21"/>
      <w:szCs w:val="21"/>
    </w:rPr>
  </w:style>
  <w:style w:type="character" w:customStyle="1" w:styleId="628">
    <w:name w:val="Heading 8 Char"/>
    <w:qFormat/>
    <w:locked/>
    <w:uiPriority w:val="0"/>
    <w:rPr>
      <w:rFonts w:ascii="Arial" w:hAnsi="Arial" w:eastAsia="黑体"/>
      <w:sz w:val="24"/>
      <w:lang w:val="en-US" w:eastAsia="zh-CN"/>
    </w:rPr>
  </w:style>
  <w:style w:type="character" w:customStyle="1" w:styleId="629">
    <w:name w:val="Char Char91"/>
    <w:qFormat/>
    <w:uiPriority w:val="0"/>
    <w:rPr>
      <w:rFonts w:eastAsia="宋体" w:cs="Times New Roman"/>
      <w:color w:val="000000"/>
      <w:kern w:val="2"/>
      <w:sz w:val="24"/>
      <w:lang w:val="en-US" w:eastAsia="zh-CN" w:bidi="ar-SA"/>
    </w:rPr>
  </w:style>
  <w:style w:type="character" w:customStyle="1" w:styleId="630">
    <w:name w:val="ca-261"/>
    <w:qFormat/>
    <w:uiPriority w:val="0"/>
    <w:rPr>
      <w:rFonts w:ascii="宋体" w:hAnsi="宋体" w:eastAsia="宋体" w:cs="Times New Roman"/>
      <w:color w:val="002060"/>
      <w:sz w:val="21"/>
      <w:szCs w:val="21"/>
    </w:rPr>
  </w:style>
  <w:style w:type="character" w:customStyle="1" w:styleId="631">
    <w:name w:val="font21"/>
    <w:qFormat/>
    <w:uiPriority w:val="0"/>
    <w:rPr>
      <w:rFonts w:hint="eastAsia" w:ascii="宋体" w:hAnsi="宋体" w:eastAsia="宋体" w:cs="宋体"/>
      <w:color w:val="000000"/>
      <w:sz w:val="16"/>
      <w:szCs w:val="16"/>
      <w:u w:val="none"/>
    </w:rPr>
  </w:style>
  <w:style w:type="character" w:customStyle="1" w:styleId="632">
    <w:name w:val="ca-141"/>
    <w:qFormat/>
    <w:uiPriority w:val="0"/>
    <w:rPr>
      <w:rFonts w:ascii="Times New Roman" w:hAnsi="Times New Roman" w:cs="Times New Roman"/>
      <w:color w:val="000000"/>
      <w:sz w:val="24"/>
      <w:szCs w:val="24"/>
    </w:rPr>
  </w:style>
  <w:style w:type="character" w:customStyle="1" w:styleId="633">
    <w:name w:val="font01"/>
    <w:qFormat/>
    <w:uiPriority w:val="0"/>
    <w:rPr>
      <w:rFonts w:ascii="Calibri" w:hAnsi="Calibri" w:cs="Calibri"/>
      <w:color w:val="000000"/>
      <w:sz w:val="22"/>
      <w:szCs w:val="22"/>
      <w:u w:val="none"/>
    </w:rPr>
  </w:style>
  <w:style w:type="character" w:customStyle="1" w:styleId="634">
    <w:name w:val="日期 Char3"/>
    <w:qFormat/>
    <w:uiPriority w:val="0"/>
    <w:rPr>
      <w:rFonts w:eastAsia="仿宋_GB2312" w:cs="Times New Roman"/>
      <w:kern w:val="2"/>
      <w:sz w:val="28"/>
      <w:lang w:val="en-US" w:eastAsia="zh-CN" w:bidi="ar-SA"/>
    </w:rPr>
  </w:style>
  <w:style w:type="character" w:customStyle="1" w:styleId="635">
    <w:name w:val="DeltaView Insertion"/>
    <w:qFormat/>
    <w:uiPriority w:val="0"/>
  </w:style>
  <w:style w:type="character" w:customStyle="1" w:styleId="636">
    <w:name w:val="标题 Char2"/>
    <w:qFormat/>
    <w:uiPriority w:val="0"/>
    <w:rPr>
      <w:rFonts w:ascii="Arial" w:hAnsi="Arial" w:eastAsia="宋体" w:cs="Times New Roman"/>
      <w:b/>
      <w:sz w:val="32"/>
      <w:lang w:val="en-US" w:eastAsia="zh-CN" w:bidi="ar-SA"/>
    </w:rPr>
  </w:style>
  <w:style w:type="character" w:customStyle="1" w:styleId="637">
    <w:name w:val="font41"/>
    <w:qFormat/>
    <w:uiPriority w:val="0"/>
    <w:rPr>
      <w:rFonts w:hint="eastAsia" w:ascii="宋体" w:hAnsi="宋体" w:eastAsia="宋体" w:cs="宋体"/>
      <w:color w:val="000000"/>
      <w:sz w:val="21"/>
      <w:szCs w:val="21"/>
      <w:u w:val="none"/>
    </w:rPr>
  </w:style>
  <w:style w:type="character" w:customStyle="1" w:styleId="638">
    <w:name w:val="ca-271"/>
    <w:qFormat/>
    <w:uiPriority w:val="0"/>
    <w:rPr>
      <w:rFonts w:ascii="宋体" w:hAnsi="宋体" w:eastAsia="宋体" w:cs="Times New Roman"/>
      <w:b/>
      <w:bCs/>
      <w:color w:val="002060"/>
      <w:spacing w:val="-20"/>
      <w:sz w:val="21"/>
      <w:szCs w:val="21"/>
    </w:rPr>
  </w:style>
  <w:style w:type="character" w:customStyle="1" w:styleId="639">
    <w:name w:val="locality"/>
    <w:qFormat/>
    <w:uiPriority w:val="0"/>
    <w:rPr>
      <w:rFonts w:cs="Times New Roman"/>
    </w:rPr>
  </w:style>
  <w:style w:type="character" w:customStyle="1" w:styleId="640">
    <w:name w:val="Char Char12"/>
    <w:qFormat/>
    <w:uiPriority w:val="0"/>
    <w:rPr>
      <w:rFonts w:ascii="Courier New" w:hAnsi="Courier New" w:eastAsia="宋体" w:cs="Times New Roman"/>
      <w:kern w:val="2"/>
      <w:sz w:val="21"/>
      <w:lang w:val="en-US" w:eastAsia="zh-CN" w:bidi="ar-SA"/>
    </w:rPr>
  </w:style>
  <w:style w:type="character" w:customStyle="1" w:styleId="641">
    <w:name w:val="ca-451"/>
    <w:qFormat/>
    <w:uiPriority w:val="0"/>
    <w:rPr>
      <w:rFonts w:ascii="宋体" w:hAnsi="宋体" w:eastAsia="宋体" w:cs="Times New Roman"/>
      <w:color w:val="000000"/>
      <w:sz w:val="72"/>
      <w:szCs w:val="72"/>
    </w:rPr>
  </w:style>
  <w:style w:type="character" w:customStyle="1" w:styleId="642">
    <w:name w:val="chs1"/>
    <w:qFormat/>
    <w:uiPriority w:val="0"/>
    <w:rPr>
      <w:rFonts w:hint="default" w:ascii="_x000B__x000C_" w:hAnsi="_x000B__x000C_"/>
      <w:sz w:val="18"/>
      <w:szCs w:val="18"/>
    </w:rPr>
  </w:style>
  <w:style w:type="character" w:customStyle="1" w:styleId="643">
    <w:name w:val="Heading 7 Char"/>
    <w:qFormat/>
    <w:locked/>
    <w:uiPriority w:val="0"/>
    <w:rPr>
      <w:rFonts w:eastAsia="宋体"/>
      <w:b/>
      <w:sz w:val="24"/>
      <w:lang w:val="en-US" w:eastAsia="zh-CN"/>
    </w:rPr>
  </w:style>
  <w:style w:type="character" w:customStyle="1" w:styleId="644">
    <w:name w:val="font161"/>
    <w:qFormat/>
    <w:uiPriority w:val="0"/>
    <w:rPr>
      <w:rFonts w:cs="Times New Roman"/>
      <w:b/>
      <w:bCs/>
      <w:sz w:val="32"/>
      <w:szCs w:val="32"/>
    </w:rPr>
  </w:style>
  <w:style w:type="character" w:customStyle="1" w:styleId="645">
    <w:name w:val="ca-391"/>
    <w:qFormat/>
    <w:uiPriority w:val="0"/>
    <w:rPr>
      <w:rFonts w:ascii="宋体" w:hAnsi="宋体" w:eastAsia="宋体" w:cs="Times New Roman"/>
      <w:b/>
      <w:bCs/>
      <w:color w:val="000000"/>
      <w:spacing w:val="-20"/>
      <w:sz w:val="28"/>
      <w:szCs w:val="28"/>
    </w:rPr>
  </w:style>
  <w:style w:type="character" w:customStyle="1" w:styleId="646">
    <w:name w:val="日期 Char2"/>
    <w:qFormat/>
    <w:uiPriority w:val="0"/>
    <w:rPr>
      <w:rFonts w:ascii="宋体"/>
      <w:kern w:val="2"/>
      <w:sz w:val="28"/>
    </w:rPr>
  </w:style>
  <w:style w:type="character" w:customStyle="1" w:styleId="647">
    <w:name w:val="副标题 Char2"/>
    <w:qFormat/>
    <w:uiPriority w:val="0"/>
    <w:rPr>
      <w:rFonts w:ascii="Cambria" w:hAnsi="Cambria" w:cs="Times New Roman"/>
      <w:b/>
      <w:bCs/>
      <w:kern w:val="28"/>
      <w:sz w:val="32"/>
      <w:szCs w:val="32"/>
    </w:rPr>
  </w:style>
  <w:style w:type="character" w:customStyle="1" w:styleId="648">
    <w:name w:val="ca-310"/>
    <w:qFormat/>
    <w:uiPriority w:val="0"/>
    <w:rPr>
      <w:rFonts w:ascii="Times New Roman" w:hAnsi="Times New Roman" w:cs="Times New Roman"/>
      <w:b/>
      <w:bCs/>
      <w:color w:val="000000"/>
      <w:spacing w:val="-20"/>
      <w:sz w:val="48"/>
      <w:szCs w:val="48"/>
    </w:rPr>
  </w:style>
  <w:style w:type="character" w:customStyle="1" w:styleId="649">
    <w:name w:val="ca-481"/>
    <w:qFormat/>
    <w:uiPriority w:val="0"/>
    <w:rPr>
      <w:rFonts w:ascii="宋体" w:hAnsi="宋体" w:eastAsia="宋体" w:cs="Times New Roman"/>
      <w:color w:val="000000"/>
      <w:sz w:val="26"/>
      <w:szCs w:val="26"/>
    </w:rPr>
  </w:style>
  <w:style w:type="character" w:customStyle="1" w:styleId="650">
    <w:name w:val="页眉 Char2"/>
    <w:qFormat/>
    <w:uiPriority w:val="0"/>
    <w:rPr>
      <w:rFonts w:eastAsia="宋体" w:cs="Times New Roman"/>
      <w:kern w:val="2"/>
      <w:sz w:val="18"/>
      <w:szCs w:val="18"/>
      <w:lang w:val="en-US" w:eastAsia="zh-CN" w:bidi="ar-SA"/>
    </w:rPr>
  </w:style>
  <w:style w:type="character" w:customStyle="1" w:styleId="651">
    <w:name w:val="文档结构图 Char1"/>
    <w:qFormat/>
    <w:uiPriority w:val="0"/>
    <w:rPr>
      <w:rFonts w:ascii="宋体"/>
      <w:kern w:val="2"/>
      <w:sz w:val="18"/>
    </w:rPr>
  </w:style>
  <w:style w:type="character" w:customStyle="1" w:styleId="652">
    <w:name w:val="正文文本 Char1"/>
    <w:qFormat/>
    <w:uiPriority w:val="0"/>
    <w:rPr>
      <w:kern w:val="2"/>
      <w:sz w:val="22"/>
    </w:rPr>
  </w:style>
  <w:style w:type="character" w:customStyle="1" w:styleId="653">
    <w:name w:val="个人答复风格"/>
    <w:qFormat/>
    <w:uiPriority w:val="0"/>
    <w:rPr>
      <w:rFonts w:ascii="Arial" w:hAnsi="Arial" w:eastAsia="宋体" w:cs="Arial"/>
      <w:color w:val="auto"/>
      <w:sz w:val="20"/>
    </w:rPr>
  </w:style>
  <w:style w:type="character" w:customStyle="1" w:styleId="654">
    <w:name w:val="ca-401"/>
    <w:qFormat/>
    <w:uiPriority w:val="0"/>
    <w:rPr>
      <w:rFonts w:ascii="Times New Roman" w:hAnsi="Times New Roman" w:cs="Times New Roman"/>
      <w:sz w:val="20"/>
      <w:szCs w:val="20"/>
    </w:rPr>
  </w:style>
  <w:style w:type="character" w:customStyle="1" w:styleId="655">
    <w:name w:val="ca-341"/>
    <w:qFormat/>
    <w:uiPriority w:val="0"/>
    <w:rPr>
      <w:rFonts w:ascii="宋体" w:hAnsi="宋体" w:eastAsia="宋体" w:cs="Times New Roman"/>
      <w:color w:val="000000"/>
      <w:sz w:val="20"/>
      <w:szCs w:val="20"/>
    </w:rPr>
  </w:style>
  <w:style w:type="character" w:customStyle="1" w:styleId="656">
    <w:name w:val="普通文字 Char Char1"/>
    <w:qFormat/>
    <w:uiPriority w:val="0"/>
    <w:rPr>
      <w:rFonts w:ascii="宋体" w:hAnsi="Courier New" w:eastAsia="宋体" w:cs="Times New Roman"/>
      <w:kern w:val="2"/>
      <w:sz w:val="21"/>
      <w:lang w:val="en-US" w:eastAsia="zh-CN" w:bidi="ar-SA"/>
    </w:rPr>
  </w:style>
  <w:style w:type="character" w:customStyle="1" w:styleId="657">
    <w:name w:val="ca-91"/>
    <w:qFormat/>
    <w:uiPriority w:val="0"/>
    <w:rPr>
      <w:rFonts w:ascii="楷体_GB2312" w:eastAsia="楷体_GB2312" w:cs="Times New Roman"/>
      <w:color w:val="000000"/>
      <w:spacing w:val="20"/>
      <w:sz w:val="96"/>
      <w:szCs w:val="96"/>
    </w:rPr>
  </w:style>
  <w:style w:type="character" w:customStyle="1" w:styleId="658">
    <w:name w:val="ca-231"/>
    <w:qFormat/>
    <w:uiPriority w:val="0"/>
    <w:rPr>
      <w:rFonts w:ascii="Times New Roman" w:hAnsi="Times New Roman" w:cs="Times New Roman"/>
      <w:sz w:val="21"/>
      <w:szCs w:val="21"/>
    </w:rPr>
  </w:style>
  <w:style w:type="character" w:customStyle="1" w:styleId="659">
    <w:name w:val="by jerry Char Char"/>
    <w:qFormat/>
    <w:uiPriority w:val="0"/>
    <w:rPr>
      <w:rFonts w:eastAsia="宋体" w:cs="Times New Roman"/>
      <w:b/>
      <w:bCs/>
      <w:kern w:val="44"/>
      <w:sz w:val="44"/>
      <w:szCs w:val="44"/>
      <w:lang w:val="en-US" w:eastAsia="zh-CN" w:bidi="ar-SA"/>
    </w:rPr>
  </w:style>
  <w:style w:type="character" w:customStyle="1" w:styleId="660">
    <w:name w:val="批注主题 Char2"/>
    <w:qFormat/>
    <w:uiPriority w:val="0"/>
    <w:rPr>
      <w:rFonts w:ascii="宋体" w:hAnsi="宋体" w:eastAsia="宋体"/>
      <w:b/>
      <w:kern w:val="2"/>
      <w:sz w:val="24"/>
      <w:lang w:val="en-US" w:eastAsia="zh-CN"/>
    </w:rPr>
  </w:style>
  <w:style w:type="character" w:customStyle="1" w:styleId="661">
    <w:name w:val="hour_pm"/>
    <w:basedOn w:val="56"/>
    <w:qFormat/>
    <w:uiPriority w:val="0"/>
  </w:style>
  <w:style w:type="character" w:customStyle="1" w:styleId="662">
    <w:name w:val="ca-71"/>
    <w:qFormat/>
    <w:uiPriority w:val="0"/>
    <w:rPr>
      <w:rFonts w:ascii="Times New Roman" w:hAnsi="Times New Roman" w:cs="Times New Roman"/>
      <w:color w:val="000000"/>
      <w:sz w:val="28"/>
      <w:szCs w:val="28"/>
    </w:rPr>
  </w:style>
  <w:style w:type="character" w:customStyle="1" w:styleId="663">
    <w:name w:val="Char Char8"/>
    <w:qFormat/>
    <w:uiPriority w:val="0"/>
    <w:rPr>
      <w:rFonts w:ascii="Arial" w:hAnsi="Arial" w:eastAsia="黑体" w:cs="Times New Roman"/>
      <w:b/>
      <w:bCs/>
      <w:kern w:val="2"/>
      <w:sz w:val="32"/>
      <w:szCs w:val="32"/>
      <w:lang w:val="en-US" w:eastAsia="zh-CN" w:bidi="ar-SA"/>
    </w:rPr>
  </w:style>
  <w:style w:type="character" w:customStyle="1" w:styleId="664">
    <w:name w:val="Heading 3 Char"/>
    <w:qFormat/>
    <w:locked/>
    <w:uiPriority w:val="0"/>
    <w:rPr>
      <w:rFonts w:eastAsia="宋体"/>
      <w:b/>
      <w:kern w:val="2"/>
      <w:sz w:val="32"/>
      <w:lang w:val="en-US" w:eastAsia="zh-CN"/>
    </w:rPr>
  </w:style>
  <w:style w:type="character" w:customStyle="1" w:styleId="665">
    <w:name w:val="ca-131"/>
    <w:qFormat/>
    <w:uiPriority w:val="0"/>
    <w:rPr>
      <w:rFonts w:ascii="宋体" w:hAnsi="宋体" w:eastAsia="宋体" w:cs="Times New Roman"/>
      <w:color w:val="000000"/>
      <w:sz w:val="32"/>
      <w:szCs w:val="32"/>
    </w:rPr>
  </w:style>
  <w:style w:type="character" w:customStyle="1" w:styleId="666">
    <w:name w:val="Char Char121"/>
    <w:qFormat/>
    <w:uiPriority w:val="0"/>
    <w:rPr>
      <w:rFonts w:ascii="Arial" w:hAnsi="Arial" w:eastAsia="宋体" w:cs="Times New Roman"/>
      <w:b/>
      <w:sz w:val="32"/>
      <w:lang w:val="en-US" w:eastAsia="zh-CN" w:bidi="ar-SA"/>
    </w:rPr>
  </w:style>
  <w:style w:type="character" w:customStyle="1" w:styleId="667">
    <w:name w:val="ca-61"/>
    <w:qFormat/>
    <w:uiPriority w:val="0"/>
    <w:rPr>
      <w:rFonts w:ascii="宋体" w:hAnsi="宋体" w:eastAsia="宋体" w:cs="Times New Roman"/>
      <w:color w:val="000000"/>
      <w:sz w:val="30"/>
      <w:szCs w:val="30"/>
    </w:rPr>
  </w:style>
  <w:style w:type="character" w:customStyle="1" w:styleId="668">
    <w:name w:val="ca-241"/>
    <w:qFormat/>
    <w:uiPriority w:val="0"/>
    <w:rPr>
      <w:rFonts w:ascii="宋体" w:hAnsi="宋体" w:eastAsia="宋体" w:cs="Times New Roman"/>
      <w:sz w:val="24"/>
      <w:szCs w:val="24"/>
    </w:rPr>
  </w:style>
  <w:style w:type="character" w:customStyle="1" w:styleId="669">
    <w:name w:val="Heading 6 Char"/>
    <w:qFormat/>
    <w:locked/>
    <w:uiPriority w:val="0"/>
    <w:rPr>
      <w:rFonts w:ascii="Arial" w:hAnsi="Arial" w:eastAsia="黑体"/>
      <w:b/>
      <w:sz w:val="24"/>
      <w:lang w:val="en-US" w:eastAsia="zh-CN"/>
    </w:rPr>
  </w:style>
  <w:style w:type="character" w:customStyle="1" w:styleId="670">
    <w:name w:val="ca-351"/>
    <w:qFormat/>
    <w:uiPriority w:val="0"/>
    <w:rPr>
      <w:rFonts w:ascii="Times New Roman" w:hAnsi="Times New Roman" w:cs="Times New Roman"/>
      <w:sz w:val="10"/>
      <w:szCs w:val="10"/>
    </w:rPr>
  </w:style>
  <w:style w:type="character" w:customStyle="1" w:styleId="671">
    <w:name w:val="ca-251"/>
    <w:qFormat/>
    <w:uiPriority w:val="0"/>
    <w:rPr>
      <w:rFonts w:ascii="Times New Roman" w:hAnsi="Times New Roman" w:cs="Times New Roman"/>
      <w:sz w:val="21"/>
      <w:szCs w:val="21"/>
    </w:rPr>
  </w:style>
  <w:style w:type="character" w:customStyle="1" w:styleId="672">
    <w:name w:val="hour_am"/>
    <w:basedOn w:val="56"/>
    <w:qFormat/>
    <w:uiPriority w:val="0"/>
  </w:style>
  <w:style w:type="character" w:customStyle="1" w:styleId="673">
    <w:name w:val="标题 Char1"/>
    <w:qFormat/>
    <w:uiPriority w:val="0"/>
    <w:rPr>
      <w:rFonts w:ascii="Arial" w:hAnsi="Arial" w:eastAsia="宋体" w:cs="Times New Roman"/>
      <w:b/>
      <w:sz w:val="32"/>
      <w:lang w:val="en-US" w:eastAsia="zh-CN" w:bidi="ar-SA"/>
    </w:rPr>
  </w:style>
  <w:style w:type="character" w:customStyle="1" w:styleId="674">
    <w:name w:val="署名 Char"/>
    <w:qFormat/>
    <w:uiPriority w:val="0"/>
    <w:rPr>
      <w:rFonts w:ascii="宋体" w:eastAsia="宋体" w:cs="Times New Roman"/>
      <w:snapToGrid w:val="0"/>
      <w:color w:val="000000"/>
      <w:kern w:val="28"/>
      <w:sz w:val="28"/>
      <w:lang w:val="en-US" w:eastAsia="zh-CN" w:bidi="ar-SA"/>
    </w:rPr>
  </w:style>
  <w:style w:type="character" w:customStyle="1" w:styleId="675">
    <w:name w:val="样式 正文缩进正文（首行缩进两字）特点ALT+Z表正文正文非缩进四号段1Normal Indent Char2... Char"/>
    <w:qFormat/>
    <w:uiPriority w:val="0"/>
    <w:rPr>
      <w:rFonts w:ascii="Arial" w:hAnsi="Arial" w:eastAsia="宋体"/>
      <w:b/>
      <w:bCs/>
      <w:kern w:val="2"/>
      <w:sz w:val="32"/>
      <w:szCs w:val="32"/>
      <w:lang w:val="en-US" w:eastAsia="zh-CN" w:bidi="ar-SA"/>
    </w:rPr>
  </w:style>
  <w:style w:type="character" w:customStyle="1" w:styleId="676">
    <w:name w:val="明显引用 Char1"/>
    <w:qFormat/>
    <w:uiPriority w:val="0"/>
    <w:rPr>
      <w:rFonts w:cs="Times New Roman"/>
      <w:b/>
      <w:bCs/>
      <w:i/>
      <w:iCs/>
      <w:color w:val="4F81BD"/>
      <w:kern w:val="2"/>
      <w:sz w:val="24"/>
      <w:szCs w:val="24"/>
    </w:rPr>
  </w:style>
  <w:style w:type="character" w:customStyle="1" w:styleId="677">
    <w:name w:val="apple-style-span"/>
    <w:qFormat/>
    <w:uiPriority w:val="0"/>
    <w:rPr>
      <w:rFonts w:cs="Times New Roman"/>
    </w:rPr>
  </w:style>
  <w:style w:type="character" w:customStyle="1" w:styleId="678">
    <w:name w:val="标书1 Char"/>
    <w:qFormat/>
    <w:uiPriority w:val="0"/>
    <w:rPr>
      <w:rFonts w:ascii="宋体" w:hAnsi="Times New Roman" w:eastAsia="宋体" w:cs="Times New Roman"/>
      <w:b/>
      <w:kern w:val="44"/>
      <w:sz w:val="24"/>
      <w:szCs w:val="20"/>
    </w:rPr>
  </w:style>
  <w:style w:type="character" w:customStyle="1" w:styleId="679">
    <w:name w:val="ca-171"/>
    <w:qFormat/>
    <w:uiPriority w:val="0"/>
    <w:rPr>
      <w:rFonts w:ascii="Times New Roman" w:hAnsi="Times New Roman" w:cs="Times New Roman"/>
      <w:b/>
      <w:bCs/>
      <w:spacing w:val="-20"/>
      <w:sz w:val="24"/>
      <w:szCs w:val="24"/>
    </w:rPr>
  </w:style>
  <w:style w:type="character" w:customStyle="1" w:styleId="680">
    <w:name w:val="手改 Char Char"/>
    <w:qFormat/>
    <w:uiPriority w:val="0"/>
    <w:rPr>
      <w:rFonts w:eastAsia="宋体" w:cs="Times New Roman"/>
      <w:kern w:val="2"/>
      <w:sz w:val="24"/>
      <w:szCs w:val="24"/>
      <w:lang w:val="en-US" w:eastAsia="zh-CN" w:bidi="ar-SA"/>
    </w:rPr>
  </w:style>
  <w:style w:type="character" w:customStyle="1" w:styleId="681">
    <w:name w:val="Footer-Even Char"/>
    <w:qFormat/>
    <w:uiPriority w:val="0"/>
    <w:rPr>
      <w:rFonts w:eastAsia="宋体" w:cs="Times New Roman"/>
      <w:kern w:val="2"/>
      <w:sz w:val="18"/>
      <w:szCs w:val="18"/>
      <w:lang w:val="en-US" w:eastAsia="zh-CN" w:bidi="ar-SA"/>
    </w:rPr>
  </w:style>
  <w:style w:type="character" w:customStyle="1" w:styleId="682">
    <w:name w:val="ca-151"/>
    <w:qFormat/>
    <w:uiPriority w:val="0"/>
    <w:rPr>
      <w:rFonts w:ascii="宋体" w:hAnsi="宋体" w:eastAsia="宋体" w:cs="Times New Roman"/>
      <w:caps/>
      <w:color w:val="000000"/>
      <w:sz w:val="24"/>
      <w:szCs w:val="24"/>
    </w:rPr>
  </w:style>
  <w:style w:type="character" w:customStyle="1" w:styleId="683">
    <w:name w:val="Char Char"/>
    <w:qFormat/>
    <w:uiPriority w:val="0"/>
    <w:rPr>
      <w:rFonts w:ascii="楷体_GB2312" w:hAnsi="Times New Roman" w:eastAsia="楷体_GB2312"/>
      <w:kern w:val="2"/>
      <w:sz w:val="32"/>
    </w:rPr>
  </w:style>
  <w:style w:type="character" w:customStyle="1" w:styleId="684">
    <w:name w:val="标题 Char3"/>
    <w:qFormat/>
    <w:uiPriority w:val="0"/>
    <w:rPr>
      <w:rFonts w:ascii="Cambria" w:hAnsi="Cambria" w:cs="Times New Roman"/>
      <w:b/>
      <w:bCs/>
      <w:sz w:val="32"/>
      <w:szCs w:val="32"/>
    </w:rPr>
  </w:style>
  <w:style w:type="character" w:customStyle="1" w:styleId="685">
    <w:name w:val="Book Title1"/>
    <w:qFormat/>
    <w:uiPriority w:val="0"/>
    <w:rPr>
      <w:b/>
      <w:smallCaps/>
      <w:spacing w:val="5"/>
    </w:rPr>
  </w:style>
  <w:style w:type="character" w:customStyle="1" w:styleId="686">
    <w:name w:val="ca-101"/>
    <w:qFormat/>
    <w:uiPriority w:val="0"/>
    <w:rPr>
      <w:rFonts w:ascii="Times New Roman" w:hAnsi="Times New Roman" w:cs="Times New Roman"/>
      <w:color w:val="000000"/>
      <w:sz w:val="52"/>
      <w:szCs w:val="52"/>
    </w:rPr>
  </w:style>
  <w:style w:type="character" w:customStyle="1" w:styleId="687">
    <w:name w:val="Header Char1"/>
    <w:qFormat/>
    <w:locked/>
    <w:uiPriority w:val="0"/>
    <w:rPr>
      <w:rFonts w:eastAsia="宋体" w:cs="Times New Roman"/>
      <w:kern w:val="2"/>
      <w:sz w:val="18"/>
      <w:szCs w:val="18"/>
      <w:lang w:val="en-US" w:eastAsia="zh-CN" w:bidi="ar-SA"/>
    </w:rPr>
  </w:style>
  <w:style w:type="character" w:customStyle="1" w:styleId="688">
    <w:name w:val="正文文本缩进 2 Char"/>
    <w:qFormat/>
    <w:uiPriority w:val="0"/>
    <w:rPr>
      <w:sz w:val="21"/>
    </w:rPr>
  </w:style>
  <w:style w:type="character" w:customStyle="1" w:styleId="689">
    <w:name w:val="ca-54"/>
    <w:qFormat/>
    <w:uiPriority w:val="0"/>
    <w:rPr>
      <w:rFonts w:ascii="宋体" w:hAnsi="宋体" w:eastAsia="宋体" w:cs="Times New Roman"/>
      <w:b/>
      <w:bCs/>
      <w:color w:val="000000"/>
      <w:spacing w:val="40"/>
      <w:sz w:val="48"/>
      <w:szCs w:val="48"/>
    </w:rPr>
  </w:style>
  <w:style w:type="character" w:customStyle="1" w:styleId="690">
    <w:name w:val="h Char Char"/>
    <w:qFormat/>
    <w:uiPriority w:val="0"/>
    <w:rPr>
      <w:rFonts w:eastAsia="宋体"/>
      <w:kern w:val="2"/>
      <w:sz w:val="18"/>
      <w:szCs w:val="18"/>
      <w:lang w:val="en-US" w:eastAsia="zh-CN" w:bidi="ar-SA"/>
    </w:rPr>
  </w:style>
  <w:style w:type="character" w:customStyle="1" w:styleId="691">
    <w:name w:val="ca-121"/>
    <w:qFormat/>
    <w:uiPriority w:val="0"/>
    <w:rPr>
      <w:rFonts w:ascii="Times New Roman" w:hAnsi="Times New Roman" w:cs="Times New Roman"/>
      <w:color w:val="000000"/>
      <w:sz w:val="32"/>
      <w:szCs w:val="32"/>
    </w:rPr>
  </w:style>
  <w:style w:type="character" w:customStyle="1" w:styleId="692">
    <w:name w:val="font51"/>
    <w:qFormat/>
    <w:uiPriority w:val="0"/>
    <w:rPr>
      <w:rFonts w:hint="eastAsia" w:ascii="宋体" w:hAnsi="宋体" w:eastAsia="宋体" w:cs="宋体"/>
      <w:color w:val="000000"/>
      <w:sz w:val="22"/>
      <w:szCs w:val="22"/>
      <w:u w:val="none"/>
    </w:rPr>
  </w:style>
  <w:style w:type="character" w:customStyle="1" w:styleId="693">
    <w:name w:val="Heading 7 Char1"/>
    <w:qFormat/>
    <w:locked/>
    <w:uiPriority w:val="0"/>
    <w:rPr>
      <w:rFonts w:cs="Times New Roman"/>
      <w:b/>
      <w:bCs/>
      <w:kern w:val="2"/>
      <w:sz w:val="24"/>
      <w:szCs w:val="24"/>
    </w:rPr>
  </w:style>
  <w:style w:type="character" w:customStyle="1" w:styleId="694">
    <w:name w:val="批注文字 Char Char"/>
    <w:qFormat/>
    <w:uiPriority w:val="0"/>
    <w:rPr>
      <w:rFonts w:ascii="宋体" w:hAnsi="Times New Roman" w:eastAsia="宋体"/>
      <w:sz w:val="20"/>
    </w:rPr>
  </w:style>
  <w:style w:type="character" w:customStyle="1" w:styleId="695">
    <w:name w:val="Balloon Text Char"/>
    <w:qFormat/>
    <w:locked/>
    <w:uiPriority w:val="0"/>
    <w:rPr>
      <w:rFonts w:eastAsia="宋体"/>
      <w:kern w:val="2"/>
      <w:sz w:val="18"/>
      <w:lang w:val="en-US" w:eastAsia="zh-CN"/>
    </w:rPr>
  </w:style>
  <w:style w:type="character" w:customStyle="1" w:styleId="696">
    <w:name w:val="Document Map Char"/>
    <w:qFormat/>
    <w:locked/>
    <w:uiPriority w:val="0"/>
    <w:rPr>
      <w:rFonts w:eastAsia="宋体"/>
      <w:kern w:val="2"/>
      <w:sz w:val="24"/>
      <w:lang w:val="en-US" w:eastAsia="zh-CN"/>
    </w:rPr>
  </w:style>
  <w:style w:type="character" w:customStyle="1" w:styleId="697">
    <w:name w:val="ca-471"/>
    <w:qFormat/>
    <w:uiPriority w:val="0"/>
    <w:rPr>
      <w:rFonts w:ascii="宋体" w:hAnsi="宋体" w:eastAsia="宋体" w:cs="Times New Roman"/>
      <w:b/>
      <w:bCs/>
      <w:color w:val="000000"/>
      <w:spacing w:val="-20"/>
      <w:sz w:val="24"/>
      <w:szCs w:val="24"/>
    </w:rPr>
  </w:style>
  <w:style w:type="character" w:customStyle="1" w:styleId="698">
    <w:name w:val="ca-410"/>
    <w:qFormat/>
    <w:uiPriority w:val="0"/>
    <w:rPr>
      <w:rFonts w:ascii="宋体" w:hAnsi="宋体" w:eastAsia="宋体" w:cs="Times New Roman"/>
      <w:b/>
      <w:bCs/>
      <w:color w:val="000000"/>
      <w:spacing w:val="-20"/>
      <w:sz w:val="48"/>
      <w:szCs w:val="48"/>
    </w:rPr>
  </w:style>
  <w:style w:type="character" w:customStyle="1" w:styleId="699">
    <w:name w:val="ca-441"/>
    <w:qFormat/>
    <w:uiPriority w:val="0"/>
    <w:rPr>
      <w:rFonts w:ascii="宋体" w:hAnsi="宋体" w:eastAsia="宋体" w:cs="Times New Roman"/>
      <w:color w:val="000000"/>
      <w:sz w:val="52"/>
      <w:szCs w:val="52"/>
    </w:rPr>
  </w:style>
  <w:style w:type="character" w:customStyle="1" w:styleId="700">
    <w:name w:val="个人撰写风格"/>
    <w:qFormat/>
    <w:uiPriority w:val="0"/>
    <w:rPr>
      <w:rFonts w:ascii="Arial" w:hAnsi="Arial" w:eastAsia="宋体" w:cs="Arial"/>
      <w:color w:val="auto"/>
      <w:sz w:val="20"/>
    </w:rPr>
  </w:style>
  <w:style w:type="character" w:customStyle="1" w:styleId="701">
    <w:name w:val="ca-281"/>
    <w:qFormat/>
    <w:uiPriority w:val="0"/>
    <w:rPr>
      <w:rFonts w:ascii="宋体" w:hAnsi="宋体" w:eastAsia="宋体" w:cs="Times New Roman"/>
      <w:color w:val="FF0000"/>
      <w:sz w:val="21"/>
      <w:szCs w:val="21"/>
    </w:rPr>
  </w:style>
  <w:style w:type="character" w:customStyle="1" w:styleId="702">
    <w:name w:val="Plain Text Char"/>
    <w:qFormat/>
    <w:locked/>
    <w:uiPriority w:val="0"/>
    <w:rPr>
      <w:rFonts w:ascii="宋体" w:hAnsi="Courier New" w:eastAsia="宋体" w:cs="Times New Roman"/>
      <w:kern w:val="2"/>
      <w:sz w:val="21"/>
      <w:lang w:val="en-US" w:eastAsia="zh-CN" w:bidi="ar-SA"/>
    </w:rPr>
  </w:style>
  <w:style w:type="character" w:customStyle="1" w:styleId="703">
    <w:name w:val="Body Text Char"/>
    <w:qFormat/>
    <w:locked/>
    <w:uiPriority w:val="0"/>
    <w:rPr>
      <w:rFonts w:eastAsia="宋体"/>
      <w:kern w:val="2"/>
      <w:sz w:val="24"/>
      <w:lang w:val="en-US" w:eastAsia="zh-CN"/>
    </w:rPr>
  </w:style>
  <w:style w:type="character" w:customStyle="1" w:styleId="704">
    <w:name w:val="Date Char"/>
    <w:qFormat/>
    <w:locked/>
    <w:uiPriority w:val="0"/>
    <w:rPr>
      <w:rFonts w:eastAsia="宋体"/>
      <w:kern w:val="2"/>
      <w:sz w:val="24"/>
      <w:lang w:val="en-US" w:eastAsia="zh-CN"/>
    </w:rPr>
  </w:style>
  <w:style w:type="character" w:customStyle="1" w:styleId="705">
    <w:name w:val="Footer Char"/>
    <w:qFormat/>
    <w:locked/>
    <w:uiPriority w:val="0"/>
    <w:rPr>
      <w:rFonts w:eastAsia="宋体"/>
      <w:kern w:val="2"/>
      <w:sz w:val="18"/>
      <w:lang w:val="en-US" w:eastAsia="zh-CN"/>
    </w:rPr>
  </w:style>
  <w:style w:type="character" w:customStyle="1" w:styleId="706">
    <w:name w:val="ca-331"/>
    <w:qFormat/>
    <w:uiPriority w:val="0"/>
    <w:rPr>
      <w:rFonts w:ascii="宋体" w:hAnsi="宋体" w:eastAsia="宋体" w:cs="Times New Roman"/>
      <w:b/>
      <w:bCs/>
      <w:color w:val="002060"/>
      <w:spacing w:val="-20"/>
      <w:sz w:val="20"/>
      <w:szCs w:val="20"/>
    </w:rPr>
  </w:style>
  <w:style w:type="character" w:customStyle="1" w:styleId="707">
    <w:name w:val="Char Char3"/>
    <w:qFormat/>
    <w:uiPriority w:val="0"/>
    <w:rPr>
      <w:rFonts w:ascii="Arial" w:hAnsi="Arial" w:eastAsia="黑体" w:cs="Times New Roman"/>
      <w:b/>
      <w:bCs/>
      <w:kern w:val="2"/>
      <w:sz w:val="32"/>
      <w:szCs w:val="32"/>
      <w:lang w:val="en-US" w:eastAsia="zh-CN" w:bidi="ar-SA"/>
    </w:rPr>
  </w:style>
  <w:style w:type="character" w:customStyle="1" w:styleId="708">
    <w:name w:val="Subtle Reference1"/>
    <w:qFormat/>
    <w:uiPriority w:val="0"/>
    <w:rPr>
      <w:smallCaps/>
      <w:color w:val="C0504D"/>
      <w:u w:val="single"/>
    </w:rPr>
  </w:style>
  <w:style w:type="character" w:customStyle="1" w:styleId="709">
    <w:name w:val="样式 正文（首行缩进两字） + 宋体 Char"/>
    <w:qFormat/>
    <w:uiPriority w:val="0"/>
    <w:rPr>
      <w:rFonts w:ascii="宋体" w:hAnsi="宋体" w:eastAsia="宋体" w:cs="Times New Roman"/>
      <w:spacing w:val="6"/>
      <w:kern w:val="24"/>
      <w:sz w:val="24"/>
      <w:szCs w:val="24"/>
      <w:lang w:val="en-US" w:eastAsia="zh-CN" w:bidi="ar-SA"/>
    </w:rPr>
  </w:style>
  <w:style w:type="character" w:customStyle="1" w:styleId="710">
    <w:name w:val="ca-221"/>
    <w:qFormat/>
    <w:uiPriority w:val="0"/>
    <w:rPr>
      <w:rFonts w:ascii="宋体" w:hAnsi="宋体" w:eastAsia="宋体" w:cs="Times New Roman"/>
      <w:sz w:val="21"/>
      <w:szCs w:val="21"/>
    </w:rPr>
  </w:style>
  <w:style w:type="character" w:customStyle="1" w:styleId="711">
    <w:name w:val="Heading 3 - old Char"/>
    <w:qFormat/>
    <w:uiPriority w:val="0"/>
    <w:rPr>
      <w:rFonts w:eastAsia="宋体" w:cs="Times New Roman"/>
      <w:b/>
      <w:bCs/>
      <w:kern w:val="2"/>
      <w:sz w:val="32"/>
      <w:szCs w:val="32"/>
      <w:lang w:val="en-US" w:eastAsia="zh-CN" w:bidi="ar-SA"/>
    </w:rPr>
  </w:style>
  <w:style w:type="character" w:customStyle="1" w:styleId="712">
    <w:name w:val="样式 标题 4 + 非加粗 Char"/>
    <w:qFormat/>
    <w:uiPriority w:val="0"/>
    <w:rPr>
      <w:rFonts w:ascii="Arial" w:hAnsi="Arial" w:eastAsia="宋体" w:cs="Times New Roman"/>
      <w:b/>
      <w:bCs/>
      <w:spacing w:val="4"/>
      <w:kern w:val="2"/>
      <w:sz w:val="24"/>
      <w:szCs w:val="24"/>
      <w:lang w:val="en-US" w:eastAsia="zh-CN" w:bidi="ar-SA"/>
    </w:rPr>
  </w:style>
  <w:style w:type="character" w:customStyle="1" w:styleId="713">
    <w:name w:val="country-name"/>
    <w:qFormat/>
    <w:uiPriority w:val="0"/>
    <w:rPr>
      <w:rFonts w:cs="Times New Roman"/>
    </w:rPr>
  </w:style>
  <w:style w:type="character" w:customStyle="1" w:styleId="714">
    <w:name w:val="street-address"/>
    <w:qFormat/>
    <w:uiPriority w:val="0"/>
    <w:rPr>
      <w:rFonts w:cs="Times New Roman"/>
    </w:rPr>
  </w:style>
  <w:style w:type="character" w:customStyle="1" w:styleId="715">
    <w:name w:val="批注框文本 Char1"/>
    <w:qFormat/>
    <w:uiPriority w:val="0"/>
    <w:rPr>
      <w:kern w:val="2"/>
      <w:sz w:val="18"/>
    </w:rPr>
  </w:style>
  <w:style w:type="character" w:customStyle="1" w:styleId="716">
    <w:name w:val="表正文 Char1"/>
    <w:qFormat/>
    <w:uiPriority w:val="0"/>
    <w:rPr>
      <w:rFonts w:eastAsia="宋体" w:cs="Times New Roman"/>
      <w:kern w:val="2"/>
      <w:sz w:val="24"/>
      <w:szCs w:val="24"/>
      <w:lang w:val="en-US" w:eastAsia="zh-CN" w:bidi="ar-SA"/>
    </w:rPr>
  </w:style>
  <w:style w:type="character" w:customStyle="1" w:styleId="717">
    <w:name w:val="ca-411"/>
    <w:qFormat/>
    <w:uiPriority w:val="0"/>
    <w:rPr>
      <w:rFonts w:ascii="宋体" w:hAnsi="宋体" w:eastAsia="宋体" w:cs="Times New Roman"/>
      <w:b/>
      <w:bCs/>
      <w:color w:val="000000"/>
      <w:spacing w:val="-20"/>
      <w:sz w:val="32"/>
      <w:szCs w:val="32"/>
    </w:rPr>
  </w:style>
  <w:style w:type="character" w:customStyle="1" w:styleId="718">
    <w:name w:val="ca-461"/>
    <w:qFormat/>
    <w:uiPriority w:val="0"/>
    <w:rPr>
      <w:rFonts w:ascii="宋体" w:hAnsi="宋体" w:eastAsia="宋体" w:cs="Times New Roman"/>
      <w:color w:val="000000"/>
      <w:spacing w:val="-20"/>
      <w:sz w:val="28"/>
      <w:szCs w:val="28"/>
    </w:rPr>
  </w:style>
  <w:style w:type="character" w:customStyle="1" w:styleId="719">
    <w:name w:val="font31"/>
    <w:qFormat/>
    <w:uiPriority w:val="0"/>
    <w:rPr>
      <w:rFonts w:hint="default" w:ascii="Times New Roman" w:hAnsi="Times New Roman" w:cs="Times New Roman"/>
      <w:color w:val="000000"/>
      <w:sz w:val="21"/>
      <w:szCs w:val="21"/>
      <w:u w:val="none"/>
    </w:rPr>
  </w:style>
  <w:style w:type="character" w:customStyle="1" w:styleId="720">
    <w:name w:val="ca-521"/>
    <w:qFormat/>
    <w:uiPriority w:val="0"/>
    <w:rPr>
      <w:rFonts w:ascii="宋体" w:hAnsi="宋体" w:eastAsia="宋体" w:cs="Times New Roman"/>
      <w:b/>
      <w:bCs/>
      <w:spacing w:val="-20"/>
      <w:sz w:val="36"/>
      <w:szCs w:val="36"/>
    </w:rPr>
  </w:style>
  <w:style w:type="character" w:customStyle="1" w:styleId="721">
    <w:name w:val="正文首行缩进 Char"/>
    <w:qFormat/>
    <w:uiPriority w:val="0"/>
    <w:rPr>
      <w:rFonts w:ascii="宋体" w:eastAsia="宋体" w:cs="Times New Roman"/>
      <w:kern w:val="2"/>
      <w:sz w:val="24"/>
      <w:szCs w:val="24"/>
      <w:lang w:val="zh-CN" w:eastAsia="zh-CN" w:bidi="ar-SA"/>
    </w:rPr>
  </w:style>
  <w:style w:type="character" w:customStyle="1" w:styleId="722">
    <w:name w:val="Intense Reference1"/>
    <w:qFormat/>
    <w:uiPriority w:val="0"/>
    <w:rPr>
      <w:b/>
      <w:smallCaps/>
      <w:color w:val="C0504D"/>
      <w:spacing w:val="5"/>
      <w:u w:val="single"/>
    </w:rPr>
  </w:style>
  <w:style w:type="character" w:customStyle="1" w:styleId="723">
    <w:name w:val="old"/>
    <w:qFormat/>
    <w:uiPriority w:val="0"/>
    <w:rPr>
      <w:color w:val="999999"/>
    </w:rPr>
  </w:style>
  <w:style w:type="character" w:customStyle="1" w:styleId="724">
    <w:name w:val="批注框文本 Char2"/>
    <w:qFormat/>
    <w:uiPriority w:val="0"/>
    <w:rPr>
      <w:rFonts w:ascii="宋体"/>
      <w:kern w:val="2"/>
      <w:sz w:val="18"/>
    </w:rPr>
  </w:style>
  <w:style w:type="character" w:customStyle="1" w:styleId="725">
    <w:name w:val="页眉 Char1"/>
    <w:qFormat/>
    <w:uiPriority w:val="0"/>
    <w:rPr>
      <w:rFonts w:eastAsia="宋体" w:cs="Times New Roman"/>
      <w:kern w:val="2"/>
      <w:sz w:val="18"/>
      <w:szCs w:val="18"/>
      <w:lang w:val="en-US" w:eastAsia="zh-CN" w:bidi="ar-SA"/>
    </w:rPr>
  </w:style>
  <w:style w:type="character" w:customStyle="1" w:styleId="726">
    <w:name w:val="Normal Indent Char"/>
    <w:qFormat/>
    <w:locked/>
    <w:uiPriority w:val="0"/>
    <w:rPr>
      <w:rFonts w:ascii="宋体" w:eastAsia="宋体" w:cs="Times New Roman"/>
      <w:snapToGrid w:val="0"/>
      <w:color w:val="000000"/>
      <w:kern w:val="28"/>
      <w:sz w:val="28"/>
      <w:lang w:val="en-US" w:eastAsia="zh-CN" w:bidi="ar-SA"/>
    </w:rPr>
  </w:style>
  <w:style w:type="character" w:customStyle="1" w:styleId="727">
    <w:name w:val="ca-431"/>
    <w:qFormat/>
    <w:uiPriority w:val="0"/>
    <w:rPr>
      <w:rFonts w:ascii="宋体" w:hAnsi="宋体" w:eastAsia="宋体" w:cs="Times New Roman"/>
      <w:color w:val="000000"/>
      <w:sz w:val="44"/>
      <w:szCs w:val="44"/>
    </w:rPr>
  </w:style>
  <w:style w:type="character" w:customStyle="1" w:styleId="728">
    <w:name w:val="日期 Char1"/>
    <w:qFormat/>
    <w:uiPriority w:val="0"/>
    <w:rPr>
      <w:kern w:val="2"/>
      <w:sz w:val="22"/>
    </w:rPr>
  </w:style>
  <w:style w:type="character" w:customStyle="1" w:styleId="729">
    <w:name w:val="ca-201"/>
    <w:qFormat/>
    <w:uiPriority w:val="0"/>
    <w:rPr>
      <w:rFonts w:ascii="??" w:hAnsi="??" w:cs="Times New Roman"/>
      <w:color w:val="000000"/>
      <w:sz w:val="18"/>
      <w:szCs w:val="18"/>
    </w:rPr>
  </w:style>
  <w:style w:type="character" w:customStyle="1" w:styleId="730">
    <w:name w:val="引用 Char1"/>
    <w:qFormat/>
    <w:uiPriority w:val="0"/>
    <w:rPr>
      <w:rFonts w:cs="Times New Roman"/>
      <w:i/>
      <w:iCs/>
      <w:color w:val="000000"/>
      <w:kern w:val="2"/>
      <w:sz w:val="24"/>
      <w:szCs w:val="24"/>
    </w:rPr>
  </w:style>
  <w:style w:type="character" w:customStyle="1" w:styleId="731">
    <w:name w:val="纯文本 字符1"/>
    <w:qFormat/>
    <w:uiPriority w:val="99"/>
    <w:rPr>
      <w:rFonts w:ascii="宋体" w:hAnsi="Courier New" w:eastAsia="宋体"/>
      <w:kern w:val="2"/>
      <w:sz w:val="24"/>
      <w:szCs w:val="24"/>
      <w:lang w:val="en-US" w:eastAsia="zh-CN" w:bidi="ar-SA"/>
    </w:rPr>
  </w:style>
  <w:style w:type="character" w:customStyle="1" w:styleId="732">
    <w:name w:val="标题 2 Char1"/>
    <w:qFormat/>
    <w:uiPriority w:val="0"/>
    <w:rPr>
      <w:rFonts w:ascii="仿宋_GB2312" w:eastAsia="仿宋_GB2312"/>
      <w:b/>
      <w:sz w:val="36"/>
      <w:lang w:val="en-US" w:eastAsia="zh-CN" w:bidi="ar-SA"/>
    </w:rPr>
  </w:style>
  <w:style w:type="character" w:customStyle="1" w:styleId="733">
    <w:name w:val="正文文本缩进 Char1"/>
    <w:qFormat/>
    <w:uiPriority w:val="0"/>
    <w:rPr>
      <w:rFonts w:ascii="宋体" w:hAnsi="Courier New" w:eastAsia="宋体"/>
      <w:spacing w:val="-4"/>
      <w:kern w:val="2"/>
      <w:sz w:val="18"/>
      <w:lang w:val="en-US" w:eastAsia="zh-CN" w:bidi="ar-SA"/>
    </w:rPr>
  </w:style>
  <w:style w:type="character" w:customStyle="1" w:styleId="734">
    <w:name w:val="正文缩进 Char1"/>
    <w:qFormat/>
    <w:uiPriority w:val="0"/>
    <w:rPr>
      <w:rFonts w:eastAsia="宋体"/>
      <w:kern w:val="2"/>
      <w:sz w:val="21"/>
      <w:lang w:val="en-US" w:eastAsia="zh-CN" w:bidi="ar-SA"/>
    </w:rPr>
  </w:style>
  <w:style w:type="character" w:customStyle="1" w:styleId="735">
    <w:name w:val="正文文本缩进 字符"/>
    <w:qFormat/>
    <w:uiPriority w:val="0"/>
    <w:rPr>
      <w:rFonts w:ascii="宋体" w:hAnsi="Courier New" w:eastAsia="宋体"/>
      <w:spacing w:val="-4"/>
      <w:kern w:val="2"/>
      <w:sz w:val="18"/>
      <w:lang w:val="en-US" w:eastAsia="zh-CN" w:bidi="ar-SA"/>
    </w:rPr>
  </w:style>
  <w:style w:type="character" w:customStyle="1" w:styleId="736">
    <w:name w:val="纯文本 字符2"/>
    <w:qFormat/>
    <w:uiPriority w:val="0"/>
    <w:rPr>
      <w:rFonts w:ascii="宋体" w:hAnsi="Courier New" w:eastAsia="宋体"/>
      <w:kern w:val="2"/>
      <w:sz w:val="24"/>
      <w:szCs w:val="24"/>
      <w:lang w:val="en-US" w:eastAsia="zh-CN" w:bidi="ar-SA"/>
    </w:rPr>
  </w:style>
  <w:style w:type="character" w:customStyle="1" w:styleId="737">
    <w:name w:val="纯文本 字符"/>
    <w:qFormat/>
    <w:uiPriority w:val="0"/>
    <w:rPr>
      <w:rFonts w:ascii="宋体" w:hAnsi="Courier New" w:eastAsia="宋体"/>
      <w:kern w:val="2"/>
      <w:sz w:val="21"/>
      <w:lang w:val="en-US" w:eastAsia="zh-CN" w:bidi="ar-SA"/>
    </w:rPr>
  </w:style>
  <w:style w:type="character" w:customStyle="1" w:styleId="738">
    <w:name w:val="标题 2 Char"/>
    <w:qFormat/>
    <w:uiPriority w:val="9"/>
    <w:rPr>
      <w:rFonts w:ascii="Cambria" w:hAnsi="Cambria" w:eastAsia="宋体" w:cs="Times New Roman"/>
      <w:b/>
      <w:bCs/>
      <w:sz w:val="32"/>
      <w:szCs w:val="32"/>
    </w:rPr>
  </w:style>
  <w:style w:type="character" w:customStyle="1" w:styleId="739">
    <w:name w:val="批注文字 Char"/>
    <w:qFormat/>
    <w:uiPriority w:val="0"/>
    <w:rPr>
      <w:rFonts w:ascii="Calibri" w:hAnsi="Calibri"/>
      <w:kern w:val="2"/>
      <w:sz w:val="21"/>
      <w:szCs w:val="22"/>
    </w:rPr>
  </w:style>
  <w:style w:type="character" w:customStyle="1" w:styleId="740">
    <w:name w:val="slider_ctrl_con"/>
    <w:qFormat/>
    <w:uiPriority w:val="99"/>
    <w:rPr>
      <w:shd w:val="clear" w:color="auto" w:fill="666666"/>
    </w:rPr>
  </w:style>
  <w:style w:type="character" w:customStyle="1" w:styleId="741">
    <w:name w:val="current"/>
    <w:qFormat/>
    <w:uiPriority w:val="99"/>
    <w:rPr>
      <w:shd w:val="clear" w:color="auto" w:fill="A00303"/>
    </w:rPr>
  </w:style>
  <w:style w:type="character" w:customStyle="1" w:styleId="742">
    <w:name w:val="textcolor1"/>
    <w:qFormat/>
    <w:uiPriority w:val="99"/>
    <w:rPr>
      <w:color w:val="FF6600"/>
    </w:rPr>
  </w:style>
  <w:style w:type="character" w:customStyle="1" w:styleId="743">
    <w:name w:val="纯文本 Char2"/>
    <w:qFormat/>
    <w:uiPriority w:val="99"/>
    <w:rPr>
      <w:rFonts w:ascii="宋体" w:hAnsi="Courier New" w:eastAsia="宋体"/>
      <w:kern w:val="2"/>
      <w:sz w:val="20"/>
      <w:lang w:val="en-US" w:eastAsia="zh-CN"/>
    </w:rPr>
  </w:style>
  <w:style w:type="character" w:customStyle="1" w:styleId="744">
    <w:name w:val="标题 2 字符"/>
    <w:semiHidden/>
    <w:qFormat/>
    <w:uiPriority w:val="9"/>
    <w:rPr>
      <w:rFonts w:ascii="等线 Light" w:hAnsi="等线 Light" w:eastAsia="等线 Light" w:cs="Times New Roman"/>
      <w:b/>
      <w:bCs/>
      <w:sz w:val="32"/>
      <w:szCs w:val="32"/>
    </w:rPr>
  </w:style>
  <w:style w:type="character" w:customStyle="1" w:styleId="745">
    <w:name w:val="列出段落 Char1"/>
    <w:qFormat/>
    <w:uiPriority w:val="34"/>
    <w:rPr>
      <w:rFonts w:ascii="Calibri" w:hAnsi="Calibri"/>
      <w:kern w:val="2"/>
      <w:sz w:val="24"/>
      <w:szCs w:val="22"/>
    </w:rPr>
  </w:style>
  <w:style w:type="character" w:customStyle="1" w:styleId="746">
    <w:name w:val="纯文本 Char4"/>
    <w:qFormat/>
    <w:uiPriority w:val="0"/>
    <w:rPr>
      <w:rFonts w:ascii="宋体" w:hAnsi="Courier New" w:eastAsia="宋体"/>
      <w:kern w:val="2"/>
      <w:sz w:val="24"/>
      <w:szCs w:val="24"/>
      <w:lang w:val="en-US" w:eastAsia="zh-CN" w:bidi="ar-SA"/>
    </w:rPr>
  </w:style>
  <w:style w:type="paragraph" w:customStyle="1" w:styleId="747">
    <w:name w:val="修订1"/>
    <w:hidden/>
    <w:semiHidden/>
    <w:qFormat/>
    <w:uiPriority w:val="99"/>
    <w:rPr>
      <w:rFonts w:ascii="Times New Roman" w:hAnsi="Times New Roman" w:eastAsia="宋体" w:cs="Times New Roman"/>
      <w:sz w:val="21"/>
      <w:lang w:val="en-US" w:eastAsia="zh-CN" w:bidi="ar-SA"/>
    </w:rPr>
  </w:style>
  <w:style w:type="character" w:customStyle="1" w:styleId="748">
    <w:name w:val="NormalCharacter"/>
    <w:qFormat/>
    <w:uiPriority w:val="0"/>
  </w:style>
  <w:style w:type="character" w:customStyle="1" w:styleId="749">
    <w:name w:val="纯文本 Char5"/>
    <w:qFormat/>
    <w:uiPriority w:val="0"/>
    <w:rPr>
      <w:rFonts w:ascii="宋体" w:hAnsi="Courier New" w:eastAsia="宋体"/>
      <w:sz w:val="24"/>
      <w:szCs w:val="24"/>
    </w:rPr>
  </w:style>
  <w:style w:type="paragraph" w:customStyle="1" w:styleId="750">
    <w:name w:val="表格文字2"/>
    <w:basedOn w:val="1"/>
    <w:qFormat/>
    <w:uiPriority w:val="0"/>
    <w:pPr>
      <w:widowControl w:val="0"/>
      <w:spacing w:beforeLines="50" w:afterLines="50" w:line="360" w:lineRule="auto"/>
      <w:jc w:val="both"/>
    </w:pPr>
    <w:rPr>
      <w:rFonts w:ascii="宋体" w:hAnsi="宋体"/>
      <w:kern w:val="2"/>
      <w:sz w:val="24"/>
      <w:szCs w:val="21"/>
    </w:rPr>
  </w:style>
  <w:style w:type="character" w:customStyle="1" w:styleId="751">
    <w:name w:val="UserStyle_117"/>
    <w:link w:val="752"/>
    <w:qFormat/>
    <w:locked/>
    <w:uiPriority w:val="0"/>
    <w:rPr>
      <w:rFonts w:ascii="宋体" w:hAnsi="Courier New"/>
      <w:sz w:val="24"/>
      <w:szCs w:val="24"/>
    </w:rPr>
  </w:style>
  <w:style w:type="paragraph" w:customStyle="1" w:styleId="752">
    <w:name w:val="PlainText"/>
    <w:basedOn w:val="1"/>
    <w:link w:val="751"/>
    <w:qFormat/>
    <w:uiPriority w:val="0"/>
    <w:pPr>
      <w:spacing w:before="156" w:after="156" w:line="400" w:lineRule="exact"/>
      <w:jc w:val="both"/>
    </w:pPr>
    <w:rPr>
      <w:rFonts w:ascii="宋体" w:hAnsi="Courier New"/>
      <w:sz w:val="24"/>
      <w:szCs w:val="24"/>
    </w:rPr>
  </w:style>
  <w:style w:type="character" w:customStyle="1" w:styleId="753">
    <w:name w:val="UserStyle_20"/>
    <w:link w:val="754"/>
    <w:qFormat/>
    <w:locked/>
    <w:uiPriority w:val="0"/>
    <w:rPr>
      <w:rFonts w:ascii="宋体" w:hAnsi="宋体" w:eastAsia="仿宋_GB2312"/>
      <w:b/>
      <w:bCs/>
      <w:sz w:val="24"/>
    </w:rPr>
  </w:style>
  <w:style w:type="paragraph" w:customStyle="1" w:styleId="754">
    <w:name w:val="BodyText3"/>
    <w:basedOn w:val="1"/>
    <w:link w:val="753"/>
    <w:qFormat/>
    <w:uiPriority w:val="0"/>
    <w:pPr>
      <w:snapToGrid w:val="0"/>
      <w:spacing w:before="50" w:after="50"/>
      <w:jc w:val="both"/>
    </w:pPr>
    <w:rPr>
      <w:rFonts w:ascii="宋体" w:hAnsi="宋体" w:eastAsia="仿宋_GB2312"/>
      <w:b/>
      <w:bCs/>
      <w:sz w:val="24"/>
    </w:rPr>
  </w:style>
  <w:style w:type="paragraph" w:customStyle="1" w:styleId="755">
    <w:name w:val="UserStyle_260"/>
    <w:basedOn w:val="1"/>
    <w:qFormat/>
    <w:uiPriority w:val="0"/>
    <w:pPr>
      <w:jc w:val="both"/>
    </w:pPr>
    <w:rPr>
      <w:rFonts w:ascii="宋体" w:hAnsi="Courier New" w:eastAsia="楷体_GB2312"/>
      <w:kern w:val="2"/>
      <w:sz w:val="26"/>
    </w:rPr>
  </w:style>
  <w:style w:type="paragraph" w:customStyle="1" w:styleId="756">
    <w:name w:val="列出段落3"/>
    <w:basedOn w:val="1"/>
    <w:qFormat/>
    <w:uiPriority w:val="0"/>
    <w:pPr>
      <w:ind w:firstLine="420" w:firstLineChars="200"/>
    </w:pPr>
    <w:rPr>
      <w:sz w:val="24"/>
    </w:rPr>
  </w:style>
  <w:style w:type="paragraph" w:customStyle="1" w:styleId="757">
    <w:name w:val="列表段落2"/>
    <w:basedOn w:val="1"/>
    <w:qFormat/>
    <w:uiPriority w:val="99"/>
    <w:pPr>
      <w:widowControl w:val="0"/>
      <w:spacing w:beforeLines="50" w:afterLines="50" w:line="288" w:lineRule="auto"/>
      <w:ind w:firstLine="420" w:firstLineChars="200"/>
      <w:jc w:val="both"/>
    </w:pPr>
    <w:rPr>
      <w:rFonts w:eastAsia="方正兰亭黑简体" w:cstheme="minorBidi"/>
      <w:kern w:val="2"/>
      <w:szCs w:val="24"/>
    </w:rPr>
  </w:style>
  <w:style w:type="paragraph" w:customStyle="1" w:styleId="758">
    <w:name w:val="正文缩近"/>
    <w:basedOn w:val="1"/>
    <w:qFormat/>
    <w:uiPriority w:val="0"/>
    <w:pPr>
      <w:widowControl w:val="0"/>
      <w:spacing w:line="360" w:lineRule="auto"/>
      <w:ind w:firstLine="200" w:firstLineChars="200"/>
      <w:jc w:val="both"/>
    </w:pPr>
    <w:rPr>
      <w:rFonts w:ascii="Calibri" w:hAnsi="Calibri"/>
      <w:kern w:val="2"/>
      <w:sz w:val="24"/>
      <w:szCs w:val="24"/>
    </w:rPr>
  </w:style>
  <w:style w:type="paragraph" w:customStyle="1" w:styleId="759">
    <w:name w:val="列表内容"/>
    <w:basedOn w:val="1"/>
    <w:next w:val="1"/>
    <w:qFormat/>
    <w:uiPriority w:val="0"/>
    <w:pPr>
      <w:numPr>
        <w:ilvl w:val="0"/>
        <w:numId w:val="2"/>
      </w:numPr>
      <w:tabs>
        <w:tab w:val="left" w:pos="840"/>
      </w:tabs>
    </w:pPr>
    <w:rPr>
      <w:sz w:val="18"/>
    </w:rPr>
  </w:style>
  <w:style w:type="paragraph" w:customStyle="1" w:styleId="760">
    <w:name w:val="正文360首行缩进"/>
    <w:basedOn w:val="1"/>
    <w:link w:val="761"/>
    <w:qFormat/>
    <w:uiPriority w:val="0"/>
    <w:pPr>
      <w:spacing w:before="120" w:line="300" w:lineRule="auto"/>
      <w:ind w:firstLine="200" w:firstLineChars="200"/>
    </w:pPr>
    <w:rPr>
      <w:kern w:val="2"/>
      <w:sz w:val="24"/>
    </w:rPr>
  </w:style>
  <w:style w:type="character" w:customStyle="1" w:styleId="761">
    <w:name w:val="正文360首行缩进 Char"/>
    <w:basedOn w:val="56"/>
    <w:link w:val="760"/>
    <w:qFormat/>
    <w:uiPriority w:val="0"/>
    <w:rPr>
      <w:rFonts w:ascii="Times New Roman" w:hAnsi="Times New Roman"/>
      <w:kern w:val="2"/>
      <w:sz w:val="24"/>
    </w:rPr>
  </w:style>
  <w:style w:type="paragraph" w:customStyle="1" w:styleId="762">
    <w:name w:val="强调文字"/>
    <w:basedOn w:val="126"/>
    <w:link w:val="763"/>
    <w:qFormat/>
    <w:uiPriority w:val="0"/>
    <w:pPr>
      <w:numPr>
        <w:ilvl w:val="0"/>
        <w:numId w:val="3"/>
      </w:numPr>
      <w:spacing w:before="120" w:line="300" w:lineRule="auto"/>
      <w:ind w:firstLine="0" w:firstLineChars="0"/>
    </w:pPr>
    <w:rPr>
      <w:kern w:val="2"/>
      <w:sz w:val="24"/>
    </w:rPr>
  </w:style>
  <w:style w:type="character" w:customStyle="1" w:styleId="763">
    <w:name w:val="强调文字 Char"/>
    <w:basedOn w:val="56"/>
    <w:link w:val="762"/>
    <w:qFormat/>
    <w:uiPriority w:val="0"/>
    <w:rPr>
      <w:rFonts w:ascii="Times New Roman" w:hAnsi="Times New Roman"/>
      <w:kern w:val="2"/>
      <w:sz w:val="24"/>
    </w:rPr>
  </w:style>
  <w:style w:type="character" w:customStyle="1" w:styleId="764">
    <w:name w:val="UserStyle_2"/>
    <w:qFormat/>
    <w:uiPriority w:val="0"/>
    <w:rPr>
      <w:rFonts w:ascii="宋体" w:hAnsi="宋体" w:eastAsia="宋体" w:cs="Times New Roman"/>
      <w:b/>
      <w:bCs/>
      <w:color w:val="000000"/>
      <w:spacing w:val="-20"/>
      <w:sz w:val="24"/>
      <w:szCs w:val="24"/>
    </w:rPr>
  </w:style>
  <w:style w:type="character" w:customStyle="1" w:styleId="765">
    <w:name w:val="纯文本 Char6"/>
    <w:qFormat/>
    <w:uiPriority w:val="0"/>
    <w:rPr>
      <w:rFonts w:ascii="宋体" w:hAnsi="Courier New" w:eastAsia="宋体"/>
      <w:sz w:val="24"/>
      <w:szCs w:val="24"/>
    </w:rPr>
  </w:style>
  <w:style w:type="character" w:customStyle="1" w:styleId="766">
    <w:name w:val="正文文本缩进 Char3"/>
    <w:basedOn w:val="56"/>
    <w:qFormat/>
    <w:uiPriority w:val="0"/>
    <w:rPr>
      <w:rFonts w:ascii="Calibri" w:hAnsi="Calibri" w:eastAsia="宋体" w:cs="Times New Roman"/>
      <w:szCs w:val="24"/>
    </w:rPr>
  </w:style>
  <w:style w:type="character" w:customStyle="1" w:styleId="767">
    <w:name w:val="正文首行缩进 2 字符"/>
    <w:basedOn w:val="88"/>
    <w:link w:val="53"/>
    <w:qFormat/>
    <w:uiPriority w:val="99"/>
    <w:rPr>
      <w:rFonts w:ascii="Times New Roman" w:hAnsi="Times New Roman" w:cs="宋体"/>
      <w:sz w:val="21"/>
      <w:szCs w:val="21"/>
    </w:rPr>
  </w:style>
  <w:style w:type="table" w:customStyle="1" w:styleId="76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65</Pages>
  <Words>30715</Words>
  <Characters>32917</Characters>
  <Lines>197</Lines>
  <Paragraphs>55</Paragraphs>
  <TotalTime>38</TotalTime>
  <ScaleCrop>false</ScaleCrop>
  <LinksUpToDate>false</LinksUpToDate>
  <CharactersWithSpaces>35195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2024-02-04T06:21:00Z</dcterms:created>
  <dc:creator>zgcc</dc:creator>
  <cp:lastModifiedBy>Administrator</cp:lastModifiedBy>
  <cp:lastPrinted>2020-12-11T06:05:00Z</cp:lastPrinted>
  <dcterms:modified xsi:type="dcterms:W3CDTF">2025-06-24T03:02:11Z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项目编号">
    <vt:lpwstr>AAAAA</vt:lpwstr>
  </property>
  <property fmtid="{D5CDD505-2E9C-101B-9397-08002B2CF9AE}" pid="3" name="KSOProductBuildVer">
    <vt:lpwstr>2052-12.1.0.21541</vt:lpwstr>
  </property>
  <property fmtid="{D5CDD505-2E9C-101B-9397-08002B2CF9AE}" pid="4" name="ICV">
    <vt:lpwstr>CA3C4B53A75649F1B3D176E201B6A29F</vt:lpwstr>
  </property>
  <property fmtid="{D5CDD505-2E9C-101B-9397-08002B2CF9AE}" pid="5" name="KSOTemplateDocerSaveRecord">
    <vt:lpwstr>eyJoZGlkIjoiMTEwODkzNmVkZjA0NzNkZjdlZDQ2MGMwMTI4NmU4ODgiLCJ1c2VySWQiOiI2MDUwODE0MjYifQ==</vt:lpwstr>
  </property>
</Properties>
</file>