
<file path=[Content_Types].xml><?xml version="1.0" encoding="utf-8"?>
<Types xmlns="http://schemas.openxmlformats.org/package/2006/content-types">
  <Default ContentType="image/bmp" Extension="bmp"/>
  <Default ContentType="image/jpeg" Extension="jpeg"/>
  <Default ContentType="image/.jpg" Extension="jpg"/>
  <Default ContentType="image/png" Extension="png"/>
  <Default ContentType="application/vnd.openxmlformats-package.relationships+xml" Extension="rels"/>
  <Default ContentType="image/tiff" Extension="tif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CCE8CF"/>
  <w:body>
    <w:p>
      <w:pPr>
        <w:jc w:val="center"/>
        <w:rPr>
          <w:rFonts w:ascii="宋体" w:hAnsi="宋体" w:cs="仿宋"/>
          <w:b/>
          <w:sz w:val="44"/>
          <w:szCs w:val="44"/>
        </w:rPr>
      </w:pPr>
      <w:bookmarkStart w:id="305" w:name="_GoBack"/>
      <w:bookmarkEnd w:id="305"/>
      <w:r>
        <w:rPr>
          <w:rFonts w:hint="eastAsia" w:ascii="宋体" w:hAnsi="宋体" w:cs="仿宋"/>
          <w:b/>
          <w:sz w:val="44"/>
          <w:szCs w:val="44"/>
        </w:rPr>
        <w:t>2023年度嘉兴市公安局交通警察支队交通设施日常维护、更新项目</w:t>
      </w:r>
    </w:p>
    <w:p>
      <w:pPr>
        <w:pStyle w:val="46"/>
        <w:rPr>
          <w:rFonts w:ascii="宋体" w:hAnsi="宋体"/>
          <w:sz w:val="48"/>
          <w:szCs w:val="48"/>
        </w:rPr>
      </w:pPr>
    </w:p>
    <w:p>
      <w:pPr>
        <w:pStyle w:val="46"/>
        <w:rPr>
          <w:rFonts w:ascii="宋体" w:hAnsi="宋体"/>
          <w:sz w:val="48"/>
          <w:szCs w:val="48"/>
        </w:rPr>
      </w:pPr>
    </w:p>
    <w:p>
      <w:pPr>
        <w:pStyle w:val="46"/>
        <w:rPr>
          <w:rFonts w:ascii="宋体" w:hAnsi="宋体"/>
          <w:sz w:val="48"/>
          <w:szCs w:val="48"/>
        </w:rPr>
      </w:pPr>
    </w:p>
    <w:p>
      <w:pPr>
        <w:pStyle w:val="46"/>
        <w:rPr>
          <w:rFonts w:ascii="宋体" w:hAnsi="宋体"/>
          <w:sz w:val="48"/>
          <w:szCs w:val="48"/>
        </w:rPr>
      </w:pPr>
    </w:p>
    <w:p>
      <w:pPr>
        <w:pStyle w:val="46"/>
        <w:rPr>
          <w:rFonts w:ascii="宋体" w:hAnsi="宋体"/>
          <w:sz w:val="48"/>
          <w:szCs w:val="48"/>
        </w:rPr>
      </w:pPr>
      <w:r>
        <w:rPr>
          <w:rFonts w:hint="eastAsia" w:ascii="宋体" w:hAnsi="宋体"/>
          <w:sz w:val="48"/>
          <w:szCs w:val="48"/>
        </w:rPr>
        <w:t>招标采购文件</w:t>
      </w:r>
    </w:p>
    <w:p>
      <w:pPr>
        <w:pStyle w:val="46"/>
        <w:rPr>
          <w:rFonts w:ascii="宋体" w:hAnsi="宋体"/>
          <w:sz w:val="48"/>
          <w:szCs w:val="48"/>
        </w:rPr>
      </w:pPr>
    </w:p>
    <w:p>
      <w:pPr>
        <w:pStyle w:val="46"/>
        <w:rPr>
          <w:rFonts w:ascii="宋体" w:hAnsi="宋体"/>
          <w:sz w:val="48"/>
          <w:szCs w:val="48"/>
        </w:rPr>
      </w:pPr>
    </w:p>
    <w:p>
      <w:pPr>
        <w:pStyle w:val="46"/>
        <w:rPr>
          <w:rFonts w:ascii="宋体" w:hAnsi="宋体"/>
          <w:sz w:val="48"/>
          <w:szCs w:val="48"/>
        </w:rPr>
      </w:pPr>
    </w:p>
    <w:p>
      <w:pPr>
        <w:pStyle w:val="46"/>
        <w:rPr>
          <w:rFonts w:ascii="宋体" w:hAnsi="宋体"/>
          <w:sz w:val="48"/>
          <w:szCs w:val="48"/>
        </w:rPr>
      </w:pPr>
    </w:p>
    <w:p>
      <w:pPr>
        <w:ind w:firstLine="643" w:firstLineChars="200"/>
        <w:rPr>
          <w:rFonts w:ascii="宋体" w:hAnsi="宋体"/>
          <w:b/>
          <w:sz w:val="32"/>
          <w:szCs w:val="32"/>
        </w:rPr>
      </w:pPr>
      <w:r>
        <w:rPr>
          <w:rFonts w:hint="eastAsia" w:ascii="宋体" w:hAnsi="宋体"/>
          <w:b/>
          <w:sz w:val="32"/>
          <w:szCs w:val="32"/>
        </w:rPr>
        <w:t>项目编号：ZJFY-20230063</w:t>
      </w:r>
    </w:p>
    <w:p>
      <w:pPr>
        <w:ind w:firstLine="643" w:firstLineChars="200"/>
        <w:rPr>
          <w:rFonts w:ascii="宋体" w:hAnsi="宋体"/>
          <w:b/>
          <w:sz w:val="32"/>
          <w:szCs w:val="32"/>
        </w:rPr>
      </w:pPr>
      <w:r>
        <w:rPr>
          <w:rFonts w:hint="eastAsia" w:ascii="宋体" w:hAnsi="宋体"/>
          <w:b/>
          <w:sz w:val="32"/>
          <w:szCs w:val="32"/>
        </w:rPr>
        <w:t>采购单位：嘉兴市公安局交通警察支队</w:t>
      </w:r>
    </w:p>
    <w:p>
      <w:pPr>
        <w:ind w:firstLine="643" w:firstLineChars="200"/>
        <w:rPr>
          <w:rFonts w:ascii="宋体" w:hAnsi="宋体"/>
          <w:b/>
          <w:sz w:val="32"/>
          <w:szCs w:val="32"/>
        </w:rPr>
      </w:pPr>
      <w:r>
        <w:rPr>
          <w:rFonts w:hint="eastAsia" w:ascii="宋体" w:hAnsi="宋体"/>
          <w:b/>
          <w:sz w:val="32"/>
          <w:szCs w:val="32"/>
        </w:rPr>
        <w:t>代理单位：浙江富昱项目管理有限公司</w:t>
      </w:r>
    </w:p>
    <w:p>
      <w:pPr>
        <w:ind w:firstLine="643" w:firstLineChars="200"/>
        <w:rPr>
          <w:rFonts w:ascii="宋体" w:hAnsi="宋体"/>
          <w:b/>
          <w:sz w:val="32"/>
          <w:szCs w:val="32"/>
        </w:rPr>
      </w:pPr>
      <w:r>
        <w:rPr>
          <w:rFonts w:hint="eastAsia" w:ascii="宋体" w:hAnsi="宋体"/>
          <w:b/>
          <w:sz w:val="32"/>
          <w:szCs w:val="32"/>
        </w:rPr>
        <w:t>备案单位：嘉兴市财政局</w:t>
      </w:r>
    </w:p>
    <w:p>
      <w:pPr>
        <w:ind w:firstLine="643" w:firstLineChars="200"/>
        <w:rPr>
          <w:rFonts w:ascii="宋体" w:hAnsi="宋体"/>
          <w:b/>
          <w:sz w:val="32"/>
          <w:szCs w:val="32"/>
        </w:rPr>
      </w:pPr>
    </w:p>
    <w:p>
      <w:pPr>
        <w:jc w:val="center"/>
        <w:rPr>
          <w:rFonts w:ascii="宋体" w:hAnsi="宋体"/>
          <w:b/>
          <w:sz w:val="32"/>
          <w:szCs w:val="32"/>
        </w:rPr>
      </w:pPr>
      <w:r>
        <w:rPr>
          <w:rFonts w:hint="eastAsia" w:ascii="宋体" w:hAnsi="宋体"/>
          <w:b/>
          <w:sz w:val="32"/>
          <w:szCs w:val="32"/>
        </w:rPr>
        <w:t>2023年0</w:t>
      </w:r>
      <w:r>
        <w:rPr>
          <w:rFonts w:ascii="宋体" w:hAnsi="宋体"/>
          <w:b/>
          <w:sz w:val="32"/>
          <w:szCs w:val="32"/>
        </w:rPr>
        <w:t>8</w:t>
      </w:r>
      <w:r>
        <w:rPr>
          <w:rFonts w:hint="eastAsia" w:ascii="宋体" w:hAnsi="宋体"/>
          <w:b/>
          <w:sz w:val="32"/>
          <w:szCs w:val="32"/>
        </w:rPr>
        <w:t>月</w:t>
      </w:r>
    </w:p>
    <w:p>
      <w:pPr>
        <w:ind w:firstLine="420" w:firstLineChars="200"/>
        <w:outlineLvl w:val="0"/>
        <w:rPr>
          <w:rFonts w:ascii="宋体" w:hAnsi="宋体"/>
        </w:rPr>
        <w:sectPr>
          <w:footerReference r:id="rId5" w:type="default"/>
          <w:footerReference r:id="rId6" w:type="even"/>
          <w:pgSz w:w="11906" w:h="16838"/>
          <w:pgMar w:top="1418" w:right="1134" w:bottom="1134" w:left="1134" w:header="851" w:footer="992" w:gutter="0"/>
          <w:pgNumType w:start="0"/>
          <w:cols w:space="720" w:num="1"/>
          <w:titlePg/>
          <w:docGrid w:linePitch="312" w:charSpace="0"/>
        </w:sectPr>
      </w:pPr>
    </w:p>
    <w:p>
      <w:pPr>
        <w:pStyle w:val="236"/>
        <w:tabs>
          <w:tab w:val="clear" w:pos="1247"/>
        </w:tabs>
        <w:ind w:left="0"/>
        <w:jc w:val="center"/>
        <w:rPr>
          <w:rFonts w:ascii="宋体" w:hAnsi="宋体"/>
          <w:sz w:val="44"/>
          <w:szCs w:val="44"/>
        </w:rPr>
      </w:pPr>
      <w:r>
        <w:rPr>
          <w:rFonts w:hint="eastAsia" w:ascii="宋体" w:hAnsi="宋体"/>
          <w:sz w:val="44"/>
          <w:szCs w:val="44"/>
        </w:rPr>
        <w:t>目录</w:t>
      </w:r>
    </w:p>
    <w:p>
      <w:pPr>
        <w:pStyle w:val="703"/>
        <w:spacing w:before="0" w:line="360" w:lineRule="auto"/>
        <w:ind w:firstLine="480" w:firstLineChars="200"/>
      </w:pPr>
    </w:p>
    <w:p>
      <w:pPr>
        <w:pStyle w:val="35"/>
        <w:tabs>
          <w:tab w:val="right" w:leader="dot" w:pos="9062"/>
        </w:tabs>
        <w:spacing w:line="480" w:lineRule="auto"/>
        <w:rPr>
          <w:rFonts w:ascii="宋体" w:hAnsi="宋体"/>
          <w:sz w:val="24"/>
          <w:szCs w:val="28"/>
          <w:lang/>
        </w:rPr>
      </w:pPr>
      <w:r>
        <w:rPr>
          <w:rFonts w:ascii="宋体" w:hAnsi="宋体"/>
          <w:sz w:val="24"/>
        </w:rPr>
        <w:fldChar w:fldCharType="begin"/>
      </w:r>
      <w:r>
        <w:rPr>
          <w:rFonts w:ascii="宋体" w:hAnsi="宋体"/>
          <w:sz w:val="24"/>
        </w:rPr>
        <w:instrText xml:space="preserve"> TOC \o "1-1" \h \z \u </w:instrText>
      </w:r>
      <w:r>
        <w:rPr>
          <w:rFonts w:ascii="宋体" w:hAnsi="宋体"/>
          <w:sz w:val="24"/>
        </w:rPr>
        <w:fldChar w:fldCharType="separate"/>
      </w: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"_Toc89897650"</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第一章 公开招标公告</w:t>
      </w:r>
      <w:bookmarkStart w:id="0" w:name="_Hlt115455402"/>
      <w:bookmarkStart w:id="1" w:name="_Hlt115455401"/>
      <w:r>
        <w:rPr>
          <w:rFonts w:ascii="宋体" w:hAnsi="宋体"/>
          <w:sz w:val="24"/>
          <w:szCs w:val="32"/>
          <w:lang/>
        </w:rPr>
        <w:tab/>
      </w:r>
      <w:bookmarkEnd w:id="0"/>
      <w:bookmarkEnd w:id="1"/>
      <w:r>
        <w:rPr>
          <w:rFonts w:ascii="宋体" w:hAnsi="宋体"/>
          <w:sz w:val="24"/>
          <w:szCs w:val="32"/>
          <w:lang/>
        </w:rPr>
        <w:fldChar w:fldCharType="begin"/>
      </w:r>
      <w:r>
        <w:rPr>
          <w:rFonts w:ascii="宋体" w:hAnsi="宋体"/>
          <w:sz w:val="24"/>
          <w:szCs w:val="32"/>
          <w:lang/>
        </w:rPr>
        <w:instrText xml:space="preserve"> PAGEREF _Toc89897650 \h </w:instrText>
      </w:r>
      <w:r>
        <w:rPr>
          <w:rFonts w:ascii="宋体" w:hAnsi="宋体"/>
          <w:sz w:val="24"/>
          <w:szCs w:val="32"/>
          <w:lang/>
        </w:rPr>
        <w:fldChar w:fldCharType="separate"/>
      </w:r>
      <w:r>
        <w:rPr>
          <w:rFonts w:ascii="宋体" w:hAnsi="宋体"/>
          <w:sz w:val="24"/>
          <w:szCs w:val="32"/>
          <w:lang/>
        </w:rPr>
        <w:t>1</w:t>
      </w:r>
      <w:r>
        <w:rPr>
          <w:rFonts w:ascii="宋体" w:hAnsi="宋体"/>
          <w:sz w:val="24"/>
          <w:szCs w:val="32"/>
          <w:lang/>
        </w:rPr>
        <w:fldChar w:fldCharType="end"/>
      </w:r>
      <w:r>
        <w:rPr>
          <w:rFonts w:ascii="宋体" w:hAnsi="宋体"/>
          <w:sz w:val="24"/>
          <w:szCs w:val="32"/>
          <w:lang/>
        </w:rPr>
        <w:fldChar w:fldCharType="end"/>
      </w:r>
    </w:p>
    <w:p>
      <w:pPr>
        <w:pStyle w:val="35"/>
        <w:tabs>
          <w:tab w:val="right" w:leader="dot" w:pos="9062"/>
        </w:tabs>
        <w:spacing w:line="480" w:lineRule="auto"/>
        <w:rPr>
          <w:rFonts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"_Toc89897651"</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第二章 招标</w:t>
      </w:r>
      <w:bookmarkStart w:id="2" w:name="_Hlt97112144"/>
      <w:bookmarkStart w:id="3" w:name="_Hlt97112143"/>
      <w:r>
        <w:rPr>
          <w:rStyle w:val="61"/>
          <w:rFonts w:ascii="宋体" w:hAnsi="宋体"/>
          <w:sz w:val="24"/>
          <w:szCs w:val="32"/>
          <w:lang/>
        </w:rPr>
        <w:t>需</w:t>
      </w:r>
      <w:bookmarkEnd w:id="2"/>
      <w:bookmarkEnd w:id="3"/>
      <w:bookmarkStart w:id="4" w:name="_Hlt98314823"/>
      <w:bookmarkStart w:id="5" w:name="_Hlt102386544"/>
      <w:r>
        <w:rPr>
          <w:rStyle w:val="61"/>
          <w:rFonts w:ascii="宋体" w:hAnsi="宋体"/>
          <w:sz w:val="24"/>
          <w:szCs w:val="32"/>
          <w:lang/>
        </w:rPr>
        <w:t>求</w:t>
      </w:r>
      <w:bookmarkEnd w:id="4"/>
      <w:bookmarkEnd w:id="5"/>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_Toc89897651 \h </w:instrText>
      </w:r>
      <w:r>
        <w:rPr>
          <w:rFonts w:ascii="宋体" w:hAnsi="宋体"/>
          <w:sz w:val="24"/>
          <w:szCs w:val="32"/>
          <w:lang/>
        </w:rPr>
        <w:fldChar w:fldCharType="separate"/>
      </w:r>
      <w:r>
        <w:rPr>
          <w:rFonts w:ascii="宋体" w:hAnsi="宋体"/>
          <w:sz w:val="24"/>
          <w:szCs w:val="32"/>
          <w:lang/>
        </w:rPr>
        <w:t>5</w:t>
      </w:r>
      <w:r>
        <w:rPr>
          <w:rFonts w:ascii="宋体" w:hAnsi="宋体"/>
          <w:sz w:val="24"/>
          <w:szCs w:val="32"/>
          <w:lang/>
        </w:rPr>
        <w:fldChar w:fldCharType="end"/>
      </w:r>
      <w:r>
        <w:rPr>
          <w:rFonts w:ascii="宋体" w:hAnsi="宋体"/>
          <w:sz w:val="24"/>
          <w:szCs w:val="32"/>
          <w:lang/>
        </w:rPr>
        <w:fldChar w:fldCharType="end"/>
      </w:r>
    </w:p>
    <w:p>
      <w:pPr>
        <w:pStyle w:val="35"/>
        <w:tabs>
          <w:tab w:val="right" w:leader="dot" w:pos="9062"/>
        </w:tabs>
        <w:spacing w:line="480" w:lineRule="auto"/>
        <w:rPr>
          <w:rFonts w:hint="eastAsia"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"_Toc89897652"</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第三章 供应商</w:t>
      </w:r>
      <w:bookmarkStart w:id="6" w:name="_Hlt106015510"/>
      <w:bookmarkStart w:id="7" w:name="_Hlt106015511"/>
      <w:r>
        <w:rPr>
          <w:rStyle w:val="61"/>
          <w:rFonts w:ascii="宋体" w:hAnsi="宋体"/>
          <w:sz w:val="24"/>
          <w:szCs w:val="32"/>
          <w:lang/>
        </w:rPr>
        <w:t>须</w:t>
      </w:r>
      <w:bookmarkEnd w:id="6"/>
      <w:bookmarkEnd w:id="7"/>
      <w:bookmarkStart w:id="8" w:name="_Hlt115535101"/>
      <w:bookmarkStart w:id="9" w:name="_Hlt115535100"/>
      <w:r>
        <w:rPr>
          <w:rStyle w:val="61"/>
          <w:rFonts w:ascii="宋体" w:hAnsi="宋体"/>
          <w:sz w:val="24"/>
          <w:szCs w:val="32"/>
          <w:lang/>
        </w:rPr>
        <w:t>知</w:t>
      </w:r>
      <w:bookmarkEnd w:id="8"/>
      <w:bookmarkEnd w:id="9"/>
      <w:bookmarkStart w:id="10" w:name="_Hlt116284667"/>
      <w:bookmarkStart w:id="11" w:name="_Hlt116284666"/>
      <w:bookmarkStart w:id="12" w:name="_Hlt116214158"/>
      <w:r>
        <w:rPr>
          <w:rFonts w:ascii="宋体" w:hAnsi="宋体"/>
          <w:sz w:val="24"/>
          <w:szCs w:val="32"/>
          <w:lang/>
        </w:rPr>
        <w:tab/>
      </w:r>
      <w:bookmarkEnd w:id="10"/>
      <w:bookmarkEnd w:id="11"/>
      <w:bookmarkEnd w:id="12"/>
      <w:r>
        <w:rPr>
          <w:rFonts w:ascii="宋体" w:hAnsi="宋体"/>
          <w:sz w:val="24"/>
          <w:szCs w:val="32"/>
          <w:lang/>
        </w:rPr>
        <w:fldChar w:fldCharType="begin"/>
      </w:r>
      <w:r>
        <w:rPr>
          <w:rFonts w:ascii="宋体" w:hAnsi="宋体"/>
          <w:sz w:val="24"/>
          <w:szCs w:val="32"/>
          <w:lang/>
        </w:rPr>
        <w:instrText xml:space="preserve"> PAGEREF _Toc89897652 \h </w:instrText>
      </w:r>
      <w:r>
        <w:rPr>
          <w:rFonts w:ascii="宋体" w:hAnsi="宋体"/>
          <w:sz w:val="24"/>
          <w:szCs w:val="32"/>
          <w:lang/>
        </w:rPr>
        <w:fldChar w:fldCharType="separate"/>
      </w:r>
      <w:r>
        <w:rPr>
          <w:rFonts w:ascii="宋体" w:hAnsi="宋体"/>
          <w:sz w:val="24"/>
          <w:szCs w:val="32"/>
          <w:lang/>
        </w:rPr>
        <w:t>58</w:t>
      </w:r>
      <w:r>
        <w:rPr>
          <w:rFonts w:ascii="宋体" w:hAnsi="宋体"/>
          <w:sz w:val="24"/>
          <w:szCs w:val="32"/>
          <w:lang/>
        </w:rPr>
        <w:fldChar w:fldCharType="end"/>
      </w:r>
      <w:r>
        <w:rPr>
          <w:rFonts w:ascii="宋体" w:hAnsi="宋体"/>
          <w:sz w:val="24"/>
          <w:szCs w:val="32"/>
          <w:lang/>
        </w:rPr>
        <w:fldChar w:fldCharType="end"/>
      </w:r>
    </w:p>
    <w:p>
      <w:pPr>
        <w:pStyle w:val="35"/>
        <w:tabs>
          <w:tab w:val="right" w:leader="dot" w:pos="9062"/>
        </w:tabs>
        <w:spacing w:line="480" w:lineRule="auto"/>
        <w:rPr>
          <w:rFonts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"_Toc89897660"</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第四章 评标办法及评</w:t>
      </w:r>
      <w:bookmarkStart w:id="13" w:name="_Hlt90042841"/>
      <w:bookmarkStart w:id="14" w:name="_Hlt90042840"/>
      <w:r>
        <w:rPr>
          <w:rStyle w:val="61"/>
          <w:rFonts w:ascii="宋体" w:hAnsi="宋体"/>
          <w:sz w:val="24"/>
          <w:szCs w:val="32"/>
          <w:lang/>
        </w:rPr>
        <w:t>分</w:t>
      </w:r>
      <w:bookmarkEnd w:id="13"/>
      <w:bookmarkEnd w:id="14"/>
      <w:r>
        <w:rPr>
          <w:rStyle w:val="61"/>
          <w:rFonts w:ascii="宋体" w:hAnsi="宋体"/>
          <w:sz w:val="24"/>
          <w:szCs w:val="32"/>
          <w:lang/>
        </w:rPr>
        <w:t>标准</w:t>
      </w:r>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_Toc89897660 \h </w:instrText>
      </w:r>
      <w:r>
        <w:rPr>
          <w:rFonts w:ascii="宋体" w:hAnsi="宋体"/>
          <w:sz w:val="24"/>
          <w:szCs w:val="32"/>
          <w:lang/>
        </w:rPr>
        <w:fldChar w:fldCharType="separate"/>
      </w:r>
      <w:r>
        <w:rPr>
          <w:rFonts w:ascii="宋体" w:hAnsi="宋体"/>
          <w:sz w:val="24"/>
          <w:szCs w:val="32"/>
          <w:lang/>
        </w:rPr>
        <w:t>73</w:t>
      </w:r>
      <w:r>
        <w:rPr>
          <w:rFonts w:ascii="宋体" w:hAnsi="宋体"/>
          <w:sz w:val="24"/>
          <w:szCs w:val="32"/>
          <w:lang/>
        </w:rPr>
        <w:fldChar w:fldCharType="end"/>
      </w:r>
      <w:r>
        <w:rPr>
          <w:rFonts w:ascii="宋体" w:hAnsi="宋体"/>
          <w:sz w:val="24"/>
          <w:szCs w:val="32"/>
          <w:lang/>
        </w:rPr>
        <w:fldChar w:fldCharType="end"/>
      </w:r>
    </w:p>
    <w:p>
      <w:pPr>
        <w:pStyle w:val="35"/>
        <w:tabs>
          <w:tab w:val="right" w:leader="dot" w:pos="9062"/>
        </w:tabs>
        <w:spacing w:line="480" w:lineRule="auto"/>
        <w:rPr>
          <w:rFonts w:hint="eastAsia"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"_Toc89897661"</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第五章 政府采购合同主要条款（指引）</w:t>
      </w:r>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_Toc89897661 \h </w:instrText>
      </w:r>
      <w:r>
        <w:rPr>
          <w:rFonts w:ascii="宋体" w:hAnsi="宋体"/>
          <w:sz w:val="24"/>
          <w:szCs w:val="32"/>
          <w:lang/>
        </w:rPr>
        <w:fldChar w:fldCharType="separate"/>
      </w:r>
      <w:r>
        <w:rPr>
          <w:rFonts w:ascii="宋体" w:hAnsi="宋体"/>
          <w:sz w:val="24"/>
          <w:szCs w:val="32"/>
          <w:lang/>
        </w:rPr>
        <w:t>86</w:t>
      </w:r>
      <w:r>
        <w:rPr>
          <w:rFonts w:ascii="宋体" w:hAnsi="宋体"/>
          <w:sz w:val="24"/>
          <w:szCs w:val="32"/>
          <w:lang/>
        </w:rPr>
        <w:fldChar w:fldCharType="end"/>
      </w:r>
      <w:r>
        <w:rPr>
          <w:rFonts w:ascii="宋体" w:hAnsi="宋体"/>
          <w:sz w:val="24"/>
          <w:szCs w:val="32"/>
          <w:lang/>
        </w:rPr>
        <w:fldChar w:fldCharType="end"/>
      </w:r>
    </w:p>
    <w:p>
      <w:pPr>
        <w:pStyle w:val="35"/>
        <w:tabs>
          <w:tab w:val="right" w:leader="dot" w:pos="9062"/>
        </w:tabs>
        <w:spacing w:line="480" w:lineRule="auto"/>
        <w:rPr>
          <w:rFonts w:ascii="宋体" w:hAnsi="宋体"/>
          <w:szCs w:val="22"/>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"_Toc89897664"</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第六章 投</w:t>
      </w:r>
      <w:bookmarkStart w:id="15" w:name="_Hlt106189527"/>
      <w:r>
        <w:rPr>
          <w:rStyle w:val="61"/>
          <w:rFonts w:ascii="宋体" w:hAnsi="宋体"/>
          <w:sz w:val="24"/>
          <w:szCs w:val="32"/>
          <w:lang/>
        </w:rPr>
        <w:t>标</w:t>
      </w:r>
      <w:bookmarkEnd w:id="15"/>
      <w:r>
        <w:rPr>
          <w:rStyle w:val="61"/>
          <w:rFonts w:ascii="宋体" w:hAnsi="宋体"/>
          <w:sz w:val="24"/>
          <w:szCs w:val="32"/>
          <w:lang/>
        </w:rPr>
        <w:t>文</w:t>
      </w:r>
      <w:bookmarkStart w:id="16" w:name="_Hlt116214139"/>
      <w:r>
        <w:rPr>
          <w:rStyle w:val="61"/>
          <w:rFonts w:ascii="宋体" w:hAnsi="宋体"/>
          <w:sz w:val="24"/>
          <w:szCs w:val="32"/>
          <w:lang/>
        </w:rPr>
        <w:t>件</w:t>
      </w:r>
      <w:bookmarkEnd w:id="16"/>
      <w:bookmarkStart w:id="17" w:name="_Hlt90038938"/>
      <w:bookmarkStart w:id="18" w:name="_Hlt90038939"/>
      <w:r>
        <w:rPr>
          <w:rStyle w:val="61"/>
          <w:rFonts w:ascii="宋体" w:hAnsi="宋体"/>
          <w:sz w:val="24"/>
          <w:szCs w:val="32"/>
          <w:lang/>
        </w:rPr>
        <w:t>格</w:t>
      </w:r>
      <w:bookmarkEnd w:id="17"/>
      <w:bookmarkEnd w:id="18"/>
      <w:bookmarkStart w:id="19" w:name="_Hlt104398501"/>
      <w:bookmarkStart w:id="20" w:name="_Hlt104398502"/>
      <w:r>
        <w:rPr>
          <w:rStyle w:val="61"/>
          <w:rFonts w:ascii="宋体" w:hAnsi="宋体"/>
          <w:sz w:val="24"/>
          <w:szCs w:val="32"/>
          <w:lang/>
        </w:rPr>
        <w:t>式</w:t>
      </w:r>
      <w:bookmarkEnd w:id="19"/>
      <w:bookmarkEnd w:id="20"/>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_Toc89897664 \h </w:instrText>
      </w:r>
      <w:r>
        <w:rPr>
          <w:rFonts w:ascii="宋体" w:hAnsi="宋体"/>
          <w:sz w:val="24"/>
          <w:szCs w:val="32"/>
          <w:lang/>
        </w:rPr>
        <w:fldChar w:fldCharType="separate"/>
      </w:r>
      <w:r>
        <w:rPr>
          <w:rFonts w:ascii="宋体" w:hAnsi="宋体"/>
          <w:sz w:val="24"/>
          <w:szCs w:val="32"/>
          <w:lang/>
        </w:rPr>
        <w:t>91</w:t>
      </w:r>
      <w:r>
        <w:rPr>
          <w:rFonts w:ascii="宋体" w:hAnsi="宋体"/>
          <w:sz w:val="24"/>
          <w:szCs w:val="32"/>
          <w:lang/>
        </w:rPr>
        <w:fldChar w:fldCharType="end"/>
      </w:r>
      <w:r>
        <w:rPr>
          <w:rFonts w:ascii="宋体" w:hAnsi="宋体"/>
          <w:sz w:val="24"/>
          <w:szCs w:val="32"/>
          <w:lang/>
        </w:rPr>
        <w:fldChar w:fldCharType="end"/>
      </w:r>
    </w:p>
    <w:p>
      <w:pPr>
        <w:spacing w:line="480" w:lineRule="auto"/>
        <w:ind w:firstLine="480" w:firstLineChars="200"/>
        <w:rPr>
          <w:rFonts w:ascii="宋体" w:hAnsi="宋体"/>
        </w:rPr>
        <w:sectPr>
          <w:pgSz w:w="11906" w:h="16838"/>
          <w:pgMar w:top="1440" w:right="1274" w:bottom="1440" w:left="1560" w:header="851" w:footer="992" w:gutter="0"/>
          <w:pgNumType w:start="0"/>
          <w:cols w:space="720" w:num="1"/>
          <w:titlePg/>
          <w:docGrid w:linePitch="312" w:charSpace="0"/>
        </w:sectPr>
      </w:pPr>
      <w:r>
        <w:rPr>
          <w:rFonts w:ascii="宋体" w:hAnsi="宋体"/>
          <w:sz w:val="24"/>
          <w:szCs w:val="24"/>
        </w:rPr>
        <w:fldChar w:fldCharType="end"/>
      </w:r>
    </w:p>
    <w:p>
      <w:pPr>
        <w:pStyle w:val="4"/>
        <w:ind w:firstLine="602" w:firstLineChars="200"/>
        <w:rPr>
          <w:rFonts w:ascii="宋体" w:hAnsi="宋体"/>
        </w:rPr>
      </w:pPr>
      <w:bookmarkStart w:id="21" w:name="_Toc89897650"/>
      <w:bookmarkStart w:id="22" w:name="_Toc13042322"/>
      <w:r>
        <w:rPr>
          <w:rFonts w:hint="eastAsia" w:ascii="宋体" w:hAnsi="宋体"/>
        </w:rPr>
        <w:t>第一章 公开招标公告</w:t>
      </w:r>
      <w:bookmarkEnd w:id="21"/>
      <w:bookmarkEnd w:id="22"/>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9286" w:type="dxa"/>
            <w:noWrap w:val="0"/>
            <w:vAlign w:val="top"/>
          </w:tcPr>
          <w:p>
            <w:pPr>
              <w:snapToGrid w:val="0"/>
              <w:spacing w:after="60" w:afterLines="25" w:line="360" w:lineRule="exact"/>
              <w:ind w:firstLine="420" w:firstLineChars="200"/>
              <w:contextualSpacing/>
              <w:rPr>
                <w:rFonts w:ascii="宋体" w:hAnsi="宋体"/>
                <w:szCs w:val="21"/>
              </w:rPr>
            </w:pPr>
            <w:r>
              <w:rPr>
                <w:rFonts w:ascii="宋体" w:hAnsi="宋体"/>
                <w:szCs w:val="21"/>
              </w:rPr>
              <w:t>项目概况</w:t>
            </w:r>
          </w:p>
          <w:p>
            <w:pPr>
              <w:snapToGrid w:val="0"/>
              <w:spacing w:after="60" w:afterLines="25" w:line="360" w:lineRule="exact"/>
              <w:ind w:firstLine="420" w:firstLineChars="200"/>
              <w:contextualSpacing/>
              <w:rPr>
                <w:rFonts w:ascii="宋体" w:hAnsi="宋体"/>
                <w:szCs w:val="21"/>
              </w:rPr>
            </w:pPr>
            <w:r>
              <w:rPr>
                <w:rFonts w:ascii="宋体" w:hAnsi="宋体"/>
                <w:szCs w:val="21"/>
              </w:rPr>
              <w:t>2023年度嘉兴市公安局交通警察支队交通设施日常维护、更新项目</w:t>
            </w:r>
            <w:r>
              <w:rPr>
                <w:rFonts w:hint="eastAsia" w:ascii="宋体" w:hAnsi="宋体"/>
                <w:szCs w:val="21"/>
              </w:rPr>
              <w:t>招标项目</w:t>
            </w:r>
            <w:r>
              <w:rPr>
                <w:rFonts w:ascii="宋体" w:hAnsi="宋体"/>
                <w:szCs w:val="21"/>
              </w:rPr>
              <w:t>的潜在</w:t>
            </w:r>
            <w:r>
              <w:rPr>
                <w:rFonts w:hint="eastAsia" w:ascii="宋体" w:hAnsi="宋体"/>
                <w:szCs w:val="21"/>
              </w:rPr>
              <w:t>投标人</w:t>
            </w:r>
            <w:r>
              <w:rPr>
                <w:rFonts w:ascii="宋体" w:hAnsi="宋体"/>
                <w:szCs w:val="21"/>
              </w:rPr>
              <w:t>应在</w:t>
            </w:r>
            <w:r>
              <w:rPr>
                <w:rFonts w:hint="eastAsia" w:ascii="宋体" w:hAnsi="宋体"/>
                <w:szCs w:val="21"/>
              </w:rPr>
              <w:t>政采云平台线上获取</w:t>
            </w:r>
            <w:r>
              <w:rPr>
                <w:rFonts w:ascii="宋体" w:hAnsi="宋体"/>
                <w:szCs w:val="21"/>
              </w:rPr>
              <w:t>（下载）招标文件，并于2023年09月20日09：00（北京时间）前递交（上传）投标文件。</w:t>
            </w:r>
          </w:p>
        </w:tc>
      </w:tr>
    </w:tbl>
    <w:p>
      <w:pPr>
        <w:snapToGrid w:val="0"/>
        <w:spacing w:before="120" w:beforeLines="50"/>
        <w:contextualSpacing/>
        <w:rPr>
          <w:rFonts w:ascii="宋体" w:hAnsi="宋体"/>
          <w:szCs w:val="21"/>
        </w:rPr>
      </w:pPr>
      <w:r>
        <w:rPr>
          <w:rFonts w:hint="eastAsia" w:ascii="宋体" w:hAnsi="宋体"/>
          <w:b/>
          <w:bCs/>
          <w:szCs w:val="21"/>
        </w:rPr>
        <w:t>一、项目基本情况</w:t>
      </w:r>
    </w:p>
    <w:p>
      <w:pPr>
        <w:snapToGrid w:val="0"/>
        <w:ind w:firstLine="420" w:firstLineChars="200"/>
        <w:contextualSpacing/>
        <w:rPr>
          <w:rFonts w:ascii="宋体" w:hAnsi="宋体"/>
          <w:szCs w:val="21"/>
        </w:rPr>
      </w:pPr>
      <w:r>
        <w:rPr>
          <w:rFonts w:ascii="宋体" w:hAnsi="宋体"/>
          <w:szCs w:val="21"/>
        </w:rPr>
        <w:t>项目编号：ZJFY-20230063</w:t>
      </w:r>
    </w:p>
    <w:p>
      <w:pPr>
        <w:snapToGrid w:val="0"/>
        <w:ind w:firstLine="420" w:firstLineChars="200"/>
        <w:contextualSpacing/>
        <w:rPr>
          <w:rFonts w:ascii="宋体" w:hAnsi="宋体"/>
          <w:szCs w:val="21"/>
        </w:rPr>
      </w:pPr>
      <w:r>
        <w:rPr>
          <w:rFonts w:ascii="宋体" w:hAnsi="宋体"/>
          <w:szCs w:val="21"/>
        </w:rPr>
        <w:t>项目名称：2023年度嘉兴市公安局交通警察支队交通设施日常维护、更新项目</w:t>
      </w:r>
    </w:p>
    <w:p>
      <w:pPr>
        <w:snapToGrid w:val="0"/>
        <w:ind w:firstLine="420" w:firstLineChars="200"/>
        <w:contextualSpacing/>
        <w:rPr>
          <w:rFonts w:ascii="宋体" w:hAnsi="宋体"/>
          <w:szCs w:val="21"/>
        </w:rPr>
      </w:pPr>
      <w:r>
        <w:rPr>
          <w:rFonts w:ascii="宋体" w:hAnsi="宋体"/>
          <w:szCs w:val="21"/>
        </w:rPr>
        <w:t>预算金额（元）：</w:t>
      </w:r>
      <w:r>
        <w:rPr>
          <w:rFonts w:hint="eastAsia" w:ascii="宋体" w:hAnsi="宋体"/>
          <w:szCs w:val="21"/>
        </w:rPr>
        <w:t>13590000</w:t>
      </w:r>
    </w:p>
    <w:p>
      <w:pPr>
        <w:snapToGrid w:val="0"/>
        <w:ind w:firstLine="420" w:firstLineChars="200"/>
        <w:contextualSpacing/>
        <w:rPr>
          <w:rFonts w:ascii="宋体" w:hAnsi="宋体"/>
          <w:szCs w:val="21"/>
        </w:rPr>
      </w:pPr>
      <w:r>
        <w:rPr>
          <w:rFonts w:ascii="宋体" w:hAnsi="宋体"/>
          <w:szCs w:val="21"/>
        </w:rPr>
        <w:t>最高限价（元）：10000</w:t>
      </w:r>
      <w:r>
        <w:rPr>
          <w:rFonts w:hint="eastAsia" w:ascii="宋体" w:hAnsi="宋体"/>
          <w:szCs w:val="21"/>
        </w:rPr>
        <w:t>0</w:t>
      </w:r>
      <w:r>
        <w:rPr>
          <w:rFonts w:ascii="宋体" w:hAnsi="宋体"/>
          <w:szCs w:val="21"/>
        </w:rPr>
        <w:t>00</w:t>
      </w:r>
      <w:r>
        <w:rPr>
          <w:rFonts w:hint="eastAsia" w:ascii="宋体" w:hAnsi="宋体"/>
          <w:szCs w:val="21"/>
        </w:rPr>
        <w:t>，209</w:t>
      </w:r>
      <w:r>
        <w:rPr>
          <w:rFonts w:ascii="宋体" w:hAnsi="宋体"/>
          <w:szCs w:val="21"/>
        </w:rPr>
        <w:t>0000</w:t>
      </w:r>
      <w:r>
        <w:rPr>
          <w:rFonts w:hint="eastAsia" w:ascii="宋体" w:hAnsi="宋体"/>
          <w:szCs w:val="21"/>
        </w:rPr>
        <w:t>，</w:t>
      </w:r>
      <w:r>
        <w:rPr>
          <w:rFonts w:ascii="宋体" w:hAnsi="宋体"/>
          <w:szCs w:val="21"/>
        </w:rPr>
        <w:t>1500000</w:t>
      </w:r>
    </w:p>
    <w:p>
      <w:pPr>
        <w:snapToGrid w:val="0"/>
        <w:ind w:firstLine="420" w:firstLineChars="200"/>
        <w:contextualSpacing/>
        <w:rPr>
          <w:rFonts w:hint="eastAsia" w:ascii="宋体" w:hAnsi="宋体"/>
          <w:szCs w:val="21"/>
        </w:rPr>
      </w:pPr>
      <w:r>
        <w:rPr>
          <w:rFonts w:ascii="宋体" w:hAnsi="宋体"/>
          <w:szCs w:val="21"/>
        </w:rPr>
        <w:t>采购需求：</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标项一</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嘉兴市区交通标线复划项目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预算金额（元）：10000</w:t>
      </w:r>
      <w:r>
        <w:rPr>
          <w:rFonts w:hint="eastAsia" w:ascii="宋体" w:hAnsi="宋体"/>
          <w:szCs w:val="21"/>
        </w:rPr>
        <w:t>0</w:t>
      </w:r>
      <w:r>
        <w:rPr>
          <w:rFonts w:ascii="宋体" w:hAnsi="宋体"/>
          <w:szCs w:val="21"/>
        </w:rPr>
        <w:t>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ind w:firstLine="420" w:firstLineChars="200"/>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标项二</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嘉兴市区交通标志、标线、护栏等更新、新增项目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w:t>
      </w:r>
      <w:r>
        <w:rPr>
          <w:rFonts w:hint="eastAsia" w:ascii="宋体" w:hAnsi="宋体"/>
          <w:szCs w:val="21"/>
        </w:rPr>
        <w:t>2090000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snapToGrid w:val="0"/>
        <w:ind w:firstLine="420" w:firstLineChars="200"/>
        <w:contextualSpacing/>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标项三</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嘉兴市区交通信号灯的更新维护项目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预算金额（元）：1500000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ind w:firstLine="420" w:firstLineChars="200"/>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hint="eastAsia" w:ascii="宋体" w:hAnsi="宋体"/>
        </w:rPr>
      </w:pPr>
    </w:p>
    <w:p>
      <w:pPr>
        <w:ind w:firstLine="420" w:firstLineChars="200"/>
        <w:rPr>
          <w:rFonts w:ascii="宋体" w:hAnsi="宋体"/>
          <w:iCs/>
        </w:rPr>
      </w:pPr>
      <w:r>
        <w:rPr>
          <w:rFonts w:ascii="宋体" w:hAnsi="宋体"/>
          <w:iCs/>
        </w:rPr>
        <w:t>合同履约期限：标项1</w:t>
      </w:r>
      <w:r>
        <w:rPr>
          <w:rFonts w:hint="eastAsia" w:ascii="宋体" w:hAnsi="宋体"/>
          <w:iCs/>
        </w:rPr>
        <w:t>、2、3</w:t>
      </w:r>
      <w:r>
        <w:rPr>
          <w:rFonts w:ascii="宋体" w:hAnsi="宋体"/>
          <w:iCs/>
        </w:rPr>
        <w:t>，</w:t>
      </w:r>
      <w:r>
        <w:rPr>
          <w:rFonts w:hint="eastAsia" w:ascii="宋体" w:hAnsi="宋体"/>
          <w:iCs/>
        </w:rPr>
        <w:t>详见采购文件</w:t>
      </w:r>
    </w:p>
    <w:p>
      <w:pPr>
        <w:snapToGrid w:val="0"/>
        <w:ind w:firstLine="420" w:firstLineChars="200"/>
        <w:contextualSpacing/>
        <w:rPr>
          <w:rFonts w:ascii="宋体" w:hAnsi="宋体"/>
          <w:szCs w:val="21"/>
        </w:rPr>
      </w:pPr>
      <w:r>
        <w:rPr>
          <w:rFonts w:ascii="宋体" w:hAnsi="宋体"/>
          <w:szCs w:val="21"/>
        </w:rPr>
        <w:t>本项目（否）接受联合体投标。</w:t>
      </w:r>
    </w:p>
    <w:p>
      <w:pPr>
        <w:snapToGrid w:val="0"/>
        <w:contextualSpacing/>
        <w:rPr>
          <w:rFonts w:ascii="宋体" w:hAnsi="宋体"/>
          <w:b/>
          <w:bCs/>
          <w:szCs w:val="21"/>
        </w:rPr>
      </w:pPr>
      <w:r>
        <w:rPr>
          <w:rFonts w:hint="eastAsia" w:ascii="宋体" w:hAnsi="宋体"/>
          <w:b/>
          <w:bCs/>
          <w:szCs w:val="21"/>
        </w:rPr>
        <w:t>二、申请人的资格要求：</w:t>
      </w:r>
    </w:p>
    <w:p>
      <w:pPr>
        <w:snapToGrid w:val="0"/>
        <w:ind w:firstLine="420" w:firstLineChars="200"/>
        <w:contextualSpacing/>
        <w:rPr>
          <w:rFonts w:ascii="宋体" w:hAnsi="宋体"/>
          <w:szCs w:val="21"/>
        </w:rPr>
      </w:pPr>
      <w:r>
        <w:rPr>
          <w:rFonts w:ascii="宋体" w:hAnsi="宋体"/>
          <w:szCs w:val="21"/>
        </w:rPr>
        <w:t>1.满足《中华人民共和国政府采购法》第二十二条规定；未被“信用中国”（www.creditchina.gov.cn）、中国政府采购网（www.ccgp.gov.cn）列入失信被执行人、重大税收违法案件当事人名单、政府采购严重违法失信行为记录名单。</w:t>
      </w:r>
    </w:p>
    <w:p>
      <w:pPr>
        <w:ind w:firstLine="420" w:firstLineChars="200"/>
        <w:rPr>
          <w:rFonts w:ascii="宋体" w:hAnsi="宋体" w:cs="宋体"/>
          <w:iCs/>
        </w:rPr>
      </w:pPr>
      <w:r>
        <w:rPr>
          <w:rFonts w:ascii="宋体" w:hAnsi="宋体" w:cs="宋体"/>
          <w:iCs/>
        </w:rPr>
        <w:t>2.落实政府采购政策需满足的资格要求：标项1</w:t>
      </w:r>
      <w:r>
        <w:rPr>
          <w:rFonts w:hint="eastAsia" w:ascii="宋体" w:hAnsi="宋体" w:cs="宋体"/>
          <w:iCs/>
        </w:rPr>
        <w:t>、2、3</w:t>
      </w:r>
      <w:r>
        <w:rPr>
          <w:rFonts w:ascii="宋体" w:hAnsi="宋体" w:cs="宋体"/>
          <w:iCs/>
        </w:rPr>
        <w:t>：供应商为中小企业</w:t>
      </w:r>
    </w:p>
    <w:p>
      <w:pPr>
        <w:snapToGrid w:val="0"/>
        <w:ind w:firstLine="420" w:firstLineChars="200"/>
        <w:contextualSpacing/>
        <w:rPr>
          <w:rFonts w:ascii="宋体" w:hAnsi="宋体"/>
          <w:szCs w:val="21"/>
        </w:rPr>
      </w:pPr>
      <w:r>
        <w:rPr>
          <w:rFonts w:ascii="宋体" w:hAnsi="宋体"/>
          <w:szCs w:val="21"/>
        </w:rPr>
        <w:t>3.本项目的特定资格要求：</w:t>
      </w:r>
      <w:r>
        <w:rPr>
          <w:rFonts w:hint="eastAsia" w:ascii="宋体" w:hAnsi="宋体"/>
          <w:szCs w:val="21"/>
        </w:rPr>
        <w:t>无</w:t>
      </w:r>
    </w:p>
    <w:p>
      <w:pPr>
        <w:snapToGrid w:val="0"/>
        <w:contextualSpacing/>
        <w:rPr>
          <w:rFonts w:ascii="宋体" w:hAnsi="宋体"/>
          <w:b/>
          <w:bCs/>
          <w:szCs w:val="21"/>
        </w:rPr>
      </w:pPr>
      <w:r>
        <w:rPr>
          <w:rFonts w:hint="eastAsia" w:ascii="宋体" w:hAnsi="宋体"/>
          <w:b/>
          <w:bCs/>
          <w:szCs w:val="21"/>
        </w:rPr>
        <w:t>三、获取招标文件</w:t>
      </w:r>
    </w:p>
    <w:p>
      <w:pPr>
        <w:snapToGrid w:val="0"/>
        <w:ind w:firstLine="420" w:firstLineChars="200"/>
        <w:contextualSpacing/>
        <w:rPr>
          <w:rFonts w:ascii="宋体" w:hAnsi="宋体"/>
          <w:szCs w:val="21"/>
        </w:rPr>
      </w:pPr>
      <w:r>
        <w:rPr>
          <w:rFonts w:ascii="宋体" w:hAnsi="宋体"/>
          <w:szCs w:val="21"/>
        </w:rPr>
        <w:t>时间：/至2023年09月20日，每天上午00：00至12：00，下午12：00至23：59（北京时间，线上获取法定节假日均可，线下获取文件法定节假日除外）</w:t>
      </w:r>
    </w:p>
    <w:p>
      <w:pPr>
        <w:snapToGrid w:val="0"/>
        <w:ind w:firstLine="420" w:firstLineChars="200"/>
        <w:contextualSpacing/>
        <w:rPr>
          <w:rFonts w:ascii="宋体" w:hAnsi="宋体"/>
          <w:szCs w:val="21"/>
        </w:rPr>
      </w:pPr>
      <w:r>
        <w:rPr>
          <w:rFonts w:ascii="宋体" w:hAnsi="宋体"/>
          <w:szCs w:val="21"/>
        </w:rPr>
        <w:t>地点（网址）：</w:t>
      </w:r>
      <w:r>
        <w:rPr>
          <w:rFonts w:hint="eastAsia" w:ascii="宋体" w:hAnsi="宋体"/>
          <w:szCs w:val="21"/>
        </w:rPr>
        <w:t>政采云平台线上获取</w:t>
      </w:r>
    </w:p>
    <w:p>
      <w:pPr>
        <w:snapToGrid w:val="0"/>
        <w:ind w:firstLine="420" w:firstLineChars="200"/>
        <w:contextualSpacing/>
        <w:rPr>
          <w:rFonts w:ascii="宋体" w:hAnsi="宋体"/>
          <w:szCs w:val="21"/>
        </w:rPr>
      </w:pPr>
      <w:r>
        <w:rPr>
          <w:rFonts w:ascii="宋体" w:hAnsi="宋体"/>
          <w:szCs w:val="21"/>
        </w:rPr>
        <w:t>方式：供应商登录政采云平台https：//www.zcygov.cn/在线申请获取采购文件（进入“项目采购”应用，在获取采购文件菜单中选择项目，申请获取采购文件）</w:t>
      </w:r>
    </w:p>
    <w:p>
      <w:pPr>
        <w:snapToGrid w:val="0"/>
        <w:ind w:firstLine="420" w:firstLineChars="200"/>
        <w:contextualSpacing/>
        <w:rPr>
          <w:rFonts w:ascii="宋体" w:hAnsi="宋体"/>
          <w:szCs w:val="21"/>
        </w:rPr>
      </w:pPr>
      <w:r>
        <w:rPr>
          <w:rFonts w:ascii="宋体" w:hAnsi="宋体"/>
          <w:szCs w:val="21"/>
        </w:rPr>
        <w:t>售价（元）：0</w:t>
      </w:r>
    </w:p>
    <w:p>
      <w:pPr>
        <w:snapToGrid w:val="0"/>
        <w:contextualSpacing/>
        <w:rPr>
          <w:rFonts w:ascii="宋体" w:hAnsi="宋体"/>
          <w:b/>
          <w:bCs/>
          <w:szCs w:val="21"/>
        </w:rPr>
      </w:pPr>
      <w:r>
        <w:rPr>
          <w:rFonts w:hint="eastAsia" w:ascii="宋体" w:hAnsi="宋体"/>
          <w:b/>
          <w:bCs/>
          <w:szCs w:val="21"/>
        </w:rPr>
        <w:t>四、提交投标文件截止时间、开标时间和地点</w:t>
      </w:r>
    </w:p>
    <w:p>
      <w:pPr>
        <w:snapToGrid w:val="0"/>
        <w:ind w:firstLine="420" w:firstLineChars="200"/>
        <w:contextualSpacing/>
        <w:rPr>
          <w:rFonts w:ascii="宋体" w:hAnsi="宋体"/>
          <w:szCs w:val="21"/>
        </w:rPr>
      </w:pPr>
      <w:r>
        <w:rPr>
          <w:rFonts w:ascii="宋体" w:hAnsi="宋体"/>
          <w:szCs w:val="21"/>
        </w:rPr>
        <w:t>提交投标文件截止时间：2023年09月20日09：00（北京时间）</w:t>
      </w:r>
    </w:p>
    <w:p>
      <w:pPr>
        <w:snapToGrid w:val="0"/>
        <w:ind w:firstLine="420" w:firstLineChars="200"/>
        <w:contextualSpacing/>
        <w:rPr>
          <w:rFonts w:ascii="宋体" w:hAnsi="宋体"/>
          <w:szCs w:val="21"/>
        </w:rPr>
      </w:pPr>
      <w:r>
        <w:rPr>
          <w:rFonts w:ascii="宋体" w:hAnsi="宋体"/>
          <w:szCs w:val="21"/>
        </w:rPr>
        <w:t>投标地点（网址）：</w:t>
      </w:r>
      <w:r>
        <w:rPr>
          <w:rFonts w:hint="eastAsia" w:ascii="宋体" w:hAnsi="宋体"/>
          <w:szCs w:val="21"/>
        </w:rPr>
        <w:t>请登录政采云投标客户端投标</w:t>
      </w:r>
    </w:p>
    <w:p>
      <w:pPr>
        <w:snapToGrid w:val="0"/>
        <w:ind w:firstLine="420" w:firstLineChars="200"/>
        <w:contextualSpacing/>
        <w:rPr>
          <w:rFonts w:ascii="宋体" w:hAnsi="宋体"/>
          <w:szCs w:val="21"/>
        </w:rPr>
      </w:pPr>
      <w:r>
        <w:rPr>
          <w:rFonts w:ascii="宋体" w:hAnsi="宋体"/>
          <w:szCs w:val="21"/>
        </w:rPr>
        <w:t>开标时间：2023年09月20日09：00</w:t>
      </w:r>
    </w:p>
    <w:p>
      <w:pPr>
        <w:snapToGrid w:val="0"/>
        <w:ind w:firstLine="420" w:firstLineChars="200"/>
        <w:contextualSpacing/>
        <w:rPr>
          <w:rFonts w:ascii="宋体" w:hAnsi="宋体"/>
          <w:szCs w:val="21"/>
        </w:rPr>
      </w:pPr>
      <w:r>
        <w:rPr>
          <w:rFonts w:ascii="宋体" w:hAnsi="宋体"/>
          <w:szCs w:val="21"/>
        </w:rPr>
        <w:t>开标地点（网址）：</w:t>
      </w:r>
      <w:r>
        <w:rPr>
          <w:rFonts w:hint="eastAsia" w:ascii="宋体" w:hAnsi="宋体"/>
          <w:szCs w:val="21"/>
        </w:rPr>
        <w:t>“政采云”平台电子投标（线上），嘉兴市公共资源交易中心开标室（嘉兴市广场路350号）（线下）</w:t>
      </w:r>
    </w:p>
    <w:p>
      <w:pPr>
        <w:snapToGrid w:val="0"/>
        <w:contextualSpacing/>
        <w:rPr>
          <w:rFonts w:ascii="宋体" w:hAnsi="宋体"/>
          <w:b/>
          <w:bCs/>
          <w:szCs w:val="21"/>
        </w:rPr>
      </w:pPr>
      <w:r>
        <w:rPr>
          <w:rFonts w:hint="eastAsia" w:ascii="宋体" w:hAnsi="宋体"/>
          <w:b/>
          <w:bCs/>
          <w:szCs w:val="21"/>
        </w:rPr>
        <w:t>五、公告期限</w:t>
      </w:r>
    </w:p>
    <w:p>
      <w:pPr>
        <w:snapToGrid w:val="0"/>
        <w:ind w:firstLine="420" w:firstLineChars="200"/>
        <w:contextualSpacing/>
        <w:rPr>
          <w:rFonts w:ascii="宋体" w:hAnsi="宋体"/>
          <w:szCs w:val="21"/>
        </w:rPr>
      </w:pPr>
      <w:r>
        <w:rPr>
          <w:rFonts w:ascii="宋体" w:hAnsi="宋体"/>
          <w:szCs w:val="21"/>
        </w:rPr>
        <w:t>自本公告发布之日起5个工作日。</w:t>
      </w:r>
    </w:p>
    <w:p>
      <w:pPr>
        <w:snapToGrid w:val="0"/>
        <w:contextualSpacing/>
        <w:rPr>
          <w:rFonts w:ascii="宋体" w:hAnsi="宋体"/>
          <w:b/>
          <w:bCs/>
          <w:szCs w:val="21"/>
        </w:rPr>
      </w:pPr>
      <w:r>
        <w:rPr>
          <w:rFonts w:hint="eastAsia" w:ascii="宋体" w:hAnsi="宋体"/>
          <w:b/>
          <w:bCs/>
          <w:szCs w:val="21"/>
        </w:rPr>
        <w:t>六、其他补充事宜</w:t>
      </w:r>
    </w:p>
    <w:p>
      <w:pPr>
        <w:snapToGrid w:val="0"/>
        <w:ind w:firstLine="420" w:firstLineChars="200"/>
        <w:contextualSpacing/>
        <w:rPr>
          <w:rFonts w:ascii="宋体" w:hAnsi="宋体"/>
          <w:szCs w:val="21"/>
        </w:rPr>
      </w:pPr>
      <w:bookmarkStart w:id="23" w:name="_Hlk102757797"/>
      <w:r>
        <w:rPr>
          <w:rFonts w:hint="eastAsia" w:ascii="宋体" w:hAnsi="宋体"/>
          <w:szCs w:val="21"/>
        </w:rPr>
        <w:t>1.《浙江省财政厅关于进一步发挥政府采购政策功能全力推动经济稳进提质的通知》（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pPr>
        <w:snapToGrid w:val="0"/>
        <w:ind w:firstLine="420" w:firstLineChars="200"/>
        <w:contextualSpacing/>
        <w:rPr>
          <w:rFonts w:ascii="宋体" w:hAnsi="宋体"/>
          <w:szCs w:val="21"/>
        </w:rPr>
      </w:pPr>
      <w:r>
        <w:rPr>
          <w:rFonts w:hint="eastAsia" w:ascii="宋体" w:hAnsi="宋体"/>
          <w:szCs w:val="21"/>
        </w:rPr>
        <w:t>2</w:t>
      </w:r>
      <w:r>
        <w:rPr>
          <w:rFonts w:ascii="宋体" w:hAnsi="宋体"/>
          <w:szCs w:val="21"/>
        </w:rPr>
        <w:t>.</w:t>
      </w:r>
      <w:r>
        <w:rPr>
          <w:rFonts w:hint="eastAsia" w:ascii="宋体" w:hAnsi="宋体"/>
          <w:szCs w:val="21"/>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napToGrid w:val="0"/>
        <w:ind w:firstLine="420" w:firstLineChars="200"/>
        <w:contextualSpacing/>
        <w:rPr>
          <w:rFonts w:ascii="宋体" w:hAnsi="宋体"/>
          <w:szCs w:val="21"/>
        </w:rPr>
      </w:pPr>
      <w:r>
        <w:rPr>
          <w:rFonts w:hint="eastAsia" w:ascii="宋体" w:hAnsi="宋体"/>
          <w:szCs w:val="21"/>
        </w:rPr>
        <w:t>3</w:t>
      </w:r>
      <w:r>
        <w:rPr>
          <w:rFonts w:ascii="宋体" w:hAnsi="宋体"/>
          <w:szCs w:val="21"/>
        </w:rPr>
        <w:t>.</w:t>
      </w:r>
      <w:r>
        <w:rPr>
          <w:rFonts w:hint="eastAsia" w:ascii="宋体" w:hAnsi="宋体"/>
          <w:szCs w:val="21"/>
        </w:rPr>
        <w:t>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napToGrid w:val="0"/>
        <w:ind w:firstLine="420" w:firstLineChars="200"/>
        <w:contextualSpacing/>
        <w:rPr>
          <w:rFonts w:ascii="宋体" w:hAnsi="宋体"/>
          <w:szCs w:val="21"/>
        </w:rPr>
      </w:pPr>
      <w:r>
        <w:rPr>
          <w:rFonts w:ascii="宋体" w:hAnsi="宋体"/>
          <w:szCs w:val="21"/>
        </w:rPr>
        <w:t>4.</w:t>
      </w:r>
      <w:r>
        <w:rPr>
          <w:rFonts w:hint="eastAsia" w:ascii="宋体" w:hAnsi="宋体"/>
          <w:szCs w:val="21"/>
        </w:rPr>
        <w:t>其他事项：</w:t>
      </w:r>
    </w:p>
    <w:bookmarkEnd w:id="23"/>
    <w:p>
      <w:pPr>
        <w:snapToGrid w:val="0"/>
        <w:ind w:firstLine="420" w:firstLineChars="200"/>
        <w:contextualSpacing/>
        <w:rPr>
          <w:rFonts w:ascii="宋体" w:hAnsi="宋体"/>
          <w:szCs w:val="21"/>
        </w:rPr>
      </w:pPr>
      <w:r>
        <w:rPr>
          <w:rFonts w:hint="eastAsia" w:ascii="宋体" w:hAnsi="宋体"/>
          <w:szCs w:val="21"/>
        </w:rPr>
        <w:t>（1）</w:t>
      </w:r>
      <w:r>
        <w:rPr>
          <w:rFonts w:ascii="宋体" w:hAnsi="宋体"/>
        </w:rPr>
        <w:t>为支持和促进中小企业发展，进一步发挥政府采购政策功能，鼓励供应商使用</w:t>
      </w:r>
      <w:r>
        <w:rPr>
          <w:rFonts w:ascii="宋体" w:hAnsi="宋体"/>
          <w:b/>
        </w:rPr>
        <w:t>保险/保函替代保证金</w:t>
      </w:r>
      <w:r>
        <w:rPr>
          <w:rFonts w:ascii="宋体" w:hAnsi="宋体"/>
        </w:rPr>
        <w:t>及</w:t>
      </w:r>
      <w:r>
        <w:rPr>
          <w:rFonts w:ascii="宋体" w:hAnsi="宋体"/>
          <w:b/>
        </w:rPr>
        <w:t>进行预付款增信</w:t>
      </w:r>
      <w:r>
        <w:rPr>
          <w:rFonts w:ascii="宋体" w:hAnsi="宋体"/>
        </w:rPr>
        <w:t>，支持供应商基于中标项目进行</w:t>
      </w:r>
      <w:r>
        <w:rPr>
          <w:rFonts w:ascii="宋体" w:hAnsi="宋体"/>
          <w:b/>
        </w:rPr>
        <w:t>应收账款融资</w:t>
      </w:r>
      <w:r>
        <w:rPr>
          <w:rFonts w:ascii="宋体" w:hAnsi="宋体"/>
        </w:rPr>
        <w:t>。成交供应商若想了解或使用相关服务，</w:t>
      </w:r>
      <w:r>
        <w:rPr>
          <w:rFonts w:hint="eastAsia" w:ascii="宋体" w:hAnsi="宋体"/>
        </w:rPr>
        <w:t>可通过政采云平台或其他渠道进行咨询。</w:t>
      </w:r>
      <w:r>
        <w:rPr>
          <w:rFonts w:ascii="宋体" w:hAnsi="宋体"/>
          <w:b/>
        </w:rPr>
        <w:t>政采云金融热线400-903-9583</w:t>
      </w:r>
      <w:r>
        <w:rPr>
          <w:rFonts w:ascii="宋体" w:hAnsi="宋体"/>
        </w:rPr>
        <w:t>，</w:t>
      </w:r>
      <w:r>
        <w:rPr>
          <w:rFonts w:hint="eastAsia" w:ascii="宋体" w:hAnsi="宋体"/>
        </w:rPr>
        <w:t>也可登录</w:t>
      </w:r>
      <w:r>
        <w:rPr>
          <w:rFonts w:ascii="宋体" w:hAnsi="宋体"/>
          <w:b/>
        </w:rPr>
        <w:t>政采云平台查看相应政策文件及各相关服务方案∶</w:t>
      </w:r>
      <w:r>
        <w:rPr>
          <w:rFonts w:ascii="宋体" w:hAnsi="宋体"/>
        </w:rPr>
        <w:t>https：//jinrong.zcygov.cn/finance-service/#/home</w:t>
      </w:r>
    </w:p>
    <w:p>
      <w:pPr>
        <w:snapToGrid w:val="0"/>
        <w:ind w:firstLine="420" w:firstLineChars="200"/>
        <w:contextualSpacing/>
        <w:rPr>
          <w:rFonts w:ascii="宋体" w:hAnsi="宋体"/>
          <w:szCs w:val="21"/>
        </w:rPr>
      </w:pPr>
      <w:r>
        <w:rPr>
          <w:rFonts w:hint="eastAsia" w:ascii="宋体" w:hAnsi="宋体"/>
          <w:szCs w:val="21"/>
        </w:rPr>
        <w:t>（2）采购项目需要落实的政府采购政策：《政府采购促进中小企业发展管理办法》（财库﹝2020﹞46号）、《关于促进残疾人就业政府采购政策的通知》（财库〔2017〕141号）、《关于政府采购支持监狱企业发展有关问题的通知》（财库[2014]68号）、《关于调整优化节能产品环境标志产品政府采购执行机制的通知》（财库[2019]9号）。</w:t>
      </w:r>
    </w:p>
    <w:p>
      <w:pPr>
        <w:snapToGrid w:val="0"/>
        <w:ind w:firstLine="420" w:firstLineChars="200"/>
        <w:contextualSpacing/>
        <w:rPr>
          <w:rFonts w:ascii="宋体" w:hAnsi="宋体"/>
          <w:szCs w:val="21"/>
        </w:rPr>
      </w:pPr>
      <w:r>
        <w:rPr>
          <w:rFonts w:hint="eastAsia" w:ascii="宋体" w:hAnsi="宋体"/>
          <w:szCs w:val="21"/>
        </w:rPr>
        <w:t>（3）本项目采取电子招投标，电子招投标有关事项说明：</w:t>
      </w:r>
    </w:p>
    <w:p>
      <w:pPr>
        <w:snapToGrid w:val="0"/>
        <w:ind w:firstLine="420" w:firstLineChars="200"/>
        <w:contextualSpacing/>
        <w:rPr>
          <w:rFonts w:ascii="宋体" w:hAnsi="宋体"/>
          <w:szCs w:val="21"/>
        </w:rPr>
      </w:pPr>
      <w:r>
        <w:rPr>
          <w:rFonts w:hint="eastAsia" w:ascii="宋体" w:hAnsi="宋体"/>
          <w:szCs w:val="21"/>
        </w:rPr>
        <w:t>A.本项目通过“浙江政府采购网（http：//zfcg.czt.zj.gov.cn）”实行电子投标，供应商须安装客户端软件，并按照采购文件和电子交易平台的要求制作投标文件。</w:t>
      </w:r>
    </w:p>
    <w:p>
      <w:pPr>
        <w:snapToGrid w:val="0"/>
        <w:ind w:firstLine="420" w:firstLineChars="200"/>
        <w:contextualSpacing/>
        <w:rPr>
          <w:rFonts w:ascii="宋体" w:hAnsi="宋体"/>
          <w:szCs w:val="21"/>
        </w:rPr>
      </w:pPr>
      <w:r>
        <w:rPr>
          <w:rFonts w:hint="eastAsia" w:ascii="宋体" w:hAnsi="宋体"/>
          <w:szCs w:val="21"/>
        </w:rPr>
        <w:t>客户端软件下载方式：供应商可通过“浙江政府采购网-下载专区-电子交易客户端”进行下载。</w:t>
      </w:r>
    </w:p>
    <w:p>
      <w:pPr>
        <w:snapToGrid w:val="0"/>
        <w:ind w:firstLine="420" w:firstLineChars="200"/>
        <w:contextualSpacing/>
        <w:rPr>
          <w:rFonts w:ascii="宋体" w:hAnsi="宋体"/>
          <w:szCs w:val="21"/>
        </w:rPr>
      </w:pPr>
      <w:r>
        <w:rPr>
          <w:rFonts w:hint="eastAsia" w:ascii="宋体" w:hAnsi="宋体"/>
          <w:szCs w:val="21"/>
        </w:rPr>
        <w:t>B.供应商须申领CA，并在浙江政府采购网完成绑定方可进行投标文件的编制，CA相关操作可参考“浙江政府采购网-下载专区-电子交易客户端-CA驱动和申领流程”。</w:t>
      </w:r>
    </w:p>
    <w:p>
      <w:pPr>
        <w:snapToGrid w:val="0"/>
        <w:ind w:firstLine="420" w:firstLineChars="200"/>
        <w:contextualSpacing/>
        <w:rPr>
          <w:rFonts w:hint="eastAsia" w:ascii="宋体" w:hAnsi="宋体"/>
          <w:szCs w:val="21"/>
        </w:rPr>
      </w:pPr>
      <w:r>
        <w:rPr>
          <w:rFonts w:hint="eastAsia" w:ascii="宋体" w:hAnsi="宋体"/>
          <w:szCs w:val="21"/>
        </w:rPr>
        <w:t>若对项目采购电子交易系统操作有疑问，可登录政采云。</w:t>
      </w:r>
    </w:p>
    <w:p>
      <w:pPr>
        <w:snapToGrid w:val="0"/>
        <w:ind w:firstLine="420" w:firstLineChars="200"/>
        <w:contextualSpacing/>
        <w:rPr>
          <w:rFonts w:hint="eastAsia" w:ascii="宋体" w:hAnsi="宋体"/>
          <w:szCs w:val="21"/>
        </w:rPr>
      </w:pPr>
      <w:r>
        <w:rPr>
          <w:rFonts w:hint="eastAsia" w:ascii="宋体" w:hAnsi="宋体"/>
          <w:szCs w:val="21"/>
        </w:rPr>
        <w:t>（</w:t>
      </w:r>
      <w:r>
        <w:rPr>
          <w:rFonts w:ascii="宋体" w:hAnsi="宋体"/>
          <w:szCs w:val="21"/>
        </w:rPr>
        <w:t>4</w:t>
      </w:r>
      <w:r>
        <w:rPr>
          <w:rFonts w:hint="eastAsia" w:ascii="宋体" w:hAnsi="宋体"/>
          <w:szCs w:val="21"/>
        </w:rPr>
        <w:t>）本采购项目，中标供应商与采购人签订的政府采购合同适用于嘉兴市政府采购贷款政策，简称“政采贷”，具体内容可参阅政府采购贷款流程：http：//www.jxzbtb.cn/zxfw/005012/20181016/7e541bf4-ad29-4286-ace8-d12c1b2c54fc.html</w:t>
      </w:r>
    </w:p>
    <w:p>
      <w:pPr>
        <w:snapToGrid w:val="0"/>
        <w:contextualSpacing/>
        <w:rPr>
          <w:rFonts w:ascii="宋体" w:hAnsi="宋体"/>
          <w:b/>
          <w:bCs/>
          <w:szCs w:val="21"/>
        </w:rPr>
      </w:pPr>
      <w:r>
        <w:rPr>
          <w:rFonts w:hint="eastAsia" w:ascii="宋体" w:hAnsi="宋体"/>
          <w:b/>
          <w:bCs/>
          <w:szCs w:val="21"/>
        </w:rPr>
        <w:t>七、对本次采购提出询问、质疑、投诉，请按以下方式联系</w:t>
      </w:r>
    </w:p>
    <w:p>
      <w:pPr>
        <w:snapToGrid w:val="0"/>
        <w:ind w:firstLine="420" w:firstLineChars="200"/>
        <w:contextualSpacing/>
        <w:rPr>
          <w:rFonts w:ascii="宋体" w:hAnsi="宋体"/>
          <w:szCs w:val="21"/>
        </w:rPr>
      </w:pPr>
      <w:r>
        <w:rPr>
          <w:rFonts w:hint="eastAsia" w:ascii="宋体" w:hAnsi="宋体"/>
          <w:szCs w:val="21"/>
        </w:rPr>
        <w:t>1.采购人信息</w:t>
      </w:r>
    </w:p>
    <w:p>
      <w:pPr>
        <w:snapToGrid w:val="0"/>
        <w:ind w:firstLine="420" w:firstLineChars="200"/>
        <w:contextualSpacing/>
        <w:rPr>
          <w:rFonts w:ascii="宋体" w:hAnsi="宋体"/>
          <w:szCs w:val="21"/>
        </w:rPr>
      </w:pPr>
      <w:r>
        <w:rPr>
          <w:rFonts w:hint="eastAsia" w:ascii="宋体" w:hAnsi="宋体"/>
          <w:szCs w:val="21"/>
        </w:rPr>
        <w:t>名称：嘉兴市公安局交通警察支队</w:t>
      </w:r>
    </w:p>
    <w:p>
      <w:pPr>
        <w:snapToGrid w:val="0"/>
        <w:ind w:firstLine="420" w:firstLineChars="200"/>
        <w:contextualSpacing/>
        <w:rPr>
          <w:rFonts w:ascii="宋体" w:hAnsi="宋体"/>
          <w:szCs w:val="21"/>
        </w:rPr>
      </w:pPr>
      <w:r>
        <w:rPr>
          <w:rFonts w:hint="eastAsia" w:ascii="宋体" w:hAnsi="宋体"/>
          <w:szCs w:val="21"/>
        </w:rPr>
        <w:t>地址：嘉兴市中山西路439号</w:t>
      </w:r>
    </w:p>
    <w:p>
      <w:pPr>
        <w:snapToGrid w:val="0"/>
        <w:ind w:firstLine="420" w:firstLineChars="200"/>
        <w:contextualSpacing/>
        <w:rPr>
          <w:rFonts w:ascii="宋体" w:hAnsi="宋体"/>
          <w:szCs w:val="21"/>
        </w:rPr>
      </w:pPr>
      <w:r>
        <w:rPr>
          <w:rFonts w:hint="eastAsia" w:ascii="宋体" w:hAnsi="宋体"/>
          <w:szCs w:val="21"/>
        </w:rPr>
        <w:t>传真：/</w:t>
      </w:r>
    </w:p>
    <w:p>
      <w:pPr>
        <w:snapToGrid w:val="0"/>
        <w:ind w:firstLine="420" w:firstLineChars="200"/>
        <w:contextualSpacing/>
        <w:rPr>
          <w:rFonts w:ascii="宋体" w:hAnsi="宋体"/>
          <w:szCs w:val="21"/>
        </w:rPr>
      </w:pPr>
      <w:r>
        <w:rPr>
          <w:rFonts w:hint="eastAsia" w:ascii="宋体" w:hAnsi="宋体"/>
          <w:szCs w:val="21"/>
        </w:rPr>
        <w:t>项目联系人（询问）：</w:t>
      </w:r>
      <w:r>
        <w:rPr>
          <w:rFonts w:hint="eastAsia" w:ascii="宋体" w:hAnsi="宋体" w:cs="宋体"/>
          <w:szCs w:val="21"/>
        </w:rPr>
        <w:t>吴警官</w:t>
      </w:r>
    </w:p>
    <w:p>
      <w:pPr>
        <w:snapToGrid w:val="0"/>
        <w:ind w:firstLine="420" w:firstLineChars="200"/>
        <w:contextualSpacing/>
        <w:rPr>
          <w:rFonts w:ascii="宋体" w:hAnsi="宋体"/>
          <w:szCs w:val="21"/>
        </w:rPr>
      </w:pPr>
      <w:r>
        <w:rPr>
          <w:rFonts w:hint="eastAsia" w:ascii="宋体" w:hAnsi="宋体"/>
          <w:szCs w:val="21"/>
        </w:rPr>
        <w:t>项目联系方式（询问）：</w:t>
      </w:r>
      <w:r>
        <w:rPr>
          <w:rFonts w:ascii="宋体" w:hAnsi="宋体" w:cs="宋体"/>
          <w:szCs w:val="21"/>
        </w:rPr>
        <w:t>0573-82086475</w:t>
      </w:r>
    </w:p>
    <w:p>
      <w:pPr>
        <w:snapToGrid w:val="0"/>
        <w:ind w:firstLine="420" w:firstLineChars="200"/>
        <w:contextualSpacing/>
        <w:rPr>
          <w:rFonts w:ascii="宋体" w:hAnsi="宋体"/>
          <w:szCs w:val="21"/>
        </w:rPr>
      </w:pPr>
      <w:r>
        <w:rPr>
          <w:rFonts w:hint="eastAsia" w:ascii="宋体" w:hAnsi="宋体"/>
          <w:szCs w:val="21"/>
        </w:rPr>
        <w:t>质疑联系人：焉警官</w:t>
      </w:r>
    </w:p>
    <w:p>
      <w:pPr>
        <w:snapToGrid w:val="0"/>
        <w:ind w:firstLine="420" w:firstLineChars="200"/>
        <w:contextualSpacing/>
        <w:rPr>
          <w:rFonts w:ascii="宋体" w:hAnsi="宋体"/>
          <w:szCs w:val="21"/>
        </w:rPr>
      </w:pPr>
      <w:r>
        <w:rPr>
          <w:rFonts w:hint="eastAsia" w:ascii="宋体" w:hAnsi="宋体"/>
          <w:szCs w:val="21"/>
        </w:rPr>
        <w:t>质疑联系方式：</w:t>
      </w:r>
      <w:r>
        <w:rPr>
          <w:rFonts w:ascii="宋体" w:hAnsi="宋体"/>
          <w:szCs w:val="21"/>
        </w:rPr>
        <w:t>0573-82086537</w:t>
      </w:r>
    </w:p>
    <w:p>
      <w:pPr>
        <w:snapToGrid w:val="0"/>
        <w:ind w:firstLine="420" w:firstLineChars="200"/>
        <w:contextualSpacing/>
        <w:rPr>
          <w:rFonts w:hint="eastAsia" w:ascii="宋体" w:hAnsi="宋体"/>
          <w:szCs w:val="21"/>
        </w:rPr>
      </w:pPr>
    </w:p>
    <w:p>
      <w:pPr>
        <w:snapToGrid w:val="0"/>
        <w:ind w:firstLine="420" w:firstLineChars="200"/>
        <w:contextualSpacing/>
        <w:rPr>
          <w:rFonts w:ascii="宋体" w:hAnsi="宋体"/>
          <w:szCs w:val="21"/>
        </w:rPr>
      </w:pPr>
      <w:r>
        <w:rPr>
          <w:rFonts w:hint="eastAsia" w:ascii="宋体" w:hAnsi="宋体"/>
          <w:szCs w:val="21"/>
        </w:rPr>
        <w:t>2.采购代理机构信息</w:t>
      </w:r>
    </w:p>
    <w:p>
      <w:pPr>
        <w:snapToGrid w:val="0"/>
        <w:ind w:firstLine="420" w:firstLineChars="200"/>
        <w:contextualSpacing/>
        <w:rPr>
          <w:rFonts w:ascii="宋体" w:hAnsi="宋体"/>
          <w:szCs w:val="21"/>
        </w:rPr>
      </w:pPr>
      <w:r>
        <w:rPr>
          <w:rFonts w:hint="eastAsia" w:ascii="宋体" w:hAnsi="宋体"/>
          <w:szCs w:val="21"/>
        </w:rPr>
        <w:t>名称：浙江富昱项目管理有限公司</w:t>
      </w:r>
    </w:p>
    <w:p>
      <w:pPr>
        <w:snapToGrid w:val="0"/>
        <w:ind w:firstLine="420" w:firstLineChars="200"/>
        <w:contextualSpacing/>
        <w:rPr>
          <w:rFonts w:ascii="宋体" w:hAnsi="宋体"/>
          <w:szCs w:val="21"/>
        </w:rPr>
      </w:pPr>
      <w:r>
        <w:rPr>
          <w:rFonts w:hint="eastAsia" w:ascii="宋体" w:hAnsi="宋体"/>
          <w:szCs w:val="21"/>
        </w:rPr>
        <w:t>地址：嘉兴市秀洲区高照街道丽晶广场1幢1401-1</w:t>
      </w:r>
    </w:p>
    <w:p>
      <w:pPr>
        <w:snapToGrid w:val="0"/>
        <w:ind w:firstLine="420" w:firstLineChars="200"/>
        <w:contextualSpacing/>
        <w:rPr>
          <w:rFonts w:ascii="宋体" w:hAnsi="宋体"/>
          <w:szCs w:val="21"/>
        </w:rPr>
      </w:pPr>
      <w:r>
        <w:rPr>
          <w:rFonts w:hint="eastAsia" w:ascii="宋体" w:hAnsi="宋体"/>
          <w:szCs w:val="21"/>
        </w:rPr>
        <w:t>传真：</w:t>
      </w:r>
      <w:r>
        <w:rPr>
          <w:rFonts w:ascii="宋体" w:hAnsi="宋体"/>
          <w:szCs w:val="21"/>
        </w:rPr>
        <w:t>/</w:t>
      </w:r>
    </w:p>
    <w:p>
      <w:pPr>
        <w:snapToGrid w:val="0"/>
        <w:ind w:firstLine="420" w:firstLineChars="200"/>
        <w:contextualSpacing/>
        <w:rPr>
          <w:rFonts w:ascii="宋体" w:hAnsi="宋体"/>
          <w:szCs w:val="21"/>
        </w:rPr>
      </w:pPr>
      <w:r>
        <w:rPr>
          <w:rFonts w:hint="eastAsia" w:ascii="宋体" w:hAnsi="宋体"/>
          <w:szCs w:val="21"/>
        </w:rPr>
        <w:t>项目联系人（询问）：宋水清</w:t>
      </w:r>
    </w:p>
    <w:p>
      <w:pPr>
        <w:snapToGrid w:val="0"/>
        <w:ind w:firstLine="420" w:firstLineChars="200"/>
        <w:contextualSpacing/>
        <w:rPr>
          <w:rFonts w:ascii="宋体" w:hAnsi="宋体"/>
          <w:szCs w:val="21"/>
        </w:rPr>
      </w:pPr>
      <w:r>
        <w:rPr>
          <w:rFonts w:hint="eastAsia" w:ascii="宋体" w:hAnsi="宋体"/>
          <w:szCs w:val="21"/>
        </w:rPr>
        <w:t>项目联系方式（询问）：</w:t>
      </w:r>
      <w:r>
        <w:rPr>
          <w:rFonts w:ascii="宋体" w:hAnsi="宋体"/>
          <w:szCs w:val="21"/>
        </w:rPr>
        <w:t>15888364231</w:t>
      </w:r>
    </w:p>
    <w:p>
      <w:pPr>
        <w:snapToGrid w:val="0"/>
        <w:ind w:firstLine="420" w:firstLineChars="200"/>
        <w:contextualSpacing/>
        <w:rPr>
          <w:rFonts w:ascii="宋体" w:hAnsi="宋体"/>
          <w:szCs w:val="21"/>
        </w:rPr>
      </w:pPr>
      <w:r>
        <w:rPr>
          <w:rFonts w:hint="eastAsia" w:ascii="宋体" w:hAnsi="宋体"/>
          <w:szCs w:val="21"/>
        </w:rPr>
        <w:t>质疑联系人：程丽霞</w:t>
      </w:r>
    </w:p>
    <w:p>
      <w:pPr>
        <w:snapToGrid w:val="0"/>
        <w:ind w:firstLine="420" w:firstLineChars="200"/>
        <w:contextualSpacing/>
        <w:rPr>
          <w:rFonts w:ascii="宋体" w:hAnsi="宋体"/>
          <w:szCs w:val="21"/>
        </w:rPr>
      </w:pPr>
      <w:r>
        <w:rPr>
          <w:rFonts w:hint="eastAsia" w:ascii="宋体" w:hAnsi="宋体"/>
          <w:szCs w:val="21"/>
        </w:rPr>
        <w:t>质疑联系方式：0573-82281307</w:t>
      </w:r>
    </w:p>
    <w:p>
      <w:pPr>
        <w:snapToGrid w:val="0"/>
        <w:ind w:firstLine="420" w:firstLineChars="200"/>
        <w:contextualSpacing/>
        <w:rPr>
          <w:rFonts w:hint="eastAsia" w:ascii="宋体" w:hAnsi="宋体"/>
          <w:szCs w:val="21"/>
        </w:rPr>
      </w:pPr>
    </w:p>
    <w:p>
      <w:pPr>
        <w:snapToGrid w:val="0"/>
        <w:ind w:firstLine="420" w:firstLineChars="200"/>
        <w:contextualSpacing/>
        <w:rPr>
          <w:rFonts w:ascii="宋体" w:hAnsi="宋体"/>
          <w:szCs w:val="21"/>
        </w:rPr>
      </w:pPr>
      <w:r>
        <w:rPr>
          <w:rFonts w:hint="eastAsia" w:ascii="宋体" w:hAnsi="宋体"/>
          <w:szCs w:val="21"/>
        </w:rPr>
        <w:t>3.同级政府采购监督管理部门</w:t>
      </w:r>
    </w:p>
    <w:p>
      <w:pPr>
        <w:snapToGrid w:val="0"/>
        <w:ind w:firstLine="420" w:firstLineChars="200"/>
        <w:contextualSpacing/>
        <w:rPr>
          <w:rFonts w:ascii="宋体" w:hAnsi="宋体"/>
          <w:szCs w:val="21"/>
        </w:rPr>
      </w:pPr>
      <w:r>
        <w:rPr>
          <w:rFonts w:hint="eastAsia" w:ascii="宋体" w:hAnsi="宋体"/>
          <w:szCs w:val="21"/>
        </w:rPr>
        <w:t>名称：嘉兴市财政局</w:t>
      </w:r>
    </w:p>
    <w:p>
      <w:pPr>
        <w:snapToGrid w:val="0"/>
        <w:ind w:firstLine="420" w:firstLineChars="200"/>
        <w:contextualSpacing/>
        <w:rPr>
          <w:rFonts w:ascii="宋体" w:hAnsi="宋体"/>
          <w:szCs w:val="21"/>
        </w:rPr>
      </w:pPr>
      <w:r>
        <w:rPr>
          <w:rFonts w:hint="eastAsia" w:ascii="宋体" w:hAnsi="宋体"/>
          <w:szCs w:val="21"/>
        </w:rPr>
        <w:t>地址：</w:t>
      </w:r>
      <w:r>
        <w:rPr>
          <w:rFonts w:ascii="宋体" w:hAnsi="宋体"/>
          <w:szCs w:val="21"/>
        </w:rPr>
        <w:t>嘉兴市</w:t>
      </w:r>
      <w:r>
        <w:rPr>
          <w:rFonts w:hint="eastAsia" w:ascii="宋体" w:hAnsi="宋体"/>
          <w:szCs w:val="21"/>
        </w:rPr>
        <w:t>环城西路5</w:t>
      </w:r>
      <w:r>
        <w:rPr>
          <w:rFonts w:ascii="宋体" w:hAnsi="宋体"/>
          <w:szCs w:val="21"/>
        </w:rPr>
        <w:t>5</w:t>
      </w:r>
      <w:r>
        <w:rPr>
          <w:rFonts w:hint="eastAsia" w:ascii="宋体" w:hAnsi="宋体"/>
          <w:szCs w:val="21"/>
        </w:rPr>
        <w:t>号</w:t>
      </w:r>
    </w:p>
    <w:p>
      <w:pPr>
        <w:snapToGrid w:val="0"/>
        <w:ind w:firstLine="420" w:firstLineChars="200"/>
        <w:contextualSpacing/>
        <w:rPr>
          <w:rFonts w:ascii="宋体" w:hAnsi="宋体"/>
          <w:szCs w:val="21"/>
        </w:rPr>
      </w:pPr>
      <w:r>
        <w:rPr>
          <w:rFonts w:hint="eastAsia" w:ascii="宋体" w:hAnsi="宋体"/>
          <w:szCs w:val="21"/>
        </w:rPr>
        <w:t>传真：/</w:t>
      </w:r>
    </w:p>
    <w:p>
      <w:pPr>
        <w:snapToGrid w:val="0"/>
        <w:ind w:firstLine="420" w:firstLineChars="200"/>
        <w:contextualSpacing/>
        <w:rPr>
          <w:rFonts w:ascii="宋体" w:hAnsi="宋体"/>
          <w:szCs w:val="21"/>
        </w:rPr>
      </w:pPr>
      <w:r>
        <w:rPr>
          <w:rFonts w:hint="eastAsia" w:ascii="宋体" w:hAnsi="宋体"/>
          <w:szCs w:val="21"/>
        </w:rPr>
        <w:t>联系人：嘉兴市财政局</w:t>
      </w:r>
    </w:p>
    <w:p>
      <w:pPr>
        <w:snapToGrid w:val="0"/>
        <w:ind w:firstLine="420" w:firstLineChars="200"/>
        <w:contextualSpacing/>
        <w:rPr>
          <w:rFonts w:ascii="宋体" w:hAnsi="宋体"/>
          <w:szCs w:val="21"/>
        </w:rPr>
      </w:pPr>
      <w:r>
        <w:rPr>
          <w:rFonts w:hint="eastAsia" w:ascii="宋体" w:hAnsi="宋体"/>
          <w:szCs w:val="21"/>
        </w:rPr>
        <w:t>监督投诉电话：0573-82031217</w:t>
      </w:r>
    </w:p>
    <w:p>
      <w:pPr>
        <w:snapToGrid w:val="0"/>
        <w:ind w:firstLine="420" w:firstLineChars="200"/>
        <w:contextualSpacing/>
        <w:rPr>
          <w:rFonts w:ascii="宋体" w:hAnsi="宋体"/>
          <w:szCs w:val="21"/>
        </w:rPr>
      </w:pPr>
    </w:p>
    <w:p>
      <w:pPr>
        <w:snapToGrid w:val="0"/>
        <w:contextualSpacing/>
        <w:rPr>
          <w:rFonts w:ascii="宋体" w:hAnsi="宋体"/>
          <w:sz w:val="18"/>
          <w:szCs w:val="18"/>
        </w:rPr>
      </w:pPr>
      <w:r>
        <w:rPr>
          <w:rFonts w:ascii="宋体" w:hAnsi="宋体"/>
          <w:sz w:val="18"/>
          <w:szCs w:val="18"/>
        </w:rPr>
        <w:t>若对项目采购电子交易系统操作有疑问，可登录政采云（https：//www.zcygov.cn/），点击右侧咨询小采，获取采小蜜智能服务管家帮助，或拨打政采云服务热线400-881-7190获取热线服务帮助。</w:t>
      </w:r>
    </w:p>
    <w:p>
      <w:pPr>
        <w:snapToGrid w:val="0"/>
        <w:contextualSpacing/>
        <w:rPr>
          <w:rFonts w:ascii="宋体" w:hAnsi="宋体"/>
          <w:szCs w:val="21"/>
        </w:rPr>
      </w:pPr>
      <w:r>
        <w:rPr>
          <w:rFonts w:ascii="宋体" w:hAnsi="宋体"/>
          <w:sz w:val="18"/>
          <w:szCs w:val="18"/>
        </w:rPr>
        <w:t>CA问题联系电话（人工）：汇信CA400-888-4636；天谷CA400-087-8198。</w:t>
      </w:r>
    </w:p>
    <w:p>
      <w:pPr>
        <w:pStyle w:val="4"/>
        <w:ind w:firstLine="602" w:firstLineChars="200"/>
        <w:rPr>
          <w:rFonts w:ascii="宋体" w:hAnsi="宋体"/>
        </w:rPr>
      </w:pPr>
      <w:r>
        <w:rPr>
          <w:rFonts w:hint="eastAsia" w:ascii="宋体" w:hAnsi="宋体"/>
          <w:szCs w:val="30"/>
        </w:rPr>
        <w:br w:type="page"/>
      </w:r>
      <w:bookmarkStart w:id="24" w:name="_Toc13042323"/>
      <w:bookmarkStart w:id="25" w:name="_Toc89897651"/>
      <w:r>
        <w:rPr>
          <w:rFonts w:hint="eastAsia" w:ascii="宋体" w:hAnsi="宋体"/>
        </w:rPr>
        <w:t>第二章 招标需求</w:t>
      </w:r>
      <w:bookmarkEnd w:id="24"/>
      <w:bookmarkEnd w:id="25"/>
      <w:bookmarkStart w:id="26" w:name="_Toc418711332"/>
    </w:p>
    <w:bookmarkEnd w:id="26"/>
    <w:p>
      <w:pPr>
        <w:ind w:firstLine="422" w:firstLineChars="200"/>
        <w:rPr>
          <w:rFonts w:ascii="宋体" w:hAnsi="宋体" w:cs="宋体"/>
          <w:b/>
          <w:bCs/>
          <w:szCs w:val="21"/>
        </w:rPr>
      </w:pPr>
      <w:r>
        <w:rPr>
          <w:rFonts w:hint="eastAsia" w:ascii="宋体" w:hAnsi="宋体" w:cs="宋体"/>
          <w:b/>
          <w:bCs/>
          <w:szCs w:val="21"/>
        </w:rPr>
        <w:t>一、项目概况</w:t>
      </w:r>
    </w:p>
    <w:p>
      <w:pPr>
        <w:ind w:firstLine="420" w:firstLineChars="200"/>
        <w:rPr>
          <w:rFonts w:ascii="宋体" w:hAnsi="宋体"/>
          <w:szCs w:val="21"/>
          <w:lang w:val="en-GB"/>
        </w:rPr>
      </w:pPr>
      <w:r>
        <w:rPr>
          <w:rFonts w:hint="eastAsia" w:ascii="宋体" w:hAnsi="宋体"/>
          <w:szCs w:val="21"/>
          <w:lang w:val="en-GB"/>
        </w:rPr>
        <w:t>本项目包括嘉兴市市区的交通标志、标线及交通信号灯等安全设施等维护更新的采购安装项目，本项目总投资约</w:t>
      </w:r>
      <w:r>
        <w:rPr>
          <w:rFonts w:hint="eastAsia" w:ascii="宋体" w:hAnsi="宋体"/>
          <w:szCs w:val="21"/>
        </w:rPr>
        <w:t>1359</w:t>
      </w:r>
      <w:r>
        <w:rPr>
          <w:rFonts w:hint="eastAsia" w:ascii="宋体" w:hAnsi="宋体"/>
          <w:szCs w:val="21"/>
          <w:lang w:val="en-GB"/>
        </w:rPr>
        <w:t>万元（见招标项目一览表）。包括交通标线的复划、交通信号灯的更新维护、交通标志板更新、标志杆、警示桩、杆件基础及其他交通安全设施的制作与安装以及道路交通信号灯维护更新工程；包括信号灯、支撑杆、杆件基础的制作与安装，管道、电缆的铺设等（详见采购设施清单）。</w:t>
      </w:r>
    </w:p>
    <w:p>
      <w:pPr>
        <w:ind w:firstLine="420" w:firstLineChars="200"/>
        <w:rPr>
          <w:rFonts w:hint="eastAsia" w:ascii="宋体" w:hAnsi="宋体"/>
          <w:szCs w:val="21"/>
          <w:lang w:val="en-GB"/>
        </w:rPr>
      </w:pPr>
      <w:r>
        <w:rPr>
          <w:rFonts w:hint="eastAsia" w:ascii="宋体" w:hAnsi="宋体"/>
          <w:szCs w:val="21"/>
          <w:lang w:val="en-GB"/>
        </w:rPr>
        <w:t>本次招标项目有效期</w:t>
      </w:r>
      <w:r>
        <w:rPr>
          <w:rFonts w:hint="eastAsia" w:ascii="宋体" w:hAnsi="宋体"/>
        </w:rPr>
        <w:t>自2</w:t>
      </w:r>
      <w:r>
        <w:rPr>
          <w:rFonts w:ascii="宋体" w:hAnsi="宋体"/>
        </w:rPr>
        <w:t>023</w:t>
      </w:r>
      <w:r>
        <w:rPr>
          <w:rFonts w:hint="eastAsia" w:ascii="宋体" w:hAnsi="宋体"/>
        </w:rPr>
        <w:t>年1</w:t>
      </w:r>
      <w:r>
        <w:rPr>
          <w:rFonts w:ascii="宋体" w:hAnsi="宋体"/>
        </w:rPr>
        <w:t>1</w:t>
      </w:r>
      <w:r>
        <w:rPr>
          <w:rFonts w:hint="eastAsia" w:ascii="宋体" w:hAnsi="宋体"/>
        </w:rPr>
        <w:t>月1</w:t>
      </w:r>
      <w:r>
        <w:rPr>
          <w:rFonts w:ascii="宋体" w:hAnsi="宋体"/>
        </w:rPr>
        <w:t>5</w:t>
      </w:r>
      <w:r>
        <w:rPr>
          <w:rFonts w:hint="eastAsia" w:ascii="宋体" w:hAnsi="宋体"/>
        </w:rPr>
        <w:t>日起壹年</w:t>
      </w:r>
      <w:r>
        <w:rPr>
          <w:rFonts w:hint="eastAsia" w:ascii="宋体" w:hAnsi="宋体"/>
          <w:szCs w:val="21"/>
          <w:lang w:val="en-GB"/>
        </w:rPr>
        <w:t>。由嘉兴市公安局交通警察支队开具工程联系单交中标单位施工，采购数量、制作工期、安装工期根据工程项目具体商定。本项目投标报价按固定单价折扣率报价，固定单价包括材料、人工、标准附件、备品备件、专用工具、包装、运输、装卸、保险、货到就位以及安装、调试、培训、保修、利润、税金等一切费用。</w:t>
      </w:r>
    </w:p>
    <w:p>
      <w:pPr>
        <w:ind w:firstLine="422" w:firstLineChars="200"/>
        <w:rPr>
          <w:rFonts w:ascii="宋体" w:hAnsi="宋体"/>
          <w:b/>
          <w:szCs w:val="21"/>
        </w:rPr>
      </w:pPr>
      <w:r>
        <w:rPr>
          <w:rFonts w:hint="eastAsia" w:ascii="宋体" w:hAnsi="宋体"/>
          <w:b/>
          <w:szCs w:val="21"/>
        </w:rPr>
        <w:t>二、招标项目一览表</w:t>
      </w:r>
    </w:p>
    <w:p>
      <w:pPr>
        <w:ind w:firstLine="420" w:firstLineChars="200"/>
        <w:rPr>
          <w:rFonts w:ascii="宋体" w:hAnsi="宋体"/>
          <w:szCs w:val="21"/>
        </w:rPr>
      </w:pPr>
      <w:r>
        <w:rPr>
          <w:rFonts w:hint="eastAsia" w:ascii="宋体" w:hAnsi="宋体"/>
          <w:szCs w:val="21"/>
        </w:rPr>
        <w:t>本次招标共3个标项，具体内容如下表：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
        <w:gridCol w:w="2455"/>
        <w:gridCol w:w="1177"/>
        <w:gridCol w:w="679"/>
        <w:gridCol w:w="645"/>
        <w:gridCol w:w="1110"/>
        <w:gridCol w:w="1917"/>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标项</w:t>
            </w:r>
          </w:p>
        </w:tc>
        <w:tc>
          <w:tcPr>
            <w:tcW w:w="2455"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标项名称</w:t>
            </w:r>
          </w:p>
        </w:tc>
        <w:tc>
          <w:tcPr>
            <w:tcW w:w="1177"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技术、服务要求</w:t>
            </w:r>
          </w:p>
        </w:tc>
        <w:tc>
          <w:tcPr>
            <w:tcW w:w="679"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645"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1110"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预算</w:t>
            </w:r>
          </w:p>
          <w:p>
            <w:pPr>
              <w:spacing w:after="60" w:afterLines="25" w:line="360" w:lineRule="exact"/>
              <w:jc w:val="center"/>
              <w:rPr>
                <w:rFonts w:hint="eastAsia" w:ascii="宋体" w:hAnsi="宋体"/>
                <w:b/>
                <w:bCs/>
                <w:szCs w:val="21"/>
              </w:rPr>
            </w:pPr>
            <w:r>
              <w:rPr>
                <w:rFonts w:hint="eastAsia" w:ascii="宋体" w:hAnsi="宋体"/>
                <w:b/>
                <w:bCs/>
                <w:szCs w:val="21"/>
              </w:rPr>
              <w:t>（万元）</w:t>
            </w:r>
          </w:p>
        </w:tc>
        <w:tc>
          <w:tcPr>
            <w:tcW w:w="1917"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项目有效期</w:t>
            </w:r>
          </w:p>
        </w:tc>
        <w:tc>
          <w:tcPr>
            <w:tcW w:w="733"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交货地点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245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嘉兴市区交通标线复划项目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1000</w:t>
            </w:r>
          </w:p>
        </w:tc>
        <w:tc>
          <w:tcPr>
            <w:tcW w:w="1917" w:type="dxa"/>
            <w:noWrap w:val="0"/>
            <w:vAlign w:val="center"/>
          </w:tcPr>
          <w:p>
            <w:pPr>
              <w:spacing w:after="60" w:afterLines="25" w:line="360" w:lineRule="exact"/>
              <w:jc w:val="center"/>
              <w:rPr>
                <w:rFonts w:hint="eastAsia" w:ascii="宋体" w:hAnsi="宋体"/>
                <w:szCs w:val="21"/>
              </w:rPr>
            </w:pPr>
            <w:bookmarkStart w:id="27" w:name="_Hlk143714434"/>
            <w:r>
              <w:rPr>
                <w:rFonts w:hint="eastAsia" w:ascii="宋体" w:hAnsi="宋体"/>
              </w:rPr>
              <w:t>2</w:t>
            </w:r>
            <w:r>
              <w:rPr>
                <w:rFonts w:ascii="宋体" w:hAnsi="宋体"/>
              </w:rPr>
              <w:t>023</w:t>
            </w:r>
            <w:r>
              <w:rPr>
                <w:rFonts w:hint="eastAsia" w:ascii="宋体" w:hAnsi="宋体"/>
              </w:rPr>
              <w:t>年1</w:t>
            </w:r>
            <w:r>
              <w:rPr>
                <w:rFonts w:ascii="宋体" w:hAnsi="宋体"/>
              </w:rPr>
              <w:t>1</w:t>
            </w:r>
            <w:r>
              <w:rPr>
                <w:rFonts w:hint="eastAsia" w:ascii="宋体" w:hAnsi="宋体"/>
              </w:rPr>
              <w:t>月1</w:t>
            </w:r>
            <w:r>
              <w:rPr>
                <w:rFonts w:ascii="宋体" w:hAnsi="宋体"/>
              </w:rPr>
              <w:t>5</w:t>
            </w:r>
            <w:r>
              <w:rPr>
                <w:rFonts w:hint="eastAsia" w:ascii="宋体" w:hAnsi="宋体"/>
              </w:rPr>
              <w:t>日起壹年</w:t>
            </w:r>
            <w:bookmarkEnd w:id="27"/>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245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嘉兴市区交通标志、标线、护栏等更新、新增项目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209</w:t>
            </w:r>
          </w:p>
        </w:tc>
        <w:tc>
          <w:tcPr>
            <w:tcW w:w="1917" w:type="dxa"/>
            <w:noWrap w:val="0"/>
            <w:vAlign w:val="center"/>
          </w:tcPr>
          <w:p>
            <w:pPr>
              <w:spacing w:after="60" w:afterLines="25" w:line="360" w:lineRule="exact"/>
              <w:jc w:val="center"/>
              <w:rPr>
                <w:rFonts w:hint="eastAsia" w:ascii="宋体" w:hAnsi="宋体"/>
                <w:szCs w:val="21"/>
              </w:rPr>
            </w:pPr>
            <w:r>
              <w:rPr>
                <w:rFonts w:hint="eastAsia" w:ascii="宋体" w:hAnsi="宋体"/>
              </w:rPr>
              <w:t>2</w:t>
            </w:r>
            <w:r>
              <w:rPr>
                <w:rFonts w:ascii="宋体" w:hAnsi="宋体"/>
              </w:rPr>
              <w:t>023</w:t>
            </w:r>
            <w:r>
              <w:rPr>
                <w:rFonts w:hint="eastAsia" w:ascii="宋体" w:hAnsi="宋体"/>
              </w:rPr>
              <w:t>年1</w:t>
            </w:r>
            <w:r>
              <w:rPr>
                <w:rFonts w:ascii="宋体" w:hAnsi="宋体"/>
              </w:rPr>
              <w:t>1</w:t>
            </w:r>
            <w:r>
              <w:rPr>
                <w:rFonts w:hint="eastAsia" w:ascii="宋体" w:hAnsi="宋体"/>
              </w:rPr>
              <w:t>月1</w:t>
            </w:r>
            <w:r>
              <w:rPr>
                <w:rFonts w:ascii="宋体" w:hAnsi="宋体"/>
              </w:rPr>
              <w:t>5</w:t>
            </w:r>
            <w:r>
              <w:rPr>
                <w:rFonts w:hint="eastAsia" w:ascii="宋体" w:hAnsi="宋体"/>
              </w:rPr>
              <w:t>日起壹年</w:t>
            </w:r>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245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嘉兴市区交通信号灯的更新维护项目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150</w:t>
            </w:r>
          </w:p>
        </w:tc>
        <w:tc>
          <w:tcPr>
            <w:tcW w:w="1917" w:type="dxa"/>
            <w:noWrap w:val="0"/>
            <w:vAlign w:val="center"/>
          </w:tcPr>
          <w:p>
            <w:pPr>
              <w:spacing w:after="60" w:afterLines="25" w:line="360" w:lineRule="exact"/>
              <w:jc w:val="center"/>
              <w:rPr>
                <w:rFonts w:hint="eastAsia" w:ascii="宋体" w:hAnsi="宋体"/>
                <w:szCs w:val="21"/>
              </w:rPr>
            </w:pPr>
            <w:r>
              <w:rPr>
                <w:rFonts w:hint="eastAsia" w:ascii="宋体" w:hAnsi="宋体"/>
              </w:rPr>
              <w:t>2</w:t>
            </w:r>
            <w:r>
              <w:rPr>
                <w:rFonts w:ascii="宋体" w:hAnsi="宋体"/>
              </w:rPr>
              <w:t>023</w:t>
            </w:r>
            <w:r>
              <w:rPr>
                <w:rFonts w:hint="eastAsia" w:ascii="宋体" w:hAnsi="宋体"/>
              </w:rPr>
              <w:t>年1</w:t>
            </w:r>
            <w:r>
              <w:rPr>
                <w:rFonts w:ascii="宋体" w:hAnsi="宋体"/>
              </w:rPr>
              <w:t>1</w:t>
            </w:r>
            <w:r>
              <w:rPr>
                <w:rFonts w:hint="eastAsia" w:ascii="宋体" w:hAnsi="宋体"/>
              </w:rPr>
              <w:t>月1</w:t>
            </w:r>
            <w:r>
              <w:rPr>
                <w:rFonts w:ascii="宋体" w:hAnsi="宋体"/>
              </w:rPr>
              <w:t>5</w:t>
            </w:r>
            <w:r>
              <w:rPr>
                <w:rFonts w:hint="eastAsia" w:ascii="宋体" w:hAnsi="宋体"/>
              </w:rPr>
              <w:t>日起壹年</w:t>
            </w:r>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bl>
    <w:p>
      <w:pPr>
        <w:pStyle w:val="21"/>
        <w:spacing w:before="120" w:beforeLines="50"/>
        <w:ind w:firstLine="420"/>
        <w:rPr>
          <w:rFonts w:hint="eastAsia" w:ascii="宋体" w:hAnsi="宋体"/>
          <w:sz w:val="21"/>
          <w:szCs w:val="21"/>
        </w:rPr>
      </w:pPr>
      <w:r>
        <w:rPr>
          <w:rFonts w:hint="eastAsia" w:ascii="宋体" w:hAnsi="宋体"/>
          <w:sz w:val="21"/>
          <w:szCs w:val="21"/>
        </w:rPr>
        <w:t>注：本项目3个标项以</w:t>
      </w:r>
      <w:r>
        <w:rPr>
          <w:rFonts w:hint="eastAsia" w:ascii="宋体" w:hAnsi="宋体"/>
          <w:b/>
          <w:bCs/>
          <w:sz w:val="21"/>
          <w:szCs w:val="21"/>
        </w:rPr>
        <w:t>总体投标折扣率</w:t>
      </w:r>
      <w:r>
        <w:rPr>
          <w:rFonts w:hint="eastAsia" w:ascii="宋体" w:hAnsi="宋体"/>
          <w:sz w:val="21"/>
          <w:szCs w:val="21"/>
        </w:rPr>
        <w:t>进行报价，实际费用以固定单价×中标折扣率×实际采购数量据实结算。</w:t>
      </w:r>
    </w:p>
    <w:p>
      <w:pPr>
        <w:ind w:firstLine="422" w:firstLineChars="200"/>
        <w:rPr>
          <w:rFonts w:ascii="宋体" w:hAnsi="宋体"/>
          <w:b/>
          <w:szCs w:val="21"/>
        </w:rPr>
      </w:pPr>
      <w:r>
        <w:rPr>
          <w:rFonts w:hint="eastAsia" w:ascii="宋体" w:hAnsi="宋体"/>
          <w:b/>
          <w:szCs w:val="21"/>
        </w:rPr>
        <w:t>三、采购设施清单、技术要求</w:t>
      </w:r>
    </w:p>
    <w:p>
      <w:pPr>
        <w:ind w:firstLine="422" w:firstLineChars="200"/>
        <w:rPr>
          <w:rFonts w:ascii="宋体" w:hAnsi="宋体"/>
          <w:b/>
          <w:szCs w:val="21"/>
        </w:rPr>
      </w:pPr>
      <w:r>
        <w:rPr>
          <w:rFonts w:hint="eastAsia" w:ascii="宋体" w:hAnsi="宋体"/>
          <w:b/>
          <w:szCs w:val="21"/>
        </w:rPr>
        <w:t>标项1：嘉兴市区交通标线复划项目</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82"/>
        <w:gridCol w:w="851"/>
        <w:gridCol w:w="4111"/>
        <w:gridCol w:w="708"/>
        <w:gridCol w:w="709"/>
        <w:gridCol w:w="1134"/>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28" w:hRule="atLeast"/>
        </w:trPr>
        <w:tc>
          <w:tcPr>
            <w:tcW w:w="582"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序号</w:t>
            </w:r>
          </w:p>
        </w:tc>
        <w:tc>
          <w:tcPr>
            <w:tcW w:w="851"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货物</w:t>
            </w:r>
          </w:p>
          <w:p>
            <w:pPr>
              <w:spacing w:after="60" w:afterLines="25" w:line="360" w:lineRule="exact"/>
              <w:jc w:val="center"/>
              <w:rPr>
                <w:rFonts w:hint="eastAsia" w:ascii="宋体" w:hAnsi="宋体"/>
                <w:b/>
                <w:bCs/>
                <w:szCs w:val="21"/>
              </w:rPr>
            </w:pPr>
            <w:r>
              <w:rPr>
                <w:rFonts w:hint="eastAsia" w:ascii="宋体" w:hAnsi="宋体"/>
                <w:b/>
                <w:bCs/>
                <w:szCs w:val="21"/>
              </w:rPr>
              <w:t>名称</w:t>
            </w:r>
          </w:p>
        </w:tc>
        <w:tc>
          <w:tcPr>
            <w:tcW w:w="4111"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708"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709"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1134"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固定单价</w:t>
            </w:r>
          </w:p>
          <w:p>
            <w:pPr>
              <w:spacing w:after="60" w:afterLines="25" w:line="360" w:lineRule="exact"/>
              <w:jc w:val="center"/>
              <w:rPr>
                <w:rFonts w:hint="eastAsia" w:ascii="宋体" w:hAnsi="宋体"/>
                <w:b/>
                <w:bCs/>
                <w:szCs w:val="21"/>
              </w:rPr>
            </w:pPr>
            <w:bookmarkStart w:id="28" w:name="_Hlk143714461"/>
            <w:r>
              <w:rPr>
                <w:rFonts w:hint="eastAsia" w:ascii="宋体" w:hAnsi="宋体"/>
                <w:b/>
                <w:bCs/>
                <w:szCs w:val="21"/>
              </w:rPr>
              <w:t>预算金额</w:t>
            </w:r>
            <w:bookmarkEnd w:id="28"/>
            <w:r>
              <w:rPr>
                <w:rFonts w:hint="eastAsia" w:ascii="宋体" w:hAnsi="宋体"/>
                <w:b/>
                <w:bCs/>
                <w:szCs w:val="21"/>
              </w:rPr>
              <w:t>（元）</w:t>
            </w:r>
          </w:p>
        </w:tc>
        <w:tc>
          <w:tcPr>
            <w:tcW w:w="993"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交通标线</w:t>
            </w: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普通热熔型振动标线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ascii="宋体" w:hAnsi="宋体"/>
                <w:szCs w:val="21"/>
              </w:rPr>
            </w:pPr>
            <w:r>
              <w:rPr>
                <w:rFonts w:hint="eastAsia" w:ascii="宋体" w:hAnsi="宋体"/>
                <w:szCs w:val="21"/>
              </w:rPr>
              <w:t>110</w:t>
            </w:r>
          </w:p>
        </w:tc>
        <w:tc>
          <w:tcPr>
            <w:tcW w:w="993" w:type="dxa"/>
            <w:vMerge w:val="restart"/>
            <w:noWrap w:val="0"/>
            <w:vAlign w:val="center"/>
          </w:tcPr>
          <w:p>
            <w:pPr>
              <w:widowControl/>
              <w:jc w:val="center"/>
              <w:textAlignment w:val="center"/>
              <w:rPr>
                <w:rFonts w:hint="eastAsia" w:ascii="宋体" w:hAnsi="宋体"/>
                <w:szCs w:val="21"/>
              </w:rPr>
            </w:pPr>
            <w:r>
              <w:rPr>
                <w:rFonts w:hint="eastAsia" w:ascii="宋体" w:hAnsi="宋体"/>
                <w:szCs w:val="21"/>
              </w:rPr>
              <w:t>施工工艺见技术要求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7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普通热熔型反光标线（150）</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ascii="宋体" w:hAnsi="宋体"/>
                <w:szCs w:val="21"/>
              </w:rPr>
              <w:t>42</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7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bookmarkStart w:id="29" w:name="_Hlk143714648"/>
            <w:r>
              <w:rPr>
                <w:rFonts w:hint="eastAsia" w:ascii="宋体" w:hAnsi="宋体"/>
                <w:szCs w:val="21"/>
              </w:rPr>
              <w:t>热熔型反光标线（250）</w:t>
            </w:r>
            <w:bookmarkEnd w:id="29"/>
          </w:p>
        </w:tc>
        <w:tc>
          <w:tcPr>
            <w:tcW w:w="708" w:type="dxa"/>
            <w:noWrap w:val="0"/>
            <w:vAlign w:val="center"/>
          </w:tcPr>
          <w:p>
            <w:pPr>
              <w:spacing w:after="60" w:afterLines="25" w:line="360" w:lineRule="exact"/>
              <w:jc w:val="center"/>
              <w:rPr>
                <w:rFonts w:hint="eastAsia" w:ascii="宋体" w:hAnsi="宋体"/>
                <w:szCs w:val="21"/>
              </w:rPr>
            </w:pPr>
            <w:bookmarkStart w:id="30" w:name="_Hlk143714689"/>
            <w:r>
              <w:rPr>
                <w:rFonts w:hint="eastAsia" w:ascii="宋体" w:hAnsi="宋体"/>
                <w:szCs w:val="21"/>
              </w:rPr>
              <w:t>㎡</w:t>
            </w:r>
            <w:bookmarkEnd w:id="30"/>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w:t>
            </w:r>
            <w:r>
              <w:rPr>
                <w:rFonts w:ascii="宋体" w:hAnsi="宋体"/>
                <w:szCs w:val="21"/>
              </w:rPr>
              <w:t>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bookmarkStart w:id="31" w:name="_Hlk143714671"/>
            <w:r>
              <w:rPr>
                <w:rFonts w:hint="eastAsia" w:ascii="宋体" w:hAnsi="宋体"/>
                <w:szCs w:val="21"/>
              </w:rPr>
              <w:t>热熔型反光标线（350）</w:t>
            </w:r>
            <w:bookmarkEnd w:id="31"/>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w:t>
            </w:r>
            <w:r>
              <w:rPr>
                <w:rFonts w:ascii="宋体" w:hAnsi="宋体"/>
                <w:szCs w:val="21"/>
              </w:rPr>
              <w:t>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道路除线（机械清除）</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ascii="宋体" w:hAnsi="宋体"/>
                <w:szCs w:val="21"/>
              </w:rPr>
              <w:t>24</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道路除线（超高压水清除）</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0"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交通标线清除（双组份刮涂）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双组份喷涂标线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bookmarkStart w:id="32" w:name="_Hlk143714738"/>
            <w:r>
              <w:rPr>
                <w:rFonts w:hint="eastAsia" w:ascii="宋体" w:hAnsi="宋体"/>
                <w:szCs w:val="21"/>
              </w:rPr>
              <w:t>双组份甩涂标线</w:t>
            </w:r>
            <w:bookmarkEnd w:id="32"/>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2</w:t>
            </w:r>
            <w:r>
              <w:rPr>
                <w:rFonts w:hint="eastAsia" w:ascii="宋体" w:hAnsi="宋体"/>
                <w:szCs w:val="21"/>
              </w:rPr>
              <w:t>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bookmarkStart w:id="33" w:name="_Hlk143714744"/>
            <w:r>
              <w:rPr>
                <w:rFonts w:hint="eastAsia" w:ascii="宋体" w:hAnsi="宋体"/>
                <w:szCs w:val="21"/>
              </w:rPr>
              <w:t>双组份刮涂(点涂）标线</w:t>
            </w:r>
            <w:bookmarkEnd w:id="33"/>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7</w:t>
            </w:r>
            <w:r>
              <w:rPr>
                <w:rFonts w:hint="eastAsia" w:ascii="宋体" w:hAnsi="宋体"/>
                <w:szCs w:val="21"/>
              </w:rPr>
              <w:t>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双组份振动标线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230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3M雨夜反光标线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vMerge w:val="continue"/>
            <w:noWrap w:val="0"/>
            <w:vAlign w:val="center"/>
          </w:tcPr>
          <w:p>
            <w:pPr>
              <w:spacing w:after="60" w:afterLines="25" w:line="360" w:lineRule="exact"/>
              <w:jc w:val="center"/>
              <w:rPr>
                <w:rFonts w:hint="eastAsia" w:ascii="宋体" w:hAnsi="宋体"/>
                <w:szCs w:val="21"/>
              </w:rPr>
            </w:pP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反光水性标线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标线带</w:t>
            </w: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ascii="宋体" w:hAnsi="宋体"/>
                <w:szCs w:val="21"/>
              </w:rPr>
              <w:t>800</w:t>
            </w:r>
          </w:p>
        </w:tc>
        <w:tc>
          <w:tcPr>
            <w:tcW w:w="993" w:type="dxa"/>
            <w:vMerge w:val="continue"/>
            <w:noWrap w:val="0"/>
            <w:vAlign w:val="center"/>
          </w:tcPr>
          <w:p>
            <w:pPr>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numPr>
                <w:ilvl w:val="0"/>
                <w:numId w:val="6"/>
              </w:numPr>
              <w:spacing w:after="60" w:afterLines="25" w:line="360" w:lineRule="exact"/>
              <w:ind w:left="0" w:firstLine="210" w:firstLineChars="100"/>
              <w:jc w:val="center"/>
              <w:rPr>
                <w:rFonts w:hint="eastAsia" w:ascii="宋体" w:hAnsi="宋体"/>
                <w:szCs w:val="21"/>
              </w:rPr>
            </w:pPr>
          </w:p>
        </w:tc>
        <w:tc>
          <w:tcPr>
            <w:tcW w:w="85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彩色防滑铺装</w:t>
            </w:r>
          </w:p>
        </w:tc>
        <w:tc>
          <w:tcPr>
            <w:tcW w:w="4111" w:type="dxa"/>
            <w:noWrap w:val="0"/>
            <w:vAlign w:val="center"/>
          </w:tcPr>
          <w:p>
            <w:pPr>
              <w:spacing w:after="60" w:afterLines="25" w:line="360" w:lineRule="exact"/>
              <w:jc w:val="left"/>
              <w:rPr>
                <w:rFonts w:hint="eastAsia" w:ascii="宋体" w:hAnsi="宋体"/>
                <w:szCs w:val="21"/>
              </w:rPr>
            </w:pPr>
            <w:r>
              <w:rPr>
                <w:rFonts w:hint="eastAsia" w:ascii="宋体" w:hAnsi="宋体"/>
                <w:szCs w:val="21"/>
              </w:rPr>
              <w:t>彩色防滑铺装（MMA甲基丙烯酸甲酯防滑树脂）见技术要求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993" w:type="dxa"/>
            <w:vMerge w:val="continue"/>
            <w:noWrap w:val="0"/>
            <w:vAlign w:val="center"/>
          </w:tcPr>
          <w:p>
            <w:pPr>
              <w:jc w:val="center"/>
              <w:rPr>
                <w:rFonts w:hint="eastAsia" w:ascii="宋体" w:hAnsi="宋体"/>
                <w:szCs w:val="21"/>
              </w:rPr>
            </w:pPr>
          </w:p>
        </w:tc>
      </w:tr>
    </w:tbl>
    <w:p>
      <w:pPr>
        <w:spacing w:before="120" w:beforeLines="50"/>
        <w:ind w:firstLine="422" w:firstLineChars="200"/>
        <w:rPr>
          <w:rFonts w:ascii="宋体" w:hAnsi="宋体"/>
          <w:b/>
          <w:szCs w:val="21"/>
          <w:lang w:val="en-GB"/>
        </w:rPr>
      </w:pPr>
      <w:r>
        <w:rPr>
          <w:rFonts w:hint="eastAsia" w:ascii="宋体" w:hAnsi="宋体"/>
          <w:b/>
          <w:szCs w:val="21"/>
          <w:lang w:val="en-GB"/>
        </w:rPr>
        <w:t>标项2：嘉兴市区交通标志、标线、护栏等更新、新增项目</w:t>
      </w:r>
    </w:p>
    <w:tbl>
      <w:tblPr>
        <w:tblStyle w:val="53"/>
        <w:tblW w:w="0" w:type="auto"/>
        <w:tblInd w:w="0" w:type="dxa"/>
        <w:tblLayout w:type="fixed"/>
        <w:tblCellMar>
          <w:top w:w="15" w:type="dxa"/>
          <w:left w:w="15" w:type="dxa"/>
          <w:bottom w:w="15" w:type="dxa"/>
          <w:right w:w="15" w:type="dxa"/>
        </w:tblCellMar>
      </w:tblPr>
      <w:tblGrid>
        <w:gridCol w:w="582"/>
        <w:gridCol w:w="838"/>
        <w:gridCol w:w="3131"/>
        <w:gridCol w:w="618"/>
        <w:gridCol w:w="709"/>
        <w:gridCol w:w="1062"/>
        <w:gridCol w:w="2289"/>
      </w:tblGrid>
      <w:tr>
        <w:tblPrEx>
          <w:tblCellMar>
            <w:top w:w="15" w:type="dxa"/>
            <w:left w:w="15" w:type="dxa"/>
            <w:bottom w:w="15" w:type="dxa"/>
            <w:right w:w="15" w:type="dxa"/>
          </w:tblCellMar>
        </w:tblPrEx>
        <w:trPr>
          <w:trHeight w:val="78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序号</w:t>
            </w: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货物</w:t>
            </w:r>
          </w:p>
          <w:p>
            <w:pPr>
              <w:spacing w:after="60" w:afterLines="25" w:line="360" w:lineRule="exact"/>
              <w:jc w:val="center"/>
              <w:rPr>
                <w:rFonts w:hint="eastAsia" w:ascii="宋体" w:hAnsi="宋体"/>
                <w:b/>
                <w:bCs/>
                <w:szCs w:val="21"/>
              </w:rPr>
            </w:pPr>
            <w:r>
              <w:rPr>
                <w:rFonts w:hint="eastAsia" w:ascii="宋体" w:hAnsi="宋体"/>
                <w:b/>
                <w:bCs/>
                <w:szCs w:val="21"/>
              </w:rPr>
              <w:t>名称</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固定单价</w:t>
            </w:r>
          </w:p>
          <w:p>
            <w:pPr>
              <w:spacing w:after="60" w:afterLines="25" w:line="360" w:lineRule="exact"/>
              <w:jc w:val="center"/>
              <w:rPr>
                <w:rFonts w:ascii="宋体" w:hAnsi="宋体"/>
                <w:b/>
                <w:bCs/>
                <w:szCs w:val="21"/>
              </w:rPr>
            </w:pPr>
            <w:r>
              <w:rPr>
                <w:rFonts w:hint="eastAsia" w:ascii="宋体" w:hAnsi="宋体"/>
                <w:b/>
                <w:bCs/>
                <w:szCs w:val="21"/>
              </w:rPr>
              <w:t>预算金额</w:t>
            </w:r>
          </w:p>
          <w:p>
            <w:pPr>
              <w:spacing w:after="60" w:afterLines="25" w:line="360" w:lineRule="exact"/>
              <w:jc w:val="center"/>
              <w:rPr>
                <w:rFonts w:hint="eastAsia" w:ascii="宋体" w:hAnsi="宋体"/>
                <w:b/>
                <w:bCs/>
                <w:szCs w:val="21"/>
              </w:rPr>
            </w:pPr>
            <w:r>
              <w:rPr>
                <w:rFonts w:hint="eastAsia" w:ascii="宋体" w:hAnsi="宋体"/>
                <w:b/>
                <w:bCs/>
                <w:szCs w:val="21"/>
              </w:rPr>
              <w:t>（元）</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备注</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交通标线</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普通热熔型振动标线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110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施工工艺见技术要求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普通热熔型反光标线（150）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42</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热熔型反光标线（250）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w:t>
            </w:r>
            <w:r>
              <w:rPr>
                <w:rFonts w:ascii="宋体" w:hAnsi="宋体"/>
                <w:szCs w:val="21"/>
              </w:rPr>
              <w:t>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热熔型反光标线（350）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w:t>
            </w:r>
            <w:r>
              <w:rPr>
                <w:rFonts w:ascii="宋体" w:hAnsi="宋体"/>
                <w:szCs w:val="21"/>
              </w:rPr>
              <w:t>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道路除线（机械清除）</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24</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道路除线（超高压水清除）</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交通标线清除（双组份刮涂）</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双组份喷涂标线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双组份甩涂标线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2</w:t>
            </w:r>
            <w:r>
              <w:rPr>
                <w:rFonts w:hint="eastAsia" w:ascii="宋体" w:hAnsi="宋体"/>
                <w:szCs w:val="21"/>
              </w:rPr>
              <w:t>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双组份刮涂(点涂）标线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7</w:t>
            </w:r>
            <w:r>
              <w:rPr>
                <w:rFonts w:hint="eastAsia" w:ascii="宋体" w:hAnsi="宋体"/>
                <w:szCs w:val="21"/>
              </w:rPr>
              <w:t>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双组份振动标线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230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3M雨夜反光标线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反光水性标线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标线带</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800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彩色防滑铺装</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彩色防滑铺装（MMA甲基丙烯酸甲酯防滑树脂）见技术要求</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9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指路标志</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标志规格：铝板厚度3mm，铝槽宽度10cm，底膜、字膜、边膜、图案反光膜Ⅳ类（超强级），采用滑动槽钢加固，与立柱采用抱箍与抱箍底衬连接。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w:t>
            </w:r>
            <w:r>
              <w:rPr>
                <w:rFonts w:ascii="宋体" w:hAnsi="宋体"/>
                <w:szCs w:val="21"/>
              </w:rPr>
              <w:t>0</w:t>
            </w:r>
            <w:r>
              <w:rPr>
                <w:rFonts w:hint="eastAsia" w:ascii="宋体" w:hAnsi="宋体"/>
                <w:szCs w:val="21"/>
              </w:rPr>
              <w:t>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其他标志</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标志规格：根据实际情况定；铝板厚度2mm，底膜、字膜边膜、图案反光膜Ⅳ类（超强级），采用滑动槽钢加固，与立柱采用抱箍与抱箍底衬连接。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w:t>
            </w:r>
            <w:r>
              <w:rPr>
                <w:rFonts w:ascii="宋体" w:hAnsi="宋体"/>
                <w:szCs w:val="21"/>
              </w:rPr>
              <w:t>0</w:t>
            </w:r>
            <w:r>
              <w:rPr>
                <w:rFonts w:hint="eastAsia" w:ascii="宋体" w:hAnsi="宋体"/>
                <w:szCs w:val="21"/>
              </w:rPr>
              <w:t>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标志规格：根据实际情况定；铝板厚度3mm，底膜、字膜边膜、图案反光膜V类（大角度），采用滑动槽钢加固，与立柱采用抱箍与抱箍底衬连接。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w:t>
            </w:r>
            <w:r>
              <w:rPr>
                <w:rFonts w:ascii="宋体" w:hAnsi="宋体"/>
                <w:szCs w:val="21"/>
              </w:rPr>
              <w:t>5</w:t>
            </w:r>
            <w:r>
              <w:rPr>
                <w:rFonts w:hint="eastAsia" w:ascii="宋体" w:hAnsi="宋体"/>
                <w:szCs w:val="21"/>
              </w:rPr>
              <w:t>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4" w:name="_Hlk143715556"/>
            <w:r>
              <w:rPr>
                <w:rFonts w:hint="eastAsia" w:ascii="宋体" w:hAnsi="宋体"/>
                <w:szCs w:val="21"/>
              </w:rPr>
              <w:t>标志规格：根据实际情况定；铝板厚度2mm，底膜、字膜边膜、图案反光膜V类（大角度），采用滑动槽钢加固，与立柱采用抱箍与抱箍底衬连接。</w:t>
            </w:r>
            <w:bookmarkEnd w:id="34"/>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60</w:t>
            </w:r>
            <w:r>
              <w:rPr>
                <w:rFonts w:hint="eastAsia" w:ascii="宋体" w:hAnsi="宋体"/>
                <w:szCs w:val="21"/>
              </w:rPr>
              <w:t>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78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标志牌改版</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标志牌去膜改版：底膜、字膜、边膜、图案反光膜Ⅳ类（超强级）。</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350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小型标志</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三角形标志，规格：边长90cm；铝板厚度2mm，底膜、字膜边膜、图案反光膜Ⅳ类（超强级），采用滑动槽钢加固，与立柱采用抱箍与抱箍底衬连接。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三角形标志，规格：边长70cm；铝板厚度2mm，底膜、字膜边膜、图案反光膜Ⅳ类（超强级），采用滑动槽钢加固，与立柱采用抱箍与抱箍底衬连接。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281</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圆形标志，规格：Φ80cm；铝板厚度2mm，底膜、字膜边膜、图案反光膜Ⅳ类（超强级），采用滑动槽钢加固，与立柱采用抱箍与抱箍底衬连接。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圆形标志，规格：Φ60cm；铝板厚度2mm，底膜、字膜边膜、图案反光膜Ⅳ类（超强级），采用滑动槽钢加固，与立柱采用抱箍与抱箍底衬连接。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八角形标志，规格：边长80cm；铝板厚度2mm，底膜、字膜边膜、图案反光膜Ⅳ类（超强级），采用滑动槽钢加固，与立柱采用抱箍与抱箍底衬连接。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445</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八角形标志，规格：边长60cm；铝板厚度2mm，底膜、字膜边膜、图案反光膜Ⅳ类（超强级），采用滑动槽钢加固，与立柱采用抱箍与抱箍底衬连接。</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95"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Ⅳ类（超强级）膜</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95"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V类膜</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3mm铝板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铝板厚度3mm，铝槽宽度10cm,采用滑动槽钢加固，与立柱采用抱箍与抱箍底衬连接</w:t>
            </w:r>
          </w:p>
        </w:tc>
      </w:tr>
      <w:tr>
        <w:tblPrEx>
          <w:tblCellMar>
            <w:top w:w="15" w:type="dxa"/>
            <w:left w:w="15" w:type="dxa"/>
            <w:bottom w:w="15" w:type="dxa"/>
            <w:right w:w="15" w:type="dxa"/>
          </w:tblCellMar>
        </w:tblPrEx>
        <w:trPr>
          <w:trHeight w:val="1336"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2mm铝板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铝板厚度2mm，铝槽宽度10cm,采用滑动槽钢加固，与立柱采用抱箍与抱箍底衬连接</w:t>
            </w:r>
          </w:p>
        </w:tc>
      </w:tr>
      <w:tr>
        <w:tblPrEx>
          <w:tblCellMar>
            <w:top w:w="15" w:type="dxa"/>
            <w:left w:w="15" w:type="dxa"/>
            <w:bottom w:w="15" w:type="dxa"/>
            <w:right w:w="15" w:type="dxa"/>
          </w:tblCellMar>
        </w:tblPrEx>
        <w:trPr>
          <w:trHeight w:val="57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1mm铝板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57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0.6mm铝板</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56</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57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5" w:name="_Hlk143715601"/>
            <w:r>
              <w:rPr>
                <w:rFonts w:hint="eastAsia" w:ascii="宋体" w:hAnsi="宋体"/>
                <w:szCs w:val="21"/>
              </w:rPr>
              <w:t>反光膜数码打印</w:t>
            </w:r>
            <w:bookmarkEnd w:id="35"/>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35</w:t>
            </w:r>
            <w:r>
              <w:rPr>
                <w:rFonts w:hint="eastAsia" w:ascii="宋体" w:hAnsi="宋体"/>
                <w:szCs w:val="21"/>
              </w:rPr>
              <w:t>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IV类反光膜（3M）</w:t>
            </w:r>
          </w:p>
        </w:tc>
      </w:tr>
      <w:tr>
        <w:tblPrEx>
          <w:tblCellMar>
            <w:top w:w="15" w:type="dxa"/>
            <w:left w:w="15" w:type="dxa"/>
            <w:bottom w:w="15" w:type="dxa"/>
            <w:right w:w="15" w:type="dxa"/>
          </w:tblCellMar>
        </w:tblPrEx>
        <w:trPr>
          <w:trHeight w:val="57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6" w:name="_Hlk143715626"/>
            <w:r>
              <w:rPr>
                <w:rFonts w:hint="eastAsia" w:ascii="宋体" w:hAnsi="宋体"/>
                <w:szCs w:val="21"/>
              </w:rPr>
              <w:t>反光膜数码打印</w:t>
            </w:r>
            <w:bookmarkEnd w:id="36"/>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488</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V类反光膜（3M）</w:t>
            </w: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单悬臂标志杆</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7" w:name="_Hlk143715652"/>
            <w:r>
              <w:rPr>
                <w:rFonts w:hint="eastAsia" w:ascii="宋体" w:hAnsi="宋体"/>
                <w:szCs w:val="21"/>
              </w:rPr>
              <w:t>立柱：Ф377×12×9500mm；</w:t>
            </w:r>
            <w:bookmarkEnd w:id="37"/>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w:t>
            </w:r>
            <w:r>
              <w:rPr>
                <w:rFonts w:ascii="宋体" w:hAnsi="宋体"/>
                <w:szCs w:val="21"/>
              </w:rPr>
              <w:t>2</w:t>
            </w:r>
            <w:r>
              <w:rPr>
                <w:rFonts w:hint="eastAsia" w:ascii="宋体" w:hAnsi="宋体"/>
                <w:szCs w:val="21"/>
              </w:rPr>
              <w:t>,000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8" w:name="_Hlk143715659"/>
            <w:r>
              <w:rPr>
                <w:rFonts w:hint="eastAsia" w:ascii="宋体" w:hAnsi="宋体"/>
                <w:szCs w:val="21"/>
              </w:rPr>
              <w:t>横臂：Ф203×8×5500mm×3支；</w:t>
            </w:r>
            <w:bookmarkEnd w:id="38"/>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39" w:name="_Hlk143715665"/>
            <w:r>
              <w:rPr>
                <w:rFonts w:hint="eastAsia" w:ascii="宋体" w:hAnsi="宋体"/>
                <w:szCs w:val="21"/>
              </w:rPr>
              <w:t>材料：钢管热镀锌处理；</w:t>
            </w:r>
            <w:bookmarkEnd w:id="39"/>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0" w:name="_Hlk143715671"/>
            <w:r>
              <w:rPr>
                <w:rFonts w:hint="eastAsia" w:ascii="宋体" w:hAnsi="宋体"/>
                <w:szCs w:val="21"/>
              </w:rPr>
              <w:t>C25砼基础1600×1800×2400mm，地笼</w:t>
            </w:r>
            <w:bookmarkEnd w:id="40"/>
            <w:r>
              <w:rPr>
                <w:rFonts w:hint="eastAsia" w:ascii="宋体" w:hAnsi="宋体"/>
                <w:szCs w:val="21"/>
              </w:rPr>
              <w:t>。</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1" w:name="_Hlk143715711"/>
            <w:r>
              <w:rPr>
                <w:rFonts w:hint="eastAsia" w:ascii="宋体" w:hAnsi="宋体"/>
                <w:szCs w:val="21"/>
              </w:rPr>
              <w:t>立柱：Ф325×12×8500mm；</w:t>
            </w:r>
            <w:bookmarkEnd w:id="41"/>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28</w:t>
            </w:r>
            <w:r>
              <w:rPr>
                <w:rFonts w:hint="eastAsia" w:ascii="宋体" w:hAnsi="宋体"/>
                <w:szCs w:val="21"/>
              </w:rPr>
              <w:t>,000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2" w:name="_Hlk143715718"/>
            <w:r>
              <w:rPr>
                <w:rFonts w:hint="eastAsia" w:ascii="宋体" w:hAnsi="宋体"/>
                <w:szCs w:val="21"/>
              </w:rPr>
              <w:t>横臂：Ф180×8×5000mm×2支；</w:t>
            </w:r>
            <w:bookmarkEnd w:id="42"/>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3" w:name="_Hlk143715723"/>
            <w:r>
              <w:rPr>
                <w:rFonts w:hint="eastAsia" w:ascii="宋体" w:hAnsi="宋体"/>
                <w:szCs w:val="21"/>
              </w:rPr>
              <w:t>材料：钢管热镀锌处理；</w:t>
            </w:r>
            <w:bookmarkEnd w:id="43"/>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4" w:name="_Hlk143715729"/>
            <w:r>
              <w:rPr>
                <w:rFonts w:hint="eastAsia" w:ascii="宋体" w:hAnsi="宋体"/>
                <w:szCs w:val="21"/>
              </w:rPr>
              <w:t>C25砼基础：1600×1800×2200mm，地笼。</w:t>
            </w:r>
            <w:bookmarkEnd w:id="44"/>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立柱：Ф273×10×8300mm；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19,000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横臂：Ф152×6×5000mm×2支；</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C25砼基础：1600×1800×2000mm，地笼。</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立柱：Ф219×8×7500mm；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横臂：Ф140×6×4500mm×2支；</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C25砼基础：1400×1600×1800mm，地笼。</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立柱：Ф165×6×6500mm；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5,230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横臂：Ф114×5×4000mm×2支；</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C25砼基础：1000×1200×1400mm，地笼。</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单柱式标志杆</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立柱：Ф89×4.5×3000mm；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750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底座：400×400×16mm；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C25砼基础：400×600×800mm。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直埋立柱：Ф89×4.5×4000mm；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C25砼基础：500×700×800mm。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立柱：Ф76×3.5×3000mm；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底座：400×400×16mm；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C25砼基础：400×600×800mm。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立柱：Ф76×3.5×4000mm；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750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C25砼基础：500×700×800mm。</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直埋单柱式标志杆</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立柱：Ф89×4.5×3600mm；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直埋立柱：Ф89×4.5×4600mm；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790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立柱：Ф76×3.5×3600mm；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立柱：Ф76×3.5×4600mm；</w:t>
            </w:r>
          </w:p>
        </w:tc>
        <w:tc>
          <w:tcPr>
            <w:tcW w:w="61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材料：钢管热镀锌处理。</w:t>
            </w:r>
          </w:p>
        </w:tc>
        <w:tc>
          <w:tcPr>
            <w:tcW w:w="61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1062"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大型吊车台班费</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班</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标志牌拆除</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版面9.6㎡以上标志牌拆除及运输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730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版面4.5㎡以上，9.6㎡以下标志牌拆除及运输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510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版面3㎡以下标志牌拆除及运输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标志杆拆除</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Ф377单悬臂标志杆拆除及运输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1,950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Ф325单悬臂标志杆拆除及运输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Ф273单悬臂标志杆拆除及运输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Ф219单悬臂标志杆拆除及运输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1,350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Ф189、Ф168、Ф140单悬臂标志杆拆除及运输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220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Ф76、Ф89单立柱标志杆拆除及运输</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护栏（含一套立柱）</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新款防眩板道路护栏</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250</w:t>
            </w:r>
          </w:p>
        </w:tc>
        <w:tc>
          <w:tcPr>
            <w:tcW w:w="2289"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镀锌钢静电喷涂护栏（中央、机非）</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人非钢质镀锌钢静电喷涂护栏（含基础构件预埋件）</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人非钢质镀锌钢静电喷涂护栏（不含基础构件预埋件）</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5" w:name="_Hlk143715765"/>
            <w:r>
              <w:rPr>
                <w:rFonts w:hint="eastAsia" w:ascii="宋体" w:hAnsi="宋体"/>
                <w:szCs w:val="21"/>
              </w:rPr>
              <w:t>船桨市政道路护栏机非护栏（2500×800）</w:t>
            </w:r>
            <w:bookmarkEnd w:id="45"/>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4</w:t>
            </w:r>
            <w:r>
              <w:rPr>
                <w:rFonts w:hint="eastAsia" w:ascii="宋体" w:hAnsi="宋体"/>
                <w:szCs w:val="21"/>
              </w:rPr>
              <w:t>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船桨市政道路护栏机非护栏（2500×1100）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320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船桨市政道路护栏立柱160×160×800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根</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船桨市政道路护栏立柱160×160×1100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根</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190</w:t>
            </w:r>
          </w:p>
        </w:tc>
        <w:tc>
          <w:tcPr>
            <w:tcW w:w="228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87"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警示柱</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直埋立柱Ф219×6×1200；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550</w:t>
            </w:r>
          </w:p>
        </w:tc>
        <w:tc>
          <w:tcPr>
            <w:tcW w:w="2289" w:type="dxa"/>
            <w:vMerge w:val="restart"/>
            <w:tcBorders>
              <w:top w:val="single" w:color="000000" w:sz="4" w:space="0"/>
              <w:left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材料：钢管热镀锌处理，内注混凝土；  C25砼基础：300×300×500mm，反光膜：Ⅳ类。</w:t>
            </w:r>
          </w:p>
        </w:tc>
      </w:tr>
      <w:tr>
        <w:tblPrEx>
          <w:tblCellMar>
            <w:top w:w="15" w:type="dxa"/>
            <w:left w:w="15" w:type="dxa"/>
            <w:bottom w:w="15" w:type="dxa"/>
            <w:right w:w="15" w:type="dxa"/>
          </w:tblCellMar>
        </w:tblPrEx>
        <w:trPr>
          <w:trHeight w:val="487"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直埋立柱Ф168×5×1200；</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ascii="宋体" w:hAnsi="宋体"/>
                <w:szCs w:val="21"/>
              </w:rPr>
              <w:t>300</w:t>
            </w:r>
          </w:p>
        </w:tc>
        <w:tc>
          <w:tcPr>
            <w:tcW w:w="2289" w:type="dxa"/>
            <w:vMerge w:val="continue"/>
            <w:tcBorders>
              <w:top w:val="single" w:color="000000" w:sz="4" w:space="0"/>
              <w:left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87"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直埋立柱Ф114×6×1200mm；</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ascii="宋体" w:hAnsi="宋体"/>
                <w:szCs w:val="21"/>
              </w:rPr>
              <w:t>150</w:t>
            </w:r>
          </w:p>
        </w:tc>
        <w:tc>
          <w:tcPr>
            <w:tcW w:w="2289" w:type="dxa"/>
            <w:vMerge w:val="continue"/>
            <w:tcBorders>
              <w:top w:val="single" w:color="000000" w:sz="4" w:space="0"/>
              <w:left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87"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直埋立柱Ф89×6×1200mm；</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ascii="宋体" w:hAnsi="宋体"/>
                <w:szCs w:val="21"/>
              </w:rPr>
              <w:t>120</w:t>
            </w:r>
          </w:p>
        </w:tc>
        <w:tc>
          <w:tcPr>
            <w:tcW w:w="2289" w:type="dxa"/>
            <w:vMerge w:val="continue"/>
            <w:tcBorders>
              <w:top w:val="single" w:color="000000" w:sz="4" w:space="0"/>
              <w:left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6" w:name="_Hlk143715785"/>
            <w:r>
              <w:rPr>
                <w:rFonts w:hint="eastAsia" w:ascii="宋体" w:hAnsi="宋体"/>
                <w:szCs w:val="21"/>
              </w:rPr>
              <w:t>D13-H80弹性防撞柱</w:t>
            </w:r>
            <w:bookmarkEnd w:id="46"/>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245</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47" w:name="_Hlk143715810"/>
            <w:r>
              <w:rPr>
                <w:rFonts w:hint="eastAsia" w:ascii="宋体" w:hAnsi="宋体"/>
                <w:szCs w:val="21"/>
              </w:rPr>
              <w:t>D16-H100弹性防撞柱（含缓冲器）</w:t>
            </w:r>
            <w:bookmarkEnd w:id="47"/>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580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D16-H100弹性防撞柱（不含缓冲器）</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80CMPU预埋式弹性交通柱</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135</w:t>
            </w:r>
          </w:p>
        </w:tc>
        <w:tc>
          <w:tcPr>
            <w:tcW w:w="228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restart"/>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反光道钉</w:t>
            </w: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3M反光道钉（单面）</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30</w:t>
            </w:r>
          </w:p>
        </w:tc>
        <w:tc>
          <w:tcPr>
            <w:tcW w:w="2289" w:type="dxa"/>
            <w:vMerge w:val="restart"/>
            <w:tcBorders>
              <w:top w:val="single" w:color="000000" w:sz="4" w:space="0"/>
              <w:left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trHeight w:val="450" w:hRule="atLeast"/>
        </w:trPr>
        <w:tc>
          <w:tcPr>
            <w:tcW w:w="58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7"/>
              </w:numPr>
              <w:spacing w:after="60" w:afterLines="25" w:line="360" w:lineRule="exact"/>
              <w:ind w:left="0" w:firstLine="210" w:firstLineChars="100"/>
              <w:jc w:val="center"/>
              <w:rPr>
                <w:rFonts w:hint="eastAsia" w:ascii="宋体" w:hAnsi="宋体"/>
                <w:szCs w:val="21"/>
              </w:rPr>
            </w:pPr>
          </w:p>
        </w:tc>
        <w:tc>
          <w:tcPr>
            <w:tcW w:w="838"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c>
          <w:tcPr>
            <w:tcW w:w="3131"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3M反光道钉（双面）</w:t>
            </w:r>
          </w:p>
        </w:tc>
        <w:tc>
          <w:tcPr>
            <w:tcW w:w="61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70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06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35</w:t>
            </w:r>
          </w:p>
        </w:tc>
        <w:tc>
          <w:tcPr>
            <w:tcW w:w="2289" w:type="dxa"/>
            <w:vMerge w:val="continue"/>
            <w:tcBorders>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bl>
    <w:p>
      <w:pPr>
        <w:spacing w:before="120" w:beforeLines="50"/>
        <w:ind w:firstLine="422" w:firstLineChars="200"/>
        <w:rPr>
          <w:rFonts w:ascii="宋体" w:hAnsi="宋体"/>
          <w:b/>
          <w:szCs w:val="21"/>
          <w:lang w:val="en-GB"/>
        </w:rPr>
      </w:pPr>
      <w:r>
        <w:rPr>
          <w:rFonts w:hint="eastAsia" w:ascii="宋体" w:hAnsi="宋体"/>
          <w:b/>
          <w:szCs w:val="21"/>
          <w:lang w:val="en-GB"/>
        </w:rPr>
        <w:t>注：▲1、所有标志反光膜均采用3M或具有同等质量的产品。</w:t>
      </w:r>
    </w:p>
    <w:p>
      <w:pPr>
        <w:ind w:firstLine="1048" w:firstLineChars="497"/>
        <w:rPr>
          <w:rFonts w:ascii="宋体" w:hAnsi="宋体"/>
          <w:b/>
          <w:bCs/>
          <w:szCs w:val="21"/>
        </w:rPr>
      </w:pPr>
      <w:r>
        <w:rPr>
          <w:rFonts w:ascii="宋体" w:hAnsi="宋体" w:cs="宋体"/>
          <w:b/>
          <w:bCs/>
          <w:szCs w:val="21"/>
        </w:rPr>
        <w:t>2</w:t>
      </w:r>
      <w:r>
        <w:rPr>
          <w:rFonts w:hint="eastAsia" w:ascii="宋体" w:hAnsi="宋体" w:cs="宋体"/>
          <w:b/>
          <w:bCs/>
          <w:szCs w:val="21"/>
        </w:rPr>
        <w:t>、提交投标文件的同时，提供船桨市政道路护栏机非护栏、D13-H80弹性防撞柱、反光道</w:t>
      </w:r>
      <w:r>
        <w:rPr>
          <w:rFonts w:hint="eastAsia" w:ascii="宋体" w:hAnsi="宋体"/>
          <w:b/>
          <w:bCs/>
          <w:szCs w:val="21"/>
        </w:rPr>
        <w:t>钉（双面）样品各1套。</w:t>
      </w:r>
    </w:p>
    <w:p>
      <w:pPr>
        <w:pStyle w:val="21"/>
        <w:ind w:firstLine="422"/>
        <w:rPr>
          <w:rFonts w:ascii="宋体" w:hAnsi="宋体"/>
          <w:b/>
          <w:bCs/>
          <w:sz w:val="21"/>
          <w:szCs w:val="21"/>
        </w:rPr>
      </w:pPr>
      <w:r>
        <w:rPr>
          <w:rFonts w:hint="eastAsia" w:ascii="宋体" w:hAnsi="宋体"/>
          <w:b/>
          <w:bCs/>
          <w:sz w:val="21"/>
          <w:szCs w:val="21"/>
        </w:rPr>
        <w:t>（1）样品要求：船桨式镀锌钢静电喷涂护栏样品（包括立柱、底座、反射器等），长度：2.5m，高度：0.8m；颜色：国际灰颜色（灰色RAL7015），1.25m表面涂层处理，1.25m不得表面涂层处理；</w:t>
      </w:r>
    </w:p>
    <w:p>
      <w:pPr>
        <w:pStyle w:val="21"/>
        <w:ind w:firstLine="422"/>
        <w:rPr>
          <w:rFonts w:ascii="宋体" w:hAnsi="宋体"/>
          <w:b/>
          <w:bCs/>
          <w:sz w:val="21"/>
          <w:szCs w:val="21"/>
        </w:rPr>
      </w:pPr>
      <w:r>
        <w:rPr>
          <w:rFonts w:hint="eastAsia" w:ascii="宋体" w:hAnsi="宋体"/>
          <w:b/>
          <w:bCs/>
          <w:sz w:val="21"/>
          <w:szCs w:val="21"/>
        </w:rPr>
        <w:t>（2）送达时间：投标截止时间前需送至嘉兴市公共资源交易中心一楼南侧样品处（嘉兴市广场路350号）。</w:t>
      </w:r>
    </w:p>
    <w:p>
      <w:pPr>
        <w:pStyle w:val="21"/>
        <w:ind w:firstLine="422"/>
        <w:rPr>
          <w:rFonts w:ascii="宋体" w:hAnsi="宋体"/>
          <w:b/>
          <w:bCs/>
          <w:sz w:val="21"/>
          <w:szCs w:val="21"/>
        </w:rPr>
      </w:pPr>
      <w:r>
        <w:rPr>
          <w:rFonts w:hint="eastAsia" w:ascii="宋体" w:hAnsi="宋体"/>
          <w:b/>
          <w:bCs/>
          <w:sz w:val="21"/>
          <w:szCs w:val="21"/>
        </w:rPr>
        <w:t>（3）请将供应商全称及联系方式密封在样品上，密封外侧不得体现供应商相关信息，否则将拒收；</w:t>
      </w:r>
    </w:p>
    <w:p>
      <w:pPr>
        <w:ind w:firstLine="422" w:firstLineChars="200"/>
        <w:rPr>
          <w:rFonts w:ascii="宋体" w:hAnsi="宋体"/>
          <w:b/>
          <w:szCs w:val="21"/>
          <w:lang w:val="en-GB"/>
        </w:rPr>
      </w:pPr>
      <w:r>
        <w:rPr>
          <w:rFonts w:hint="eastAsia" w:ascii="宋体" w:hAnsi="宋体"/>
          <w:b/>
          <w:bCs/>
          <w:szCs w:val="21"/>
        </w:rPr>
        <w:t>（4）样品的退还：中标人所提供的货物样品不予退还，由采购单位封存作为验收依据，未中标单位可在公示结束后2个工作日内取回样品，逾期将由采购人自行处理。</w:t>
      </w:r>
    </w:p>
    <w:p>
      <w:pPr>
        <w:ind w:firstLine="422" w:firstLineChars="200"/>
        <w:rPr>
          <w:rFonts w:hint="eastAsia" w:ascii="宋体" w:hAnsi="宋体"/>
          <w:b/>
          <w:szCs w:val="21"/>
          <w:lang w:val="en-GB"/>
        </w:rPr>
      </w:pPr>
      <w:r>
        <w:rPr>
          <w:rFonts w:hint="eastAsia" w:ascii="宋体" w:hAnsi="宋体"/>
          <w:b/>
          <w:szCs w:val="21"/>
          <w:lang w:val="en-GB"/>
        </w:rPr>
        <w:t>标项3：道路交通信号灯的维护更新项目</w:t>
      </w:r>
    </w:p>
    <w:tbl>
      <w:tblPr>
        <w:tblStyle w:val="53"/>
        <w:tblW w:w="0" w:type="auto"/>
        <w:tblInd w:w="0" w:type="dxa"/>
        <w:tblLayout w:type="fixed"/>
        <w:tblCellMar>
          <w:top w:w="15" w:type="dxa"/>
          <w:left w:w="15" w:type="dxa"/>
          <w:bottom w:w="15" w:type="dxa"/>
          <w:right w:w="15" w:type="dxa"/>
        </w:tblCellMar>
      </w:tblPr>
      <w:tblGrid>
        <w:gridCol w:w="572"/>
        <w:gridCol w:w="2236"/>
        <w:gridCol w:w="2517"/>
        <w:gridCol w:w="697"/>
        <w:gridCol w:w="699"/>
        <w:gridCol w:w="996"/>
        <w:gridCol w:w="1379"/>
      </w:tblGrid>
      <w:tr>
        <w:tblPrEx>
          <w:tblCellMar>
            <w:top w:w="15" w:type="dxa"/>
            <w:left w:w="15" w:type="dxa"/>
            <w:bottom w:w="15" w:type="dxa"/>
            <w:right w:w="15" w:type="dxa"/>
          </w:tblCellMar>
        </w:tblPrEx>
        <w:trPr>
          <w:wBefore w:w="0" w:type="dxa"/>
          <w:wAfter w:w="0" w:type="dxa"/>
          <w:trHeight w:val="81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序号</w:t>
            </w: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货物名称</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固定单价</w:t>
            </w:r>
          </w:p>
          <w:p>
            <w:pPr>
              <w:spacing w:after="60" w:afterLines="25" w:line="360" w:lineRule="exact"/>
              <w:jc w:val="center"/>
              <w:rPr>
                <w:rFonts w:ascii="宋体" w:hAnsi="宋体"/>
                <w:b/>
                <w:bCs/>
                <w:szCs w:val="21"/>
              </w:rPr>
            </w:pPr>
            <w:r>
              <w:rPr>
                <w:rFonts w:hint="eastAsia" w:ascii="宋体" w:hAnsi="宋体"/>
                <w:b/>
                <w:bCs/>
                <w:szCs w:val="21"/>
              </w:rPr>
              <w:t>预算金额</w:t>
            </w:r>
          </w:p>
          <w:p>
            <w:pPr>
              <w:spacing w:after="60" w:afterLines="25" w:line="360" w:lineRule="exact"/>
              <w:jc w:val="center"/>
              <w:rPr>
                <w:rFonts w:hint="eastAsia" w:ascii="宋体" w:hAnsi="宋体"/>
                <w:b/>
                <w:bCs/>
                <w:szCs w:val="21"/>
              </w:rPr>
            </w:pPr>
            <w:r>
              <w:rPr>
                <w:rFonts w:hint="eastAsia" w:ascii="宋体" w:hAnsi="宋体"/>
                <w:b/>
                <w:bCs/>
                <w:szCs w:val="21"/>
              </w:rPr>
              <w:t>（元）</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备注</w:t>
            </w:r>
          </w:p>
        </w:tc>
      </w:tr>
      <w:tr>
        <w:tblPrEx>
          <w:tblCellMar>
            <w:top w:w="15" w:type="dxa"/>
            <w:left w:w="15" w:type="dxa"/>
            <w:bottom w:w="15" w:type="dxa"/>
            <w:right w:w="15" w:type="dxa"/>
          </w:tblCellMar>
        </w:tblPrEx>
        <w:trPr>
          <w:wBefore w:w="0" w:type="dxa"/>
          <w:wAfter w:w="0" w:type="dxa"/>
          <w:trHeight w:val="577"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dstrike/>
                <w:szCs w:val="21"/>
              </w:rPr>
            </w:pPr>
            <w:r>
              <w:rPr>
                <w:rFonts w:hint="eastAsia" w:ascii="宋体" w:hAnsi="宋体"/>
                <w:szCs w:val="21"/>
              </w:rPr>
              <w:t>倒计时器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dstrike/>
                <w:szCs w:val="21"/>
              </w:rPr>
            </w:pPr>
            <w:r>
              <w:rPr>
                <w:rFonts w:hint="eastAsia" w:ascii="宋体" w:hAnsi="宋体"/>
                <w:szCs w:val="21"/>
              </w:rPr>
              <w:t>400铝壳单8红绿倒计时</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dstrike/>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dstrike/>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dstrike/>
                <w:szCs w:val="21"/>
              </w:rPr>
            </w:pPr>
            <w:r>
              <w:rPr>
                <w:rFonts w:hint="eastAsia" w:ascii="宋体" w:hAnsi="宋体"/>
                <w:szCs w:val="21"/>
              </w:rPr>
              <w:t>2100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独立安装</w:t>
            </w:r>
          </w:p>
        </w:tc>
      </w:tr>
      <w:tr>
        <w:tblPrEx>
          <w:tblCellMar>
            <w:top w:w="15" w:type="dxa"/>
            <w:left w:w="15" w:type="dxa"/>
            <w:bottom w:w="15" w:type="dxa"/>
            <w:right w:w="15" w:type="dxa"/>
          </w:tblCellMar>
        </w:tblPrEx>
        <w:trPr>
          <w:wBefore w:w="0" w:type="dxa"/>
          <w:wAfter w:w="0" w:type="dxa"/>
          <w:trHeight w:val="529"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48" w:name="_Hlk143715867"/>
            <w:r>
              <w:rPr>
                <w:rFonts w:hint="eastAsia" w:ascii="宋体" w:hAnsi="宋体"/>
                <w:szCs w:val="21"/>
              </w:rPr>
              <w:t>机动车信号灯1</w:t>
            </w:r>
            <w:bookmarkEnd w:id="48"/>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403铝壳，满屏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7</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49" w:name="_Hlk143715897"/>
            <w:r>
              <w:rPr>
                <w:rFonts w:hint="eastAsia" w:ascii="宋体" w:hAnsi="宋体"/>
                <w:szCs w:val="21"/>
              </w:rPr>
              <w:t>机动车信号灯2</w:t>
            </w:r>
            <w:bookmarkEnd w:id="49"/>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403铝壳，箭头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7</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机动车信号灯3</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303铝壳，满屏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2700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机动车信号灯4</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303铝壳，箭头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2700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太阳能黄闪灯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400铝壳圆盘黄闪</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1800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太阳能黄闪灯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300铝壳圆盘黄闪</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0" w:name="_Hlk143715918"/>
            <w:r>
              <w:rPr>
                <w:rFonts w:hint="eastAsia" w:ascii="宋体" w:hAnsi="宋体"/>
                <w:szCs w:val="21"/>
              </w:rPr>
              <w:t>非机动车信号灯1</w:t>
            </w:r>
            <w:bookmarkEnd w:id="50"/>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400铝壳（不带方向箭头）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5</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1" w:name="_Hlk143715935"/>
            <w:r>
              <w:rPr>
                <w:rFonts w:hint="eastAsia" w:ascii="宋体" w:hAnsi="宋体"/>
                <w:szCs w:val="21"/>
              </w:rPr>
              <w:t>非机动车信号灯2</w:t>
            </w:r>
            <w:bookmarkEnd w:id="51"/>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400铝壳（带方向箭头）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5</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人行灯1</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302铝壳红绿分立活动</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6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人行灯2</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302红绿分立活动一体化</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4400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2" w:name="_Hlk143715948"/>
            <w:r>
              <w:rPr>
                <w:rFonts w:hint="eastAsia" w:ascii="宋体" w:hAnsi="宋体"/>
                <w:szCs w:val="21"/>
              </w:rPr>
              <w:t>LED一体式人行灯</w:t>
            </w:r>
            <w:bookmarkEnd w:id="52"/>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含302红绿人行灯，LED屏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0</w:t>
            </w:r>
            <w:r>
              <w:rPr>
                <w:rFonts w:hint="eastAsia" w:ascii="宋体" w:hAnsi="宋体"/>
                <w:szCs w:val="21"/>
              </w:rPr>
              <w:t>000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2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3" w:name="_Hlk143715972"/>
            <w:r>
              <w:rPr>
                <w:rFonts w:hint="eastAsia" w:ascii="宋体" w:hAnsi="宋体"/>
                <w:szCs w:val="21"/>
              </w:rPr>
              <w:t>带拍照的LED一体式人行灯（不含摄像单元）</w:t>
            </w:r>
            <w:bookmarkEnd w:id="53"/>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含302红绿人行灯，LED屏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0</w:t>
            </w:r>
            <w:r>
              <w:rPr>
                <w:rFonts w:hint="eastAsia" w:ascii="宋体" w:hAnsi="宋体"/>
                <w:szCs w:val="21"/>
              </w:rPr>
              <w:t>000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693"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人行灯玻璃</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学校临时灯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临时信号灯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250单灯盘（1满三色）</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54"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临时信号灯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250多相位双灯盘（1左1满三色）</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8300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18"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机动车信号灯灯芯1</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400，满屏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机动车信号灯灯芯2</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4" w:name="_Hlk143715993"/>
            <w:r>
              <w:rPr>
                <w:rFonts w:hint="eastAsia" w:ascii="宋体" w:hAnsi="宋体"/>
                <w:szCs w:val="21"/>
              </w:rPr>
              <w:t>机动车黄灯灯芯</w:t>
            </w:r>
            <w:bookmarkEnd w:id="54"/>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400含单8倒计时</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0</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机动车信号灯灯芯3</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300，满屏</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机动车信号灯灯芯4</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人行灯灯芯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箭头灯芯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250红黄绿三色</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圆盘灯芯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250红黄绿三色</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倒计时灯芯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400单8红绿倒计时</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1400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人行灯板</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28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非机动车灯芯1</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400（不带方向箭头）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非机动车灯芯2</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400（带方向箭头）</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人行灯后盖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信号灯变压器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220V至25V变压器</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充电器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移动信号灯充电器</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充电插座</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移动信号灯充电插座</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9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信号灯玻璃</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bookmarkStart w:id="55" w:name="_Hlk141434367"/>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信号灯帽沿</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信号灯沿边</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71</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bookmarkEnd w:id="55"/>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人行灯壳总成</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人行灯防撞架</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76管800×800×1000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6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2芯6平方电缆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24</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2芯10平方电缆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6" w:name="_Hlk143716015"/>
            <w:r>
              <w:rPr>
                <w:rFonts w:hint="eastAsia" w:ascii="宋体" w:hAnsi="宋体"/>
                <w:szCs w:val="21"/>
              </w:rPr>
              <w:t>电缆</w:t>
            </w:r>
            <w:bookmarkEnd w:id="56"/>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57" w:name="_Hlk143716021"/>
            <w:r>
              <w:rPr>
                <w:rFonts w:hint="eastAsia" w:ascii="宋体" w:hAnsi="宋体"/>
                <w:szCs w:val="21"/>
              </w:rPr>
              <w:t>5芯1平方电缆</w:t>
            </w:r>
            <w:bookmarkEnd w:id="57"/>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r>
              <w:rPr>
                <w:rFonts w:ascii="宋体" w:hAnsi="宋体"/>
                <w:szCs w:val="21"/>
              </w:rPr>
              <w:t>4</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7芯1平方电缆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10芯1平方电缆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r>
              <w:rPr>
                <w:rFonts w:ascii="宋体" w:hAnsi="宋体"/>
                <w:szCs w:val="21"/>
              </w:rPr>
              <w:t>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5芯1.5平方电缆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10芯1.5平方电缆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22</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5芯1.5平方钢套电缆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7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10芯1.5平方钢套电缆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20芯1.5平方钢套电缆</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电缆保护管铺设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DN110×9×1孔尼龙顶管</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包括开挖埋设恢复路面</w:t>
            </w:r>
          </w:p>
        </w:tc>
      </w:tr>
      <w:tr>
        <w:tblPrEx>
          <w:tblCellMar>
            <w:top w:w="15" w:type="dxa"/>
            <w:left w:w="15" w:type="dxa"/>
            <w:bottom w:w="15" w:type="dxa"/>
            <w:right w:w="15" w:type="dxa"/>
          </w:tblCellMar>
        </w:tblPrEx>
        <w:trPr>
          <w:wBefore w:w="0" w:type="dxa"/>
          <w:wAfter w:w="0" w:type="dxa"/>
          <w:trHeight w:val="66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电缆保护管铺设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DN110×9×2孔尼龙顶管</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包括开挖埋设恢复路面</w:t>
            </w:r>
          </w:p>
        </w:tc>
      </w:tr>
      <w:tr>
        <w:tblPrEx>
          <w:tblCellMar>
            <w:top w:w="15" w:type="dxa"/>
            <w:left w:w="15" w:type="dxa"/>
            <w:bottom w:w="15" w:type="dxa"/>
            <w:right w:w="15" w:type="dxa"/>
          </w:tblCellMar>
        </w:tblPrEx>
        <w:trPr>
          <w:wBefore w:w="0" w:type="dxa"/>
          <w:wAfter w:w="0" w:type="dxa"/>
          <w:trHeight w:val="691"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电缆保护管铺设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DN110×9×3孔尼龙顶管</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34</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包括开挖埋设恢复路面</w:t>
            </w:r>
          </w:p>
        </w:tc>
      </w:tr>
      <w:tr>
        <w:tblPrEx>
          <w:tblCellMar>
            <w:top w:w="15" w:type="dxa"/>
            <w:left w:w="15" w:type="dxa"/>
            <w:bottom w:w="15" w:type="dxa"/>
            <w:right w:w="15" w:type="dxa"/>
          </w:tblCellMar>
        </w:tblPrEx>
        <w:trPr>
          <w:wBefore w:w="0" w:type="dxa"/>
          <w:wAfter w:w="0" w:type="dxa"/>
          <w:trHeight w:val="731"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电缆保护管铺设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DN100镀锌钢管</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电缆保护管铺设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PE管PN100-DM75</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23"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Ф50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电缆保护铺设</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Ф60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车行道开挖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宽500mm，深500mm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包括开挖、恢复路面</w:t>
            </w:r>
          </w:p>
        </w:tc>
      </w:tr>
      <w:tr>
        <w:tblPrEx>
          <w:tblCellMar>
            <w:top w:w="15" w:type="dxa"/>
            <w:left w:w="15" w:type="dxa"/>
            <w:bottom w:w="15" w:type="dxa"/>
            <w:right w:w="15" w:type="dxa"/>
          </w:tblCellMar>
        </w:tblPrEx>
        <w:trPr>
          <w:wBefore w:w="0" w:type="dxa"/>
          <w:wAfter w:w="0" w:type="dxa"/>
          <w:trHeight w:val="661"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人行道开挖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宽300mm，深500mm（道砖）</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包括开挖、恢复路面</w:t>
            </w:r>
          </w:p>
        </w:tc>
      </w:tr>
      <w:tr>
        <w:tblPrEx>
          <w:tblCellMar>
            <w:top w:w="15" w:type="dxa"/>
            <w:left w:w="15" w:type="dxa"/>
            <w:bottom w:w="15" w:type="dxa"/>
            <w:right w:w="15" w:type="dxa"/>
          </w:tblCellMar>
        </w:tblPrEx>
        <w:trPr>
          <w:wBefore w:w="0" w:type="dxa"/>
          <w:wAfter w:w="0" w:type="dxa"/>
          <w:trHeight w:val="54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人行道开挖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宽300mm，深500mm（大理石）</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包括开挖、恢复路面</w:t>
            </w:r>
          </w:p>
        </w:tc>
      </w:tr>
      <w:tr>
        <w:tblPrEx>
          <w:tblCellMar>
            <w:top w:w="15" w:type="dxa"/>
            <w:left w:w="15" w:type="dxa"/>
            <w:bottom w:w="15" w:type="dxa"/>
            <w:right w:w="15" w:type="dxa"/>
          </w:tblCellMar>
        </w:tblPrEx>
        <w:trPr>
          <w:wBefore w:w="0" w:type="dxa"/>
          <w:wAfter w:w="0" w:type="dxa"/>
          <w:trHeight w:val="711"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58" w:name="_Hlk143716071"/>
            <w:r>
              <w:rPr>
                <w:rFonts w:hint="eastAsia" w:ascii="宋体" w:hAnsi="宋体"/>
                <w:szCs w:val="21"/>
              </w:rPr>
              <w:t>信号灯杆</w:t>
            </w:r>
            <w:bookmarkEnd w:id="58"/>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59" w:name="_Hlk143716077"/>
            <w:r>
              <w:rPr>
                <w:rFonts w:hint="eastAsia" w:ascii="宋体" w:hAnsi="宋体"/>
                <w:szCs w:val="21"/>
              </w:rPr>
              <w:t>L7M×H6.8M</w:t>
            </w:r>
            <w:bookmarkEnd w:id="59"/>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0" w:name="_Hlk143716085"/>
            <w:r>
              <w:rPr>
                <w:rFonts w:hint="eastAsia" w:ascii="宋体" w:hAnsi="宋体"/>
                <w:szCs w:val="21"/>
              </w:rPr>
              <w:t>1</w:t>
            </w:r>
            <w:r>
              <w:rPr>
                <w:rFonts w:ascii="宋体" w:hAnsi="宋体"/>
                <w:szCs w:val="21"/>
              </w:rPr>
              <w:t>0</w:t>
            </w:r>
            <w:r>
              <w:rPr>
                <w:rFonts w:hint="eastAsia" w:ascii="宋体" w:hAnsi="宋体"/>
                <w:szCs w:val="21"/>
              </w:rPr>
              <w:t>100</w:t>
            </w:r>
            <w:bookmarkEnd w:id="60"/>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61" w:name="_Hlk143716105"/>
            <w:r>
              <w:rPr>
                <w:rFonts w:hint="eastAsia" w:ascii="宋体" w:hAnsi="宋体"/>
                <w:szCs w:val="21"/>
              </w:rPr>
              <w:t>L9M×H6.8M</w:t>
            </w:r>
            <w:bookmarkEnd w:id="61"/>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2" w:name="_Hlk143716113"/>
            <w:r>
              <w:rPr>
                <w:rFonts w:hint="eastAsia" w:ascii="宋体" w:hAnsi="宋体"/>
                <w:szCs w:val="21"/>
              </w:rPr>
              <w:t>1</w:t>
            </w:r>
            <w:r>
              <w:rPr>
                <w:rFonts w:ascii="宋体" w:hAnsi="宋体"/>
                <w:szCs w:val="21"/>
              </w:rPr>
              <w:t>15</w:t>
            </w:r>
            <w:r>
              <w:rPr>
                <w:rFonts w:hint="eastAsia" w:ascii="宋体" w:hAnsi="宋体"/>
                <w:szCs w:val="21"/>
              </w:rPr>
              <w:t>00</w:t>
            </w:r>
            <w:bookmarkEnd w:id="62"/>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bookmarkStart w:id="63" w:name="_Hlk143716138"/>
            <w:r>
              <w:rPr>
                <w:rFonts w:hint="eastAsia" w:ascii="宋体" w:hAnsi="宋体"/>
                <w:szCs w:val="21"/>
              </w:rPr>
              <w:t>L11M×H6.8M</w:t>
            </w:r>
            <w:bookmarkEnd w:id="63"/>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4" w:name="_Hlk143716156"/>
            <w:r>
              <w:rPr>
                <w:rFonts w:hint="eastAsia" w:ascii="宋体" w:hAnsi="宋体"/>
                <w:szCs w:val="21"/>
              </w:rPr>
              <w:t>1</w:t>
            </w:r>
            <w:r>
              <w:rPr>
                <w:rFonts w:ascii="宋体" w:hAnsi="宋体"/>
                <w:szCs w:val="21"/>
              </w:rPr>
              <w:t>285</w:t>
            </w:r>
            <w:r>
              <w:rPr>
                <w:rFonts w:hint="eastAsia" w:ascii="宋体" w:hAnsi="宋体"/>
                <w:szCs w:val="21"/>
              </w:rPr>
              <w:t>0</w:t>
            </w:r>
            <w:bookmarkEnd w:id="64"/>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H4500mm； Φ165mm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3700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08"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人行信号灯杆</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H3300mm； Φ114mm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信号灯基础</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1500×1500×2000mm，C25钢筋砼</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含预埋件，土方开挖回填</w:t>
            </w:r>
          </w:p>
        </w:tc>
      </w:tr>
      <w:tr>
        <w:tblPrEx>
          <w:tblCellMar>
            <w:top w:w="15" w:type="dxa"/>
            <w:left w:w="15" w:type="dxa"/>
            <w:bottom w:w="15" w:type="dxa"/>
            <w:right w:w="15" w:type="dxa"/>
          </w:tblCellMar>
        </w:tblPrEx>
        <w:trPr>
          <w:wBefore w:w="0" w:type="dxa"/>
          <w:wAfter w:w="0" w:type="dxa"/>
          <w:trHeight w:val="554"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信号灯基础</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1200×1200×1500mm，C25钢筋砼</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含预埋件，土方开挖回填</w:t>
            </w:r>
          </w:p>
        </w:tc>
      </w:tr>
      <w:tr>
        <w:tblPrEx>
          <w:tblCellMar>
            <w:top w:w="15" w:type="dxa"/>
            <w:left w:w="15" w:type="dxa"/>
            <w:bottom w:w="15" w:type="dxa"/>
            <w:right w:w="15" w:type="dxa"/>
          </w:tblCellMar>
        </w:tblPrEx>
        <w:trPr>
          <w:wBefore w:w="0" w:type="dxa"/>
          <w:wAfter w:w="0" w:type="dxa"/>
          <w:trHeight w:val="579"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信号灯基础</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500×500×1000mm，C25钢筋砼</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含预埋件，开挖、路面恢复</w:t>
            </w:r>
          </w:p>
        </w:tc>
      </w:tr>
      <w:tr>
        <w:tblPrEx>
          <w:tblCellMar>
            <w:top w:w="15" w:type="dxa"/>
            <w:left w:w="15" w:type="dxa"/>
            <w:bottom w:w="15" w:type="dxa"/>
            <w:right w:w="15" w:type="dxa"/>
          </w:tblCellMar>
        </w:tblPrEx>
        <w:trPr>
          <w:wBefore w:w="0" w:type="dxa"/>
          <w:wAfter w:w="0" w:type="dxa"/>
          <w:trHeight w:val="60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手井</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500×500×1000mm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520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手井</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400×400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28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手井</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300×300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28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300mm×300mm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110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400mm×400mm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400mm×500mm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500mm×500mm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800mm×800mm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电缆井盖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600mm×600mm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信号灯机箱锁</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信号灯杆接线盖</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信号灯普通机箱</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1100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临时信号灯开关</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可变车道显示屏</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1410×920mm；铝板+超强级反光膜；Φ5LED方阵排列</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9250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59"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可变车道显示屏</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900×700mm；铝板+超强级反光膜；Φ5LED方阵排列</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48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可变车道控制器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联网式、与可变车道显示屏配套</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12"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5" w:name="_Hlk143716169"/>
            <w:r>
              <w:rPr>
                <w:rFonts w:hint="eastAsia" w:ascii="宋体" w:hAnsi="宋体"/>
                <w:szCs w:val="21"/>
              </w:rPr>
              <w:t>双图文待驶区提示屏</w:t>
            </w:r>
            <w:bookmarkEnd w:id="65"/>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2550×410×60mm；铝板喷塑；绿色Φ5LED 方阵排列</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6" w:name="_Hlk143716177"/>
            <w:r>
              <w:rPr>
                <w:rFonts w:ascii="宋体" w:hAnsi="宋体"/>
                <w:szCs w:val="21"/>
              </w:rPr>
              <w:t>65</w:t>
            </w:r>
            <w:r>
              <w:rPr>
                <w:rFonts w:hint="eastAsia" w:ascii="宋体" w:hAnsi="宋体"/>
                <w:szCs w:val="21"/>
              </w:rPr>
              <w:t>00</w:t>
            </w:r>
            <w:bookmarkEnd w:id="66"/>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显示“左转/直行车辆进入待行区”</w:t>
            </w:r>
          </w:p>
        </w:tc>
      </w:tr>
      <w:tr>
        <w:tblPrEx>
          <w:tblCellMar>
            <w:top w:w="15" w:type="dxa"/>
            <w:left w:w="15" w:type="dxa"/>
            <w:bottom w:w="15" w:type="dxa"/>
            <w:right w:w="15" w:type="dxa"/>
          </w:tblCellMar>
        </w:tblPrEx>
        <w:trPr>
          <w:wBefore w:w="0" w:type="dxa"/>
          <w:wAfter w:w="0" w:type="dxa"/>
          <w:trHeight w:val="961"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盲人声音提示装置</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与人行横道灯配套</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1200</w:t>
            </w:r>
          </w:p>
        </w:tc>
        <w:tc>
          <w:tcPr>
            <w:tcW w:w="1379" w:type="dxa"/>
            <w:tcBorders>
              <w:top w:val="single" w:color="000000" w:sz="4" w:space="0"/>
              <w:left w:val="single" w:color="000000" w:sz="4" w:space="0"/>
              <w:bottom w:val="single" w:color="000000" w:sz="4" w:space="0"/>
              <w:right w:val="single" w:color="000000" w:sz="4" w:space="0"/>
            </w:tcBorders>
            <w:noWrap w:val="0"/>
            <w:vAlign w:val="top"/>
          </w:tcPr>
          <w:p>
            <w:pPr>
              <w:spacing w:after="60" w:afterLines="25" w:line="360" w:lineRule="exact"/>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信号灯接电</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电力部门不锈钢控制箱，箱内含电力安全设备和用电计量表，10米电源线</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以上内容由供电部门配套提供</w:t>
            </w:r>
          </w:p>
        </w:tc>
      </w:tr>
      <w:tr>
        <w:tblPrEx>
          <w:tblCellMar>
            <w:top w:w="15" w:type="dxa"/>
            <w:left w:w="15" w:type="dxa"/>
            <w:bottom w:w="15" w:type="dxa"/>
            <w:right w:w="15" w:type="dxa"/>
          </w:tblCellMar>
        </w:tblPrEx>
        <w:trPr>
          <w:wBefore w:w="0" w:type="dxa"/>
          <w:wAfter w:w="0" w:type="dxa"/>
          <w:trHeight w:val="1104"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信号灯接电电源线</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超出10米电源线</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5"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机箱基础</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C30砼600×500×500mm含PE 100 直角弯头1个及管道2m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2250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单门机箱基础</w:t>
            </w:r>
          </w:p>
        </w:tc>
      </w:tr>
      <w:tr>
        <w:tblPrEx>
          <w:tblCellMar>
            <w:top w:w="15" w:type="dxa"/>
            <w:left w:w="15" w:type="dxa"/>
            <w:bottom w:w="15" w:type="dxa"/>
            <w:right w:w="15" w:type="dxa"/>
          </w:tblCellMar>
        </w:tblPrEx>
        <w:trPr>
          <w:wBefore w:w="0" w:type="dxa"/>
          <w:wAfter w:w="0" w:type="dxa"/>
          <w:trHeight w:val="603"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机箱基础</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C30砼1150×800×800mm含PE 100 直角弯头1个及管道3m</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3250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r>
              <w:rPr>
                <w:rFonts w:hint="eastAsia" w:ascii="宋体" w:hAnsi="宋体"/>
                <w:szCs w:val="21"/>
              </w:rPr>
              <w:t>双门机箱基础</w:t>
            </w:r>
          </w:p>
        </w:tc>
      </w:tr>
      <w:tr>
        <w:tblPrEx>
          <w:tblCellMar>
            <w:top w:w="15" w:type="dxa"/>
            <w:left w:w="15" w:type="dxa"/>
            <w:bottom w:w="15" w:type="dxa"/>
            <w:right w:w="15" w:type="dxa"/>
          </w:tblCellMar>
        </w:tblPrEx>
        <w:trPr>
          <w:wBefore w:w="0" w:type="dxa"/>
          <w:wAfter w:w="0" w:type="dxa"/>
          <w:trHeight w:val="34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安装旧信号智能机</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弯头</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90°</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28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太阳能爆闪灯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Φ400mm，LED直径Φ5mm，DC12V，黄590nm，太阳能板10W蓄电池 12V8Ah。</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380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语音提示器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ascii="宋体" w:hAnsi="宋体"/>
                <w:szCs w:val="21"/>
              </w:rPr>
              <w:t>不锈钢壳体，黑色喷塑，声音提示，可设置“嘟嘟嘟”盲人钟声；人行灯上方固定。</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2200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临时信号灯电池</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更换电池</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360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手持式警示灯</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7" w:name="_Hlk143716226"/>
            <w:r>
              <w:rPr>
                <w:rFonts w:hint="eastAsia" w:ascii="宋体" w:hAnsi="宋体"/>
                <w:szCs w:val="21"/>
              </w:rPr>
              <w:t>整机</w:t>
            </w:r>
            <w:bookmarkEnd w:id="67"/>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8" w:name="_Hlk143716238"/>
            <w:r>
              <w:rPr>
                <w:rFonts w:hint="eastAsia" w:ascii="宋体" w:hAnsi="宋体"/>
                <w:szCs w:val="21"/>
              </w:rPr>
              <w:t>1</w:t>
            </w:r>
            <w:r>
              <w:rPr>
                <w:rFonts w:ascii="宋体" w:hAnsi="宋体"/>
                <w:szCs w:val="21"/>
              </w:rPr>
              <w:t>750</w:t>
            </w:r>
            <w:r>
              <w:rPr>
                <w:rFonts w:hint="eastAsia" w:ascii="宋体" w:hAnsi="宋体"/>
                <w:szCs w:val="21"/>
              </w:rPr>
              <w:t>0</w:t>
            </w:r>
            <w:bookmarkEnd w:id="68"/>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一体式主体</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新型太阳能发光警示柱</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根</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1360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677"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69" w:name="_Hlk143716252"/>
            <w:r>
              <w:rPr>
                <w:rFonts w:hint="eastAsia" w:ascii="宋体" w:hAnsi="宋体"/>
                <w:szCs w:val="21"/>
              </w:rPr>
              <w:t>太阳能斑马线GPS同频道钉</w:t>
            </w:r>
            <w:bookmarkEnd w:id="69"/>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0" w:name="_Hlk143716260"/>
            <w:r>
              <w:rPr>
                <w:rFonts w:ascii="宋体" w:hAnsi="宋体"/>
                <w:szCs w:val="21"/>
              </w:rPr>
              <w:t>583</w:t>
            </w:r>
            <w:bookmarkEnd w:id="70"/>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81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1" w:name="_Hlk143716276"/>
            <w:r>
              <w:rPr>
                <w:rFonts w:hint="eastAsia" w:ascii="宋体" w:hAnsi="宋体"/>
                <w:szCs w:val="21"/>
              </w:rPr>
              <w:t>智能地埋信号灯</w:t>
            </w:r>
            <w:bookmarkEnd w:id="71"/>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2" w:name="_Hlk143716293"/>
            <w:r>
              <w:rPr>
                <w:rFonts w:ascii="宋体" w:hAnsi="宋体"/>
                <w:szCs w:val="21"/>
              </w:rPr>
              <w:t>1850</w:t>
            </w:r>
            <w:bookmarkEnd w:id="72"/>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3" w:name="_Hlk143716310"/>
            <w:r>
              <w:rPr>
                <w:rFonts w:hint="eastAsia" w:ascii="宋体" w:hAnsi="宋体"/>
                <w:szCs w:val="21"/>
              </w:rPr>
              <w:t>有源斑马线发光道钉</w:t>
            </w:r>
            <w:bookmarkEnd w:id="73"/>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4" w:name="_Hlk143716325"/>
            <w:r>
              <w:rPr>
                <w:rFonts w:ascii="宋体" w:hAnsi="宋体"/>
                <w:szCs w:val="21"/>
              </w:rPr>
              <w:t>655</w:t>
            </w:r>
            <w:bookmarkEnd w:id="74"/>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59"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主动发光交通标志牌</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26"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点阵发光辅助标志</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爆闪灯模块</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智能语音模块</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640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5" w:name="_Hlk143716343"/>
            <w:r>
              <w:rPr>
                <w:rFonts w:hint="eastAsia" w:ascii="宋体" w:hAnsi="宋体"/>
                <w:szCs w:val="21"/>
              </w:rPr>
              <w:t>嵌入式主控模块</w:t>
            </w:r>
            <w:bookmarkEnd w:id="75"/>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w:t>
            </w:r>
            <w:r>
              <w:rPr>
                <w:rFonts w:ascii="宋体" w:hAnsi="宋体"/>
                <w:szCs w:val="21"/>
              </w:rPr>
              <w:t>0</w:t>
            </w:r>
            <w:r>
              <w:rPr>
                <w:rFonts w:hint="eastAsia" w:ascii="宋体" w:hAnsi="宋体"/>
                <w:szCs w:val="21"/>
              </w:rPr>
              <w:t>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6" w:name="_Hlk143716378"/>
            <w:r>
              <w:rPr>
                <w:rFonts w:hint="eastAsia" w:ascii="宋体" w:hAnsi="宋体"/>
                <w:szCs w:val="21"/>
              </w:rPr>
              <w:t>智能无线通讯模块</w:t>
            </w:r>
            <w:bookmarkEnd w:id="76"/>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7" w:name="_Hlk143716396"/>
            <w:r>
              <w:rPr>
                <w:rFonts w:hint="eastAsia" w:ascii="宋体" w:hAnsi="宋体"/>
                <w:szCs w:val="21"/>
              </w:rPr>
              <w:t>套</w:t>
            </w:r>
            <w:bookmarkEnd w:id="77"/>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ascii="宋体" w:hAnsi="宋体"/>
                <w:szCs w:val="21"/>
              </w:rPr>
              <w:t>144</w:t>
            </w:r>
            <w:r>
              <w:rPr>
                <w:rFonts w:hint="eastAsia" w:ascii="宋体" w:hAnsi="宋体"/>
                <w:szCs w:val="21"/>
              </w:rPr>
              <w:t>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开关电源</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4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8" w:name="_Hlk143716429"/>
            <w:r>
              <w:rPr>
                <w:rFonts w:hint="eastAsia" w:ascii="宋体" w:hAnsi="宋体"/>
                <w:szCs w:val="21"/>
              </w:rPr>
              <w:t>智能交通视频检测器</w:t>
            </w:r>
            <w:bookmarkEnd w:id="78"/>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台</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bookmarkStart w:id="79" w:name="_Hlk143716422"/>
            <w:r>
              <w:rPr>
                <w:rFonts w:ascii="宋体" w:hAnsi="宋体"/>
                <w:szCs w:val="21"/>
              </w:rPr>
              <w:t>375</w:t>
            </w:r>
            <w:r>
              <w:rPr>
                <w:rFonts w:hint="eastAsia" w:ascii="宋体" w:hAnsi="宋体"/>
                <w:szCs w:val="21"/>
              </w:rPr>
              <w:t>0</w:t>
            </w:r>
            <w:bookmarkEnd w:id="79"/>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自动重合闸用电保护器</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r>
        <w:tblPrEx>
          <w:tblCellMar>
            <w:top w:w="15" w:type="dxa"/>
            <w:left w:w="15" w:type="dxa"/>
            <w:bottom w:w="15" w:type="dxa"/>
            <w:right w:w="15" w:type="dxa"/>
          </w:tblCellMar>
        </w:tblPrEx>
        <w:trPr>
          <w:wBefore w:w="0" w:type="dxa"/>
          <w:wAfter w:w="0" w:type="dxa"/>
          <w:trHeight w:val="530" w:hRule="atLeast"/>
        </w:trPr>
        <w:tc>
          <w:tcPr>
            <w:tcW w:w="572" w:type="dxa"/>
            <w:tcBorders>
              <w:top w:val="single" w:color="000000" w:sz="4" w:space="0"/>
              <w:left w:val="single" w:color="000000" w:sz="4" w:space="0"/>
              <w:bottom w:val="single" w:color="000000" w:sz="4" w:space="0"/>
              <w:right w:val="single" w:color="000000" w:sz="4" w:space="0"/>
            </w:tcBorders>
            <w:noWrap w:val="0"/>
            <w:vAlign w:val="center"/>
          </w:tcPr>
          <w:p>
            <w:pPr>
              <w:numPr>
                <w:ilvl w:val="0"/>
                <w:numId w:val="8"/>
              </w:numPr>
              <w:spacing w:after="60" w:afterLines="25" w:line="360" w:lineRule="exact"/>
              <w:ind w:left="0" w:firstLine="210" w:firstLineChars="100"/>
              <w:jc w:val="center"/>
              <w:rPr>
                <w:rFonts w:hint="eastAsia" w:ascii="宋体" w:hAnsi="宋体"/>
                <w:szCs w:val="21"/>
              </w:rPr>
            </w:pPr>
          </w:p>
        </w:tc>
        <w:tc>
          <w:tcPr>
            <w:tcW w:w="223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信号灯控制仪</w:t>
            </w:r>
          </w:p>
        </w:tc>
        <w:tc>
          <w:tcPr>
            <w:tcW w:w="251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C270主机/336机柜，16相位独立输出。需接入交警支队信号控制系统。见技术要求</w:t>
            </w:r>
          </w:p>
        </w:tc>
        <w:tc>
          <w:tcPr>
            <w:tcW w:w="697"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台</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60000</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p>
        </w:tc>
      </w:tr>
    </w:tbl>
    <w:p>
      <w:pPr>
        <w:spacing w:before="120" w:beforeLines="50"/>
        <w:ind w:firstLine="420" w:firstLineChars="200"/>
        <w:rPr>
          <w:rFonts w:hint="eastAsia" w:ascii="宋体" w:hAnsi="宋体"/>
          <w:b/>
          <w:szCs w:val="21"/>
          <w:lang w:val="en-GB"/>
        </w:rPr>
      </w:pPr>
      <w:r>
        <w:rPr>
          <w:rFonts w:hint="eastAsia" w:ascii="宋体" w:hAnsi="宋体"/>
          <w:szCs w:val="21"/>
        </w:rPr>
        <w:t>▲</w:t>
      </w:r>
      <w:r>
        <w:rPr>
          <w:rFonts w:hint="eastAsia" w:ascii="宋体" w:hAnsi="宋体"/>
          <w:b/>
          <w:szCs w:val="21"/>
        </w:rPr>
        <w:t>注：1、</w:t>
      </w:r>
      <w:r>
        <w:rPr>
          <w:rFonts w:hint="eastAsia" w:ascii="宋体" w:hAnsi="宋体"/>
          <w:b/>
          <w:szCs w:val="21"/>
          <w:lang w:val="en-GB"/>
        </w:rPr>
        <w:t>投标产品性能必须与现有的信号灯设备相匹配。</w:t>
      </w:r>
    </w:p>
    <w:p>
      <w:pPr>
        <w:pStyle w:val="21"/>
        <w:ind w:firstLine="1063" w:firstLineChars="504"/>
        <w:rPr>
          <w:rFonts w:ascii="宋体" w:hAnsi="宋体" w:cs="宋体"/>
          <w:b/>
          <w:bCs/>
          <w:sz w:val="21"/>
          <w:szCs w:val="21"/>
        </w:rPr>
      </w:pPr>
      <w:r>
        <w:rPr>
          <w:rFonts w:hint="eastAsia" w:ascii="宋体" w:hAnsi="宋体" w:cs="宋体"/>
          <w:b/>
          <w:bCs/>
          <w:sz w:val="21"/>
          <w:szCs w:val="21"/>
        </w:rPr>
        <w:t>2、提交投标文件的同时，提供400铝壳单8红绿倒计时样品1套。</w:t>
      </w:r>
    </w:p>
    <w:p>
      <w:pPr>
        <w:pStyle w:val="21"/>
        <w:ind w:firstLine="422"/>
        <w:rPr>
          <w:rFonts w:ascii="宋体" w:hAnsi="宋体"/>
          <w:b/>
          <w:bCs/>
          <w:sz w:val="21"/>
          <w:szCs w:val="21"/>
        </w:rPr>
      </w:pPr>
      <w:r>
        <w:rPr>
          <w:rFonts w:hint="eastAsia" w:ascii="宋体" w:hAnsi="宋体"/>
          <w:b/>
          <w:bCs/>
          <w:sz w:val="21"/>
          <w:szCs w:val="21"/>
        </w:rPr>
        <w:t>（1）送达时间：投标截止时间前需送至嘉兴市公共资源交易中心一楼南侧样品处（嘉兴市广场路350号）。</w:t>
      </w:r>
    </w:p>
    <w:p>
      <w:pPr>
        <w:pStyle w:val="21"/>
        <w:ind w:firstLine="422"/>
        <w:rPr>
          <w:rFonts w:ascii="宋体" w:hAnsi="宋体"/>
          <w:b/>
          <w:bCs/>
          <w:sz w:val="21"/>
          <w:szCs w:val="21"/>
        </w:rPr>
      </w:pPr>
      <w:r>
        <w:rPr>
          <w:rFonts w:hint="eastAsia" w:ascii="宋体" w:hAnsi="宋体"/>
          <w:b/>
          <w:bCs/>
          <w:sz w:val="21"/>
          <w:szCs w:val="21"/>
        </w:rPr>
        <w:t>（</w:t>
      </w:r>
      <w:r>
        <w:rPr>
          <w:rFonts w:ascii="宋体" w:hAnsi="宋体"/>
          <w:b/>
          <w:bCs/>
          <w:sz w:val="21"/>
          <w:szCs w:val="21"/>
        </w:rPr>
        <w:t>2</w:t>
      </w:r>
      <w:r>
        <w:rPr>
          <w:rFonts w:hint="eastAsia" w:ascii="宋体" w:hAnsi="宋体"/>
          <w:b/>
          <w:bCs/>
          <w:sz w:val="21"/>
          <w:szCs w:val="21"/>
        </w:rPr>
        <w:t>）请将供应商全称及联系方式密封在样品上，密封外侧不得体现供应商相关信息，否则将拒收；</w:t>
      </w:r>
    </w:p>
    <w:p>
      <w:pPr>
        <w:ind w:firstLine="422" w:firstLineChars="200"/>
        <w:rPr>
          <w:rFonts w:ascii="宋体" w:hAnsi="宋体"/>
          <w:b/>
          <w:bCs/>
          <w:lang w:val="en-GB"/>
        </w:rPr>
      </w:pPr>
      <w:r>
        <w:rPr>
          <w:rFonts w:hint="eastAsia" w:ascii="宋体" w:hAnsi="宋体"/>
          <w:b/>
          <w:bCs/>
          <w:szCs w:val="21"/>
        </w:rPr>
        <w:t>（</w:t>
      </w:r>
      <w:r>
        <w:rPr>
          <w:rFonts w:ascii="宋体" w:hAnsi="宋体"/>
          <w:b/>
          <w:bCs/>
          <w:szCs w:val="21"/>
        </w:rPr>
        <w:t>3</w:t>
      </w:r>
      <w:r>
        <w:rPr>
          <w:rFonts w:hint="eastAsia" w:ascii="宋体" w:hAnsi="宋体"/>
          <w:b/>
          <w:bCs/>
          <w:szCs w:val="21"/>
        </w:rPr>
        <w:t>）样品的退还：中标人所提供的货物样品不予退还，由采购单位封存作为验收依据，未中标单位可在公示结束后2个工作日内取回样品，逾期将由采购人自行处理。</w:t>
      </w:r>
    </w:p>
    <w:p>
      <w:pPr>
        <w:ind w:firstLine="422" w:firstLineChars="200"/>
        <w:rPr>
          <w:rFonts w:ascii="宋体" w:hAnsi="宋体"/>
          <w:b/>
          <w:bCs/>
          <w:lang w:val="en-GB"/>
        </w:rPr>
      </w:pPr>
      <w:r>
        <w:rPr>
          <w:rFonts w:hint="eastAsia" w:ascii="宋体" w:hAnsi="宋体"/>
          <w:b/>
          <w:bCs/>
          <w:lang w:val="en-GB"/>
        </w:rPr>
        <w:t>四、质量及技术规范</w:t>
      </w:r>
    </w:p>
    <w:p>
      <w:pPr>
        <w:ind w:firstLine="422" w:firstLineChars="200"/>
        <w:rPr>
          <w:rFonts w:ascii="宋体" w:hAnsi="宋体"/>
          <w:b/>
          <w:bCs/>
          <w:szCs w:val="21"/>
          <w:lang w:val="en-GB"/>
        </w:rPr>
      </w:pPr>
      <w:r>
        <w:rPr>
          <w:rFonts w:hint="eastAsia" w:ascii="宋体" w:hAnsi="宋体"/>
          <w:b/>
          <w:bCs/>
          <w:szCs w:val="21"/>
          <w:lang w:val="en-GB"/>
        </w:rPr>
        <w:t>（一）、本工程质量要求及施工中需遵循的技术规范（包括但不限于）</w:t>
      </w:r>
    </w:p>
    <w:p>
      <w:pPr>
        <w:ind w:firstLine="420" w:firstLineChars="200"/>
        <w:rPr>
          <w:rFonts w:ascii="宋体" w:hAnsi="宋体"/>
          <w:szCs w:val="21"/>
          <w:lang w:val="en-GB"/>
        </w:rPr>
      </w:pPr>
      <w:r>
        <w:rPr>
          <w:rFonts w:hint="eastAsia" w:ascii="宋体" w:hAnsi="宋体"/>
          <w:szCs w:val="21"/>
          <w:lang w:val="en-GB"/>
        </w:rPr>
        <w:t>1、</w:t>
      </w:r>
      <w:r>
        <w:rPr>
          <w:rFonts w:ascii="宋体" w:hAnsi="宋体"/>
          <w:szCs w:val="21"/>
          <w:lang w:val="en-GB"/>
        </w:rPr>
        <w:t>GB5768《道路</w:t>
      </w:r>
      <w:r>
        <w:rPr>
          <w:rFonts w:hint="eastAsia" w:ascii="宋体" w:hAnsi="宋体"/>
          <w:szCs w:val="21"/>
          <w:lang w:val="en-GB"/>
        </w:rPr>
        <w:t>交通</w:t>
      </w:r>
      <w:r>
        <w:rPr>
          <w:rFonts w:ascii="宋体" w:hAnsi="宋体"/>
          <w:szCs w:val="21"/>
          <w:lang w:val="en-GB"/>
        </w:rPr>
        <w:t>标志</w:t>
      </w:r>
      <w:r>
        <w:rPr>
          <w:rFonts w:hint="eastAsia" w:ascii="宋体" w:hAnsi="宋体"/>
          <w:szCs w:val="21"/>
          <w:lang w:val="en-GB"/>
        </w:rPr>
        <w:t>和</w:t>
      </w:r>
      <w:r>
        <w:rPr>
          <w:rFonts w:ascii="宋体" w:hAnsi="宋体"/>
          <w:szCs w:val="21"/>
          <w:lang w:val="en-GB"/>
        </w:rPr>
        <w:t>标线》国家标准；</w:t>
      </w:r>
    </w:p>
    <w:p>
      <w:pPr>
        <w:ind w:firstLine="420" w:firstLineChars="200"/>
        <w:rPr>
          <w:rFonts w:ascii="宋体" w:hAnsi="宋体"/>
          <w:szCs w:val="21"/>
          <w:lang w:val="en-GB"/>
        </w:rPr>
      </w:pPr>
      <w:r>
        <w:rPr>
          <w:rFonts w:hint="eastAsia" w:ascii="宋体" w:hAnsi="宋体"/>
          <w:szCs w:val="21"/>
          <w:lang w:val="en-GB"/>
        </w:rPr>
        <w:t>2、</w:t>
      </w:r>
      <w:r>
        <w:rPr>
          <w:rFonts w:ascii="宋体" w:hAnsi="宋体"/>
          <w:szCs w:val="21"/>
          <w:lang w:val="en-GB"/>
        </w:rPr>
        <w:t>GB14886《道路交通信号灯</w:t>
      </w:r>
      <w:r>
        <w:rPr>
          <w:rFonts w:hint="eastAsia" w:ascii="宋体" w:hAnsi="宋体"/>
          <w:szCs w:val="21"/>
          <w:lang w:val="en-GB"/>
        </w:rPr>
        <w:t>设置与</w:t>
      </w:r>
      <w:r>
        <w:rPr>
          <w:rFonts w:ascii="宋体" w:hAnsi="宋体"/>
          <w:szCs w:val="21"/>
          <w:lang w:val="en-GB"/>
        </w:rPr>
        <w:t>安装规范》国家标准，同时在设置时结合城市的实际情况；</w:t>
      </w:r>
    </w:p>
    <w:p>
      <w:pPr>
        <w:ind w:firstLine="420" w:firstLineChars="200"/>
        <w:rPr>
          <w:rFonts w:ascii="宋体" w:hAnsi="宋体"/>
          <w:szCs w:val="21"/>
          <w:lang w:val="en-GB"/>
        </w:rPr>
      </w:pPr>
      <w:r>
        <w:rPr>
          <w:rFonts w:hint="eastAsia" w:ascii="宋体" w:hAnsi="宋体"/>
          <w:szCs w:val="21"/>
          <w:lang w:val="en-GB"/>
        </w:rPr>
        <w:t>3、</w:t>
      </w:r>
      <w:r>
        <w:rPr>
          <w:rFonts w:ascii="宋体" w:hAnsi="宋体"/>
          <w:szCs w:val="21"/>
          <w:lang w:val="en-GB"/>
        </w:rPr>
        <w:t>GB14887《道路交通信号灯》国家标准；</w:t>
      </w:r>
    </w:p>
    <w:p>
      <w:pPr>
        <w:ind w:firstLine="420" w:firstLineChars="200"/>
        <w:rPr>
          <w:rFonts w:ascii="宋体" w:hAnsi="宋体"/>
          <w:szCs w:val="21"/>
          <w:lang w:val="en-GB"/>
        </w:rPr>
      </w:pPr>
      <w:r>
        <w:rPr>
          <w:rFonts w:hint="eastAsia" w:ascii="宋体" w:hAnsi="宋体"/>
          <w:szCs w:val="21"/>
          <w:lang w:val="en-GB"/>
        </w:rPr>
        <w:t>4、GAT508《道路交通信号倒计时显示器》行业标准；</w:t>
      </w:r>
    </w:p>
    <w:p>
      <w:pPr>
        <w:ind w:firstLine="420" w:firstLineChars="200"/>
        <w:rPr>
          <w:rFonts w:ascii="宋体" w:hAnsi="宋体"/>
          <w:szCs w:val="21"/>
          <w:lang w:val="en-GB"/>
        </w:rPr>
      </w:pPr>
      <w:r>
        <w:rPr>
          <w:rFonts w:hint="eastAsia" w:ascii="宋体" w:hAnsi="宋体"/>
          <w:szCs w:val="21"/>
          <w:lang w:val="en-GB"/>
        </w:rPr>
        <w:t>5、</w:t>
      </w:r>
      <w:r>
        <w:rPr>
          <w:rFonts w:ascii="宋体" w:hAnsi="宋体"/>
          <w:szCs w:val="21"/>
          <w:lang w:val="en-GB"/>
        </w:rPr>
        <w:t>GB/T16311《道路交通标线质量要求和检测方法》国家标准；</w:t>
      </w:r>
    </w:p>
    <w:p>
      <w:pPr>
        <w:ind w:firstLine="420" w:firstLineChars="200"/>
        <w:rPr>
          <w:rFonts w:ascii="宋体" w:hAnsi="宋体"/>
          <w:szCs w:val="21"/>
          <w:lang w:val="en-GB"/>
        </w:rPr>
      </w:pPr>
      <w:r>
        <w:rPr>
          <w:rFonts w:hint="eastAsia" w:ascii="宋体" w:hAnsi="宋体"/>
          <w:szCs w:val="21"/>
          <w:lang w:val="en-GB"/>
        </w:rPr>
        <w:t>6、</w:t>
      </w:r>
      <w:r>
        <w:rPr>
          <w:rFonts w:ascii="宋体" w:hAnsi="宋体"/>
          <w:szCs w:val="21"/>
          <w:lang w:val="en-GB"/>
        </w:rPr>
        <w:t>GB/T18833《公路交通标志反光膜》行业标准；</w:t>
      </w:r>
    </w:p>
    <w:p>
      <w:pPr>
        <w:ind w:firstLine="420" w:firstLineChars="200"/>
        <w:rPr>
          <w:rFonts w:ascii="宋体" w:hAnsi="宋体"/>
          <w:szCs w:val="21"/>
          <w:lang w:val="en-GB"/>
        </w:rPr>
      </w:pPr>
      <w:r>
        <w:rPr>
          <w:rFonts w:hint="eastAsia" w:ascii="宋体" w:hAnsi="宋体"/>
          <w:szCs w:val="21"/>
          <w:lang w:val="en-GB"/>
        </w:rPr>
        <w:t>7、</w:t>
      </w:r>
      <w:r>
        <w:rPr>
          <w:rFonts w:ascii="宋体" w:hAnsi="宋体"/>
          <w:szCs w:val="21"/>
          <w:lang w:val="en-GB"/>
        </w:rPr>
        <w:t>TJ/T279《公路交通标志板技术条件》行业标准；</w:t>
      </w:r>
    </w:p>
    <w:p>
      <w:pPr>
        <w:ind w:firstLine="420" w:firstLineChars="200"/>
        <w:rPr>
          <w:rFonts w:hint="eastAsia" w:ascii="宋体" w:hAnsi="宋体"/>
          <w:szCs w:val="21"/>
          <w:lang w:val="en-GB"/>
        </w:rPr>
      </w:pPr>
      <w:r>
        <w:rPr>
          <w:rFonts w:hint="eastAsia" w:ascii="宋体" w:hAnsi="宋体"/>
          <w:szCs w:val="21"/>
          <w:lang w:val="en-GB"/>
        </w:rPr>
        <w:t>8、</w:t>
      </w:r>
      <w:r>
        <w:rPr>
          <w:rFonts w:ascii="宋体" w:hAnsi="宋体"/>
          <w:szCs w:val="21"/>
          <w:lang w:val="en-GB"/>
        </w:rPr>
        <w:t>GAT652</w:t>
      </w:r>
      <w:r>
        <w:rPr>
          <w:rFonts w:hint="eastAsia" w:ascii="宋体" w:hAnsi="宋体"/>
          <w:szCs w:val="21"/>
          <w:lang w:val="en-GB"/>
        </w:rPr>
        <w:t>《公安交通管理场外设备》行业标准；</w:t>
      </w:r>
    </w:p>
    <w:p>
      <w:pPr>
        <w:ind w:firstLine="420" w:firstLineChars="200"/>
        <w:rPr>
          <w:rFonts w:hint="eastAsia" w:ascii="宋体" w:hAnsi="宋体"/>
          <w:szCs w:val="21"/>
          <w:lang w:val="en-GB"/>
        </w:rPr>
      </w:pPr>
      <w:r>
        <w:rPr>
          <w:rFonts w:hint="eastAsia" w:ascii="宋体" w:hAnsi="宋体"/>
          <w:szCs w:val="21"/>
          <w:lang w:val="en-GB"/>
        </w:rPr>
        <w:t>9、DB33/T818-2010《浙江省城市道路交通标志和标线设置规范》；</w:t>
      </w:r>
    </w:p>
    <w:p>
      <w:pPr>
        <w:ind w:firstLine="420" w:firstLineChars="200"/>
        <w:rPr>
          <w:rFonts w:hint="eastAsia" w:ascii="宋体" w:hAnsi="宋体"/>
          <w:szCs w:val="21"/>
          <w:lang w:val="en-GB"/>
        </w:rPr>
      </w:pPr>
      <w:r>
        <w:rPr>
          <w:rFonts w:hint="eastAsia" w:ascii="宋体" w:hAnsi="宋体"/>
          <w:szCs w:val="21"/>
          <w:lang w:val="en-GB"/>
        </w:rPr>
        <w:t>10、GB51038-2015《城市道路交通标志和标线设置规范》；</w:t>
      </w:r>
    </w:p>
    <w:p>
      <w:pPr>
        <w:ind w:firstLine="420" w:firstLineChars="200"/>
        <w:rPr>
          <w:rFonts w:ascii="宋体" w:hAnsi="宋体"/>
          <w:szCs w:val="21"/>
          <w:lang w:val="en-GB"/>
        </w:rPr>
      </w:pPr>
      <w:r>
        <w:rPr>
          <w:rFonts w:hint="eastAsia" w:ascii="宋体" w:hAnsi="宋体"/>
          <w:szCs w:val="21"/>
          <w:lang w:val="en-GB"/>
        </w:rPr>
        <w:t>上述技术标准和规范如与最新标准相抵触或未能罗列完全时，应以最新标准为依据。</w:t>
      </w:r>
    </w:p>
    <w:p>
      <w:pPr>
        <w:ind w:firstLine="420" w:firstLineChars="200"/>
        <w:rPr>
          <w:rFonts w:ascii="宋体" w:hAnsi="宋体"/>
          <w:szCs w:val="21"/>
          <w:lang w:val="en-GB"/>
        </w:rPr>
      </w:pPr>
      <w:r>
        <w:rPr>
          <w:rFonts w:hint="eastAsia" w:ascii="宋体" w:hAnsi="宋体"/>
          <w:szCs w:val="21"/>
          <w:lang w:val="en-GB"/>
        </w:rPr>
        <w:t>2、施工产品、材料、规格、品牌及质量技术要求，各类参数必须符合设计技术要求（附设计说明及图纸），交通标志、标线制作必须符合GB5768—2009规定。中标人所用主要原材料均需提供质保单或产品质量合格证或权威机构的产品质量报告。</w:t>
      </w:r>
    </w:p>
    <w:p>
      <w:pPr>
        <w:ind w:firstLine="420" w:firstLineChars="200"/>
        <w:rPr>
          <w:rFonts w:ascii="宋体" w:hAnsi="宋体"/>
          <w:szCs w:val="21"/>
          <w:lang w:val="en-GB"/>
        </w:rPr>
      </w:pPr>
      <w:r>
        <w:rPr>
          <w:rFonts w:hint="eastAsia" w:ascii="宋体" w:hAnsi="宋体"/>
          <w:szCs w:val="21"/>
          <w:lang w:val="en-GB"/>
        </w:rPr>
        <w:t>3、工程质量要求达到国家现行的施工质量验收标准，及本招标文件设定的工程施工标准、规范和有关技术文件、技术要求。并要求在投标书中予以承诺，若工程完工后在质量鉴定中达不到此要求的，必须返工，并按总工程款的5%进行处罚。</w:t>
      </w:r>
    </w:p>
    <w:p>
      <w:pPr>
        <w:ind w:firstLine="420" w:firstLineChars="200"/>
        <w:rPr>
          <w:rFonts w:ascii="宋体" w:hAnsi="宋体"/>
          <w:szCs w:val="21"/>
          <w:lang w:val="en-GB"/>
        </w:rPr>
      </w:pPr>
      <w:r>
        <w:rPr>
          <w:rFonts w:hint="eastAsia" w:ascii="宋体" w:hAnsi="宋体"/>
          <w:szCs w:val="21"/>
          <w:lang w:val="en-GB"/>
        </w:rPr>
        <w:t>4、除非招标人另有要求，供应商应按招标人提供的施工图和有关国家规范和标准施工，未提到的其他规范和标准，只要与本工程有关，中标人都必须遵照执行。</w:t>
      </w:r>
    </w:p>
    <w:p>
      <w:pPr>
        <w:ind w:firstLine="420" w:firstLineChars="200"/>
        <w:rPr>
          <w:rFonts w:hint="eastAsia" w:ascii="宋体" w:hAnsi="宋体"/>
          <w:szCs w:val="21"/>
          <w:lang w:val="en-GB"/>
        </w:rPr>
      </w:pPr>
      <w:r>
        <w:rPr>
          <w:rFonts w:hint="eastAsia" w:ascii="宋体" w:hAnsi="宋体"/>
          <w:szCs w:val="21"/>
          <w:lang w:val="en-GB"/>
        </w:rPr>
        <w:t>5、产品提供相关检测资质部门出具的检测报告。</w:t>
      </w:r>
    </w:p>
    <w:p>
      <w:pPr>
        <w:ind w:firstLine="422" w:firstLineChars="200"/>
        <w:rPr>
          <w:rFonts w:hint="eastAsia" w:ascii="宋体" w:hAnsi="宋体"/>
          <w:b/>
          <w:bCs/>
          <w:szCs w:val="21"/>
          <w:lang w:val="en-GB"/>
        </w:rPr>
      </w:pPr>
      <w:r>
        <w:rPr>
          <w:rFonts w:hint="eastAsia" w:ascii="宋体" w:hAnsi="宋体"/>
          <w:b/>
          <w:bCs/>
          <w:szCs w:val="21"/>
          <w:lang w:val="en-GB"/>
        </w:rPr>
        <w:t>（二）交通标线的技术要求</w:t>
      </w:r>
    </w:p>
    <w:p>
      <w:pPr>
        <w:ind w:firstLine="420" w:firstLineChars="200"/>
        <w:rPr>
          <w:rFonts w:hint="eastAsia" w:ascii="宋体" w:hAnsi="宋体"/>
          <w:szCs w:val="21"/>
          <w:lang w:val="en-GB"/>
        </w:rPr>
      </w:pPr>
      <w:r>
        <w:rPr>
          <w:rFonts w:hint="eastAsia" w:ascii="宋体" w:hAnsi="宋体"/>
          <w:szCs w:val="21"/>
          <w:lang w:val="en-GB"/>
        </w:rPr>
        <w:t>1、制作标线材料分为常温型、普通反光热熔型、水性反光型、双组份反光型涂料、雨夜反光标线（雨夜陶瓷珠）反光热熔型、彩色防滑路面标线。</w:t>
      </w:r>
    </w:p>
    <w:p>
      <w:pPr>
        <w:ind w:firstLine="420" w:firstLineChars="200"/>
        <w:rPr>
          <w:rFonts w:hint="eastAsia" w:ascii="宋体" w:hAnsi="宋体"/>
          <w:szCs w:val="21"/>
          <w:lang w:val="en-GB"/>
        </w:rPr>
      </w:pPr>
      <w:r>
        <w:rPr>
          <w:rFonts w:hint="eastAsia" w:ascii="宋体" w:hAnsi="宋体"/>
          <w:szCs w:val="21"/>
          <w:lang w:val="en-GB"/>
        </w:rPr>
        <w:t>2、涂膜外观：涂膜冷凝后应无皱纹、斑点、起泡、裂纹、脱落及表面无发粘现象，涂膜的颜色和外观与标准板差别不大；</w:t>
      </w:r>
    </w:p>
    <w:p>
      <w:pPr>
        <w:ind w:firstLine="420" w:firstLineChars="200"/>
        <w:rPr>
          <w:rFonts w:ascii="宋体" w:hAnsi="宋体"/>
          <w:szCs w:val="21"/>
          <w:lang w:val="en-GB"/>
        </w:rPr>
      </w:pPr>
      <w:r>
        <w:rPr>
          <w:rFonts w:hint="eastAsia" w:ascii="宋体" w:hAnsi="宋体"/>
          <w:szCs w:val="21"/>
          <w:lang w:val="en-GB"/>
        </w:rPr>
        <w:t>3、根据GB5768—2009规定，按道路的情况及车速要求，制作道路标线；</w:t>
      </w:r>
    </w:p>
    <w:p>
      <w:pPr>
        <w:ind w:firstLine="420" w:firstLineChars="200"/>
        <w:rPr>
          <w:rFonts w:ascii="宋体" w:hAnsi="宋体"/>
          <w:szCs w:val="21"/>
          <w:lang w:val="en-GB"/>
        </w:rPr>
      </w:pPr>
      <w:r>
        <w:rPr>
          <w:rFonts w:hint="eastAsia" w:ascii="宋体" w:hAnsi="宋体"/>
          <w:szCs w:val="21"/>
          <w:lang w:val="en-GB"/>
        </w:rPr>
        <w:t>4、制作标线的热熔涂料、底漆要经交通部检测机构检测合格才能使用；</w:t>
      </w:r>
    </w:p>
    <w:p>
      <w:pPr>
        <w:ind w:firstLine="420" w:firstLineChars="200"/>
        <w:rPr>
          <w:rFonts w:ascii="宋体" w:hAnsi="宋体"/>
          <w:szCs w:val="21"/>
          <w:lang w:val="en-GB"/>
        </w:rPr>
      </w:pPr>
      <w:r>
        <w:rPr>
          <w:rFonts w:hint="eastAsia" w:ascii="宋体" w:hAnsi="宋体"/>
          <w:szCs w:val="21"/>
          <w:lang w:val="en-GB"/>
        </w:rPr>
        <w:t>5、人行横道线、人行预告标志、箭头、导流线制作符合GB5768—2009规定；</w:t>
      </w:r>
    </w:p>
    <w:p>
      <w:pPr>
        <w:ind w:firstLine="420" w:firstLineChars="200"/>
        <w:rPr>
          <w:rFonts w:hint="eastAsia" w:ascii="宋体" w:hAnsi="宋体"/>
          <w:szCs w:val="21"/>
          <w:lang w:val="en-GB"/>
        </w:rPr>
      </w:pPr>
      <w:r>
        <w:rPr>
          <w:rFonts w:hint="eastAsia" w:ascii="宋体" w:hAnsi="宋体"/>
          <w:szCs w:val="21"/>
          <w:lang w:val="en-GB"/>
        </w:rPr>
        <w:t>6、制作标线、人行横线及其箭头、导流线等等，要将路面清干净再制作新标线；</w:t>
      </w:r>
    </w:p>
    <w:p>
      <w:pPr>
        <w:ind w:firstLine="420" w:firstLineChars="200"/>
        <w:rPr>
          <w:rFonts w:hint="eastAsia" w:ascii="宋体" w:hAnsi="宋体"/>
          <w:szCs w:val="21"/>
          <w:lang w:val="en-GB"/>
        </w:rPr>
      </w:pPr>
      <w:r>
        <w:rPr>
          <w:rFonts w:hint="eastAsia" w:ascii="宋体" w:hAnsi="宋体"/>
          <w:szCs w:val="21"/>
          <w:lang w:val="en-GB"/>
        </w:rPr>
        <w:t>7、耐候性，经12个月试验，涂膜的起皱、斑点、裂纹、脱落及变色等都不大于标准样板。</w:t>
      </w:r>
    </w:p>
    <w:p>
      <w:pPr>
        <w:ind w:firstLine="422" w:firstLineChars="200"/>
        <w:rPr>
          <w:rFonts w:hint="eastAsia" w:ascii="宋体" w:hAnsi="宋体"/>
          <w:b/>
          <w:bCs/>
          <w:szCs w:val="21"/>
          <w:lang w:val="en-GB"/>
        </w:rPr>
      </w:pPr>
      <w:r>
        <w:rPr>
          <w:rFonts w:hint="eastAsia" w:ascii="宋体" w:hAnsi="宋体"/>
          <w:b/>
          <w:bCs/>
          <w:szCs w:val="21"/>
          <w:lang w:val="en-GB"/>
        </w:rPr>
        <w:t>各类标线详细参数：</w:t>
      </w:r>
    </w:p>
    <w:p>
      <w:pPr>
        <w:ind w:firstLine="422" w:firstLineChars="200"/>
        <w:rPr>
          <w:rFonts w:hint="eastAsia" w:ascii="宋体" w:hAnsi="宋体"/>
          <w:b/>
          <w:bCs/>
          <w:szCs w:val="21"/>
          <w:lang w:val="en-GB"/>
        </w:rPr>
      </w:pPr>
      <w:r>
        <w:rPr>
          <w:rFonts w:hint="eastAsia" w:ascii="宋体" w:hAnsi="宋体"/>
          <w:b/>
          <w:bCs/>
          <w:szCs w:val="21"/>
          <w:lang w:val="en-GB"/>
        </w:rPr>
        <w:t>普通反光热熔型（150）</w:t>
      </w:r>
    </w:p>
    <w:p>
      <w:pPr>
        <w:ind w:firstLine="420" w:firstLineChars="200"/>
        <w:rPr>
          <w:rFonts w:hint="eastAsia" w:ascii="宋体" w:hAnsi="宋体"/>
          <w:szCs w:val="21"/>
          <w:lang w:val="en-GB"/>
        </w:rPr>
      </w:pPr>
      <w:r>
        <w:rPr>
          <w:rFonts w:hint="eastAsia" w:ascii="宋体" w:hAnsi="宋体"/>
          <w:szCs w:val="21"/>
          <w:lang w:val="en-GB"/>
        </w:rPr>
        <w:t>1、涂料密度（g/cm3）：1.8-2.3；</w:t>
      </w:r>
    </w:p>
    <w:p>
      <w:pPr>
        <w:ind w:firstLine="420" w:firstLineChars="200"/>
        <w:rPr>
          <w:rFonts w:hint="eastAsia" w:ascii="宋体" w:hAnsi="宋体"/>
          <w:szCs w:val="21"/>
          <w:lang w:val="en-GB"/>
        </w:rPr>
      </w:pPr>
      <w:r>
        <w:rPr>
          <w:rFonts w:hint="eastAsia" w:ascii="宋体" w:hAnsi="宋体"/>
          <w:szCs w:val="21"/>
          <w:lang w:val="en-GB"/>
        </w:rPr>
        <w:t>2、软化点(℃)：90~125；</w:t>
      </w:r>
    </w:p>
    <w:p>
      <w:pPr>
        <w:ind w:firstLine="420" w:firstLineChars="200"/>
        <w:rPr>
          <w:rFonts w:hint="eastAsia" w:ascii="宋体" w:hAnsi="宋体"/>
          <w:szCs w:val="21"/>
          <w:lang w:val="en-GB"/>
        </w:rPr>
      </w:pPr>
      <w:r>
        <w:rPr>
          <w:rFonts w:hint="eastAsia" w:ascii="宋体" w:hAnsi="宋体"/>
          <w:szCs w:val="21"/>
          <w:lang w:val="en-GB"/>
        </w:rPr>
        <w:t>3、选用热熔型反光涂料，内含反光微珠必须≥20%，施划时面洒反光微珠,微珠粒径0.425-1mm；</w:t>
      </w:r>
    </w:p>
    <w:p>
      <w:pPr>
        <w:ind w:firstLine="420" w:firstLineChars="200"/>
        <w:rPr>
          <w:rFonts w:hint="eastAsia" w:ascii="宋体" w:hAnsi="宋体"/>
          <w:szCs w:val="21"/>
          <w:lang w:val="en-GB"/>
        </w:rPr>
      </w:pPr>
      <w:r>
        <w:rPr>
          <w:rFonts w:hint="eastAsia" w:ascii="宋体" w:hAnsi="宋体"/>
          <w:szCs w:val="21"/>
          <w:lang w:val="en-GB"/>
        </w:rPr>
        <w:t>4、抗压强度：MPa≥12；</w:t>
      </w:r>
    </w:p>
    <w:p>
      <w:pPr>
        <w:ind w:firstLine="420" w:firstLineChars="200"/>
        <w:rPr>
          <w:rFonts w:hint="eastAsia" w:ascii="宋体" w:hAnsi="宋体"/>
          <w:szCs w:val="21"/>
          <w:lang w:val="en-GB"/>
        </w:rPr>
      </w:pPr>
      <w:r>
        <w:rPr>
          <w:rFonts w:hint="eastAsia" w:ascii="宋体" w:hAnsi="宋体"/>
          <w:szCs w:val="21"/>
          <w:lang w:val="en-GB"/>
        </w:rPr>
        <w:t>5、耐磨性（200r/1000g后减重）：≤50；</w:t>
      </w:r>
    </w:p>
    <w:p>
      <w:pPr>
        <w:ind w:firstLine="420" w:firstLineChars="200"/>
        <w:rPr>
          <w:rFonts w:hint="eastAsia" w:ascii="宋体" w:hAnsi="宋体"/>
          <w:szCs w:val="21"/>
          <w:lang w:val="en-GB"/>
        </w:rPr>
      </w:pPr>
      <w:r>
        <w:rPr>
          <w:rFonts w:hint="eastAsia" w:ascii="宋体" w:hAnsi="宋体"/>
          <w:szCs w:val="21"/>
          <w:lang w:val="en-GB"/>
        </w:rPr>
        <w:t>6、施划初始逆反射系数mcd.1×1.m-2，白色≥200；黄色≥100；</w:t>
      </w:r>
    </w:p>
    <w:p>
      <w:pPr>
        <w:ind w:firstLine="420" w:firstLineChars="200"/>
        <w:rPr>
          <w:rFonts w:hint="eastAsia" w:ascii="宋体" w:hAnsi="宋体"/>
          <w:szCs w:val="21"/>
          <w:lang w:val="en-GB"/>
        </w:rPr>
      </w:pPr>
      <w:r>
        <w:rPr>
          <w:rFonts w:hint="eastAsia" w:ascii="宋体" w:hAnsi="宋体"/>
          <w:szCs w:val="21"/>
          <w:lang w:val="en-GB"/>
        </w:rPr>
        <w:t>7、涂料用下涂剂颜色应无透明或琥珀色流体；固体含量：30±5；干燥时间：min≤5；</w:t>
      </w:r>
    </w:p>
    <w:p>
      <w:pPr>
        <w:ind w:firstLine="420" w:firstLineChars="200"/>
        <w:rPr>
          <w:rFonts w:hint="eastAsia" w:ascii="宋体" w:hAnsi="宋体"/>
          <w:szCs w:val="21"/>
          <w:lang w:val="en-GB"/>
        </w:rPr>
      </w:pPr>
      <w:r>
        <w:rPr>
          <w:rFonts w:hint="eastAsia" w:ascii="宋体" w:hAnsi="宋体"/>
          <w:szCs w:val="21"/>
          <w:lang w:val="en-GB"/>
        </w:rPr>
        <w:t>8、标线厚度不少于1.8mm，亮度因数≥0.27，双实线为黄色，车道线为白色，其他标线、箭头等符合GB5768—2009规定。</w:t>
      </w:r>
    </w:p>
    <w:p>
      <w:pPr>
        <w:ind w:firstLine="422" w:firstLineChars="200"/>
        <w:rPr>
          <w:rFonts w:hint="eastAsia" w:ascii="宋体" w:hAnsi="宋体"/>
          <w:b/>
          <w:bCs/>
          <w:szCs w:val="21"/>
          <w:lang w:val="en-GB"/>
        </w:rPr>
      </w:pPr>
      <w:r>
        <w:rPr>
          <w:rFonts w:hint="eastAsia" w:ascii="宋体" w:hAnsi="宋体"/>
          <w:b/>
          <w:bCs/>
          <w:szCs w:val="21"/>
          <w:lang w:val="en-GB"/>
        </w:rPr>
        <w:t>Ⅱ级热熔反光型（250）</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施划初始逆反射系数mcd.1×1.m-2，白色≥250；黄色≥150；正常通车14天后mcd.1×1.m-2，干态：白色≥250；黄色≥150；湿态：白色≥100；黄色≥50；</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总有机物含量≥17%，颜料含量白≥5，黄≥2.5。</w:t>
      </w:r>
    </w:p>
    <w:p>
      <w:pPr>
        <w:ind w:firstLine="422" w:firstLineChars="200"/>
        <w:rPr>
          <w:rFonts w:hint="eastAsia" w:ascii="宋体" w:hAnsi="宋体"/>
          <w:b/>
          <w:bCs/>
          <w:szCs w:val="21"/>
          <w:lang w:val="en-GB"/>
        </w:rPr>
      </w:pPr>
      <w:r>
        <w:rPr>
          <w:rFonts w:hint="eastAsia" w:ascii="宋体" w:hAnsi="宋体"/>
          <w:b/>
          <w:bCs/>
          <w:szCs w:val="21"/>
          <w:lang w:val="en-GB"/>
        </w:rPr>
        <w:t>Ⅲ级热熔反光型（350）</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 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施划初始逆反射系数mcd.1×1.m-2，白色≥350；黄色≥200；正常通车14天后mcd.1×1.m-2，干态：白色≥350；黄色≥200；湿态：白色≥150；黄色≥85；</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总有机物含量≥19%，颜料含量白≥7，黄≥3。</w:t>
      </w:r>
    </w:p>
    <w:p>
      <w:pPr>
        <w:ind w:firstLine="422" w:firstLineChars="200"/>
        <w:rPr>
          <w:rFonts w:hint="eastAsia" w:ascii="宋体" w:hAnsi="宋体"/>
          <w:b/>
          <w:bCs/>
          <w:szCs w:val="21"/>
          <w:lang w:val="en-GB"/>
        </w:rPr>
      </w:pPr>
      <w:r>
        <w:rPr>
          <w:rFonts w:hint="eastAsia" w:ascii="宋体" w:hAnsi="宋体"/>
          <w:b/>
          <w:bCs/>
          <w:szCs w:val="21"/>
          <w:lang w:val="en-GB"/>
        </w:rPr>
        <w:t>双组份反光型涂料（喷涂）</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选用双组份反光涂料，施划时面洒反光微珠；</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标线厚度≥0.</w:t>
      </w:r>
      <w:r>
        <w:rPr>
          <w:rFonts w:hint="eastAsia" w:ascii="宋体" w:hAnsi="宋体"/>
          <w:szCs w:val="21"/>
        </w:rPr>
        <w:t>6</w:t>
      </w:r>
      <w:r>
        <w:rPr>
          <w:rFonts w:hint="eastAsia" w:ascii="宋体" w:hAnsi="宋体"/>
          <w:szCs w:val="21"/>
          <w:lang w:val="en-GB"/>
        </w:rPr>
        <w:t>mm。</w:t>
      </w:r>
    </w:p>
    <w:p>
      <w:pPr>
        <w:ind w:firstLine="422" w:firstLineChars="200"/>
        <w:rPr>
          <w:rFonts w:hint="eastAsia" w:ascii="宋体" w:hAnsi="宋体"/>
          <w:b/>
          <w:bCs/>
          <w:szCs w:val="21"/>
          <w:lang w:val="en-GB"/>
        </w:rPr>
      </w:pPr>
      <w:r>
        <w:rPr>
          <w:rFonts w:hint="eastAsia" w:ascii="宋体" w:hAnsi="宋体"/>
          <w:b/>
          <w:bCs/>
          <w:szCs w:val="21"/>
          <w:lang w:val="en-GB"/>
        </w:rPr>
        <w:t>双组份反光型涂料（刮涂）</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内含反光微珠必须≥20%，施划时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w:t>
      </w:r>
      <w:r>
        <w:rPr>
          <w:rFonts w:hint="eastAsia" w:ascii="宋体" w:hAnsi="宋体"/>
          <w:szCs w:val="21"/>
        </w:rPr>
        <w:t>1.8</w:t>
      </w:r>
      <w:r>
        <w:rPr>
          <w:rFonts w:hint="eastAsia" w:ascii="宋体" w:hAnsi="宋体"/>
          <w:szCs w:val="21"/>
          <w:lang w:val="en-GB"/>
        </w:rPr>
        <w:t>mm。</w:t>
      </w:r>
    </w:p>
    <w:p>
      <w:pPr>
        <w:ind w:firstLine="422" w:firstLineChars="200"/>
        <w:rPr>
          <w:rFonts w:hint="eastAsia" w:ascii="宋体" w:hAnsi="宋体"/>
          <w:b/>
          <w:bCs/>
          <w:szCs w:val="21"/>
          <w:lang w:val="en-GB"/>
        </w:rPr>
      </w:pPr>
      <w:r>
        <w:rPr>
          <w:rFonts w:hint="eastAsia" w:ascii="宋体" w:hAnsi="宋体"/>
          <w:b/>
          <w:bCs/>
          <w:szCs w:val="21"/>
          <w:lang w:val="en-GB"/>
        </w:rPr>
        <w:t>双组份突起型反光涂料</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w:t>
      </w:r>
      <w:r>
        <w:rPr>
          <w:rFonts w:hint="eastAsia" w:ascii="宋体" w:hAnsi="宋体"/>
          <w:szCs w:val="21"/>
          <w:lang w:val="zh-CN"/>
        </w:rPr>
        <w:t>双组份突起型</w:t>
      </w:r>
      <w:r>
        <w:rPr>
          <w:rFonts w:hint="eastAsia" w:ascii="宋体" w:hAnsi="宋体"/>
          <w:szCs w:val="21"/>
          <w:lang w:val="en-GB"/>
        </w:rPr>
        <w:t>反光涂料，内含反光微珠必须≥20%；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标线厚度≥5mm。</w:t>
      </w:r>
    </w:p>
    <w:p>
      <w:pPr>
        <w:ind w:firstLine="422" w:firstLineChars="200"/>
        <w:rPr>
          <w:rFonts w:hint="eastAsia" w:ascii="宋体" w:hAnsi="宋体"/>
          <w:b/>
          <w:bCs/>
          <w:szCs w:val="21"/>
          <w:lang w:val="en-GB"/>
        </w:rPr>
      </w:pPr>
      <w:r>
        <w:rPr>
          <w:rFonts w:hint="eastAsia" w:ascii="宋体" w:hAnsi="宋体"/>
          <w:b/>
          <w:bCs/>
          <w:szCs w:val="21"/>
          <w:lang w:val="en-GB"/>
        </w:rPr>
        <w:t>甩涂状结构型双组份标线</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选用双组份反光涂料，内含反光微珠必须≥20%，施划时面撒玻璃微珠，微珠粒径高亮突起珠0.3-0.625mm；</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w:t>
      </w:r>
      <w:r>
        <w:rPr>
          <w:rFonts w:hint="eastAsia" w:ascii="宋体" w:hAnsi="宋体"/>
          <w:szCs w:val="21"/>
        </w:rPr>
        <w:t>2.0</w:t>
      </w:r>
      <w:r>
        <w:rPr>
          <w:rFonts w:hint="eastAsia" w:ascii="宋体" w:hAnsi="宋体"/>
          <w:szCs w:val="21"/>
          <w:lang w:val="en-GB"/>
        </w:rPr>
        <w:t>mm；</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遮盖率应≥80%。</w:t>
      </w:r>
    </w:p>
    <w:p>
      <w:pPr>
        <w:ind w:firstLine="422" w:firstLineChars="200"/>
        <w:rPr>
          <w:rFonts w:hint="eastAsia" w:ascii="宋体" w:hAnsi="宋体"/>
          <w:b/>
          <w:bCs/>
          <w:szCs w:val="21"/>
          <w:lang w:val="en-GB"/>
        </w:rPr>
      </w:pPr>
      <w:r>
        <w:rPr>
          <w:rFonts w:hint="eastAsia" w:ascii="宋体" w:hAnsi="宋体"/>
          <w:b/>
          <w:bCs/>
          <w:szCs w:val="21"/>
          <w:lang w:val="en-GB"/>
        </w:rPr>
        <w:t>反光水性标线</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粘度（KU 值）：80～120；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密度（g/cm3）：≥1.6；</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选用环保型水性标线涂料；</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施划时面撒反光微珠；</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标线厚度≥0.7mm；</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不粘胎干燥时间≤10min，开放交通干燥时间≤20min；</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耐磨性（mg）：200 转/1000g 后减重≤40；</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固体含量（%）：≥75。</w:t>
      </w:r>
    </w:p>
    <w:p>
      <w:pPr>
        <w:ind w:firstLine="422" w:firstLineChars="200"/>
        <w:rPr>
          <w:rFonts w:hint="eastAsia" w:ascii="宋体" w:hAnsi="宋体"/>
          <w:b/>
          <w:bCs/>
          <w:szCs w:val="21"/>
          <w:lang w:val="en-GB"/>
        </w:rPr>
      </w:pPr>
      <w:r>
        <w:rPr>
          <w:rFonts w:hint="eastAsia" w:ascii="宋体" w:hAnsi="宋体"/>
          <w:b/>
          <w:bCs/>
          <w:szCs w:val="21"/>
          <w:lang w:val="en-GB"/>
        </w:rPr>
        <w:t>雨夜反光标线（雨夜陶瓷珠）反光热熔型</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用量约为0.2－0.3kg/㎡，后撒小颗粒微珠，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施划初始逆反射系数mcd.1×1.m-2，白色≥350；黄色≥200；</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总有机物含量≥19%，颜料含量白≥7，黄≥3。</w:t>
      </w:r>
    </w:p>
    <w:p>
      <w:pPr>
        <w:ind w:firstLine="422" w:firstLineChars="200"/>
        <w:rPr>
          <w:rFonts w:ascii="宋体" w:hAnsi="宋体"/>
          <w:b/>
          <w:bCs/>
          <w:szCs w:val="21"/>
          <w:lang w:val="en-GB"/>
        </w:rPr>
      </w:pPr>
      <w:r>
        <w:rPr>
          <w:rFonts w:ascii="宋体" w:hAnsi="宋体"/>
          <w:b/>
          <w:bCs/>
          <w:szCs w:val="21"/>
          <w:lang w:val="en-GB"/>
        </w:rPr>
        <w:t>MMA</w:t>
      </w:r>
      <w:r>
        <w:rPr>
          <w:rFonts w:hint="eastAsia" w:ascii="宋体" w:hAnsi="宋体"/>
          <w:b/>
          <w:bCs/>
          <w:szCs w:val="21"/>
          <w:lang w:val="en-GB"/>
        </w:rPr>
        <w:t>甲基丙烯酸甲酯彩色防滑铺装工艺规范要求</w:t>
      </w:r>
    </w:p>
    <w:p>
      <w:pPr>
        <w:ind w:firstLine="422" w:firstLineChars="200"/>
        <w:rPr>
          <w:rFonts w:ascii="宋体" w:hAnsi="宋体"/>
          <w:b/>
          <w:bCs/>
          <w:szCs w:val="21"/>
          <w:lang w:val="en-GB"/>
        </w:rPr>
      </w:pPr>
      <w:r>
        <w:rPr>
          <w:rFonts w:hint="eastAsia" w:ascii="宋体" w:hAnsi="宋体"/>
          <w:b/>
          <w:bCs/>
          <w:szCs w:val="21"/>
          <w:lang w:val="en-GB"/>
        </w:rPr>
        <w:t>材料要求</w:t>
      </w:r>
    </w:p>
    <w:p>
      <w:pPr>
        <w:ind w:firstLine="420" w:firstLineChars="200"/>
        <w:rPr>
          <w:rFonts w:ascii="宋体" w:hAnsi="宋体"/>
          <w:szCs w:val="21"/>
          <w:lang w:val="en-GB"/>
        </w:rPr>
      </w:pPr>
      <w:r>
        <w:rPr>
          <w:rFonts w:hint="eastAsia" w:ascii="宋体" w:hAnsi="宋体"/>
          <w:szCs w:val="21"/>
          <w:lang w:val="en-GB"/>
        </w:rPr>
        <w:t>1、铺装用</w:t>
      </w:r>
      <w:r>
        <w:rPr>
          <w:rFonts w:ascii="宋体" w:hAnsi="宋体"/>
          <w:szCs w:val="21"/>
          <w:lang w:val="en-GB"/>
        </w:rPr>
        <w:t>MMA</w:t>
      </w:r>
      <w:r>
        <w:rPr>
          <w:rFonts w:hint="eastAsia" w:ascii="宋体" w:hAnsi="宋体"/>
          <w:szCs w:val="21"/>
          <w:lang w:val="en-GB"/>
        </w:rPr>
        <w:t>甲基丙烯酸甲酯，要求有很好的耐候性和透明性。防滑树脂应为纯树脂，不额外添加填料；</w:t>
      </w:r>
    </w:p>
    <w:p>
      <w:pPr>
        <w:ind w:firstLine="420" w:firstLineChars="200"/>
        <w:rPr>
          <w:rFonts w:ascii="宋体" w:hAnsi="宋体"/>
          <w:szCs w:val="21"/>
          <w:lang w:val="en-GB"/>
        </w:rPr>
      </w:pPr>
      <w:r>
        <w:rPr>
          <w:rFonts w:hint="eastAsia" w:ascii="宋体" w:hAnsi="宋体"/>
          <w:szCs w:val="21"/>
          <w:lang w:val="en-GB"/>
        </w:rPr>
        <w:t>2、</w:t>
      </w:r>
      <w:r>
        <w:rPr>
          <w:rFonts w:ascii="宋体" w:hAnsi="宋体"/>
          <w:szCs w:val="21"/>
          <w:lang w:val="en-GB"/>
        </w:rPr>
        <w:t>MMA</w:t>
      </w:r>
      <w:r>
        <w:rPr>
          <w:rFonts w:hint="eastAsia" w:ascii="宋体" w:hAnsi="宋体"/>
          <w:szCs w:val="21"/>
          <w:lang w:val="en-GB"/>
        </w:rPr>
        <w:t>甲基丙烯酸甲酯防滑树脂的比重</w:t>
      </w:r>
      <w:r>
        <w:rPr>
          <w:rFonts w:ascii="宋体" w:hAnsi="宋体"/>
          <w:szCs w:val="21"/>
          <w:lang w:val="en-GB"/>
        </w:rPr>
        <w:t>1.02</w:t>
      </w:r>
      <w:r>
        <w:rPr>
          <w:rFonts w:hint="eastAsia" w:ascii="宋体" w:hAnsi="宋体"/>
          <w:szCs w:val="21"/>
          <w:lang w:val="en-GB"/>
        </w:rPr>
        <w:t>±</w:t>
      </w:r>
      <w:r>
        <w:rPr>
          <w:rFonts w:ascii="宋体" w:hAnsi="宋体"/>
          <w:szCs w:val="21"/>
          <w:lang w:val="en-GB"/>
        </w:rPr>
        <w:t>0.02</w:t>
      </w:r>
      <w:r>
        <w:rPr>
          <w:rFonts w:hint="eastAsia" w:ascii="宋体" w:hAnsi="宋体"/>
          <w:szCs w:val="21"/>
          <w:lang w:val="en-GB"/>
        </w:rPr>
        <w:t>（说明：添加填料后会显著增加比重）；</w:t>
      </w:r>
    </w:p>
    <w:p>
      <w:pPr>
        <w:ind w:firstLine="420" w:firstLineChars="200"/>
        <w:rPr>
          <w:rFonts w:ascii="宋体" w:hAnsi="宋体"/>
          <w:szCs w:val="21"/>
          <w:lang w:val="en-GB"/>
        </w:rPr>
      </w:pPr>
      <w:r>
        <w:rPr>
          <w:rFonts w:hint="eastAsia" w:ascii="宋体" w:hAnsi="宋体"/>
          <w:szCs w:val="21"/>
          <w:lang w:val="en-GB"/>
        </w:rPr>
        <w:t>3、</w:t>
      </w:r>
      <w:r>
        <w:rPr>
          <w:rFonts w:ascii="宋体" w:hAnsi="宋体"/>
          <w:szCs w:val="21"/>
          <w:lang w:val="en-GB"/>
        </w:rPr>
        <w:t>MMA</w:t>
      </w:r>
      <w:r>
        <w:rPr>
          <w:rFonts w:hint="eastAsia" w:ascii="宋体" w:hAnsi="宋体"/>
          <w:szCs w:val="21"/>
          <w:lang w:val="en-GB"/>
        </w:rPr>
        <w:t>甲基丙烯酸甲酯防滑树脂断裂伸长率≥</w:t>
      </w:r>
      <w:r>
        <w:rPr>
          <w:rFonts w:ascii="宋体" w:hAnsi="宋体"/>
          <w:szCs w:val="21"/>
          <w:lang w:val="en-GB"/>
        </w:rPr>
        <w:t>200</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4、</w:t>
      </w:r>
      <w:r>
        <w:rPr>
          <w:rFonts w:ascii="宋体" w:hAnsi="宋体"/>
          <w:szCs w:val="21"/>
          <w:lang w:val="en-GB"/>
        </w:rPr>
        <w:t>MMA</w:t>
      </w:r>
      <w:r>
        <w:rPr>
          <w:rFonts w:hint="eastAsia" w:ascii="宋体" w:hAnsi="宋体"/>
          <w:szCs w:val="21"/>
          <w:lang w:val="en-GB"/>
        </w:rPr>
        <w:t>甲基丙烯酸甲酯防滑树脂拉伸强度≥</w:t>
      </w:r>
      <w:r>
        <w:rPr>
          <w:rFonts w:ascii="宋体" w:hAnsi="宋体"/>
          <w:szCs w:val="21"/>
          <w:lang w:val="en-GB"/>
        </w:rPr>
        <w:t>7Mpa</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5、骨料应为彩色陶瓷颗粒，而非染色骨料或者天然石。</w:t>
      </w:r>
    </w:p>
    <w:p>
      <w:pPr>
        <w:ind w:firstLine="422" w:firstLineChars="200"/>
        <w:rPr>
          <w:rFonts w:ascii="宋体" w:hAnsi="宋体"/>
          <w:b/>
          <w:bCs/>
          <w:szCs w:val="21"/>
          <w:lang w:val="en-GB"/>
        </w:rPr>
      </w:pPr>
      <w:r>
        <w:rPr>
          <w:rFonts w:hint="eastAsia" w:ascii="宋体" w:hAnsi="宋体"/>
          <w:b/>
          <w:bCs/>
          <w:szCs w:val="21"/>
          <w:lang w:val="en-GB"/>
        </w:rPr>
        <w:t>标线带</w:t>
      </w:r>
    </w:p>
    <w:p>
      <w:pPr>
        <w:ind w:firstLine="420" w:firstLineChars="200"/>
        <w:rPr>
          <w:rFonts w:ascii="宋体" w:hAnsi="宋体"/>
          <w:szCs w:val="21"/>
          <w:lang w:val="en-GB"/>
        </w:rPr>
      </w:pPr>
      <w:r>
        <w:rPr>
          <w:rFonts w:hint="eastAsia" w:ascii="宋体" w:hAnsi="宋体"/>
          <w:szCs w:val="21"/>
          <w:lang w:val="en-GB"/>
        </w:rPr>
        <w:t>1、标线带为含有反光元素的预成型柔性聚合物材料，表面为规则凸起结构，有不小于0.8mm的突起菱形花纹，自带压敏胶，除本说明中指定的性能参数之外，其它指标应满足《道路预成型标线带》（GB/T24717）中I级反光长效II型标线带的要求，并具备干燥和潮湿条件下逆反射性能。标线带应柔韧、清洁，边缘清晰，无裂纹。</w:t>
      </w:r>
    </w:p>
    <w:p>
      <w:pPr>
        <w:ind w:firstLine="420" w:firstLineChars="200"/>
        <w:rPr>
          <w:rFonts w:ascii="宋体" w:hAnsi="宋体"/>
          <w:szCs w:val="21"/>
          <w:lang w:val="en-GB"/>
        </w:rPr>
      </w:pPr>
      <w:r>
        <w:rPr>
          <w:rFonts w:hint="eastAsia" w:ascii="宋体" w:hAnsi="宋体"/>
          <w:szCs w:val="21"/>
          <w:lang w:val="en-GB"/>
        </w:rPr>
        <w:t>2、标线带的初始逆反射系数（mcd/m2/lux）应不低于如下数值：</w:t>
      </w:r>
    </w:p>
    <w:tbl>
      <w:tblPr>
        <w:tblStyle w:val="53"/>
        <w:tblW w:w="0" w:type="auto"/>
        <w:jc w:val="center"/>
        <w:tblLayout w:type="fixed"/>
        <w:tblCellMar>
          <w:top w:w="0" w:type="dxa"/>
          <w:left w:w="0" w:type="dxa"/>
          <w:bottom w:w="0" w:type="dxa"/>
          <w:right w:w="0" w:type="dxa"/>
        </w:tblCellMar>
      </w:tblPr>
      <w:tblGrid>
        <w:gridCol w:w="2899"/>
        <w:gridCol w:w="1559"/>
        <w:gridCol w:w="1418"/>
        <w:gridCol w:w="1559"/>
        <w:gridCol w:w="1559"/>
      </w:tblGrid>
      <w:tr>
        <w:tblPrEx>
          <w:tblCellMar>
            <w:top w:w="0" w:type="dxa"/>
            <w:left w:w="0" w:type="dxa"/>
            <w:bottom w:w="0" w:type="dxa"/>
            <w:right w:w="0" w:type="dxa"/>
          </w:tblCellMar>
        </w:tblPrEx>
        <w:trPr>
          <w:wBefore w:w="0" w:type="dxa"/>
          <w:wAfter w:w="0" w:type="dxa"/>
          <w:trHeight w:val="477" w:hRule="atLeast"/>
          <w:jc w:val="center"/>
        </w:trPr>
        <w:tc>
          <w:tcPr>
            <w:tcW w:w="2899"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颜色</w:t>
            </w:r>
          </w:p>
        </w:tc>
        <w:tc>
          <w:tcPr>
            <w:tcW w:w="2977" w:type="dxa"/>
            <w:gridSpan w:val="2"/>
            <w:tcBorders>
              <w:top w:val="single" w:color="auto" w:sz="4" w:space="0"/>
              <w:left w:val="nil"/>
              <w:bottom w:val="single" w:color="auto" w:sz="4" w:space="0"/>
              <w:right w:val="single" w:color="000000"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白色</w:t>
            </w:r>
          </w:p>
        </w:tc>
        <w:tc>
          <w:tcPr>
            <w:tcW w:w="3118" w:type="dxa"/>
            <w:gridSpan w:val="2"/>
            <w:tcBorders>
              <w:top w:val="single" w:color="auto" w:sz="4" w:space="0"/>
              <w:left w:val="nil"/>
              <w:bottom w:val="single" w:color="auto" w:sz="4" w:space="0"/>
              <w:right w:val="single" w:color="000000"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黄色</w:t>
            </w:r>
          </w:p>
        </w:tc>
      </w:tr>
      <w:tr>
        <w:tblPrEx>
          <w:tblCellMar>
            <w:top w:w="0" w:type="dxa"/>
            <w:left w:w="0" w:type="dxa"/>
            <w:bottom w:w="0" w:type="dxa"/>
            <w:right w:w="0" w:type="dxa"/>
          </w:tblCellMar>
        </w:tblPrEx>
        <w:trPr>
          <w:wBefore w:w="0" w:type="dxa"/>
          <w:wAfter w:w="0" w:type="dxa"/>
          <w:trHeight w:val="477" w:hRule="atLeast"/>
          <w:jc w:val="center"/>
        </w:trPr>
        <w:tc>
          <w:tcPr>
            <w:tcW w:w="2899" w:type="dxa"/>
            <w:tcBorders>
              <w:top w:val="nil"/>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测试条件</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干燥</w:t>
            </w:r>
          </w:p>
        </w:tc>
        <w:tc>
          <w:tcPr>
            <w:tcW w:w="1418"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潮湿</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干燥</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潮湿</w:t>
            </w:r>
          </w:p>
        </w:tc>
      </w:tr>
      <w:tr>
        <w:tblPrEx>
          <w:tblCellMar>
            <w:top w:w="0" w:type="dxa"/>
            <w:left w:w="0" w:type="dxa"/>
            <w:bottom w:w="0" w:type="dxa"/>
            <w:right w:w="0" w:type="dxa"/>
          </w:tblCellMar>
        </w:tblPrEx>
        <w:trPr>
          <w:wBefore w:w="0" w:type="dxa"/>
          <w:wAfter w:w="0" w:type="dxa"/>
          <w:trHeight w:val="477" w:hRule="atLeast"/>
          <w:jc w:val="center"/>
        </w:trPr>
        <w:tc>
          <w:tcPr>
            <w:tcW w:w="2899" w:type="dxa"/>
            <w:tcBorders>
              <w:top w:val="nil"/>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逆反射系数（不低于）</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500</w:t>
            </w:r>
          </w:p>
        </w:tc>
        <w:tc>
          <w:tcPr>
            <w:tcW w:w="1418"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250</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300</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200</w:t>
            </w:r>
          </w:p>
        </w:tc>
      </w:tr>
    </w:tbl>
    <w:p>
      <w:pPr>
        <w:spacing w:before="120" w:beforeLines="50"/>
        <w:ind w:firstLine="420" w:firstLineChars="200"/>
        <w:rPr>
          <w:rFonts w:ascii="宋体" w:hAnsi="宋体"/>
          <w:szCs w:val="21"/>
          <w:lang w:val="en-GB"/>
        </w:rPr>
      </w:pPr>
      <w:r>
        <w:rPr>
          <w:rFonts w:hint="eastAsia" w:ascii="宋体" w:hAnsi="宋体"/>
          <w:szCs w:val="21"/>
          <w:lang w:val="en-GB"/>
        </w:rPr>
        <w:t>3、标线带的色品坐标（昼间色）</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8"/>
        <w:gridCol w:w="709"/>
        <w:gridCol w:w="1276"/>
        <w:gridCol w:w="1274"/>
        <w:gridCol w:w="1271"/>
        <w:gridCol w:w="1425"/>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颜色</w:t>
            </w:r>
          </w:p>
        </w:tc>
        <w:tc>
          <w:tcPr>
            <w:tcW w:w="5955" w:type="dxa"/>
            <w:gridSpan w:val="5"/>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色品坐标</w:t>
            </w:r>
          </w:p>
        </w:tc>
        <w:tc>
          <w:tcPr>
            <w:tcW w:w="1762"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亮度因子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白色</w:t>
            </w: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x</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0.35</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0.29</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0.34</w:t>
            </w:r>
          </w:p>
        </w:tc>
        <w:tc>
          <w:tcPr>
            <w:tcW w:w="1762"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0.36</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0.31</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0.32</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0.37</w:t>
            </w:r>
          </w:p>
        </w:tc>
        <w:tc>
          <w:tcPr>
            <w:tcW w:w="1762"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黄色</w:t>
            </w: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x</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0.545</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0.487</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0.427</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0.465</w:t>
            </w:r>
          </w:p>
        </w:tc>
        <w:tc>
          <w:tcPr>
            <w:tcW w:w="1762"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0.454</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0.423</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0.483</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0.534</w:t>
            </w:r>
          </w:p>
        </w:tc>
        <w:tc>
          <w:tcPr>
            <w:tcW w:w="1762"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r>
    </w:tbl>
    <w:p>
      <w:pPr>
        <w:spacing w:before="120" w:beforeLines="50"/>
        <w:ind w:firstLine="420" w:firstLineChars="200"/>
        <w:rPr>
          <w:rFonts w:ascii="宋体" w:hAnsi="宋体"/>
          <w:szCs w:val="21"/>
          <w:lang w:val="en-GB"/>
        </w:rPr>
      </w:pPr>
      <w:r>
        <w:rPr>
          <w:rFonts w:hint="eastAsia" w:ascii="宋体" w:hAnsi="宋体"/>
          <w:szCs w:val="21"/>
          <w:lang w:val="en-GB"/>
        </w:rPr>
        <w:t>4、标线带初始抗滑指数不低于55BPN，满足GB/T24717-2009中B级抗滑长效标线带的技术要求。</w:t>
      </w:r>
    </w:p>
    <w:p>
      <w:pPr>
        <w:ind w:firstLine="420" w:firstLineChars="200"/>
        <w:rPr>
          <w:rFonts w:ascii="宋体" w:hAnsi="宋体"/>
          <w:szCs w:val="21"/>
          <w:lang w:val="en-GB"/>
        </w:rPr>
      </w:pPr>
      <w:r>
        <w:rPr>
          <w:rFonts w:hint="eastAsia" w:ascii="宋体" w:hAnsi="宋体"/>
          <w:szCs w:val="21"/>
          <w:lang w:val="en-GB"/>
        </w:rPr>
        <w:t>5、标线带正常使用期间的白色干燥逆反射系数不低于100mcd/m2/lux，黄色干燥逆反射系数不低于50mcd/m2/lux。</w:t>
      </w:r>
    </w:p>
    <w:p>
      <w:pPr>
        <w:ind w:firstLine="420" w:firstLineChars="200"/>
        <w:rPr>
          <w:rFonts w:hint="eastAsia" w:ascii="宋体" w:hAnsi="宋体"/>
          <w:szCs w:val="21"/>
          <w:lang w:val="en-GB"/>
        </w:rPr>
      </w:pPr>
      <w:r>
        <w:rPr>
          <w:rFonts w:hint="eastAsia" w:ascii="宋体" w:hAnsi="宋体"/>
          <w:szCs w:val="21"/>
          <w:lang w:val="en-GB"/>
        </w:rPr>
        <w:t>6、标线带施工时应使用标线带厂家配套的底涂剂，并按推荐的施工流程进行施工。</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I级反光长效II型预成型标线带外观</w:t>
      </w:r>
    </w:p>
    <w:p>
      <w:pPr>
        <w:pStyle w:val="6"/>
        <w:rPr>
          <w:rFonts w:ascii="宋体" w:hAnsi="宋体"/>
          <w:lang w:val="en-GB"/>
        </w:rPr>
      </w:pPr>
      <w:r>
        <w:rPr>
          <w:rFonts w:hint="eastAsia" w:ascii="宋体" w:hAnsi="宋体" w:cs="宋体"/>
          <w:color w:val="FF8080"/>
          <w:spacing w:val="160"/>
          <w:szCs w:val="21"/>
        </w:rPr>
        <w:t xml:space="preserve">      </w:t>
      </w:r>
      <w:r>
        <w:rPr>
          <w:rFonts w:hint="eastAsia" w:ascii="宋体" w:hAnsi="宋体" w:cs="宋体"/>
          <w:color w:val="FF8080"/>
          <w:spacing w:val="160"/>
          <w:szCs w:val="21"/>
        </w:rPr>
        <w:drawing>
          <wp:inline distT="0" distB="0" distL="114300" distR="114300">
            <wp:extent cx="1219200" cy="1247775"/>
            <wp:effectExtent l="0" t="0" r="0" b="9525"/>
            <wp:docPr id="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
                    <pic:cNvPicPr>
                      <a:picLocks noChangeAspect="1"/>
                    </pic:cNvPicPr>
                  </pic:nvPicPr>
                  <pic:blipFill>
                    <a:blip r:embed="rId16"/>
                    <a:srcRect l="8087" t="3592" r="4791" b="34245"/>
                    <a:stretch>
                      <a:fillRect/>
                    </a:stretch>
                  </pic:blipFill>
                  <pic:spPr>
                    <a:xfrm>
                      <a:off x="0" y="0"/>
                      <a:ext cx="1219200" cy="1247775"/>
                    </a:xfrm>
                    <a:prstGeom prst="rect">
                      <a:avLst/>
                    </a:prstGeom>
                    <a:noFill/>
                    <a:ln>
                      <a:noFill/>
                    </a:ln>
                  </pic:spPr>
                </pic:pic>
              </a:graphicData>
            </a:graphic>
          </wp:inline>
        </w:drawing>
      </w:r>
      <w:r>
        <w:rPr>
          <w:rFonts w:hint="eastAsia" w:ascii="宋体" w:hAnsi="宋体" w:cs="宋体"/>
          <w:color w:val="FF8080"/>
          <w:spacing w:val="160"/>
          <w:szCs w:val="21"/>
        </w:rPr>
        <w:t xml:space="preserve">       </w:t>
      </w:r>
      <w:r>
        <w:rPr>
          <w:rFonts w:hint="eastAsia" w:ascii="宋体" w:hAnsi="宋体" w:cs="宋体"/>
          <w:color w:val="FF8080"/>
          <w:spacing w:val="160"/>
          <w:szCs w:val="21"/>
        </w:rPr>
        <w:drawing>
          <wp:inline distT="0" distB="0" distL="114300" distR="114300">
            <wp:extent cx="1314450" cy="1266825"/>
            <wp:effectExtent l="0" t="0" r="0" b="9525"/>
            <wp:docPr id="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5"/>
                    <pic:cNvPicPr>
                      <a:picLocks noChangeAspect="1"/>
                    </pic:cNvPicPr>
                  </pic:nvPicPr>
                  <pic:blipFill>
                    <a:blip r:embed="rId17"/>
                    <a:srcRect l="10023" t="3253" r="3580" b="39000"/>
                    <a:stretch>
                      <a:fillRect/>
                    </a:stretch>
                  </pic:blipFill>
                  <pic:spPr>
                    <a:xfrm>
                      <a:off x="0" y="0"/>
                      <a:ext cx="1314450" cy="1266825"/>
                    </a:xfrm>
                    <a:prstGeom prst="rect">
                      <a:avLst/>
                    </a:prstGeom>
                    <a:noFill/>
                    <a:ln>
                      <a:noFill/>
                    </a:ln>
                  </pic:spPr>
                </pic:pic>
              </a:graphicData>
            </a:graphic>
          </wp:inline>
        </w:drawing>
      </w:r>
    </w:p>
    <w:p>
      <w:pPr>
        <w:ind w:firstLine="422" w:firstLineChars="200"/>
        <w:rPr>
          <w:rFonts w:hint="eastAsia" w:ascii="宋体" w:hAnsi="宋体"/>
          <w:b/>
          <w:bCs/>
          <w:szCs w:val="21"/>
          <w:lang w:val="en-GB"/>
        </w:rPr>
      </w:pPr>
      <w:r>
        <w:rPr>
          <w:rFonts w:hint="eastAsia" w:ascii="宋体" w:hAnsi="宋体"/>
          <w:b/>
          <w:bCs/>
          <w:szCs w:val="21"/>
          <w:lang w:val="en-GB"/>
        </w:rPr>
        <w:t>（三）标线施工要求</w:t>
      </w:r>
    </w:p>
    <w:p>
      <w:pPr>
        <w:ind w:firstLine="420" w:firstLineChars="200"/>
        <w:rPr>
          <w:rFonts w:ascii="宋体" w:hAnsi="宋体"/>
          <w:szCs w:val="21"/>
          <w:lang w:val="en-GB"/>
        </w:rPr>
      </w:pPr>
      <w:r>
        <w:rPr>
          <w:rFonts w:hint="eastAsia" w:ascii="宋体" w:hAnsi="宋体"/>
          <w:szCs w:val="21"/>
          <w:lang w:val="en-GB"/>
        </w:rPr>
        <w:t>1、对需要铲除的旧线，要做到铲除后不会引起驾驶员的误解和投诉。</w:t>
      </w:r>
    </w:p>
    <w:p>
      <w:pPr>
        <w:ind w:firstLine="420" w:firstLineChars="200"/>
        <w:rPr>
          <w:rFonts w:ascii="宋体" w:hAnsi="宋体"/>
          <w:szCs w:val="21"/>
          <w:lang w:val="en-GB"/>
        </w:rPr>
      </w:pPr>
      <w:r>
        <w:rPr>
          <w:rFonts w:hint="eastAsia" w:ascii="宋体" w:hAnsi="宋体"/>
          <w:szCs w:val="21"/>
          <w:lang w:val="en-GB"/>
        </w:rPr>
        <w:t>2、交叉路口驶入段的导向车道内应有导向箭头标明各车道的行驶方向。距路口最近的第一组导向箭头在距停止线</w:t>
      </w:r>
      <w:r>
        <w:rPr>
          <w:rFonts w:ascii="宋体" w:hAnsi="宋体"/>
          <w:szCs w:val="21"/>
          <w:lang w:val="en-GB"/>
        </w:rPr>
        <w:t>2m</w:t>
      </w:r>
      <w:r>
        <w:rPr>
          <w:rFonts w:hint="eastAsia" w:ascii="宋体" w:hAnsi="宋体"/>
          <w:szCs w:val="21"/>
          <w:lang w:val="en-GB"/>
        </w:rPr>
        <w:t>处设置，第二组在导向车道的起始位置设置，箭头起始端部与导向车道线起始端部平齐，第三组作为预告箭头，在距第二组箭头前</w:t>
      </w:r>
      <w:r>
        <w:rPr>
          <w:rFonts w:ascii="宋体" w:hAnsi="宋体"/>
          <w:szCs w:val="21"/>
          <w:lang w:val="en-GB"/>
        </w:rPr>
        <w:t>30m</w:t>
      </w:r>
      <w:r>
        <w:rPr>
          <w:rFonts w:hint="eastAsia" w:ascii="宋体" w:hAnsi="宋体"/>
          <w:szCs w:val="21"/>
          <w:lang w:val="en-GB"/>
        </w:rPr>
        <w:t>～</w:t>
      </w:r>
      <w:r>
        <w:rPr>
          <w:rFonts w:ascii="宋体" w:hAnsi="宋体"/>
          <w:szCs w:val="21"/>
          <w:lang w:val="en-GB"/>
        </w:rPr>
        <w:t>50m</w:t>
      </w:r>
      <w:r>
        <w:rPr>
          <w:rFonts w:hint="eastAsia" w:ascii="宋体" w:hAnsi="宋体"/>
          <w:szCs w:val="21"/>
          <w:lang w:val="en-GB"/>
        </w:rPr>
        <w:t>间隔设置，预告箭头指示方向应与前方导向车道允许行驶方向保持一致。道路设计速度≤</w:t>
      </w:r>
      <w:r>
        <w:rPr>
          <w:rFonts w:ascii="宋体" w:hAnsi="宋体"/>
          <w:szCs w:val="21"/>
          <w:lang w:val="en-GB"/>
        </w:rPr>
        <w:t>40km/h</w:t>
      </w:r>
      <w:r>
        <w:rPr>
          <w:rFonts w:hint="eastAsia" w:ascii="宋体" w:hAnsi="宋体"/>
          <w:szCs w:val="21"/>
          <w:lang w:val="en-GB"/>
        </w:rPr>
        <w:t>，导向箭头设置</w:t>
      </w:r>
      <w:r>
        <w:rPr>
          <w:rFonts w:ascii="宋体" w:hAnsi="宋体"/>
          <w:szCs w:val="21"/>
          <w:lang w:val="en-GB"/>
        </w:rPr>
        <w:t>2</w:t>
      </w:r>
      <w:r>
        <w:rPr>
          <w:rFonts w:hint="eastAsia" w:ascii="宋体" w:hAnsi="宋体"/>
          <w:szCs w:val="21"/>
          <w:lang w:val="en-GB"/>
        </w:rPr>
        <w:t>组；道路设计速度</w:t>
      </w:r>
      <w:r>
        <w:rPr>
          <w:rFonts w:ascii="宋体" w:hAnsi="宋体"/>
          <w:szCs w:val="21"/>
          <w:lang w:val="en-GB"/>
        </w:rPr>
        <w:t>40~100km/h</w:t>
      </w:r>
      <w:r>
        <w:rPr>
          <w:rFonts w:hint="eastAsia" w:ascii="宋体" w:hAnsi="宋体"/>
          <w:szCs w:val="21"/>
          <w:lang w:val="en-GB"/>
        </w:rPr>
        <w:t>，导向箭头设置</w:t>
      </w:r>
      <w:r>
        <w:rPr>
          <w:rFonts w:ascii="宋体" w:hAnsi="宋体"/>
          <w:szCs w:val="21"/>
          <w:lang w:val="en-GB"/>
        </w:rPr>
        <w:t>3</w:t>
      </w:r>
      <w:r>
        <w:rPr>
          <w:rFonts w:hint="eastAsia" w:ascii="宋体" w:hAnsi="宋体"/>
          <w:szCs w:val="21"/>
          <w:lang w:val="en-GB"/>
        </w:rPr>
        <w:t>组。</w:t>
      </w:r>
    </w:p>
    <w:p>
      <w:pPr>
        <w:ind w:firstLine="422" w:firstLineChars="200"/>
        <w:rPr>
          <w:rFonts w:hint="eastAsia" w:ascii="宋体" w:hAnsi="宋体"/>
          <w:b/>
          <w:bCs/>
          <w:szCs w:val="21"/>
          <w:lang w:val="en-GB"/>
        </w:rPr>
      </w:pPr>
      <w:r>
        <w:rPr>
          <w:rFonts w:hint="eastAsia" w:ascii="宋体" w:hAnsi="宋体"/>
          <w:b/>
          <w:bCs/>
          <w:szCs w:val="21"/>
          <w:lang w:val="en-GB"/>
        </w:rPr>
        <w:t>标线施工注意：</w:t>
      </w:r>
    </w:p>
    <w:p>
      <w:pPr>
        <w:ind w:firstLine="420" w:firstLineChars="200"/>
        <w:rPr>
          <w:rFonts w:hint="eastAsia" w:ascii="宋体" w:hAnsi="宋体"/>
          <w:szCs w:val="21"/>
          <w:lang w:val="en-GB"/>
        </w:rPr>
      </w:pPr>
      <w:r>
        <w:rPr>
          <w:rFonts w:hint="eastAsia" w:ascii="宋体" w:hAnsi="宋体"/>
          <w:szCs w:val="21"/>
          <w:lang w:val="en-GB"/>
        </w:rPr>
        <w:t>1、交通标线的划法应符合国家和地方的有关规定，做到整齐、清晰、醒目</w:t>
      </w:r>
      <w:r>
        <w:rPr>
          <w:rFonts w:ascii="宋体" w:hAnsi="宋体"/>
          <w:szCs w:val="21"/>
          <w:lang w:val="en-GB"/>
        </w:rPr>
        <w:t>，</w:t>
      </w:r>
      <w:r>
        <w:rPr>
          <w:rFonts w:hint="eastAsia" w:ascii="宋体" w:hAnsi="宋体"/>
          <w:szCs w:val="21"/>
          <w:lang w:val="en-GB"/>
        </w:rPr>
        <w:t>色泽与漆膜厚薄均匀；划漆线条流畅，线性规则。</w:t>
      </w:r>
    </w:p>
    <w:p>
      <w:pPr>
        <w:ind w:firstLine="420" w:firstLineChars="200"/>
        <w:rPr>
          <w:rFonts w:hint="eastAsia" w:ascii="宋体" w:hAnsi="宋体"/>
          <w:szCs w:val="21"/>
          <w:lang w:val="en-GB"/>
        </w:rPr>
      </w:pPr>
      <w:r>
        <w:rPr>
          <w:rFonts w:hint="eastAsia" w:ascii="宋体" w:hAnsi="宋体"/>
          <w:szCs w:val="21"/>
          <w:lang w:val="en-GB"/>
        </w:rPr>
        <w:t>2、交通标线材料应具有良好的耐磨性、防滑性和辨认性，并按照规范采用符合要求的涂料。</w:t>
      </w:r>
    </w:p>
    <w:p>
      <w:pPr>
        <w:ind w:firstLine="420" w:firstLineChars="200"/>
        <w:rPr>
          <w:rFonts w:hint="eastAsia" w:ascii="宋体" w:hAnsi="宋体"/>
          <w:szCs w:val="21"/>
          <w:lang w:val="en-GB"/>
        </w:rPr>
      </w:pPr>
      <w:r>
        <w:rPr>
          <w:rFonts w:hint="eastAsia" w:ascii="宋体" w:hAnsi="宋体"/>
          <w:szCs w:val="21"/>
          <w:lang w:val="en-GB"/>
        </w:rPr>
        <w:t>3、交通标线施工前要清洗地面，除净灰尘和泥土，然后按设计要求放样漆划。标线或底漆施划后，应放置锥形交通路标，待标线干燥后才能撤走。</w:t>
      </w:r>
    </w:p>
    <w:p>
      <w:pPr>
        <w:ind w:firstLine="420" w:firstLineChars="200"/>
        <w:rPr>
          <w:rFonts w:hint="eastAsia" w:ascii="宋体" w:hAnsi="宋体"/>
          <w:szCs w:val="21"/>
          <w:lang w:val="en-GB"/>
        </w:rPr>
      </w:pPr>
      <w:r>
        <w:rPr>
          <w:rFonts w:hint="eastAsia" w:ascii="宋体" w:hAnsi="宋体"/>
          <w:szCs w:val="21"/>
          <w:lang w:val="en-GB"/>
        </w:rPr>
        <w:t>4、交通标线施工禁止在雨天和潮湿冰冻的路面上进行。热熔型涂料施工时气温不低于</w:t>
      </w:r>
      <w:r>
        <w:rPr>
          <w:rFonts w:ascii="宋体" w:hAnsi="宋体"/>
          <w:szCs w:val="21"/>
          <w:lang w:val="en-GB"/>
        </w:rPr>
        <w:t>10</w:t>
      </w:r>
      <w:r>
        <w:rPr>
          <w:rFonts w:hint="eastAsia" w:ascii="宋体" w:hAnsi="宋体"/>
          <w:szCs w:val="21"/>
          <w:lang w:val="en-GB"/>
        </w:rPr>
        <w:t>℃。</w:t>
      </w:r>
    </w:p>
    <w:p>
      <w:pPr>
        <w:ind w:firstLine="420" w:firstLineChars="200"/>
        <w:rPr>
          <w:rFonts w:hint="eastAsia" w:ascii="宋体" w:hAnsi="宋体"/>
          <w:szCs w:val="21"/>
          <w:lang w:val="en-GB"/>
        </w:rPr>
      </w:pPr>
      <w:r>
        <w:rPr>
          <w:rFonts w:hint="eastAsia" w:ascii="宋体" w:hAnsi="宋体"/>
          <w:szCs w:val="21"/>
          <w:lang w:val="en-GB"/>
        </w:rPr>
        <w:t>5、标线施工前要和业主方一起踏看施工范围，制作施工计划，并每周向业主方反馈施工进度。</w:t>
      </w:r>
    </w:p>
    <w:p>
      <w:pPr>
        <w:ind w:firstLine="422" w:firstLineChars="200"/>
        <w:rPr>
          <w:rFonts w:ascii="宋体" w:hAnsi="宋体"/>
          <w:b/>
          <w:bCs/>
          <w:szCs w:val="21"/>
          <w:lang w:val="en-GB"/>
        </w:rPr>
      </w:pPr>
      <w:r>
        <w:rPr>
          <w:rFonts w:hint="eastAsia" w:ascii="宋体" w:hAnsi="宋体"/>
          <w:b/>
          <w:bCs/>
          <w:szCs w:val="21"/>
          <w:lang w:val="en-GB"/>
        </w:rPr>
        <w:t>（四）交通标志的技术要求</w:t>
      </w:r>
    </w:p>
    <w:p>
      <w:pPr>
        <w:ind w:firstLine="420" w:firstLineChars="200"/>
        <w:rPr>
          <w:rFonts w:ascii="宋体" w:hAnsi="宋体"/>
          <w:szCs w:val="21"/>
          <w:lang w:val="en-GB"/>
        </w:rPr>
      </w:pPr>
      <w:r>
        <w:rPr>
          <w:rFonts w:hint="eastAsia" w:ascii="宋体" w:hAnsi="宋体"/>
          <w:szCs w:val="21"/>
          <w:lang w:val="en-GB"/>
        </w:rPr>
        <w:t>1、标志立柱和横梁，采用普通碳素结构钢（A3）焊接钢管，应符合BG700—88的要求；</w:t>
      </w:r>
    </w:p>
    <w:p>
      <w:pPr>
        <w:ind w:firstLine="420" w:firstLineChars="200"/>
        <w:rPr>
          <w:rFonts w:ascii="宋体" w:hAnsi="宋体"/>
          <w:szCs w:val="21"/>
          <w:lang w:val="en-GB"/>
        </w:rPr>
      </w:pPr>
      <w:r>
        <w:rPr>
          <w:rFonts w:hint="eastAsia" w:ascii="宋体" w:hAnsi="宋体"/>
          <w:szCs w:val="21"/>
          <w:lang w:val="en-GB"/>
        </w:rPr>
        <w:t>2、标志板、滑动横梁，采用符合GB768—1999标准的铝合金板材，并符合GB3194—82“铝及铝合金热轧板材的尺寸及允许偏差”，GB3193—82“铝及铝合金热轧板”的规定；</w:t>
      </w:r>
    </w:p>
    <w:p>
      <w:pPr>
        <w:ind w:firstLine="420" w:firstLineChars="200"/>
        <w:rPr>
          <w:rFonts w:ascii="宋体" w:hAnsi="宋体"/>
          <w:szCs w:val="21"/>
          <w:lang w:val="en-GB"/>
        </w:rPr>
      </w:pPr>
      <w:r>
        <w:rPr>
          <w:rFonts w:hint="eastAsia" w:ascii="宋体" w:hAnsi="宋体"/>
          <w:szCs w:val="21"/>
          <w:lang w:val="en-GB"/>
        </w:rPr>
        <w:t>3、高强螺栓，高强连接螺栓（包括相应螺母、垫圈）应采用40B式45号钢，并符合GB1231—76的规定。地脚螺栓（包括相应螺母、垫圈）应采用普通碳素钢机构钢（A3）；</w:t>
      </w:r>
    </w:p>
    <w:p>
      <w:pPr>
        <w:ind w:firstLine="420" w:firstLineChars="200"/>
        <w:rPr>
          <w:rFonts w:ascii="宋体" w:hAnsi="宋体"/>
          <w:szCs w:val="21"/>
          <w:lang w:val="en-GB"/>
        </w:rPr>
      </w:pPr>
      <w:r>
        <w:rPr>
          <w:rFonts w:hint="eastAsia" w:ascii="宋体" w:hAnsi="宋体"/>
          <w:szCs w:val="21"/>
          <w:lang w:val="en-GB"/>
        </w:rPr>
        <w:t>4、基础混凝土为C25砼。并符合现行《公路钢筋混凝土及预应力混凝土桥涵设计规范》的有关规定；</w:t>
      </w:r>
    </w:p>
    <w:p>
      <w:pPr>
        <w:ind w:firstLine="420" w:firstLineChars="200"/>
        <w:rPr>
          <w:rFonts w:ascii="宋体" w:hAnsi="宋体"/>
          <w:szCs w:val="21"/>
          <w:lang w:val="en-GB"/>
        </w:rPr>
      </w:pPr>
      <w:r>
        <w:rPr>
          <w:rFonts w:hint="eastAsia" w:ascii="宋体" w:hAnsi="宋体"/>
          <w:szCs w:val="21"/>
          <w:lang w:val="en-GB"/>
        </w:rPr>
        <w:t>5、钢筋采用热轧结构等级圆钢筋，Ⅰ级3号钢（位于桥梁式挡土上的标志基础钢筋采用Ⅱ级）并符合现行《公路钢筋混凝土及预应力混凝土设计规范》规定；</w:t>
      </w:r>
    </w:p>
    <w:p>
      <w:pPr>
        <w:ind w:firstLine="420" w:firstLineChars="200"/>
        <w:rPr>
          <w:rFonts w:ascii="宋体" w:hAnsi="宋体"/>
          <w:szCs w:val="21"/>
          <w:lang w:val="en-GB"/>
        </w:rPr>
      </w:pPr>
      <w:r>
        <w:rPr>
          <w:rFonts w:hint="eastAsia" w:ascii="宋体" w:hAnsi="宋体"/>
          <w:szCs w:val="21"/>
          <w:lang w:val="en-GB"/>
        </w:rPr>
        <w:t>6、定向反光标志膜需符合标项2有关要求，其回归反射光度值（最小值）反光膜颜色的角关座标和标志色泽耐用期应满足GB-T2023827-2009《道路交通标志板技术条件》的要求；</w:t>
      </w:r>
    </w:p>
    <w:p>
      <w:pPr>
        <w:ind w:firstLine="420" w:firstLineChars="200"/>
        <w:rPr>
          <w:rFonts w:ascii="宋体" w:hAnsi="宋体"/>
          <w:szCs w:val="21"/>
          <w:lang w:val="en-GB"/>
        </w:rPr>
      </w:pPr>
      <w:r>
        <w:rPr>
          <w:rFonts w:hint="eastAsia" w:ascii="宋体" w:hAnsi="宋体"/>
          <w:szCs w:val="21"/>
          <w:lang w:val="en-GB"/>
        </w:rPr>
        <w:t>7、标志板由铝合金板制作，其厚度要求2</w:t>
      </w:r>
      <w:r>
        <w:rPr>
          <w:rFonts w:ascii="宋体" w:hAnsi="宋体"/>
          <w:szCs w:val="21"/>
          <w:lang w:val="en-GB"/>
        </w:rPr>
        <w:t>mm</w:t>
      </w:r>
      <w:r>
        <w:rPr>
          <w:rFonts w:hint="eastAsia" w:ascii="宋体" w:hAnsi="宋体"/>
          <w:szCs w:val="21"/>
          <w:lang w:val="en-GB"/>
        </w:rPr>
        <w:t>至</w:t>
      </w:r>
      <w:r>
        <w:rPr>
          <w:rFonts w:ascii="宋体" w:hAnsi="宋体"/>
          <w:szCs w:val="21"/>
          <w:lang w:val="en-GB"/>
        </w:rPr>
        <w:t>3mm</w:t>
      </w:r>
      <w:r>
        <w:rPr>
          <w:rFonts w:hint="eastAsia" w:ascii="宋体" w:hAnsi="宋体"/>
          <w:szCs w:val="21"/>
          <w:lang w:val="en-GB"/>
        </w:rPr>
        <w:t>规格，指路标志不小于3</w:t>
      </w:r>
      <w:r>
        <w:rPr>
          <w:rFonts w:ascii="宋体" w:hAnsi="宋体"/>
          <w:szCs w:val="21"/>
          <w:lang w:val="en-GB"/>
        </w:rPr>
        <w:t>mm</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8、交通标志的形状图案、颜色应严格按照GB5768—2009《道路交通标志和标线》标准，或设计图的规定执行。为了确保指路标志的视认性，指路标志汉字必须采用等粗线，字体、阿拉伯数字和英文文字应符合GB5768—2009的规定，不允许采用其他字体；</w:t>
      </w:r>
    </w:p>
    <w:p>
      <w:pPr>
        <w:ind w:firstLine="420" w:firstLineChars="200"/>
        <w:rPr>
          <w:rFonts w:ascii="宋体" w:hAnsi="宋体"/>
          <w:szCs w:val="21"/>
          <w:lang w:val="en-GB"/>
        </w:rPr>
      </w:pPr>
      <w:r>
        <w:rPr>
          <w:rFonts w:hint="eastAsia" w:ascii="宋体" w:hAnsi="宋体"/>
          <w:szCs w:val="21"/>
          <w:lang w:val="en-GB"/>
        </w:rPr>
        <w:t>9、标志板与滑动槽钢，卷边加固件连接，在保证连接强度标志板面平整，不影响贴反光膜的前提下，可采用铆接式点焊；</w:t>
      </w:r>
    </w:p>
    <w:p>
      <w:pPr>
        <w:ind w:firstLine="420" w:firstLineChars="200"/>
        <w:rPr>
          <w:rFonts w:ascii="宋体" w:hAnsi="宋体"/>
          <w:szCs w:val="21"/>
          <w:lang w:val="en-GB"/>
        </w:rPr>
      </w:pPr>
      <w:r>
        <w:rPr>
          <w:rFonts w:hint="eastAsia" w:ascii="宋体" w:hAnsi="宋体"/>
          <w:szCs w:val="21"/>
          <w:lang w:val="en-GB"/>
        </w:rPr>
        <w:t>10、本次招标的道路标志的底膜、图案、文字均采用符合GB18833-2012标准的Ⅳ类（超强级）反光膜；另有注明的除外；</w:t>
      </w:r>
    </w:p>
    <w:p>
      <w:pPr>
        <w:ind w:firstLine="420" w:firstLineChars="200"/>
        <w:rPr>
          <w:rFonts w:ascii="宋体" w:hAnsi="宋体"/>
          <w:szCs w:val="21"/>
          <w:lang w:val="en-GB"/>
        </w:rPr>
      </w:pPr>
      <w:r>
        <w:rPr>
          <w:rFonts w:hint="eastAsia" w:ascii="宋体" w:hAnsi="宋体"/>
          <w:szCs w:val="21"/>
          <w:lang w:val="en-GB"/>
        </w:rPr>
        <w:t>11、指示标牌表面无明显皱纹、凹槽或弯形，每平方米的平整度公差小于</w:t>
      </w:r>
      <w:r>
        <w:rPr>
          <w:rFonts w:ascii="宋体" w:hAnsi="宋体"/>
          <w:szCs w:val="21"/>
          <w:lang w:val="en-GB"/>
        </w:rPr>
        <w:t>1.0mm</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12、标牌面无裂纹、无明显划痕、无损伤、无颜色不均和污染等现象；应按规范规定进行热浸镀锌处理，镀锌量为500</w:t>
      </w:r>
      <w:r>
        <w:rPr>
          <w:rFonts w:ascii="宋体" w:hAnsi="宋体"/>
          <w:szCs w:val="21"/>
          <w:lang w:val="en-GB"/>
        </w:rPr>
        <w:t>g/㎡</w:t>
      </w:r>
      <w:r>
        <w:rPr>
          <w:rFonts w:hint="eastAsia" w:ascii="宋体" w:hAnsi="宋体"/>
          <w:szCs w:val="21"/>
          <w:lang w:val="en-GB"/>
        </w:rPr>
        <w:t>。螺栓、螺母、垫圈进行热浸镀锌，必须清理螺纹或作离心处理；</w:t>
      </w:r>
    </w:p>
    <w:p>
      <w:pPr>
        <w:ind w:firstLine="420" w:firstLineChars="200"/>
        <w:rPr>
          <w:rFonts w:ascii="宋体" w:hAnsi="宋体"/>
          <w:szCs w:val="21"/>
          <w:lang w:val="en-GB"/>
        </w:rPr>
      </w:pPr>
      <w:r>
        <w:rPr>
          <w:rFonts w:hint="eastAsia" w:ascii="宋体" w:hAnsi="宋体"/>
          <w:szCs w:val="21"/>
          <w:lang w:val="en-GB"/>
        </w:rPr>
        <w:t>13、标志板与立杆采用铝槽接驳；</w:t>
      </w:r>
    </w:p>
    <w:p>
      <w:pPr>
        <w:ind w:firstLine="420" w:firstLineChars="200"/>
        <w:rPr>
          <w:rFonts w:ascii="宋体" w:hAnsi="宋体"/>
          <w:szCs w:val="21"/>
          <w:lang w:val="en-GB"/>
        </w:rPr>
      </w:pPr>
      <w:r>
        <w:rPr>
          <w:rFonts w:hint="eastAsia" w:ascii="宋体" w:hAnsi="宋体"/>
          <w:szCs w:val="21"/>
          <w:lang w:val="en-GB"/>
        </w:rPr>
        <w:t>14、大型标志使用铝合金板材最大尺寸，最多不超过2块铝合金板拼接，以减少接缝，保持版面的平整度；大型标志尺寸以下标志不允许存在任何铝合金板拼接；</w:t>
      </w:r>
    </w:p>
    <w:p>
      <w:pPr>
        <w:ind w:firstLine="420" w:firstLineChars="200"/>
        <w:rPr>
          <w:rFonts w:ascii="宋体" w:hAnsi="宋体"/>
          <w:szCs w:val="21"/>
          <w:lang w:val="en-GB"/>
        </w:rPr>
      </w:pPr>
      <w:r>
        <w:rPr>
          <w:rFonts w:hint="eastAsia" w:ascii="宋体" w:hAnsi="宋体"/>
          <w:szCs w:val="21"/>
          <w:lang w:val="en-GB"/>
        </w:rPr>
        <w:t>15、标志立柱和横梁不允许存在任何接驳；</w:t>
      </w:r>
    </w:p>
    <w:p>
      <w:pPr>
        <w:ind w:firstLine="420" w:firstLineChars="200"/>
        <w:rPr>
          <w:rFonts w:ascii="宋体" w:hAnsi="宋体"/>
          <w:szCs w:val="21"/>
          <w:lang w:val="en-GB"/>
        </w:rPr>
      </w:pPr>
      <w:r>
        <w:rPr>
          <w:rFonts w:hint="eastAsia" w:ascii="宋体" w:hAnsi="宋体"/>
          <w:szCs w:val="21"/>
          <w:lang w:val="en-GB"/>
        </w:rPr>
        <w:t>16、中标人先定样板，由招标人确定后方能施工；</w:t>
      </w:r>
    </w:p>
    <w:p>
      <w:pPr>
        <w:ind w:firstLine="420" w:firstLineChars="200"/>
        <w:rPr>
          <w:rFonts w:ascii="宋体" w:hAnsi="宋体"/>
          <w:szCs w:val="21"/>
          <w:lang w:val="en-GB"/>
        </w:rPr>
      </w:pPr>
      <w:r>
        <w:rPr>
          <w:rFonts w:hint="eastAsia" w:ascii="宋体" w:hAnsi="宋体"/>
          <w:szCs w:val="21"/>
          <w:lang w:val="en-GB"/>
        </w:rPr>
        <w:t>17、F标志立柱强热镀锌。</w:t>
      </w:r>
    </w:p>
    <w:p>
      <w:pPr>
        <w:ind w:firstLine="420" w:firstLineChars="200"/>
        <w:rPr>
          <w:rFonts w:hint="eastAsia" w:ascii="宋体" w:hAnsi="宋体"/>
          <w:szCs w:val="21"/>
          <w:lang w:val="en-GB"/>
        </w:rPr>
        <w:sectPr>
          <w:headerReference r:id="rId7" w:type="default"/>
          <w:footerReference r:id="rId8" w:type="default"/>
          <w:pgSz w:w="11906" w:h="16838"/>
          <w:pgMar w:top="1418" w:right="1418" w:bottom="1418" w:left="1418" w:header="851" w:footer="851" w:gutter="0"/>
          <w:pgNumType w:start="1"/>
          <w:cols w:space="720" w:num="1"/>
          <w:docGrid w:linePitch="312" w:charSpace="0"/>
        </w:sectPr>
      </w:pPr>
    </w:p>
    <w:p>
      <w:pPr>
        <w:ind w:firstLine="422" w:firstLineChars="200"/>
        <w:rPr>
          <w:rFonts w:ascii="宋体" w:hAnsi="宋体"/>
          <w:b/>
          <w:bCs/>
          <w:szCs w:val="21"/>
          <w:lang w:val="en-GB"/>
        </w:rPr>
      </w:pPr>
      <w:r>
        <w:rPr>
          <w:rFonts w:hint="eastAsia" w:ascii="宋体" w:hAnsi="宋体"/>
          <w:b/>
          <w:bCs/>
          <w:szCs w:val="21"/>
          <w:lang w:val="en-GB"/>
        </w:rPr>
        <w:t>（五）设备设施技术要求</w:t>
      </w:r>
    </w:p>
    <w:p>
      <w:pPr>
        <w:ind w:firstLine="422" w:firstLineChars="200"/>
        <w:rPr>
          <w:rFonts w:ascii="宋体" w:hAnsi="宋体"/>
          <w:b/>
          <w:bCs/>
          <w:szCs w:val="21"/>
          <w:lang w:val="en-GB"/>
        </w:rPr>
      </w:pPr>
      <w:r>
        <w:rPr>
          <w:rFonts w:hint="eastAsia" w:ascii="宋体" w:hAnsi="宋体"/>
          <w:b/>
          <w:bCs/>
          <w:szCs w:val="21"/>
          <w:lang w:val="en-GB"/>
        </w:rPr>
        <w:t>1、镀锌钢静电喷涂-----新款防眩板道路护栏的技术要求</w:t>
      </w:r>
    </w:p>
    <w:p>
      <w:pPr>
        <w:ind w:firstLine="420" w:firstLineChars="200"/>
        <w:rPr>
          <w:rFonts w:ascii="宋体" w:hAnsi="宋体"/>
          <w:szCs w:val="21"/>
          <w:lang w:val="en-GB"/>
        </w:rPr>
      </w:pPr>
      <w:r>
        <w:rPr>
          <w:rFonts w:hint="eastAsia" w:ascii="宋体" w:hAnsi="宋体"/>
          <w:szCs w:val="21"/>
          <w:lang w:val="en-GB"/>
        </w:rPr>
        <w:t>彩色效果图及尺寸图如下：（图一）</w:t>
      </w:r>
    </w:p>
    <w:p>
      <w:pPr>
        <w:rPr>
          <w:rFonts w:ascii="宋体" w:hAnsi="宋体"/>
        </w:rPr>
      </w:pPr>
      <w:r>
        <w:rPr>
          <w:rFonts w:ascii="宋体" w:hAnsi="宋体"/>
          <w:sz w:val="28"/>
          <w:szCs w:val="28"/>
        </w:rPr>
        <w:drawing>
          <wp:inline distT="0" distB="0" distL="114300" distR="114300">
            <wp:extent cx="6191885" cy="3354705"/>
            <wp:effectExtent l="0" t="0" r="18415" b="1714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8"/>
                    <a:srcRect l="10666" t="3384" r="13078" b="806"/>
                    <a:stretch>
                      <a:fillRect/>
                    </a:stretch>
                  </pic:blipFill>
                  <pic:spPr>
                    <a:xfrm>
                      <a:off x="0" y="0"/>
                      <a:ext cx="6191885" cy="3354705"/>
                    </a:xfrm>
                    <a:prstGeom prst="rect">
                      <a:avLst/>
                    </a:prstGeom>
                    <a:noFill/>
                    <a:ln>
                      <a:noFill/>
                    </a:ln>
                  </pic:spPr>
                </pic:pic>
              </a:graphicData>
            </a:graphic>
          </wp:inline>
        </w:drawing>
      </w:r>
    </w:p>
    <w:p>
      <w:pPr>
        <w:ind w:firstLine="422" w:firstLineChars="200"/>
        <w:rPr>
          <w:rFonts w:ascii="宋体" w:hAnsi="宋体"/>
          <w:b/>
          <w:bCs/>
          <w:szCs w:val="21"/>
          <w:lang w:val="en-GB"/>
        </w:rPr>
      </w:pPr>
      <w:r>
        <w:rPr>
          <w:rFonts w:hint="eastAsia" w:ascii="宋体" w:hAnsi="宋体"/>
          <w:b/>
          <w:bCs/>
          <w:szCs w:val="21"/>
          <w:lang w:val="en-GB"/>
        </w:rPr>
        <w:t>技术说明如下：</w:t>
      </w:r>
    </w:p>
    <w:p>
      <w:pPr>
        <w:ind w:firstLine="420" w:firstLineChars="200"/>
        <w:rPr>
          <w:rFonts w:ascii="宋体" w:hAnsi="宋体"/>
          <w:szCs w:val="21"/>
          <w:lang w:val="en-GB"/>
        </w:rPr>
      </w:pPr>
      <w:r>
        <w:rPr>
          <w:rFonts w:hint="eastAsia" w:ascii="宋体" w:hAnsi="宋体"/>
          <w:szCs w:val="21"/>
          <w:lang w:val="en-GB"/>
        </w:rPr>
        <w:t>护栏片总长度（中到中）为3000mm，总高度为1100mm，其中地面到下横杆下弦为200mm，上横杆上弦到立柱顶端为100mm。每片护栏上、下横杆为65×38×1.2的热镀锌异型管。竖杆为10×</w:t>
      </w:r>
      <w:r>
        <w:rPr>
          <w:rFonts w:ascii="宋体" w:hAnsi="宋体"/>
          <w:szCs w:val="21"/>
          <w:lang w:val="en-GB"/>
        </w:rPr>
        <w:t>78</w:t>
      </w:r>
      <w:r>
        <w:rPr>
          <w:rFonts w:hint="eastAsia" w:ascii="宋体" w:hAnsi="宋体"/>
          <w:szCs w:val="21"/>
          <w:lang w:val="en-GB"/>
        </w:rPr>
        <w:t>×1.0的热镀锌波形板。每片护栏含有15片竖片。护栏片与立柱由钢质连接件相连，且用螺丝固定。底座为6-7公斤复合材料或铸铁底座。立柱为80×80×1.5的热镀锌方管组成，采用钢制柱帽和黄色轮廓标。护栏片整体按国家标准进行彩色粉末静电喷涂后再进行二次蓝色油漆喷涂。</w:t>
      </w:r>
    </w:p>
    <w:p>
      <w:pPr>
        <w:ind w:firstLine="420" w:firstLineChars="200"/>
        <w:rPr>
          <w:rFonts w:ascii="宋体" w:hAnsi="宋体"/>
          <w:szCs w:val="21"/>
          <w:lang w:val="en-GB"/>
        </w:rPr>
      </w:pPr>
      <w:r>
        <w:rPr>
          <w:rFonts w:hint="eastAsia" w:ascii="宋体" w:hAnsi="宋体"/>
          <w:szCs w:val="21"/>
          <w:lang w:val="en-GB"/>
        </w:rPr>
        <w:t>油漆具体要求如下：</w:t>
      </w:r>
    </w:p>
    <w:p>
      <w:pPr>
        <w:ind w:firstLine="420" w:firstLineChars="200"/>
        <w:rPr>
          <w:rFonts w:ascii="宋体" w:hAnsi="宋体"/>
          <w:szCs w:val="21"/>
          <w:lang w:val="en-GB"/>
        </w:rPr>
      </w:pPr>
      <w:r>
        <w:rPr>
          <w:rFonts w:hint="eastAsia" w:ascii="宋体" w:hAnsi="宋体"/>
          <w:szCs w:val="21"/>
          <w:lang w:val="en-GB"/>
        </w:rPr>
        <w:t>1、一次喷涂后要求表面作无尘处理。</w:t>
      </w:r>
    </w:p>
    <w:p>
      <w:pPr>
        <w:ind w:firstLine="420" w:firstLineChars="200"/>
        <w:rPr>
          <w:rFonts w:ascii="宋体" w:hAnsi="宋体"/>
          <w:szCs w:val="21"/>
          <w:lang w:val="en-GB"/>
        </w:rPr>
      </w:pPr>
      <w:r>
        <w:rPr>
          <w:rFonts w:hint="eastAsia" w:ascii="宋体" w:hAnsi="宋体"/>
          <w:szCs w:val="21"/>
          <w:lang w:val="en-GB"/>
        </w:rPr>
        <w:t>2、按要求配备专用模具，并使用耐高温户外专用树脂漆。</w:t>
      </w:r>
    </w:p>
    <w:p>
      <w:pPr>
        <w:ind w:firstLine="420" w:firstLineChars="200"/>
        <w:rPr>
          <w:rFonts w:ascii="宋体" w:hAnsi="宋体"/>
          <w:szCs w:val="21"/>
          <w:lang w:val="en-GB"/>
        </w:rPr>
      </w:pPr>
      <w:r>
        <w:rPr>
          <w:rFonts w:hint="eastAsia" w:ascii="宋体" w:hAnsi="宋体"/>
          <w:szCs w:val="21"/>
          <w:lang w:val="en-GB"/>
        </w:rPr>
        <w:t>3、喷漆过程中不得有飞边、粘结点及污点。</w:t>
      </w:r>
    </w:p>
    <w:p>
      <w:pPr>
        <w:ind w:firstLine="420" w:firstLineChars="200"/>
        <w:rPr>
          <w:rFonts w:ascii="宋体" w:hAnsi="宋体"/>
          <w:szCs w:val="21"/>
          <w:lang w:val="en-GB"/>
        </w:rPr>
      </w:pPr>
      <w:r>
        <w:rPr>
          <w:rFonts w:hint="eastAsia" w:ascii="宋体" w:hAnsi="宋体"/>
          <w:szCs w:val="21"/>
          <w:lang w:val="en-GB"/>
        </w:rPr>
        <w:t>4、喷漆完成后须经烘箱高温烘干，且须保温一小时以上，出箱后经试验不得显示出划痕、变色和泛色。</w:t>
      </w:r>
    </w:p>
    <w:p>
      <w:pPr>
        <w:ind w:firstLine="420" w:firstLineChars="200"/>
        <w:rPr>
          <w:rFonts w:ascii="宋体" w:hAnsi="宋体"/>
          <w:szCs w:val="21"/>
          <w:lang w:val="en-GB"/>
        </w:rPr>
        <w:sectPr>
          <w:pgSz w:w="11906" w:h="16838"/>
          <w:pgMar w:top="1418" w:right="1418" w:bottom="1418" w:left="1418" w:header="851" w:footer="851" w:gutter="0"/>
          <w:cols w:space="720" w:num="1"/>
          <w:docGrid w:linePitch="312" w:charSpace="0"/>
        </w:sectPr>
      </w:pPr>
    </w:p>
    <w:p>
      <w:pPr>
        <w:ind w:firstLine="422" w:firstLineChars="200"/>
        <w:rPr>
          <w:rFonts w:ascii="宋体" w:hAnsi="宋体"/>
          <w:b/>
          <w:szCs w:val="21"/>
        </w:rPr>
      </w:pPr>
      <w:r>
        <w:rPr>
          <w:rFonts w:hint="eastAsia" w:ascii="宋体" w:hAnsi="宋体"/>
          <w:b/>
          <w:szCs w:val="21"/>
        </w:rPr>
        <w:t>2、镀锌钢静电喷涂护栏（中央、机非）的规格及技术要求</w:t>
      </w:r>
    </w:p>
    <w:p>
      <w:pPr>
        <w:ind w:firstLine="422" w:firstLineChars="200"/>
        <w:rPr>
          <w:rFonts w:hint="eastAsia" w:ascii="宋体" w:hAnsi="宋体"/>
          <w:b/>
          <w:szCs w:val="21"/>
        </w:rPr>
      </w:pPr>
      <w:r>
        <w:rPr>
          <w:rFonts w:hint="eastAsia" w:ascii="宋体" w:hAnsi="宋体"/>
          <w:b/>
          <w:szCs w:val="21"/>
        </w:rPr>
        <w:t>技术说明如下：</w:t>
      </w:r>
    </w:p>
    <w:p>
      <w:pPr>
        <w:rPr>
          <w:rFonts w:ascii="宋体" w:hAnsi="宋体"/>
        </w:rPr>
      </w:pPr>
      <w:r>
        <w:rPr>
          <w:rFonts w:ascii="宋体" w:hAnsi="宋体"/>
          <w:sz w:val="28"/>
          <w:szCs w:val="28"/>
        </w:rPr>
        <w:drawing>
          <wp:inline distT="0" distB="0" distL="114300" distR="114300">
            <wp:extent cx="5760085" cy="4241165"/>
            <wp:effectExtent l="0" t="0" r="12065" b="6985"/>
            <wp:docPr id="23" name="图片 2" descr="护栏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护栏调整"/>
                    <pic:cNvPicPr>
                      <a:picLocks noChangeAspect="1"/>
                    </pic:cNvPicPr>
                  </pic:nvPicPr>
                  <pic:blipFill>
                    <a:blip r:embed="rId19"/>
                    <a:srcRect t="4225" b="4216"/>
                    <a:stretch>
                      <a:fillRect/>
                    </a:stretch>
                  </pic:blipFill>
                  <pic:spPr>
                    <a:xfrm>
                      <a:off x="0" y="0"/>
                      <a:ext cx="5760085" cy="424116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（1）具体规格、尺寸按照上图所示；</w:t>
      </w:r>
    </w:p>
    <w:p>
      <w:pPr>
        <w:ind w:firstLine="420" w:firstLineChars="200"/>
        <w:rPr>
          <w:rFonts w:ascii="宋体" w:hAnsi="宋体"/>
          <w:szCs w:val="21"/>
        </w:rPr>
      </w:pPr>
      <w:r>
        <w:rPr>
          <w:rFonts w:hint="eastAsia" w:ascii="宋体" w:hAnsi="宋体"/>
          <w:szCs w:val="21"/>
        </w:rPr>
        <w:t>（2）护栏必须采用整体制作后再热镀锌；</w:t>
      </w:r>
    </w:p>
    <w:p>
      <w:pPr>
        <w:ind w:firstLine="420" w:firstLineChars="200"/>
        <w:rPr>
          <w:rFonts w:ascii="宋体" w:hAnsi="宋体"/>
          <w:szCs w:val="21"/>
        </w:rPr>
      </w:pPr>
      <w:r>
        <w:rPr>
          <w:rFonts w:hint="eastAsia" w:ascii="宋体" w:hAnsi="宋体"/>
          <w:szCs w:val="21"/>
        </w:rPr>
        <w:t>（3）工艺必须符合国家标准GB18704-2008；</w:t>
      </w:r>
    </w:p>
    <w:p>
      <w:pPr>
        <w:ind w:firstLine="420" w:firstLineChars="200"/>
        <w:rPr>
          <w:rFonts w:ascii="宋体" w:hAnsi="宋体"/>
          <w:szCs w:val="21"/>
        </w:rPr>
      </w:pPr>
      <w:r>
        <w:rPr>
          <w:rFonts w:hint="eastAsia" w:ascii="宋体" w:hAnsi="宋体"/>
          <w:szCs w:val="21"/>
        </w:rPr>
        <w:t>（4）焊接部分使用高频焊接，焊点平滑，无虚焊、无气焊；</w:t>
      </w:r>
    </w:p>
    <w:p>
      <w:pPr>
        <w:ind w:firstLine="420" w:firstLineChars="200"/>
        <w:rPr>
          <w:rFonts w:ascii="宋体" w:hAnsi="宋体"/>
          <w:szCs w:val="21"/>
        </w:rPr>
      </w:pPr>
      <w:r>
        <w:rPr>
          <w:rFonts w:hint="eastAsia" w:ascii="宋体" w:hAnsi="宋体"/>
          <w:szCs w:val="21"/>
        </w:rPr>
        <w:t>（5）倒“U”竖件与下横杆要求打孔连接后再焊接；</w:t>
      </w:r>
    </w:p>
    <w:p>
      <w:pPr>
        <w:ind w:firstLine="420" w:firstLineChars="200"/>
        <w:rPr>
          <w:rFonts w:ascii="宋体" w:hAnsi="宋体"/>
          <w:szCs w:val="21"/>
        </w:rPr>
      </w:pPr>
      <w:r>
        <w:rPr>
          <w:rFonts w:hint="eastAsia" w:ascii="宋体" w:hAnsi="宋体"/>
          <w:szCs w:val="21"/>
        </w:rPr>
        <w:t>（6）护栏钢制部分表面处理采用静电粉末喷涂工艺，第一层涂料为环氧富锌粉末喷涂，第二层涂料为聚酯户外、耐候性粉末喷涂（白色），每层厚度50um，表面涂层平滑、无凹坑、无滴漏、不露青、变色和泛色；</w:t>
      </w:r>
    </w:p>
    <w:p>
      <w:pPr>
        <w:ind w:firstLine="420" w:firstLineChars="200"/>
        <w:rPr>
          <w:rFonts w:hint="eastAsia" w:ascii="宋体" w:hAnsi="宋体"/>
          <w:szCs w:val="21"/>
        </w:rPr>
      </w:pPr>
      <w:r>
        <w:rPr>
          <w:rFonts w:hint="eastAsia" w:ascii="宋体" w:hAnsi="宋体"/>
          <w:szCs w:val="21"/>
        </w:rPr>
        <w:t>（7）底座为6-7公斤复合材料或铸铁底座。</w:t>
      </w:r>
    </w:p>
    <w:p>
      <w:pPr>
        <w:pStyle w:val="6"/>
        <w:ind w:firstLine="643" w:firstLineChars="200"/>
        <w:rPr>
          <w:rFonts w:ascii="宋体" w:hAnsi="宋体"/>
        </w:rPr>
        <w:sectPr>
          <w:pgSz w:w="11906" w:h="16838"/>
          <w:pgMar w:top="1418" w:right="1418" w:bottom="1418" w:left="1418" w:header="851" w:footer="851" w:gutter="0"/>
          <w:cols w:space="720" w:num="1"/>
          <w:docGrid w:linePitch="312" w:charSpace="0"/>
        </w:sectPr>
      </w:pPr>
    </w:p>
    <w:p>
      <w:pPr>
        <w:pStyle w:val="603"/>
        <w:ind w:firstLine="422"/>
        <w:rPr>
          <w:rFonts w:hint="eastAsia" w:ascii="宋体" w:hAnsi="宋体" w:eastAsia="宋体" w:cs="宋体"/>
          <w:b/>
          <w:sz w:val="21"/>
          <w:szCs w:val="21"/>
        </w:rPr>
      </w:pPr>
      <w:r>
        <w:rPr>
          <w:rFonts w:hint="eastAsia" w:ascii="宋体" w:hAnsi="宋体" w:eastAsia="宋体" w:cs="宋体"/>
          <w:b/>
          <w:sz w:val="21"/>
          <w:szCs w:val="21"/>
        </w:rPr>
        <w:t>3、草坪护栏的规格及技术要求</w:t>
      </w:r>
    </w:p>
    <w:p>
      <w:pPr>
        <w:pStyle w:val="603"/>
        <w:ind w:firstLine="0" w:firstLineChars="0"/>
        <w:rPr>
          <w:rFonts w:hint="eastAsia" w:ascii="宋体" w:hAnsi="宋体" w:eastAsia="宋体" w:cs="宋体"/>
          <w:b/>
          <w:szCs w:val="21"/>
        </w:rPr>
      </w:pPr>
      <w:r>
        <w:rPr>
          <w:rFonts w:hint="eastAsia" w:ascii="宋体" w:hAnsi="宋体" w:eastAsia="宋体" w:cs="宋体"/>
          <w:b/>
          <w:sz w:val="28"/>
          <w:szCs w:val="28"/>
        </w:rPr>
        <w:drawing>
          <wp:inline distT="0" distB="0" distL="114300" distR="114300">
            <wp:extent cx="5766435" cy="3820160"/>
            <wp:effectExtent l="0" t="0" r="5715" b="8890"/>
            <wp:docPr id="24" name="图片 1" descr="86e4fd611f5ab585281cbece1342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86e4fd611f5ab585281cbece134211b"/>
                    <pic:cNvPicPr>
                      <a:picLocks noChangeAspect="1"/>
                    </pic:cNvPicPr>
                  </pic:nvPicPr>
                  <pic:blipFill>
                    <a:blip r:embed="rId20"/>
                    <a:stretch>
                      <a:fillRect/>
                    </a:stretch>
                  </pic:blipFill>
                  <pic:spPr>
                    <a:xfrm>
                      <a:off x="0" y="0"/>
                      <a:ext cx="5766435" cy="3820160"/>
                    </a:xfrm>
                    <a:prstGeom prst="rect">
                      <a:avLst/>
                    </a:prstGeom>
                    <a:noFill/>
                    <a:ln>
                      <a:noFill/>
                    </a:ln>
                  </pic:spPr>
                </pic:pic>
              </a:graphicData>
            </a:graphic>
          </wp:inline>
        </w:drawing>
      </w:r>
    </w:p>
    <w:p>
      <w:pPr>
        <w:spacing w:before="120" w:beforeLines="50"/>
        <w:ind w:firstLine="420" w:firstLineChars="200"/>
        <w:rPr>
          <w:rFonts w:hint="eastAsia" w:ascii="宋体" w:hAnsi="宋体" w:cs="宋体"/>
          <w:szCs w:val="21"/>
        </w:rPr>
      </w:pPr>
      <w:r>
        <w:rPr>
          <w:rFonts w:hint="eastAsia" w:ascii="宋体" w:hAnsi="宋体" w:cs="宋体"/>
          <w:szCs w:val="21"/>
        </w:rPr>
        <w:t xml:space="preserve"> 技术说明如下：</w:t>
      </w:r>
    </w:p>
    <w:p>
      <w:pPr>
        <w:ind w:firstLine="420" w:firstLineChars="200"/>
        <w:rPr>
          <w:rFonts w:hint="eastAsia" w:ascii="宋体" w:hAnsi="宋体"/>
          <w:bCs/>
          <w:szCs w:val="21"/>
        </w:rPr>
      </w:pPr>
      <w:r>
        <w:rPr>
          <w:rFonts w:hint="eastAsia" w:ascii="宋体" w:hAnsi="宋体"/>
          <w:bCs/>
          <w:szCs w:val="21"/>
        </w:rPr>
        <w:t>（1）具体规格、尺寸按照上图所示。</w:t>
      </w:r>
    </w:p>
    <w:p>
      <w:pPr>
        <w:ind w:firstLine="420" w:firstLineChars="200"/>
        <w:rPr>
          <w:rFonts w:hint="eastAsia" w:ascii="宋体" w:hAnsi="宋体"/>
          <w:bCs/>
          <w:szCs w:val="21"/>
        </w:rPr>
      </w:pPr>
      <w:r>
        <w:rPr>
          <w:rFonts w:hint="eastAsia" w:ascii="宋体" w:hAnsi="宋体"/>
          <w:bCs/>
          <w:szCs w:val="21"/>
        </w:rPr>
        <w:t>（2）护栏必须采用镀锌方管；</w:t>
      </w:r>
    </w:p>
    <w:p>
      <w:pPr>
        <w:ind w:firstLine="420" w:firstLineChars="200"/>
        <w:rPr>
          <w:rFonts w:hint="eastAsia" w:ascii="宋体" w:hAnsi="宋体"/>
          <w:bCs/>
          <w:szCs w:val="21"/>
        </w:rPr>
      </w:pPr>
      <w:r>
        <w:rPr>
          <w:rFonts w:hint="eastAsia" w:ascii="宋体" w:hAnsi="宋体"/>
          <w:bCs/>
          <w:szCs w:val="21"/>
        </w:rPr>
        <w:t>（3）工艺必须符合国家标准GB 18704-2002。</w:t>
      </w:r>
    </w:p>
    <w:p>
      <w:pPr>
        <w:ind w:firstLine="420" w:firstLineChars="200"/>
        <w:rPr>
          <w:rFonts w:hint="eastAsia" w:ascii="宋体" w:hAnsi="宋体"/>
          <w:bCs/>
          <w:szCs w:val="21"/>
        </w:rPr>
      </w:pPr>
      <w:r>
        <w:rPr>
          <w:rFonts w:hint="eastAsia" w:ascii="宋体" w:hAnsi="宋体"/>
          <w:bCs/>
          <w:szCs w:val="21"/>
        </w:rPr>
        <w:t>（4）焊接部分使用高频焊接，焊点平滑，无虚焊、无气焊。</w:t>
      </w:r>
    </w:p>
    <w:p>
      <w:pPr>
        <w:ind w:firstLine="420" w:firstLineChars="200"/>
        <w:rPr>
          <w:rFonts w:hint="eastAsia" w:ascii="宋体" w:hAnsi="宋体"/>
          <w:bCs/>
          <w:szCs w:val="21"/>
        </w:rPr>
      </w:pPr>
      <w:r>
        <w:rPr>
          <w:rFonts w:hint="eastAsia" w:ascii="宋体" w:hAnsi="宋体"/>
          <w:bCs/>
          <w:szCs w:val="21"/>
        </w:rPr>
        <w:t>（5）护栏钢制部分表面处理采用静电粉末喷涂工艺，第一层涂料为环氧富锌粉末喷涂，第二层涂料为聚酯户外、耐候性粉末喷涂（绿色），每层厚度50um,表面涂层平滑、无凹坑、无滴漏、不露青、变色和泛色。</w:t>
      </w:r>
    </w:p>
    <w:p>
      <w:pPr>
        <w:ind w:firstLine="420" w:firstLineChars="200"/>
        <w:rPr>
          <w:rFonts w:hint="eastAsia" w:ascii="宋体" w:hAnsi="宋体"/>
          <w:b/>
          <w:szCs w:val="21"/>
        </w:rPr>
      </w:pPr>
      <w:r>
        <w:rPr>
          <w:rFonts w:hint="eastAsia" w:ascii="宋体" w:hAnsi="宋体"/>
          <w:bCs/>
          <w:szCs w:val="21"/>
        </w:rPr>
        <w:t>（6）立柱下部采用200×200×300mm C20混凝土固定。</w:t>
      </w:r>
    </w:p>
    <w:p>
      <w:pPr>
        <w:rPr>
          <w:rFonts w:ascii="宋体" w:hAnsi="宋体"/>
        </w:rPr>
        <w:sectPr>
          <w:pgSz w:w="11906" w:h="16838"/>
          <w:pgMar w:top="1474" w:right="1797" w:bottom="1247" w:left="1797" w:header="851" w:footer="851" w:gutter="0"/>
          <w:cols w:space="720" w:num="1"/>
          <w:docGrid w:linePitch="312" w:charSpace="0"/>
        </w:sectPr>
      </w:pPr>
    </w:p>
    <w:p>
      <w:pPr>
        <w:rPr>
          <w:rFonts w:ascii="宋体" w:hAnsi="宋体"/>
        </w:rPr>
      </w:pPr>
      <w:r>
        <w:rPr>
          <w:rFonts w:hint="eastAsia" w:ascii="宋体" w:hAnsi="宋体"/>
          <w:b/>
          <w:szCs w:val="21"/>
        </w:rPr>
        <w:t>4、人非钢质镀锌钢静电喷涂护栏的规格及技术要求</w:t>
      </w:r>
    </w:p>
    <w:p>
      <w:pPr>
        <w:rPr>
          <w:rFonts w:ascii="宋体" w:hAnsi="宋体"/>
        </w:rPr>
      </w:pPr>
      <w:r>
        <w:rPr>
          <w:rFonts w:ascii="宋体" w:hAnsi="宋体"/>
          <w:sz w:val="28"/>
          <w:szCs w:val="28"/>
        </w:rPr>
        <w:drawing>
          <wp:inline distT="0" distB="0" distL="114300" distR="114300">
            <wp:extent cx="8948420" cy="4577080"/>
            <wp:effectExtent l="0" t="0" r="5080" b="13970"/>
            <wp:docPr id="25" name="图片 3" descr="护栏-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护栏-Model"/>
                    <pic:cNvPicPr>
                      <a:picLocks noChangeAspect="1"/>
                    </pic:cNvPicPr>
                  </pic:nvPicPr>
                  <pic:blipFill>
                    <a:blip r:embed="rId21"/>
                    <a:srcRect t="4774" b="5243"/>
                    <a:stretch>
                      <a:fillRect/>
                    </a:stretch>
                  </pic:blipFill>
                  <pic:spPr>
                    <a:xfrm>
                      <a:off x="0" y="0"/>
                      <a:ext cx="8948420" cy="4577080"/>
                    </a:xfrm>
                    <a:prstGeom prst="rect">
                      <a:avLst/>
                    </a:prstGeom>
                    <a:noFill/>
                    <a:ln>
                      <a:noFill/>
                    </a:ln>
                  </pic:spPr>
                </pic:pic>
              </a:graphicData>
            </a:graphic>
          </wp:inline>
        </w:drawing>
      </w:r>
    </w:p>
    <w:p>
      <w:pPr>
        <w:ind w:firstLine="420" w:firstLineChars="200"/>
        <w:rPr>
          <w:rFonts w:ascii="宋体" w:hAnsi="宋体"/>
        </w:rPr>
        <w:sectPr>
          <w:pgSz w:w="16838" w:h="11906" w:orient="landscape"/>
          <w:pgMar w:top="1797" w:right="1474" w:bottom="1797" w:left="1247" w:header="851" w:footer="851" w:gutter="0"/>
          <w:cols w:space="720" w:num="1"/>
          <w:docGrid w:linePitch="312" w:charSpace="0"/>
        </w:sectPr>
      </w:pPr>
    </w:p>
    <w:p>
      <w:pPr>
        <w:ind w:firstLine="422" w:firstLineChars="200"/>
        <w:rPr>
          <w:rFonts w:ascii="宋体" w:hAnsi="宋体"/>
          <w:b/>
          <w:bCs/>
          <w:szCs w:val="21"/>
        </w:rPr>
      </w:pPr>
      <w:r>
        <w:rPr>
          <w:rFonts w:hint="eastAsia" w:ascii="宋体" w:hAnsi="宋体"/>
          <w:b/>
          <w:bCs/>
          <w:szCs w:val="21"/>
        </w:rPr>
        <w:t>技术说明如下：</w:t>
      </w:r>
    </w:p>
    <w:p>
      <w:pPr>
        <w:ind w:firstLine="420" w:firstLineChars="200"/>
        <w:rPr>
          <w:rFonts w:ascii="宋体" w:hAnsi="宋体"/>
          <w:szCs w:val="21"/>
        </w:rPr>
      </w:pPr>
      <w:r>
        <w:rPr>
          <w:rFonts w:hint="eastAsia" w:ascii="宋体" w:hAnsi="宋体"/>
          <w:szCs w:val="21"/>
        </w:rPr>
        <w:t>（1）具体规格、尺寸按照上图所示；</w:t>
      </w:r>
    </w:p>
    <w:p>
      <w:pPr>
        <w:ind w:firstLine="420" w:firstLineChars="200"/>
        <w:rPr>
          <w:rFonts w:ascii="宋体" w:hAnsi="宋体"/>
          <w:szCs w:val="21"/>
        </w:rPr>
      </w:pPr>
      <w:r>
        <w:rPr>
          <w:rFonts w:hint="eastAsia" w:ascii="宋体" w:hAnsi="宋体"/>
          <w:szCs w:val="21"/>
        </w:rPr>
        <w:t>（2）护栏各构件整体制作后再热镀锌；</w:t>
      </w:r>
    </w:p>
    <w:p>
      <w:pPr>
        <w:ind w:firstLine="420" w:firstLineChars="200"/>
        <w:rPr>
          <w:rFonts w:ascii="宋体" w:hAnsi="宋体"/>
          <w:szCs w:val="21"/>
        </w:rPr>
      </w:pPr>
      <w:r>
        <w:rPr>
          <w:rFonts w:hint="eastAsia" w:ascii="宋体" w:hAnsi="宋体"/>
          <w:szCs w:val="21"/>
        </w:rPr>
        <w:t>（3）工艺必须符合国家标准GB18704-2002；</w:t>
      </w:r>
    </w:p>
    <w:p>
      <w:pPr>
        <w:ind w:firstLine="420" w:firstLineChars="200"/>
        <w:rPr>
          <w:rFonts w:ascii="宋体" w:hAnsi="宋体"/>
          <w:szCs w:val="21"/>
        </w:rPr>
      </w:pPr>
      <w:r>
        <w:rPr>
          <w:rFonts w:hint="eastAsia" w:ascii="宋体" w:hAnsi="宋体"/>
          <w:szCs w:val="21"/>
        </w:rPr>
        <w:t>（4）焊接部分使用高频焊接，焊点平滑，无虚焊、无气焊；</w:t>
      </w:r>
    </w:p>
    <w:p>
      <w:pPr>
        <w:ind w:firstLine="420" w:firstLineChars="200"/>
        <w:rPr>
          <w:rFonts w:ascii="宋体" w:hAnsi="宋体"/>
          <w:szCs w:val="21"/>
        </w:rPr>
      </w:pPr>
      <w:r>
        <w:rPr>
          <w:rFonts w:hint="eastAsia" w:ascii="宋体" w:hAnsi="宋体"/>
          <w:szCs w:val="21"/>
        </w:rPr>
        <w:t>（5）竖件与上、下横杆要求打孔连接后再焊接。下横杆底部要求至少打三个出水孔，均匀分布。</w:t>
      </w:r>
    </w:p>
    <w:p>
      <w:pPr>
        <w:ind w:firstLine="420" w:firstLineChars="200"/>
        <w:rPr>
          <w:rFonts w:ascii="宋体" w:hAnsi="宋体"/>
          <w:szCs w:val="21"/>
        </w:rPr>
      </w:pPr>
      <w:r>
        <w:rPr>
          <w:rFonts w:hint="eastAsia" w:ascii="宋体" w:hAnsi="宋体"/>
          <w:szCs w:val="21"/>
        </w:rPr>
        <w:t>（6）护栏钢制部分表面处理采用静电粉末喷涂工艺，第一层涂料为环氧富锌粉末喷涂，第二层涂料为聚酯户外、耐候性粉末喷涂，</w:t>
      </w:r>
      <w:r>
        <w:rPr>
          <w:rFonts w:hint="eastAsia" w:ascii="宋体" w:hAnsi="宋体"/>
          <w:b/>
          <w:bCs/>
          <w:szCs w:val="21"/>
        </w:rPr>
        <w:t>（颜色：灰色PCF0270）</w:t>
      </w:r>
      <w:r>
        <w:rPr>
          <w:rFonts w:hint="eastAsia" w:ascii="宋体" w:hAnsi="宋体"/>
          <w:szCs w:val="21"/>
        </w:rPr>
        <w:t>每层厚度50um，表面涂层平滑、无凹坑、无滴漏、不露青、变色和泛色；</w:t>
      </w:r>
    </w:p>
    <w:p>
      <w:pPr>
        <w:ind w:firstLine="420" w:firstLineChars="200"/>
        <w:rPr>
          <w:rFonts w:hint="eastAsia" w:ascii="宋体" w:hAnsi="宋体"/>
          <w:szCs w:val="21"/>
        </w:rPr>
      </w:pPr>
      <w:r>
        <w:rPr>
          <w:rFonts w:hint="eastAsia" w:ascii="宋体" w:hAnsi="宋体"/>
          <w:szCs w:val="21"/>
        </w:rPr>
        <w:t>（7）立柱下部采用钢板法兰构成一体。基础构件独立成件（需预埋），基础构件与立柱采用热镀锌或不锈钢螺栓（10mm</w:t>
      </w:r>
      <w:r>
        <w:rPr>
          <w:rFonts w:ascii="宋体" w:hAnsi="宋体"/>
          <w:szCs w:val="21"/>
        </w:rPr>
        <w:t>）</w:t>
      </w:r>
      <w:r>
        <w:rPr>
          <w:rFonts w:hint="eastAsia" w:ascii="宋体" w:hAnsi="宋体"/>
          <w:szCs w:val="21"/>
        </w:rPr>
        <w:t>两法兰件连接固定；</w:t>
      </w:r>
    </w:p>
    <w:p>
      <w:pPr>
        <w:ind w:firstLine="420" w:firstLineChars="200"/>
        <w:rPr>
          <w:rFonts w:ascii="宋体" w:hAnsi="宋体"/>
          <w:szCs w:val="21"/>
        </w:rPr>
      </w:pPr>
      <w:r>
        <w:rPr>
          <w:rFonts w:hint="eastAsia" w:ascii="宋体" w:hAnsi="宋体"/>
          <w:szCs w:val="21"/>
        </w:rPr>
        <w:t>（8）立柱下部采用钢板法兰构成一体。无设置基础构件条件道路可与地面连接采用4个长10×100mm膨胀螺钉固定。</w:t>
      </w:r>
    </w:p>
    <w:p>
      <w:pPr>
        <w:ind w:firstLine="422" w:firstLineChars="200"/>
        <w:rPr>
          <w:rFonts w:ascii="宋体" w:hAnsi="宋体"/>
          <w:b/>
          <w:bCs/>
          <w:szCs w:val="21"/>
        </w:rPr>
      </w:pPr>
      <w:r>
        <w:rPr>
          <w:rFonts w:hint="eastAsia" w:ascii="宋体" w:hAnsi="宋体"/>
          <w:b/>
          <w:bCs/>
          <w:szCs w:val="21"/>
        </w:rPr>
        <w:t>5、船桨式镀锌钢静电喷涂护栏（中央、机非）的规格及技术要求</w:t>
      </w:r>
    </w:p>
    <w:p>
      <w:pPr>
        <w:ind w:firstLine="422" w:firstLineChars="200"/>
        <w:rPr>
          <w:rFonts w:hint="eastAsia" w:ascii="宋体" w:hAnsi="宋体"/>
          <w:b/>
          <w:bCs/>
          <w:szCs w:val="21"/>
        </w:rPr>
      </w:pPr>
      <w:r>
        <w:rPr>
          <w:rFonts w:hint="eastAsia" w:ascii="宋体" w:hAnsi="宋体"/>
          <w:b/>
          <w:bCs/>
          <w:szCs w:val="21"/>
        </w:rPr>
        <w:t>技术说明如下：</w:t>
      </w:r>
    </w:p>
    <w:p>
      <w:pPr>
        <w:ind w:firstLine="422" w:firstLineChars="200"/>
        <w:rPr>
          <w:rFonts w:ascii="宋体" w:hAnsi="宋体"/>
          <w:b/>
          <w:bCs/>
          <w:szCs w:val="21"/>
        </w:rPr>
      </w:pPr>
      <w:r>
        <w:rPr>
          <w:rFonts w:hint="eastAsia" w:ascii="宋体" w:hAnsi="宋体"/>
          <w:b/>
          <w:bCs/>
          <w:szCs w:val="21"/>
        </w:rPr>
        <w:t>（1）800cm船桨式镀锌钢静电喷涂护栏（整体热镀锌）</w:t>
      </w:r>
    </w:p>
    <w:p>
      <w:pPr>
        <w:rPr>
          <w:rFonts w:hint="eastAsia" w:ascii="宋体" w:hAnsi="宋体"/>
          <w:sz w:val="28"/>
          <w:szCs w:val="28"/>
        </w:rPr>
      </w:pPr>
      <w:r>
        <w:rPr>
          <w:rFonts w:ascii="宋体" w:hAnsi="宋体"/>
          <w:sz w:val="28"/>
          <w:szCs w:val="28"/>
          <w:lang/>
        </w:rPr>
        <w:drawing>
          <wp:inline distT="0" distB="0" distL="114300" distR="114300">
            <wp:extent cx="5683885" cy="3982085"/>
            <wp:effectExtent l="0" t="0" r="12065" b="18415"/>
            <wp:docPr id="26" name="图片 4" descr="说明: C:\Users\Administrator\Desktop\船桨护栏CAD定稿\800\800船桨护栏CAD定稿2-Model.jpg800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说明: C:\Users\Administrator\Desktop\船桨护栏CAD定稿\800\800船桨护栏CAD定稿2-Model.jpg800船桨护栏CAD定稿2-Model"/>
                    <pic:cNvPicPr>
                      <a:picLocks noChangeAspect="1"/>
                    </pic:cNvPicPr>
                  </pic:nvPicPr>
                  <pic:blipFill>
                    <a:blip r:embed="rId22"/>
                    <a:stretch>
                      <a:fillRect/>
                    </a:stretch>
                  </pic:blipFill>
                  <pic:spPr>
                    <a:xfrm>
                      <a:off x="0" y="0"/>
                      <a:ext cx="5683885" cy="3982085"/>
                    </a:xfrm>
                    <a:prstGeom prst="rect">
                      <a:avLst/>
                    </a:prstGeom>
                    <a:noFill/>
                    <a:ln>
                      <a:noFill/>
                    </a:ln>
                  </pic:spPr>
                </pic:pic>
              </a:graphicData>
            </a:graphic>
          </wp:inline>
        </w:drawing>
      </w:r>
    </w:p>
    <w:p>
      <w:pPr>
        <w:rPr>
          <w:rFonts w:ascii="宋体" w:hAnsi="宋体"/>
          <w:sz w:val="28"/>
          <w:szCs w:val="28"/>
          <w:lang/>
        </w:rPr>
      </w:pPr>
      <w:r>
        <w:rPr>
          <w:rFonts w:ascii="宋体" w:hAnsi="宋体"/>
          <w:sz w:val="28"/>
          <w:szCs w:val="28"/>
          <w:lang/>
        </w:rPr>
        <w:drawing>
          <wp:inline distT="0" distB="0" distL="114300" distR="114300">
            <wp:extent cx="5715000" cy="4007485"/>
            <wp:effectExtent l="0" t="0" r="0" b="12065"/>
            <wp:docPr id="27" name="图片 4" descr="说明: C:\Users\Administrator\Desktop\船桨护栏CAD定稿\800\800船桨护栏CAD定稿2-Model.jpg800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说明: C:\Users\Administrator\Desktop\船桨护栏CAD定稿\800\800船桨护栏CAD定稿2-Model.jpg800船桨护栏CAD定稿2-Model"/>
                    <pic:cNvPicPr>
                      <a:picLocks noChangeAspect="1"/>
                    </pic:cNvPicPr>
                  </pic:nvPicPr>
                  <pic:blipFill>
                    <a:blip r:embed="rId22"/>
                    <a:stretch>
                      <a:fillRect/>
                    </a:stretch>
                  </pic:blipFill>
                  <pic:spPr>
                    <a:xfrm>
                      <a:off x="0" y="0"/>
                      <a:ext cx="5715000" cy="4007485"/>
                    </a:xfrm>
                    <a:prstGeom prst="rect">
                      <a:avLst/>
                    </a:prstGeom>
                    <a:noFill/>
                    <a:ln>
                      <a:noFill/>
                    </a:ln>
                  </pic:spPr>
                </pic:pic>
              </a:graphicData>
            </a:graphic>
          </wp:inline>
        </w:drawing>
      </w:r>
    </w:p>
    <w:p>
      <w:pPr>
        <w:rPr>
          <w:rFonts w:hint="eastAsia" w:ascii="宋体" w:hAnsi="宋体"/>
        </w:rPr>
      </w:pPr>
    </w:p>
    <w:p>
      <w:pPr>
        <w:rPr>
          <w:rFonts w:ascii="宋体" w:hAnsi="宋体"/>
          <w:sz w:val="28"/>
          <w:szCs w:val="28"/>
        </w:rPr>
      </w:pPr>
      <w:r>
        <w:rPr>
          <w:rFonts w:ascii="宋体" w:hAnsi="宋体"/>
          <w:sz w:val="28"/>
          <w:szCs w:val="28"/>
          <w:lang/>
        </w:rPr>
        <w:drawing>
          <wp:inline distT="0" distB="0" distL="114300" distR="114300">
            <wp:extent cx="5681980" cy="3933825"/>
            <wp:effectExtent l="0" t="0" r="13970" b="9525"/>
            <wp:docPr id="28" name="图片 5" descr="说明: C:\Users\Administrator\Desktop\船桨护栏CAD定稿\800\800船桨护栏CAD定稿3-Model.jpg800船桨护栏CAD定稿3-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说明: C:\Users\Administrator\Desktop\船桨护栏CAD定稿\800\800船桨护栏CAD定稿3-Model.jpg800船桨护栏CAD定稿3-Model"/>
                    <pic:cNvPicPr>
                      <a:picLocks noChangeAspect="1"/>
                    </pic:cNvPicPr>
                  </pic:nvPicPr>
                  <pic:blipFill>
                    <a:blip r:embed="rId23"/>
                    <a:stretch>
                      <a:fillRect/>
                    </a:stretch>
                  </pic:blipFill>
                  <pic:spPr>
                    <a:xfrm>
                      <a:off x="0" y="0"/>
                      <a:ext cx="5681980" cy="3933825"/>
                    </a:xfrm>
                    <a:prstGeom prst="rect">
                      <a:avLst/>
                    </a:prstGeom>
                    <a:noFill/>
                    <a:ln>
                      <a:noFill/>
                    </a:ln>
                  </pic:spPr>
                </pic:pic>
              </a:graphicData>
            </a:graphic>
          </wp:inline>
        </w:drawing>
      </w:r>
    </w:p>
    <w:p>
      <w:pPr>
        <w:rPr>
          <w:rFonts w:ascii="宋体" w:hAnsi="宋体"/>
          <w:sz w:val="28"/>
          <w:szCs w:val="28"/>
          <w:lang/>
        </w:rPr>
      </w:pPr>
      <w:r>
        <w:rPr>
          <w:rFonts w:ascii="宋体" w:hAnsi="宋体"/>
          <w:sz w:val="28"/>
          <w:szCs w:val="28"/>
          <w:lang/>
        </w:rPr>
        <w:drawing>
          <wp:inline distT="0" distB="0" distL="114300" distR="114300">
            <wp:extent cx="5750560" cy="3977005"/>
            <wp:effectExtent l="0" t="0" r="2540" b="4445"/>
            <wp:docPr id="29" name="图片 6" descr="说明: C:\Users\Administrator\Desktop\船桨护栏CAD定稿\800\800船桨护栏CAD定稿4-Model.jpg800船桨护栏CAD定稿4-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descr="说明: C:\Users\Administrator\Desktop\船桨护栏CAD定稿\800\800船桨护栏CAD定稿4-Model.jpg800船桨护栏CAD定稿4-Model"/>
                    <pic:cNvPicPr>
                      <a:picLocks noChangeAspect="1"/>
                    </pic:cNvPicPr>
                  </pic:nvPicPr>
                  <pic:blipFill>
                    <a:blip r:embed="rId24"/>
                    <a:stretch>
                      <a:fillRect/>
                    </a:stretch>
                  </pic:blipFill>
                  <pic:spPr>
                    <a:xfrm>
                      <a:off x="0" y="0"/>
                      <a:ext cx="5750560" cy="3977005"/>
                    </a:xfrm>
                    <a:prstGeom prst="rect">
                      <a:avLst/>
                    </a:prstGeom>
                    <a:noFill/>
                    <a:ln>
                      <a:noFill/>
                    </a:ln>
                  </pic:spPr>
                </pic:pic>
              </a:graphicData>
            </a:graphic>
          </wp:inline>
        </w:drawing>
      </w:r>
    </w:p>
    <w:p>
      <w:pPr>
        <w:rPr>
          <w:rFonts w:ascii="宋体" w:hAnsi="宋体"/>
          <w:lang/>
        </w:rPr>
      </w:pPr>
    </w:p>
    <w:p>
      <w:pPr>
        <w:rPr>
          <w:rFonts w:ascii="宋体" w:hAnsi="宋体"/>
          <w:lang/>
        </w:rPr>
      </w:pPr>
      <w:r>
        <w:rPr>
          <w:rFonts w:ascii="宋体" w:hAnsi="宋体"/>
          <w:sz w:val="28"/>
          <w:szCs w:val="28"/>
          <w:lang/>
        </w:rPr>
        <w:drawing>
          <wp:inline distT="0" distB="0" distL="114300" distR="114300">
            <wp:extent cx="5749925" cy="3973195"/>
            <wp:effectExtent l="0" t="0" r="3175" b="8255"/>
            <wp:docPr id="30" name="图片 7" descr="说明: C:\Users\Administrator\Desktop\船桨护栏CAD定稿\800\800船桨护栏CAD定稿5-Model.jpg800船桨护栏CAD定稿5-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说明: C:\Users\Administrator\Desktop\船桨护栏CAD定稿\800\800船桨护栏CAD定稿5-Model.jpg800船桨护栏CAD定稿5-Model"/>
                    <pic:cNvPicPr>
                      <a:picLocks noChangeAspect="1"/>
                    </pic:cNvPicPr>
                  </pic:nvPicPr>
                  <pic:blipFill>
                    <a:blip r:embed="rId25"/>
                    <a:stretch>
                      <a:fillRect/>
                    </a:stretch>
                  </pic:blipFill>
                  <pic:spPr>
                    <a:xfrm>
                      <a:off x="0" y="0"/>
                      <a:ext cx="5749925" cy="3973195"/>
                    </a:xfrm>
                    <a:prstGeom prst="rect">
                      <a:avLst/>
                    </a:prstGeom>
                    <a:noFill/>
                    <a:ln>
                      <a:noFill/>
                    </a:ln>
                  </pic:spPr>
                </pic:pic>
              </a:graphicData>
            </a:graphic>
          </wp:inline>
        </w:drawing>
      </w:r>
    </w:p>
    <w:p>
      <w:pPr>
        <w:rPr>
          <w:rFonts w:ascii="宋体" w:hAnsi="宋体"/>
        </w:rPr>
      </w:pPr>
    </w:p>
    <w:p>
      <w:pPr>
        <w:ind w:firstLine="420" w:firstLineChars="200"/>
        <w:rPr>
          <w:rFonts w:hint="eastAsia" w:ascii="宋体" w:hAnsi="宋体"/>
          <w:szCs w:val="21"/>
        </w:rPr>
      </w:pPr>
      <w:r>
        <w:rPr>
          <w:rFonts w:ascii="宋体" w:hAnsi="宋体"/>
        </w:rPr>
        <w:br w:type="page"/>
      </w:r>
      <w:r>
        <w:rPr>
          <w:rFonts w:hint="eastAsia" w:ascii="宋体" w:hAnsi="宋体"/>
          <w:szCs w:val="21"/>
        </w:rPr>
        <w:t>技术要求：</w:t>
      </w:r>
    </w:p>
    <w:p>
      <w:pPr>
        <w:rPr>
          <w:rFonts w:ascii="宋体" w:hAnsi="宋体"/>
        </w:rPr>
      </w:pPr>
      <w:r>
        <w:rPr>
          <w:rFonts w:ascii="宋体" w:hAnsi="宋体"/>
          <w:sz w:val="28"/>
          <w:szCs w:val="28"/>
          <w:lang/>
        </w:rPr>
        <w:drawing>
          <wp:inline distT="0" distB="0" distL="114300" distR="114300">
            <wp:extent cx="5262245" cy="1624965"/>
            <wp:effectExtent l="0" t="0" r="14605" b="13335"/>
            <wp:docPr id="31" name="图片 9" descr="说明: C:\Users\Administrator\Desktop\船桨护栏CAD定稿\800\800表格.jpg800表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descr="说明: C:\Users\Administrator\Desktop\船桨护栏CAD定稿\800\800表格.jpg800表格"/>
                    <pic:cNvPicPr>
                      <a:picLocks noChangeAspect="1"/>
                    </pic:cNvPicPr>
                  </pic:nvPicPr>
                  <pic:blipFill>
                    <a:blip r:embed="rId26"/>
                    <a:stretch>
                      <a:fillRect/>
                    </a:stretch>
                  </pic:blipFill>
                  <pic:spPr>
                    <a:xfrm>
                      <a:off x="0" y="0"/>
                      <a:ext cx="5262245" cy="162496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（a）具体规格、尺寸按照上图所示；</w:t>
      </w:r>
    </w:p>
    <w:p>
      <w:pPr>
        <w:ind w:firstLine="420" w:firstLineChars="200"/>
        <w:rPr>
          <w:rFonts w:ascii="宋体" w:hAnsi="宋体"/>
          <w:szCs w:val="21"/>
        </w:rPr>
      </w:pPr>
      <w:r>
        <w:rPr>
          <w:rFonts w:hint="eastAsia" w:ascii="宋体" w:hAnsi="宋体"/>
          <w:szCs w:val="21"/>
        </w:rPr>
        <w:t>（b）制作前要求各单体平整，并除去毛刺锈迹；</w:t>
      </w:r>
    </w:p>
    <w:p>
      <w:pPr>
        <w:ind w:firstLine="420" w:firstLineChars="200"/>
        <w:rPr>
          <w:rFonts w:ascii="宋体" w:hAnsi="宋体"/>
          <w:szCs w:val="21"/>
        </w:rPr>
      </w:pPr>
      <w:r>
        <w:rPr>
          <w:rFonts w:hint="eastAsia" w:ascii="宋体" w:hAnsi="宋体"/>
          <w:szCs w:val="21"/>
        </w:rPr>
        <w:t>（c）焊接部位要求焊接缝过渡圆滑，无夹渣，虚焊，气孔等缺陷；</w:t>
      </w:r>
    </w:p>
    <w:p>
      <w:pPr>
        <w:ind w:firstLine="420" w:firstLineChars="200"/>
        <w:rPr>
          <w:rFonts w:ascii="宋体" w:hAnsi="宋体"/>
          <w:szCs w:val="21"/>
        </w:rPr>
      </w:pPr>
      <w:r>
        <w:rPr>
          <w:rFonts w:hint="eastAsia" w:ascii="宋体" w:hAnsi="宋体"/>
          <w:szCs w:val="21"/>
        </w:rPr>
        <w:t>（d）构件焊毕修整后，整体曲翘度不得大于8MM；</w:t>
      </w:r>
    </w:p>
    <w:p>
      <w:pPr>
        <w:ind w:firstLine="420" w:firstLineChars="200"/>
        <w:rPr>
          <w:rFonts w:ascii="宋体" w:hAnsi="宋体"/>
          <w:szCs w:val="21"/>
        </w:rPr>
      </w:pPr>
      <w:r>
        <w:rPr>
          <w:rFonts w:hint="eastAsia" w:ascii="宋体" w:hAnsi="宋体"/>
          <w:szCs w:val="21"/>
        </w:rPr>
        <w:t>（e）工艺必须符合国家标准GB18704-2002；</w:t>
      </w:r>
    </w:p>
    <w:p>
      <w:pPr>
        <w:ind w:firstLine="420" w:firstLineChars="200"/>
        <w:rPr>
          <w:rFonts w:ascii="宋体" w:hAnsi="宋体"/>
          <w:szCs w:val="21"/>
        </w:rPr>
      </w:pPr>
      <w:r>
        <w:rPr>
          <w:rFonts w:hint="eastAsia" w:ascii="宋体" w:hAnsi="宋体"/>
          <w:szCs w:val="21"/>
        </w:rPr>
        <w:t>（f）护栏整体热镀锌，再进行静电喷涂处理。单立柱要求安装四个反光标（尺寸以图纸为主）；</w:t>
      </w:r>
    </w:p>
    <w:p>
      <w:pPr>
        <w:ind w:firstLine="420" w:firstLineChars="200"/>
        <w:rPr>
          <w:rFonts w:ascii="宋体" w:hAnsi="宋体"/>
          <w:szCs w:val="21"/>
        </w:rPr>
      </w:pPr>
      <w:r>
        <w:rPr>
          <w:rFonts w:hint="eastAsia" w:ascii="宋体" w:hAnsi="宋体"/>
          <w:szCs w:val="21"/>
        </w:rPr>
        <w:t>（g）护栏钢制部分表面处理采用静电粉末喷涂工艺，第一层涂料为环氧富锌粉末喷涂，第二层涂料为聚酯户外、耐候性粉末喷涂（国际灰颜色：灰色RAL7015），表面涂层平滑、无凹坑、无滴漏、不露青、变色和泛色；</w:t>
      </w:r>
    </w:p>
    <w:p>
      <w:pPr>
        <w:ind w:firstLine="420" w:firstLineChars="200"/>
        <w:rPr>
          <w:rFonts w:hint="eastAsia" w:ascii="宋体" w:hAnsi="宋体"/>
          <w:szCs w:val="21"/>
        </w:rPr>
      </w:pPr>
      <w:r>
        <w:rPr>
          <w:rFonts w:hint="eastAsia" w:ascii="宋体" w:hAnsi="宋体"/>
          <w:szCs w:val="21"/>
        </w:rPr>
        <w:t>（h）立柱下部采用钢板法兰构成一体。与地面连接采用4个长10×100mm膨胀螺钉固定。立柱盖板采用方形圆角一体成型工艺。</w:t>
      </w:r>
    </w:p>
    <w:p>
      <w:pPr>
        <w:rPr>
          <w:rFonts w:hint="eastAsia" w:ascii="宋体" w:hAnsi="宋体"/>
          <w:lang/>
        </w:rPr>
      </w:pPr>
      <w:r>
        <w:rPr>
          <w:rFonts w:ascii="宋体" w:hAnsi="宋体"/>
          <w:lang/>
        </w:rPr>
        <w:drawing>
          <wp:inline distT="0" distB="0" distL="114300" distR="114300">
            <wp:extent cx="5267960" cy="3554730"/>
            <wp:effectExtent l="0" t="0" r="8890" b="7620"/>
            <wp:docPr id="32" name="图片 13" descr="C:\Users\admin\Desktop\lADPDgtYwfRZQ0PNB33NCxk_2841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descr="C:\Users\admin\Desktop\lADPDgtYwfRZQ0PNB33NCxk_2841_1917.jpg"/>
                    <pic:cNvPicPr>
                      <a:picLocks noChangeAspect="1"/>
                    </pic:cNvPicPr>
                  </pic:nvPicPr>
                  <pic:blipFill>
                    <a:blip r:embed="rId27"/>
                    <a:stretch>
                      <a:fillRect/>
                    </a:stretch>
                  </pic:blipFill>
                  <pic:spPr>
                    <a:xfrm>
                      <a:off x="0" y="0"/>
                      <a:ext cx="5267960" cy="3554730"/>
                    </a:xfrm>
                    <a:prstGeom prst="rect">
                      <a:avLst/>
                    </a:prstGeom>
                    <a:noFill/>
                    <a:ln>
                      <a:noFill/>
                    </a:ln>
                  </pic:spPr>
                </pic:pic>
              </a:graphicData>
            </a:graphic>
          </wp:inline>
        </w:drawing>
      </w:r>
    </w:p>
    <w:p>
      <w:pPr>
        <w:ind w:firstLine="420" w:firstLineChars="200"/>
        <w:rPr>
          <w:rFonts w:hint="eastAsia" w:ascii="宋体" w:hAnsi="宋体"/>
          <w:lang/>
        </w:rPr>
      </w:pPr>
    </w:p>
    <w:p>
      <w:pPr>
        <w:ind w:firstLine="420" w:firstLineChars="200"/>
        <w:rPr>
          <w:rFonts w:ascii="宋体" w:hAnsi="宋体"/>
          <w:b/>
          <w:bCs/>
          <w:szCs w:val="21"/>
        </w:rPr>
      </w:pPr>
      <w:r>
        <w:rPr>
          <w:rFonts w:ascii="宋体" w:hAnsi="宋体"/>
        </w:rPr>
        <w:br w:type="page"/>
      </w:r>
      <w:r>
        <w:rPr>
          <w:rFonts w:hint="eastAsia" w:ascii="宋体" w:hAnsi="宋体"/>
          <w:b/>
          <w:bCs/>
          <w:szCs w:val="21"/>
        </w:rPr>
        <w:t>（2）</w:t>
      </w:r>
      <w:r>
        <w:rPr>
          <w:rFonts w:ascii="宋体" w:hAnsi="宋体"/>
          <w:b/>
          <w:bCs/>
          <w:szCs w:val="21"/>
        </w:rPr>
        <w:t>1100</w:t>
      </w:r>
      <w:r>
        <w:rPr>
          <w:rFonts w:hint="eastAsia" w:ascii="宋体" w:hAnsi="宋体"/>
          <w:b/>
          <w:bCs/>
          <w:szCs w:val="21"/>
        </w:rPr>
        <w:t>cm船桨式镀锌钢静电喷涂护栏（整体热镀锌）</w:t>
      </w:r>
    </w:p>
    <w:p>
      <w:pPr>
        <w:ind w:firstLine="420" w:firstLineChars="200"/>
        <w:rPr>
          <w:rFonts w:hint="eastAsia" w:ascii="宋体" w:hAnsi="宋体"/>
          <w:szCs w:val="21"/>
        </w:rPr>
      </w:pPr>
      <w:r>
        <w:rPr>
          <w:rFonts w:hint="eastAsia" w:ascii="宋体" w:hAnsi="宋体"/>
          <w:szCs w:val="21"/>
        </w:rPr>
        <w:t>规格要求</w:t>
      </w:r>
    </w:p>
    <w:p>
      <w:pPr>
        <w:rPr>
          <w:rFonts w:ascii="宋体" w:hAnsi="宋体"/>
          <w:lang/>
        </w:rPr>
      </w:pPr>
      <w:r>
        <w:rPr>
          <w:rFonts w:ascii="宋体" w:hAnsi="宋体"/>
          <w:sz w:val="28"/>
          <w:szCs w:val="28"/>
          <w:lang/>
        </w:rPr>
        <w:drawing>
          <wp:inline distT="0" distB="0" distL="114300" distR="114300">
            <wp:extent cx="5796280" cy="4010660"/>
            <wp:effectExtent l="0" t="0" r="13970" b="8890"/>
            <wp:docPr id="33" name="图片 1" descr="说明: 船桨护栏CAD定稿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说明: 船桨护栏CAD定稿1-Model"/>
                    <pic:cNvPicPr>
                      <a:picLocks noChangeAspect="1"/>
                    </pic:cNvPicPr>
                  </pic:nvPicPr>
                  <pic:blipFill>
                    <a:blip r:embed="rId28"/>
                    <a:stretch>
                      <a:fillRect/>
                    </a:stretch>
                  </pic:blipFill>
                  <pic:spPr>
                    <a:xfrm>
                      <a:off x="0" y="0"/>
                      <a:ext cx="5796280" cy="4010660"/>
                    </a:xfrm>
                    <a:prstGeom prst="rect">
                      <a:avLst/>
                    </a:prstGeom>
                    <a:noFill/>
                    <a:ln>
                      <a:noFill/>
                    </a:ln>
                  </pic:spPr>
                </pic:pic>
              </a:graphicData>
            </a:graphic>
          </wp:inline>
        </w:drawing>
      </w:r>
    </w:p>
    <w:p>
      <w:pPr>
        <w:ind w:firstLine="420" w:firstLineChars="200"/>
        <w:rPr>
          <w:rFonts w:hint="eastAsia" w:ascii="宋体" w:hAnsi="宋体"/>
          <w:lang/>
        </w:rPr>
      </w:pPr>
    </w:p>
    <w:p>
      <w:pPr>
        <w:rPr>
          <w:rFonts w:hint="eastAsia" w:ascii="宋体" w:hAnsi="宋体"/>
          <w:lang/>
        </w:rPr>
      </w:pPr>
      <w:r>
        <w:rPr>
          <w:rFonts w:ascii="宋体" w:hAnsi="宋体"/>
          <w:sz w:val="28"/>
          <w:szCs w:val="28"/>
          <w:lang/>
        </w:rPr>
        <w:drawing>
          <wp:inline distT="0" distB="0" distL="114300" distR="114300">
            <wp:extent cx="5819140" cy="4077970"/>
            <wp:effectExtent l="0" t="0" r="10160" b="17780"/>
            <wp:docPr id="34" name="图片 4" descr="说明: 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说明: 船桨护栏CAD定稿2-Model"/>
                    <pic:cNvPicPr>
                      <a:picLocks noChangeAspect="1"/>
                    </pic:cNvPicPr>
                  </pic:nvPicPr>
                  <pic:blipFill>
                    <a:blip r:embed="rId29"/>
                    <a:stretch>
                      <a:fillRect/>
                    </a:stretch>
                  </pic:blipFill>
                  <pic:spPr>
                    <a:xfrm>
                      <a:off x="0" y="0"/>
                      <a:ext cx="5819140" cy="4077970"/>
                    </a:xfrm>
                    <a:prstGeom prst="rect">
                      <a:avLst/>
                    </a:prstGeom>
                    <a:noFill/>
                    <a:ln>
                      <a:noFill/>
                    </a:ln>
                  </pic:spPr>
                </pic:pic>
              </a:graphicData>
            </a:graphic>
          </wp:inline>
        </w:drawing>
      </w:r>
    </w:p>
    <w:p>
      <w:pPr>
        <w:rPr>
          <w:rFonts w:ascii="宋体" w:hAnsi="宋体"/>
          <w:lang/>
        </w:rPr>
      </w:pPr>
      <w:r>
        <w:rPr>
          <w:rFonts w:ascii="宋体" w:hAnsi="宋体"/>
          <w:sz w:val="28"/>
          <w:szCs w:val="28"/>
          <w:lang/>
        </w:rPr>
        <w:drawing>
          <wp:inline distT="0" distB="0" distL="114300" distR="114300">
            <wp:extent cx="5744845" cy="3981450"/>
            <wp:effectExtent l="0" t="0" r="8255" b="0"/>
            <wp:docPr id="35" name="图片 5" descr="说明: 船桨护栏CAD定稿3-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descr="说明: 船桨护栏CAD定稿3-Model"/>
                    <pic:cNvPicPr>
                      <a:picLocks noChangeAspect="1"/>
                    </pic:cNvPicPr>
                  </pic:nvPicPr>
                  <pic:blipFill>
                    <a:blip r:embed="rId30"/>
                    <a:stretch>
                      <a:fillRect/>
                    </a:stretch>
                  </pic:blipFill>
                  <pic:spPr>
                    <a:xfrm>
                      <a:off x="0" y="0"/>
                      <a:ext cx="5744845" cy="3981450"/>
                    </a:xfrm>
                    <a:prstGeom prst="rect">
                      <a:avLst/>
                    </a:prstGeom>
                    <a:noFill/>
                    <a:ln>
                      <a:noFill/>
                    </a:ln>
                  </pic:spPr>
                </pic:pic>
              </a:graphicData>
            </a:graphic>
          </wp:inline>
        </w:drawing>
      </w:r>
    </w:p>
    <w:p>
      <w:pPr>
        <w:ind w:firstLine="420" w:firstLineChars="200"/>
        <w:rPr>
          <w:rFonts w:hint="eastAsia" w:ascii="宋体" w:hAnsi="宋体"/>
          <w:lang/>
        </w:rPr>
      </w:pPr>
    </w:p>
    <w:p>
      <w:pPr>
        <w:rPr>
          <w:rFonts w:hint="eastAsia" w:ascii="宋体" w:hAnsi="宋体"/>
          <w:lang/>
        </w:rPr>
      </w:pPr>
      <w:r>
        <w:rPr>
          <w:rFonts w:ascii="宋体" w:hAnsi="宋体"/>
          <w:sz w:val="28"/>
          <w:szCs w:val="28"/>
          <w:lang/>
        </w:rPr>
        <w:drawing>
          <wp:inline distT="0" distB="0" distL="114300" distR="114300">
            <wp:extent cx="5729605" cy="3965575"/>
            <wp:effectExtent l="0" t="0" r="4445" b="15875"/>
            <wp:docPr id="36" name="图片 6" descr="说明: 船桨护栏CAD定稿4-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descr="说明: 船桨护栏CAD定稿4-Model"/>
                    <pic:cNvPicPr>
                      <a:picLocks noChangeAspect="1"/>
                    </pic:cNvPicPr>
                  </pic:nvPicPr>
                  <pic:blipFill>
                    <a:blip r:embed="rId31"/>
                    <a:stretch>
                      <a:fillRect/>
                    </a:stretch>
                  </pic:blipFill>
                  <pic:spPr>
                    <a:xfrm>
                      <a:off x="0" y="0"/>
                      <a:ext cx="5729605" cy="3965575"/>
                    </a:xfrm>
                    <a:prstGeom prst="rect">
                      <a:avLst/>
                    </a:prstGeom>
                    <a:noFill/>
                    <a:ln>
                      <a:noFill/>
                    </a:ln>
                  </pic:spPr>
                </pic:pic>
              </a:graphicData>
            </a:graphic>
          </wp:inline>
        </w:drawing>
      </w:r>
    </w:p>
    <w:p>
      <w:pPr>
        <w:rPr>
          <w:rFonts w:hint="eastAsia" w:ascii="宋体" w:hAnsi="宋体"/>
          <w:lang/>
        </w:rPr>
      </w:pPr>
      <w:r>
        <w:rPr>
          <w:rFonts w:ascii="宋体" w:hAnsi="宋体"/>
          <w:sz w:val="28"/>
          <w:szCs w:val="28"/>
          <w:lang/>
        </w:rPr>
        <w:drawing>
          <wp:inline distT="0" distB="0" distL="114300" distR="114300">
            <wp:extent cx="5739765" cy="3968115"/>
            <wp:effectExtent l="0" t="0" r="13335" b="13335"/>
            <wp:docPr id="37" name="图片 7" descr="说明: 船桨护栏CAD定稿5-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说明: 船桨护栏CAD定稿5-Model"/>
                    <pic:cNvPicPr>
                      <a:picLocks noChangeAspect="1"/>
                    </pic:cNvPicPr>
                  </pic:nvPicPr>
                  <pic:blipFill>
                    <a:blip r:embed="rId32"/>
                    <a:stretch>
                      <a:fillRect/>
                    </a:stretch>
                  </pic:blipFill>
                  <pic:spPr>
                    <a:xfrm>
                      <a:off x="0" y="0"/>
                      <a:ext cx="5739765" cy="3968115"/>
                    </a:xfrm>
                    <a:prstGeom prst="rect">
                      <a:avLst/>
                    </a:prstGeom>
                    <a:noFill/>
                    <a:ln>
                      <a:noFill/>
                    </a:ln>
                  </pic:spPr>
                </pic:pic>
              </a:graphicData>
            </a:graphic>
          </wp:inline>
        </w:drawing>
      </w:r>
    </w:p>
    <w:p>
      <w:pPr>
        <w:rPr>
          <w:rFonts w:hint="eastAsia" w:ascii="宋体" w:hAnsi="宋体"/>
          <w:lang w:val="zh-CN"/>
        </w:rPr>
      </w:pPr>
      <w:r>
        <w:rPr>
          <w:rFonts w:ascii="宋体" w:hAnsi="宋体"/>
          <w:sz w:val="28"/>
          <w:szCs w:val="28"/>
          <w:lang/>
        </w:rPr>
        <w:drawing>
          <wp:inline distT="0" distB="0" distL="114300" distR="114300">
            <wp:extent cx="5678170" cy="1753235"/>
            <wp:effectExtent l="0" t="0" r="17780" b="18415"/>
            <wp:docPr id="38" name="图片 9" descr="说明: 表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说明: 表格"/>
                    <pic:cNvPicPr>
                      <a:picLocks noChangeAspect="1"/>
                    </pic:cNvPicPr>
                  </pic:nvPicPr>
                  <pic:blipFill>
                    <a:blip r:embed="rId33"/>
                    <a:stretch>
                      <a:fillRect/>
                    </a:stretch>
                  </pic:blipFill>
                  <pic:spPr>
                    <a:xfrm>
                      <a:off x="0" y="0"/>
                      <a:ext cx="5678170" cy="175323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技术要求：</w:t>
      </w:r>
    </w:p>
    <w:p>
      <w:pPr>
        <w:ind w:firstLine="420" w:firstLineChars="200"/>
        <w:rPr>
          <w:rFonts w:ascii="宋体" w:hAnsi="宋体"/>
          <w:szCs w:val="21"/>
        </w:rPr>
      </w:pPr>
      <w:r>
        <w:rPr>
          <w:rFonts w:hint="eastAsia" w:ascii="宋体" w:hAnsi="宋体"/>
          <w:szCs w:val="21"/>
        </w:rPr>
        <w:t>（a）具体规格、尺寸按照上图所示；</w:t>
      </w:r>
    </w:p>
    <w:p>
      <w:pPr>
        <w:ind w:firstLine="420" w:firstLineChars="200"/>
        <w:rPr>
          <w:rFonts w:ascii="宋体" w:hAnsi="宋体"/>
          <w:szCs w:val="21"/>
        </w:rPr>
      </w:pPr>
      <w:r>
        <w:rPr>
          <w:rFonts w:hint="eastAsia" w:ascii="宋体" w:hAnsi="宋体"/>
          <w:szCs w:val="21"/>
        </w:rPr>
        <w:t>（b）制作前要求各单体平整，并除去毛刺锈迹；</w:t>
      </w:r>
    </w:p>
    <w:p>
      <w:pPr>
        <w:ind w:firstLine="420" w:firstLineChars="200"/>
        <w:rPr>
          <w:rFonts w:ascii="宋体" w:hAnsi="宋体"/>
          <w:szCs w:val="21"/>
        </w:rPr>
      </w:pPr>
      <w:r>
        <w:rPr>
          <w:rFonts w:hint="eastAsia" w:ascii="宋体" w:hAnsi="宋体"/>
          <w:szCs w:val="21"/>
        </w:rPr>
        <w:t>（c）焊接部位要求焊接缝过渡圆滑，无夹渣，虚焊，气孔等缺陷；</w:t>
      </w:r>
    </w:p>
    <w:p>
      <w:pPr>
        <w:ind w:firstLine="420" w:firstLineChars="200"/>
        <w:rPr>
          <w:rFonts w:ascii="宋体" w:hAnsi="宋体"/>
          <w:szCs w:val="21"/>
        </w:rPr>
      </w:pPr>
      <w:r>
        <w:rPr>
          <w:rFonts w:hint="eastAsia" w:ascii="宋体" w:hAnsi="宋体"/>
          <w:szCs w:val="21"/>
        </w:rPr>
        <w:t>（d）构件焊毕修整后，整体曲翘度不得大于8MM；</w:t>
      </w:r>
    </w:p>
    <w:p>
      <w:pPr>
        <w:ind w:firstLine="420" w:firstLineChars="200"/>
        <w:rPr>
          <w:rFonts w:ascii="宋体" w:hAnsi="宋体"/>
          <w:szCs w:val="21"/>
        </w:rPr>
      </w:pPr>
      <w:r>
        <w:rPr>
          <w:rFonts w:hint="eastAsia" w:ascii="宋体" w:hAnsi="宋体"/>
          <w:szCs w:val="21"/>
        </w:rPr>
        <w:t>（e）工艺必须符合国家标准GB18704-2002；</w:t>
      </w:r>
    </w:p>
    <w:p>
      <w:pPr>
        <w:ind w:firstLine="420" w:firstLineChars="200"/>
        <w:rPr>
          <w:rFonts w:ascii="宋体" w:hAnsi="宋体"/>
          <w:szCs w:val="21"/>
        </w:rPr>
      </w:pPr>
      <w:r>
        <w:rPr>
          <w:rFonts w:hint="eastAsia" w:ascii="宋体" w:hAnsi="宋体"/>
          <w:szCs w:val="21"/>
        </w:rPr>
        <w:t>（f）护栏整体热镀锌，再进行静电喷涂处理。单立柱要求安装四个反光标（尺寸以图纸为主）；</w:t>
      </w:r>
    </w:p>
    <w:p>
      <w:pPr>
        <w:ind w:firstLine="420" w:firstLineChars="200"/>
        <w:rPr>
          <w:rFonts w:ascii="宋体" w:hAnsi="宋体"/>
          <w:szCs w:val="21"/>
        </w:rPr>
      </w:pPr>
      <w:r>
        <w:rPr>
          <w:rFonts w:hint="eastAsia" w:ascii="宋体" w:hAnsi="宋体"/>
          <w:szCs w:val="21"/>
        </w:rPr>
        <w:t>（g）护栏钢制部分表面处理采用静电粉末喷涂工艺，第一层涂料为环氧富锌粉末喷涂，第二层涂料为聚酯户外、耐候性粉末喷涂（国际灰颜色：灰色RAL7015），表面涂层平滑、无凹坑、无滴漏、不露青、变色和泛色；</w:t>
      </w:r>
    </w:p>
    <w:p>
      <w:pPr>
        <w:ind w:firstLine="420" w:firstLineChars="200"/>
        <w:rPr>
          <w:rFonts w:hint="eastAsia" w:ascii="宋体" w:hAnsi="宋体"/>
          <w:szCs w:val="21"/>
        </w:rPr>
      </w:pPr>
      <w:r>
        <w:rPr>
          <w:rFonts w:hint="eastAsia" w:ascii="宋体" w:hAnsi="宋体"/>
          <w:szCs w:val="21"/>
        </w:rPr>
        <w:t>（h）立柱下部采用钢板法兰构成一体。与地面连接采用4个长10×100mm膨胀螺钉固定。立柱盖板采用方形圆角一体成型工艺。</w:t>
      </w:r>
    </w:p>
    <w:p>
      <w:pPr>
        <w:ind w:firstLine="422" w:firstLineChars="200"/>
        <w:rPr>
          <w:rFonts w:hint="eastAsia" w:ascii="宋体" w:hAnsi="宋体"/>
          <w:b/>
          <w:bCs/>
          <w:szCs w:val="21"/>
        </w:rPr>
      </w:pPr>
      <w:r>
        <w:rPr>
          <w:rFonts w:hint="eastAsia" w:ascii="宋体" w:hAnsi="宋体"/>
          <w:b/>
          <w:bCs/>
          <w:szCs w:val="21"/>
        </w:rPr>
        <w:t>6、护栏端头警示柱（弹性防撞柱）</w:t>
      </w:r>
    </w:p>
    <w:p>
      <w:pPr>
        <w:ind w:firstLine="422" w:firstLineChars="200"/>
        <w:rPr>
          <w:rFonts w:ascii="宋体" w:hAnsi="宋体"/>
          <w:b/>
          <w:bCs/>
          <w:szCs w:val="21"/>
        </w:rPr>
      </w:pPr>
      <w:r>
        <w:rPr>
          <w:rFonts w:hint="eastAsia" w:ascii="宋体" w:hAnsi="宋体"/>
          <w:b/>
          <w:bCs/>
          <w:szCs w:val="21"/>
        </w:rPr>
        <w:t>（1）D13-H80弹性防撞柱：</w:t>
      </w:r>
    </w:p>
    <w:p>
      <w:pPr>
        <w:ind w:firstLine="422" w:firstLineChars="200"/>
        <w:rPr>
          <w:rFonts w:ascii="宋体" w:hAnsi="宋体"/>
          <w:b/>
          <w:bCs/>
          <w:szCs w:val="21"/>
        </w:rPr>
      </w:pPr>
      <w:r>
        <w:rPr>
          <w:rFonts w:hint="eastAsia" w:ascii="宋体" w:hAnsi="宋体"/>
          <w:b/>
          <w:bCs/>
          <w:szCs w:val="21"/>
        </w:rPr>
        <w:t>规格要求：</w:t>
      </w:r>
    </w:p>
    <w:tbl>
      <w:tblPr>
        <w:tblStyle w:val="53"/>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3"/>
        <w:gridCol w:w="1555"/>
        <w:gridCol w:w="1442"/>
        <w:gridCol w:w="1835"/>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8" w:hRule="atLeast"/>
        </w:trPr>
        <w:tc>
          <w:tcPr>
            <w:tcW w:w="2413" w:type="dxa"/>
            <w:noWrap w:val="0"/>
            <w:vAlign w:val="center"/>
          </w:tcPr>
          <w:p>
            <w:pPr>
              <w:spacing w:after="60" w:afterLines="25" w:line="360" w:lineRule="exact"/>
              <w:jc w:val="center"/>
              <w:rPr>
                <w:rFonts w:ascii="宋体" w:hAnsi="宋体"/>
              </w:rPr>
            </w:pPr>
            <w:r>
              <w:rPr>
                <w:rFonts w:hint="eastAsia" w:ascii="宋体" w:hAnsi="宋体"/>
              </w:rPr>
              <w:t>型号</w:t>
            </w:r>
          </w:p>
        </w:tc>
        <w:tc>
          <w:tcPr>
            <w:tcW w:w="1555" w:type="dxa"/>
            <w:noWrap w:val="0"/>
            <w:vAlign w:val="center"/>
          </w:tcPr>
          <w:p>
            <w:pPr>
              <w:spacing w:after="60" w:afterLines="25" w:line="360" w:lineRule="exact"/>
              <w:jc w:val="center"/>
              <w:rPr>
                <w:rFonts w:hint="eastAsia" w:ascii="宋体" w:hAnsi="宋体"/>
              </w:rPr>
            </w:pPr>
            <w:r>
              <w:rPr>
                <w:rFonts w:hint="eastAsia" w:ascii="宋体" w:hAnsi="宋体"/>
              </w:rPr>
              <w:t>高度</w:t>
            </w:r>
          </w:p>
        </w:tc>
        <w:tc>
          <w:tcPr>
            <w:tcW w:w="1442" w:type="dxa"/>
            <w:noWrap w:val="0"/>
            <w:vAlign w:val="center"/>
          </w:tcPr>
          <w:p>
            <w:pPr>
              <w:spacing w:after="60" w:afterLines="25" w:line="360" w:lineRule="exact"/>
              <w:jc w:val="center"/>
              <w:rPr>
                <w:rFonts w:ascii="宋体" w:hAnsi="宋体"/>
              </w:rPr>
            </w:pPr>
            <w:r>
              <w:rPr>
                <w:rFonts w:hint="eastAsia" w:ascii="宋体" w:hAnsi="宋体"/>
              </w:rPr>
              <w:t>柱径</w:t>
            </w:r>
          </w:p>
        </w:tc>
        <w:tc>
          <w:tcPr>
            <w:tcW w:w="1835" w:type="dxa"/>
            <w:noWrap w:val="0"/>
            <w:vAlign w:val="center"/>
          </w:tcPr>
          <w:p>
            <w:pPr>
              <w:spacing w:after="60" w:afterLines="25" w:line="360" w:lineRule="exact"/>
              <w:jc w:val="center"/>
              <w:rPr>
                <w:rFonts w:ascii="宋体" w:hAnsi="宋体"/>
              </w:rPr>
            </w:pPr>
            <w:r>
              <w:rPr>
                <w:rFonts w:hint="eastAsia" w:ascii="宋体" w:hAnsi="宋体"/>
              </w:rPr>
              <w:t>反光膜尺寸</w:t>
            </w:r>
          </w:p>
        </w:tc>
        <w:tc>
          <w:tcPr>
            <w:tcW w:w="1544" w:type="dxa"/>
            <w:noWrap w:val="0"/>
            <w:vAlign w:val="center"/>
          </w:tcPr>
          <w:p>
            <w:pPr>
              <w:spacing w:after="60" w:afterLines="25" w:line="360" w:lineRule="exact"/>
              <w:jc w:val="center"/>
              <w:rPr>
                <w:rFonts w:ascii="宋体" w:hAnsi="宋体"/>
              </w:rPr>
            </w:pPr>
            <w:r>
              <w:rPr>
                <w:rFonts w:hint="eastAsia" w:ascii="宋体" w:hAnsi="宋体"/>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2" w:hRule="atLeast"/>
        </w:trPr>
        <w:tc>
          <w:tcPr>
            <w:tcW w:w="2413" w:type="dxa"/>
            <w:noWrap w:val="0"/>
            <w:vAlign w:val="center"/>
          </w:tcPr>
          <w:p>
            <w:pPr>
              <w:spacing w:after="60" w:afterLines="25" w:line="360" w:lineRule="exact"/>
              <w:jc w:val="center"/>
              <w:rPr>
                <w:rFonts w:ascii="宋体" w:hAnsi="宋体"/>
              </w:rPr>
            </w:pPr>
            <w:r>
              <w:rPr>
                <w:rFonts w:hint="eastAsia" w:ascii="宋体" w:hAnsi="宋体"/>
              </w:rPr>
              <w:t>D13-H80</w:t>
            </w:r>
          </w:p>
        </w:tc>
        <w:tc>
          <w:tcPr>
            <w:tcW w:w="1555" w:type="dxa"/>
            <w:noWrap w:val="0"/>
            <w:vAlign w:val="center"/>
          </w:tcPr>
          <w:p>
            <w:pPr>
              <w:spacing w:after="60" w:afterLines="25" w:line="360" w:lineRule="exact"/>
              <w:jc w:val="center"/>
              <w:rPr>
                <w:rFonts w:ascii="宋体" w:hAnsi="宋体"/>
              </w:rPr>
            </w:pPr>
            <w:r>
              <w:rPr>
                <w:rFonts w:hint="eastAsia" w:ascii="宋体" w:hAnsi="宋体"/>
              </w:rPr>
              <w:t>80CM</w:t>
            </w:r>
          </w:p>
        </w:tc>
        <w:tc>
          <w:tcPr>
            <w:tcW w:w="1442" w:type="dxa"/>
            <w:noWrap w:val="0"/>
            <w:vAlign w:val="center"/>
          </w:tcPr>
          <w:p>
            <w:pPr>
              <w:spacing w:after="60" w:afterLines="25" w:line="360" w:lineRule="exact"/>
              <w:jc w:val="center"/>
              <w:rPr>
                <w:rFonts w:ascii="宋体" w:hAnsi="宋体"/>
              </w:rPr>
            </w:pPr>
            <w:r>
              <w:rPr>
                <w:rFonts w:hint="eastAsia" w:ascii="宋体" w:hAnsi="宋体"/>
              </w:rPr>
              <w:t>13CM</w:t>
            </w:r>
          </w:p>
        </w:tc>
        <w:tc>
          <w:tcPr>
            <w:tcW w:w="1835" w:type="dxa"/>
            <w:noWrap w:val="0"/>
            <w:vAlign w:val="center"/>
          </w:tcPr>
          <w:p>
            <w:pPr>
              <w:spacing w:after="60" w:afterLines="25" w:line="360" w:lineRule="exact"/>
              <w:jc w:val="center"/>
              <w:rPr>
                <w:rFonts w:ascii="宋体" w:hAnsi="宋体"/>
              </w:rPr>
            </w:pPr>
            <w:r>
              <w:rPr>
                <w:rFonts w:hint="eastAsia" w:ascii="宋体" w:hAnsi="宋体"/>
              </w:rPr>
              <w:t>20CM×2条</w:t>
            </w:r>
          </w:p>
        </w:tc>
        <w:tc>
          <w:tcPr>
            <w:tcW w:w="1544" w:type="dxa"/>
            <w:noWrap w:val="0"/>
            <w:vAlign w:val="center"/>
          </w:tcPr>
          <w:p>
            <w:pPr>
              <w:spacing w:after="60" w:afterLines="25" w:line="360" w:lineRule="exact"/>
              <w:jc w:val="center"/>
              <w:rPr>
                <w:rFonts w:ascii="宋体" w:hAnsi="宋体"/>
              </w:rPr>
            </w:pPr>
            <w:r>
              <w:rPr>
                <w:rFonts w:hint="eastAsia" w:ascii="宋体" w:hAnsi="宋体"/>
              </w:rPr>
              <w:t>2.0KG</w:t>
            </w:r>
          </w:p>
        </w:tc>
      </w:tr>
    </w:tbl>
    <w:p>
      <w:pPr>
        <w:ind w:firstLine="420" w:firstLineChars="200"/>
        <w:rPr>
          <w:rFonts w:ascii="宋体" w:hAnsi="宋体"/>
          <w:lang/>
        </w:rPr>
      </w:pPr>
    </w:p>
    <w:p>
      <w:pPr>
        <w:rPr>
          <w:rFonts w:ascii="宋体" w:hAnsi="宋体"/>
        </w:rPr>
      </w:pPr>
      <w:r>
        <w:rPr>
          <w:rFonts w:ascii="宋体" w:hAnsi="宋体"/>
          <w:sz w:val="28"/>
          <w:szCs w:val="28"/>
          <w:lang/>
        </w:rPr>
        <w:drawing>
          <wp:inline distT="0" distB="0" distL="114300" distR="114300">
            <wp:extent cx="5627370" cy="3982085"/>
            <wp:effectExtent l="0" t="0" r="11430" b="18415"/>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4"/>
                    <a:stretch>
                      <a:fillRect/>
                    </a:stretch>
                  </pic:blipFill>
                  <pic:spPr>
                    <a:xfrm>
                      <a:off x="0" y="0"/>
                      <a:ext cx="5627370" cy="3982085"/>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技术指标：</w:t>
      </w:r>
    </w:p>
    <w:p>
      <w:pPr>
        <w:ind w:firstLine="420" w:firstLineChars="200"/>
        <w:rPr>
          <w:rFonts w:ascii="宋体" w:hAnsi="宋体"/>
          <w:szCs w:val="21"/>
        </w:rPr>
      </w:pPr>
      <w:r>
        <w:rPr>
          <w:rFonts w:hint="eastAsia" w:ascii="宋体" w:hAnsi="宋体"/>
          <w:szCs w:val="21"/>
        </w:rPr>
        <w:t>（a）采用全新TPU高性能材料制成，通体壁厚不小于3</w:t>
      </w:r>
      <w:r>
        <w:rPr>
          <w:rFonts w:ascii="宋体" w:hAnsi="宋体"/>
          <w:szCs w:val="21"/>
        </w:rPr>
        <w:t>.7</w:t>
      </w:r>
      <w:r>
        <w:rPr>
          <w:rFonts w:hint="eastAsia" w:ascii="宋体" w:hAnsi="宋体"/>
          <w:szCs w:val="21"/>
        </w:rPr>
        <w:t>mm；</w:t>
      </w:r>
    </w:p>
    <w:p>
      <w:pPr>
        <w:ind w:firstLine="420" w:firstLineChars="200"/>
        <w:rPr>
          <w:rFonts w:ascii="宋体" w:hAnsi="宋体"/>
          <w:szCs w:val="21"/>
        </w:rPr>
      </w:pPr>
      <w:r>
        <w:rPr>
          <w:rFonts w:hint="eastAsia" w:ascii="宋体" w:hAnsi="宋体"/>
          <w:szCs w:val="21"/>
        </w:rPr>
        <w:t>（b）抗撞击，车辆碾压后可回弹；</w:t>
      </w:r>
    </w:p>
    <w:p>
      <w:pPr>
        <w:ind w:firstLine="420" w:firstLineChars="200"/>
        <w:rPr>
          <w:rFonts w:ascii="宋体" w:hAnsi="宋体"/>
          <w:szCs w:val="21"/>
        </w:rPr>
      </w:pPr>
      <w:r>
        <w:rPr>
          <w:rFonts w:hint="eastAsia" w:ascii="宋体" w:hAnsi="宋体"/>
          <w:szCs w:val="21"/>
        </w:rPr>
        <w:t>（c）柱体保持2年以上不褪色；</w:t>
      </w:r>
    </w:p>
    <w:p>
      <w:pPr>
        <w:ind w:firstLine="420" w:firstLineChars="200"/>
        <w:rPr>
          <w:rFonts w:ascii="宋体" w:hAnsi="宋体"/>
          <w:szCs w:val="21"/>
        </w:rPr>
      </w:pPr>
      <w:r>
        <w:rPr>
          <w:rFonts w:hint="eastAsia" w:ascii="宋体" w:hAnsi="宋体"/>
          <w:szCs w:val="21"/>
        </w:rPr>
        <w:t>（d）柔性反光膜符合GB/T18833TypeⅣ类以上指标；</w:t>
      </w:r>
    </w:p>
    <w:p>
      <w:pPr>
        <w:ind w:firstLine="420" w:firstLineChars="200"/>
        <w:rPr>
          <w:rFonts w:ascii="宋体" w:hAnsi="宋体"/>
          <w:szCs w:val="21"/>
        </w:rPr>
      </w:pPr>
      <w:r>
        <w:rPr>
          <w:rFonts w:hint="eastAsia" w:ascii="宋体" w:hAnsi="宋体"/>
          <w:szCs w:val="21"/>
        </w:rPr>
        <w:t>（e）柱体底座预制安装螺丝M22；</w:t>
      </w:r>
    </w:p>
    <w:p>
      <w:pPr>
        <w:ind w:firstLine="420" w:firstLineChars="200"/>
        <w:rPr>
          <w:rFonts w:ascii="宋体" w:hAnsi="宋体"/>
          <w:szCs w:val="21"/>
        </w:rPr>
      </w:pPr>
      <w:r>
        <w:rPr>
          <w:rFonts w:hint="eastAsia" w:ascii="宋体" w:hAnsi="宋体"/>
          <w:szCs w:val="21"/>
        </w:rPr>
        <w:t>（f）使用温度范围-25–60℃.</w:t>
      </w:r>
    </w:p>
    <w:p>
      <w:pPr>
        <w:ind w:firstLine="422" w:firstLineChars="200"/>
        <w:rPr>
          <w:rFonts w:ascii="宋体" w:hAnsi="宋体"/>
          <w:b/>
          <w:bCs/>
          <w:szCs w:val="21"/>
        </w:rPr>
      </w:pPr>
      <w:r>
        <w:rPr>
          <w:rFonts w:hint="eastAsia" w:ascii="宋体" w:hAnsi="宋体"/>
          <w:b/>
          <w:bCs/>
          <w:szCs w:val="21"/>
        </w:rPr>
        <w:t>安装和使用：</w:t>
      </w:r>
    </w:p>
    <w:p>
      <w:pPr>
        <w:ind w:firstLine="420" w:firstLineChars="200"/>
        <w:rPr>
          <w:rFonts w:ascii="宋体" w:hAnsi="宋体"/>
          <w:szCs w:val="21"/>
        </w:rPr>
      </w:pPr>
      <w:r>
        <w:rPr>
          <w:rFonts w:hint="eastAsia" w:ascii="宋体" w:hAnsi="宋体"/>
          <w:szCs w:val="21"/>
        </w:rPr>
        <w:t>（a）地面钻孔，清理孔位；</w:t>
      </w:r>
    </w:p>
    <w:p>
      <w:pPr>
        <w:ind w:firstLine="420" w:firstLineChars="200"/>
        <w:rPr>
          <w:rFonts w:ascii="宋体" w:hAnsi="宋体"/>
          <w:szCs w:val="21"/>
        </w:rPr>
      </w:pPr>
      <w:r>
        <w:rPr>
          <w:rFonts w:hint="eastAsia" w:ascii="宋体" w:hAnsi="宋体"/>
          <w:szCs w:val="21"/>
        </w:rPr>
        <w:t>（b）灌注专用胶，埋设预埋件；</w:t>
      </w:r>
    </w:p>
    <w:p>
      <w:pPr>
        <w:ind w:firstLine="420" w:firstLineChars="200"/>
        <w:rPr>
          <w:rFonts w:ascii="宋体" w:hAnsi="宋体"/>
          <w:szCs w:val="21"/>
        </w:rPr>
      </w:pPr>
      <w:r>
        <w:rPr>
          <w:rFonts w:hint="eastAsia" w:ascii="宋体" w:hAnsi="宋体"/>
          <w:szCs w:val="21"/>
        </w:rPr>
        <w:t>（c）待胶水凝固以后，旋转柱体将内置螺丝拧入固定件。</w:t>
      </w:r>
    </w:p>
    <w:p>
      <w:pPr>
        <w:ind w:firstLine="422" w:firstLineChars="200"/>
        <w:rPr>
          <w:rFonts w:ascii="宋体" w:hAnsi="宋体"/>
          <w:b/>
          <w:bCs/>
          <w:szCs w:val="21"/>
        </w:rPr>
      </w:pPr>
      <w:r>
        <w:rPr>
          <w:rFonts w:hint="eastAsia" w:ascii="宋体" w:hAnsi="宋体"/>
          <w:b/>
          <w:bCs/>
          <w:szCs w:val="21"/>
        </w:rPr>
        <w:t>产品性能：</w:t>
      </w:r>
    </w:p>
    <w:p>
      <w:pPr>
        <w:ind w:firstLine="420" w:firstLineChars="200"/>
        <w:rPr>
          <w:rFonts w:ascii="宋体" w:hAnsi="宋体"/>
          <w:szCs w:val="21"/>
        </w:rPr>
      </w:pPr>
      <w:r>
        <w:rPr>
          <w:rFonts w:hint="eastAsia" w:ascii="宋体" w:hAnsi="宋体"/>
          <w:szCs w:val="21"/>
        </w:rPr>
        <w:t>采用优质TPU材料一次成型，适用于寒冷和炎热的环境.柱体在生产过程中内置螺丝，地面预先埋放固定镶件后，柱体旋转拧入，可以快速安装或者拆卸；</w:t>
      </w:r>
    </w:p>
    <w:p>
      <w:pPr>
        <w:ind w:firstLine="420" w:firstLineChars="200"/>
        <w:rPr>
          <w:rFonts w:ascii="宋体" w:hAnsi="宋体"/>
          <w:szCs w:val="21"/>
        </w:rPr>
      </w:pPr>
      <w:r>
        <w:rPr>
          <w:rFonts w:hint="eastAsia" w:ascii="宋体" w:hAnsi="宋体"/>
          <w:szCs w:val="21"/>
        </w:rPr>
        <w:t>柱体使用大面积3M反光膜，反光性能卓越，能清晰勾画道路轮廓，提高安全性；</w:t>
      </w:r>
    </w:p>
    <w:p>
      <w:pPr>
        <w:ind w:firstLine="420" w:firstLineChars="200"/>
        <w:rPr>
          <w:rFonts w:ascii="宋体" w:hAnsi="宋体"/>
          <w:szCs w:val="21"/>
        </w:rPr>
      </w:pPr>
      <w:r>
        <w:rPr>
          <w:rFonts w:hint="eastAsia" w:ascii="宋体" w:hAnsi="宋体"/>
          <w:szCs w:val="21"/>
        </w:rPr>
        <w:t>独特的无底座设计，可以减少安装面积，尤其适用于拥挤的城市道路；</w:t>
      </w:r>
    </w:p>
    <w:p>
      <w:pPr>
        <w:ind w:firstLine="420" w:firstLineChars="200"/>
        <w:rPr>
          <w:rFonts w:hint="eastAsia" w:ascii="宋体" w:hAnsi="宋体"/>
          <w:szCs w:val="21"/>
        </w:rPr>
      </w:pPr>
      <w:r>
        <w:rPr>
          <w:rFonts w:hint="eastAsia" w:ascii="宋体" w:hAnsi="宋体"/>
          <w:szCs w:val="21"/>
        </w:rPr>
        <w:t>如柱体损坏需更换时可用新柱子直接替换，无需重新打孔更换底部配件。</w:t>
      </w:r>
    </w:p>
    <w:p>
      <w:pPr>
        <w:ind w:firstLine="422" w:firstLineChars="200"/>
        <w:rPr>
          <w:rFonts w:ascii="宋体" w:hAnsi="宋体"/>
          <w:b/>
          <w:bCs/>
          <w:szCs w:val="21"/>
        </w:rPr>
      </w:pPr>
      <w:r>
        <w:rPr>
          <w:rFonts w:hint="eastAsia" w:ascii="宋体" w:hAnsi="宋体"/>
          <w:b/>
          <w:bCs/>
          <w:szCs w:val="21"/>
        </w:rPr>
        <w:t>（2）D16-H100弹性防撞柱</w:t>
      </w:r>
    </w:p>
    <w:p>
      <w:pPr>
        <w:ind w:firstLine="422" w:firstLineChars="200"/>
        <w:rPr>
          <w:rFonts w:ascii="宋体" w:hAnsi="宋体"/>
          <w:szCs w:val="21"/>
        </w:rPr>
      </w:pPr>
      <w:r>
        <w:rPr>
          <w:rFonts w:hint="eastAsia" w:ascii="宋体" w:hAnsi="宋体"/>
          <w:b/>
          <w:bCs/>
          <w:szCs w:val="21"/>
        </w:rPr>
        <w:t>规格要求：</w:t>
      </w:r>
    </w:p>
    <w:tbl>
      <w:tblPr>
        <w:tblStyle w:val="53"/>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1"/>
        <w:gridCol w:w="1387"/>
        <w:gridCol w:w="1859"/>
        <w:gridCol w:w="1859"/>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44" w:hRule="atLeast"/>
        </w:trPr>
        <w:tc>
          <w:tcPr>
            <w:tcW w:w="2071" w:type="dxa"/>
            <w:noWrap w:val="0"/>
            <w:vAlign w:val="center"/>
          </w:tcPr>
          <w:p>
            <w:pPr>
              <w:spacing w:after="60" w:afterLines="25" w:line="360" w:lineRule="exact"/>
              <w:jc w:val="center"/>
              <w:rPr>
                <w:rFonts w:ascii="宋体" w:hAnsi="宋体"/>
              </w:rPr>
            </w:pPr>
            <w:r>
              <w:rPr>
                <w:rFonts w:hint="eastAsia" w:ascii="宋体" w:hAnsi="宋体"/>
              </w:rPr>
              <w:t>型号</w:t>
            </w:r>
          </w:p>
        </w:tc>
        <w:tc>
          <w:tcPr>
            <w:tcW w:w="1387" w:type="dxa"/>
            <w:noWrap w:val="0"/>
            <w:vAlign w:val="center"/>
          </w:tcPr>
          <w:p>
            <w:pPr>
              <w:spacing w:after="60" w:afterLines="25" w:line="360" w:lineRule="exact"/>
              <w:jc w:val="center"/>
              <w:rPr>
                <w:rFonts w:ascii="宋体" w:hAnsi="宋体"/>
              </w:rPr>
            </w:pPr>
            <w:r>
              <w:rPr>
                <w:rFonts w:hint="eastAsia" w:ascii="宋体" w:hAnsi="宋体"/>
              </w:rPr>
              <w:t>高度</w:t>
            </w:r>
          </w:p>
        </w:tc>
        <w:tc>
          <w:tcPr>
            <w:tcW w:w="1859" w:type="dxa"/>
            <w:noWrap w:val="0"/>
            <w:vAlign w:val="center"/>
          </w:tcPr>
          <w:p>
            <w:pPr>
              <w:spacing w:after="60" w:afterLines="25" w:line="360" w:lineRule="exact"/>
              <w:jc w:val="center"/>
              <w:rPr>
                <w:rFonts w:ascii="宋体" w:hAnsi="宋体"/>
              </w:rPr>
            </w:pPr>
            <w:r>
              <w:rPr>
                <w:rFonts w:hint="eastAsia" w:ascii="宋体" w:hAnsi="宋体"/>
              </w:rPr>
              <w:t>底座尺寸</w:t>
            </w:r>
          </w:p>
        </w:tc>
        <w:tc>
          <w:tcPr>
            <w:tcW w:w="1859" w:type="dxa"/>
            <w:noWrap w:val="0"/>
            <w:vAlign w:val="center"/>
          </w:tcPr>
          <w:p>
            <w:pPr>
              <w:spacing w:after="60" w:afterLines="25" w:line="360" w:lineRule="exact"/>
              <w:jc w:val="center"/>
              <w:rPr>
                <w:rFonts w:ascii="宋体" w:hAnsi="宋体"/>
              </w:rPr>
            </w:pPr>
            <w:r>
              <w:rPr>
                <w:rFonts w:hint="eastAsia" w:ascii="宋体" w:hAnsi="宋体"/>
              </w:rPr>
              <w:t>重量</w:t>
            </w:r>
          </w:p>
        </w:tc>
        <w:tc>
          <w:tcPr>
            <w:tcW w:w="1752" w:type="dxa"/>
            <w:noWrap w:val="0"/>
            <w:vAlign w:val="center"/>
          </w:tcPr>
          <w:p>
            <w:pPr>
              <w:spacing w:after="60" w:afterLines="25" w:line="360" w:lineRule="exact"/>
              <w:jc w:val="center"/>
              <w:rPr>
                <w:rFonts w:ascii="宋体" w:hAnsi="宋体"/>
              </w:rPr>
            </w:pPr>
            <w:r>
              <w:rPr>
                <w:rFonts w:hint="eastAsia" w:ascii="宋体" w:hAnsi="宋体"/>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22" w:hRule="atLeast"/>
        </w:trPr>
        <w:tc>
          <w:tcPr>
            <w:tcW w:w="2071" w:type="dxa"/>
            <w:noWrap w:val="0"/>
            <w:vAlign w:val="center"/>
          </w:tcPr>
          <w:p>
            <w:pPr>
              <w:spacing w:after="60" w:afterLines="25" w:line="360" w:lineRule="exact"/>
              <w:jc w:val="center"/>
              <w:rPr>
                <w:rFonts w:ascii="宋体" w:hAnsi="宋体"/>
              </w:rPr>
            </w:pPr>
            <w:r>
              <w:rPr>
                <w:rFonts w:hint="eastAsia" w:ascii="宋体" w:hAnsi="宋体"/>
              </w:rPr>
              <w:t>D16-H100</w:t>
            </w:r>
          </w:p>
        </w:tc>
        <w:tc>
          <w:tcPr>
            <w:tcW w:w="1387" w:type="dxa"/>
            <w:noWrap w:val="0"/>
            <w:vAlign w:val="center"/>
          </w:tcPr>
          <w:p>
            <w:pPr>
              <w:spacing w:after="60" w:afterLines="25" w:line="360" w:lineRule="exact"/>
              <w:jc w:val="center"/>
              <w:rPr>
                <w:rFonts w:ascii="宋体" w:hAnsi="宋体"/>
              </w:rPr>
            </w:pPr>
            <w:r>
              <w:rPr>
                <w:rFonts w:hint="eastAsia" w:ascii="宋体" w:hAnsi="宋体"/>
              </w:rPr>
              <w:t>100CM</w:t>
            </w:r>
          </w:p>
        </w:tc>
        <w:tc>
          <w:tcPr>
            <w:tcW w:w="1859" w:type="dxa"/>
            <w:noWrap w:val="0"/>
            <w:vAlign w:val="center"/>
          </w:tcPr>
          <w:p>
            <w:pPr>
              <w:spacing w:after="60" w:afterLines="25" w:line="360" w:lineRule="exact"/>
              <w:jc w:val="center"/>
              <w:rPr>
                <w:rFonts w:ascii="宋体" w:hAnsi="宋体"/>
              </w:rPr>
            </w:pPr>
            <w:r>
              <w:rPr>
                <w:rFonts w:hint="eastAsia" w:ascii="宋体" w:hAnsi="宋体"/>
              </w:rPr>
              <w:t>25×20CM</w:t>
            </w:r>
          </w:p>
        </w:tc>
        <w:tc>
          <w:tcPr>
            <w:tcW w:w="1859" w:type="dxa"/>
            <w:noWrap w:val="0"/>
            <w:vAlign w:val="center"/>
          </w:tcPr>
          <w:p>
            <w:pPr>
              <w:spacing w:after="60" w:afterLines="25" w:line="360" w:lineRule="exact"/>
              <w:jc w:val="center"/>
              <w:rPr>
                <w:rFonts w:ascii="宋体" w:hAnsi="宋体"/>
              </w:rPr>
            </w:pPr>
            <w:r>
              <w:rPr>
                <w:rFonts w:ascii="宋体" w:hAnsi="宋体"/>
              </w:rPr>
              <w:t>9</w:t>
            </w:r>
            <w:r>
              <w:rPr>
                <w:rFonts w:hint="eastAsia" w:ascii="宋体" w:hAnsi="宋体"/>
              </w:rPr>
              <w:t>.0KG</w:t>
            </w:r>
          </w:p>
        </w:tc>
        <w:tc>
          <w:tcPr>
            <w:tcW w:w="1752" w:type="dxa"/>
            <w:noWrap w:val="0"/>
            <w:vAlign w:val="center"/>
          </w:tcPr>
          <w:p>
            <w:pPr>
              <w:spacing w:after="60" w:afterLines="25" w:line="360" w:lineRule="exact"/>
              <w:jc w:val="center"/>
              <w:rPr>
                <w:rFonts w:ascii="宋体" w:hAnsi="宋体"/>
              </w:rPr>
            </w:pPr>
            <w:r>
              <w:rPr>
                <w:rFonts w:hint="eastAsia" w:ascii="宋体" w:hAnsi="宋体"/>
              </w:rPr>
              <w:t>柱体</w:t>
            </w:r>
            <w:r>
              <w:rPr>
                <w:rFonts w:ascii="宋体" w:hAnsi="宋体"/>
              </w:rPr>
              <w:t>含缓冲器</w:t>
            </w:r>
          </w:p>
        </w:tc>
      </w:tr>
    </w:tbl>
    <w:p>
      <w:pPr>
        <w:ind w:firstLine="420" w:firstLineChars="200"/>
        <w:rPr>
          <w:rFonts w:ascii="宋体" w:hAnsi="宋体"/>
        </w:rPr>
      </w:pPr>
    </w:p>
    <w:p>
      <w:pPr>
        <w:rPr>
          <w:rFonts w:hint="eastAsia" w:ascii="宋体" w:hAnsi="宋体"/>
        </w:rPr>
      </w:pPr>
      <w:r>
        <w:rPr>
          <w:rFonts w:ascii="宋体" w:hAnsi="宋体"/>
          <w:sz w:val="28"/>
          <w:szCs w:val="28"/>
        </w:rPr>
        <w:drawing>
          <wp:inline distT="0" distB="0" distL="114300" distR="114300">
            <wp:extent cx="5811520" cy="4133850"/>
            <wp:effectExtent l="0" t="0" r="17780" b="0"/>
            <wp:docPr id="40"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descr="IMG_256"/>
                    <pic:cNvPicPr>
                      <a:picLocks noChangeAspect="1"/>
                    </pic:cNvPicPr>
                  </pic:nvPicPr>
                  <pic:blipFill>
                    <a:blip r:embed="rId35"/>
                    <a:stretch>
                      <a:fillRect/>
                    </a:stretch>
                  </pic:blipFill>
                  <pic:spPr>
                    <a:xfrm>
                      <a:off x="0" y="0"/>
                      <a:ext cx="5811520" cy="4133850"/>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技术指标：</w:t>
      </w:r>
    </w:p>
    <w:p>
      <w:pPr>
        <w:ind w:firstLine="420" w:firstLineChars="200"/>
        <w:rPr>
          <w:rFonts w:hint="eastAsia" w:ascii="宋体" w:hAnsi="宋体"/>
          <w:szCs w:val="21"/>
        </w:rPr>
      </w:pPr>
      <w:r>
        <w:rPr>
          <w:rFonts w:hint="eastAsia" w:ascii="宋体" w:hAnsi="宋体"/>
          <w:szCs w:val="21"/>
        </w:rPr>
        <w:t>（a）主体采用全新TPU高性能材料制成；</w:t>
      </w:r>
    </w:p>
    <w:p>
      <w:pPr>
        <w:ind w:firstLine="420" w:firstLineChars="200"/>
        <w:rPr>
          <w:rFonts w:hint="eastAsia" w:ascii="宋体" w:hAnsi="宋体"/>
          <w:szCs w:val="21"/>
        </w:rPr>
      </w:pPr>
      <w:r>
        <w:rPr>
          <w:rFonts w:hint="eastAsia" w:ascii="宋体" w:hAnsi="宋体"/>
          <w:szCs w:val="21"/>
        </w:rPr>
        <w:t>（b）内装工业缓冲器，可抵挡1.5吨小车40KM/H撞击；</w:t>
      </w:r>
    </w:p>
    <w:p>
      <w:pPr>
        <w:ind w:firstLine="420" w:firstLineChars="200"/>
        <w:rPr>
          <w:rFonts w:hint="eastAsia" w:ascii="宋体" w:hAnsi="宋体"/>
          <w:szCs w:val="21"/>
        </w:rPr>
      </w:pPr>
      <w:r>
        <w:rPr>
          <w:rFonts w:hint="eastAsia" w:ascii="宋体" w:hAnsi="宋体"/>
          <w:szCs w:val="21"/>
        </w:rPr>
        <w:t>（c）使用GB/T18833TypeIV类柔性反光膜；</w:t>
      </w:r>
    </w:p>
    <w:p>
      <w:pPr>
        <w:ind w:firstLine="420" w:firstLineChars="200"/>
        <w:rPr>
          <w:rFonts w:hint="eastAsia" w:ascii="宋体" w:hAnsi="宋体"/>
          <w:szCs w:val="21"/>
        </w:rPr>
      </w:pPr>
      <w:r>
        <w:rPr>
          <w:rFonts w:hint="eastAsia" w:ascii="宋体" w:hAnsi="宋体"/>
          <w:szCs w:val="21"/>
        </w:rPr>
        <w:t>（d）底座增加反光器设计；</w:t>
      </w:r>
    </w:p>
    <w:p>
      <w:pPr>
        <w:ind w:firstLine="420" w:firstLineChars="200"/>
        <w:rPr>
          <w:rFonts w:hint="eastAsia" w:ascii="宋体" w:hAnsi="宋体"/>
          <w:szCs w:val="21"/>
        </w:rPr>
      </w:pPr>
      <w:r>
        <w:rPr>
          <w:rFonts w:hint="eastAsia" w:ascii="宋体" w:hAnsi="宋体"/>
          <w:szCs w:val="21"/>
        </w:rPr>
        <w:t>（e）通体壁厚不小于3mm；</w:t>
      </w:r>
    </w:p>
    <w:p>
      <w:pPr>
        <w:ind w:firstLine="420" w:firstLineChars="200"/>
        <w:rPr>
          <w:rFonts w:hint="eastAsia" w:ascii="宋体" w:hAnsi="宋体"/>
          <w:szCs w:val="21"/>
        </w:rPr>
      </w:pPr>
      <w:r>
        <w:rPr>
          <w:rFonts w:hint="eastAsia" w:ascii="宋体" w:hAnsi="宋体"/>
          <w:szCs w:val="21"/>
        </w:rPr>
        <w:t>（</w:t>
      </w:r>
      <w:r>
        <w:rPr>
          <w:rFonts w:ascii="宋体" w:hAnsi="宋体"/>
          <w:szCs w:val="21"/>
        </w:rPr>
        <w:t>f</w:t>
      </w:r>
      <w:r>
        <w:rPr>
          <w:rFonts w:hint="eastAsia" w:ascii="宋体" w:hAnsi="宋体"/>
          <w:szCs w:val="21"/>
        </w:rPr>
        <w:t>）使用温度范围-25℃–60℃；</w:t>
      </w:r>
    </w:p>
    <w:p>
      <w:pPr>
        <w:ind w:firstLine="420" w:firstLineChars="200"/>
        <w:rPr>
          <w:rFonts w:ascii="宋体" w:hAnsi="宋体"/>
          <w:szCs w:val="21"/>
        </w:rPr>
      </w:pPr>
      <w:r>
        <w:rPr>
          <w:rFonts w:hint="eastAsia" w:ascii="宋体" w:hAnsi="宋体"/>
          <w:szCs w:val="21"/>
        </w:rPr>
        <w:t>（</w:t>
      </w:r>
      <w:r>
        <w:rPr>
          <w:rFonts w:ascii="宋体" w:hAnsi="宋体"/>
          <w:szCs w:val="21"/>
        </w:rPr>
        <w:t>g</w:t>
      </w:r>
      <w:r>
        <w:rPr>
          <w:rFonts w:hint="eastAsia" w:ascii="宋体" w:hAnsi="宋体"/>
          <w:szCs w:val="21"/>
        </w:rPr>
        <w:t>）弯折测试次数大于1万次。</w:t>
      </w:r>
    </w:p>
    <w:p>
      <w:pPr>
        <w:ind w:firstLine="422" w:firstLineChars="200"/>
        <w:rPr>
          <w:rFonts w:ascii="宋体" w:hAnsi="宋体"/>
          <w:b/>
          <w:bCs/>
          <w:szCs w:val="21"/>
        </w:rPr>
      </w:pPr>
      <w:r>
        <w:rPr>
          <w:rFonts w:hint="eastAsia" w:ascii="宋体" w:hAnsi="宋体"/>
          <w:b/>
          <w:bCs/>
          <w:szCs w:val="21"/>
        </w:rPr>
        <w:t>安装和使用：</w:t>
      </w:r>
    </w:p>
    <w:p>
      <w:pPr>
        <w:ind w:firstLine="420" w:firstLineChars="200"/>
        <w:rPr>
          <w:rFonts w:hint="eastAsia" w:ascii="宋体" w:hAnsi="宋体"/>
          <w:szCs w:val="21"/>
        </w:rPr>
      </w:pPr>
      <w:r>
        <w:rPr>
          <w:rFonts w:hint="eastAsia" w:ascii="宋体" w:hAnsi="宋体"/>
          <w:szCs w:val="21"/>
        </w:rPr>
        <w:t>（a）钻孔，灌入环氧胶，采用膨胀螺丝固定；</w:t>
      </w:r>
    </w:p>
    <w:p>
      <w:pPr>
        <w:ind w:firstLine="420" w:firstLineChars="200"/>
        <w:rPr>
          <w:rFonts w:hint="eastAsia" w:ascii="宋体" w:hAnsi="宋体"/>
          <w:szCs w:val="21"/>
        </w:rPr>
      </w:pPr>
      <w:r>
        <w:rPr>
          <w:rFonts w:hint="eastAsia" w:ascii="宋体" w:hAnsi="宋体"/>
          <w:szCs w:val="21"/>
        </w:rPr>
        <w:t>（b）推荐用于车道分隔，导流区等场景；</w:t>
      </w:r>
    </w:p>
    <w:p>
      <w:pPr>
        <w:ind w:firstLine="420" w:firstLineChars="200"/>
        <w:rPr>
          <w:rFonts w:hint="eastAsia" w:ascii="宋体" w:hAnsi="宋体"/>
          <w:szCs w:val="21"/>
        </w:rPr>
      </w:pPr>
      <w:r>
        <w:rPr>
          <w:rFonts w:hint="eastAsia" w:ascii="宋体" w:hAnsi="宋体"/>
          <w:szCs w:val="21"/>
        </w:rPr>
        <w:t>（c）可抵挡1.5吨车辆40KM/H速度撞击，不会造成二次伤害；</w:t>
      </w:r>
    </w:p>
    <w:p>
      <w:pPr>
        <w:ind w:firstLine="420" w:firstLineChars="200"/>
        <w:rPr>
          <w:rFonts w:hint="eastAsia" w:ascii="宋体" w:hAnsi="宋体"/>
          <w:szCs w:val="21"/>
        </w:rPr>
      </w:pPr>
      <w:r>
        <w:rPr>
          <w:rFonts w:hint="eastAsia" w:ascii="宋体" w:hAnsi="宋体"/>
          <w:szCs w:val="21"/>
        </w:rPr>
        <w:t>（d）正常使用寿命可达2年。</w:t>
      </w:r>
    </w:p>
    <w:p>
      <w:pPr>
        <w:ind w:firstLine="422" w:firstLineChars="200"/>
        <w:rPr>
          <w:rFonts w:ascii="宋体" w:hAnsi="宋体"/>
          <w:b/>
          <w:bCs/>
          <w:szCs w:val="21"/>
        </w:rPr>
      </w:pPr>
      <w:r>
        <w:rPr>
          <w:rFonts w:hint="eastAsia" w:ascii="宋体" w:hAnsi="宋体"/>
          <w:b/>
          <w:bCs/>
          <w:szCs w:val="21"/>
        </w:rPr>
        <w:t>6.1、弹性隔离防炫板技术要求</w:t>
      </w:r>
    </w:p>
    <w:p>
      <w:pPr>
        <w:ind w:firstLine="420" w:firstLineChars="200"/>
        <w:rPr>
          <w:rFonts w:ascii="宋体" w:hAnsi="宋体"/>
          <w:szCs w:val="21"/>
        </w:rPr>
      </w:pPr>
      <w:r>
        <w:rPr>
          <w:rFonts w:hint="eastAsia" w:ascii="宋体" w:hAnsi="宋体"/>
          <w:szCs w:val="21"/>
        </w:rPr>
        <w:t>（1）该款产品高度为85CM，底部由三个内径100MM内膨胀固定地面，底部距上360MM起至顶端有宽210MM的防炫面，内贴有两条符合GB18833-2012标准</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 4 \* ROMAN</w:instrText>
      </w:r>
      <w:r>
        <w:rPr>
          <w:rFonts w:ascii="宋体" w:hAnsi="宋体"/>
          <w:szCs w:val="21"/>
        </w:rPr>
        <w:instrText xml:space="preserve"> </w:instrText>
      </w:r>
      <w:r>
        <w:rPr>
          <w:rFonts w:ascii="宋体" w:hAnsi="宋体"/>
          <w:szCs w:val="21"/>
        </w:rPr>
        <w:fldChar w:fldCharType="separate"/>
      </w:r>
      <w:r>
        <w:rPr>
          <w:rFonts w:ascii="宋体" w:hAnsi="宋体"/>
          <w:szCs w:val="21"/>
        </w:rPr>
        <w:t>IV</w:t>
      </w:r>
      <w:r>
        <w:rPr>
          <w:rFonts w:ascii="宋体" w:hAnsi="宋体"/>
          <w:szCs w:val="21"/>
        </w:rPr>
        <w:fldChar w:fldCharType="end"/>
      </w:r>
      <w:r>
        <w:rPr>
          <w:rFonts w:hint="eastAsia" w:ascii="宋体" w:hAnsi="宋体"/>
          <w:szCs w:val="21"/>
        </w:rPr>
        <w:t>类黄色反光膜，增加防炫面能更好隔离对向车辆灯光。</w:t>
      </w:r>
    </w:p>
    <w:p>
      <w:pPr>
        <w:ind w:firstLine="420" w:firstLineChars="200"/>
        <w:rPr>
          <w:rFonts w:ascii="宋体" w:hAnsi="宋体"/>
          <w:szCs w:val="21"/>
        </w:rPr>
      </w:pPr>
      <w:r>
        <w:rPr>
          <w:rFonts w:hint="eastAsia" w:ascii="宋体" w:hAnsi="宋体"/>
          <w:szCs w:val="21"/>
        </w:rPr>
        <w:t>（2）反光面与交通柱的附着性能：垂直与交通柱反光面切割后，反光面不应从柱体上切割线处脱离或出现层间剥离现象。</w:t>
      </w:r>
    </w:p>
    <w:p>
      <w:pPr>
        <w:ind w:firstLine="420" w:firstLineChars="200"/>
        <w:rPr>
          <w:rFonts w:ascii="宋体" w:hAnsi="宋体"/>
          <w:szCs w:val="21"/>
        </w:rPr>
      </w:pPr>
      <w:r>
        <w:rPr>
          <w:rFonts w:hint="eastAsia" w:ascii="宋体" w:hAnsi="宋体"/>
          <w:szCs w:val="21"/>
          <w:lang/>
        </w:rPr>
        <w:drawing>
          <wp:anchor distT="0" distB="0" distL="114300" distR="114300" simplePos="0" relativeHeight="251664384" behindDoc="1" locked="0" layoutInCell="1" allowOverlap="1">
            <wp:simplePos x="0" y="0"/>
            <wp:positionH relativeFrom="column">
              <wp:posOffset>4351655</wp:posOffset>
            </wp:positionH>
            <wp:positionV relativeFrom="paragraph">
              <wp:posOffset>287655</wp:posOffset>
            </wp:positionV>
            <wp:extent cx="1201420" cy="1488440"/>
            <wp:effectExtent l="0" t="0" r="17780" b="16510"/>
            <wp:wrapSquare wrapText="bothSides"/>
            <wp:docPr id="19" name="图片 170" descr="IMG_0952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0" descr="IMG_0952_看图王"/>
                    <pic:cNvPicPr>
                      <a:picLocks noChangeAspect="1"/>
                    </pic:cNvPicPr>
                  </pic:nvPicPr>
                  <pic:blipFill>
                    <a:blip r:embed="rId36"/>
                    <a:stretch>
                      <a:fillRect/>
                    </a:stretch>
                  </pic:blipFill>
                  <pic:spPr>
                    <a:xfrm>
                      <a:off x="0" y="0"/>
                      <a:ext cx="1201420" cy="1488440"/>
                    </a:xfrm>
                    <a:prstGeom prst="rect">
                      <a:avLst/>
                    </a:prstGeom>
                    <a:noFill/>
                    <a:ln>
                      <a:noFill/>
                    </a:ln>
                  </pic:spPr>
                </pic:pic>
              </a:graphicData>
            </a:graphic>
          </wp:anchor>
        </w:drawing>
      </w:r>
      <w:r>
        <w:rPr>
          <w:rFonts w:hint="eastAsia" w:ascii="宋体" w:hAnsi="宋体"/>
          <w:szCs w:val="21"/>
        </w:rPr>
        <w:t>（3）低温抗撞击作用：在</w:t>
      </w:r>
      <w:r>
        <w:rPr>
          <w:rFonts w:ascii="宋体" w:hAnsi="宋体"/>
          <w:szCs w:val="21"/>
        </w:rPr>
        <w:t>—</w:t>
      </w:r>
      <w:r>
        <w:rPr>
          <w:rFonts w:hint="eastAsia" w:ascii="宋体" w:hAnsi="宋体"/>
          <w:szCs w:val="21"/>
        </w:rPr>
        <w:t>18度+2度的低温下，交通柱经受0.9KG实心钢球的撞击后，其柱体，底座，反光面不得破裂或损坏，并应在撞击后迅速恢复原状撞击后反光面的逆反射系数值不低于撞击前的80%。</w:t>
      </w:r>
    </w:p>
    <w:p>
      <w:pPr>
        <w:ind w:firstLine="420" w:firstLineChars="200"/>
        <w:rPr>
          <w:rFonts w:ascii="宋体" w:hAnsi="宋体"/>
          <w:szCs w:val="21"/>
        </w:rPr>
      </w:pPr>
      <w:r>
        <w:rPr>
          <w:rFonts w:hint="eastAsia" w:ascii="宋体" w:hAnsi="宋体"/>
          <w:szCs w:val="21"/>
        </w:rPr>
        <w:t>（4）抗弯曲性能：交通柱经弯曲性能试验机往返20次碾压后，其柱体，底座，反光面不得有裂缝，破碎或分离，并应在试验完后恢复原状，其柱体顶端在任意水平方向的残余偏斜不得超过柱体高度的7%。</w:t>
      </w:r>
    </w:p>
    <w:p>
      <w:pPr>
        <w:ind w:firstLine="420" w:firstLineChars="200"/>
        <w:rPr>
          <w:rFonts w:ascii="宋体" w:hAnsi="宋体"/>
          <w:szCs w:val="21"/>
        </w:rPr>
      </w:pPr>
      <w:r>
        <w:rPr>
          <w:rFonts w:hint="eastAsia" w:ascii="宋体" w:hAnsi="宋体"/>
          <w:szCs w:val="21"/>
        </w:rPr>
        <w:t>（5）安装要求：该款产品底座水平与路面，用高强度环氧树脂粘合并用道钉固定。</w:t>
      </w:r>
    </w:p>
    <w:p>
      <w:pPr>
        <w:ind w:firstLine="422" w:firstLineChars="200"/>
        <w:rPr>
          <w:rFonts w:ascii="宋体" w:hAnsi="宋体"/>
          <w:b/>
          <w:bCs/>
          <w:szCs w:val="21"/>
        </w:rPr>
      </w:pPr>
      <w:r>
        <w:rPr>
          <w:rFonts w:hint="eastAsia" w:ascii="宋体" w:hAnsi="宋体"/>
          <w:b/>
          <w:bCs/>
          <w:szCs w:val="21"/>
        </w:rPr>
        <w:t>7、交通信号仪技术要求</w:t>
      </w:r>
    </w:p>
    <w:p>
      <w:pPr>
        <w:ind w:firstLine="422" w:firstLineChars="200"/>
        <w:rPr>
          <w:rFonts w:hint="eastAsia" w:ascii="宋体" w:hAnsi="宋体"/>
          <w:b/>
          <w:bCs/>
          <w:szCs w:val="21"/>
        </w:rPr>
      </w:pPr>
      <w:r>
        <w:rPr>
          <w:rFonts w:hint="eastAsia" w:ascii="宋体" w:hAnsi="宋体"/>
          <w:b/>
          <w:bCs/>
          <w:szCs w:val="21"/>
        </w:rPr>
        <w:t>路口控制机主体功能</w:t>
      </w:r>
    </w:p>
    <w:p>
      <w:pPr>
        <w:ind w:firstLine="420" w:firstLineChars="200"/>
        <w:rPr>
          <w:rFonts w:hint="eastAsia" w:ascii="宋体" w:hAnsi="宋体"/>
          <w:szCs w:val="21"/>
        </w:rPr>
      </w:pPr>
      <w:r>
        <w:rPr>
          <w:rFonts w:hint="eastAsia" w:ascii="宋体" w:hAnsi="宋体"/>
          <w:szCs w:val="21"/>
        </w:rPr>
        <w:t>路口信号灯控制机采用联网式协调信号控制机，路口信号灯控制机操作系统采用嵌入式Linux操作系统，信号控制软件采用WEB操作界面；信号控制机具有单点自适应控制、协调控制等功能；路口信号控制机与信号灯中心控制系统连接，实现在线数据上载、下载功能，路口控制机接受中心控制指令并执行，确保交通信号控制系统的延续和正常使用。</w:t>
      </w:r>
    </w:p>
    <w:p>
      <w:pPr>
        <w:ind w:firstLine="420" w:firstLineChars="200"/>
        <w:rPr>
          <w:rFonts w:hint="eastAsia" w:ascii="宋体" w:hAnsi="宋体"/>
          <w:szCs w:val="21"/>
        </w:rPr>
      </w:pPr>
      <w:r>
        <w:rPr>
          <w:rFonts w:hint="eastAsia" w:ascii="宋体" w:hAnsi="宋体"/>
          <w:szCs w:val="21"/>
        </w:rPr>
        <w:t>控制机接口不少于1个RJ45网口、2个RS232串口，用于与控制中心的通信和现场连接手持终端。可实现在控制中心、路口现场的编程，对相关路口进行预设绿波递进方案控制，或路口通行相位、通行时间的灵活组合，以满足路口应急控制、紧急车辆通行的需要。</w:t>
      </w:r>
    </w:p>
    <w:p>
      <w:pPr>
        <w:ind w:firstLine="420" w:firstLineChars="200"/>
        <w:rPr>
          <w:rFonts w:hint="eastAsia" w:ascii="宋体" w:hAnsi="宋体"/>
          <w:szCs w:val="21"/>
        </w:rPr>
      </w:pPr>
      <w:r>
        <w:rPr>
          <w:rFonts w:hint="eastAsia" w:ascii="宋体" w:hAnsi="宋体"/>
          <w:szCs w:val="21"/>
        </w:rPr>
        <w:t>路口信号控制机采用防锈防腐蚀铝合金机柜，采用19吋标准机架，机柜内电源、控制主机、输入输出等模组独立分区安装。路口相位信号采用模块化设计，不少于8个主相位、4个跟随相位、4个行人相位。</w:t>
      </w:r>
    </w:p>
    <w:p>
      <w:pPr>
        <w:ind w:firstLine="420" w:firstLineChars="200"/>
        <w:rPr>
          <w:rFonts w:ascii="宋体" w:hAnsi="宋体"/>
          <w:szCs w:val="21"/>
        </w:rPr>
      </w:pPr>
      <w:r>
        <w:rPr>
          <w:rFonts w:hint="eastAsia" w:ascii="宋体" w:hAnsi="宋体"/>
          <w:szCs w:val="21"/>
        </w:rPr>
        <w:t>路口信号控制机可适应-20～70</w:t>
      </w:r>
      <w:r>
        <w:rPr>
          <w:rFonts w:ascii="宋体" w:hAnsi="宋体"/>
          <w:szCs w:val="21"/>
        </w:rPr>
        <w:t>℃</w:t>
      </w:r>
      <w:r>
        <w:rPr>
          <w:rFonts w:hint="eastAsia" w:ascii="宋体" w:hAnsi="宋体"/>
          <w:szCs w:val="21"/>
        </w:rPr>
        <w:t>、95%湿度（无结露）工作环境，2</w:t>
      </w:r>
      <w:r>
        <w:rPr>
          <w:rFonts w:ascii="宋体" w:hAnsi="宋体"/>
          <w:szCs w:val="21"/>
        </w:rPr>
        <w:t>20V</w:t>
      </w:r>
      <w:r>
        <w:rPr>
          <w:rFonts w:hint="eastAsia" w:ascii="宋体" w:hAnsi="宋体"/>
          <w:szCs w:val="21"/>
        </w:rPr>
        <w:t>±</w:t>
      </w:r>
      <w:r>
        <w:rPr>
          <w:rFonts w:ascii="宋体" w:hAnsi="宋体"/>
          <w:szCs w:val="21"/>
        </w:rPr>
        <w:t>20%</w:t>
      </w:r>
      <w:r>
        <w:rPr>
          <w:rFonts w:hint="eastAsia" w:ascii="宋体" w:hAnsi="宋体"/>
          <w:szCs w:val="21"/>
        </w:rPr>
        <w:t>电力环境，机柜内带风冷设备。</w:t>
      </w:r>
    </w:p>
    <w:p>
      <w:pPr>
        <w:ind w:firstLine="420" w:firstLineChars="200"/>
        <w:rPr>
          <w:rFonts w:hint="eastAsia" w:ascii="宋体" w:hAnsi="宋体"/>
          <w:szCs w:val="21"/>
        </w:rPr>
      </w:pPr>
      <w:r>
        <w:rPr>
          <w:rFonts w:hint="eastAsia" w:ascii="宋体" w:hAnsi="宋体"/>
          <w:szCs w:val="21"/>
        </w:rPr>
        <w:t>路口信号控制机通过公安部交通安全产品质量监督检测中心检测。</w:t>
      </w:r>
    </w:p>
    <w:p>
      <w:pPr>
        <w:ind w:firstLine="422" w:firstLineChars="200"/>
        <w:rPr>
          <w:rFonts w:hint="eastAsia" w:ascii="宋体" w:hAnsi="宋体"/>
          <w:b/>
          <w:bCs/>
          <w:szCs w:val="21"/>
        </w:rPr>
      </w:pPr>
      <w:r>
        <w:rPr>
          <w:rFonts w:ascii="宋体" w:hAnsi="宋体"/>
          <w:b/>
          <w:bCs/>
          <w:szCs w:val="21"/>
        </w:rPr>
        <w:t>7.1</w:t>
      </w:r>
      <w:r>
        <w:rPr>
          <w:rFonts w:hint="eastAsia" w:ascii="宋体" w:hAnsi="宋体"/>
          <w:b/>
          <w:bCs/>
          <w:szCs w:val="21"/>
        </w:rPr>
        <w:t>路口控制机管理功能</w:t>
      </w:r>
    </w:p>
    <w:p>
      <w:pPr>
        <w:ind w:firstLine="422" w:firstLineChars="200"/>
        <w:rPr>
          <w:rFonts w:hint="eastAsia" w:ascii="宋体" w:hAnsi="宋体"/>
          <w:b/>
          <w:bCs/>
          <w:szCs w:val="21"/>
        </w:rPr>
      </w:pPr>
      <w:r>
        <w:rPr>
          <w:rFonts w:hint="eastAsia" w:ascii="宋体" w:hAnsi="宋体"/>
          <w:b/>
          <w:bCs/>
          <w:szCs w:val="21"/>
        </w:rPr>
        <w:t>（1）图形与界面</w:t>
      </w:r>
    </w:p>
    <w:p>
      <w:pPr>
        <w:ind w:firstLine="420" w:firstLineChars="200"/>
        <w:rPr>
          <w:rFonts w:hint="eastAsia" w:ascii="宋体" w:hAnsi="宋体"/>
          <w:szCs w:val="21"/>
        </w:rPr>
      </w:pPr>
      <w:r>
        <w:rPr>
          <w:rFonts w:hint="eastAsia" w:ascii="宋体" w:hAnsi="宋体"/>
          <w:szCs w:val="21"/>
        </w:rPr>
        <w:t>（a）人机界面图形化、菜单化。命令操作方式灵活多样，并对错误操作发出警告或禁止执行；</w:t>
      </w:r>
    </w:p>
    <w:p>
      <w:pPr>
        <w:ind w:firstLine="420" w:firstLineChars="200"/>
        <w:rPr>
          <w:rFonts w:hint="eastAsia" w:ascii="宋体" w:hAnsi="宋体"/>
          <w:szCs w:val="21"/>
        </w:rPr>
      </w:pPr>
      <w:r>
        <w:rPr>
          <w:rFonts w:hint="eastAsia" w:ascii="宋体" w:hAnsi="宋体"/>
          <w:szCs w:val="21"/>
        </w:rPr>
        <w:t>（b）能多窗口显示，显示窗口可缩放、移动；</w:t>
      </w:r>
    </w:p>
    <w:p>
      <w:pPr>
        <w:ind w:firstLine="420" w:firstLineChars="200"/>
        <w:rPr>
          <w:rFonts w:hint="eastAsia" w:ascii="宋体" w:hAnsi="宋体"/>
          <w:szCs w:val="21"/>
        </w:rPr>
      </w:pPr>
      <w:r>
        <w:rPr>
          <w:rFonts w:hint="eastAsia" w:ascii="宋体" w:hAnsi="宋体"/>
          <w:szCs w:val="21"/>
        </w:rPr>
        <w:t>（c）具有图形编辑工具，可以多层次地对图形的背景、显示符号、颜色和属性等进行用户化编辑；</w:t>
      </w:r>
    </w:p>
    <w:p>
      <w:pPr>
        <w:ind w:firstLine="420" w:firstLineChars="200"/>
        <w:rPr>
          <w:rFonts w:hint="eastAsia" w:ascii="宋体" w:hAnsi="宋体"/>
          <w:szCs w:val="21"/>
        </w:rPr>
      </w:pPr>
      <w:r>
        <w:rPr>
          <w:rFonts w:hint="eastAsia" w:ascii="宋体" w:hAnsi="宋体"/>
          <w:szCs w:val="21"/>
        </w:rPr>
        <w:t>（d）能够图形化实时显示路口设备、传输设备、路口设备工作状态及信号控制状态等信息。</w:t>
      </w:r>
    </w:p>
    <w:p>
      <w:pPr>
        <w:ind w:firstLine="422" w:firstLineChars="200"/>
        <w:rPr>
          <w:rFonts w:hint="eastAsia" w:ascii="宋体" w:hAnsi="宋体"/>
          <w:b/>
          <w:bCs/>
          <w:szCs w:val="21"/>
        </w:rPr>
      </w:pPr>
      <w:r>
        <w:rPr>
          <w:rFonts w:hint="eastAsia" w:ascii="宋体" w:hAnsi="宋体"/>
          <w:b/>
          <w:bCs/>
          <w:szCs w:val="21"/>
        </w:rPr>
        <w:t>（2）用户管理</w:t>
      </w:r>
    </w:p>
    <w:p>
      <w:pPr>
        <w:ind w:firstLine="420" w:firstLineChars="200"/>
        <w:rPr>
          <w:rFonts w:hint="eastAsia" w:ascii="宋体" w:hAnsi="宋体"/>
          <w:szCs w:val="21"/>
        </w:rPr>
      </w:pPr>
      <w:r>
        <w:rPr>
          <w:rFonts w:hint="eastAsia" w:ascii="宋体" w:hAnsi="宋体"/>
          <w:szCs w:val="21"/>
        </w:rPr>
        <w:t>（a）能够对用户名、密码等相关内容进行设置管理，系统登录用户身份认证；</w:t>
      </w:r>
    </w:p>
    <w:p>
      <w:pPr>
        <w:ind w:firstLine="420" w:firstLineChars="200"/>
        <w:rPr>
          <w:rFonts w:hint="eastAsia" w:ascii="宋体" w:hAnsi="宋体"/>
          <w:szCs w:val="21"/>
        </w:rPr>
      </w:pPr>
      <w:r>
        <w:rPr>
          <w:rFonts w:hint="eastAsia" w:ascii="宋体" w:hAnsi="宋体"/>
          <w:szCs w:val="21"/>
        </w:rPr>
        <w:t>（b）支持移动终端远程通过WEB方式访问路口信号控制系统，进行系统状态查询、数据修改、方案调试或其它命令操作；最大可对</w:t>
      </w:r>
      <w:r>
        <w:rPr>
          <w:rFonts w:ascii="宋体" w:hAnsi="宋体"/>
          <w:szCs w:val="21"/>
        </w:rPr>
        <w:t>40</w:t>
      </w:r>
      <w:r>
        <w:rPr>
          <w:rFonts w:hint="eastAsia" w:ascii="宋体" w:hAnsi="宋体"/>
          <w:szCs w:val="21"/>
        </w:rPr>
        <w:t>个相位数据的管理，其中包括</w:t>
      </w:r>
      <w:r>
        <w:rPr>
          <w:rFonts w:ascii="宋体" w:hAnsi="宋体"/>
          <w:szCs w:val="21"/>
        </w:rPr>
        <w:t>16</w:t>
      </w:r>
      <w:r>
        <w:rPr>
          <w:rFonts w:hint="eastAsia" w:ascii="宋体" w:hAnsi="宋体"/>
          <w:szCs w:val="21"/>
        </w:rPr>
        <w:t>个车行相位、</w:t>
      </w:r>
      <w:r>
        <w:rPr>
          <w:rFonts w:ascii="宋体" w:hAnsi="宋体"/>
          <w:szCs w:val="21"/>
        </w:rPr>
        <w:t>8</w:t>
      </w:r>
      <w:r>
        <w:rPr>
          <w:rFonts w:hint="eastAsia" w:ascii="宋体" w:hAnsi="宋体"/>
          <w:szCs w:val="21"/>
        </w:rPr>
        <w:t>个行人相位、</w:t>
      </w:r>
      <w:r>
        <w:rPr>
          <w:rFonts w:ascii="宋体" w:hAnsi="宋体"/>
          <w:szCs w:val="21"/>
        </w:rPr>
        <w:t>16</w:t>
      </w:r>
      <w:r>
        <w:rPr>
          <w:rFonts w:hint="eastAsia" w:ascii="宋体" w:hAnsi="宋体"/>
          <w:szCs w:val="21"/>
        </w:rPr>
        <w:t>个跟随相位。远程WEB方式访问时需通过用户名及密码进行认证。</w:t>
      </w:r>
    </w:p>
    <w:p>
      <w:pPr>
        <w:ind w:firstLine="422" w:firstLineChars="200"/>
        <w:rPr>
          <w:rFonts w:hint="eastAsia" w:ascii="宋体" w:hAnsi="宋体"/>
          <w:b/>
          <w:bCs/>
          <w:szCs w:val="21"/>
        </w:rPr>
      </w:pPr>
      <w:r>
        <w:rPr>
          <w:rFonts w:hint="eastAsia" w:ascii="宋体" w:hAnsi="宋体"/>
          <w:b/>
          <w:bCs/>
          <w:szCs w:val="21"/>
        </w:rPr>
        <w:t>（3）系统数据库</w:t>
      </w:r>
    </w:p>
    <w:p>
      <w:pPr>
        <w:ind w:firstLine="420" w:firstLineChars="200"/>
        <w:rPr>
          <w:rFonts w:hint="eastAsia" w:ascii="宋体" w:hAnsi="宋体"/>
          <w:szCs w:val="21"/>
        </w:rPr>
      </w:pPr>
      <w:r>
        <w:rPr>
          <w:rFonts w:hint="eastAsia" w:ascii="宋体" w:hAnsi="宋体"/>
          <w:szCs w:val="21"/>
        </w:rPr>
        <w:t>（a）总体要求：采用通用数据库，具有系统参数设置、交通数据存储、数据管理功能；</w:t>
      </w:r>
    </w:p>
    <w:p>
      <w:pPr>
        <w:ind w:firstLine="420" w:firstLineChars="200"/>
        <w:rPr>
          <w:rFonts w:hint="eastAsia" w:ascii="宋体" w:hAnsi="宋体"/>
          <w:szCs w:val="21"/>
        </w:rPr>
      </w:pPr>
      <w:r>
        <w:rPr>
          <w:rFonts w:hint="eastAsia" w:ascii="宋体" w:hAnsi="宋体"/>
          <w:szCs w:val="21"/>
        </w:rPr>
        <w:t>（b）参数设置：每个数据项均附有数据定义和有效值范围的在线说明；系统自动检测所有数据项输入数据的合理性，提示并拒绝不合理及非法的数据输入；易于数据修改和更新；</w:t>
      </w:r>
    </w:p>
    <w:p>
      <w:pPr>
        <w:ind w:firstLine="420" w:firstLineChars="200"/>
        <w:rPr>
          <w:rFonts w:hint="eastAsia" w:ascii="宋体" w:hAnsi="宋体"/>
          <w:szCs w:val="21"/>
        </w:rPr>
      </w:pPr>
      <w:r>
        <w:rPr>
          <w:rFonts w:hint="eastAsia" w:ascii="宋体" w:hAnsi="宋体"/>
          <w:szCs w:val="21"/>
        </w:rPr>
        <w:t>（c）交通数据存储：能够对采集的交通实时数据和历史数据进行储存和管理，保证数据的快速存取、编辑和删除；</w:t>
      </w:r>
    </w:p>
    <w:p>
      <w:pPr>
        <w:ind w:firstLine="420" w:firstLineChars="200"/>
        <w:rPr>
          <w:rFonts w:hint="eastAsia" w:ascii="宋体" w:hAnsi="宋体"/>
          <w:szCs w:val="21"/>
        </w:rPr>
      </w:pPr>
      <w:r>
        <w:rPr>
          <w:rFonts w:hint="eastAsia" w:ascii="宋体" w:hAnsi="宋体"/>
          <w:szCs w:val="21"/>
        </w:rPr>
        <w:t>（d）数据库管理：</w:t>
      </w:r>
    </w:p>
    <w:p>
      <w:pPr>
        <w:ind w:firstLine="420" w:firstLineChars="200"/>
        <w:rPr>
          <w:rFonts w:hint="eastAsia" w:ascii="宋体" w:hAnsi="宋体"/>
          <w:szCs w:val="21"/>
        </w:rPr>
      </w:pPr>
      <w:r>
        <w:rPr>
          <w:rFonts w:hint="eastAsia" w:ascii="宋体" w:hAnsi="宋体"/>
          <w:szCs w:val="21"/>
        </w:rPr>
        <w:t>禁止未授权使用者进入数据库操作界面；</w:t>
      </w:r>
    </w:p>
    <w:p>
      <w:pPr>
        <w:ind w:firstLine="420" w:firstLineChars="200"/>
        <w:rPr>
          <w:rFonts w:hint="eastAsia" w:ascii="宋体" w:hAnsi="宋体"/>
          <w:szCs w:val="21"/>
        </w:rPr>
      </w:pPr>
      <w:r>
        <w:rPr>
          <w:rFonts w:hint="eastAsia" w:ascii="宋体" w:hAnsi="宋体"/>
          <w:szCs w:val="21"/>
        </w:rPr>
        <w:t>多用户同时对不同数据对象的修改、删除无冲突，禁止同时修改同一数据对象并有冲突报警显示；</w:t>
      </w:r>
    </w:p>
    <w:p>
      <w:pPr>
        <w:ind w:firstLine="420" w:firstLineChars="200"/>
        <w:rPr>
          <w:rFonts w:hint="eastAsia" w:ascii="宋体" w:hAnsi="宋体"/>
          <w:szCs w:val="21"/>
        </w:rPr>
      </w:pPr>
      <w:r>
        <w:rPr>
          <w:rFonts w:hint="eastAsia" w:ascii="宋体" w:hAnsi="宋体"/>
          <w:szCs w:val="21"/>
        </w:rPr>
        <w:t>详细记录数据修改人员、修改内容和时间；</w:t>
      </w:r>
    </w:p>
    <w:p>
      <w:pPr>
        <w:ind w:firstLine="420" w:firstLineChars="200"/>
        <w:rPr>
          <w:rFonts w:hint="eastAsia" w:ascii="宋体" w:hAnsi="宋体"/>
          <w:szCs w:val="21"/>
        </w:rPr>
      </w:pPr>
      <w:r>
        <w:rPr>
          <w:rFonts w:hint="eastAsia" w:ascii="宋体" w:hAnsi="宋体"/>
          <w:szCs w:val="21"/>
        </w:rPr>
        <w:t>能够快速地进行完整的数据备份与数据恢复；</w:t>
      </w:r>
    </w:p>
    <w:p>
      <w:pPr>
        <w:ind w:firstLine="420" w:firstLineChars="200"/>
        <w:rPr>
          <w:rFonts w:hint="eastAsia" w:ascii="宋体" w:hAnsi="宋体"/>
          <w:szCs w:val="21"/>
        </w:rPr>
      </w:pPr>
      <w:r>
        <w:rPr>
          <w:rFonts w:hint="eastAsia" w:ascii="宋体" w:hAnsi="宋体"/>
          <w:szCs w:val="21"/>
        </w:rPr>
        <w:t>支持多用户数据库查询、访问。</w:t>
      </w:r>
    </w:p>
    <w:p>
      <w:pPr>
        <w:ind w:firstLine="422" w:firstLineChars="200"/>
        <w:rPr>
          <w:rFonts w:hint="eastAsia" w:ascii="宋体" w:hAnsi="宋体"/>
          <w:b/>
          <w:bCs/>
          <w:szCs w:val="21"/>
        </w:rPr>
      </w:pPr>
      <w:r>
        <w:rPr>
          <w:rFonts w:hint="eastAsia" w:ascii="宋体" w:hAnsi="宋体"/>
          <w:b/>
          <w:bCs/>
          <w:szCs w:val="21"/>
        </w:rPr>
        <w:t>（4）日志管理</w:t>
      </w:r>
    </w:p>
    <w:p>
      <w:pPr>
        <w:ind w:firstLine="420" w:firstLineChars="200"/>
        <w:rPr>
          <w:rFonts w:hint="eastAsia" w:ascii="宋体" w:hAnsi="宋体"/>
          <w:szCs w:val="21"/>
        </w:rPr>
      </w:pPr>
      <w:r>
        <w:rPr>
          <w:rFonts w:hint="eastAsia" w:ascii="宋体" w:hAnsi="宋体"/>
          <w:szCs w:val="21"/>
        </w:rPr>
        <w:t>（a）操作员记录：操作员登录/退出时间、所有操作命令记录；</w:t>
      </w:r>
    </w:p>
    <w:p>
      <w:pPr>
        <w:ind w:firstLine="420" w:firstLineChars="200"/>
        <w:rPr>
          <w:rFonts w:hint="eastAsia" w:ascii="宋体" w:hAnsi="宋体"/>
          <w:szCs w:val="21"/>
        </w:rPr>
      </w:pPr>
      <w:r>
        <w:rPr>
          <w:rFonts w:hint="eastAsia" w:ascii="宋体" w:hAnsi="宋体"/>
          <w:szCs w:val="21"/>
        </w:rPr>
        <w:t>（b）系统运行记录：系统命令执行、控制方式与系统设备状态记录；</w:t>
      </w:r>
    </w:p>
    <w:p>
      <w:pPr>
        <w:ind w:firstLine="420" w:firstLineChars="200"/>
        <w:rPr>
          <w:rFonts w:hint="eastAsia" w:ascii="宋体" w:hAnsi="宋体"/>
          <w:szCs w:val="21"/>
        </w:rPr>
      </w:pPr>
      <w:r>
        <w:rPr>
          <w:rFonts w:hint="eastAsia" w:ascii="宋体" w:hAnsi="宋体"/>
          <w:szCs w:val="21"/>
        </w:rPr>
        <w:t>（c）系统故障记录：传输设备以及路口设备故障记录；</w:t>
      </w:r>
    </w:p>
    <w:p>
      <w:pPr>
        <w:ind w:firstLine="420" w:firstLineChars="200"/>
        <w:rPr>
          <w:rFonts w:ascii="宋体" w:hAnsi="宋体"/>
          <w:szCs w:val="21"/>
        </w:rPr>
      </w:pPr>
      <w:r>
        <w:rPr>
          <w:rFonts w:hint="eastAsia" w:ascii="宋体" w:hAnsi="宋体"/>
          <w:szCs w:val="21"/>
        </w:rPr>
        <w:t>（d）记录查询：可根据日期范围、时间范围、时刻、控制区域、用户、设备等各种限定，方便快捷地查询各类日志记录，并能以常用表格形式打印。路口机控制系统至少记录6</w:t>
      </w:r>
      <w:r>
        <w:rPr>
          <w:rFonts w:ascii="宋体" w:hAnsi="宋体"/>
          <w:szCs w:val="21"/>
        </w:rPr>
        <w:t>0</w:t>
      </w:r>
      <w:r>
        <w:rPr>
          <w:rFonts w:hint="eastAsia" w:ascii="宋体" w:hAnsi="宋体"/>
          <w:szCs w:val="21"/>
        </w:rPr>
        <w:t>个事件进行监测，系统日志、详细操作日志、检测器数据事件记录；</w:t>
      </w:r>
    </w:p>
    <w:p>
      <w:pPr>
        <w:ind w:firstLine="420" w:firstLineChars="200"/>
        <w:rPr>
          <w:rFonts w:hint="eastAsia" w:ascii="宋体" w:hAnsi="宋体"/>
          <w:szCs w:val="21"/>
        </w:rPr>
      </w:pPr>
      <w:r>
        <w:rPr>
          <w:rFonts w:hint="eastAsia" w:ascii="宋体" w:hAnsi="宋体"/>
          <w:szCs w:val="21"/>
        </w:rPr>
        <w:t>（e）对采集的交通流量进行记录，过车信息包括过车时间、车道。</w:t>
      </w:r>
    </w:p>
    <w:p>
      <w:pPr>
        <w:ind w:firstLine="422" w:firstLineChars="200"/>
        <w:rPr>
          <w:rFonts w:hint="eastAsia" w:ascii="宋体" w:hAnsi="宋体"/>
          <w:b/>
          <w:bCs/>
          <w:szCs w:val="21"/>
        </w:rPr>
      </w:pPr>
      <w:r>
        <w:rPr>
          <w:rFonts w:hint="eastAsia" w:ascii="宋体" w:hAnsi="宋体"/>
          <w:b/>
          <w:bCs/>
          <w:szCs w:val="21"/>
        </w:rPr>
        <w:t>（5）系统故障报警</w:t>
      </w:r>
    </w:p>
    <w:p>
      <w:pPr>
        <w:ind w:firstLine="420" w:firstLineChars="200"/>
        <w:rPr>
          <w:rFonts w:hint="eastAsia" w:ascii="宋体" w:hAnsi="宋体"/>
          <w:szCs w:val="21"/>
        </w:rPr>
      </w:pPr>
      <w:r>
        <w:rPr>
          <w:rFonts w:hint="eastAsia" w:ascii="宋体" w:hAnsi="宋体"/>
          <w:szCs w:val="21"/>
        </w:rPr>
        <w:t>传输单元故障，信号控制器、车辆检测器、可变标志等路口设备故障，均能有详细的分类故障代码；故障发生时能通过异常信息生成故障记录并实时上传至中心，在故障消除后或操作员确认后取消报警。</w:t>
      </w:r>
    </w:p>
    <w:p>
      <w:pPr>
        <w:ind w:firstLine="422" w:firstLineChars="200"/>
        <w:rPr>
          <w:rFonts w:hint="eastAsia" w:ascii="宋体" w:hAnsi="宋体"/>
          <w:b/>
          <w:bCs/>
          <w:szCs w:val="21"/>
        </w:rPr>
      </w:pPr>
      <w:r>
        <w:rPr>
          <w:rFonts w:ascii="宋体" w:hAnsi="宋体"/>
          <w:b/>
          <w:bCs/>
          <w:szCs w:val="21"/>
        </w:rPr>
        <w:t>7.2</w:t>
      </w:r>
      <w:r>
        <w:rPr>
          <w:rFonts w:hint="eastAsia" w:ascii="宋体" w:hAnsi="宋体"/>
          <w:b/>
          <w:bCs/>
          <w:szCs w:val="21"/>
        </w:rPr>
        <w:t>控制功能</w:t>
      </w:r>
    </w:p>
    <w:p>
      <w:pPr>
        <w:ind w:firstLine="420" w:firstLineChars="200"/>
        <w:rPr>
          <w:rFonts w:hint="eastAsia" w:ascii="宋体" w:hAnsi="宋体"/>
          <w:szCs w:val="21"/>
        </w:rPr>
      </w:pPr>
      <w:r>
        <w:rPr>
          <w:rFonts w:hint="eastAsia" w:ascii="宋体" w:hAnsi="宋体"/>
          <w:szCs w:val="21"/>
        </w:rPr>
        <w:t>（1）路口信号控制机可作位独立信号控制器使用。确保在信号通讯不畅或中央控制计算机停止工作状态时，不影响路口可实行单点自适应方案：可设置本相位最小绿灯时间时长，根据路口车流量、车辆占有率以及车速自主调整实际绿灯时长，同时可设置本相位最长绿灯时长。</w:t>
      </w:r>
    </w:p>
    <w:p>
      <w:pPr>
        <w:ind w:firstLine="420" w:firstLineChars="200"/>
        <w:rPr>
          <w:rFonts w:hint="eastAsia" w:ascii="宋体" w:hAnsi="宋体"/>
          <w:szCs w:val="21"/>
        </w:rPr>
      </w:pPr>
      <w:r>
        <w:rPr>
          <w:rFonts w:hint="eastAsia" w:ascii="宋体" w:hAnsi="宋体"/>
          <w:szCs w:val="21"/>
        </w:rPr>
        <w:t>（2）接受并执行控制中心的指令，同时可接受手动控制方式的介入。手动控制方式的介入与退出时，信号灯相位转换做到平滑过渡。手动控制方式可通过路口机柜控制，也可通过近距离遥控器进行遥控；手动遥控距离达到100米。</w:t>
      </w:r>
    </w:p>
    <w:p>
      <w:pPr>
        <w:ind w:firstLine="420" w:firstLineChars="200"/>
        <w:rPr>
          <w:rFonts w:ascii="宋体" w:hAnsi="宋体"/>
          <w:szCs w:val="21"/>
        </w:rPr>
      </w:pPr>
      <w:r>
        <w:rPr>
          <w:rFonts w:hint="eastAsia" w:ascii="宋体" w:hAnsi="宋体"/>
          <w:szCs w:val="21"/>
        </w:rPr>
        <w:t xml:space="preserve">（3）可预置对特殊事件的优先控制。对需求相位进行延长绿灯时长，其他相位缩短绿灯时长，实现各类优先通行政策。 </w:t>
      </w:r>
    </w:p>
    <w:p>
      <w:pPr>
        <w:ind w:firstLine="420" w:firstLineChars="200"/>
        <w:rPr>
          <w:rFonts w:ascii="宋体" w:hAnsi="宋体"/>
          <w:szCs w:val="21"/>
        </w:rPr>
      </w:pPr>
      <w:r>
        <w:rPr>
          <w:rFonts w:hint="eastAsia" w:ascii="宋体" w:hAnsi="宋体"/>
          <w:szCs w:val="21"/>
        </w:rPr>
        <w:t>（a）紧急车辆优先控制。系统能够按预定时间和预定路线进行绿波信号推进，以满足各种重大活动、重大事件及特殊**的通行需求。系统能响应特殊情况下的**、消防、救护、抢险等特种车辆的紧急请求，使车辆迅速通过沿线路口，并可设定级别。同时可利用人工控制方式即时控制某一方向的信号；</w:t>
      </w:r>
    </w:p>
    <w:p>
      <w:pPr>
        <w:ind w:firstLine="420" w:firstLineChars="200"/>
        <w:rPr>
          <w:rFonts w:hint="eastAsia" w:ascii="宋体" w:hAnsi="宋体"/>
          <w:szCs w:val="21"/>
        </w:rPr>
      </w:pPr>
      <w:r>
        <w:rPr>
          <w:rFonts w:hint="eastAsia" w:ascii="宋体" w:hAnsi="宋体"/>
          <w:szCs w:val="21"/>
        </w:rPr>
        <w:t>（b）公交优先控制。系统具有一种或多种科学合理、灵活实用的公交优先控制算法并能执行相应的优先控制，以满足一般公交优先、双向高频度公交优先或多方向公交优先的需求。</w:t>
      </w:r>
    </w:p>
    <w:p>
      <w:pPr>
        <w:ind w:firstLine="420" w:firstLineChars="200"/>
        <w:rPr>
          <w:rFonts w:hint="eastAsia" w:ascii="宋体" w:hAnsi="宋体"/>
          <w:szCs w:val="21"/>
        </w:rPr>
      </w:pPr>
      <w:r>
        <w:rPr>
          <w:rFonts w:hint="eastAsia" w:ascii="宋体" w:hAnsi="宋体"/>
          <w:szCs w:val="21"/>
        </w:rPr>
        <w:t>（4）路口机动车、行人相位单独输出控制。路口信号控制器采用不少于8个主相位控制、4个跟随相位控制、4个行人独立相位，车辆、行人可独立控制。</w:t>
      </w:r>
    </w:p>
    <w:p>
      <w:pPr>
        <w:ind w:firstLine="420" w:firstLineChars="200"/>
        <w:rPr>
          <w:rFonts w:hint="eastAsia" w:ascii="宋体" w:hAnsi="宋体"/>
          <w:szCs w:val="21"/>
        </w:rPr>
      </w:pPr>
      <w:r>
        <w:rPr>
          <w:rFonts w:hint="eastAsia" w:ascii="宋体" w:hAnsi="宋体"/>
          <w:szCs w:val="21"/>
        </w:rPr>
        <w:t>（5）机动车信号灯灯色转换顺序如下：红灯-全红-绿灯-绿脉冲（绿灯倒计时触发脉冲信号2</w:t>
      </w:r>
      <w:r>
        <w:rPr>
          <w:rFonts w:ascii="宋体" w:hAnsi="宋体"/>
          <w:szCs w:val="21"/>
        </w:rPr>
        <w:t>00ms</w:t>
      </w:r>
      <w:r>
        <w:rPr>
          <w:rFonts w:hint="eastAsia" w:ascii="宋体" w:hAnsi="宋体"/>
          <w:szCs w:val="21"/>
        </w:rPr>
        <w:t>灭灯）-绿灯（1秒以上可设置）-绿闪（0.</w:t>
      </w:r>
      <w:r>
        <w:rPr>
          <w:rFonts w:ascii="宋体" w:hAnsi="宋体"/>
          <w:szCs w:val="21"/>
        </w:rPr>
        <w:t>5</w:t>
      </w:r>
      <w:r>
        <w:rPr>
          <w:rFonts w:hint="eastAsia" w:ascii="宋体" w:hAnsi="宋体"/>
          <w:szCs w:val="21"/>
        </w:rPr>
        <w:t>秒灭-</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秒亮…-</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秒灭）-黄灯-红灯-红脉冲（红灯倒计时触发脉冲信号2</w:t>
      </w:r>
      <w:r>
        <w:rPr>
          <w:rFonts w:ascii="宋体" w:hAnsi="宋体"/>
          <w:szCs w:val="21"/>
        </w:rPr>
        <w:t>00ms</w:t>
      </w:r>
      <w:r>
        <w:rPr>
          <w:rFonts w:hint="eastAsia" w:ascii="宋体" w:hAnsi="宋体"/>
          <w:szCs w:val="21"/>
        </w:rPr>
        <w:t>灭灯）-红灯；行人信号灯灯色转换顺序如下：红灯-全红-绿灯-绿脉冲（绿灯倒计时触发脉冲信号2</w:t>
      </w:r>
      <w:r>
        <w:rPr>
          <w:rFonts w:ascii="宋体" w:hAnsi="宋体"/>
          <w:szCs w:val="21"/>
        </w:rPr>
        <w:t>00ms</w:t>
      </w:r>
      <w:r>
        <w:rPr>
          <w:rFonts w:hint="eastAsia" w:ascii="宋体" w:hAnsi="宋体"/>
          <w:szCs w:val="21"/>
        </w:rPr>
        <w:t>灭灯）-绿灯（1秒以上可设置）-绿闪（0.</w:t>
      </w:r>
      <w:r>
        <w:rPr>
          <w:rFonts w:ascii="宋体" w:hAnsi="宋体"/>
          <w:szCs w:val="21"/>
        </w:rPr>
        <w:t>5</w:t>
      </w:r>
      <w:r>
        <w:rPr>
          <w:rFonts w:hint="eastAsia" w:ascii="宋体" w:hAnsi="宋体"/>
          <w:szCs w:val="21"/>
        </w:rPr>
        <w:t>秒灭-</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秒亮…-</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秒灭）-红灯-红脉冲（红灯倒计时触发脉冲信号2</w:t>
      </w:r>
      <w:r>
        <w:rPr>
          <w:rFonts w:ascii="宋体" w:hAnsi="宋体"/>
          <w:szCs w:val="21"/>
        </w:rPr>
        <w:t>00ms</w:t>
      </w:r>
      <w:r>
        <w:rPr>
          <w:rFonts w:hint="eastAsia" w:ascii="宋体" w:hAnsi="宋体"/>
          <w:szCs w:val="21"/>
        </w:rPr>
        <w:t>灭灯）-红灯。灯色转换如下图（2相序为例）：</w:t>
      </w:r>
    </w:p>
    <w:p>
      <w:pPr>
        <w:rPr>
          <w:rFonts w:hint="eastAsia" w:ascii="宋体" w:hAnsi="宋体"/>
          <w:lang w:val="zh-CN"/>
        </w:rPr>
      </w:pPr>
      <w:r>
        <w:rPr>
          <w:rFonts w:ascii="宋体" w:hAnsi="宋体"/>
          <w:sz w:val="28"/>
          <w:szCs w:val="28"/>
          <w:lang/>
        </w:rPr>
        <w:drawing>
          <wp:inline distT="0" distB="0" distL="114300" distR="114300">
            <wp:extent cx="5848985" cy="2340610"/>
            <wp:effectExtent l="0" t="0" r="18415" b="2540"/>
            <wp:docPr id="41" name="图片 1" descr="说明: 信号灯灯色转换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说明: 信号灯灯色转换示意图"/>
                    <pic:cNvPicPr>
                      <a:picLocks noChangeAspect="1"/>
                    </pic:cNvPicPr>
                  </pic:nvPicPr>
                  <pic:blipFill>
                    <a:blip r:embed="rId37"/>
                    <a:stretch>
                      <a:fillRect/>
                    </a:stretch>
                  </pic:blipFill>
                  <pic:spPr>
                    <a:xfrm>
                      <a:off x="0" y="0"/>
                      <a:ext cx="5848985" cy="2340610"/>
                    </a:xfrm>
                    <a:prstGeom prst="rect">
                      <a:avLst/>
                    </a:prstGeom>
                    <a:noFill/>
                    <a:ln>
                      <a:noFill/>
                    </a:ln>
                  </pic:spPr>
                </pic:pic>
              </a:graphicData>
            </a:graphic>
          </wp:inline>
        </w:drawing>
      </w:r>
    </w:p>
    <w:p>
      <w:pPr>
        <w:ind w:firstLine="420" w:firstLineChars="200"/>
        <w:rPr>
          <w:rFonts w:hint="eastAsia" w:ascii="宋体" w:hAnsi="宋体"/>
          <w:szCs w:val="21"/>
        </w:rPr>
      </w:pPr>
      <w:r>
        <w:rPr>
          <w:rFonts w:hint="eastAsia" w:ascii="宋体" w:hAnsi="宋体"/>
          <w:szCs w:val="21"/>
        </w:rPr>
        <w:t>（6）具备灵活的跟随相位设置功能，优先相位的紧急调用功能；自适应绿信比调整、自适应信号周期调整、自适应相位差调整。</w:t>
      </w:r>
    </w:p>
    <w:p>
      <w:pPr>
        <w:ind w:firstLine="420" w:firstLineChars="200"/>
        <w:rPr>
          <w:rFonts w:hint="eastAsia" w:ascii="宋体" w:hAnsi="宋体"/>
          <w:szCs w:val="21"/>
        </w:rPr>
      </w:pPr>
      <w:r>
        <w:rPr>
          <w:rFonts w:hint="eastAsia" w:ascii="宋体" w:hAnsi="宋体"/>
          <w:szCs w:val="21"/>
        </w:rPr>
        <w:t>（7）动态方案选择控制</w:t>
      </w:r>
    </w:p>
    <w:p>
      <w:pPr>
        <w:ind w:firstLine="420" w:firstLineChars="200"/>
        <w:rPr>
          <w:rFonts w:hint="eastAsia" w:ascii="宋体" w:hAnsi="宋体"/>
          <w:szCs w:val="21"/>
        </w:rPr>
      </w:pPr>
      <w:r>
        <w:rPr>
          <w:rFonts w:hint="eastAsia" w:ascii="宋体" w:hAnsi="宋体"/>
          <w:szCs w:val="21"/>
        </w:rPr>
        <w:t>根据实时交通流检测信息，从系统方案库中调用适宜方案。</w:t>
      </w:r>
    </w:p>
    <w:p>
      <w:pPr>
        <w:ind w:firstLine="420" w:firstLineChars="200"/>
        <w:rPr>
          <w:rFonts w:hint="eastAsia" w:ascii="宋体" w:hAnsi="宋体"/>
          <w:szCs w:val="21"/>
        </w:rPr>
      </w:pPr>
      <w:r>
        <w:rPr>
          <w:rFonts w:hint="eastAsia" w:ascii="宋体" w:hAnsi="宋体"/>
          <w:szCs w:val="21"/>
        </w:rPr>
        <w:t>（8）线协调控制</w:t>
      </w:r>
    </w:p>
    <w:p>
      <w:pPr>
        <w:ind w:firstLine="420" w:firstLineChars="200"/>
        <w:rPr>
          <w:rFonts w:hint="eastAsia" w:ascii="宋体" w:hAnsi="宋体"/>
          <w:szCs w:val="21"/>
        </w:rPr>
      </w:pPr>
      <w:r>
        <w:rPr>
          <w:rFonts w:hint="eastAsia" w:ascii="宋体" w:hAnsi="宋体"/>
          <w:szCs w:val="21"/>
        </w:rPr>
        <w:t>按照系统时间表设置进行线协调控制。协调控制方案不少于32个。</w:t>
      </w:r>
    </w:p>
    <w:p>
      <w:pPr>
        <w:ind w:firstLine="420" w:firstLineChars="200"/>
        <w:rPr>
          <w:rFonts w:hint="eastAsia" w:ascii="宋体" w:hAnsi="宋体"/>
          <w:szCs w:val="21"/>
        </w:rPr>
      </w:pPr>
      <w:r>
        <w:rPr>
          <w:rFonts w:hint="eastAsia" w:ascii="宋体" w:hAnsi="宋体"/>
          <w:szCs w:val="21"/>
        </w:rPr>
        <w:t>（9）感应式线协调控制</w:t>
      </w:r>
    </w:p>
    <w:p>
      <w:pPr>
        <w:ind w:firstLine="420" w:firstLineChars="200"/>
        <w:rPr>
          <w:rFonts w:hint="eastAsia" w:ascii="宋体" w:hAnsi="宋体"/>
          <w:szCs w:val="21"/>
        </w:rPr>
      </w:pPr>
      <w:r>
        <w:rPr>
          <w:rFonts w:hint="eastAsia" w:ascii="宋体" w:hAnsi="宋体"/>
          <w:szCs w:val="21"/>
        </w:rPr>
        <w:t>系统能够在保证线协调控制的条件下响应冲突方向车辆感应请求。</w:t>
      </w:r>
    </w:p>
    <w:p>
      <w:pPr>
        <w:ind w:firstLine="420" w:firstLineChars="200"/>
        <w:rPr>
          <w:rFonts w:hint="eastAsia" w:ascii="宋体" w:hAnsi="宋体"/>
          <w:szCs w:val="21"/>
        </w:rPr>
      </w:pPr>
      <w:r>
        <w:rPr>
          <w:rFonts w:hint="eastAsia" w:ascii="宋体" w:hAnsi="宋体"/>
          <w:szCs w:val="21"/>
        </w:rPr>
        <w:t>（10）行人控制</w:t>
      </w:r>
    </w:p>
    <w:p>
      <w:pPr>
        <w:ind w:firstLine="420" w:firstLineChars="200"/>
        <w:rPr>
          <w:rFonts w:hint="eastAsia" w:ascii="宋体" w:hAnsi="宋体"/>
          <w:szCs w:val="21"/>
        </w:rPr>
      </w:pPr>
      <w:r>
        <w:rPr>
          <w:rFonts w:hint="eastAsia" w:ascii="宋体" w:hAnsi="宋体"/>
          <w:szCs w:val="21"/>
        </w:rPr>
        <w:t>（a）路口行人过街控制应具有请求式控制方式和预案式控制方式；</w:t>
      </w:r>
    </w:p>
    <w:p>
      <w:pPr>
        <w:ind w:firstLine="420" w:firstLineChars="200"/>
        <w:rPr>
          <w:rFonts w:hint="eastAsia" w:ascii="宋体" w:hAnsi="宋体"/>
          <w:szCs w:val="21"/>
        </w:rPr>
      </w:pPr>
      <w:r>
        <w:rPr>
          <w:rFonts w:hint="eastAsia" w:ascii="宋体" w:hAnsi="宋体"/>
          <w:szCs w:val="21"/>
        </w:rPr>
        <w:t>（b）系统能够在线协调或区域协调控制的条件下及时响应或等待响应路段行人过街请求，使行人利用交通流间隙过街通行；</w:t>
      </w:r>
    </w:p>
    <w:p>
      <w:pPr>
        <w:ind w:firstLine="420" w:firstLineChars="200"/>
        <w:rPr>
          <w:rFonts w:hint="eastAsia" w:ascii="宋体" w:hAnsi="宋体"/>
          <w:szCs w:val="21"/>
        </w:rPr>
      </w:pPr>
      <w:r>
        <w:rPr>
          <w:rFonts w:hint="eastAsia" w:ascii="宋体" w:hAnsi="宋体"/>
          <w:szCs w:val="21"/>
        </w:rPr>
        <w:t>（c）利用感应技术，判断行人与非机动车过街情况，确保行人与非机动车过街基本时间。</w:t>
      </w:r>
    </w:p>
    <w:p>
      <w:pPr>
        <w:ind w:firstLine="420" w:firstLineChars="200"/>
        <w:rPr>
          <w:rFonts w:hint="eastAsia" w:ascii="宋体" w:hAnsi="宋体"/>
          <w:szCs w:val="21"/>
        </w:rPr>
      </w:pPr>
      <w:r>
        <w:rPr>
          <w:rFonts w:hint="eastAsia" w:ascii="宋体" w:hAnsi="宋体"/>
          <w:szCs w:val="21"/>
        </w:rPr>
        <w:t>（11）快速路出入口控制</w:t>
      </w:r>
    </w:p>
    <w:p>
      <w:pPr>
        <w:ind w:firstLine="420" w:firstLineChars="200"/>
        <w:rPr>
          <w:rFonts w:hint="eastAsia" w:ascii="宋体" w:hAnsi="宋体"/>
          <w:szCs w:val="21"/>
        </w:rPr>
      </w:pPr>
      <w:r>
        <w:rPr>
          <w:rFonts w:hint="eastAsia" w:ascii="宋体" w:hAnsi="宋体"/>
          <w:szCs w:val="21"/>
        </w:rPr>
        <w:t>（a）系统能够对快速路出入口进行协调优化控制；</w:t>
      </w:r>
    </w:p>
    <w:p>
      <w:pPr>
        <w:ind w:firstLine="420" w:firstLineChars="200"/>
        <w:rPr>
          <w:rFonts w:hint="eastAsia" w:ascii="宋体" w:hAnsi="宋体"/>
          <w:szCs w:val="21"/>
        </w:rPr>
      </w:pPr>
      <w:r>
        <w:rPr>
          <w:rFonts w:hint="eastAsia" w:ascii="宋体" w:hAnsi="宋体"/>
          <w:szCs w:val="21"/>
        </w:rPr>
        <w:t>（b）系统能够根据快速路出入口的交通需求及其相邻道路的交通状态实时调整控制方式，达到快速路出入口与其相邻路口相互协调的自适应控制。</w:t>
      </w:r>
    </w:p>
    <w:p>
      <w:pPr>
        <w:ind w:firstLine="420" w:firstLineChars="200"/>
        <w:rPr>
          <w:rFonts w:hint="eastAsia" w:ascii="宋体" w:hAnsi="宋体"/>
          <w:szCs w:val="21"/>
        </w:rPr>
      </w:pPr>
      <w:r>
        <w:rPr>
          <w:rFonts w:hint="eastAsia" w:ascii="宋体" w:hAnsi="宋体"/>
          <w:szCs w:val="21"/>
        </w:rPr>
        <w:t>（12）城市轻轨交叉口控制</w:t>
      </w:r>
    </w:p>
    <w:p>
      <w:pPr>
        <w:ind w:firstLine="420" w:firstLineChars="200"/>
        <w:rPr>
          <w:rFonts w:hint="eastAsia" w:ascii="宋体" w:hAnsi="宋体"/>
          <w:szCs w:val="21"/>
        </w:rPr>
      </w:pPr>
      <w:r>
        <w:rPr>
          <w:rFonts w:hint="eastAsia" w:ascii="宋体" w:hAnsi="宋体"/>
          <w:szCs w:val="21"/>
        </w:rPr>
        <w:t>系统具有城市轻轨与市政道路交叉口的交通组织信号控制功能。实现轨道交通最优先放行，无轨道交通不放行的需求。</w:t>
      </w:r>
    </w:p>
    <w:p>
      <w:pPr>
        <w:ind w:firstLine="420" w:firstLineChars="200"/>
        <w:rPr>
          <w:rFonts w:hint="eastAsia" w:ascii="宋体" w:hAnsi="宋体"/>
          <w:szCs w:val="21"/>
        </w:rPr>
      </w:pPr>
      <w:r>
        <w:rPr>
          <w:rFonts w:hint="eastAsia" w:ascii="宋体" w:hAnsi="宋体"/>
          <w:szCs w:val="21"/>
        </w:rPr>
        <w:t>（13）强制控制</w:t>
      </w:r>
    </w:p>
    <w:p>
      <w:pPr>
        <w:ind w:firstLine="420" w:firstLineChars="200"/>
        <w:rPr>
          <w:rFonts w:ascii="宋体" w:hAnsi="宋体"/>
          <w:szCs w:val="21"/>
        </w:rPr>
      </w:pPr>
      <w:r>
        <w:rPr>
          <w:rFonts w:hint="eastAsia" w:ascii="宋体" w:hAnsi="宋体"/>
          <w:szCs w:val="21"/>
        </w:rPr>
        <w:t>允许系统中心操作员直接控制系统内设置的相位组信号。</w:t>
      </w:r>
    </w:p>
    <w:p>
      <w:pPr>
        <w:ind w:firstLine="420" w:firstLineChars="200"/>
        <w:rPr>
          <w:rFonts w:ascii="宋体" w:hAnsi="宋体"/>
          <w:szCs w:val="21"/>
        </w:rPr>
      </w:pPr>
      <w:bookmarkStart w:id="80" w:name="_Toc343071674"/>
      <w:bookmarkStart w:id="81" w:name="_Toc207597835"/>
      <w:bookmarkStart w:id="82" w:name="_Toc343169457"/>
      <w:bookmarkStart w:id="83" w:name="_Toc342919272"/>
      <w:r>
        <w:rPr>
          <w:rFonts w:hint="eastAsia" w:ascii="宋体" w:hAnsi="宋体"/>
          <w:szCs w:val="21"/>
        </w:rPr>
        <w:t>（14）闪光控制</w:t>
      </w:r>
      <w:bookmarkEnd w:id="80"/>
      <w:bookmarkEnd w:id="81"/>
      <w:bookmarkEnd w:id="82"/>
      <w:bookmarkEnd w:id="83"/>
    </w:p>
    <w:p>
      <w:pPr>
        <w:ind w:firstLine="420" w:firstLineChars="200"/>
        <w:rPr>
          <w:rFonts w:ascii="宋体" w:hAnsi="宋体"/>
          <w:szCs w:val="21"/>
        </w:rPr>
      </w:pPr>
      <w:r>
        <w:rPr>
          <w:rFonts w:hint="eastAsia" w:ascii="宋体" w:hAnsi="宋体"/>
          <w:szCs w:val="21"/>
        </w:rPr>
        <w:t>在闪光控制方式下，各信号源对应的通道按照预先设定的闪光模式和一定的频率进行闪光；</w:t>
      </w:r>
    </w:p>
    <w:p>
      <w:pPr>
        <w:ind w:firstLine="420" w:firstLineChars="200"/>
        <w:rPr>
          <w:rFonts w:ascii="宋体" w:hAnsi="宋体"/>
          <w:szCs w:val="21"/>
        </w:rPr>
      </w:pPr>
      <w:r>
        <w:rPr>
          <w:rFonts w:hint="eastAsia" w:ascii="宋体" w:hAnsi="宋体"/>
          <w:szCs w:val="21"/>
        </w:rPr>
        <w:t>（a）启动闪光：信号机加电启动后，为了保证安全，首先进行一段时间的闪光时间；</w:t>
      </w:r>
    </w:p>
    <w:p>
      <w:pPr>
        <w:ind w:firstLine="420" w:firstLineChars="200"/>
        <w:rPr>
          <w:rFonts w:ascii="宋体" w:hAnsi="宋体"/>
          <w:szCs w:val="21"/>
        </w:rPr>
      </w:pPr>
      <w:r>
        <w:rPr>
          <w:rFonts w:hint="eastAsia" w:ascii="宋体" w:hAnsi="宋体"/>
          <w:szCs w:val="21"/>
        </w:rPr>
        <w:t>（b）时段闪光：通过在时段表中配置的闪光时段方案，达到部分地区需要夜间闪光的需求；</w:t>
      </w:r>
    </w:p>
    <w:p>
      <w:pPr>
        <w:ind w:firstLine="420" w:firstLineChars="200"/>
        <w:rPr>
          <w:rFonts w:ascii="宋体" w:hAnsi="宋体"/>
          <w:szCs w:val="21"/>
        </w:rPr>
      </w:pPr>
      <w:r>
        <w:rPr>
          <w:rFonts w:hint="eastAsia" w:ascii="宋体" w:hAnsi="宋体"/>
          <w:szCs w:val="21"/>
        </w:rPr>
        <w:t>（c）命令闪光：由中心系统、信号机维护工具、遥控器或手动面板向信号机发送闪光控制命令，无论当前系统正在运行何种低优先级控制，将立即进入闪光控制；</w:t>
      </w:r>
    </w:p>
    <w:p>
      <w:pPr>
        <w:ind w:firstLine="420" w:firstLineChars="200"/>
        <w:rPr>
          <w:rFonts w:ascii="宋体" w:hAnsi="宋体"/>
          <w:szCs w:val="21"/>
        </w:rPr>
      </w:pPr>
      <w:r>
        <w:rPr>
          <w:rFonts w:hint="eastAsia" w:ascii="宋体" w:hAnsi="宋体"/>
          <w:szCs w:val="21"/>
        </w:rPr>
        <w:t>（d）降级闪光：当系统运行过程中遇到严重故障、方案配置错误等情况时，系统自动降级为闪光控制，并立即执行。</w:t>
      </w:r>
    </w:p>
    <w:p>
      <w:pPr>
        <w:ind w:firstLine="420" w:firstLineChars="200"/>
        <w:rPr>
          <w:rFonts w:ascii="宋体" w:hAnsi="宋体"/>
          <w:szCs w:val="21"/>
        </w:rPr>
      </w:pPr>
      <w:r>
        <w:rPr>
          <w:rFonts w:hint="eastAsia" w:ascii="宋体" w:hAnsi="宋体"/>
          <w:szCs w:val="21"/>
        </w:rPr>
        <w:t>（</w:t>
      </w:r>
      <w:r>
        <w:rPr>
          <w:rFonts w:ascii="宋体" w:hAnsi="宋体"/>
          <w:szCs w:val="21"/>
        </w:rPr>
        <w:t>1</w:t>
      </w:r>
      <w:r>
        <w:rPr>
          <w:rFonts w:hint="eastAsia" w:ascii="宋体" w:hAnsi="宋体"/>
          <w:szCs w:val="21"/>
        </w:rPr>
        <w:t>5</w:t>
      </w:r>
      <w:r>
        <w:rPr>
          <w:rFonts w:ascii="宋体" w:hAnsi="宋体"/>
          <w:szCs w:val="21"/>
        </w:rPr>
        <w:t>）</w:t>
      </w:r>
      <w:bookmarkStart w:id="84" w:name="_Toc342919275"/>
      <w:bookmarkStart w:id="85" w:name="_Toc207597838"/>
      <w:bookmarkStart w:id="86" w:name="_Toc343169460"/>
      <w:bookmarkStart w:id="87" w:name="_Toc343071677"/>
      <w:r>
        <w:rPr>
          <w:rFonts w:hint="eastAsia" w:ascii="宋体" w:hAnsi="宋体"/>
          <w:szCs w:val="21"/>
        </w:rPr>
        <w:t>步进控制</w:t>
      </w:r>
      <w:bookmarkEnd w:id="84"/>
      <w:bookmarkEnd w:id="85"/>
      <w:bookmarkEnd w:id="86"/>
      <w:bookmarkEnd w:id="87"/>
    </w:p>
    <w:p>
      <w:pPr>
        <w:ind w:firstLine="420" w:firstLineChars="200"/>
        <w:rPr>
          <w:rFonts w:hint="eastAsia" w:ascii="宋体" w:hAnsi="宋体"/>
          <w:szCs w:val="21"/>
        </w:rPr>
      </w:pPr>
      <w:r>
        <w:rPr>
          <w:rFonts w:hint="eastAsia" w:ascii="宋体" w:hAnsi="宋体"/>
          <w:szCs w:val="21"/>
        </w:rPr>
        <w:t>信号机可以接收手动面板的步进按键、中心系统和信号机维护工具的步进控制命令，使各相位按预先设置的相序进行灯色转换。同时支持相位“跳跃”功能。</w:t>
      </w:r>
    </w:p>
    <w:p>
      <w:pPr>
        <w:ind w:firstLine="420" w:firstLineChars="200"/>
        <w:rPr>
          <w:rFonts w:ascii="宋体" w:hAnsi="宋体"/>
          <w:szCs w:val="21"/>
        </w:rPr>
      </w:pPr>
      <w:r>
        <w:rPr>
          <w:rFonts w:hint="eastAsia" w:ascii="宋体" w:hAnsi="宋体"/>
          <w:szCs w:val="21"/>
        </w:rPr>
        <w:t>（16）提供可编程的内部逻辑。</w:t>
      </w:r>
    </w:p>
    <w:p>
      <w:pPr>
        <w:ind w:firstLine="420" w:firstLineChars="200"/>
        <w:rPr>
          <w:rFonts w:ascii="宋体" w:hAnsi="宋体"/>
          <w:szCs w:val="21"/>
        </w:rPr>
      </w:pPr>
      <w:r>
        <w:rPr>
          <w:rFonts w:hint="eastAsia" w:ascii="宋体" w:hAnsi="宋体"/>
          <w:szCs w:val="21"/>
        </w:rPr>
        <w:t>提供可编程的逻辑循环，在不使用“定制”的软件或额外的硬件的前提下，以“建筑模块”的方式来提供特殊的功能。可以通过与门、与非门、或门、非门等逻辑功能建立逻辑关系，从而达到特定的信号控制功能需求。至少提供4个与门、2个与非门 、</w:t>
      </w:r>
      <w:r>
        <w:rPr>
          <w:rFonts w:ascii="宋体" w:hAnsi="宋体"/>
          <w:szCs w:val="21"/>
        </w:rPr>
        <w:t>6</w:t>
      </w:r>
      <w:r>
        <w:rPr>
          <w:rFonts w:hint="eastAsia" w:ascii="宋体" w:hAnsi="宋体"/>
          <w:szCs w:val="21"/>
        </w:rPr>
        <w:t>个或门和4个非门。</w:t>
      </w:r>
    </w:p>
    <w:p>
      <w:pPr>
        <w:ind w:firstLine="420" w:firstLineChars="200"/>
        <w:rPr>
          <w:rFonts w:hint="eastAsia" w:ascii="宋体" w:hAnsi="宋体"/>
          <w:szCs w:val="21"/>
        </w:rPr>
      </w:pPr>
      <w:r>
        <w:rPr>
          <w:rFonts w:hint="eastAsia" w:ascii="宋体" w:hAnsi="宋体"/>
          <w:szCs w:val="21"/>
        </w:rPr>
        <w:t>（17）时间表控制功能</w:t>
      </w:r>
    </w:p>
    <w:p>
      <w:pPr>
        <w:ind w:firstLine="420" w:firstLineChars="200"/>
        <w:rPr>
          <w:rFonts w:hint="eastAsia" w:ascii="宋体" w:hAnsi="宋体"/>
          <w:szCs w:val="21"/>
        </w:rPr>
      </w:pPr>
      <w:r>
        <w:rPr>
          <w:rFonts w:hint="eastAsia" w:ascii="宋体" w:hAnsi="宋体"/>
          <w:szCs w:val="21"/>
        </w:rPr>
        <w:t>（a）设置时间包括年、月、周、日、时、分、秒；</w:t>
      </w:r>
    </w:p>
    <w:p>
      <w:pPr>
        <w:ind w:firstLine="420" w:firstLineChars="200"/>
        <w:rPr>
          <w:rFonts w:hint="eastAsia" w:ascii="宋体" w:hAnsi="宋体"/>
          <w:szCs w:val="21"/>
        </w:rPr>
      </w:pPr>
      <w:r>
        <w:rPr>
          <w:rFonts w:hint="eastAsia" w:ascii="宋体" w:hAnsi="宋体"/>
          <w:szCs w:val="21"/>
        </w:rPr>
        <w:t>（b）日时段划分不得低于16个，方案数不得少于32个；</w:t>
      </w:r>
    </w:p>
    <w:p>
      <w:pPr>
        <w:ind w:firstLine="420" w:firstLineChars="200"/>
        <w:rPr>
          <w:rFonts w:hint="eastAsia" w:ascii="宋体" w:hAnsi="宋体"/>
          <w:szCs w:val="21"/>
        </w:rPr>
      </w:pPr>
      <w:r>
        <w:rPr>
          <w:rFonts w:hint="eastAsia" w:ascii="宋体" w:hAnsi="宋体"/>
          <w:szCs w:val="21"/>
        </w:rPr>
        <w:t>（c）设置内容应包括事件、控制模式、控制方案等；</w:t>
      </w:r>
    </w:p>
    <w:p>
      <w:pPr>
        <w:ind w:firstLine="420" w:firstLineChars="200"/>
        <w:rPr>
          <w:rFonts w:hint="eastAsia" w:ascii="宋体" w:hAnsi="宋体"/>
          <w:szCs w:val="21"/>
        </w:rPr>
      </w:pPr>
      <w:r>
        <w:rPr>
          <w:rFonts w:hint="eastAsia" w:ascii="宋体" w:hAnsi="宋体"/>
          <w:szCs w:val="21"/>
        </w:rPr>
        <w:t>（d）系统可分别设置工作日、周末、节日或特别指定日的时间表，系统根据日期自动改变执行时间表。</w:t>
      </w:r>
    </w:p>
    <w:p>
      <w:pPr>
        <w:ind w:firstLine="422" w:firstLineChars="200"/>
        <w:rPr>
          <w:rFonts w:hint="eastAsia" w:ascii="宋体" w:hAnsi="宋体"/>
          <w:b/>
          <w:bCs/>
          <w:szCs w:val="21"/>
        </w:rPr>
      </w:pPr>
      <w:r>
        <w:rPr>
          <w:rFonts w:hint="eastAsia" w:ascii="宋体" w:hAnsi="宋体"/>
          <w:b/>
          <w:bCs/>
          <w:szCs w:val="21"/>
        </w:rPr>
        <w:t>3、传输功能</w:t>
      </w:r>
    </w:p>
    <w:p>
      <w:pPr>
        <w:ind w:firstLine="420" w:firstLineChars="200"/>
        <w:rPr>
          <w:rFonts w:hint="eastAsia" w:ascii="宋体" w:hAnsi="宋体"/>
          <w:szCs w:val="21"/>
        </w:rPr>
      </w:pPr>
      <w:r>
        <w:rPr>
          <w:rFonts w:hint="eastAsia" w:ascii="宋体" w:hAnsi="宋体"/>
          <w:szCs w:val="21"/>
        </w:rPr>
        <w:t>在传输设计时须充分考虑系统的可靠性、扩展性与开发性，同时考虑与其他系统信号传输的复用。信号控制机与中心信号控制系统的通讯决定采用无线通讯方式（电信VPDN专网），并支持有线光纤通讯方式。目前，仍延续使用电信VPDN专网通信，采用4G无线物联技术。</w:t>
      </w:r>
    </w:p>
    <w:p>
      <w:pPr>
        <w:ind w:firstLine="420" w:firstLineChars="200"/>
        <w:rPr>
          <w:rFonts w:hint="eastAsia" w:ascii="宋体" w:hAnsi="宋体"/>
          <w:szCs w:val="21"/>
        </w:rPr>
      </w:pPr>
      <w:r>
        <w:rPr>
          <w:rFonts w:hint="eastAsia" w:ascii="宋体" w:hAnsi="宋体"/>
          <w:szCs w:val="21"/>
        </w:rPr>
        <w:t>所采用的无线通讯模块技术要求：</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6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供电</w:t>
            </w:r>
          </w:p>
        </w:tc>
        <w:tc>
          <w:tcPr>
            <w:tcW w:w="6989" w:type="dxa"/>
            <w:noWrap w:val="0"/>
            <w:vAlign w:val="top"/>
          </w:tcPr>
          <w:p>
            <w:pPr>
              <w:spacing w:after="60" w:afterLines="25" w:line="360" w:lineRule="exact"/>
              <w:jc w:val="left"/>
              <w:rPr>
                <w:rFonts w:hint="eastAsia" w:ascii="宋体" w:hAnsi="宋体"/>
                <w:szCs w:val="21"/>
              </w:rPr>
            </w:pPr>
            <w:r>
              <w:rPr>
                <w:rFonts w:hint="eastAsia" w:ascii="宋体" w:hAnsi="宋体"/>
                <w:szCs w:val="21"/>
              </w:rPr>
              <w:t>＋9</w:t>
            </w:r>
            <w:r>
              <w:rPr>
                <w:rFonts w:ascii="宋体" w:hAnsi="宋体"/>
                <w:szCs w:val="21"/>
              </w:rPr>
              <w:t xml:space="preserve">—36V </w:t>
            </w:r>
            <w:r>
              <w:rPr>
                <w:rFonts w:hint="eastAsia" w:ascii="宋体" w:hAnsi="宋体"/>
                <w:szCs w:val="21"/>
              </w:rPr>
              <w:t>宽电压输入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工作电流最大</w:t>
            </w:r>
          </w:p>
        </w:tc>
        <w:tc>
          <w:tcPr>
            <w:tcW w:w="6989" w:type="dxa"/>
            <w:noWrap w:val="0"/>
            <w:vAlign w:val="top"/>
          </w:tcPr>
          <w:p>
            <w:pPr>
              <w:spacing w:after="60" w:afterLines="25" w:line="360" w:lineRule="exact"/>
              <w:jc w:val="left"/>
              <w:rPr>
                <w:rFonts w:hint="eastAsia" w:ascii="宋体" w:hAnsi="宋体"/>
                <w:szCs w:val="21"/>
              </w:rPr>
            </w:pPr>
            <w:r>
              <w:rPr>
                <w:rFonts w:hint="eastAsia" w:ascii="宋体" w:hAnsi="宋体"/>
                <w:szCs w:val="21"/>
              </w:rPr>
              <w:t>23</w:t>
            </w:r>
            <w:r>
              <w:rPr>
                <w:rFonts w:ascii="宋体" w:hAnsi="宋体"/>
                <w:szCs w:val="21"/>
              </w:rPr>
              <w:t>0mA@+</w:t>
            </w:r>
            <w:r>
              <w:rPr>
                <w:rFonts w:hint="eastAsia" w:ascii="宋体" w:hAnsi="宋体"/>
                <w:szCs w:val="21"/>
              </w:rPr>
              <w:t>12</w:t>
            </w:r>
            <w:r>
              <w:rPr>
                <w:rFonts w:ascii="宋体" w:hAnsi="宋体"/>
                <w:szCs w:val="21"/>
              </w:rPr>
              <w:t>V 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待机电流</w:t>
            </w:r>
          </w:p>
        </w:tc>
        <w:tc>
          <w:tcPr>
            <w:tcW w:w="6989" w:type="dxa"/>
            <w:noWrap w:val="0"/>
            <w:vAlign w:val="top"/>
          </w:tcPr>
          <w:p>
            <w:pPr>
              <w:spacing w:after="60" w:afterLines="25" w:line="360" w:lineRule="exact"/>
              <w:jc w:val="left"/>
              <w:rPr>
                <w:rFonts w:hint="eastAsia" w:ascii="宋体" w:hAnsi="宋体"/>
                <w:szCs w:val="21"/>
              </w:rPr>
            </w:pPr>
            <w:r>
              <w:rPr>
                <w:rFonts w:hint="eastAsia" w:ascii="宋体" w:hAnsi="宋体"/>
                <w:szCs w:val="21"/>
              </w:rPr>
              <w:t>13</w:t>
            </w:r>
            <w:r>
              <w:rPr>
                <w:rFonts w:ascii="宋体" w:hAnsi="宋体"/>
                <w:szCs w:val="21"/>
              </w:rPr>
              <w:t>0mA@+</w:t>
            </w:r>
            <w:r>
              <w:rPr>
                <w:rFonts w:hint="eastAsia" w:ascii="宋体" w:hAnsi="宋体"/>
                <w:szCs w:val="21"/>
              </w:rPr>
              <w:t>12</w:t>
            </w:r>
            <w:r>
              <w:rPr>
                <w:rFonts w:ascii="宋体" w:hAnsi="宋体"/>
                <w:szCs w:val="21"/>
              </w:rPr>
              <w:t>V 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数据接口</w:t>
            </w:r>
          </w:p>
        </w:tc>
        <w:tc>
          <w:tcPr>
            <w:tcW w:w="6989" w:type="dxa"/>
            <w:noWrap w:val="0"/>
            <w:vAlign w:val="top"/>
          </w:tcPr>
          <w:p>
            <w:pPr>
              <w:spacing w:after="60" w:afterLines="25" w:line="360" w:lineRule="exact"/>
              <w:jc w:val="left"/>
              <w:rPr>
                <w:rFonts w:hint="eastAsia" w:ascii="宋体" w:hAnsi="宋体"/>
                <w:szCs w:val="21"/>
              </w:rPr>
            </w:pPr>
            <w:r>
              <w:rPr>
                <w:rFonts w:ascii="宋体" w:hAnsi="宋体"/>
                <w:szCs w:val="21"/>
              </w:rPr>
              <w:t>RS232/</w:t>
            </w:r>
            <w:r>
              <w:rPr>
                <w:rFonts w:hint="eastAsia" w:ascii="宋体" w:hAnsi="宋体"/>
                <w:szCs w:val="21"/>
              </w:rPr>
              <w:t>RS485，</w:t>
            </w:r>
            <w:r>
              <w:rPr>
                <w:rFonts w:ascii="宋体" w:hAnsi="宋体"/>
                <w:szCs w:val="21"/>
              </w:rPr>
              <w:t>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网络</w:t>
            </w:r>
          </w:p>
        </w:tc>
        <w:tc>
          <w:tcPr>
            <w:tcW w:w="6989" w:type="dxa"/>
            <w:noWrap w:val="0"/>
            <w:vAlign w:val="top"/>
          </w:tcPr>
          <w:p>
            <w:pPr>
              <w:spacing w:after="60" w:afterLines="25" w:line="360" w:lineRule="exact"/>
              <w:jc w:val="left"/>
              <w:rPr>
                <w:rFonts w:ascii="宋体" w:hAnsi="宋体"/>
                <w:szCs w:val="21"/>
              </w:rPr>
            </w:pPr>
            <w:r>
              <w:rPr>
                <w:rFonts w:ascii="宋体" w:hAnsi="宋体"/>
                <w:szCs w:val="21"/>
              </w:rPr>
              <w:t>LTE-TDD/LTE-FDD/TD-SCDMA/HSPA+/UMTS/EDGE/GPRS/GSM</w:t>
            </w:r>
            <w:r>
              <w:rPr>
                <w:rFonts w:hint="eastAsia" w:ascii="宋体" w:hAnsi="宋体"/>
                <w:szCs w:val="21"/>
              </w:rPr>
              <w:t>网络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缓存</w:t>
            </w:r>
          </w:p>
        </w:tc>
        <w:tc>
          <w:tcPr>
            <w:tcW w:w="6989" w:type="dxa"/>
            <w:noWrap w:val="0"/>
            <w:vAlign w:val="top"/>
          </w:tcPr>
          <w:p>
            <w:pPr>
              <w:spacing w:after="60" w:afterLines="25" w:line="360" w:lineRule="exact"/>
              <w:jc w:val="left"/>
              <w:rPr>
                <w:rFonts w:ascii="宋体" w:hAnsi="宋体"/>
                <w:szCs w:val="21"/>
              </w:rPr>
            </w:pPr>
            <w:r>
              <w:rPr>
                <w:rFonts w:ascii="宋体" w:hAnsi="宋体"/>
                <w:szCs w:val="21"/>
              </w:rPr>
              <w:t>RAM 64M FLASH 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工作频段</w:t>
            </w:r>
          </w:p>
        </w:tc>
        <w:tc>
          <w:tcPr>
            <w:tcW w:w="6989" w:type="dxa"/>
            <w:noWrap w:val="0"/>
            <w:vAlign w:val="top"/>
          </w:tcPr>
          <w:p>
            <w:pPr>
              <w:spacing w:after="60" w:afterLines="25" w:line="360" w:lineRule="exact"/>
              <w:jc w:val="left"/>
              <w:rPr>
                <w:rFonts w:ascii="宋体" w:hAnsi="宋体"/>
                <w:szCs w:val="21"/>
              </w:rPr>
            </w:pPr>
            <w:r>
              <w:rPr>
                <w:rFonts w:hint="eastAsia" w:ascii="宋体" w:hAnsi="宋体"/>
                <w:szCs w:val="21"/>
              </w:rPr>
              <w:t>TDD-LTE Band 38/39/40/41</w:t>
            </w:r>
          </w:p>
          <w:p>
            <w:pPr>
              <w:spacing w:after="60" w:afterLines="25" w:line="360" w:lineRule="exact"/>
              <w:jc w:val="left"/>
              <w:rPr>
                <w:rFonts w:ascii="宋体" w:hAnsi="宋体"/>
                <w:szCs w:val="21"/>
              </w:rPr>
            </w:pPr>
            <w:r>
              <w:rPr>
                <w:rFonts w:hint="eastAsia" w:ascii="宋体" w:hAnsi="宋体"/>
                <w:szCs w:val="21"/>
              </w:rPr>
              <w:t>FDD-LTE Band 1/3/5</w:t>
            </w:r>
          </w:p>
          <w:p>
            <w:pPr>
              <w:spacing w:after="60" w:afterLines="25" w:line="360" w:lineRule="exact"/>
              <w:jc w:val="left"/>
              <w:rPr>
                <w:rFonts w:ascii="宋体" w:hAnsi="宋体"/>
                <w:szCs w:val="21"/>
              </w:rPr>
            </w:pPr>
            <w:r>
              <w:rPr>
                <w:rFonts w:hint="eastAsia" w:ascii="宋体" w:hAnsi="宋体"/>
                <w:szCs w:val="21"/>
              </w:rPr>
              <w:t>TD-SCDMA Band 34/39</w:t>
            </w:r>
          </w:p>
          <w:p>
            <w:pPr>
              <w:spacing w:after="60" w:afterLines="25" w:line="360" w:lineRule="exact"/>
              <w:jc w:val="left"/>
              <w:rPr>
                <w:rFonts w:ascii="宋体" w:hAnsi="宋体"/>
                <w:szCs w:val="21"/>
              </w:rPr>
            </w:pPr>
            <w:r>
              <w:rPr>
                <w:rFonts w:hint="eastAsia" w:ascii="宋体" w:hAnsi="宋体"/>
                <w:szCs w:val="21"/>
              </w:rPr>
              <w:t>HSPA+ Band 1/5</w:t>
            </w:r>
          </w:p>
          <w:p>
            <w:pPr>
              <w:spacing w:after="60" w:afterLines="25" w:line="360" w:lineRule="exact"/>
              <w:jc w:val="left"/>
              <w:rPr>
                <w:rFonts w:ascii="宋体" w:hAnsi="宋体"/>
                <w:szCs w:val="21"/>
              </w:rPr>
            </w:pPr>
            <w:r>
              <w:rPr>
                <w:rFonts w:hint="eastAsia" w:ascii="宋体" w:hAnsi="宋体"/>
                <w:szCs w:val="21"/>
              </w:rPr>
              <w:t>UMTS Band 1/5</w:t>
            </w:r>
          </w:p>
          <w:p>
            <w:pPr>
              <w:spacing w:after="60" w:afterLines="25" w:line="360" w:lineRule="exact"/>
              <w:jc w:val="left"/>
              <w:rPr>
                <w:rFonts w:hint="eastAsia" w:ascii="宋体" w:hAnsi="宋体"/>
                <w:szCs w:val="21"/>
              </w:rPr>
            </w:pPr>
            <w:r>
              <w:rPr>
                <w:rFonts w:hint="eastAsia" w:ascii="宋体" w:hAnsi="宋体"/>
                <w:szCs w:val="21"/>
              </w:rPr>
              <w:t>GSM 850/</w:t>
            </w:r>
            <w:r>
              <w:rPr>
                <w:rFonts w:ascii="宋体" w:hAnsi="宋体"/>
                <w:szCs w:val="21"/>
              </w:rPr>
              <w:t>900/1800</w:t>
            </w:r>
            <w:r>
              <w:rPr>
                <w:rFonts w:hint="eastAsia" w:ascii="宋体" w:hAnsi="宋体"/>
                <w:szCs w:val="21"/>
              </w:rPr>
              <w:t>/1900</w:t>
            </w:r>
            <w:r>
              <w:rPr>
                <w:rFonts w:ascii="宋体" w:hAnsi="宋体"/>
                <w:szCs w:val="21"/>
              </w:rPr>
              <w:t>MHz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工作温度</w:t>
            </w:r>
          </w:p>
        </w:tc>
        <w:tc>
          <w:tcPr>
            <w:tcW w:w="6989" w:type="dxa"/>
            <w:noWrap w:val="0"/>
            <w:vAlign w:val="top"/>
          </w:tcPr>
          <w:p>
            <w:pPr>
              <w:spacing w:after="60" w:afterLines="25" w:line="360" w:lineRule="exact"/>
              <w:jc w:val="left"/>
              <w:rPr>
                <w:rFonts w:hint="eastAsia" w:ascii="宋体" w:hAnsi="宋体"/>
                <w:szCs w:val="21"/>
              </w:rPr>
            </w:pPr>
            <w:r>
              <w:rPr>
                <w:rFonts w:ascii="宋体" w:hAnsi="宋体"/>
                <w:szCs w:val="21"/>
              </w:rPr>
              <w:t>-</w:t>
            </w:r>
            <w:r>
              <w:rPr>
                <w:rFonts w:hint="eastAsia" w:ascii="宋体" w:hAnsi="宋体"/>
                <w:szCs w:val="21"/>
              </w:rPr>
              <w:t>30℃</w:t>
            </w:r>
            <w:r>
              <w:rPr>
                <w:rFonts w:ascii="宋体" w:hAnsi="宋体"/>
                <w:szCs w:val="21"/>
              </w:rPr>
              <w:t xml:space="preserve"> ~ </w:t>
            </w:r>
            <w:r>
              <w:rPr>
                <w:rFonts w:hint="eastAsia" w:ascii="宋体" w:hAnsi="宋体"/>
                <w:szCs w:val="21"/>
              </w:rPr>
              <w:t>＋</w:t>
            </w:r>
            <w:r>
              <w:rPr>
                <w:rFonts w:ascii="宋体" w:hAnsi="宋体"/>
                <w:szCs w:val="21"/>
              </w:rPr>
              <w:t>70</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相对湿度</w:t>
            </w:r>
          </w:p>
        </w:tc>
        <w:tc>
          <w:tcPr>
            <w:tcW w:w="6989" w:type="dxa"/>
            <w:noWrap w:val="0"/>
            <w:vAlign w:val="top"/>
          </w:tcPr>
          <w:p>
            <w:pPr>
              <w:spacing w:after="60" w:afterLines="25" w:line="360" w:lineRule="exact"/>
              <w:jc w:val="left"/>
              <w:rPr>
                <w:rFonts w:hint="eastAsia" w:ascii="宋体" w:hAnsi="宋体"/>
                <w:szCs w:val="21"/>
              </w:rPr>
            </w:pPr>
            <w:r>
              <w:rPr>
                <w:rFonts w:hint="eastAsia" w:ascii="宋体" w:hAnsi="宋体"/>
                <w:szCs w:val="21"/>
              </w:rPr>
              <w:t>95%/40℃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基本功能</w:t>
            </w:r>
          </w:p>
        </w:tc>
        <w:tc>
          <w:tcPr>
            <w:tcW w:w="6989" w:type="dxa"/>
            <w:noWrap w:val="0"/>
            <w:vAlign w:val="top"/>
          </w:tcPr>
          <w:p>
            <w:pPr>
              <w:spacing w:after="60" w:afterLines="25" w:line="360" w:lineRule="exact"/>
              <w:jc w:val="left"/>
              <w:rPr>
                <w:rFonts w:ascii="宋体" w:hAnsi="宋体"/>
                <w:szCs w:val="21"/>
              </w:rPr>
            </w:pPr>
            <w:r>
              <w:rPr>
                <w:rFonts w:hint="eastAsia" w:ascii="宋体" w:hAnsi="宋体"/>
                <w:szCs w:val="21"/>
              </w:rPr>
              <w:t>支持</w:t>
            </w:r>
            <w:r>
              <w:rPr>
                <w:rFonts w:ascii="宋体" w:hAnsi="宋体"/>
                <w:szCs w:val="21"/>
              </w:rPr>
              <w:t>NAT</w:t>
            </w:r>
            <w:r>
              <w:rPr>
                <w:rFonts w:hint="eastAsia" w:ascii="宋体" w:hAnsi="宋体"/>
                <w:szCs w:val="21"/>
              </w:rPr>
              <w:t>共享上网</w:t>
            </w:r>
          </w:p>
          <w:p>
            <w:pPr>
              <w:spacing w:after="60" w:afterLines="25" w:line="360" w:lineRule="exact"/>
              <w:jc w:val="left"/>
              <w:rPr>
                <w:rFonts w:ascii="宋体" w:hAnsi="宋体"/>
                <w:szCs w:val="21"/>
              </w:rPr>
            </w:pPr>
            <w:r>
              <w:rPr>
                <w:rFonts w:hint="eastAsia" w:ascii="宋体" w:hAnsi="宋体"/>
                <w:szCs w:val="21"/>
              </w:rPr>
              <w:t>支持</w:t>
            </w:r>
            <w:r>
              <w:rPr>
                <w:rFonts w:ascii="宋体" w:hAnsi="宋体"/>
                <w:szCs w:val="21"/>
              </w:rPr>
              <w:t>DHCP Serve</w:t>
            </w:r>
          </w:p>
          <w:p>
            <w:pPr>
              <w:spacing w:after="60" w:afterLines="25" w:line="360" w:lineRule="exact"/>
              <w:jc w:val="left"/>
              <w:rPr>
                <w:rFonts w:ascii="宋体" w:hAnsi="宋体"/>
                <w:szCs w:val="21"/>
              </w:rPr>
            </w:pPr>
            <w:r>
              <w:rPr>
                <w:rFonts w:hint="eastAsia" w:ascii="宋体" w:hAnsi="宋体"/>
                <w:szCs w:val="21"/>
              </w:rPr>
              <w:t>支持</w:t>
            </w:r>
            <w:r>
              <w:rPr>
                <w:rFonts w:ascii="宋体" w:hAnsi="宋体"/>
                <w:szCs w:val="21"/>
              </w:rPr>
              <w:t>DNS Proxy</w:t>
            </w:r>
          </w:p>
          <w:p>
            <w:pPr>
              <w:spacing w:after="60" w:afterLines="25" w:line="360" w:lineRule="exact"/>
              <w:jc w:val="left"/>
              <w:rPr>
                <w:rFonts w:ascii="宋体" w:hAnsi="宋体"/>
                <w:szCs w:val="21"/>
              </w:rPr>
            </w:pPr>
            <w:r>
              <w:rPr>
                <w:rFonts w:hint="eastAsia" w:ascii="宋体" w:hAnsi="宋体"/>
                <w:szCs w:val="21"/>
              </w:rPr>
              <w:t>支持端口映射</w:t>
            </w:r>
          </w:p>
          <w:p>
            <w:pPr>
              <w:spacing w:after="60" w:afterLines="25" w:line="360" w:lineRule="exact"/>
              <w:jc w:val="left"/>
              <w:rPr>
                <w:rFonts w:ascii="宋体" w:hAnsi="宋体"/>
                <w:szCs w:val="21"/>
              </w:rPr>
            </w:pPr>
            <w:r>
              <w:rPr>
                <w:rFonts w:hint="eastAsia" w:ascii="宋体" w:hAnsi="宋体"/>
                <w:szCs w:val="21"/>
              </w:rPr>
              <w:t>支持</w:t>
            </w:r>
            <w:r>
              <w:rPr>
                <w:rFonts w:ascii="宋体" w:hAnsi="宋体"/>
                <w:szCs w:val="21"/>
              </w:rPr>
              <w:t>DMZ</w:t>
            </w:r>
            <w:r>
              <w:rPr>
                <w:rFonts w:hint="eastAsia" w:ascii="宋体" w:hAnsi="宋体"/>
                <w:szCs w:val="21"/>
              </w:rPr>
              <w:t>主机（</w:t>
            </w:r>
            <w:r>
              <w:rPr>
                <w:rFonts w:ascii="宋体" w:hAnsi="宋体"/>
                <w:szCs w:val="21"/>
              </w:rPr>
              <w:t>IP</w:t>
            </w:r>
            <w:r>
              <w:rPr>
                <w:rFonts w:hint="eastAsia" w:ascii="宋体" w:hAnsi="宋体"/>
                <w:szCs w:val="21"/>
              </w:rPr>
              <w:t>地址映射）</w:t>
            </w:r>
          </w:p>
          <w:p>
            <w:pPr>
              <w:spacing w:after="60" w:afterLines="25" w:line="360" w:lineRule="exact"/>
              <w:jc w:val="left"/>
              <w:rPr>
                <w:rFonts w:ascii="宋体" w:hAnsi="宋体"/>
                <w:szCs w:val="21"/>
              </w:rPr>
            </w:pPr>
            <w:r>
              <w:rPr>
                <w:rFonts w:hint="eastAsia" w:ascii="宋体" w:hAnsi="宋体"/>
                <w:szCs w:val="21"/>
              </w:rPr>
              <w:t>支持</w:t>
            </w:r>
            <w:r>
              <w:rPr>
                <w:rFonts w:ascii="宋体" w:hAnsi="宋体"/>
                <w:szCs w:val="21"/>
              </w:rPr>
              <w:t>VPN</w:t>
            </w:r>
            <w:r>
              <w:rPr>
                <w:rFonts w:hint="eastAsia" w:ascii="宋体" w:hAnsi="宋体"/>
                <w:szCs w:val="21"/>
              </w:rPr>
              <w:t>功能</w:t>
            </w:r>
          </w:p>
          <w:p>
            <w:pPr>
              <w:spacing w:after="60" w:afterLines="25" w:line="360" w:lineRule="exact"/>
              <w:jc w:val="left"/>
              <w:rPr>
                <w:rFonts w:ascii="宋体" w:hAnsi="宋体"/>
                <w:szCs w:val="21"/>
              </w:rPr>
            </w:pPr>
            <w:r>
              <w:rPr>
                <w:rFonts w:hint="eastAsia" w:ascii="宋体" w:hAnsi="宋体"/>
                <w:szCs w:val="21"/>
              </w:rPr>
              <w:t>支持动态域名自动注册</w:t>
            </w:r>
            <w:r>
              <w:rPr>
                <w:rFonts w:ascii="宋体" w:hAnsi="宋体"/>
                <w:szCs w:val="21"/>
              </w:rPr>
              <w:t xml:space="preserve"> </w:t>
            </w:r>
          </w:p>
          <w:p>
            <w:pPr>
              <w:spacing w:after="60" w:afterLines="25" w:line="360" w:lineRule="exact"/>
              <w:jc w:val="left"/>
              <w:rPr>
                <w:rFonts w:ascii="宋体" w:hAnsi="宋体"/>
                <w:szCs w:val="21"/>
              </w:rPr>
            </w:pPr>
            <w:r>
              <w:rPr>
                <w:rFonts w:hint="eastAsia" w:ascii="宋体" w:hAnsi="宋体"/>
                <w:szCs w:val="21"/>
              </w:rPr>
              <w:t>支持静态路由表配置</w:t>
            </w:r>
          </w:p>
          <w:p>
            <w:pPr>
              <w:spacing w:after="60" w:afterLines="25" w:line="360" w:lineRule="exact"/>
              <w:jc w:val="left"/>
              <w:rPr>
                <w:rFonts w:ascii="宋体" w:hAnsi="宋体"/>
                <w:szCs w:val="21"/>
              </w:rPr>
            </w:pPr>
            <w:r>
              <w:rPr>
                <w:rFonts w:hint="eastAsia" w:ascii="宋体" w:hAnsi="宋体"/>
                <w:szCs w:val="21"/>
              </w:rPr>
              <w:t>支持无线实时速度显示</w:t>
            </w:r>
          </w:p>
          <w:p>
            <w:pPr>
              <w:spacing w:after="60" w:afterLines="25" w:line="360" w:lineRule="exact"/>
              <w:jc w:val="left"/>
              <w:rPr>
                <w:rFonts w:ascii="宋体" w:hAnsi="宋体"/>
                <w:szCs w:val="21"/>
              </w:rPr>
            </w:pPr>
            <w:r>
              <w:rPr>
                <w:rFonts w:hint="eastAsia" w:ascii="宋体" w:hAnsi="宋体"/>
                <w:szCs w:val="21"/>
              </w:rPr>
              <w:t>支持网络制式显示（4G/3G/2G）</w:t>
            </w:r>
          </w:p>
          <w:p>
            <w:pPr>
              <w:spacing w:after="60" w:afterLines="25" w:line="360" w:lineRule="exact"/>
              <w:jc w:val="left"/>
              <w:rPr>
                <w:rFonts w:ascii="宋体" w:hAnsi="宋体"/>
                <w:szCs w:val="21"/>
              </w:rPr>
            </w:pPr>
            <w:r>
              <w:rPr>
                <w:rFonts w:hint="eastAsia" w:ascii="宋体" w:hAnsi="宋体"/>
                <w:szCs w:val="21"/>
              </w:rPr>
              <w:t>支持网络制式自动切换</w:t>
            </w:r>
          </w:p>
          <w:p>
            <w:pPr>
              <w:spacing w:after="60" w:afterLines="25" w:line="360" w:lineRule="exact"/>
              <w:jc w:val="left"/>
              <w:rPr>
                <w:rFonts w:ascii="宋体" w:hAnsi="宋体"/>
                <w:szCs w:val="21"/>
              </w:rPr>
            </w:pPr>
            <w:r>
              <w:rPr>
                <w:rFonts w:hint="eastAsia" w:ascii="宋体" w:hAnsi="宋体"/>
                <w:szCs w:val="21"/>
              </w:rPr>
              <w:t>支持串口配置、</w:t>
            </w:r>
            <w:r>
              <w:rPr>
                <w:rFonts w:ascii="宋体" w:hAnsi="宋体"/>
                <w:szCs w:val="21"/>
              </w:rPr>
              <w:t xml:space="preserve"> Telnet </w:t>
            </w:r>
            <w:r>
              <w:rPr>
                <w:rFonts w:hint="eastAsia" w:ascii="宋体" w:hAnsi="宋体"/>
                <w:szCs w:val="21"/>
              </w:rPr>
              <w:t>配置、</w:t>
            </w:r>
            <w:r>
              <w:rPr>
                <w:rFonts w:ascii="宋体" w:hAnsi="宋体"/>
                <w:szCs w:val="21"/>
              </w:rPr>
              <w:t xml:space="preserve"> WEB </w:t>
            </w:r>
            <w:r>
              <w:rPr>
                <w:rFonts w:hint="eastAsia" w:ascii="宋体" w:hAnsi="宋体"/>
                <w:szCs w:val="21"/>
              </w:rPr>
              <w:t>页面配置</w:t>
            </w:r>
            <w:r>
              <w:rPr>
                <w:rFonts w:ascii="宋体" w:hAnsi="宋体"/>
                <w:szCs w:val="21"/>
              </w:rPr>
              <w:t xml:space="preserve"> </w:t>
            </w:r>
          </w:p>
          <w:p>
            <w:pPr>
              <w:spacing w:after="60" w:afterLines="25" w:line="360" w:lineRule="exact"/>
              <w:jc w:val="left"/>
              <w:rPr>
                <w:rFonts w:ascii="宋体" w:hAnsi="宋体"/>
                <w:szCs w:val="21"/>
              </w:rPr>
            </w:pPr>
            <w:r>
              <w:rPr>
                <w:rFonts w:hint="eastAsia" w:ascii="宋体" w:hAnsi="宋体"/>
                <w:szCs w:val="21"/>
              </w:rPr>
              <w:t>支持串口</w:t>
            </w:r>
            <w:r>
              <w:rPr>
                <w:rFonts w:ascii="宋体" w:hAnsi="宋体"/>
                <w:szCs w:val="21"/>
              </w:rPr>
              <w:t>DTU</w:t>
            </w:r>
            <w:r>
              <w:rPr>
                <w:rFonts w:hint="eastAsia" w:ascii="宋体" w:hAnsi="宋体"/>
                <w:szCs w:val="21"/>
              </w:rPr>
              <w:t>功能，网口串口同时可用</w:t>
            </w:r>
          </w:p>
          <w:p>
            <w:pPr>
              <w:spacing w:after="60" w:afterLines="25" w:line="360" w:lineRule="exact"/>
              <w:jc w:val="left"/>
              <w:rPr>
                <w:rFonts w:ascii="宋体" w:hAnsi="宋体"/>
                <w:szCs w:val="21"/>
              </w:rPr>
            </w:pPr>
            <w:r>
              <w:rPr>
                <w:rFonts w:hint="eastAsia" w:ascii="宋体" w:hAnsi="宋体"/>
                <w:szCs w:val="21"/>
              </w:rPr>
              <w:t>支持月上网流量限制、月上网时长限制</w:t>
            </w:r>
          </w:p>
          <w:p>
            <w:pPr>
              <w:spacing w:after="60" w:afterLines="25" w:line="360" w:lineRule="exact"/>
              <w:jc w:val="left"/>
              <w:rPr>
                <w:rFonts w:hint="eastAsia" w:ascii="宋体" w:hAnsi="宋体"/>
                <w:szCs w:val="21"/>
              </w:rPr>
            </w:pPr>
            <w:r>
              <w:rPr>
                <w:rFonts w:hint="eastAsia" w:ascii="宋体" w:hAnsi="宋体"/>
                <w:szCs w:val="21"/>
              </w:rPr>
              <w:t>支持流量唤醒、电话、短信唤醒</w:t>
            </w:r>
          </w:p>
        </w:tc>
      </w:tr>
    </w:tbl>
    <w:p>
      <w:pPr>
        <w:spacing w:before="120" w:beforeLines="50"/>
        <w:ind w:firstLine="422" w:firstLineChars="200"/>
        <w:rPr>
          <w:rFonts w:ascii="宋体" w:hAnsi="宋体"/>
          <w:b/>
          <w:bCs/>
          <w:szCs w:val="21"/>
        </w:rPr>
      </w:pPr>
      <w:r>
        <w:rPr>
          <w:rFonts w:hint="eastAsia" w:ascii="宋体" w:hAnsi="宋体"/>
          <w:b/>
          <w:bCs/>
          <w:szCs w:val="21"/>
        </w:rPr>
        <w:t>8、信号灯及相关配套设施技术要求及指标</w:t>
      </w:r>
    </w:p>
    <w:p>
      <w:pPr>
        <w:ind w:firstLine="422" w:firstLineChars="200"/>
        <w:rPr>
          <w:rFonts w:ascii="宋体" w:hAnsi="宋体"/>
          <w:b/>
          <w:bCs/>
          <w:szCs w:val="21"/>
        </w:rPr>
      </w:pPr>
      <w:r>
        <w:rPr>
          <w:rFonts w:hint="eastAsia" w:ascii="宋体" w:hAnsi="宋体"/>
          <w:b/>
          <w:bCs/>
          <w:szCs w:val="21"/>
        </w:rPr>
        <w:t>8.1、交通信号灯技术要求及指标</w:t>
      </w:r>
    </w:p>
    <w:p>
      <w:pPr>
        <w:ind w:firstLine="420" w:firstLineChars="200"/>
        <w:rPr>
          <w:rFonts w:ascii="宋体" w:hAnsi="宋体"/>
          <w:szCs w:val="21"/>
        </w:rPr>
      </w:pPr>
      <w:r>
        <w:rPr>
          <w:rFonts w:hint="eastAsia" w:ascii="宋体" w:hAnsi="宋体"/>
          <w:szCs w:val="21"/>
        </w:rPr>
        <w:t>8.1.1信号灯采用四元素半导体发光二极管，使用寿命不少于50000小时；</w:t>
      </w:r>
    </w:p>
    <w:p>
      <w:pPr>
        <w:ind w:firstLine="420" w:firstLineChars="200"/>
        <w:rPr>
          <w:rFonts w:ascii="宋体" w:hAnsi="宋体"/>
          <w:szCs w:val="21"/>
        </w:rPr>
      </w:pPr>
      <w:r>
        <w:rPr>
          <w:rFonts w:hint="eastAsia" w:ascii="宋体" w:hAnsi="宋体"/>
          <w:szCs w:val="21"/>
        </w:rPr>
        <w:t>8.1.2所有的信号灯必须符合GB14887《道路交通信号灯》或同等国际标准的要求；</w:t>
      </w:r>
    </w:p>
    <w:p>
      <w:pPr>
        <w:ind w:firstLine="420" w:firstLineChars="200"/>
        <w:rPr>
          <w:rFonts w:ascii="宋体" w:hAnsi="宋体"/>
          <w:szCs w:val="21"/>
        </w:rPr>
      </w:pPr>
      <w:r>
        <w:rPr>
          <w:rFonts w:hint="eastAsia" w:ascii="宋体" w:hAnsi="宋体"/>
          <w:szCs w:val="21"/>
        </w:rPr>
        <w:t>8.1.3所提供灯具的各项技术指标（如：防护等级、湿度、高低温、振动、电气性能等）需经公安部或同级交通产品质量监督检测中心检测，并出具相应的检测报告；</w:t>
      </w:r>
    </w:p>
    <w:p>
      <w:pPr>
        <w:ind w:firstLine="420" w:firstLineChars="200"/>
        <w:rPr>
          <w:rFonts w:ascii="宋体" w:hAnsi="宋体"/>
          <w:szCs w:val="21"/>
        </w:rPr>
      </w:pPr>
      <w:r>
        <w:rPr>
          <w:rFonts w:hint="eastAsia" w:ascii="宋体" w:hAnsi="宋体"/>
          <w:szCs w:val="21"/>
        </w:rPr>
        <w:t>8.1.4信号灯要求：红色、黄色、绿色三个几何位置分立，外壳要求采用超薄铝压铸外壳，每个发光单元装有遮阳板。结构新颖，外形美观；多重密封，防水，防尘；色度均匀。亮度：大于300</w:t>
      </w:r>
      <w:r>
        <w:rPr>
          <w:rFonts w:ascii="宋体" w:hAnsi="宋体"/>
          <w:szCs w:val="21"/>
        </w:rPr>
        <w:t>cd</w:t>
      </w:r>
      <w:r>
        <w:rPr>
          <w:rFonts w:hint="eastAsia" w:ascii="宋体" w:hAnsi="宋体"/>
          <w:szCs w:val="21"/>
        </w:rPr>
        <w:t>；温度：-20度-55度；湿度：10-95%；可视距离：大于200米；</w:t>
      </w:r>
    </w:p>
    <w:p>
      <w:pPr>
        <w:ind w:firstLine="420" w:firstLineChars="200"/>
        <w:rPr>
          <w:rFonts w:ascii="宋体" w:hAnsi="宋体"/>
          <w:szCs w:val="21"/>
        </w:rPr>
      </w:pPr>
      <w:r>
        <w:rPr>
          <w:rFonts w:hint="eastAsia" w:ascii="宋体" w:hAnsi="宋体"/>
          <w:szCs w:val="21"/>
        </w:rPr>
        <w:t>8.1.5电压设计：部分LED损坏不影响整灯电性能；精密恒流电源：电压正常波动，单路电流变化＜</w:t>
      </w:r>
      <w:r>
        <w:rPr>
          <w:rFonts w:ascii="宋体" w:hAnsi="宋体"/>
          <w:szCs w:val="21"/>
        </w:rPr>
        <w:t>0.5m</w:t>
      </w:r>
      <w:r>
        <w:rPr>
          <w:rFonts w:hint="eastAsia" w:ascii="宋体" w:hAnsi="宋体"/>
          <w:szCs w:val="21"/>
        </w:rPr>
        <w:t>A，且不影响灯盘亮度；红色、黄色、绿色分立式结构：便于维护；工作电压范围：工作电压：AC160-295V；低功耗：单灯额定功率＜1</w:t>
      </w:r>
      <w:r>
        <w:rPr>
          <w:rFonts w:ascii="宋体" w:hAnsi="宋体"/>
          <w:szCs w:val="21"/>
        </w:rPr>
        <w:t>0</w:t>
      </w:r>
      <w:r>
        <w:rPr>
          <w:rFonts w:hint="eastAsia" w:ascii="宋体" w:hAnsi="宋体"/>
          <w:szCs w:val="21"/>
        </w:rPr>
        <w:t>W；</w:t>
      </w:r>
    </w:p>
    <w:p>
      <w:pPr>
        <w:ind w:firstLine="420" w:firstLineChars="200"/>
        <w:rPr>
          <w:rFonts w:ascii="宋体" w:hAnsi="宋体"/>
          <w:szCs w:val="21"/>
        </w:rPr>
      </w:pPr>
      <w:r>
        <w:rPr>
          <w:rFonts w:hint="eastAsia" w:ascii="宋体" w:hAnsi="宋体"/>
          <w:szCs w:val="21"/>
        </w:rPr>
        <w:t>8.1.6机动车信号灯要求：采用圆形透光面；超薄铝压铸外壳：外壳厚度＜130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8.1.7非机动车信号灯要求：采用方形透光面；超薄铝压铸外壳：外壳厚度＜130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8.1.8人行灯要求：绿色人形二条腿动态显示，形象生动；超薄铝压铸外壳：外壳厚度＜110</w:t>
      </w:r>
      <w:r>
        <w:rPr>
          <w:rFonts w:ascii="宋体" w:hAnsi="宋体"/>
          <w:szCs w:val="21"/>
        </w:rPr>
        <w:t>mm</w:t>
      </w:r>
      <w:r>
        <w:rPr>
          <w:rFonts w:hint="eastAsia" w:ascii="宋体" w:hAnsi="宋体"/>
          <w:szCs w:val="21"/>
        </w:rPr>
        <w:t>。</w:t>
      </w:r>
    </w:p>
    <w:p>
      <w:pPr>
        <w:ind w:firstLine="422" w:firstLineChars="200"/>
        <w:rPr>
          <w:rFonts w:ascii="宋体" w:hAnsi="宋体"/>
          <w:b/>
          <w:bCs/>
          <w:szCs w:val="21"/>
        </w:rPr>
      </w:pPr>
      <w:r>
        <w:rPr>
          <w:rFonts w:hint="eastAsia" w:ascii="宋体" w:hAnsi="宋体"/>
          <w:b/>
          <w:bCs/>
          <w:szCs w:val="21"/>
        </w:rPr>
        <w:t>8.2交通信号灯杆（含人行道灯杆）技术要求</w:t>
      </w:r>
    </w:p>
    <w:p>
      <w:pPr>
        <w:ind w:firstLine="420" w:firstLineChars="200"/>
        <w:rPr>
          <w:rFonts w:ascii="宋体" w:hAnsi="宋体"/>
          <w:szCs w:val="21"/>
        </w:rPr>
      </w:pPr>
      <w:r>
        <w:rPr>
          <w:rFonts w:hint="eastAsia" w:ascii="宋体" w:hAnsi="宋体"/>
          <w:szCs w:val="21"/>
        </w:rPr>
        <w:t>8.2.1立柱底座与基础预埋件、立柱与悬臂之间必须通过法兰盘连接；</w:t>
      </w:r>
    </w:p>
    <w:p>
      <w:pPr>
        <w:ind w:firstLine="420" w:firstLineChars="200"/>
        <w:rPr>
          <w:rFonts w:ascii="宋体" w:hAnsi="宋体"/>
          <w:szCs w:val="21"/>
        </w:rPr>
      </w:pPr>
      <w:r>
        <w:rPr>
          <w:rFonts w:hint="eastAsia" w:ascii="宋体" w:hAnsi="宋体"/>
          <w:szCs w:val="21"/>
        </w:rPr>
        <w:t>8.2.2悬臂灯杆与竖灯杆的夹角必须保证在</w:t>
      </w:r>
      <w:r>
        <w:rPr>
          <w:rFonts w:ascii="宋体" w:hAnsi="宋体"/>
          <w:szCs w:val="21"/>
        </w:rPr>
        <w:t>91.4</w:t>
      </w:r>
      <w:r>
        <w:rPr>
          <w:rFonts w:hint="eastAsia" w:ascii="宋体" w:hAnsi="宋体"/>
          <w:szCs w:val="21"/>
        </w:rPr>
        <w:t>°-91</w:t>
      </w:r>
      <w:r>
        <w:rPr>
          <w:rFonts w:ascii="宋体" w:hAnsi="宋体"/>
          <w:szCs w:val="21"/>
        </w:rPr>
        <w:t>.</w:t>
      </w:r>
      <w:r>
        <w:rPr>
          <w:rFonts w:hint="eastAsia" w:ascii="宋体" w:hAnsi="宋体"/>
          <w:szCs w:val="21"/>
        </w:rPr>
        <w:t>6°；</w:t>
      </w:r>
    </w:p>
    <w:p>
      <w:pPr>
        <w:ind w:firstLine="420" w:firstLineChars="200"/>
        <w:rPr>
          <w:rFonts w:ascii="宋体" w:hAnsi="宋体"/>
          <w:szCs w:val="21"/>
        </w:rPr>
      </w:pPr>
      <w:r>
        <w:rPr>
          <w:rFonts w:hint="eastAsia" w:ascii="宋体" w:hAnsi="宋体"/>
          <w:szCs w:val="21"/>
        </w:rPr>
        <w:t>8.2.3表面热浸镀锌，镀锌量不少于500克/㎡。底座法兰盘的厚度大于10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8.2.4钢管杆立柱及横臂均采用八角锥形，断面为正八边形，角度误差控制在</w:t>
      </w:r>
      <w:r>
        <w:rPr>
          <w:rFonts w:ascii="宋体" w:hAnsi="宋体"/>
          <w:szCs w:val="21"/>
        </w:rPr>
        <w:t>0.5</w:t>
      </w:r>
      <w:r>
        <w:rPr>
          <w:rFonts w:hint="eastAsia" w:ascii="宋体" w:hAnsi="宋体"/>
          <w:szCs w:val="21"/>
        </w:rPr>
        <w:t>°范围内；</w:t>
      </w:r>
    </w:p>
    <w:p>
      <w:pPr>
        <w:ind w:firstLine="420" w:firstLineChars="200"/>
        <w:rPr>
          <w:rFonts w:ascii="宋体" w:hAnsi="宋体"/>
          <w:szCs w:val="21"/>
        </w:rPr>
      </w:pPr>
      <w:r>
        <w:rPr>
          <w:rFonts w:hint="eastAsia" w:ascii="宋体" w:hAnsi="宋体"/>
          <w:szCs w:val="21"/>
        </w:rPr>
        <w:t>8.2.5悬臂式安装立柱高度为</w:t>
      </w:r>
      <w:r>
        <w:rPr>
          <w:rFonts w:ascii="宋体" w:hAnsi="宋体"/>
          <w:szCs w:val="21"/>
        </w:rPr>
        <w:t>6.</w:t>
      </w:r>
      <w:r>
        <w:rPr>
          <w:rFonts w:hint="eastAsia" w:ascii="宋体" w:hAnsi="宋体"/>
          <w:szCs w:val="21"/>
        </w:rPr>
        <w:t>8</w:t>
      </w:r>
      <w:r>
        <w:rPr>
          <w:rFonts w:ascii="宋体" w:hAnsi="宋体"/>
          <w:szCs w:val="21"/>
        </w:rPr>
        <w:t>m</w:t>
      </w:r>
      <w:r>
        <w:rPr>
          <w:rFonts w:hint="eastAsia" w:ascii="宋体" w:hAnsi="宋体"/>
          <w:szCs w:val="21"/>
        </w:rPr>
        <w:t>，立柱杆体距地面约</w:t>
      </w:r>
      <w:r>
        <w:rPr>
          <w:rFonts w:ascii="宋体" w:hAnsi="宋体"/>
          <w:szCs w:val="21"/>
        </w:rPr>
        <w:t>400mm</w:t>
      </w:r>
      <w:r>
        <w:rPr>
          <w:rFonts w:hint="eastAsia" w:ascii="宋体" w:hAnsi="宋体"/>
          <w:szCs w:val="21"/>
        </w:rPr>
        <w:t>处，须有检修孔；</w:t>
      </w:r>
    </w:p>
    <w:p>
      <w:pPr>
        <w:ind w:firstLine="420" w:firstLineChars="200"/>
        <w:rPr>
          <w:rFonts w:ascii="宋体" w:hAnsi="宋体"/>
          <w:szCs w:val="21"/>
        </w:rPr>
      </w:pPr>
      <w:r>
        <w:rPr>
          <w:rFonts w:hint="eastAsia" w:ascii="宋体" w:hAnsi="宋体"/>
          <w:szCs w:val="21"/>
        </w:rPr>
        <w:t>8.2.6行人灯与人行道路路面的净空高度要求为</w:t>
      </w:r>
      <w:r>
        <w:rPr>
          <w:rFonts w:ascii="宋体" w:hAnsi="宋体"/>
          <w:szCs w:val="21"/>
        </w:rPr>
        <w:t>2.3</w:t>
      </w:r>
      <w:r>
        <w:rPr>
          <w:rFonts w:hint="eastAsia" w:ascii="宋体" w:hAnsi="宋体"/>
          <w:szCs w:val="21"/>
        </w:rPr>
        <w:t>米；</w:t>
      </w:r>
    </w:p>
    <w:p>
      <w:pPr>
        <w:ind w:firstLine="420" w:firstLineChars="200"/>
        <w:rPr>
          <w:rFonts w:ascii="宋体" w:hAnsi="宋体"/>
          <w:szCs w:val="21"/>
        </w:rPr>
      </w:pPr>
      <w:r>
        <w:rPr>
          <w:rFonts w:hint="eastAsia" w:ascii="宋体" w:hAnsi="宋体"/>
          <w:szCs w:val="21"/>
        </w:rPr>
        <w:t>8.2.7悬臂长度在12米以内为整根不分段式；</w:t>
      </w:r>
    </w:p>
    <w:p>
      <w:pPr>
        <w:ind w:firstLine="420" w:firstLineChars="200"/>
        <w:rPr>
          <w:rFonts w:ascii="宋体" w:hAnsi="宋体"/>
          <w:szCs w:val="21"/>
        </w:rPr>
      </w:pPr>
      <w:r>
        <w:rPr>
          <w:rFonts w:hint="eastAsia" w:ascii="宋体" w:hAnsi="宋体"/>
          <w:szCs w:val="21"/>
        </w:rPr>
        <w:t>8.2.8杆体设计要求美观大方：所有负载安装就位，杆体投入使用后，整体外形应与厂家提供图纸效果一致；</w:t>
      </w:r>
    </w:p>
    <w:p>
      <w:pPr>
        <w:ind w:firstLine="420" w:firstLineChars="200"/>
        <w:rPr>
          <w:rFonts w:ascii="宋体" w:hAnsi="宋体"/>
          <w:szCs w:val="21"/>
        </w:rPr>
      </w:pPr>
      <w:r>
        <w:rPr>
          <w:rFonts w:hint="eastAsia" w:ascii="宋体" w:hAnsi="宋体"/>
          <w:szCs w:val="21"/>
        </w:rPr>
        <w:t>8.2.9杆体可抗最大风速40</w:t>
      </w:r>
      <w:r>
        <w:rPr>
          <w:rFonts w:ascii="宋体" w:hAnsi="宋体"/>
          <w:szCs w:val="21"/>
        </w:rPr>
        <w:t>m/s</w:t>
      </w:r>
      <w:r>
        <w:rPr>
          <w:rFonts w:hint="eastAsia" w:ascii="宋体" w:hAnsi="宋体"/>
          <w:szCs w:val="21"/>
        </w:rPr>
        <w:t>，疲劳寿命大于30年；</w:t>
      </w:r>
    </w:p>
    <w:p>
      <w:pPr>
        <w:ind w:firstLine="420" w:firstLineChars="200"/>
        <w:rPr>
          <w:rFonts w:ascii="宋体" w:hAnsi="宋体"/>
          <w:szCs w:val="21"/>
        </w:rPr>
      </w:pPr>
      <w:r>
        <w:rPr>
          <w:rFonts w:hint="eastAsia" w:ascii="宋体" w:hAnsi="宋体"/>
          <w:szCs w:val="21"/>
        </w:rPr>
        <w:t>8.2.10所有焊接件均要求双面全满焊，务必焊牢。</w:t>
      </w:r>
    </w:p>
    <w:p>
      <w:pPr>
        <w:ind w:firstLine="422" w:firstLineChars="200"/>
        <w:rPr>
          <w:rFonts w:ascii="宋体" w:hAnsi="宋体"/>
          <w:b/>
          <w:bCs/>
          <w:szCs w:val="21"/>
        </w:rPr>
      </w:pPr>
      <w:r>
        <w:rPr>
          <w:rFonts w:hint="eastAsia" w:ascii="宋体" w:hAnsi="宋体"/>
          <w:b/>
          <w:bCs/>
          <w:szCs w:val="21"/>
        </w:rPr>
        <w:t>8.3、信号灯杆土建工程施工要求</w:t>
      </w:r>
    </w:p>
    <w:p>
      <w:pPr>
        <w:ind w:firstLine="420" w:firstLineChars="200"/>
        <w:rPr>
          <w:rFonts w:ascii="宋体" w:hAnsi="宋体"/>
          <w:szCs w:val="21"/>
        </w:rPr>
      </w:pPr>
      <w:r>
        <w:rPr>
          <w:rFonts w:hint="eastAsia" w:ascii="宋体" w:hAnsi="宋体"/>
          <w:szCs w:val="21"/>
        </w:rPr>
        <w:t>8.3.1中标人在开挖前应事先通知招标人/工程师及监理工程师。未得到招标人/工程师及监理工程师允许，相邻地面不能破坏。管道和基础的开挖应按照招标中所示线型、坡度和标高或按招标人/工程师及监理工程的要求施工。回填必须至少恢复到原来地面并夯实；</w:t>
      </w:r>
    </w:p>
    <w:p>
      <w:pPr>
        <w:ind w:firstLine="420" w:firstLineChars="200"/>
        <w:rPr>
          <w:rFonts w:ascii="宋体" w:hAnsi="宋体"/>
          <w:szCs w:val="21"/>
        </w:rPr>
      </w:pPr>
      <w:r>
        <w:rPr>
          <w:rFonts w:hint="eastAsia" w:ascii="宋体" w:hAnsi="宋体"/>
          <w:szCs w:val="21"/>
        </w:rPr>
        <w:t>8.3.2除非图纸另有指定，所有信号灯柱基础混凝土为C25砼。混凝土的配比和最小水泥用量应符合GBJ204-83的规定；</w:t>
      </w:r>
    </w:p>
    <w:p>
      <w:pPr>
        <w:ind w:firstLine="420" w:firstLineChars="200"/>
        <w:rPr>
          <w:rFonts w:ascii="宋体" w:hAnsi="宋体"/>
          <w:szCs w:val="21"/>
        </w:rPr>
      </w:pPr>
      <w:r>
        <w:rPr>
          <w:rFonts w:hint="eastAsia" w:ascii="宋体" w:hAnsi="宋体"/>
          <w:szCs w:val="21"/>
        </w:rPr>
        <w:t>8.3.3每一条灯杆都必须接地，其接地电阻＜10欧姆；</w:t>
      </w:r>
    </w:p>
    <w:p>
      <w:pPr>
        <w:ind w:firstLine="420" w:firstLineChars="200"/>
        <w:rPr>
          <w:rFonts w:ascii="宋体" w:hAnsi="宋体"/>
          <w:szCs w:val="21"/>
        </w:rPr>
      </w:pPr>
      <w:r>
        <w:rPr>
          <w:rFonts w:hint="eastAsia" w:ascii="宋体" w:hAnsi="宋体"/>
          <w:szCs w:val="21"/>
        </w:rPr>
        <w:t>8.3.4预埋件地脚螺栓法兰盘以上的螺纹必须包扎好，以防损坏螺纹。根据预埋件安装图正常放置预埋件，保证悬臂灯杆的方向与行车道垂直；</w:t>
      </w:r>
    </w:p>
    <w:p>
      <w:pPr>
        <w:ind w:firstLine="420" w:firstLineChars="200"/>
        <w:rPr>
          <w:rFonts w:ascii="宋体" w:hAnsi="宋体"/>
          <w:szCs w:val="21"/>
        </w:rPr>
      </w:pPr>
      <w:r>
        <w:rPr>
          <w:rFonts w:hint="eastAsia" w:ascii="宋体" w:hAnsi="宋体"/>
          <w:szCs w:val="21"/>
        </w:rPr>
        <w:t>8.3.5信号灯基础的混凝土浇注面平整度＜5</w:t>
      </w:r>
      <w:r>
        <w:rPr>
          <w:rFonts w:ascii="宋体" w:hAnsi="宋体"/>
          <w:szCs w:val="21"/>
        </w:rPr>
        <w:t>mm/m</w:t>
      </w:r>
      <w:r>
        <w:rPr>
          <w:rFonts w:hint="eastAsia" w:ascii="宋体" w:hAnsi="宋体"/>
          <w:szCs w:val="21"/>
        </w:rPr>
        <w:t>。预埋件法兰低于周围地面50-80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8.3.6地下铺设的电缆不得有接头，每根电缆线应留有4</w:t>
      </w:r>
      <w:r>
        <w:rPr>
          <w:rFonts w:ascii="宋体" w:hAnsi="宋体"/>
          <w:szCs w:val="21"/>
        </w:rPr>
        <w:t>m</w:t>
      </w:r>
      <w:r>
        <w:rPr>
          <w:rFonts w:hint="eastAsia" w:ascii="宋体" w:hAnsi="宋体"/>
          <w:szCs w:val="21"/>
        </w:rPr>
        <w:t>余量；</w:t>
      </w:r>
    </w:p>
    <w:p>
      <w:pPr>
        <w:ind w:firstLine="420" w:firstLineChars="200"/>
        <w:rPr>
          <w:rFonts w:ascii="宋体" w:hAnsi="宋体"/>
          <w:szCs w:val="21"/>
        </w:rPr>
      </w:pPr>
      <w:r>
        <w:rPr>
          <w:rFonts w:hint="eastAsia" w:ascii="宋体" w:hAnsi="宋体"/>
          <w:szCs w:val="21"/>
        </w:rPr>
        <w:t>8.3.7电缆沟的宽度≮500</w:t>
      </w:r>
      <w:r>
        <w:rPr>
          <w:rFonts w:ascii="宋体" w:hAnsi="宋体"/>
          <w:szCs w:val="21"/>
        </w:rPr>
        <w:t>mm</w:t>
      </w:r>
      <w:r>
        <w:rPr>
          <w:rFonts w:hint="eastAsia" w:ascii="宋体" w:hAnsi="宋体"/>
          <w:szCs w:val="21"/>
        </w:rPr>
        <w:t>或以当地市政要求为准，深度以电缆穿线套管理置后其顶部距路面的距离≮450</w:t>
      </w:r>
      <w:r>
        <w:rPr>
          <w:rFonts w:ascii="宋体" w:hAnsi="宋体"/>
          <w:szCs w:val="21"/>
        </w:rPr>
        <w:t>mm</w:t>
      </w:r>
      <w:r>
        <w:rPr>
          <w:rFonts w:hint="eastAsia" w:ascii="宋体" w:hAnsi="宋体"/>
          <w:szCs w:val="21"/>
        </w:rPr>
        <w:t>。电缆沟要求尽量平直，或略呈倒“U”字型。电缆沟底部要求平整，所有碎屑干净并填上50-80</w:t>
      </w:r>
      <w:r>
        <w:rPr>
          <w:rFonts w:ascii="宋体" w:hAnsi="宋体"/>
          <w:szCs w:val="21"/>
        </w:rPr>
        <w:t>mm</w:t>
      </w:r>
      <w:r>
        <w:rPr>
          <w:rFonts w:hint="eastAsia" w:ascii="宋体" w:hAnsi="宋体"/>
          <w:szCs w:val="21"/>
        </w:rPr>
        <w:t>的细软沙土。不设窨井的拐弯处线管的圆角半径要求量大（R≮20D，D为电缆外径），且线管转向应圆滑、流畅；</w:t>
      </w:r>
    </w:p>
    <w:p>
      <w:pPr>
        <w:ind w:firstLine="420" w:firstLineChars="200"/>
        <w:rPr>
          <w:rFonts w:ascii="宋体" w:hAnsi="宋体"/>
          <w:szCs w:val="21"/>
        </w:rPr>
      </w:pPr>
      <w:r>
        <w:rPr>
          <w:rFonts w:hint="eastAsia" w:ascii="宋体" w:hAnsi="宋体"/>
          <w:szCs w:val="21"/>
        </w:rPr>
        <w:t>8.3.8机动车道的电缆沟修复应用C25以上的混凝土修复，修复后的高度应高出0-5</w:t>
      </w:r>
      <w:r>
        <w:rPr>
          <w:rFonts w:ascii="宋体" w:hAnsi="宋体"/>
          <w:szCs w:val="21"/>
        </w:rPr>
        <w:t>mm</w:t>
      </w:r>
      <w:r>
        <w:rPr>
          <w:rFonts w:hint="eastAsia" w:ascii="宋体" w:hAnsi="宋体"/>
          <w:szCs w:val="21"/>
        </w:rPr>
        <w:t>，行人道和绿化带上的电缆沟，应按原地貌修复。使有硬质塑料管做电缆管时，管的周围应有30-50</w:t>
      </w:r>
      <w:r>
        <w:rPr>
          <w:rFonts w:ascii="宋体" w:hAnsi="宋体"/>
          <w:szCs w:val="21"/>
        </w:rPr>
        <w:t>mm</w:t>
      </w:r>
      <w:r>
        <w:rPr>
          <w:rFonts w:hint="eastAsia" w:ascii="宋体" w:hAnsi="宋体"/>
          <w:szCs w:val="21"/>
        </w:rPr>
        <w:t>的混凝土的保护层；</w:t>
      </w:r>
    </w:p>
    <w:p>
      <w:pPr>
        <w:ind w:firstLine="420" w:firstLineChars="200"/>
        <w:rPr>
          <w:rFonts w:ascii="宋体" w:hAnsi="宋体"/>
          <w:szCs w:val="21"/>
        </w:rPr>
      </w:pPr>
      <w:r>
        <w:rPr>
          <w:rFonts w:hint="eastAsia" w:ascii="宋体" w:hAnsi="宋体"/>
          <w:szCs w:val="21"/>
        </w:rPr>
        <w:t>8.3.9信号灯杆旁、信号灯控制机旁、电缆拐弯处、电缆管直线长度超过50米时，或两端电缆管深度不在同一平面相距100</w:t>
      </w:r>
      <w:r>
        <w:rPr>
          <w:rFonts w:ascii="宋体" w:hAnsi="宋体"/>
          <w:szCs w:val="21"/>
        </w:rPr>
        <w:t>mm</w:t>
      </w:r>
      <w:r>
        <w:rPr>
          <w:rFonts w:hint="eastAsia" w:ascii="宋体" w:hAnsi="宋体"/>
          <w:szCs w:val="21"/>
        </w:rPr>
        <w:t>以上时，必须设置窨井。窨井的内围尺寸要求为500（长）×500（宽）×1000（深）</w:t>
      </w:r>
      <w:r>
        <w:rPr>
          <w:rFonts w:ascii="宋体" w:hAnsi="宋体"/>
          <w:szCs w:val="21"/>
        </w:rPr>
        <w:t>mm</w:t>
      </w:r>
      <w:r>
        <w:rPr>
          <w:rFonts w:hint="eastAsia" w:ascii="宋体" w:hAnsi="宋体"/>
          <w:szCs w:val="21"/>
        </w:rPr>
        <w:t>，窨井四壁及底部（除渗水孔外）必须批荡水泥沙浆。渗水孔面应略低于底部5</w:t>
      </w:r>
      <w:r>
        <w:rPr>
          <w:rFonts w:ascii="宋体" w:hAnsi="宋体"/>
          <w:szCs w:val="21"/>
        </w:rPr>
        <w:t>mm</w:t>
      </w:r>
      <w:r>
        <w:rPr>
          <w:rFonts w:hint="eastAsia" w:ascii="宋体" w:hAnsi="宋体"/>
          <w:szCs w:val="21"/>
        </w:rPr>
        <w:t>以方便渗水；</w:t>
      </w:r>
    </w:p>
    <w:p>
      <w:pPr>
        <w:ind w:firstLine="420" w:firstLineChars="200"/>
        <w:rPr>
          <w:rFonts w:ascii="宋体" w:hAnsi="宋体"/>
          <w:szCs w:val="21"/>
        </w:rPr>
      </w:pPr>
      <w:r>
        <w:rPr>
          <w:rFonts w:hint="eastAsia" w:ascii="宋体" w:hAnsi="宋体"/>
          <w:szCs w:val="21"/>
        </w:rPr>
        <w:t>8.3.10控制机柜放置于路口非岗亭内时，为确保设备的正常运转，必须将信号机柜提高，防止浸水。抬高高度150</w:t>
      </w:r>
      <w:r>
        <w:rPr>
          <w:rFonts w:ascii="宋体" w:hAnsi="宋体"/>
          <w:szCs w:val="21"/>
        </w:rPr>
        <w:t>mm</w:t>
      </w:r>
      <w:r>
        <w:rPr>
          <w:rFonts w:hint="eastAsia" w:ascii="宋体" w:hAnsi="宋体"/>
          <w:szCs w:val="21"/>
        </w:rPr>
        <w:t>，机柜基础与旁边最近窨井之间用管径2孔Φ110mm电缆管线连接。基础内部的电缆管周围必须用混凝土填实；主电源线必须经窨井进入信号机柜。控制机拒必须接地，接地电阻小于10欧姆；</w:t>
      </w:r>
    </w:p>
    <w:p>
      <w:pPr>
        <w:ind w:firstLine="420" w:firstLineChars="200"/>
        <w:rPr>
          <w:rFonts w:ascii="宋体" w:hAnsi="宋体"/>
          <w:szCs w:val="21"/>
        </w:rPr>
      </w:pPr>
      <w:r>
        <w:rPr>
          <w:rFonts w:hint="eastAsia" w:ascii="宋体" w:hAnsi="宋体"/>
          <w:szCs w:val="21"/>
        </w:rPr>
        <w:t>8.3.11预埋管及电缆要符合国家规范。</w:t>
      </w:r>
    </w:p>
    <w:p>
      <w:pPr>
        <w:ind w:firstLine="422" w:firstLineChars="200"/>
        <w:rPr>
          <w:rFonts w:ascii="宋体" w:hAnsi="宋体"/>
          <w:b/>
          <w:bCs/>
          <w:szCs w:val="21"/>
        </w:rPr>
      </w:pPr>
      <w:r>
        <w:rPr>
          <w:rFonts w:hint="eastAsia" w:ascii="宋体" w:hAnsi="宋体"/>
          <w:b/>
          <w:bCs/>
          <w:szCs w:val="21"/>
        </w:rPr>
        <w:t>8.4、倒计时显示屏技术要求</w:t>
      </w:r>
    </w:p>
    <w:p>
      <w:pPr>
        <w:ind w:firstLine="420" w:firstLineChars="200"/>
        <w:rPr>
          <w:rFonts w:ascii="宋体" w:hAnsi="宋体"/>
          <w:szCs w:val="21"/>
        </w:rPr>
      </w:pPr>
      <w:r>
        <w:rPr>
          <w:rFonts w:hint="eastAsia" w:ascii="宋体" w:hAnsi="宋体"/>
          <w:szCs w:val="21"/>
        </w:rPr>
        <w:t>8.4.1倒计时采用单8红绿倒计时，设置方式为单独灯具方式；</w:t>
      </w:r>
    </w:p>
    <w:p>
      <w:pPr>
        <w:ind w:firstLine="420" w:firstLineChars="200"/>
        <w:rPr>
          <w:rFonts w:ascii="宋体" w:hAnsi="宋体"/>
          <w:szCs w:val="21"/>
        </w:rPr>
      </w:pPr>
      <w:r>
        <w:rPr>
          <w:rFonts w:hint="eastAsia" w:ascii="宋体" w:hAnsi="宋体"/>
          <w:szCs w:val="21"/>
        </w:rPr>
        <w:t>8.4.2倒计时显示颜色为红、绿二色，其红色波长为625±5</w:t>
      </w:r>
      <w:r>
        <w:rPr>
          <w:rFonts w:ascii="宋体" w:hAnsi="宋体"/>
          <w:szCs w:val="21"/>
        </w:rPr>
        <w:t>nm</w:t>
      </w:r>
      <w:r>
        <w:rPr>
          <w:rFonts w:hint="eastAsia" w:ascii="宋体" w:hAnsi="宋体"/>
          <w:szCs w:val="21"/>
        </w:rPr>
        <w:t>；绿色为505±2</w:t>
      </w:r>
      <w:r>
        <w:rPr>
          <w:rFonts w:ascii="宋体" w:hAnsi="宋体"/>
          <w:szCs w:val="21"/>
        </w:rPr>
        <w:t>nm</w:t>
      </w:r>
      <w:r>
        <w:rPr>
          <w:rFonts w:hint="eastAsia" w:ascii="宋体" w:hAnsi="宋体"/>
          <w:szCs w:val="21"/>
        </w:rPr>
        <w:t>；</w:t>
      </w:r>
    </w:p>
    <w:p>
      <w:pPr>
        <w:ind w:firstLine="420" w:firstLineChars="200"/>
        <w:rPr>
          <w:rFonts w:ascii="宋体" w:hAnsi="宋体"/>
          <w:szCs w:val="21"/>
        </w:rPr>
      </w:pPr>
      <w:r>
        <w:rPr>
          <w:rFonts w:hint="eastAsia" w:ascii="宋体" w:hAnsi="宋体"/>
          <w:szCs w:val="21"/>
        </w:rPr>
        <w:t>8.4.3倒计时器触发方式为脉冲学习型。倒计时器接受到200ms后，学习红灯或绿灯到下一灯色时间，并显示剩余时长（最大为9秒）；</w:t>
      </w:r>
    </w:p>
    <w:p>
      <w:pPr>
        <w:ind w:firstLine="420" w:firstLineChars="200"/>
        <w:rPr>
          <w:rFonts w:ascii="宋体" w:hAnsi="宋体"/>
          <w:szCs w:val="21"/>
        </w:rPr>
      </w:pPr>
      <w:r>
        <w:rPr>
          <w:rFonts w:hint="eastAsia" w:ascii="宋体" w:hAnsi="宋体"/>
          <w:szCs w:val="21"/>
        </w:rPr>
        <w:t>8.4.4工作电压：AC220V±10%；</w:t>
      </w:r>
    </w:p>
    <w:p>
      <w:pPr>
        <w:ind w:firstLine="420" w:firstLineChars="200"/>
        <w:rPr>
          <w:rFonts w:ascii="宋体" w:hAnsi="宋体"/>
          <w:szCs w:val="21"/>
        </w:rPr>
      </w:pPr>
      <w:r>
        <w:rPr>
          <w:rFonts w:hint="eastAsia" w:ascii="宋体" w:hAnsi="宋体"/>
          <w:szCs w:val="21"/>
        </w:rPr>
        <w:t>8.4.5可视距离：大于200</w:t>
      </w:r>
      <w:r>
        <w:rPr>
          <w:rFonts w:ascii="宋体" w:hAnsi="宋体"/>
          <w:szCs w:val="21"/>
        </w:rPr>
        <w:t>m</w:t>
      </w:r>
      <w:r>
        <w:rPr>
          <w:rFonts w:hint="eastAsia" w:ascii="宋体" w:hAnsi="宋体"/>
          <w:szCs w:val="21"/>
        </w:rPr>
        <w:t>；</w:t>
      </w:r>
    </w:p>
    <w:p>
      <w:pPr>
        <w:ind w:firstLine="420" w:firstLineChars="200"/>
        <w:rPr>
          <w:rFonts w:ascii="宋体" w:hAnsi="宋体"/>
          <w:szCs w:val="21"/>
        </w:rPr>
      </w:pPr>
      <w:r>
        <w:rPr>
          <w:rFonts w:hint="eastAsia" w:ascii="宋体" w:hAnsi="宋体"/>
          <w:szCs w:val="21"/>
        </w:rPr>
        <w:t>8.4.6使用寿命：大于50000</w:t>
      </w:r>
      <w:r>
        <w:rPr>
          <w:rFonts w:ascii="宋体" w:hAnsi="宋体"/>
          <w:szCs w:val="21"/>
        </w:rPr>
        <w:t>h</w:t>
      </w:r>
      <w:r>
        <w:rPr>
          <w:rFonts w:hint="eastAsia" w:ascii="宋体" w:hAnsi="宋体"/>
          <w:szCs w:val="21"/>
        </w:rPr>
        <w:t>；</w:t>
      </w:r>
    </w:p>
    <w:p>
      <w:pPr>
        <w:ind w:firstLine="420" w:firstLineChars="200"/>
        <w:rPr>
          <w:rFonts w:hint="eastAsia" w:ascii="宋体" w:hAnsi="宋体"/>
          <w:szCs w:val="21"/>
        </w:rPr>
      </w:pPr>
      <w:r>
        <w:rPr>
          <w:rFonts w:hint="eastAsia" w:ascii="宋体" w:hAnsi="宋体"/>
          <w:szCs w:val="21"/>
        </w:rPr>
        <w:t>8.4.7光强：红色4000</w:t>
      </w:r>
      <w:r>
        <w:rPr>
          <w:rFonts w:ascii="宋体" w:hAnsi="宋体"/>
          <w:szCs w:val="21"/>
        </w:rPr>
        <w:t>cd/㎡</w:t>
      </w:r>
      <w:r>
        <w:rPr>
          <w:rFonts w:hint="eastAsia" w:ascii="宋体" w:hAnsi="宋体"/>
          <w:szCs w:val="21"/>
        </w:rPr>
        <w:t>；绿色4000</w:t>
      </w:r>
      <w:r>
        <w:rPr>
          <w:rFonts w:ascii="宋体" w:hAnsi="宋体"/>
          <w:szCs w:val="21"/>
        </w:rPr>
        <w:t>cd/㎡</w:t>
      </w:r>
      <w:r>
        <w:rPr>
          <w:rFonts w:hint="eastAsia" w:ascii="宋体" w:hAnsi="宋体"/>
          <w:szCs w:val="21"/>
        </w:rPr>
        <w:t>。</w:t>
      </w:r>
    </w:p>
    <w:p>
      <w:pPr>
        <w:ind w:firstLine="422" w:firstLineChars="200"/>
        <w:rPr>
          <w:rFonts w:ascii="宋体" w:hAnsi="宋体"/>
          <w:b/>
          <w:bCs/>
          <w:szCs w:val="21"/>
        </w:rPr>
      </w:pPr>
      <w:r>
        <w:rPr>
          <w:rFonts w:hint="eastAsia" w:ascii="宋体" w:hAnsi="宋体"/>
          <w:b/>
          <w:bCs/>
          <w:szCs w:val="21"/>
        </w:rPr>
        <w:t>9、新型LED面阵发光道路交通警示标志技术要求</w:t>
      </w:r>
    </w:p>
    <w:p>
      <w:pPr>
        <w:ind w:firstLine="422" w:firstLineChars="200"/>
        <w:rPr>
          <w:rFonts w:ascii="宋体" w:hAnsi="宋体"/>
          <w:b/>
          <w:bCs/>
          <w:szCs w:val="21"/>
        </w:rPr>
      </w:pPr>
      <w:r>
        <w:rPr>
          <w:rFonts w:hint="eastAsia" w:ascii="宋体" w:hAnsi="宋体"/>
          <w:b/>
          <w:bCs/>
          <w:szCs w:val="21"/>
        </w:rPr>
        <w:t>9.1技术标准引用规范</w:t>
      </w:r>
    </w:p>
    <w:p>
      <w:pPr>
        <w:ind w:firstLine="420" w:firstLineChars="200"/>
        <w:rPr>
          <w:rFonts w:ascii="宋体" w:hAnsi="宋体"/>
          <w:szCs w:val="21"/>
        </w:rPr>
      </w:pPr>
      <w:r>
        <w:rPr>
          <w:rFonts w:hint="eastAsia" w:ascii="宋体" w:hAnsi="宋体"/>
          <w:szCs w:val="21"/>
        </w:rPr>
        <w:t>GB5768.2道路交通标志和标线第2部分：道路交通标志；</w:t>
      </w:r>
    </w:p>
    <w:p>
      <w:pPr>
        <w:ind w:firstLine="420" w:firstLineChars="200"/>
        <w:rPr>
          <w:rFonts w:ascii="宋体" w:hAnsi="宋体"/>
          <w:szCs w:val="21"/>
        </w:rPr>
      </w:pPr>
      <w:r>
        <w:rPr>
          <w:rFonts w:ascii="宋体" w:hAnsi="宋体"/>
          <w:szCs w:val="21"/>
        </w:rPr>
        <w:t>GB/T18833道路交通反光膜</w:t>
      </w:r>
      <w:r>
        <w:rPr>
          <w:rFonts w:hint="eastAsia" w:ascii="宋体" w:hAnsi="宋体"/>
          <w:szCs w:val="21"/>
        </w:rPr>
        <w:t>；</w:t>
      </w:r>
    </w:p>
    <w:p>
      <w:pPr>
        <w:ind w:firstLine="420" w:firstLineChars="200"/>
        <w:rPr>
          <w:rFonts w:ascii="宋体" w:hAnsi="宋体"/>
          <w:szCs w:val="21"/>
        </w:rPr>
      </w:pPr>
      <w:r>
        <w:rPr>
          <w:rFonts w:hint="eastAsia" w:ascii="宋体" w:hAnsi="宋体"/>
          <w:szCs w:val="21"/>
        </w:rPr>
        <w:t>GA/T1246-2015道路交叉口发光警示柱；</w:t>
      </w:r>
    </w:p>
    <w:p>
      <w:pPr>
        <w:ind w:firstLine="420" w:firstLineChars="200"/>
        <w:rPr>
          <w:rFonts w:ascii="宋体" w:hAnsi="宋体"/>
          <w:szCs w:val="21"/>
        </w:rPr>
      </w:pPr>
      <w:r>
        <w:rPr>
          <w:rFonts w:hint="eastAsia" w:ascii="宋体" w:hAnsi="宋体"/>
          <w:szCs w:val="21"/>
        </w:rPr>
        <w:t>GB/T23827道路交通标志板及支撑件；</w:t>
      </w:r>
    </w:p>
    <w:p>
      <w:pPr>
        <w:ind w:firstLine="420" w:firstLineChars="200"/>
        <w:rPr>
          <w:rFonts w:ascii="宋体" w:hAnsi="宋体"/>
          <w:szCs w:val="21"/>
        </w:rPr>
      </w:pPr>
      <w:r>
        <w:rPr>
          <w:rFonts w:hint="eastAsia" w:ascii="宋体" w:hAnsi="宋体"/>
          <w:szCs w:val="21"/>
        </w:rPr>
        <w:t>GB/T24716公路沿线设施太阳能供电系统通用技术规范；</w:t>
      </w:r>
    </w:p>
    <w:p>
      <w:pPr>
        <w:ind w:firstLine="422" w:firstLineChars="200"/>
        <w:rPr>
          <w:rFonts w:ascii="宋体" w:hAnsi="宋体"/>
          <w:b/>
          <w:bCs/>
          <w:szCs w:val="21"/>
        </w:rPr>
      </w:pPr>
      <w:r>
        <w:rPr>
          <w:rFonts w:hint="eastAsia" w:ascii="宋体" w:hAnsi="宋体"/>
          <w:b/>
          <w:bCs/>
          <w:szCs w:val="21"/>
        </w:rPr>
        <w:t>9.2术语及定义</w:t>
      </w:r>
    </w:p>
    <w:p>
      <w:pPr>
        <w:ind w:firstLine="422" w:firstLineChars="200"/>
        <w:rPr>
          <w:rFonts w:ascii="宋体" w:hAnsi="宋体"/>
          <w:szCs w:val="21"/>
        </w:rPr>
      </w:pPr>
      <w:r>
        <w:rPr>
          <w:rFonts w:hint="eastAsia" w:ascii="宋体" w:hAnsi="宋体"/>
          <w:b/>
          <w:bCs/>
          <w:szCs w:val="21"/>
          <w:lang w:val="zh-CN"/>
        </w:rPr>
        <w:t>●</w:t>
      </w:r>
      <w:r>
        <w:rPr>
          <w:rFonts w:hint="eastAsia" w:ascii="宋体" w:hAnsi="宋体"/>
          <w:b/>
          <w:bCs/>
          <w:szCs w:val="21"/>
        </w:rPr>
        <w:t>面阵发光道路交通警示标志：</w:t>
      </w:r>
      <w:r>
        <w:rPr>
          <w:rFonts w:hint="eastAsia" w:ascii="宋体" w:hAnsi="宋体"/>
          <w:szCs w:val="21"/>
        </w:rPr>
        <w:t>一种符合GB5768.2道路交通标志规范，通过逆反光和自发光双重功能，以显示标志的颜色、形状、字符、图形等信息的交通设施。</w:t>
      </w:r>
    </w:p>
    <w:p>
      <w:pPr>
        <w:ind w:firstLine="422" w:firstLineChars="200"/>
        <w:rPr>
          <w:rFonts w:ascii="宋体" w:hAnsi="宋体"/>
          <w:szCs w:val="21"/>
        </w:rPr>
      </w:pPr>
      <w:r>
        <w:rPr>
          <w:rFonts w:hint="eastAsia" w:ascii="宋体" w:hAnsi="宋体"/>
          <w:b/>
          <w:bCs/>
          <w:szCs w:val="21"/>
          <w:lang w:val="zh-CN"/>
        </w:rPr>
        <w:t>●</w:t>
      </w:r>
      <w:r>
        <w:rPr>
          <w:rFonts w:hint="eastAsia" w:ascii="宋体" w:hAnsi="宋体"/>
          <w:b/>
          <w:bCs/>
          <w:szCs w:val="21"/>
        </w:rPr>
        <w:t>LED面阵发光：</w:t>
      </w:r>
      <w:r>
        <w:rPr>
          <w:rFonts w:hint="eastAsia" w:ascii="宋体" w:hAnsi="宋体"/>
          <w:szCs w:val="21"/>
        </w:rPr>
        <w:t>一种采用LED作为光源，并通过光导传输原理所形成的高像素信息显示器。</w:t>
      </w:r>
    </w:p>
    <w:p>
      <w:pPr>
        <w:ind w:firstLine="422" w:firstLineChars="200"/>
        <w:rPr>
          <w:rFonts w:ascii="宋体" w:hAnsi="宋体"/>
          <w:szCs w:val="21"/>
        </w:rPr>
      </w:pPr>
      <w:r>
        <w:rPr>
          <w:rFonts w:hint="eastAsia" w:ascii="宋体" w:hAnsi="宋体"/>
          <w:b/>
          <w:bCs/>
          <w:szCs w:val="21"/>
          <w:lang w:val="zh-CN"/>
        </w:rPr>
        <w:t>●</w:t>
      </w:r>
      <w:r>
        <w:rPr>
          <w:rFonts w:hint="eastAsia" w:ascii="宋体" w:hAnsi="宋体"/>
          <w:b/>
          <w:bCs/>
          <w:szCs w:val="21"/>
        </w:rPr>
        <w:t>视认角：</w:t>
      </w:r>
      <w:r>
        <w:rPr>
          <w:rFonts w:hint="eastAsia" w:ascii="宋体" w:hAnsi="宋体"/>
          <w:szCs w:val="21"/>
        </w:rPr>
        <w:t>观察者（正常人，矫正视力1.0以上)在任何环境照度下偏离产品表面法线方向后，在规定距离内仍能有效识别标志内容的最大偏离角度。</w:t>
      </w:r>
    </w:p>
    <w:p>
      <w:pPr>
        <w:ind w:firstLine="422" w:firstLineChars="200"/>
        <w:rPr>
          <w:rFonts w:ascii="宋体" w:hAnsi="宋体"/>
          <w:szCs w:val="21"/>
        </w:rPr>
      </w:pPr>
      <w:r>
        <w:rPr>
          <w:rFonts w:hint="eastAsia" w:ascii="宋体" w:hAnsi="宋体"/>
          <w:b/>
          <w:bCs/>
          <w:szCs w:val="21"/>
          <w:lang w:val="zh-CN"/>
        </w:rPr>
        <w:t>●</w:t>
      </w:r>
      <w:r>
        <w:rPr>
          <w:rFonts w:hint="eastAsia" w:ascii="宋体" w:hAnsi="宋体"/>
          <w:b/>
          <w:bCs/>
          <w:szCs w:val="21"/>
        </w:rPr>
        <w:t>视认距离：</w:t>
      </w:r>
      <w:r>
        <w:rPr>
          <w:rFonts w:hint="eastAsia" w:ascii="宋体" w:hAnsi="宋体"/>
          <w:szCs w:val="21"/>
        </w:rPr>
        <w:t>当观察者（正常人，矫正视力1.0以上)处于静止、动态（30km/h运动速度）下，在规定的视认角内，仍能有效识别标志内容的最大距离。</w:t>
      </w:r>
    </w:p>
    <w:p>
      <w:pPr>
        <w:ind w:firstLine="422" w:firstLineChars="200"/>
        <w:rPr>
          <w:rFonts w:ascii="宋体" w:hAnsi="宋体"/>
          <w:b/>
          <w:bCs/>
          <w:szCs w:val="21"/>
        </w:rPr>
      </w:pPr>
      <w:r>
        <w:rPr>
          <w:rFonts w:hint="eastAsia" w:ascii="宋体" w:hAnsi="宋体"/>
          <w:b/>
          <w:bCs/>
          <w:szCs w:val="21"/>
        </w:rPr>
        <w:t>9.3产品技术要求：</w:t>
      </w:r>
    </w:p>
    <w:p>
      <w:pPr>
        <w:ind w:firstLine="420" w:firstLineChars="200"/>
        <w:rPr>
          <w:rFonts w:ascii="宋体" w:hAnsi="宋体"/>
          <w:szCs w:val="21"/>
        </w:rPr>
      </w:pPr>
      <w:r>
        <w:rPr>
          <w:rFonts w:hint="eastAsia" w:ascii="宋体" w:hAnsi="宋体"/>
          <w:szCs w:val="21"/>
        </w:rPr>
        <w:t>9.3.1具备逆反光、自发光双重显示特性。如图示：</w:t>
      </w:r>
    </w:p>
    <w:p>
      <w:pPr>
        <w:rPr>
          <w:rFonts w:ascii="宋体" w:hAnsi="宋体"/>
        </w:rPr>
      </w:pPr>
      <w:r>
        <w:rPr>
          <w:rFonts w:ascii="宋体" w:hAnsi="宋体"/>
          <w:sz w:val="28"/>
          <w:szCs w:val="28"/>
        </w:rPr>
        <w:drawing>
          <wp:inline distT="0" distB="0" distL="114300" distR="114300">
            <wp:extent cx="5732780" cy="2172335"/>
            <wp:effectExtent l="0" t="0" r="1270" b="18415"/>
            <wp:docPr id="42" name="图片 19" descr="交通标志发光设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descr="交通标志发光设计"/>
                    <pic:cNvPicPr>
                      <a:picLocks noChangeAspect="1"/>
                    </pic:cNvPicPr>
                  </pic:nvPicPr>
                  <pic:blipFill>
                    <a:blip r:embed="rId38"/>
                    <a:stretch>
                      <a:fillRect/>
                    </a:stretch>
                  </pic:blipFill>
                  <pic:spPr>
                    <a:xfrm>
                      <a:off x="0" y="0"/>
                      <a:ext cx="5732780" cy="217233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9.3.2产品须在符合GB5768.2道路交通标志规范的前提下加之主动发光技术。标志的底和面采用全反光膜结构，即使连续几十天阴雨天极端天气造成储能电池电量耗尽，也能完全如同普通反光标志一样，夜间通过反光膜的逆反射功能清晰显示警示图案或文字，保障最基本的安全警示效果。</w:t>
      </w:r>
    </w:p>
    <w:p>
      <w:pPr>
        <w:ind w:firstLine="420" w:firstLineChars="200"/>
        <w:rPr>
          <w:rFonts w:ascii="宋体" w:hAnsi="宋体"/>
          <w:szCs w:val="21"/>
        </w:rPr>
      </w:pPr>
      <w:r>
        <w:rPr>
          <w:rFonts w:hint="eastAsia" w:ascii="宋体" w:hAnsi="宋体"/>
          <w:szCs w:val="21"/>
        </w:rPr>
        <w:t>9.3.3产品运行在主动发光的状态下，警示图案或文字必须明亮而不炫目刺眼，无论距离远近，都具有极好的视认性，警示效果明显。当用于辅助标志的文字显示内容时，要求能显示字高小于100mm的内容，且保证边缘清晰。</w:t>
      </w:r>
    </w:p>
    <w:p>
      <w:pPr>
        <w:ind w:firstLine="420" w:firstLineChars="200"/>
        <w:rPr>
          <w:rFonts w:ascii="宋体" w:hAnsi="宋体"/>
          <w:szCs w:val="21"/>
        </w:rPr>
      </w:pPr>
      <w:r>
        <w:rPr>
          <w:rFonts w:hint="eastAsia" w:ascii="宋体" w:hAnsi="宋体"/>
          <w:szCs w:val="21"/>
        </w:rPr>
        <w:t>9.3.4须采用LED发光技术作为标志的显示光源，并通过光学级亚克力（PMM（a）导光平板进行图案、文字定向发光。而非由LED点阵直接进行图案、文字的构建，以防止个别点阵的故障所引起的显示缺陷或内容不完整现象。宜采用点光源转换为面光源（面阵发光）的显示技术，即使个别LED的缺损也不会造成显示内容的黑点黑斑现象，始终保证发光警示图案或文字的完整性。除非产品被撞击损坏因素，应确保产品在六年以上的免维护性能。</w:t>
      </w:r>
    </w:p>
    <w:p>
      <w:pPr>
        <w:ind w:firstLine="420" w:firstLineChars="200"/>
        <w:rPr>
          <w:rFonts w:ascii="宋体" w:hAnsi="宋体"/>
          <w:szCs w:val="21"/>
        </w:rPr>
      </w:pPr>
      <w:r>
        <w:rPr>
          <w:rFonts w:hint="eastAsia" w:ascii="宋体" w:hAnsi="宋体"/>
          <w:szCs w:val="21"/>
        </w:rPr>
        <w:t>9.3.5显示标志的LED布局工艺宜采用表面贴装工艺（SMT），具有较高的散热和接触性能。防止因高热阻散热不良及触点氧化而引起的显示故障。</w:t>
      </w:r>
    </w:p>
    <w:p>
      <w:pPr>
        <w:ind w:firstLine="420" w:firstLineChars="200"/>
        <w:rPr>
          <w:rFonts w:ascii="宋体" w:hAnsi="宋体"/>
          <w:szCs w:val="21"/>
        </w:rPr>
      </w:pPr>
      <w:r>
        <w:rPr>
          <w:rFonts w:hint="eastAsia" w:ascii="宋体" w:hAnsi="宋体"/>
          <w:szCs w:val="21"/>
        </w:rPr>
        <w:t>9.3.6产品供电须采用太阳能光伏电池方式，材料宜选用转换效率较高的A级单晶或多晶硅太阳能电池。其性能须符合GJB1431.1和GB/T9535规定。储能电池采用密封铅酸电池或磷酸铁锂电池。储能电池须提供二年以上的质保期。</w:t>
      </w:r>
    </w:p>
    <w:p>
      <w:pPr>
        <w:ind w:firstLine="420" w:firstLineChars="200"/>
        <w:rPr>
          <w:rFonts w:ascii="宋体" w:hAnsi="宋体"/>
          <w:szCs w:val="21"/>
        </w:rPr>
      </w:pPr>
      <w:r>
        <w:rPr>
          <w:rFonts w:hint="eastAsia" w:ascii="宋体" w:hAnsi="宋体"/>
          <w:szCs w:val="21"/>
        </w:rPr>
        <w:t>9.3.7产品具备单面或双面显示功能，标志的整体外框结构须采用工业级高强铝合金轻型材料。尺寸符合GB5768.2道路交通标志规范。外观光滑美观，结构坚固，标志整体结构在-20℃至70℃环境下不得产生形变。</w:t>
      </w:r>
    </w:p>
    <w:p>
      <w:pPr>
        <w:ind w:firstLine="422" w:firstLineChars="200"/>
        <w:rPr>
          <w:rFonts w:ascii="宋体" w:hAnsi="宋体"/>
          <w:b/>
          <w:bCs/>
          <w:szCs w:val="21"/>
        </w:rPr>
      </w:pPr>
      <w:r>
        <w:rPr>
          <w:rFonts w:hint="eastAsia" w:ascii="宋体" w:hAnsi="宋体"/>
          <w:b/>
          <w:bCs/>
          <w:szCs w:val="21"/>
        </w:rPr>
        <w:t>9.4产品的组成</w:t>
      </w:r>
    </w:p>
    <w:p>
      <w:pPr>
        <w:ind w:firstLine="420" w:firstLineChars="200"/>
        <w:rPr>
          <w:rFonts w:ascii="宋体" w:hAnsi="宋体"/>
          <w:szCs w:val="21"/>
        </w:rPr>
      </w:pPr>
      <w:r>
        <w:rPr>
          <w:rFonts w:hint="eastAsia" w:ascii="宋体" w:hAnsi="宋体"/>
          <w:szCs w:val="21"/>
        </w:rPr>
        <w:t>产品由标志显示板面或柱体、控制电路、供电系统等组成。根据用户需求和现场实际状况，也可以附加告知交通标志信息的部件。</w:t>
      </w:r>
    </w:p>
    <w:p>
      <w:pPr>
        <w:ind w:firstLine="420" w:firstLineChars="200"/>
        <w:rPr>
          <w:rFonts w:ascii="宋体" w:hAnsi="宋体"/>
          <w:szCs w:val="21"/>
        </w:rPr>
      </w:pPr>
      <w:r>
        <w:rPr>
          <w:rFonts w:hint="eastAsia" w:ascii="宋体" w:hAnsi="宋体"/>
          <w:szCs w:val="21"/>
        </w:rPr>
        <w:t>9.5性能参数与指标要求：</w:t>
      </w:r>
    </w:p>
    <w:p>
      <w:pPr>
        <w:ind w:firstLine="420" w:firstLineChars="200"/>
        <w:rPr>
          <w:rFonts w:ascii="宋体" w:hAnsi="宋体"/>
          <w:szCs w:val="21"/>
        </w:rPr>
      </w:pPr>
      <w:r>
        <w:rPr>
          <w:rFonts w:hint="eastAsia" w:ascii="宋体" w:hAnsi="宋体"/>
          <w:szCs w:val="21"/>
        </w:rPr>
        <w:t>9.5.1显示性能与指标要求：</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反光膜等级要求：用于产品逆反光的材料“反光膜”的选用应不低于GB/T18833-2012《道路交通反光膜》Ⅰ类标准。</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发光颜色波长/色温：红色625±5nm，黄色595±5nm，白色≥8500K。</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发光标志表面亮度：大于400LUX，小于1200LUX。</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视认角度：大于45度的斜视状态下，仍能清晰分辨显示内容。</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视认距离：1-200米视距范围内，仍能清晰分辨显示内容，远、近视显示不得产生炫光、刺眼、以及图案字体边缘模糊现象。</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自发光显示信息时，文字、图案的解析度（分辨率）达到7000像素点/平方米。用于内容轮廓显示时相邻发光点中心间距小于12mm。</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自发光显示方式：支持常亮、间歇频闪。当选择频闪方式用以显示时，闪烁频率宜选择（30±5）次/分钟，占空比宜选择1：1.5。</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用于光转换的导光板材质须达到光学级，外层保护材质选用抗UV聚碳酸酯PC。</w:t>
      </w:r>
    </w:p>
    <w:p>
      <w:pPr>
        <w:ind w:firstLine="420" w:firstLineChars="200"/>
        <w:rPr>
          <w:rFonts w:ascii="宋体" w:hAnsi="宋体"/>
          <w:szCs w:val="21"/>
        </w:rPr>
      </w:pPr>
      <w:r>
        <w:rPr>
          <w:rFonts w:hint="eastAsia" w:ascii="宋体" w:hAnsi="宋体"/>
          <w:szCs w:val="21"/>
        </w:rPr>
        <w:t>9.5.2控制性能与参数指标要求：</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控制电路应具备环境照度检测功能。采用内置式光控原件，当环境照度低于100勒克斯（lx）自动开启，环境照度高于100勒克斯（lx）自动关闭，并具有延迟触发抗干扰功能；</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应具备闪烁控制功能。闪烁频率与间歇时间可调。</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电子元器件的平均无故障时间（MTBF)大于等于30000</w:t>
      </w:r>
      <w:r>
        <w:rPr>
          <w:rFonts w:ascii="宋体" w:hAnsi="宋体"/>
          <w:szCs w:val="21"/>
        </w:rPr>
        <w:t>h</w:t>
      </w:r>
      <w:r>
        <w:rPr>
          <w:rFonts w:hint="eastAsia" w:ascii="宋体" w:hAnsi="宋体"/>
          <w:szCs w:val="21"/>
        </w:rPr>
        <w:t>。</w:t>
      </w:r>
    </w:p>
    <w:p>
      <w:pPr>
        <w:ind w:firstLine="420" w:firstLineChars="200"/>
        <w:rPr>
          <w:rFonts w:ascii="宋体" w:hAnsi="宋体"/>
          <w:szCs w:val="21"/>
        </w:rPr>
      </w:pPr>
      <w:r>
        <w:rPr>
          <w:rFonts w:hint="eastAsia" w:ascii="宋体" w:hAnsi="宋体"/>
          <w:szCs w:val="21"/>
        </w:rPr>
        <w:t>9.5.3电器性能与指标要求：</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产品自发光显示系统须采用低功耗支撑技术，系统平均功耗&lt;2W。</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采用太阳能供电系统，光伏控制器须具有过充保护、过放保护、防逆充保护、极性反接保护等安全防护功能。符合GB/T24716规定的要求。</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光伏太阳能板为18V/12W（标志类）或9V/3W（警示柱类）。</w:t>
      </w:r>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显示系统电器供电为DC12V或DC6V。平均工作电流100至300mA。</w:t>
      </w:r>
    </w:p>
    <w:p>
      <w:pPr>
        <w:ind w:firstLine="420" w:firstLineChars="200"/>
        <w:rPr>
          <w:rFonts w:ascii="宋体" w:hAnsi="宋体"/>
          <w:szCs w:val="21"/>
        </w:rPr>
      </w:pPr>
      <w:bookmarkStart w:id="88" w:name="_Toc490061650"/>
      <w:bookmarkStart w:id="89" w:name="_Toc488692639"/>
      <w:r>
        <w:rPr>
          <w:rFonts w:hint="eastAsia" w:ascii="宋体" w:hAnsi="宋体"/>
          <w:szCs w:val="21"/>
        </w:rPr>
        <w:t>用于供电系统的蓄电池，额定容量应满足设备正常工作120h。</w:t>
      </w:r>
      <w:bookmarkEnd w:id="88"/>
      <w:bookmarkEnd w:id="89"/>
      <w:bookmarkStart w:id="90" w:name="_Toc57707526"/>
      <w:bookmarkStart w:id="91" w:name="_Toc57804433"/>
    </w:p>
    <w:p>
      <w:pPr>
        <w:ind w:firstLine="420" w:firstLineChars="200"/>
        <w:rPr>
          <w:rFonts w:ascii="宋体" w:hAnsi="宋体"/>
          <w:szCs w:val="21"/>
        </w:rPr>
      </w:pPr>
      <w:bookmarkStart w:id="92" w:name="_Toc488692640"/>
      <w:bookmarkStart w:id="93" w:name="_Toc490061651"/>
      <w:r>
        <w:rPr>
          <w:rFonts w:hint="eastAsia" w:ascii="宋体" w:hAnsi="宋体"/>
          <w:szCs w:val="21"/>
        </w:rPr>
        <w:t>9.5.4环境适应性能</w:t>
      </w:r>
      <w:bookmarkEnd w:id="90"/>
      <w:bookmarkEnd w:id="91"/>
      <w:bookmarkStart w:id="94" w:name="_Toc57804434"/>
      <w:r>
        <w:rPr>
          <w:rFonts w:hint="eastAsia" w:ascii="宋体" w:hAnsi="宋体"/>
          <w:szCs w:val="21"/>
        </w:rPr>
        <w:t>要求：</w:t>
      </w:r>
      <w:bookmarkEnd w:id="92"/>
      <w:bookmarkEnd w:id="93"/>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耐低温性能</w:t>
      </w:r>
      <w:bookmarkEnd w:id="94"/>
      <w:bookmarkStart w:id="95" w:name="_Toc57804435"/>
      <w:bookmarkStart w:id="96" w:name="_Toc57789170"/>
      <w:r>
        <w:rPr>
          <w:rFonts w:hint="eastAsia" w:ascii="宋体" w:hAnsi="宋体"/>
          <w:szCs w:val="21"/>
        </w:rPr>
        <w:t>：通电工作状态下，在</w:t>
      </w:r>
      <w:r>
        <w:rPr>
          <w:rFonts w:ascii="宋体" w:hAnsi="宋体"/>
          <w:szCs w:val="21"/>
        </w:rPr>
        <w:t>-20</w:t>
      </w:r>
      <w:r>
        <w:rPr>
          <w:rFonts w:hint="eastAsia" w:ascii="宋体" w:hAnsi="宋体"/>
          <w:szCs w:val="21"/>
        </w:rPr>
        <w:t>℃环境温度下，应能正常工作，外观应无明显变形、损伤。</w:t>
      </w:r>
      <w:bookmarkEnd w:id="95"/>
      <w:bookmarkEnd w:id="96"/>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耐高温性能：通电工作状态下，在</w:t>
      </w:r>
      <w:r>
        <w:rPr>
          <w:rFonts w:ascii="宋体" w:hAnsi="宋体"/>
          <w:szCs w:val="21"/>
        </w:rPr>
        <w:t>+</w:t>
      </w:r>
      <w:r>
        <w:rPr>
          <w:rFonts w:hint="eastAsia" w:ascii="宋体" w:hAnsi="宋体"/>
          <w:szCs w:val="21"/>
        </w:rPr>
        <w:t>70℃环境温度下应能正常工作，外观应无明显变形、损伤。</w:t>
      </w:r>
    </w:p>
    <w:p>
      <w:pPr>
        <w:ind w:firstLine="420" w:firstLineChars="200"/>
        <w:rPr>
          <w:rFonts w:ascii="宋体" w:hAnsi="宋体"/>
          <w:szCs w:val="21"/>
        </w:rPr>
      </w:pPr>
      <w:bookmarkStart w:id="97" w:name="_Toc490061652"/>
      <w:bookmarkStart w:id="98" w:name="_Toc488692641"/>
      <w:r>
        <w:rPr>
          <w:rFonts w:hint="eastAsia" w:ascii="宋体" w:hAnsi="宋体"/>
          <w:szCs w:val="21"/>
          <w:lang w:val="zh-CN"/>
        </w:rPr>
        <w:t>●</w:t>
      </w:r>
      <w:r>
        <w:rPr>
          <w:rFonts w:hint="eastAsia" w:ascii="宋体" w:hAnsi="宋体"/>
          <w:szCs w:val="21"/>
        </w:rPr>
        <w:t>耐湿热性能：通电工作状态下，在温度+40℃，相对湿度（98</w:t>
      </w:r>
      <w:r>
        <w:rPr>
          <w:rFonts w:hint="eastAsia" w:ascii="宋体" w:hAnsi="宋体"/>
          <w:szCs w:val="21"/>
        </w:rPr>
        <w:sym w:font="Symbol" w:char="F0B1"/>
      </w:r>
      <w:r>
        <w:rPr>
          <w:rFonts w:hint="eastAsia" w:ascii="宋体" w:hAnsi="宋体"/>
          <w:szCs w:val="21"/>
        </w:rPr>
        <w:t>2)％RH条件下，应能正常工作，外观应无明显变形、损伤。</w:t>
      </w:r>
      <w:bookmarkEnd w:id="97"/>
      <w:bookmarkEnd w:id="98"/>
    </w:p>
    <w:p>
      <w:pPr>
        <w:ind w:firstLine="420" w:firstLineChars="200"/>
        <w:rPr>
          <w:rFonts w:ascii="宋体" w:hAnsi="宋体"/>
          <w:szCs w:val="21"/>
        </w:rPr>
      </w:pPr>
      <w:bookmarkStart w:id="99" w:name="_Toc490061653"/>
      <w:bookmarkStart w:id="100" w:name="_Toc488692642"/>
      <w:r>
        <w:rPr>
          <w:rFonts w:hint="eastAsia" w:ascii="宋体" w:hAnsi="宋体"/>
          <w:szCs w:val="21"/>
        </w:rPr>
        <w:t>9.5.5机械性能要求：</w:t>
      </w:r>
      <w:bookmarkEnd w:id="99"/>
      <w:bookmarkEnd w:id="100"/>
    </w:p>
    <w:p>
      <w:pPr>
        <w:ind w:firstLine="420" w:firstLineChars="200"/>
        <w:rPr>
          <w:rFonts w:ascii="宋体" w:hAnsi="宋体"/>
          <w:szCs w:val="21"/>
        </w:rPr>
      </w:pPr>
      <w:bookmarkStart w:id="101" w:name="_Toc488692643"/>
      <w:bookmarkStart w:id="102" w:name="_Toc490061654"/>
      <w:r>
        <w:rPr>
          <w:rFonts w:hint="eastAsia" w:ascii="宋体" w:hAnsi="宋体"/>
          <w:szCs w:val="21"/>
          <w:lang w:val="zh-CN"/>
        </w:rPr>
        <w:t>●</w:t>
      </w:r>
      <w:r>
        <w:rPr>
          <w:rFonts w:hint="eastAsia" w:ascii="宋体" w:hAnsi="宋体"/>
          <w:szCs w:val="21"/>
        </w:rPr>
        <w:t>具有较好的抗振动性能，当通电工作时，在振动频率2</w:t>
      </w:r>
      <w:r>
        <w:rPr>
          <w:rFonts w:ascii="宋体" w:hAnsi="宋体"/>
          <w:szCs w:val="21"/>
        </w:rPr>
        <w:t>Hz</w:t>
      </w:r>
      <w:r>
        <w:rPr>
          <w:rFonts w:hint="eastAsia" w:ascii="宋体" w:hAnsi="宋体"/>
          <w:szCs w:val="21"/>
        </w:rPr>
        <w:t>～</w:t>
      </w:r>
      <w:r>
        <w:rPr>
          <w:rFonts w:ascii="宋体" w:hAnsi="宋体"/>
          <w:szCs w:val="21"/>
        </w:rPr>
        <w:t>150Hz</w:t>
      </w:r>
      <w:r>
        <w:rPr>
          <w:rFonts w:hint="eastAsia" w:ascii="宋体" w:hAnsi="宋体"/>
          <w:szCs w:val="21"/>
        </w:rPr>
        <w:t>的范围内仍能正常工作且结构无损伤变形，零部件无松动。</w:t>
      </w:r>
      <w:bookmarkEnd w:id="101"/>
      <w:bookmarkEnd w:id="102"/>
    </w:p>
    <w:p>
      <w:pPr>
        <w:ind w:firstLine="420" w:firstLineChars="200"/>
        <w:rPr>
          <w:rFonts w:ascii="宋体" w:hAnsi="宋体"/>
          <w:szCs w:val="21"/>
        </w:rPr>
      </w:pPr>
      <w:bookmarkStart w:id="103" w:name="_Toc57804436"/>
      <w:bookmarkStart w:id="104" w:name="_Toc490061655"/>
      <w:bookmarkStart w:id="105" w:name="_Toc488692644"/>
      <w:bookmarkStart w:id="106" w:name="_Toc57707527"/>
      <w:r>
        <w:rPr>
          <w:rFonts w:hint="eastAsia" w:ascii="宋体" w:hAnsi="宋体"/>
          <w:szCs w:val="21"/>
          <w:lang w:val="zh-CN"/>
        </w:rPr>
        <w:t>●</w:t>
      </w:r>
      <w:r>
        <w:rPr>
          <w:rFonts w:hint="eastAsia" w:ascii="宋体" w:hAnsi="宋体"/>
          <w:szCs w:val="21"/>
        </w:rPr>
        <w:t>防护等级：具备防水、防尘措施，外壳防护等级达到IP55级。</w:t>
      </w:r>
      <w:bookmarkEnd w:id="103"/>
      <w:bookmarkEnd w:id="104"/>
      <w:bookmarkEnd w:id="105"/>
      <w:bookmarkEnd w:id="106"/>
    </w:p>
    <w:p>
      <w:pPr>
        <w:ind w:firstLine="420" w:firstLineChars="200"/>
        <w:rPr>
          <w:rFonts w:ascii="宋体" w:hAnsi="宋体"/>
          <w:szCs w:val="21"/>
        </w:rPr>
      </w:pPr>
      <w:r>
        <w:rPr>
          <w:rFonts w:hint="eastAsia" w:ascii="宋体" w:hAnsi="宋体"/>
          <w:szCs w:val="21"/>
          <w:lang w:val="zh-CN"/>
        </w:rPr>
        <w:t>●</w:t>
      </w:r>
      <w:r>
        <w:rPr>
          <w:rFonts w:hint="eastAsia" w:ascii="宋体" w:hAnsi="宋体"/>
          <w:szCs w:val="21"/>
        </w:rPr>
        <w:t>结构指标：外框材质应选用6063-T5工业级高强铝合金型材，表面银白氧化处理，所有紧固件选用SUS304不锈钢。</w:t>
      </w:r>
    </w:p>
    <w:p>
      <w:pPr>
        <w:ind w:firstLine="420" w:firstLineChars="200"/>
        <w:rPr>
          <w:rFonts w:ascii="宋体" w:hAnsi="宋体"/>
          <w:szCs w:val="21"/>
        </w:rPr>
      </w:pPr>
      <w:bookmarkStart w:id="107" w:name="_Toc490061656"/>
      <w:bookmarkStart w:id="108" w:name="_Toc488692645"/>
      <w:r>
        <w:rPr>
          <w:rFonts w:hint="eastAsia" w:ascii="宋体" w:hAnsi="宋体"/>
          <w:szCs w:val="21"/>
          <w:lang w:val="zh-CN"/>
        </w:rPr>
        <w:t>●</w:t>
      </w:r>
      <w:r>
        <w:rPr>
          <w:rFonts w:ascii="宋体" w:hAnsi="宋体"/>
          <w:szCs w:val="21"/>
        </w:rPr>
        <w:t>可靠性</w:t>
      </w:r>
      <w:r>
        <w:rPr>
          <w:rFonts w:hint="eastAsia" w:ascii="宋体" w:hAnsi="宋体"/>
          <w:szCs w:val="21"/>
        </w:rPr>
        <w:t>能：除蓄电池外，整体</w:t>
      </w:r>
      <w:r>
        <w:rPr>
          <w:rFonts w:ascii="宋体" w:hAnsi="宋体"/>
          <w:szCs w:val="21"/>
        </w:rPr>
        <w:t>产品平均无故障时间</w:t>
      </w:r>
      <w:r>
        <w:rPr>
          <w:rFonts w:hint="eastAsia" w:ascii="宋体" w:hAnsi="宋体"/>
          <w:szCs w:val="21"/>
        </w:rPr>
        <w:t>（MTBF)</w:t>
      </w:r>
      <w:r>
        <w:rPr>
          <w:rFonts w:ascii="宋体" w:hAnsi="宋体"/>
          <w:szCs w:val="21"/>
        </w:rPr>
        <w:t>应不小于</w:t>
      </w:r>
      <w:r>
        <w:rPr>
          <w:rFonts w:hint="eastAsia" w:ascii="宋体" w:hAnsi="宋体"/>
          <w:szCs w:val="21"/>
        </w:rPr>
        <w:t>25</w:t>
      </w:r>
      <w:r>
        <w:rPr>
          <w:rFonts w:ascii="宋体" w:hAnsi="宋体"/>
          <w:szCs w:val="21"/>
        </w:rPr>
        <w:t>000h。</w:t>
      </w:r>
      <w:bookmarkEnd w:id="107"/>
      <w:bookmarkEnd w:id="108"/>
    </w:p>
    <w:p>
      <w:pPr>
        <w:ind w:firstLine="422" w:firstLineChars="200"/>
        <w:rPr>
          <w:rFonts w:ascii="宋体" w:hAnsi="宋体"/>
          <w:b/>
          <w:bCs/>
          <w:szCs w:val="21"/>
        </w:rPr>
      </w:pPr>
      <w:bookmarkStart w:id="109" w:name="_Toc488692646"/>
      <w:bookmarkStart w:id="110" w:name="_Toc490061657"/>
      <w:r>
        <w:rPr>
          <w:rFonts w:hint="eastAsia" w:ascii="宋体" w:hAnsi="宋体"/>
          <w:b/>
          <w:bCs/>
          <w:szCs w:val="21"/>
        </w:rPr>
        <w:t>9.6产品尺寸规格要求</w:t>
      </w:r>
      <w:bookmarkEnd w:id="109"/>
      <w:bookmarkEnd w:id="110"/>
    </w:p>
    <w:tbl>
      <w:tblPr>
        <w:tblStyle w:val="53"/>
        <w:tblW w:w="0" w:type="auto"/>
        <w:tblInd w:w="93" w:type="dxa"/>
        <w:tblLayout w:type="fixed"/>
        <w:tblCellMar>
          <w:top w:w="0" w:type="dxa"/>
          <w:left w:w="108" w:type="dxa"/>
          <w:bottom w:w="0" w:type="dxa"/>
          <w:right w:w="108" w:type="dxa"/>
        </w:tblCellMar>
      </w:tblPr>
      <w:tblGrid>
        <w:gridCol w:w="1983"/>
        <w:gridCol w:w="1476"/>
        <w:gridCol w:w="836"/>
        <w:gridCol w:w="682"/>
        <w:gridCol w:w="708"/>
        <w:gridCol w:w="985"/>
        <w:gridCol w:w="2559"/>
      </w:tblGrid>
      <w:tr>
        <w:tblPrEx>
          <w:tblCellMar>
            <w:top w:w="0" w:type="dxa"/>
            <w:left w:w="108" w:type="dxa"/>
            <w:bottom w:w="0" w:type="dxa"/>
            <w:right w:w="108" w:type="dxa"/>
          </w:tblCellMar>
        </w:tblPrEx>
        <w:trPr>
          <w:wBefore w:w="0" w:type="dxa"/>
          <w:trHeight w:val="240" w:hRule="atLeast"/>
        </w:trPr>
        <w:tc>
          <w:tcPr>
            <w:tcW w:w="1983"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产品名称</w:t>
            </w:r>
          </w:p>
        </w:tc>
        <w:tc>
          <w:tcPr>
            <w:tcW w:w="1476"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型号</w:t>
            </w:r>
          </w:p>
        </w:tc>
        <w:tc>
          <w:tcPr>
            <w:tcW w:w="2226" w:type="dxa"/>
            <w:gridSpan w:val="3"/>
            <w:tcBorders>
              <w:top w:val="single" w:color="auto" w:sz="4" w:space="0"/>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规格尺寸（mm)</w:t>
            </w:r>
          </w:p>
        </w:tc>
        <w:tc>
          <w:tcPr>
            <w:tcW w:w="985"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辅助标志配置</w:t>
            </w:r>
          </w:p>
        </w:tc>
        <w:tc>
          <w:tcPr>
            <w:tcW w:w="2559"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应用说明</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476"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高</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宽</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厚</w:t>
            </w:r>
          </w:p>
        </w:tc>
        <w:tc>
          <w:tcPr>
            <w:tcW w:w="985"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2559"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机动车中心隔离警示桩</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JSZ-30160-JF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1600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300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有</w:t>
            </w:r>
          </w:p>
        </w:tc>
        <w:tc>
          <w:tcPr>
            <w:tcW w:w="2559" w:type="dxa"/>
            <w:vMerge w:val="restart"/>
            <w:tcBorders>
              <w:top w:val="nil"/>
              <w:left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适应道路硬隔离墩或隔离护栏端头警示安装，辅助标志支持双面显示。</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JSZ-26140-JF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1400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260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有</w:t>
            </w:r>
          </w:p>
        </w:tc>
        <w:tc>
          <w:tcPr>
            <w:tcW w:w="2559" w:type="dxa"/>
            <w:vMerge w:val="continue"/>
            <w:tcBorders>
              <w:left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机非隔离墩警示桩</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JSZ-26140-JF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1400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260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有</w:t>
            </w:r>
          </w:p>
        </w:tc>
        <w:tc>
          <w:tcPr>
            <w:tcW w:w="2559" w:type="dxa"/>
            <w:vMerge w:val="continue"/>
            <w:tcBorders>
              <w:left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JSZ-22120-JF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1200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220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有</w:t>
            </w:r>
          </w:p>
        </w:tc>
        <w:tc>
          <w:tcPr>
            <w:tcW w:w="2559" w:type="dxa"/>
            <w:vMerge w:val="continue"/>
            <w:tcBorders>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交通警示标志（支持规格、标志图案的定制）</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MZ-ZS6080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600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600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无文字</w:t>
            </w:r>
          </w:p>
        </w:tc>
        <w:tc>
          <w:tcPr>
            <w:tcW w:w="2559" w:type="dxa"/>
            <w:vMerge w:val="restart"/>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适应大型路口的安全岛、隔离绿化带岛头、安全敏感地带的警示安装应用</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szCs w:val="21"/>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MZ-ZS6080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600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有文字</w:t>
            </w:r>
          </w:p>
        </w:tc>
        <w:tc>
          <w:tcPr>
            <w:tcW w:w="2559"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szCs w:val="21"/>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MZ-ZS8080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800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无文字</w:t>
            </w:r>
          </w:p>
        </w:tc>
        <w:tc>
          <w:tcPr>
            <w:tcW w:w="2559"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r>
        <w:tblPrEx>
          <w:tblCellMar>
            <w:top w:w="0" w:type="dxa"/>
            <w:left w:w="108" w:type="dxa"/>
            <w:bottom w:w="0" w:type="dxa"/>
            <w:right w:w="108" w:type="dxa"/>
          </w:tblCellMar>
        </w:tblPrEx>
        <w:trPr>
          <w:wBefore w:w="0" w:type="dxa"/>
          <w:wAfter w:w="0" w:type="dxa"/>
          <w:trHeight w:val="480" w:hRule="atLeast"/>
        </w:trPr>
        <w:tc>
          <w:tcPr>
            <w:tcW w:w="1983" w:type="dxa"/>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警示柱</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JSZ-28180-JF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1800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280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40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无</w:t>
            </w:r>
          </w:p>
        </w:tc>
        <w:tc>
          <w:tcPr>
            <w:tcW w:w="2559"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适应绿化岛岛头警示安装，与交通标志配合使用</w:t>
            </w:r>
          </w:p>
        </w:tc>
      </w:tr>
    </w:tbl>
    <w:p>
      <w:pPr>
        <w:ind w:firstLine="422" w:firstLineChars="200"/>
        <w:rPr>
          <w:rFonts w:ascii="宋体" w:hAnsi="宋体"/>
          <w:b/>
          <w:bCs/>
          <w:szCs w:val="21"/>
        </w:rPr>
      </w:pPr>
      <w:r>
        <w:rPr>
          <w:rFonts w:hint="eastAsia" w:ascii="宋体" w:hAnsi="宋体"/>
          <w:b/>
          <w:bCs/>
          <w:szCs w:val="21"/>
        </w:rPr>
        <w:t>机动车中心隔离墩警示桩选型\安装信息图示：</w:t>
      </w:r>
    </w:p>
    <w:p>
      <w:pPr>
        <w:rPr>
          <w:rFonts w:ascii="宋体" w:hAnsi="宋体"/>
        </w:rPr>
      </w:pPr>
      <w:r>
        <w:rPr>
          <w:rFonts w:ascii="宋体" w:hAnsi="宋体"/>
          <w:sz w:val="28"/>
          <w:szCs w:val="28"/>
        </w:rPr>
        <w:drawing>
          <wp:inline distT="0" distB="0" distL="114300" distR="114300">
            <wp:extent cx="5676900" cy="2685415"/>
            <wp:effectExtent l="0" t="0" r="0" b="635"/>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39"/>
                    <a:stretch>
                      <a:fillRect/>
                    </a:stretch>
                  </pic:blipFill>
                  <pic:spPr>
                    <a:xfrm>
                      <a:off x="0" y="0"/>
                      <a:ext cx="5676900" cy="2685415"/>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10、三图文待驶区提示屏技术要求</w:t>
      </w:r>
    </w:p>
    <w:p>
      <w:pPr>
        <w:ind w:firstLine="422" w:firstLineChars="200"/>
        <w:rPr>
          <w:rFonts w:ascii="宋体" w:hAnsi="宋体"/>
          <w:szCs w:val="21"/>
        </w:rPr>
      </w:pPr>
      <w:r>
        <w:rPr>
          <w:rFonts w:hint="eastAsia" w:ascii="宋体" w:hAnsi="宋体"/>
          <w:b/>
          <w:bCs/>
          <w:szCs w:val="21"/>
        </w:rPr>
        <w:t>10.</w:t>
      </w:r>
      <w:r>
        <w:rPr>
          <w:rFonts w:ascii="宋体" w:hAnsi="宋体"/>
          <w:b/>
          <w:bCs/>
          <w:szCs w:val="21"/>
        </w:rPr>
        <w:t>1</w:t>
      </w:r>
      <w:r>
        <w:rPr>
          <w:rFonts w:hint="eastAsia" w:ascii="宋体" w:hAnsi="宋体"/>
          <w:szCs w:val="21"/>
        </w:rPr>
        <w:t>路口遇堵不得进入/左转进入待行区/直行进入待行区（3文字待行区）</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67" o:spid="_x0000_s2072" o:spt="203" style="position:absolute;left:0pt;margin-left:91pt;margin-top:12.55pt;height:31.2pt;width:225pt;z-index:251662336;mso-width-relative:page;mso-height-relative:page;" coordorigin="2592,15246" coordsize="4500,624">
                  <o:lock v:ext="edit" rotation="f"/>
                  <v:rect id="矩形 168" o:spid="_x0000_s2073" o:spt="1" style="position:absolute;left:2592;top:15246;height:624;width:4500;" fillcolor="#000000" coordsize="21600,21600">
                    <v:path/>
                    <v:fill focussize="0,0"/>
                    <v:stroke weight="1pt"/>
                    <v:imagedata o:title=""/>
                    <o:lock v:ext="edit"/>
                  </v:rect>
                  <v:shape id="艺术字 169" o:spid="_x0000_s2074" o:spt="136" type="#_x0000_t136" style="position:absolute;left:2694;top:15350;height:439;width:3708;" fillcolor="#FFFF00" coordsize="21600,21600">
                    <v:path/>
                    <v:fill focussize="0,0"/>
                    <v:stroke color="#FFFF00"/>
                    <v:imagedata o:title=""/>
                    <o:lock v:ext="edit"/>
                    <v:textpath on="t" fitshape="t" fitpath="t" trim="t" xscale="f" string="路口遇堵不得进入" style="font-family:宋体;font-size:36pt;font-weight:bold;v-text-align:center;"/>
                  </v:shape>
                </v:group>
              </w:pict>
            </w:r>
          </w:p>
          <w:p>
            <w:pPr>
              <w:spacing w:after="60" w:afterLines="25" w:line="360" w:lineRule="exact"/>
              <w:ind w:firstLine="420" w:firstLineChars="200"/>
              <w:rPr>
                <w:rFonts w:ascii="宋体" w:hAnsi="宋体"/>
              </w:rPr>
            </w:pPr>
            <w:r>
              <w:rPr>
                <w:rFonts w:hint="eastAsia" w:ascii="宋体" w:hAnsi="宋体"/>
              </w:rPr>
              <w:t>文字1</w:t>
            </w:r>
          </w:p>
          <w:p>
            <w:pPr>
              <w:spacing w:after="60" w:afterLines="25" w:line="360" w:lineRule="exact"/>
              <w:ind w:firstLine="420" w:firstLineChars="200"/>
              <w:rPr>
                <w:rFonts w:hint="eastAsia"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45" o:spid="_x0000_s2050" o:spt="203" style="position:absolute;left:0pt;margin-left:89.75pt;margin-top:16.4pt;height:31.2pt;width:225pt;z-index:251661312;mso-width-relative:page;mso-height-relative:page;" coordorigin="1542,3852" coordsize="4500,624">
                  <o:lock v:ext="edit"/>
                  <v:rect id="矩形 146" o:spid="_x0000_s2051" o:spt="1" style="position:absolute;left:1542;top:3852;height:624;width:4500;" fillcolor="#000000" coordsize="21600,21600">
                    <v:path/>
                    <v:fill focussize="0,0"/>
                    <v:stroke weight="1pt"/>
                    <v:imagedata o:title=""/>
                    <o:lock v:ext="edit"/>
                  </v:rect>
                  <v:shape id="艺术字 147" o:spid="_x0000_s2052" o:spt="136" type="#_x0000_t136" style="position:absolute;left:1644;top:3956;height:439;width:3220;" fillcolor="#00FF00" coordsize="21600,21600">
                    <v:path/>
                    <v:fill focussize="0,0"/>
                    <v:stroke color="#00FF00"/>
                    <v:imagedata o:title=""/>
                    <o:lock v:ext="edit"/>
                    <v:textpath on="t" fitshape="t" fitpath="t" trim="t" xscale="f" string="直行进入待行区" style="font-family:宋体;font-size:36pt;font-weight:bold;v-text-align:center;"/>
                  </v:shape>
                  <v:shape id="任意多边形 148" o:spid="_x0000_s2053" style="position:absolute;left:5582;top:3960;height:454;width:228;" fillcolor="#00FF00" coordsize="454,792" path="m150,792hal151,266,0,400,0,200,227,0,454,200,454,400,303,266,300,792,150,792haxe">
                    <v:path arrowok="t"/>
                    <v:fill focussize="0,0"/>
                    <v:stroke weight="1pt" color="#00FF00"/>
                    <v:imagedata o:title=""/>
                    <o:lock v:ext="edit" aspectratio="t"/>
                  </v:shape>
                  <v:group id="组合 149" o:spid="_x0000_s2054" o:spt="203" style="position:absolute;left:4996;top:4025;height:301;width:454;" coordorigin="2877,10920" coordsize="540,357">
                    <o:lock v:ext="edit" aspectratio="t"/>
                    <v:shape id="椭圆 150" o:spid="_x0000_s2055" o:spt="3" type="#_x0000_t3" style="position:absolute;left:2960;top:11074;height:57;width:57;" coordsize="21600,21600">
                      <v:path/>
                      <v:fill focussize="0,0"/>
                      <v:stroke weight="1.3pt" color="#00FF00"/>
                      <v:imagedata o:title=""/>
                      <o:lock v:ext="edit" aspectratio="t"/>
                    </v:shape>
                    <v:shape id="椭圆 151" o:spid="_x0000_s2056" o:spt="3" type="#_x0000_t3" style="position:absolute;left:3285;top:11079;height:57;width:57;" coordsize="21600,21600">
                      <v:path/>
                      <v:fill focussize="0,0"/>
                      <v:stroke weight="1.3pt" color="#00FF00"/>
                      <v:imagedata o:title=""/>
                      <o:lock v:ext="edit" aspectratio="t"/>
                    </v:shape>
                    <v:shape id="任意多边形 152" o:spid="_x0000_s2057" style="position:absolute;left:2877;top:10920;height:357;width:540;" filled="f" coordsize="540,357" path="m30,117hal0,150,3,183,18,261,60,261,60,357,126,357,129,267,414,270,411,354,474,357,474,270,528,267,540,189,537,153,516,120,456,114,447,27,417,0,117,0,93,24,81,114,30,117haxe">
                      <v:path arrowok="t"/>
                      <v:fill on="f" focussize="0,0"/>
                      <v:stroke weight="1.3pt" color="#00FF00"/>
                      <v:imagedata o:title=""/>
                      <o:lock v:ext="edit" aspectratio="t"/>
                    </v:shape>
                    <v:shape id="任意多边形 153" o:spid="_x0000_s2058" style="position:absolute;left:2961;top:11025;height:18;width:369;" filled="f" coordsize="369,18" path="m0,0hbc15,2,61,12,93,15,125,18,159,18,192,18,225,18,262,18,291,15,320,12,353,3,369,0hbe">
                      <v:path arrowok="t"/>
                      <v:fill on="f" focussize="0,0"/>
                      <v:stroke weight="1.3pt" color="#00FF00"/>
                      <v:imagedata o:title=""/>
                      <o:lock v:ext="edit" aspectratio="t"/>
                    </v:shape>
                    <v:shape id="任意多边形 154" o:spid="_x0000_s2059" style="position:absolute;left:2943;top:11181;height:9;width:405;" filled="f" coordsize="405,9" path="m0,0hbc19,1,84,5,120,6,156,7,186,9,219,9,252,9,287,7,318,6,349,5,387,4,405,3hbe">
                      <v:path arrowok="t"/>
                      <v:fill on="f" focussize="0,0"/>
                      <v:stroke weight="1.3pt" color="#00FF00"/>
                      <v:imagedata o:title=""/>
                      <o:lock v:ext="edit" aspectratio="t"/>
                    </v:shape>
                    <v:shape id="任意多边形 155" o:spid="_x0000_s2060" style="position:absolute;left:3087;top:11088;height:54;width:129;" filled="f" coordsize="129,54" path="m3,0hal0,54,129,54,129,0,3,0haxe">
                      <v:path arrowok="t"/>
                      <v:fill on="f" focussize="0,0"/>
                      <v:stroke weight="1.3pt" color="#00FF00"/>
                      <v:imagedata o:title=""/>
                      <o:lock v:ext="edit" aspectratio="t"/>
                    </v:shape>
                  </v:group>
                </v:group>
              </w:pict>
            </w:r>
          </w:p>
          <w:p>
            <w:pPr>
              <w:spacing w:after="60" w:afterLines="25" w:line="360" w:lineRule="exact"/>
              <w:ind w:firstLine="420" w:firstLineChars="200"/>
              <w:rPr>
                <w:rFonts w:ascii="宋体" w:hAnsi="宋体"/>
              </w:rPr>
            </w:pPr>
            <w:r>
              <w:rPr>
                <w:rFonts w:hint="eastAsia" w:ascii="宋体" w:hAnsi="宋体"/>
              </w:rPr>
              <w:t>文字2</w:t>
            </w:r>
          </w:p>
          <w:p>
            <w:pPr>
              <w:spacing w:after="60" w:afterLines="25" w:line="360" w:lineRule="exact"/>
              <w:ind w:firstLine="420" w:firstLineChars="200"/>
              <w:rPr>
                <w:rFonts w:hint="eastAsia"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56" o:spid="_x0000_s2076" o:spt="203" style="position:absolute;left:0pt;margin-left:92.25pt;margin-top:17.65pt;height:31.2pt;width:225pt;z-index:251663360;mso-width-relative:page;mso-height-relative:page;" coordorigin="1542,4476" coordsize="4500,624">
                  <o:lock v:ext="edit"/>
                  <v:rect id="矩形 157" o:spid="_x0000_s2077" o:spt="1" style="position:absolute;left:1542;top:4476;height:624;width:4500;" fillcolor="#000000" coordsize="21600,21600">
                    <v:path/>
                    <v:fill focussize="0,0"/>
                    <v:stroke weight="1pt"/>
                    <v:imagedata o:title=""/>
                    <o:lock v:ext="edit"/>
                  </v:rect>
                  <v:shape id="艺术字 158" o:spid="_x0000_s2078" o:spt="136" type="#_x0000_t136" style="position:absolute;left:1644;top:4580;height:439;width:3220;" fillcolor="#00FF00" coordsize="21600,21600">
                    <v:path/>
                    <v:fill focussize="0,0"/>
                    <v:stroke color="#00FF00"/>
                    <v:imagedata o:title=""/>
                    <o:lock v:ext="edit"/>
                    <v:textpath on="t" fitshape="t" fitpath="t" trim="t" xscale="f" string="左转进入待行区" style="font-family:宋体;font-size:36pt;font-weight:bold;v-text-align:center;"/>
                  </v:shape>
                  <v:shape id="任意多边形 159" o:spid="_x0000_s2079" style="position:absolute;left:5501;top:4614;height:399;width:370;" fillcolor="#00FF00" coordsize="696,755" path="m179,0hal0,206,181,417,357,417,244,276,447,273,480,273,519,282,546,312,555,345,558,402,554,755,695,755,696,342,687,294,666,243,636,198,591,162,543,144,489,135,244,136,361,0,179,0haxe">
                    <v:path arrowok="t"/>
                    <v:fill focussize="0,0"/>
                    <v:stroke weight="1pt" color="#00FF00"/>
                    <v:imagedata o:title=""/>
                    <o:lock v:ext="edit" aspectratio="t"/>
                  </v:shape>
                  <v:group id="组合 160" o:spid="_x0000_s2080" o:spt="203" style="position:absolute;left:4955;top:4649;height:301;width:454;" coordorigin="2877,10920" coordsize="540,357">
                    <o:lock v:ext="edit" aspectratio="t"/>
                    <v:shape id="椭圆 161" o:spid="_x0000_s2081" o:spt="3" type="#_x0000_t3" style="position:absolute;left:2960;top:11074;height:57;width:57;" coordsize="21600,21600">
                      <v:path/>
                      <v:fill focussize="0,0"/>
                      <v:stroke weight="1.3pt" color="#00FF00"/>
                      <v:imagedata o:title=""/>
                      <o:lock v:ext="edit" aspectratio="t"/>
                    </v:shape>
                    <v:shape id="椭圆 162" o:spid="_x0000_s2082" o:spt="3" type="#_x0000_t3" style="position:absolute;left:3285;top:11079;height:57;width:57;" coordsize="21600,21600">
                      <v:path/>
                      <v:fill focussize="0,0"/>
                      <v:stroke weight="1.3pt" color="#00FF00"/>
                      <v:imagedata o:title=""/>
                      <o:lock v:ext="edit" aspectratio="t"/>
                    </v:shape>
                    <v:shape id="任意多边形 163" o:spid="_x0000_s2083" style="position:absolute;left:2877;top:10920;height:357;width:540;" filled="f" coordsize="540,357" path="m30,117hal0,150,3,183,18,261,60,261,60,357,126,357,129,267,414,270,411,354,474,357,474,270,528,267,540,189,537,153,516,120,456,114,447,27,417,0,117,0,93,24,81,114,30,117haxe">
                      <v:path arrowok="t"/>
                      <v:fill on="f" focussize="0,0"/>
                      <v:stroke weight="1.3pt" color="#00FF00"/>
                      <v:imagedata o:title=""/>
                      <o:lock v:ext="edit" aspectratio="t"/>
                    </v:shape>
                    <v:shape id="任意多边形 164" o:spid="_x0000_s2084" style="position:absolute;left:2961;top:11025;height:18;width:369;" filled="f" coordsize="369,18" path="m0,0hbc15,2,61,12,93,15,125,18,159,18,192,18,225,18,262,18,291,15,320,12,353,3,369,0hbe">
                      <v:path arrowok="t"/>
                      <v:fill on="f" focussize="0,0"/>
                      <v:stroke weight="1.3pt" color="#00FF00"/>
                      <v:imagedata o:title=""/>
                      <o:lock v:ext="edit" aspectratio="t"/>
                    </v:shape>
                    <v:shape id="任意多边形 165" o:spid="_x0000_s2085" style="position:absolute;left:2943;top:11181;height:9;width:405;" filled="f" coordsize="405,9" path="m0,0hbc19,1,84,5,120,6,156,7,186,9,219,9,252,9,287,7,318,6,349,5,387,4,405,3hbe">
                      <v:path arrowok="t"/>
                      <v:fill on="f" focussize="0,0"/>
                      <v:stroke weight="1.3pt" color="#00FF00"/>
                      <v:imagedata o:title=""/>
                      <o:lock v:ext="edit" aspectratio="t"/>
                    </v:shape>
                    <v:shape id="任意多边形 166" o:spid="_x0000_s2086" style="position:absolute;left:3087;top:11088;height:54;width:129;" filled="f" coordsize="129,54" path="m3,0hal0,54,129,54,129,0,3,0haxe">
                      <v:path arrowok="t"/>
                      <v:fill on="f" focussize="0,0"/>
                      <v:stroke weight="1.3pt" color="#00FF00"/>
                      <v:imagedata o:title=""/>
                      <o:lock v:ext="edit" aspectratio="t"/>
                    </v:shape>
                  </v:group>
                </v:group>
              </w:pict>
            </w:r>
          </w:p>
          <w:p>
            <w:pPr>
              <w:spacing w:after="60" w:afterLines="25" w:line="360" w:lineRule="exact"/>
              <w:ind w:firstLine="420" w:firstLineChars="200"/>
              <w:rPr>
                <w:rFonts w:ascii="宋体" w:hAnsi="宋体"/>
              </w:rPr>
            </w:pPr>
            <w:r>
              <w:rPr>
                <w:rFonts w:hint="eastAsia" w:ascii="宋体" w:hAnsi="宋体"/>
              </w:rPr>
              <w:t>文字</w:t>
            </w:r>
            <w:r>
              <w:rPr>
                <w:rFonts w:ascii="宋体" w:hAnsi="宋体"/>
              </w:rPr>
              <w:t>3</w:t>
            </w:r>
          </w:p>
          <w:p>
            <w:pPr>
              <w:spacing w:after="60" w:afterLines="25" w:line="360" w:lineRule="exact"/>
              <w:ind w:firstLine="420" w:firstLineChars="200"/>
              <w:rPr>
                <w:rFonts w:hint="eastAsia" w:ascii="宋体" w:hAnsi="宋体"/>
              </w:rPr>
            </w:pPr>
          </w:p>
        </w:tc>
      </w:tr>
    </w:tbl>
    <w:p>
      <w:pPr>
        <w:spacing w:before="120" w:beforeLines="50"/>
        <w:ind w:firstLine="422" w:firstLineChars="200"/>
        <w:rPr>
          <w:rFonts w:ascii="宋体" w:hAnsi="宋体"/>
          <w:b/>
          <w:szCs w:val="21"/>
        </w:rPr>
      </w:pPr>
      <w:r>
        <w:rPr>
          <w:rFonts w:hint="eastAsia" w:ascii="宋体" w:hAnsi="宋体"/>
          <w:b/>
          <w:szCs w:val="21"/>
        </w:rPr>
        <w:t>10.</w:t>
      </w:r>
      <w:r>
        <w:rPr>
          <w:rFonts w:ascii="宋体" w:hAnsi="宋体"/>
          <w:b/>
          <w:szCs w:val="21"/>
        </w:rPr>
        <w:t>2</w:t>
      </w:r>
      <w:r>
        <w:rPr>
          <w:rFonts w:hint="eastAsia" w:ascii="宋体" w:hAnsi="宋体"/>
          <w:b/>
          <w:szCs w:val="21"/>
        </w:rPr>
        <w:t>产品参数：</w:t>
      </w:r>
    </w:p>
    <w:p>
      <w:pPr>
        <w:ind w:firstLine="420" w:firstLineChars="200"/>
        <w:rPr>
          <w:rFonts w:ascii="宋体" w:hAnsi="宋体"/>
          <w:szCs w:val="21"/>
        </w:rPr>
      </w:pPr>
      <w:r>
        <w:rPr>
          <w:rFonts w:hint="eastAsia" w:ascii="宋体" w:hAnsi="宋体"/>
          <w:szCs w:val="21"/>
        </w:rPr>
        <w:t>·产品尺寸</w:t>
      </w:r>
      <w:r>
        <w:rPr>
          <w:rFonts w:ascii="宋体" w:hAnsi="宋体"/>
          <w:szCs w:val="21"/>
        </w:rPr>
        <w:t>2500</w:t>
      </w:r>
      <w:r>
        <w:rPr>
          <w:rFonts w:hint="eastAsia" w:ascii="宋体" w:hAnsi="宋体"/>
          <w:szCs w:val="21"/>
        </w:rPr>
        <w:t>mm×</w:t>
      </w:r>
      <w:r>
        <w:rPr>
          <w:rFonts w:ascii="宋体" w:hAnsi="宋体"/>
          <w:szCs w:val="21"/>
        </w:rPr>
        <w:t>400</w:t>
      </w:r>
      <w:r>
        <w:rPr>
          <w:rFonts w:hint="eastAsia" w:ascii="宋体" w:hAnsi="宋体"/>
          <w:szCs w:val="21"/>
        </w:rPr>
        <w:t>mm；</w:t>
      </w:r>
    </w:p>
    <w:p>
      <w:pPr>
        <w:ind w:firstLine="420" w:firstLineChars="200"/>
        <w:rPr>
          <w:rFonts w:ascii="宋体" w:hAnsi="宋体"/>
          <w:szCs w:val="21"/>
        </w:rPr>
      </w:pPr>
      <w:r>
        <w:rPr>
          <w:rFonts w:hint="eastAsia" w:ascii="宋体" w:hAnsi="宋体"/>
          <w:szCs w:val="21"/>
        </w:rPr>
        <w:t>·外壳材质铝材；</w:t>
      </w:r>
    </w:p>
    <w:p>
      <w:pPr>
        <w:ind w:firstLine="420" w:firstLineChars="200"/>
        <w:rPr>
          <w:rFonts w:ascii="宋体" w:hAnsi="宋体"/>
          <w:szCs w:val="21"/>
        </w:rPr>
      </w:pPr>
      <w:r>
        <w:rPr>
          <w:rFonts w:hint="eastAsia" w:ascii="宋体" w:hAnsi="宋体"/>
          <w:szCs w:val="21"/>
        </w:rPr>
        <w:t>·外壳颜色黑色；</w:t>
      </w:r>
    </w:p>
    <w:p>
      <w:pPr>
        <w:ind w:firstLine="420" w:firstLineChars="200"/>
        <w:rPr>
          <w:rFonts w:ascii="宋体" w:hAnsi="宋体"/>
          <w:szCs w:val="21"/>
        </w:rPr>
      </w:pPr>
      <w:r>
        <w:rPr>
          <w:rFonts w:hint="eastAsia" w:ascii="宋体" w:hAnsi="宋体"/>
          <w:szCs w:val="21"/>
        </w:rPr>
        <w:t>·显示内容直行/左转进入待行区+小车+直行/左转动态箭头；路口遇堵不得进入；</w:t>
      </w:r>
    </w:p>
    <w:p>
      <w:pPr>
        <w:ind w:firstLine="420" w:firstLineChars="200"/>
        <w:rPr>
          <w:rFonts w:ascii="宋体" w:hAnsi="宋体"/>
          <w:szCs w:val="21"/>
        </w:rPr>
      </w:pPr>
      <w:r>
        <w:rPr>
          <w:rFonts w:hint="eastAsia" w:ascii="宋体" w:hAnsi="宋体"/>
          <w:szCs w:val="21"/>
        </w:rPr>
        <w:t>·发光单元颜色绿色，黄色；</w:t>
      </w:r>
    </w:p>
    <w:p>
      <w:pPr>
        <w:ind w:firstLine="420" w:firstLineChars="200"/>
        <w:rPr>
          <w:rFonts w:ascii="宋体" w:hAnsi="宋体"/>
          <w:szCs w:val="21"/>
        </w:rPr>
      </w:pPr>
      <w:r>
        <w:rPr>
          <w:rFonts w:hint="eastAsia" w:ascii="宋体" w:hAnsi="宋体"/>
          <w:szCs w:val="21"/>
        </w:rPr>
        <w:t>·工作电压AC220±20%V（AC176～264V）；</w:t>
      </w:r>
    </w:p>
    <w:p>
      <w:pPr>
        <w:ind w:firstLine="420" w:firstLineChars="200"/>
        <w:rPr>
          <w:rFonts w:ascii="宋体" w:hAnsi="宋体"/>
          <w:szCs w:val="21"/>
        </w:rPr>
      </w:pPr>
      <w:r>
        <w:rPr>
          <w:rFonts w:hint="eastAsia" w:ascii="宋体" w:hAnsi="宋体"/>
          <w:szCs w:val="21"/>
        </w:rPr>
        <w:t>·功率≤20W；</w:t>
      </w:r>
    </w:p>
    <w:p>
      <w:pPr>
        <w:ind w:firstLine="420" w:firstLineChars="200"/>
        <w:rPr>
          <w:rFonts w:ascii="宋体" w:hAnsi="宋体"/>
          <w:szCs w:val="21"/>
        </w:rPr>
      </w:pPr>
      <w:r>
        <w:rPr>
          <w:rFonts w:hint="eastAsia" w:ascii="宋体" w:hAnsi="宋体"/>
          <w:szCs w:val="21"/>
        </w:rPr>
        <w:t>·中心光强400cd&lt;绿&lt;1000cd；400cd&lt;黄&lt;1000cd；</w:t>
      </w:r>
    </w:p>
    <w:p>
      <w:pPr>
        <w:ind w:firstLine="420" w:firstLineChars="200"/>
        <w:rPr>
          <w:rFonts w:ascii="宋体" w:hAnsi="宋体"/>
          <w:szCs w:val="21"/>
        </w:rPr>
      </w:pPr>
      <w:r>
        <w:rPr>
          <w:rFonts w:hint="eastAsia" w:ascii="宋体" w:hAnsi="宋体"/>
          <w:szCs w:val="21"/>
        </w:rPr>
        <w:t>·LED直径Φ5方阵排列；</w:t>
      </w:r>
    </w:p>
    <w:p>
      <w:pPr>
        <w:ind w:firstLine="420" w:firstLineChars="200"/>
        <w:rPr>
          <w:rFonts w:ascii="宋体" w:hAnsi="宋体"/>
          <w:szCs w:val="21"/>
        </w:rPr>
      </w:pPr>
      <w:r>
        <w:rPr>
          <w:rFonts w:hint="eastAsia" w:ascii="宋体" w:hAnsi="宋体"/>
          <w:szCs w:val="21"/>
        </w:rPr>
        <w:t>·单管电流&lt;18mA；</w:t>
      </w:r>
    </w:p>
    <w:p>
      <w:pPr>
        <w:ind w:firstLine="420" w:firstLineChars="200"/>
        <w:rPr>
          <w:rFonts w:ascii="宋体" w:hAnsi="宋体"/>
          <w:szCs w:val="21"/>
        </w:rPr>
      </w:pPr>
      <w:r>
        <w:rPr>
          <w:rFonts w:hint="eastAsia" w:ascii="宋体" w:hAnsi="宋体"/>
          <w:szCs w:val="21"/>
        </w:rPr>
        <w:t>·LED寿命70000小时；</w:t>
      </w:r>
    </w:p>
    <w:p>
      <w:pPr>
        <w:ind w:firstLine="420" w:firstLineChars="200"/>
        <w:rPr>
          <w:rFonts w:ascii="宋体" w:hAnsi="宋体"/>
          <w:szCs w:val="21"/>
        </w:rPr>
      </w:pPr>
      <w:r>
        <w:rPr>
          <w:rFonts w:hint="eastAsia" w:ascii="宋体" w:hAnsi="宋体"/>
          <w:szCs w:val="21"/>
        </w:rPr>
        <w:t>·波长绿：505nm，黄：590nm；</w:t>
      </w:r>
    </w:p>
    <w:p>
      <w:pPr>
        <w:ind w:firstLine="420" w:firstLineChars="200"/>
        <w:rPr>
          <w:rFonts w:ascii="宋体" w:hAnsi="宋体"/>
          <w:szCs w:val="21"/>
        </w:rPr>
      </w:pPr>
      <w:r>
        <w:rPr>
          <w:rFonts w:hint="eastAsia" w:ascii="宋体" w:hAnsi="宋体"/>
          <w:szCs w:val="21"/>
        </w:rPr>
        <w:t>·可视距离&gt;450m；</w:t>
      </w:r>
    </w:p>
    <w:p>
      <w:pPr>
        <w:ind w:firstLine="420" w:firstLineChars="200"/>
        <w:rPr>
          <w:rFonts w:ascii="宋体" w:hAnsi="宋体"/>
          <w:szCs w:val="21"/>
        </w:rPr>
      </w:pPr>
      <w:r>
        <w:rPr>
          <w:rFonts w:hint="eastAsia" w:ascii="宋体" w:hAnsi="宋体"/>
          <w:szCs w:val="21"/>
        </w:rPr>
        <w:t>·可视角度&gt;30°；</w:t>
      </w:r>
    </w:p>
    <w:p>
      <w:pPr>
        <w:ind w:firstLine="420" w:firstLineChars="200"/>
        <w:rPr>
          <w:rFonts w:ascii="宋体" w:hAnsi="宋体"/>
          <w:szCs w:val="21"/>
        </w:rPr>
      </w:pPr>
      <w:r>
        <w:rPr>
          <w:rFonts w:hint="eastAsia" w:ascii="宋体" w:hAnsi="宋体"/>
          <w:szCs w:val="21"/>
        </w:rPr>
        <w:t>·工作温度-40~+85℃；</w:t>
      </w:r>
    </w:p>
    <w:p>
      <w:pPr>
        <w:ind w:firstLine="420" w:firstLineChars="200"/>
        <w:rPr>
          <w:rFonts w:ascii="宋体" w:hAnsi="宋体"/>
          <w:szCs w:val="21"/>
        </w:rPr>
      </w:pPr>
      <w:r>
        <w:rPr>
          <w:rFonts w:hint="eastAsia" w:ascii="宋体" w:hAnsi="宋体"/>
          <w:szCs w:val="21"/>
        </w:rPr>
        <w:t>·相对湿度≤93%；</w:t>
      </w:r>
    </w:p>
    <w:p>
      <w:pPr>
        <w:ind w:firstLine="420" w:firstLineChars="200"/>
        <w:rPr>
          <w:rFonts w:ascii="宋体" w:hAnsi="宋体"/>
          <w:szCs w:val="21"/>
        </w:rPr>
      </w:pPr>
      <w:r>
        <w:rPr>
          <w:rFonts w:hint="eastAsia" w:ascii="宋体" w:hAnsi="宋体"/>
          <w:szCs w:val="21"/>
        </w:rPr>
        <w:t>·保存环境：0~50℃，40~60%RH；</w:t>
      </w:r>
    </w:p>
    <w:p>
      <w:pPr>
        <w:ind w:firstLine="420" w:firstLineChars="200"/>
        <w:rPr>
          <w:rFonts w:ascii="宋体" w:hAnsi="宋体"/>
          <w:szCs w:val="21"/>
        </w:rPr>
      </w:pPr>
      <w:r>
        <w:rPr>
          <w:rFonts w:hint="eastAsia" w:ascii="宋体" w:hAnsi="宋体"/>
          <w:szCs w:val="21"/>
        </w:rPr>
        <w:t>·防护等级IP53；</w:t>
      </w:r>
    </w:p>
    <w:p>
      <w:pPr>
        <w:ind w:firstLine="420" w:firstLineChars="200"/>
        <w:rPr>
          <w:rFonts w:ascii="宋体" w:hAnsi="宋体"/>
          <w:szCs w:val="21"/>
        </w:rPr>
      </w:pPr>
      <w:r>
        <w:rPr>
          <w:rFonts w:hint="eastAsia" w:ascii="宋体" w:hAnsi="宋体"/>
          <w:szCs w:val="21"/>
        </w:rPr>
        <w:t>·重量≤20KG；</w:t>
      </w:r>
    </w:p>
    <w:p>
      <w:pPr>
        <w:ind w:firstLine="420" w:firstLineChars="200"/>
        <w:rPr>
          <w:rFonts w:hint="eastAsia" w:ascii="宋体" w:hAnsi="宋体"/>
          <w:szCs w:val="21"/>
        </w:rPr>
      </w:pPr>
      <w:r>
        <w:rPr>
          <w:rFonts w:hint="eastAsia" w:ascii="宋体" w:hAnsi="宋体"/>
          <w:szCs w:val="21"/>
        </w:rPr>
        <w:t>·非RoHS。</w:t>
      </w:r>
    </w:p>
    <w:p>
      <w:pPr>
        <w:ind w:firstLine="422" w:firstLineChars="200"/>
        <w:rPr>
          <w:rFonts w:hint="eastAsia" w:ascii="宋体" w:hAnsi="宋体"/>
          <w:b/>
          <w:bCs/>
          <w:szCs w:val="21"/>
        </w:rPr>
      </w:pPr>
      <w:r>
        <w:rPr>
          <w:rFonts w:hint="eastAsia" w:ascii="宋体" w:hAnsi="宋体"/>
          <w:b/>
          <w:bCs/>
          <w:szCs w:val="21"/>
        </w:rPr>
        <w:t>11、人行横道线预警系统技术要求</w:t>
      </w:r>
    </w:p>
    <w:p>
      <w:pPr>
        <w:ind w:firstLine="422" w:firstLineChars="200"/>
        <w:rPr>
          <w:rFonts w:hint="eastAsia" w:ascii="宋体" w:hAnsi="宋体"/>
          <w:b/>
          <w:bCs/>
          <w:szCs w:val="21"/>
        </w:rPr>
      </w:pPr>
      <w:r>
        <w:rPr>
          <w:rFonts w:hint="eastAsia" w:ascii="宋体" w:hAnsi="宋体"/>
          <w:b/>
          <w:bCs/>
          <w:szCs w:val="21"/>
        </w:rPr>
        <w:t>一体式整机</w:t>
      </w:r>
    </w:p>
    <w:p>
      <w:pPr>
        <w:ind w:left="420" w:leftChars="200"/>
        <w:rPr>
          <w:rFonts w:ascii="宋体" w:hAnsi="宋体"/>
          <w:szCs w:val="21"/>
        </w:rPr>
      </w:pPr>
      <w:r>
        <w:rPr>
          <w:rFonts w:hint="eastAsia" w:ascii="宋体" w:hAnsi="宋体"/>
          <w:szCs w:val="21"/>
        </w:rPr>
        <w:t>1、材质：钣金外壳一体成型，黑色表面喷塑；</w:t>
      </w:r>
    </w:p>
    <w:p>
      <w:pPr>
        <w:ind w:left="420" w:leftChars="200"/>
        <w:rPr>
          <w:rFonts w:ascii="宋体" w:hAnsi="宋体"/>
          <w:szCs w:val="21"/>
        </w:rPr>
      </w:pPr>
      <w:r>
        <w:rPr>
          <w:rFonts w:hint="eastAsia" w:ascii="宋体" w:hAnsi="宋体"/>
          <w:szCs w:val="21"/>
        </w:rPr>
        <w:t>2、主机外观要求：</w:t>
      </w:r>
    </w:p>
    <w:p>
      <w:pPr>
        <w:ind w:left="420" w:leftChars="200"/>
        <w:rPr>
          <w:rFonts w:ascii="宋体" w:hAnsi="宋体"/>
          <w:szCs w:val="21"/>
        </w:rPr>
      </w:pPr>
      <w:r>
        <w:rPr>
          <w:rFonts w:hint="eastAsia" w:ascii="宋体" w:hAnsi="宋体"/>
          <w:szCs w:val="21"/>
        </w:rPr>
        <w:t>(1)规格尺寸：3400×380×160mm；</w:t>
      </w:r>
    </w:p>
    <w:p>
      <w:pPr>
        <w:ind w:left="420" w:leftChars="200"/>
        <w:rPr>
          <w:rFonts w:ascii="宋体" w:hAnsi="宋体"/>
          <w:szCs w:val="21"/>
        </w:rPr>
      </w:pPr>
      <w:r>
        <w:rPr>
          <w:rFonts w:hint="eastAsia" w:ascii="宋体" w:hAnsi="宋体"/>
          <w:szCs w:val="21"/>
        </w:rPr>
        <w:t>(2)主机顶部设有红蓝爆闪灯模块；</w:t>
      </w:r>
    </w:p>
    <w:p>
      <w:pPr>
        <w:ind w:left="420" w:leftChars="200"/>
        <w:rPr>
          <w:rFonts w:ascii="宋体" w:hAnsi="宋体"/>
          <w:szCs w:val="21"/>
        </w:rPr>
      </w:pPr>
      <w:r>
        <w:rPr>
          <w:rFonts w:hint="eastAsia" w:ascii="宋体" w:hAnsi="宋体"/>
          <w:szCs w:val="21"/>
        </w:rPr>
        <w:t>(3)主机中部内置智能语音模块；</w:t>
      </w:r>
    </w:p>
    <w:p>
      <w:pPr>
        <w:ind w:left="420" w:leftChars="200"/>
        <w:rPr>
          <w:rFonts w:ascii="宋体" w:hAnsi="宋体"/>
          <w:szCs w:val="21"/>
        </w:rPr>
      </w:pPr>
      <w:r>
        <w:rPr>
          <w:rFonts w:hint="eastAsia" w:ascii="宋体" w:hAnsi="宋体"/>
          <w:szCs w:val="21"/>
        </w:rPr>
        <w:t>(4)主机下部内置点阵发光辅助标志模块；</w:t>
      </w:r>
    </w:p>
    <w:p>
      <w:pPr>
        <w:ind w:left="420" w:leftChars="200"/>
        <w:rPr>
          <w:rFonts w:ascii="宋体" w:hAnsi="宋体"/>
          <w:szCs w:val="21"/>
        </w:rPr>
      </w:pPr>
      <w:r>
        <w:rPr>
          <w:rFonts w:hint="eastAsia" w:ascii="宋体" w:hAnsi="宋体"/>
          <w:szCs w:val="21"/>
        </w:rPr>
        <w:t>3、电压：供电电压AC 220V，工作电压DC 12V；</w:t>
      </w:r>
    </w:p>
    <w:p>
      <w:pPr>
        <w:ind w:left="420" w:leftChars="200"/>
        <w:rPr>
          <w:rFonts w:ascii="宋体" w:hAnsi="宋体"/>
          <w:szCs w:val="21"/>
        </w:rPr>
      </w:pPr>
      <w:r>
        <w:rPr>
          <w:rFonts w:hint="eastAsia" w:ascii="宋体" w:hAnsi="宋体"/>
          <w:szCs w:val="21"/>
        </w:rPr>
        <w:t>4、额定功率200W；</w:t>
      </w:r>
    </w:p>
    <w:p>
      <w:pPr>
        <w:ind w:left="420" w:leftChars="200"/>
        <w:rPr>
          <w:rFonts w:ascii="宋体" w:hAnsi="宋体"/>
          <w:szCs w:val="21"/>
        </w:rPr>
      </w:pPr>
      <w:r>
        <w:rPr>
          <w:rFonts w:hint="eastAsia" w:ascii="宋体" w:hAnsi="宋体"/>
          <w:szCs w:val="21"/>
        </w:rPr>
        <w:t>5、工作环境要求：</w:t>
      </w:r>
    </w:p>
    <w:p>
      <w:pPr>
        <w:ind w:left="420" w:leftChars="200"/>
        <w:rPr>
          <w:rFonts w:ascii="宋体" w:hAnsi="宋体"/>
          <w:szCs w:val="21"/>
        </w:rPr>
      </w:pPr>
      <w:r>
        <w:rPr>
          <w:rFonts w:hint="eastAsia" w:ascii="宋体" w:hAnsi="宋体"/>
          <w:szCs w:val="21"/>
        </w:rPr>
        <w:t>(1)环境温度：-20 ℃~80℃；</w:t>
      </w:r>
    </w:p>
    <w:p>
      <w:pPr>
        <w:ind w:left="420" w:leftChars="200"/>
        <w:rPr>
          <w:rFonts w:ascii="宋体" w:hAnsi="宋体"/>
          <w:szCs w:val="21"/>
        </w:rPr>
      </w:pPr>
      <w:r>
        <w:rPr>
          <w:rFonts w:hint="eastAsia" w:ascii="宋体" w:hAnsi="宋体"/>
          <w:szCs w:val="21"/>
        </w:rPr>
        <w:t>(2)环境湿度：湿度小于95%(无凝结)；</w:t>
      </w:r>
    </w:p>
    <w:p>
      <w:pPr>
        <w:ind w:left="420" w:leftChars="200"/>
        <w:rPr>
          <w:rFonts w:hint="eastAsia" w:ascii="宋体" w:hAnsi="宋体"/>
          <w:szCs w:val="21"/>
        </w:rPr>
      </w:pPr>
      <w:r>
        <w:rPr>
          <w:rFonts w:hint="eastAsia" w:ascii="宋体" w:hAnsi="宋体"/>
          <w:szCs w:val="21"/>
        </w:rPr>
        <w:t>(3)防护等级：IP55</w:t>
      </w:r>
    </w:p>
    <w:p>
      <w:pPr>
        <w:ind w:firstLine="422" w:firstLineChars="200"/>
        <w:rPr>
          <w:rFonts w:hint="eastAsia" w:ascii="宋体" w:hAnsi="宋体"/>
          <w:b/>
          <w:bCs/>
          <w:szCs w:val="21"/>
        </w:rPr>
      </w:pPr>
      <w:r>
        <w:rPr>
          <w:rFonts w:hint="eastAsia" w:ascii="宋体" w:hAnsi="宋体"/>
          <w:b/>
          <w:bCs/>
          <w:szCs w:val="21"/>
        </w:rPr>
        <w:t>一体式主体</w:t>
      </w:r>
    </w:p>
    <w:p>
      <w:pPr>
        <w:ind w:left="420"/>
        <w:rPr>
          <w:rFonts w:ascii="宋体" w:hAnsi="宋体"/>
          <w:szCs w:val="21"/>
        </w:rPr>
      </w:pPr>
      <w:r>
        <w:rPr>
          <w:rFonts w:hint="eastAsia" w:ascii="宋体" w:hAnsi="宋体"/>
          <w:szCs w:val="21"/>
        </w:rPr>
        <w:t>1、材质：钣金外壳一体成型，表面喷塑；</w:t>
      </w:r>
    </w:p>
    <w:p>
      <w:pPr>
        <w:ind w:left="420"/>
        <w:rPr>
          <w:rFonts w:ascii="宋体" w:hAnsi="宋体"/>
          <w:szCs w:val="21"/>
        </w:rPr>
      </w:pPr>
      <w:r>
        <w:rPr>
          <w:rFonts w:hint="eastAsia" w:ascii="宋体" w:hAnsi="宋体"/>
          <w:szCs w:val="21"/>
        </w:rPr>
        <w:t>2、主机规格尺寸：3400×380×160mm；</w:t>
      </w:r>
    </w:p>
    <w:p>
      <w:pPr>
        <w:ind w:left="420"/>
        <w:rPr>
          <w:rFonts w:ascii="宋体" w:hAnsi="宋体"/>
          <w:szCs w:val="21"/>
        </w:rPr>
      </w:pPr>
      <w:r>
        <w:rPr>
          <w:rFonts w:hint="eastAsia" w:ascii="宋体" w:hAnsi="宋体"/>
          <w:szCs w:val="21"/>
        </w:rPr>
        <w:t>3、电压：供电电压AC 220V，工作电压DC 12V；</w:t>
      </w:r>
    </w:p>
    <w:p>
      <w:pPr>
        <w:ind w:left="420"/>
        <w:rPr>
          <w:rFonts w:ascii="宋体" w:hAnsi="宋体"/>
          <w:szCs w:val="21"/>
        </w:rPr>
      </w:pPr>
      <w:r>
        <w:rPr>
          <w:rFonts w:hint="eastAsia" w:ascii="宋体" w:hAnsi="宋体"/>
          <w:szCs w:val="21"/>
        </w:rPr>
        <w:t>4、额定功率200W；</w:t>
      </w:r>
    </w:p>
    <w:p>
      <w:pPr>
        <w:ind w:left="420"/>
        <w:rPr>
          <w:rFonts w:ascii="宋体" w:hAnsi="宋体"/>
          <w:szCs w:val="21"/>
        </w:rPr>
      </w:pPr>
      <w:r>
        <w:rPr>
          <w:rFonts w:hint="eastAsia" w:ascii="宋体" w:hAnsi="宋体"/>
          <w:szCs w:val="21"/>
        </w:rPr>
        <w:t>5、工作环境要求：</w:t>
      </w:r>
    </w:p>
    <w:p>
      <w:pPr>
        <w:ind w:left="420"/>
        <w:rPr>
          <w:rFonts w:ascii="宋体" w:hAnsi="宋体"/>
          <w:szCs w:val="21"/>
        </w:rPr>
      </w:pPr>
      <w:r>
        <w:rPr>
          <w:rFonts w:hint="eastAsia" w:ascii="宋体" w:hAnsi="宋体"/>
          <w:szCs w:val="21"/>
        </w:rPr>
        <w:t>（1）环境温度：-20 ℃~80℃；</w:t>
      </w:r>
    </w:p>
    <w:p>
      <w:pPr>
        <w:ind w:left="420"/>
        <w:rPr>
          <w:rFonts w:ascii="宋体" w:hAnsi="宋体"/>
          <w:szCs w:val="21"/>
        </w:rPr>
      </w:pPr>
      <w:r>
        <w:rPr>
          <w:rFonts w:hint="eastAsia" w:ascii="宋体" w:hAnsi="宋体"/>
          <w:szCs w:val="21"/>
        </w:rPr>
        <w:t>（2）环境湿度：湿度小于95%(无凝结) ；</w:t>
      </w:r>
    </w:p>
    <w:p>
      <w:pPr>
        <w:ind w:left="420"/>
        <w:rPr>
          <w:rFonts w:hint="eastAsia" w:ascii="宋体" w:hAnsi="宋体"/>
          <w:szCs w:val="21"/>
        </w:rPr>
      </w:pPr>
      <w:r>
        <w:rPr>
          <w:rFonts w:hint="eastAsia" w:ascii="宋体" w:hAnsi="宋体"/>
          <w:szCs w:val="21"/>
        </w:rPr>
        <w:t>（3）防护等级：IP55。</w:t>
      </w:r>
    </w:p>
    <w:p>
      <w:pPr>
        <w:ind w:left="420" w:leftChars="200"/>
        <w:rPr>
          <w:rFonts w:hint="eastAsia" w:ascii="宋体" w:hAnsi="宋体"/>
          <w:b/>
          <w:bCs/>
          <w:szCs w:val="21"/>
        </w:rPr>
      </w:pPr>
      <w:r>
        <w:rPr>
          <w:rFonts w:hint="eastAsia" w:ascii="宋体" w:hAnsi="宋体"/>
          <w:b/>
          <w:bCs/>
          <w:szCs w:val="21"/>
        </w:rPr>
        <w:t xml:space="preserve"> 新型太阳能发光警示柱</w:t>
      </w:r>
    </w:p>
    <w:p>
      <w:pPr>
        <w:ind w:firstLine="420" w:firstLineChars="200"/>
        <w:rPr>
          <w:rFonts w:hint="eastAsia" w:ascii="宋体" w:hAnsi="宋体"/>
          <w:szCs w:val="21"/>
        </w:rPr>
      </w:pPr>
      <w:r>
        <w:rPr>
          <w:rFonts w:hint="eastAsia" w:ascii="宋体" w:hAnsi="宋体"/>
          <w:szCs w:val="21"/>
        </w:rPr>
        <w:t>1、产品外观由内嵌式集成柱帽和柱身两部分组成，柱身采用冷轧钣金与铝型材配合结构，后期喷塑并做阳极处理，具有良好的抗氧化性，使用期内产品不褪色，外壳体要有良好的刚性和耐冲击性，内部结构件有良好的稳固性和密封性，铝型材角边压住反光膜确保反光膜不易破损、撕裂；</w:t>
      </w:r>
    </w:p>
    <w:p>
      <w:pPr>
        <w:ind w:firstLine="420" w:firstLineChars="200"/>
        <w:rPr>
          <w:rFonts w:hint="eastAsia" w:ascii="宋体" w:hAnsi="宋体"/>
          <w:szCs w:val="21"/>
        </w:rPr>
      </w:pPr>
      <w:r>
        <w:rPr>
          <w:rFonts w:hint="eastAsia" w:ascii="宋体" w:hAnsi="宋体"/>
          <w:szCs w:val="21"/>
        </w:rPr>
        <w:t>2、产品尺寸：1252mm×210mm×210mm；</w:t>
      </w:r>
    </w:p>
    <w:p>
      <w:pPr>
        <w:ind w:firstLine="420" w:firstLineChars="200"/>
        <w:rPr>
          <w:rFonts w:hint="eastAsia" w:ascii="宋体" w:hAnsi="宋体"/>
          <w:szCs w:val="21"/>
        </w:rPr>
      </w:pPr>
      <w:r>
        <w:rPr>
          <w:rFonts w:hint="eastAsia" w:ascii="宋体" w:hAnsi="宋体"/>
          <w:szCs w:val="21"/>
        </w:rPr>
        <w:t>3、产品柱体四面贴有120cm 长度红白相间国标Ⅳ类（超强级）反光膜，使用年限为7年50%亮度保留值，背胶类型为常温压敏胶；</w:t>
      </w:r>
    </w:p>
    <w:p>
      <w:pPr>
        <w:ind w:firstLine="420" w:firstLineChars="200"/>
        <w:rPr>
          <w:rFonts w:hint="eastAsia" w:ascii="宋体" w:hAnsi="宋体"/>
          <w:szCs w:val="21"/>
        </w:rPr>
      </w:pPr>
      <w:r>
        <w:rPr>
          <w:rFonts w:hint="eastAsia" w:ascii="宋体" w:hAnsi="宋体"/>
          <w:szCs w:val="21"/>
        </w:rPr>
        <w:t>4、电池包标称电压：12V；</w:t>
      </w:r>
    </w:p>
    <w:p>
      <w:pPr>
        <w:ind w:firstLine="420" w:firstLineChars="200"/>
        <w:rPr>
          <w:rFonts w:hint="eastAsia" w:ascii="宋体" w:hAnsi="宋体"/>
          <w:szCs w:val="21"/>
        </w:rPr>
      </w:pPr>
      <w:r>
        <w:rPr>
          <w:rFonts w:hint="eastAsia" w:ascii="宋体" w:hAnsi="宋体"/>
          <w:szCs w:val="21"/>
        </w:rPr>
        <w:t>5、电池包标称容量：4400mAh；</w:t>
      </w:r>
    </w:p>
    <w:p>
      <w:pPr>
        <w:ind w:firstLine="420" w:firstLineChars="200"/>
        <w:rPr>
          <w:rFonts w:hint="eastAsia" w:ascii="宋体" w:hAnsi="宋体"/>
          <w:szCs w:val="21"/>
        </w:rPr>
      </w:pPr>
      <w:r>
        <w:rPr>
          <w:rFonts w:hint="eastAsia" w:ascii="宋体" w:hAnsi="宋体"/>
          <w:szCs w:val="21"/>
        </w:rPr>
        <w:t>6、电芯规格：三元锂18650；</w:t>
      </w:r>
    </w:p>
    <w:p>
      <w:pPr>
        <w:ind w:firstLine="420" w:firstLineChars="200"/>
        <w:rPr>
          <w:rFonts w:hint="eastAsia" w:ascii="宋体" w:hAnsi="宋体"/>
          <w:szCs w:val="21"/>
        </w:rPr>
      </w:pPr>
      <w:r>
        <w:rPr>
          <w:rFonts w:hint="eastAsia" w:ascii="宋体" w:hAnsi="宋体"/>
          <w:szCs w:val="21"/>
        </w:rPr>
        <w:t>7、电芯配置：3串2并；</w:t>
      </w:r>
    </w:p>
    <w:p>
      <w:pPr>
        <w:ind w:firstLine="420" w:firstLineChars="200"/>
        <w:rPr>
          <w:rFonts w:hint="eastAsia" w:ascii="宋体" w:hAnsi="宋体"/>
          <w:szCs w:val="21"/>
        </w:rPr>
      </w:pPr>
      <w:r>
        <w:rPr>
          <w:rFonts w:hint="eastAsia" w:ascii="宋体" w:hAnsi="宋体"/>
          <w:szCs w:val="21"/>
        </w:rPr>
        <w:t>8、电池包输入：18V太阳能电池板；</w:t>
      </w:r>
    </w:p>
    <w:p>
      <w:pPr>
        <w:ind w:firstLine="420" w:firstLineChars="200"/>
        <w:rPr>
          <w:rFonts w:hint="eastAsia" w:ascii="宋体" w:hAnsi="宋体"/>
          <w:szCs w:val="21"/>
        </w:rPr>
      </w:pPr>
      <w:r>
        <w:rPr>
          <w:rFonts w:hint="eastAsia" w:ascii="宋体" w:hAnsi="宋体"/>
          <w:szCs w:val="21"/>
        </w:rPr>
        <w:t>9、电池包输出：稳定输出—-≥1路，PWM输出-—-≥2路；</w:t>
      </w:r>
    </w:p>
    <w:p>
      <w:pPr>
        <w:ind w:firstLine="420" w:firstLineChars="200"/>
        <w:rPr>
          <w:rFonts w:hint="eastAsia" w:ascii="宋体" w:hAnsi="宋体"/>
          <w:szCs w:val="21"/>
        </w:rPr>
      </w:pPr>
      <w:r>
        <w:rPr>
          <w:rFonts w:hint="eastAsia" w:ascii="宋体" w:hAnsi="宋体"/>
          <w:szCs w:val="21"/>
        </w:rPr>
        <w:t>10、电池包尺寸：70mm×45mm×110mm；</w:t>
      </w:r>
    </w:p>
    <w:p>
      <w:pPr>
        <w:ind w:firstLine="420" w:firstLineChars="200"/>
        <w:rPr>
          <w:rFonts w:hint="eastAsia" w:ascii="宋体" w:hAnsi="宋体"/>
          <w:szCs w:val="21"/>
        </w:rPr>
      </w:pPr>
      <w:r>
        <w:rPr>
          <w:rFonts w:hint="eastAsia" w:ascii="宋体" w:hAnsi="宋体"/>
          <w:szCs w:val="21"/>
        </w:rPr>
        <w:t>11、产品光伏板应以内嵌形式置于产品柱帽顶部，光伏板与柱身上部端口层平行角度，光伏板参数：18V--5W；</w:t>
      </w:r>
    </w:p>
    <w:p>
      <w:pPr>
        <w:ind w:firstLine="420" w:firstLineChars="200"/>
        <w:rPr>
          <w:rFonts w:hint="eastAsia" w:ascii="宋体" w:hAnsi="宋体"/>
          <w:szCs w:val="21"/>
        </w:rPr>
      </w:pPr>
      <w:r>
        <w:rPr>
          <w:rFonts w:hint="eastAsia" w:ascii="宋体" w:hAnsi="宋体"/>
          <w:szCs w:val="21"/>
        </w:rPr>
        <w:t>12、产品尺寸：200×200mm；</w:t>
      </w:r>
    </w:p>
    <w:p>
      <w:pPr>
        <w:ind w:firstLine="420" w:firstLineChars="200"/>
        <w:rPr>
          <w:rFonts w:hint="eastAsia" w:ascii="宋体" w:hAnsi="宋体"/>
          <w:szCs w:val="21"/>
        </w:rPr>
      </w:pPr>
      <w:r>
        <w:rPr>
          <w:rFonts w:hint="eastAsia" w:ascii="宋体" w:hAnsi="宋体"/>
          <w:szCs w:val="21"/>
        </w:rPr>
        <w:t>13、发光单元采用先进的光学透镜灯珠散光技术，光线穿透力强、无死灯现象；</w:t>
      </w:r>
    </w:p>
    <w:p>
      <w:pPr>
        <w:ind w:firstLine="420" w:firstLineChars="200"/>
        <w:rPr>
          <w:rFonts w:hint="eastAsia" w:ascii="宋体" w:hAnsi="宋体"/>
          <w:szCs w:val="21"/>
        </w:rPr>
      </w:pPr>
      <w:r>
        <w:rPr>
          <w:rFonts w:hint="eastAsia" w:ascii="宋体" w:hAnsi="宋体"/>
          <w:szCs w:val="21"/>
        </w:rPr>
        <w:t>14、可视距离：夜间动态距离≥250米，静态距离≥210米；</w:t>
      </w:r>
    </w:p>
    <w:p>
      <w:pPr>
        <w:ind w:firstLine="420" w:firstLineChars="200"/>
        <w:rPr>
          <w:rFonts w:hint="eastAsia" w:ascii="宋体" w:hAnsi="宋体"/>
          <w:szCs w:val="21"/>
        </w:rPr>
      </w:pPr>
      <w:r>
        <w:rPr>
          <w:rFonts w:hint="eastAsia" w:ascii="宋体" w:hAnsi="宋体"/>
          <w:szCs w:val="21"/>
        </w:rPr>
        <w:t>15、GPS模块由集成了RF射频芯片、基带芯片、核心CPU和相关外围电路组成，用于对设备的定位和同频控制；</w:t>
      </w:r>
    </w:p>
    <w:p>
      <w:pPr>
        <w:ind w:firstLine="420" w:firstLineChars="200"/>
        <w:rPr>
          <w:rFonts w:hint="eastAsia" w:ascii="宋体" w:hAnsi="宋体"/>
          <w:szCs w:val="21"/>
        </w:rPr>
      </w:pPr>
      <w:r>
        <w:rPr>
          <w:rFonts w:hint="eastAsia" w:ascii="宋体" w:hAnsi="宋体"/>
          <w:szCs w:val="21"/>
        </w:rPr>
        <w:t>16、可接收全球定位系统接收器类型20个频道， L1的频率，1.023兆赫芯片速度， C / A码1.023兆赫芯片速度。</w:t>
      </w:r>
    </w:p>
    <w:p>
      <w:pPr>
        <w:ind w:firstLine="422" w:firstLineChars="200"/>
        <w:rPr>
          <w:rFonts w:hint="eastAsia" w:ascii="宋体" w:hAnsi="宋体"/>
          <w:b/>
          <w:bCs/>
          <w:szCs w:val="21"/>
        </w:rPr>
      </w:pPr>
      <w:r>
        <w:rPr>
          <w:rFonts w:hint="eastAsia" w:ascii="宋体" w:hAnsi="宋体"/>
          <w:b/>
          <w:bCs/>
          <w:szCs w:val="21"/>
        </w:rPr>
        <w:t>GPS同频道钉</w:t>
      </w:r>
    </w:p>
    <w:p>
      <w:pPr>
        <w:ind w:firstLine="420" w:firstLineChars="200"/>
        <w:rPr>
          <w:rFonts w:hint="eastAsia" w:ascii="宋体" w:hAnsi="宋体"/>
          <w:szCs w:val="21"/>
        </w:rPr>
      </w:pPr>
      <w:r>
        <w:rPr>
          <w:rFonts w:hint="eastAsia" w:ascii="宋体" w:hAnsi="宋体"/>
          <w:szCs w:val="21"/>
        </w:rPr>
        <w:t>1、产品尺寸：φ120×50mm；</w:t>
      </w:r>
    </w:p>
    <w:p>
      <w:pPr>
        <w:ind w:firstLine="420" w:firstLineChars="200"/>
        <w:rPr>
          <w:rFonts w:ascii="宋体" w:hAnsi="宋体"/>
          <w:szCs w:val="21"/>
        </w:rPr>
      </w:pPr>
      <w:r>
        <w:rPr>
          <w:rFonts w:hint="eastAsia" w:ascii="宋体" w:hAnsi="宋体"/>
          <w:szCs w:val="21"/>
        </w:rPr>
        <w:t>2、产品材质为铝锭，PC 料注塑，表面抗压74T，灯光颜色为黄色光，夜间可视距离≥500米，具有常亮和闪烁两种模式，产品质保1年；</w:t>
      </w:r>
    </w:p>
    <w:p>
      <w:pPr>
        <w:ind w:firstLine="420" w:firstLineChars="200"/>
        <w:rPr>
          <w:rFonts w:ascii="宋体" w:hAnsi="宋体"/>
          <w:szCs w:val="21"/>
        </w:rPr>
      </w:pPr>
      <w:r>
        <w:rPr>
          <w:rFonts w:hint="eastAsia" w:ascii="宋体" w:hAnsi="宋体"/>
          <w:szCs w:val="21"/>
        </w:rPr>
        <w:t>3、控制器主芯片采用GPS同频控制技术，性能稳定、抗干扰性强；</w:t>
      </w:r>
    </w:p>
    <w:p>
      <w:pPr>
        <w:ind w:firstLine="420" w:firstLineChars="200"/>
        <w:rPr>
          <w:rFonts w:ascii="宋体" w:hAnsi="宋体"/>
          <w:szCs w:val="21"/>
        </w:rPr>
      </w:pPr>
      <w:r>
        <w:rPr>
          <w:rFonts w:hint="eastAsia" w:ascii="宋体" w:hAnsi="宋体"/>
          <w:szCs w:val="21"/>
        </w:rPr>
        <w:t>4、产品由太阳能供电，充电电压5V，充电电流标准光强下220ma；产品由高效锂电池供电，产品额定电压3.2V，待机电流1ma；</w:t>
      </w:r>
    </w:p>
    <w:p>
      <w:pPr>
        <w:ind w:firstLine="420" w:firstLineChars="200"/>
        <w:rPr>
          <w:rFonts w:hint="eastAsia" w:ascii="宋体" w:hAnsi="宋体"/>
          <w:szCs w:val="21"/>
        </w:rPr>
      </w:pPr>
      <w:r>
        <w:rPr>
          <w:rFonts w:hint="eastAsia" w:ascii="宋体" w:hAnsi="宋体"/>
          <w:szCs w:val="21"/>
        </w:rPr>
        <w:t>5、产品工作环境要求工作温度：-20℃至80℃，相对湿度90%RH，防尘防水等级：IP68。</w:t>
      </w:r>
    </w:p>
    <w:p>
      <w:pPr>
        <w:ind w:firstLine="422" w:firstLineChars="200"/>
        <w:rPr>
          <w:rFonts w:hint="eastAsia" w:ascii="宋体" w:hAnsi="宋体"/>
          <w:b/>
          <w:bCs/>
          <w:szCs w:val="21"/>
        </w:rPr>
      </w:pPr>
      <w:r>
        <w:rPr>
          <w:rFonts w:hint="eastAsia" w:ascii="宋体" w:hAnsi="宋体"/>
          <w:b/>
          <w:bCs/>
          <w:szCs w:val="21"/>
        </w:rPr>
        <w:t>人行横道线主动发光交通标志牌</w:t>
      </w:r>
    </w:p>
    <w:p>
      <w:pPr>
        <w:ind w:left="420" w:leftChars="200"/>
        <w:rPr>
          <w:rFonts w:ascii="宋体" w:hAnsi="宋体"/>
          <w:szCs w:val="21"/>
        </w:rPr>
      </w:pPr>
      <w:r>
        <w:rPr>
          <w:rFonts w:hint="eastAsia" w:ascii="宋体" w:hAnsi="宋体"/>
          <w:szCs w:val="21"/>
        </w:rPr>
        <w:t>1、发光类型：侧边导光的面光源单面发光标志；</w:t>
      </w:r>
    </w:p>
    <w:p>
      <w:pPr>
        <w:ind w:left="420" w:leftChars="200"/>
        <w:rPr>
          <w:rFonts w:ascii="宋体" w:hAnsi="宋体"/>
          <w:szCs w:val="21"/>
        </w:rPr>
      </w:pPr>
      <w:r>
        <w:rPr>
          <w:rFonts w:hint="eastAsia" w:ascii="宋体" w:hAnsi="宋体"/>
          <w:szCs w:val="21"/>
        </w:rPr>
        <w:t>2、材质：铝型材边框，导光板；</w:t>
      </w:r>
    </w:p>
    <w:p>
      <w:pPr>
        <w:ind w:left="420" w:leftChars="200"/>
        <w:rPr>
          <w:rFonts w:ascii="宋体" w:hAnsi="宋体"/>
          <w:szCs w:val="21"/>
        </w:rPr>
      </w:pPr>
      <w:r>
        <w:rPr>
          <w:rFonts w:hint="eastAsia" w:ascii="宋体" w:hAnsi="宋体"/>
          <w:szCs w:val="21"/>
        </w:rPr>
        <w:t>3、规格尺寸：正方形800mm；</w:t>
      </w:r>
    </w:p>
    <w:p>
      <w:pPr>
        <w:ind w:left="420" w:leftChars="200"/>
        <w:rPr>
          <w:rFonts w:ascii="宋体" w:hAnsi="宋体"/>
          <w:szCs w:val="21"/>
        </w:rPr>
      </w:pPr>
      <w:r>
        <w:rPr>
          <w:rFonts w:hint="eastAsia" w:ascii="宋体" w:hAnsi="宋体"/>
          <w:szCs w:val="21"/>
        </w:rPr>
        <w:t>4、反光膜：IV类超强级反光膜；</w:t>
      </w:r>
    </w:p>
    <w:p>
      <w:pPr>
        <w:ind w:left="420" w:leftChars="200"/>
        <w:rPr>
          <w:rFonts w:ascii="宋体" w:hAnsi="宋体"/>
          <w:szCs w:val="21"/>
        </w:rPr>
      </w:pPr>
      <w:r>
        <w:rPr>
          <w:rFonts w:hint="eastAsia" w:ascii="宋体" w:hAnsi="宋体"/>
          <w:szCs w:val="21"/>
        </w:rPr>
        <w:t>5、工作电压：DC 12V；</w:t>
      </w:r>
    </w:p>
    <w:p>
      <w:pPr>
        <w:ind w:left="420" w:leftChars="200"/>
        <w:rPr>
          <w:rFonts w:ascii="宋体" w:hAnsi="宋体"/>
          <w:szCs w:val="21"/>
        </w:rPr>
      </w:pPr>
      <w:r>
        <w:rPr>
          <w:rFonts w:hint="eastAsia" w:ascii="宋体" w:hAnsi="宋体"/>
          <w:szCs w:val="21"/>
        </w:rPr>
        <w:t>6、工作环境要求：</w:t>
      </w:r>
    </w:p>
    <w:p>
      <w:pPr>
        <w:ind w:left="420" w:leftChars="200"/>
        <w:rPr>
          <w:rFonts w:ascii="宋体" w:hAnsi="宋体"/>
          <w:szCs w:val="21"/>
        </w:rPr>
      </w:pPr>
      <w:r>
        <w:rPr>
          <w:rFonts w:hint="eastAsia" w:ascii="宋体" w:hAnsi="宋体"/>
          <w:szCs w:val="21"/>
        </w:rPr>
        <w:t>(1)环境温度：-30℃至80℃；</w:t>
      </w:r>
    </w:p>
    <w:p>
      <w:pPr>
        <w:ind w:left="420" w:leftChars="200"/>
        <w:rPr>
          <w:rFonts w:ascii="宋体" w:hAnsi="宋体"/>
          <w:szCs w:val="21"/>
        </w:rPr>
      </w:pPr>
      <w:r>
        <w:rPr>
          <w:rFonts w:hint="eastAsia" w:ascii="宋体" w:hAnsi="宋体"/>
          <w:szCs w:val="21"/>
        </w:rPr>
        <w:t>(2)环境湿度：相对湿度90%RH；</w:t>
      </w:r>
    </w:p>
    <w:p>
      <w:pPr>
        <w:ind w:left="420" w:leftChars="200"/>
        <w:rPr>
          <w:rFonts w:hint="eastAsia" w:ascii="宋体" w:hAnsi="宋体"/>
          <w:szCs w:val="21"/>
        </w:rPr>
      </w:pPr>
      <w:r>
        <w:rPr>
          <w:rFonts w:hint="eastAsia" w:ascii="宋体" w:hAnsi="宋体"/>
          <w:szCs w:val="21"/>
        </w:rPr>
        <w:t>(3)防护等级：IP67。</w:t>
      </w:r>
    </w:p>
    <w:p>
      <w:pPr>
        <w:ind w:firstLine="422" w:firstLineChars="200"/>
        <w:rPr>
          <w:rFonts w:hint="eastAsia" w:ascii="宋体" w:hAnsi="宋体"/>
          <w:b/>
          <w:bCs/>
          <w:szCs w:val="21"/>
        </w:rPr>
      </w:pPr>
      <w:r>
        <w:rPr>
          <w:rFonts w:hint="eastAsia" w:ascii="宋体" w:hAnsi="宋体"/>
          <w:b/>
          <w:bCs/>
          <w:szCs w:val="21"/>
        </w:rPr>
        <w:t>斑马线点阵发光辅助标志</w:t>
      </w:r>
    </w:p>
    <w:p>
      <w:pPr>
        <w:ind w:left="420" w:leftChars="200"/>
        <w:rPr>
          <w:rFonts w:ascii="宋体" w:hAnsi="宋体"/>
          <w:szCs w:val="21"/>
        </w:rPr>
      </w:pPr>
      <w:r>
        <w:rPr>
          <w:rFonts w:hint="eastAsia" w:ascii="宋体" w:hAnsi="宋体"/>
          <w:szCs w:val="21"/>
        </w:rPr>
        <w:t>1、发光类型：点阵灯珠文字发光；</w:t>
      </w:r>
    </w:p>
    <w:p>
      <w:pPr>
        <w:ind w:left="420" w:leftChars="200"/>
        <w:rPr>
          <w:rFonts w:ascii="宋体" w:hAnsi="宋体"/>
          <w:szCs w:val="21"/>
        </w:rPr>
      </w:pPr>
      <w:r>
        <w:rPr>
          <w:rFonts w:hint="eastAsia" w:ascii="宋体" w:hAnsi="宋体"/>
          <w:szCs w:val="21"/>
        </w:rPr>
        <w:t>2、材质：钣金外壳一体成型，表面喷塑；</w:t>
      </w:r>
    </w:p>
    <w:p>
      <w:pPr>
        <w:ind w:left="420" w:leftChars="200"/>
        <w:rPr>
          <w:rFonts w:ascii="宋体" w:hAnsi="宋体"/>
          <w:szCs w:val="21"/>
        </w:rPr>
      </w:pPr>
      <w:r>
        <w:rPr>
          <w:rFonts w:hint="eastAsia" w:ascii="宋体" w:hAnsi="宋体"/>
          <w:szCs w:val="21"/>
        </w:rPr>
        <w:t>3、规格尺寸：1286×326×40mm；</w:t>
      </w:r>
    </w:p>
    <w:p>
      <w:pPr>
        <w:ind w:left="420" w:leftChars="200"/>
        <w:rPr>
          <w:rFonts w:ascii="宋体" w:hAnsi="宋体"/>
          <w:szCs w:val="21"/>
        </w:rPr>
      </w:pPr>
      <w:r>
        <w:rPr>
          <w:rFonts w:hint="eastAsia" w:ascii="宋体" w:hAnsi="宋体"/>
          <w:szCs w:val="21"/>
        </w:rPr>
        <w:t>4、标志内容：有人横穿；</w:t>
      </w:r>
    </w:p>
    <w:p>
      <w:pPr>
        <w:ind w:left="420" w:leftChars="200"/>
        <w:rPr>
          <w:rFonts w:ascii="宋体" w:hAnsi="宋体"/>
          <w:szCs w:val="21"/>
        </w:rPr>
      </w:pPr>
      <w:r>
        <w:rPr>
          <w:rFonts w:hint="eastAsia" w:ascii="宋体" w:hAnsi="宋体"/>
          <w:szCs w:val="21"/>
        </w:rPr>
        <w:t>5、工作电压：DC 12V 6.工作环境要求：</w:t>
      </w:r>
    </w:p>
    <w:p>
      <w:pPr>
        <w:ind w:left="420" w:leftChars="200"/>
        <w:rPr>
          <w:rFonts w:ascii="宋体" w:hAnsi="宋体"/>
          <w:szCs w:val="21"/>
        </w:rPr>
      </w:pPr>
      <w:r>
        <w:rPr>
          <w:rFonts w:hint="eastAsia" w:ascii="宋体" w:hAnsi="宋体"/>
          <w:szCs w:val="21"/>
        </w:rPr>
        <w:t>(1)环境温度：-20℃至80℃；</w:t>
      </w:r>
    </w:p>
    <w:p>
      <w:pPr>
        <w:ind w:left="420" w:leftChars="200"/>
        <w:rPr>
          <w:rFonts w:ascii="宋体" w:hAnsi="宋体"/>
          <w:szCs w:val="21"/>
        </w:rPr>
      </w:pPr>
      <w:r>
        <w:rPr>
          <w:rFonts w:hint="eastAsia" w:ascii="宋体" w:hAnsi="宋体"/>
          <w:szCs w:val="21"/>
        </w:rPr>
        <w:t>(2)环境湿度：相对湿度90%RH；</w:t>
      </w:r>
    </w:p>
    <w:p>
      <w:pPr>
        <w:ind w:left="420" w:leftChars="200"/>
        <w:rPr>
          <w:rFonts w:hint="eastAsia" w:ascii="宋体" w:hAnsi="宋体"/>
          <w:szCs w:val="21"/>
        </w:rPr>
      </w:pPr>
      <w:r>
        <w:rPr>
          <w:rFonts w:hint="eastAsia" w:ascii="宋体" w:hAnsi="宋体"/>
          <w:szCs w:val="21"/>
        </w:rPr>
        <w:t>(3)防护等级：IP65。</w:t>
      </w:r>
    </w:p>
    <w:p>
      <w:pPr>
        <w:ind w:firstLine="422" w:firstLineChars="200"/>
        <w:rPr>
          <w:rFonts w:hint="eastAsia" w:ascii="宋体" w:hAnsi="宋体"/>
          <w:b/>
          <w:bCs/>
          <w:szCs w:val="21"/>
        </w:rPr>
      </w:pPr>
      <w:r>
        <w:rPr>
          <w:rFonts w:hint="eastAsia" w:ascii="宋体" w:hAnsi="宋体"/>
          <w:b/>
          <w:bCs/>
          <w:szCs w:val="21"/>
        </w:rPr>
        <w:t>爆闪灯模块</w:t>
      </w:r>
    </w:p>
    <w:p>
      <w:pPr>
        <w:ind w:left="420" w:leftChars="200"/>
        <w:rPr>
          <w:rFonts w:ascii="宋体" w:hAnsi="宋体"/>
          <w:szCs w:val="21"/>
        </w:rPr>
      </w:pPr>
      <w:r>
        <w:rPr>
          <w:rFonts w:hint="eastAsia" w:ascii="宋体" w:hAnsi="宋体"/>
          <w:szCs w:val="21"/>
        </w:rPr>
        <w:t>1、发光类型：光源采用高亮LED发光管；</w:t>
      </w:r>
    </w:p>
    <w:p>
      <w:pPr>
        <w:ind w:firstLine="424" w:firstLineChars="202"/>
        <w:rPr>
          <w:rFonts w:ascii="宋体" w:hAnsi="宋体"/>
          <w:szCs w:val="21"/>
        </w:rPr>
      </w:pPr>
      <w:r>
        <w:rPr>
          <w:rFonts w:hint="eastAsia" w:ascii="宋体" w:hAnsi="宋体"/>
          <w:szCs w:val="21"/>
        </w:rPr>
        <w:t>2、灯罩材质：灯罩采用高透光PC2805材料制成，透明度高不褪色,热变形温度：125℃，耐冲击强度85；</w:t>
      </w:r>
    </w:p>
    <w:p>
      <w:pPr>
        <w:ind w:firstLine="424" w:firstLineChars="202"/>
        <w:rPr>
          <w:rFonts w:ascii="宋体" w:hAnsi="宋体"/>
          <w:szCs w:val="21"/>
        </w:rPr>
      </w:pPr>
      <w:r>
        <w:rPr>
          <w:rFonts w:hint="eastAsia" w:ascii="宋体" w:hAnsi="宋体"/>
          <w:szCs w:val="21"/>
        </w:rPr>
        <w:t>3、规格尺寸：114×96×39mm；</w:t>
      </w:r>
    </w:p>
    <w:p>
      <w:pPr>
        <w:ind w:firstLine="424" w:firstLineChars="202"/>
        <w:rPr>
          <w:rFonts w:ascii="宋体" w:hAnsi="宋体"/>
          <w:szCs w:val="21"/>
        </w:rPr>
      </w:pPr>
      <w:r>
        <w:rPr>
          <w:rFonts w:hint="eastAsia" w:ascii="宋体" w:hAnsi="宋体"/>
          <w:szCs w:val="21"/>
        </w:rPr>
        <w:t>4、颜色要求：红色、蓝色；</w:t>
      </w:r>
    </w:p>
    <w:p>
      <w:pPr>
        <w:ind w:firstLine="424" w:firstLineChars="202"/>
        <w:rPr>
          <w:rFonts w:ascii="宋体" w:hAnsi="宋体"/>
          <w:szCs w:val="21"/>
        </w:rPr>
      </w:pPr>
      <w:r>
        <w:rPr>
          <w:rFonts w:hint="eastAsia" w:ascii="宋体" w:hAnsi="宋体"/>
          <w:szCs w:val="21"/>
        </w:rPr>
        <w:t>5、工作电压：12V；</w:t>
      </w:r>
    </w:p>
    <w:p>
      <w:pPr>
        <w:ind w:firstLine="424" w:firstLineChars="202"/>
        <w:rPr>
          <w:rFonts w:ascii="宋体" w:hAnsi="宋体"/>
          <w:szCs w:val="21"/>
        </w:rPr>
      </w:pPr>
      <w:r>
        <w:rPr>
          <w:rFonts w:hint="eastAsia" w:ascii="宋体" w:hAnsi="宋体"/>
          <w:szCs w:val="21"/>
        </w:rPr>
        <w:t>6、工作环境要求：</w:t>
      </w:r>
    </w:p>
    <w:p>
      <w:pPr>
        <w:ind w:firstLine="424" w:firstLineChars="202"/>
        <w:rPr>
          <w:rFonts w:ascii="宋体" w:hAnsi="宋体"/>
          <w:szCs w:val="21"/>
        </w:rPr>
      </w:pPr>
      <w:r>
        <w:rPr>
          <w:rFonts w:hint="eastAsia" w:ascii="宋体" w:hAnsi="宋体"/>
          <w:szCs w:val="21"/>
        </w:rPr>
        <w:t>(1)环境温度：-20℃至80℃；</w:t>
      </w:r>
    </w:p>
    <w:p>
      <w:pPr>
        <w:ind w:firstLine="424" w:firstLineChars="202"/>
        <w:rPr>
          <w:rFonts w:ascii="宋体" w:hAnsi="宋体"/>
          <w:szCs w:val="21"/>
        </w:rPr>
      </w:pPr>
      <w:r>
        <w:rPr>
          <w:rFonts w:hint="eastAsia" w:ascii="宋体" w:hAnsi="宋体"/>
          <w:szCs w:val="21"/>
        </w:rPr>
        <w:t>(2)环境湿度：相对湿度90%RH；</w:t>
      </w:r>
    </w:p>
    <w:p>
      <w:pPr>
        <w:ind w:firstLine="424" w:firstLineChars="202"/>
        <w:rPr>
          <w:rFonts w:hint="eastAsia" w:ascii="宋体" w:hAnsi="宋体"/>
          <w:szCs w:val="21"/>
        </w:rPr>
      </w:pPr>
      <w:r>
        <w:rPr>
          <w:rFonts w:hint="eastAsia" w:ascii="宋体" w:hAnsi="宋体"/>
          <w:szCs w:val="21"/>
        </w:rPr>
        <w:t>(3)防护等级：IP67。</w:t>
      </w:r>
    </w:p>
    <w:p>
      <w:pPr>
        <w:ind w:firstLine="422" w:firstLineChars="200"/>
        <w:rPr>
          <w:rFonts w:hint="eastAsia" w:ascii="宋体" w:hAnsi="宋体"/>
          <w:b/>
          <w:bCs/>
          <w:szCs w:val="21"/>
        </w:rPr>
      </w:pPr>
      <w:r>
        <w:rPr>
          <w:rFonts w:hint="eastAsia" w:ascii="宋体" w:hAnsi="宋体"/>
          <w:b/>
          <w:bCs/>
          <w:szCs w:val="21"/>
        </w:rPr>
        <w:t>智能语音模块</w:t>
      </w:r>
    </w:p>
    <w:p>
      <w:pPr>
        <w:ind w:firstLine="420" w:firstLineChars="200"/>
        <w:rPr>
          <w:rFonts w:hint="eastAsia" w:ascii="宋体" w:hAnsi="宋体"/>
          <w:szCs w:val="21"/>
        </w:rPr>
      </w:pPr>
      <w:r>
        <w:rPr>
          <w:rFonts w:hint="eastAsia" w:ascii="宋体" w:hAnsi="宋体"/>
          <w:szCs w:val="21"/>
        </w:rPr>
        <w:t>1、驱动组成：WT2003H-24SS高品质MP3语音芯片、PAM8320功放模块、UART指定插播地址音乐播放模块IC， 可以提供高保真人声发音；</w:t>
      </w:r>
    </w:p>
    <w:p>
      <w:pPr>
        <w:ind w:firstLine="420" w:firstLineChars="200"/>
        <w:rPr>
          <w:rFonts w:hint="eastAsia" w:ascii="宋体" w:hAnsi="宋体"/>
          <w:szCs w:val="21"/>
        </w:rPr>
      </w:pPr>
      <w:r>
        <w:rPr>
          <w:rFonts w:hint="eastAsia" w:ascii="宋体" w:hAnsi="宋体"/>
          <w:szCs w:val="21"/>
        </w:rPr>
        <w:t>2、扬声器采用保真高音喇叭，聚合物音盆，防水效果 好；阻抗：4欧姆，功率12W。响应频率：80-20000Hz。灵敏 度(最大声压级) 110分贝。</w:t>
      </w:r>
    </w:p>
    <w:p>
      <w:pPr>
        <w:ind w:firstLine="422" w:firstLineChars="200"/>
        <w:rPr>
          <w:rFonts w:hint="eastAsia" w:ascii="宋体" w:hAnsi="宋体"/>
          <w:b/>
          <w:bCs/>
          <w:szCs w:val="21"/>
        </w:rPr>
      </w:pPr>
      <w:r>
        <w:rPr>
          <w:rFonts w:hint="eastAsia" w:ascii="宋体" w:hAnsi="宋体"/>
          <w:b/>
          <w:bCs/>
          <w:szCs w:val="21"/>
        </w:rPr>
        <w:t>嵌入式主控模块</w:t>
      </w:r>
    </w:p>
    <w:p>
      <w:pPr>
        <w:ind w:firstLine="420" w:firstLineChars="200"/>
        <w:rPr>
          <w:rFonts w:ascii="宋体" w:hAnsi="宋体"/>
          <w:szCs w:val="21"/>
        </w:rPr>
      </w:pPr>
      <w:r>
        <w:rPr>
          <w:rFonts w:hint="eastAsia" w:ascii="宋体" w:hAnsi="宋体"/>
          <w:szCs w:val="21"/>
        </w:rPr>
        <w:t>1、产品采用基于ARM® Cortex®-M系列内核的STM32系列 高性能MCU，32位处理器，工作频率高达550 MHz。从  Flash执行程序时，STM32系列能够实现2778 CoreMark /1177 DMIPS的性能。STM32系列MCU包含以下安全特性：</w:t>
      </w:r>
    </w:p>
    <w:p>
      <w:pPr>
        <w:ind w:firstLine="420" w:firstLineChars="200"/>
        <w:rPr>
          <w:rFonts w:ascii="宋体" w:hAnsi="宋体"/>
          <w:szCs w:val="21"/>
        </w:rPr>
      </w:pPr>
      <w:r>
        <w:rPr>
          <w:rFonts w:hint="eastAsia" w:ascii="宋体" w:hAnsi="宋体"/>
          <w:szCs w:val="21"/>
        </w:rPr>
        <w:t xml:space="preserve"> (1) 加密/Hash硬件加速器</w:t>
      </w:r>
    </w:p>
    <w:p>
      <w:pPr>
        <w:ind w:firstLine="420" w:firstLineChars="200"/>
        <w:rPr>
          <w:rFonts w:ascii="宋体" w:hAnsi="宋体"/>
          <w:szCs w:val="21"/>
        </w:rPr>
      </w:pPr>
      <w:r>
        <w:rPr>
          <w:rFonts w:hint="eastAsia" w:ascii="宋体" w:hAnsi="宋体"/>
          <w:szCs w:val="21"/>
        </w:rPr>
        <w:t xml:space="preserve"> (2) STM32H757支持嵌入式安全固件安装服务 (SFI)，可在执行初始程序时执行安全验证并保护软件IP。 安全启动和安全固件升级(SBSFU) 。</w:t>
      </w:r>
    </w:p>
    <w:p>
      <w:pPr>
        <w:ind w:firstLine="420" w:firstLineChars="200"/>
        <w:rPr>
          <w:rFonts w:ascii="宋体" w:hAnsi="宋体"/>
          <w:szCs w:val="21"/>
        </w:rPr>
      </w:pPr>
      <w:r>
        <w:rPr>
          <w:rFonts w:hint="eastAsia" w:ascii="宋体" w:hAnsi="宋体"/>
          <w:szCs w:val="21"/>
        </w:rPr>
        <w:t>2、系统控制主板具有以下功能：</w:t>
      </w:r>
    </w:p>
    <w:p>
      <w:pPr>
        <w:ind w:firstLine="420" w:firstLineChars="200"/>
        <w:rPr>
          <w:rFonts w:ascii="宋体" w:hAnsi="宋体"/>
          <w:szCs w:val="21"/>
        </w:rPr>
      </w:pPr>
      <w:r>
        <w:rPr>
          <w:rFonts w:hint="eastAsia" w:ascii="宋体" w:hAnsi="宋体"/>
          <w:szCs w:val="21"/>
        </w:rPr>
        <w:t>(1) 系统控制主板应具有无线双向通讯功能；</w:t>
      </w:r>
    </w:p>
    <w:p>
      <w:pPr>
        <w:ind w:firstLine="420" w:firstLineChars="200"/>
        <w:rPr>
          <w:rFonts w:ascii="宋体" w:hAnsi="宋体"/>
          <w:szCs w:val="21"/>
        </w:rPr>
      </w:pPr>
      <w:r>
        <w:rPr>
          <w:rFonts w:hint="eastAsia" w:ascii="宋体" w:hAnsi="宋体"/>
          <w:szCs w:val="21"/>
        </w:rPr>
        <w:t>(2) 系统控制主板应具有多信道抗干扰功能；</w:t>
      </w:r>
    </w:p>
    <w:p>
      <w:pPr>
        <w:ind w:firstLine="420" w:firstLineChars="200"/>
        <w:rPr>
          <w:rFonts w:ascii="宋体" w:hAnsi="宋体"/>
          <w:szCs w:val="21"/>
        </w:rPr>
      </w:pPr>
      <w:r>
        <w:rPr>
          <w:rFonts w:hint="eastAsia" w:ascii="宋体" w:hAnsi="宋体"/>
          <w:szCs w:val="21"/>
        </w:rPr>
        <w:t>(3) 系统控制主板应具有静电放电抗干扰功能；</w:t>
      </w:r>
    </w:p>
    <w:p>
      <w:pPr>
        <w:ind w:firstLine="420" w:firstLineChars="200"/>
        <w:rPr>
          <w:rFonts w:hint="eastAsia" w:ascii="宋体" w:hAnsi="宋体"/>
          <w:szCs w:val="21"/>
        </w:rPr>
      </w:pPr>
      <w:r>
        <w:rPr>
          <w:rFonts w:hint="eastAsia" w:ascii="宋体" w:hAnsi="宋体"/>
          <w:szCs w:val="21"/>
        </w:rPr>
        <w:t>(4) 系统控制主板应具12VDC~24VDC宽电压功能。</w:t>
      </w:r>
    </w:p>
    <w:p>
      <w:pPr>
        <w:ind w:firstLine="420" w:firstLineChars="200"/>
        <w:rPr>
          <w:rFonts w:ascii="宋体" w:hAnsi="宋体"/>
          <w:szCs w:val="21"/>
        </w:rPr>
      </w:pPr>
      <w:r>
        <w:rPr>
          <w:rFonts w:hint="eastAsia" w:ascii="宋体" w:hAnsi="宋体"/>
          <w:szCs w:val="21"/>
        </w:rPr>
        <w:t>3.工作环境要求：</w:t>
      </w:r>
    </w:p>
    <w:p>
      <w:pPr>
        <w:ind w:firstLine="420" w:firstLineChars="200"/>
        <w:rPr>
          <w:rFonts w:ascii="宋体" w:hAnsi="宋体"/>
          <w:szCs w:val="21"/>
        </w:rPr>
      </w:pPr>
      <w:r>
        <w:rPr>
          <w:rFonts w:hint="eastAsia" w:ascii="宋体" w:hAnsi="宋体"/>
          <w:szCs w:val="21"/>
        </w:rPr>
        <w:t>(1)环境温度：-20℃至80℃；</w:t>
      </w:r>
    </w:p>
    <w:p>
      <w:pPr>
        <w:ind w:firstLine="420" w:firstLineChars="200"/>
        <w:rPr>
          <w:rFonts w:hint="eastAsia" w:ascii="宋体" w:hAnsi="宋体"/>
          <w:szCs w:val="21"/>
        </w:rPr>
      </w:pPr>
      <w:r>
        <w:rPr>
          <w:rFonts w:hint="eastAsia" w:ascii="宋体" w:hAnsi="宋体"/>
          <w:szCs w:val="21"/>
        </w:rPr>
        <w:t>(2)环境湿度：相对湿度98%RH。</w:t>
      </w:r>
    </w:p>
    <w:p>
      <w:pPr>
        <w:ind w:firstLine="422" w:firstLineChars="200"/>
        <w:rPr>
          <w:rFonts w:hint="eastAsia" w:ascii="宋体" w:hAnsi="宋体"/>
          <w:b/>
          <w:bCs/>
          <w:szCs w:val="21"/>
        </w:rPr>
      </w:pPr>
      <w:r>
        <w:rPr>
          <w:rFonts w:hint="eastAsia" w:ascii="宋体" w:hAnsi="宋体"/>
          <w:b/>
          <w:bCs/>
          <w:szCs w:val="21"/>
        </w:rPr>
        <w:t>智能无线通讯模块</w:t>
      </w:r>
    </w:p>
    <w:p>
      <w:pPr>
        <w:ind w:left="420" w:leftChars="200"/>
        <w:rPr>
          <w:rFonts w:ascii="宋体" w:hAnsi="宋体"/>
          <w:szCs w:val="21"/>
        </w:rPr>
      </w:pPr>
      <w:r>
        <w:rPr>
          <w:rFonts w:hint="eastAsia" w:ascii="宋体" w:hAnsi="宋体"/>
          <w:szCs w:val="21"/>
        </w:rPr>
        <w:t>1、无线通信采用新型的SX127x平台，无线模块接收状态的电流为4.2mA；</w:t>
      </w:r>
    </w:p>
    <w:p>
      <w:pPr>
        <w:ind w:left="420" w:leftChars="200"/>
        <w:rPr>
          <w:rFonts w:ascii="宋体" w:hAnsi="宋体"/>
          <w:szCs w:val="21"/>
        </w:rPr>
      </w:pPr>
      <w:r>
        <w:rPr>
          <w:rFonts w:hint="eastAsia" w:ascii="宋体" w:hAnsi="宋体"/>
          <w:szCs w:val="21"/>
        </w:rPr>
        <w:t>2、该芯片支持用于LPWAN使用的LoRa调制方式和传统用 处的(G)FSK调制方式；</w:t>
      </w:r>
    </w:p>
    <w:p>
      <w:pPr>
        <w:ind w:left="420" w:leftChars="200"/>
        <w:rPr>
          <w:rFonts w:ascii="宋体" w:hAnsi="宋体"/>
          <w:szCs w:val="21"/>
        </w:rPr>
      </w:pPr>
      <w:r>
        <w:rPr>
          <w:rFonts w:hint="eastAsia" w:ascii="宋体" w:hAnsi="宋体"/>
          <w:szCs w:val="21"/>
        </w:rPr>
        <w:t>3、该芯片最大的输出功率可达+22dBm,并且支持434/490/868/915MHz；</w:t>
      </w:r>
    </w:p>
    <w:p>
      <w:pPr>
        <w:ind w:left="420" w:leftChars="200"/>
        <w:rPr>
          <w:rFonts w:hint="eastAsia" w:ascii="宋体" w:hAnsi="宋体"/>
          <w:szCs w:val="21"/>
        </w:rPr>
      </w:pPr>
      <w:r>
        <w:rPr>
          <w:rFonts w:hint="eastAsia" w:ascii="宋体" w:hAnsi="宋体"/>
          <w:szCs w:val="21"/>
        </w:rPr>
        <w:t>4、通信模块具有高效的接收灵敏度和超强的抗干扰性能，半双工通信，ISM多波段。</w:t>
      </w:r>
    </w:p>
    <w:p>
      <w:pPr>
        <w:ind w:firstLine="422" w:firstLineChars="200"/>
        <w:rPr>
          <w:rFonts w:hint="eastAsia" w:ascii="宋体" w:hAnsi="宋体"/>
          <w:b/>
          <w:bCs/>
          <w:szCs w:val="21"/>
        </w:rPr>
      </w:pPr>
      <w:r>
        <w:rPr>
          <w:rFonts w:hint="eastAsia" w:ascii="宋体" w:hAnsi="宋体"/>
          <w:b/>
          <w:bCs/>
          <w:szCs w:val="21"/>
        </w:rPr>
        <w:t>开关电源</w:t>
      </w:r>
    </w:p>
    <w:p>
      <w:pPr>
        <w:ind w:left="420" w:leftChars="200"/>
        <w:rPr>
          <w:rFonts w:ascii="宋体" w:hAnsi="宋体"/>
          <w:szCs w:val="21"/>
        </w:rPr>
      </w:pPr>
      <w:r>
        <w:rPr>
          <w:rFonts w:hint="eastAsia" w:ascii="宋体" w:hAnsi="宋体"/>
          <w:szCs w:val="21"/>
        </w:rPr>
        <w:t>1、采用工程级防雨开关电源；</w:t>
      </w:r>
    </w:p>
    <w:p>
      <w:pPr>
        <w:ind w:left="420" w:leftChars="200"/>
        <w:rPr>
          <w:rFonts w:ascii="宋体" w:hAnsi="宋体"/>
          <w:szCs w:val="21"/>
        </w:rPr>
      </w:pPr>
      <w:r>
        <w:rPr>
          <w:rFonts w:hint="eastAsia" w:ascii="宋体" w:hAnsi="宋体"/>
          <w:szCs w:val="21"/>
        </w:rPr>
        <w:t>2、产品通过中国3C强制认证；</w:t>
      </w:r>
    </w:p>
    <w:p>
      <w:pPr>
        <w:ind w:left="420" w:leftChars="200"/>
        <w:rPr>
          <w:rFonts w:ascii="宋体" w:hAnsi="宋体"/>
          <w:szCs w:val="21"/>
        </w:rPr>
      </w:pPr>
      <w:r>
        <w:rPr>
          <w:rFonts w:hint="eastAsia" w:ascii="宋体" w:hAnsi="宋体"/>
          <w:szCs w:val="21"/>
        </w:rPr>
        <w:t>3、防护等级：IP65；</w:t>
      </w:r>
    </w:p>
    <w:p>
      <w:pPr>
        <w:ind w:left="420" w:leftChars="200"/>
        <w:rPr>
          <w:rFonts w:ascii="宋体" w:hAnsi="宋体"/>
          <w:szCs w:val="21"/>
        </w:rPr>
      </w:pPr>
      <w:r>
        <w:rPr>
          <w:rFonts w:hint="eastAsia" w:ascii="宋体" w:hAnsi="宋体"/>
          <w:szCs w:val="21"/>
        </w:rPr>
        <w:t>4、电路保护：短路/过负载/过电压/过热；</w:t>
      </w:r>
    </w:p>
    <w:p>
      <w:pPr>
        <w:ind w:left="420" w:leftChars="200"/>
        <w:rPr>
          <w:rFonts w:ascii="宋体" w:hAnsi="宋体"/>
          <w:szCs w:val="21"/>
        </w:rPr>
      </w:pPr>
      <w:r>
        <w:rPr>
          <w:rFonts w:hint="eastAsia" w:ascii="宋体" w:hAnsi="宋体"/>
          <w:szCs w:val="21"/>
        </w:rPr>
        <w:t>5、内置风扇，有效控制温升；</w:t>
      </w:r>
    </w:p>
    <w:p>
      <w:pPr>
        <w:ind w:left="420" w:leftChars="200"/>
        <w:rPr>
          <w:rFonts w:ascii="宋体" w:hAnsi="宋体"/>
          <w:szCs w:val="21"/>
        </w:rPr>
      </w:pPr>
      <w:r>
        <w:rPr>
          <w:rFonts w:hint="eastAsia" w:ascii="宋体" w:hAnsi="宋体"/>
          <w:szCs w:val="21"/>
        </w:rPr>
        <w:t>6、宽电压输入：180-265VAC；</w:t>
      </w:r>
    </w:p>
    <w:p>
      <w:pPr>
        <w:ind w:left="420" w:leftChars="200"/>
        <w:rPr>
          <w:rFonts w:ascii="宋体" w:hAnsi="宋体"/>
          <w:szCs w:val="21"/>
        </w:rPr>
      </w:pPr>
      <w:r>
        <w:rPr>
          <w:rFonts w:hint="eastAsia" w:ascii="宋体" w:hAnsi="宋体"/>
          <w:szCs w:val="21"/>
        </w:rPr>
        <w:t>7、稳压输出：12±0.2VDC；</w:t>
      </w:r>
    </w:p>
    <w:p>
      <w:pPr>
        <w:ind w:left="420" w:leftChars="200"/>
        <w:rPr>
          <w:rFonts w:hint="eastAsia" w:ascii="宋体" w:hAnsi="宋体"/>
          <w:szCs w:val="21"/>
        </w:rPr>
      </w:pPr>
      <w:r>
        <w:rPr>
          <w:rFonts w:hint="eastAsia" w:ascii="宋体" w:hAnsi="宋体"/>
          <w:szCs w:val="21"/>
        </w:rPr>
        <w:t>8、最大功率支持400。</w:t>
      </w:r>
    </w:p>
    <w:p>
      <w:pPr>
        <w:ind w:firstLine="422" w:firstLineChars="200"/>
        <w:rPr>
          <w:rFonts w:hint="eastAsia" w:ascii="宋体" w:hAnsi="宋体"/>
          <w:b/>
          <w:bCs/>
          <w:szCs w:val="21"/>
        </w:rPr>
      </w:pPr>
      <w:r>
        <w:rPr>
          <w:rFonts w:hint="eastAsia" w:ascii="宋体" w:hAnsi="宋体"/>
          <w:b/>
          <w:bCs/>
          <w:szCs w:val="21"/>
        </w:rPr>
        <w:t>自动重合闸用电保护器</w:t>
      </w:r>
    </w:p>
    <w:p>
      <w:pPr>
        <w:ind w:firstLine="420" w:firstLineChars="200"/>
        <w:rPr>
          <w:rFonts w:hint="eastAsia" w:ascii="宋体" w:hAnsi="宋体"/>
          <w:szCs w:val="21"/>
        </w:rPr>
      </w:pPr>
      <w:r>
        <w:rPr>
          <w:rFonts w:hint="eastAsia" w:ascii="宋体" w:hAnsi="宋体"/>
          <w:szCs w:val="21"/>
        </w:rPr>
        <w:t>1、具备自动复位、过压、欠压、过流、漏电、防雷、延时保护功能和电压显示、设置等功能。</w:t>
      </w:r>
    </w:p>
    <w:p>
      <w:pPr>
        <w:ind w:firstLine="422" w:firstLineChars="200"/>
        <w:rPr>
          <w:rFonts w:hint="eastAsia" w:ascii="宋体" w:hAnsi="宋体"/>
          <w:b/>
          <w:bCs/>
          <w:szCs w:val="21"/>
        </w:rPr>
      </w:pPr>
      <w:r>
        <w:rPr>
          <w:rFonts w:hint="eastAsia" w:ascii="宋体" w:hAnsi="宋体"/>
          <w:b/>
          <w:bCs/>
          <w:szCs w:val="21"/>
        </w:rPr>
        <w:t>智能交通视频检测器</w:t>
      </w:r>
    </w:p>
    <w:p>
      <w:pPr>
        <w:ind w:firstLine="420" w:firstLineChars="200"/>
        <w:rPr>
          <w:rFonts w:hint="eastAsia" w:ascii="宋体" w:hAnsi="宋体"/>
          <w:szCs w:val="21"/>
        </w:rPr>
      </w:pPr>
      <w:r>
        <w:rPr>
          <w:rFonts w:hint="eastAsia" w:ascii="宋体" w:hAnsi="宋体"/>
          <w:szCs w:val="21"/>
        </w:rPr>
        <w:t>1、检测器采用200万像素的筒型摄像机，支持最低照度：02Lux @(F1.2,AGC ON) ,0 Lux with IR ，满足高清画质+非常昏暗的场景应用，ICR 红外滤片式自动切换,实 现日夜监控；</w:t>
      </w:r>
    </w:p>
    <w:p>
      <w:pPr>
        <w:ind w:firstLine="420" w:firstLineChars="200"/>
        <w:rPr>
          <w:rFonts w:ascii="宋体" w:hAnsi="宋体"/>
          <w:szCs w:val="21"/>
        </w:rPr>
      </w:pPr>
      <w:r>
        <w:rPr>
          <w:rFonts w:hint="eastAsia" w:ascii="宋体" w:hAnsi="宋体"/>
          <w:szCs w:val="21"/>
        </w:rPr>
        <w:t>2、智能侦测：采用深度学习硬件及算法,提供精准的人车 分类侦测,支持区域有人存在持续报警检测模式；</w:t>
      </w:r>
    </w:p>
    <w:p>
      <w:pPr>
        <w:ind w:firstLine="420" w:firstLineChars="200"/>
        <w:rPr>
          <w:rFonts w:hint="eastAsia" w:ascii="宋体" w:hAnsi="宋体"/>
          <w:szCs w:val="21"/>
        </w:rPr>
      </w:pPr>
      <w:r>
        <w:rPr>
          <w:rFonts w:hint="eastAsia" w:ascii="宋体" w:hAnsi="宋体"/>
          <w:szCs w:val="21"/>
        </w:rPr>
        <w:t>3、防护等级：符合 IP67 ，环境温度：-30℃至60℃,湿 度小于 95%(无凝结) ；</w:t>
      </w:r>
    </w:p>
    <w:p>
      <w:pPr>
        <w:ind w:firstLine="420" w:firstLineChars="200"/>
        <w:rPr>
          <w:rFonts w:hint="eastAsia" w:ascii="宋体" w:hAnsi="宋体"/>
          <w:szCs w:val="21"/>
        </w:rPr>
      </w:pPr>
      <w:r>
        <w:rPr>
          <w:rFonts w:hint="eastAsia" w:ascii="宋体" w:hAnsi="宋体"/>
          <w:szCs w:val="21"/>
        </w:rPr>
        <w:t>4、工作电压：DC12V±25% ；</w:t>
      </w:r>
    </w:p>
    <w:p>
      <w:pPr>
        <w:ind w:firstLine="420" w:firstLineChars="200"/>
        <w:rPr>
          <w:rFonts w:hint="eastAsia" w:ascii="宋体" w:hAnsi="宋体"/>
          <w:szCs w:val="21"/>
        </w:rPr>
      </w:pPr>
      <w:r>
        <w:rPr>
          <w:rFonts w:hint="eastAsia" w:ascii="宋体" w:hAnsi="宋体"/>
          <w:szCs w:val="21"/>
        </w:rPr>
        <w:t>5、电源接口类型：Φ5.5mm 圆头电源接口，1 个 RJ4510M / 100M 自适应以太网口；</w:t>
      </w:r>
    </w:p>
    <w:p>
      <w:pPr>
        <w:ind w:firstLine="420" w:firstLineChars="200"/>
        <w:rPr>
          <w:rFonts w:hint="eastAsia" w:ascii="宋体" w:hAnsi="宋体"/>
          <w:szCs w:val="21"/>
        </w:rPr>
      </w:pPr>
      <w:r>
        <w:rPr>
          <w:rFonts w:hint="eastAsia" w:ascii="宋体" w:hAnsi="宋体"/>
          <w:szCs w:val="21"/>
        </w:rPr>
        <w:t>6、支持视频录像采集，支持H.265编码，可提供多制式视 频转换。可自由设置录像参数，包括：帧率、图像大小、 分辨率等；视频本地储存介质为Micro SD卡，最大支持512G。</w:t>
      </w:r>
    </w:p>
    <w:p>
      <w:pPr>
        <w:ind w:firstLine="422" w:firstLineChars="200"/>
        <w:rPr>
          <w:rFonts w:hint="eastAsia" w:ascii="宋体" w:hAnsi="宋体"/>
          <w:b/>
          <w:bCs/>
          <w:szCs w:val="21"/>
        </w:rPr>
      </w:pPr>
      <w:r>
        <w:rPr>
          <w:rFonts w:hint="eastAsia" w:ascii="宋体" w:hAnsi="宋体"/>
          <w:b/>
          <w:bCs/>
          <w:szCs w:val="21"/>
        </w:rPr>
        <w:t>400铝壳黄闪灯</w:t>
      </w:r>
    </w:p>
    <w:p>
      <w:pPr>
        <w:ind w:firstLine="3968" w:firstLineChars="1890"/>
        <w:rPr>
          <w:rFonts w:ascii="宋体" w:hAnsi="宋体"/>
          <w:szCs w:val="21"/>
        </w:rPr>
      </w:pPr>
      <w:r>
        <w:rPr>
          <w:rFonts w:ascii="宋体" w:hAnsi="宋体"/>
          <w:szCs w:val="21"/>
        </w:rPr>
        <mc:AlternateContent>
          <mc:Choice Requires="wpg">
            <w:drawing>
              <wp:inline distT="0" distB="0" distL="114300" distR="114300">
                <wp:extent cx="864235" cy="1079500"/>
                <wp:effectExtent l="8890" t="4445" r="22225" b="20955"/>
                <wp:docPr id="5" name="Group 4"/>
                <wp:cNvGraphicFramePr/>
                <a:graphic xmlns:a="http://schemas.openxmlformats.org/drawingml/2006/main">
                  <a:graphicData uri="http://schemas.microsoft.com/office/word/2010/wordprocessingGroup">
                    <wpg:wgp>
                      <wpg:cNvGrpSpPr>
                        <a:grpSpLocks noRot="1"/>
                      </wpg:cNvGrpSpPr>
                      <wpg:grpSpPr>
                        <a:xfrm>
                          <a:off x="0" y="0"/>
                          <a:ext cx="864235" cy="1079500"/>
                          <a:chOff x="3154" y="4625"/>
                          <a:chExt cx="1361" cy="1700"/>
                        </a:xfrm>
                      </wpg:grpSpPr>
                      <wps:wsp>
                        <wps:cNvPr id="1" name="Line 5"/>
                        <wps:cNvSpPr/>
                        <wps:spPr>
                          <a:xfrm>
                            <a:off x="3724" y="5078"/>
                            <a:ext cx="3" cy="467"/>
                          </a:xfrm>
                          <a:prstGeom prst="line">
                            <a:avLst/>
                          </a:prstGeom>
                          <a:ln w="38100" cap="flat" cmpd="sng">
                            <a:solidFill>
                              <a:srgbClr val="000000"/>
                            </a:solidFill>
                            <a:prstDash val="solid"/>
                            <a:headEnd type="none" w="med" len="med"/>
                            <a:tailEnd type="none" w="med" len="med"/>
                          </a:ln>
                        </wps:spPr>
                        <wps:bodyPr upright="1"/>
                      </wps:wsp>
                      <wps:wsp>
                        <wps:cNvPr id="2" name="Rectangle 6"/>
                        <wps:cNvSpPr>
                          <a:spLocks noChangeAspect="1"/>
                        </wps:cNvSpPr>
                        <wps:spPr>
                          <a:xfrm>
                            <a:off x="3259" y="5393"/>
                            <a:ext cx="935" cy="932"/>
                          </a:xfrm>
                          <a:prstGeom prst="rect">
                            <a:avLst/>
                          </a:prstGeom>
                          <a:solidFill>
                            <a:srgbClr val="000000"/>
                          </a:solidFill>
                          <a:ln w="9525" cap="flat" cmpd="sng">
                            <a:solidFill>
                              <a:srgbClr val="000000"/>
                            </a:solidFill>
                            <a:prstDash val="solid"/>
                            <a:miter/>
                            <a:headEnd type="none" w="med" len="med"/>
                            <a:tailEnd type="none" w="med" len="med"/>
                          </a:ln>
                        </wps:spPr>
                        <wps:bodyPr wrap="square" upright="1"/>
                      </wps:wsp>
                      <wps:wsp>
                        <wps:cNvPr id="3" name="Oval 7"/>
                        <wps:cNvSpPr>
                          <a:spLocks noChangeAspect="1"/>
                        </wps:cNvSpPr>
                        <wps:spPr>
                          <a:xfrm>
                            <a:off x="3304" y="5447"/>
                            <a:ext cx="848" cy="849"/>
                          </a:xfrm>
                          <a:prstGeom prst="ellipse">
                            <a:avLst/>
                          </a:prstGeom>
                          <a:solidFill>
                            <a:srgbClr val="FFFF00"/>
                          </a:solidFill>
                          <a:ln w="28575" cap="flat" cmpd="sng">
                            <a:solidFill>
                              <a:srgbClr val="808080"/>
                            </a:solidFill>
                            <a:prstDash val="solid"/>
                            <a:headEnd type="none" w="med" len="med"/>
                            <a:tailEnd type="none" w="med" len="med"/>
                          </a:ln>
                        </wps:spPr>
                        <wps:bodyPr wrap="square" upright="1"/>
                      </wps:wsp>
                      <wps:wsp>
                        <wps:cNvPr id="4" name="AutoShape 8" descr="轮廓式菱形"/>
                        <wps:cNvSpPr>
                          <a:spLocks noChangeAspect="1"/>
                        </wps:cNvSpPr>
                        <wps:spPr>
                          <a:xfrm>
                            <a:off x="3154" y="4625"/>
                            <a:ext cx="1361" cy="510"/>
                          </a:xfrm>
                          <a:prstGeom prst="parallelogram">
                            <a:avLst>
                              <a:gd name="adj" fmla="val 66715"/>
                            </a:avLst>
                          </a:prstGeom>
                          <a:pattFill prst="openDmnd">
                            <a:fgClr>
                              <a:srgbClr val="C0C0C0"/>
                            </a:fgClr>
                            <a:bgClr>
                              <a:srgbClr val="333399"/>
                            </a:bgClr>
                          </a:pattFill>
                          <a:ln w="6350" cap="flat" cmpd="sng">
                            <a:solidFill>
                              <a:srgbClr val="969696"/>
                            </a:solidFill>
                            <a:prstDash val="solid"/>
                            <a:miter/>
                            <a:headEnd type="none" w="med" len="med"/>
                            <a:tailEnd type="none" w="med" len="med"/>
                          </a:ln>
                        </wps:spPr>
                        <wps:bodyPr wrap="square" upright="1"/>
                      </wps:wsp>
                    </wpg:wgp>
                  </a:graphicData>
                </a:graphic>
              </wp:inline>
            </w:drawing>
          </mc:Choice>
          <mc:Fallback>
            <w:pict>
              <v:group id="Group 4" o:spid="_x0000_s1026" o:spt="203" style="height:85pt;width:68.05pt;" coordorigin="3154,4625" coordsize="1361,1700" o:gfxdata="UEsDBAoAAAAAAIdO4kAAAAAAAAAAAAAAAAAEAAAAZHJzL1BLAwQUAAAACACHTuJA38PPxtUAAAAF AQAADwAAAGRycy9kb3ducmV2LnhtbE2PQUvDQBCF74L/YRnBm91di1XSbIoU9VQEW0F6m2anSWh2 NmS3Sfvv3Xqxl+ENb3jvm3xxcq0YqA+NZwN6okAQl942XBn43rw/vIAIEdli65kMnCnAori9yTGz fuQvGtaxEimEQ4YG6hi7TMpQ1uQwTHxHnLy97x3GtPaVtD2OKdy18lGpmXTYcGqosaNlTeVhfXQG PkYcX6f6bVgd9svzdvP0+bPSZMz9nVZzEJFO8f8YLvgJHYrEtPNHtkG0BtIj8W9evOlMg9gl8awU yCKX1/TFL1BLAwQUAAAACACHTuJAEYaEucoDAAA4DQAADgAAAGRycy9lMm9Eb2MueG1szVdLbtw4 EN0PkDsQ2sf6q1uC20Hgjr0xkiCfA9AS9UkokiHZln2KLOYGc4ABZj3JcQzkGCmSktpuTwyPgzhu AQ2qWSxWvXr16f1n5z1FZ0SqjrOVF+4FHiKs5FXHmpX3/t3R06WHlMaswpQzsvIuiPKeHTz5Y38Q BYl4y2lFJAIlTBWDWHmt1qLwfVW2pMdqjwvCYLPmsscaXmXjVxIPoL2nfhQEmT9wWQnJS6IU/Lp2 m96oUd5FIa/rriRrXm56wrTTKgnFGlxSbSeUd2CtrWtS6ld1rYhGdOWBp9p+wyWwPjXf/sE+LhqJ RduVown4Libs+NTjjsGls6o11hhtZHdDVd+Vkite672S975zxCICXoTBDjbHkm+E9aUphkbMoEOg dlC/t9ry5dlribpq5aUeYriHgNtbUWKgGURTgMSxFG/Fa+n8g+UJLz8qxPgbDniGRtDflTTvzfbY eS17cxwcRucW/YsZfXKuUQk/LrMkisGKErbCYJGnwRiesoUYmmNxmCYegu0ki1IXurJ9MR4P4ywc Dy/cSR8X7l5r3WzNIIC4aoum+jk037ZYEBskZbAa0QRTHJonHSPIGmvuBQGDpIVWFWoEdQedeBE5 N9NgsXRuThjFzsMkW1jUJwdxIaTSx4T3yCxWHoVbLR/x2YnSJkBbERMHytAAeC5DQAqVGNK4hvSB ZS+ACoo19rDitKuOOkrNESWb00Mq0Rk2qWQ/ow3XxMz9a6xaJ2e3nAstwdULViF9IYBkDGqLZ2zo SeUhSqAUmRVYiguNO3oXSfCJMsu9CUoD8SmvLiAIGyG7pr3CTxt0Q+kHiH40Rf8NFCDMGkpQZny7 QgEL6ZxJhy1IkedKgPw2pWa+uJM/okuU5jYr0jiPHYITXfIpn/I4MjtzRmzZMBJGwsW3EeZajO9I BUeyPIVcfSCO9Z0m0nLogdk2QAeBvPm0wRJo/Vu5ByXCVZ5XkKnI1olfQ7s4GKtUkthbcDHRbpnA DGHK+DLJb6cdoRTa9a2l6sfMO4LPXOmviTnmRct0cT/qLQPzjKZf0/xYytsjIhywwBHu+UZz2w0R hL8iqoQ569vXvy///fPyy+dvn/+5/PqXgfTXsPHmaDCxcTsYpOEU06nj7rRNgSWmlFAOE2G/LYem VjfV6CWuPnio7imMiSbBsmwR2vYOtdU22xu9VmCtTRMdK60ZkNc9q6z6uoGWeqO7HgbmGek3i5z+ p2wMn3zKslHENPvxUqPbZUMWp/fr9Xlmnv+VDI+8Dtt5EAZqG6px+DcT+9V3WF/9w3PwHVBLAwQK AAAAAACHTuJAAAAAAAAAAAAAAAAABgAAAF9yZWxzL1BLAwQUAAAACACHTuJAihRmPNEAAACUAQAA CwAAAF9yZWxzLy5yZWxzpZDBasMwDIbvg72D0X1xmsMYo04vo9Br6R7A2IpjGltGMtn69vMOg2X0 tqN+oe8T//7wmRa1IkukbGDX9aAwO/IxBwPvl+PTCyipNnu7UEYDNxQ4jI8P+zMutrYjmWMR1ShZ DMy1lletxc2YrHRUMLfNRJxsbSMHXay72oB66Ptnzb8ZMG6Y6uQN8MkPoC630sx/2Ck6JqGpdo6S pmmK7h5VB7Zlju7INuEbuUazHLAa8CwaB2pZ134EfV+/+6fe00c+47rVfoeM649Xb7ocvwBQSwME FAAAAAgAh07iQH7m5SD3AAAA4QEAABMAAABbQ29udGVudF9UeXBlc10ueG1slZFBTsMwEEX3SNzB 8hYlTrtACCXpgrRLQKgcYGRPEotkbHlMaG+Pk7YbRJFY2jP/vye73BzGQUwY2Dqq5CovpEDSzljq Kvm+32UPUnAEMjA4wkoekeWmvr0p90ePLFKauJJ9jP5RKdY9jsC580hp0rowQkzH0CkP+gM6VOui uFfaUUSKWZw7ZF022MLnEMX2kK5PJgEHluLptDizKgneD1ZDTKZqIvODkp0JeUouO9xbz3dJQ6pf CfPkOuCce0lPE6xB8QohPsOYNJQJrIz7ooBT/nfJbDly5trWasybwE2KveF0sbrWjmvXOP3f8u2S unSr5YPqb1BLAQIUABQAAAAIAIdO4kB+5uUg9wAAAOEBAAATAAAAAAAAAAEAIAAAADgGAABbQ29u dGVudF9UeXBlc10ueG1sUEsBAhQACgAAAAAAh07iQAAAAAAAAAAAAAAAAAYAAAAAAAAAAAAQAAAA GgUAAF9yZWxzL1BLAQIUABQAAAAIAIdO4kCKFGY80QAAAJQBAAALAAAAAAAAAAEAIAAAAD4FAABf cmVscy8ucmVsc1BLAQIUAAoAAAAAAIdO4kAAAAAAAAAAAAAAAAAEAAAAAAAAAAAAEAAAAAAAAABk cnMvUEsBAhQAFAAAAAgAh07iQN/Dz8bVAAAABQEAAA8AAAAAAAAAAQAgAAAAIgAAAGRycy9kb3du cmV2LnhtbFBLAQIUABQAAAAIAIdO4kARhoS5ygMAADgNAAAOAAAAAAAAAAEAIAAAACQBAABkcnMv ZTJvRG9jLnhtbFBLBQYAAAAABgAGAFkBAABgBwAAAAA= ">
                <o:lock v:ext="edit" rotation="t" aspectratio="f"/>
                <v:line id="Line 5" o:spid="_x0000_s1026" o:spt="20" style="position:absolute;left:3724;top:5078;height:467;width:3;" filled="f" stroked="t" coordsize="21600,21600" o:gfxdata="UEsDBAoAAAAAAIdO4kAAAAAAAAAAAAAAAAAEAAAAZHJzL1BLAwQUAAAACACHTuJAB71mELcAAADa AAAADwAAAGRycy9kb3ducmV2LnhtbEVPzWoCMRC+F3yHMIK3mmwtYrdGD0LBgx6qfYBhM91sm0yW JP4+vREET8PH9zvz5dk7caSYusAaqrECQdwE03Gr4Wf/9ToDkTKyQReYNFwowXIxeJljbcKJv+m4 y60oIZxq1GBz7mspU2PJYxqHnrhwvyF6zAXGVpqIpxLunXxTaio9dlwaLPa0stT87w5ew+a9+tgq afvJzDiUf9cmuZi0Hg0r9Qki0zk/xQ/32pT5cH/lfuXiBlBLAwQUAAAACACHTuJAMy8FnjsAAAA5 AAAAEAAAAGRycy9zaGFwZXhtbC54bWyzsa/IzVEoSy0qzszPs1Uy1DNQUkjNS85PycxLt1UKDXHT tVBSKC5JzEtJzMnPS7VVqkwtVrK34+UCAFBLAwQKAAAAAACHTuJAAAAAAAAAAAAAAAAABgAAAF9y ZWxzL1BLAwQUAAAACACHTuJA1VwmKMwAAACPAQAACwAAAF9yZWxzLy5yZWxzpZCxagMxDIb3QN/B aO/5kqGUEF+2QtaQQldh6+5MzpaxzDV5+7iUQi9ky6BBv9D3Ce32lzCpmbJ4jgbWTQuKomXn42Dg 8/Tx+g5KCkaHE0cycCWBffey2h1pwlKXZPRJVKVEMTCWkrZaix0poDScKNZJzzlgqW0edEJ7xoH0 pm3fdP7PgG7BVAdnIB/cBtTpmqr5jh28zSzcl8Zy0Nz33j6iahkx0VeYKgbzQMWAy/Kb1tOaWqAf m9dPmh1/xyPNS/FPmGn+8+rFG7sbUEsDBBQAAAAIAIdO4kBa4xFm9wAAAOIBAAATAAAAW0NvbnRl bnRfVHlwZXNdLnhtbJWRTU/EIBCG7yb+BzJX01I9GGNK92D1qEbXHzCBaUu2BcJg3f330v24GNfE I8y8z/sE6tV2GsVMka13Cq7LCgQ57Y11vYKP9VNxB4ITOoOjd6RgRwyr5vKiXu8CschpxwqGlMK9 lKwHmpBLH8jlSefjhCkfYy8D6g32JG+q6lZq7xK5VKSFAU3dUoefYxKP23x9MIk0MoiHw+LSpQBD GK3GlE3l7MyPluLYUObkfocHG/gqa4D8tWGZnC845l7y00RrSLxiTM84ZQ1pIkvjv1ykufwbslhO XPius5rKNnKbY280n6zO0XnAQBn9X/z7kjvB5f6Hmm9QSwECFAAUAAAACACHTuJAWuMRZvcAAADi AQAAEwAAAAAAAAABACAAAACIAgAAW0NvbnRlbnRfVHlwZXNdLnhtbFBLAQIUAAoAAAAAAIdO4kAA AAAAAAAAAAAAAAAGAAAAAAAAAAAAEAAAAG8BAABfcmVscy9QSwECFAAUAAAACACHTuJA1VwmKMwA AACPAQAACwAAAAAAAAABACAAAACTAQAAX3JlbHMvLnJlbHNQSwECFAAKAAAAAACHTuJAAAAAAAAA AAAAAAAABAAAAAAAAAAAABAAAAAAAAAAZHJzL1BLAQIUABQAAAAIAIdO4kAHvWYQtwAAANoAAAAP AAAAAAAAAAEAIAAAACIAAABkcnMvZG93bnJldi54bWxQSwECFAAUAAAACACHTuJAMy8FnjsAAAA5 AAAAEAAAAAAAAAABACAAAAAGAQAAZHJzL3NoYXBleG1sLnhtbFBLBQYAAAAABgAGAFsBAACwAwAA AAA= ">
                  <v:fill on="f" focussize="0,0"/>
                  <v:stroke weight="3pt" color="#000000" joinstyle="round"/>
                  <v:imagedata o:title=""/>
                  <o:lock v:ext="edit" aspectratio="f"/>
                </v:line>
                <v:rect id="Rectangle 6" o:spid="_x0000_s1026" o:spt="1" style="position:absolute;left:3259;top:5393;height:932;width:935;" fillcolor="#000000" filled="t" stroked="t" coordsize="21600,21600" o:gfxdata="UEsDBAoAAAAAAIdO4kAAAAAAAAAAAAAAAAAEAAAAZHJzL1BLAwQUAAAACACHTuJAWt9wPrcAAADa AAAADwAAAGRycy9kb3ducmV2LnhtbEWPzQrCMBCE74LvEFbwIprag0g1CgqCeBGrD7A02x9sNqWJ tvr0RhA8DjPzDbPe9qYWT2pdZVnBfBaBIM6srrhQcLsepksQziNrrC2Tghc52G6GgzUm2nZ8oWfq CxEg7BJUUHrfJFK6rCSDbmYb4uDltjXog2wLqVvsAtzUMo6ihTRYcVgosaF9Sdk9fRgFu66r8vM7 5cmp2PWnGA9X9LVS49E8WoHw1Pt/+Nc+agUxfK+EGyA3H1BLAwQUAAAACACHTuJAMy8FnjsAAAA5 AAAAEAAAAGRycy9zaGFwZXhtbC54bWyzsa/IzVEoSy0qzszPs1Uy1DNQUkjNS85PycxLt1UKDXHT tVBSKC5JzEtJzMnPS7VVqkwtVrK34+UCAFBLAwQKAAAAAACHTuJAAAAAAAAAAAAAAAAABgAAAF9y ZWxzL1BLAwQUAAAACACHTuJA1VwmKMwAAACPAQAACwAAAF9yZWxzLy5yZWxzpZCxagMxDIb3QN/B aO/5kqGUEF+2QtaQQldh6+5MzpaxzDV5+7iUQi9ky6BBv9D3Ce32lzCpmbJ4jgbWTQuKomXn42Dg 8/Tx+g5KCkaHE0cycCWBffey2h1pwlKXZPRJVKVEMTCWkrZaix0poDScKNZJzzlgqW0edEJ7xoH0 pm3fdP7PgG7BVAdnIB/cBtTpmqr5jh28zSzcl8Zy0Nz33j6iahkx0VeYKgbzQMWAy/Kb1tOaWqAf m9dPmh1/xyPNS/FPmGn+8+rFG7sbUEsDBBQAAAAIAIdO4kBa4xFm9wAAAOIBAAATAAAAW0NvbnRl bnRfVHlwZXNdLnhtbJWRTU/EIBCG7yb+BzJX01I9GGNK92D1qEbXHzCBaUu2BcJg3f330v24GNfE I8y8z/sE6tV2GsVMka13Cq7LCgQ57Y11vYKP9VNxB4ITOoOjd6RgRwyr5vKiXu8CschpxwqGlMK9 lKwHmpBLH8jlSefjhCkfYy8D6g32JG+q6lZq7xK5VKSFAU3dUoefYxKP23x9MIk0MoiHw+LSpQBD GK3GlE3l7MyPluLYUObkfocHG/gqa4D8tWGZnC845l7y00RrSLxiTM84ZQ1pIkvjv1ykufwbslhO XPius5rKNnKbY280n6zO0XnAQBn9X/z7kjvB5f6Hmm9QSwECFAAUAAAACACHTuJAWuMRZvcAAADi AQAAEwAAAAAAAAABACAAAACIAgAAW0NvbnRlbnRfVHlwZXNdLnhtbFBLAQIUAAoAAAAAAIdO4kAA AAAAAAAAAAAAAAAGAAAAAAAAAAAAEAAAAG8BAABfcmVscy9QSwECFAAUAAAACACHTuJA1VwmKMwA AACPAQAACwAAAAAAAAABACAAAACTAQAAX3JlbHMvLnJlbHNQSwECFAAKAAAAAACHTuJAAAAAAAAA AAAAAAAABAAAAAAAAAAAABAAAAAAAAAAZHJzL1BLAQIUABQAAAAIAIdO4kBa33A+twAAANoAAAAP AAAAAAAAAAEAIAAAACIAAABkcnMvZG93bnJldi54bWxQSwECFAAUAAAACACHTuJAMy8FnjsAAAA5 AAAAEAAAAAAAAAABACAAAAAGAQAAZHJzL3NoYXBleG1sLnhtbFBLBQYAAAAABgAGAFsBAACwAwAA AAA= ">
                  <v:fill on="t" focussize="0,0"/>
                  <v:stroke color="#000000" joinstyle="miter"/>
                  <v:imagedata o:title=""/>
                  <o:lock v:ext="edit" aspectratio="t"/>
                </v:rect>
                <v:shape id="Oval 7" o:spid="_x0000_s1026" o:spt="3" type="#_x0000_t3" style="position:absolute;left:3304;top:5447;height:849;width:848;" fillcolor="#FFFF00" filled="t" stroked="t" coordsize="21600,21600" o:gfxdata="UEsDBAoAAAAAAIdO4kAAAAAAAAAAAAAAAAAEAAAAZHJzL1BLAwQUAAAACACHTuJAZst1MrsAAADa AAAADwAAAGRycy9kb3ducmV2LnhtbEWPzarCMBSE94LvEI7gTlMVilSjoKi4cHFv7QMcm2NbbE5q E3+f/uaC4HKYmW+Y+fJpanGn1lWWFYyGEQji3OqKCwXZcTuYgnAeWWNtmRS8yMFy0e3MMdH2wb90 T30hAoRdggpK75tESpeXZNANbUMcvLNtDfog20LqFh8Bbmo5jqJYGqw4LJTY0Lqk/JLejIK42f1M 02yzf+/cSV43k8MqPjml+r1RNAPh6em/4U97rxVM4P9KuAFy8QdQSwMEFAAAAAgAh07iQDMvBZ47 AAAAOQAAABAAAABkcnMvc2hhcGV4bWwueG1ss7GvyM1RKEstKs7Mz7NVMtQzUFJIzUvOT8nMS7dV Cg1x07VQUiguScxLSczJz0u1VapMLVayt+PlAgBQSwMECgAAAAAAh07iQAAAAAAAAAAAAAAAAAYA AABfcmVscy9QSwMEFAAAAAgAh07iQNVcJijMAAAAjwEAAAsAAABfcmVscy8ucmVsc6WQsWoDMQyG 90DfwWjv+ZKhlBBftkLWkEJXYevuTM6Wscw1efu4lEIvZMugQb/Q9wnt9pcwqZmyeI4G1k0LiqJl 5+Ng4PP08foOSgpGhxNHMnAlgX33stodacJSl2T0SVSlRDEwlpK2WosdKaA0nCjWSc85YKltHnRC e8aB9KZt33T+z4BuwVQHZyAf3AbU6Zqq+Y4dvM0s3JfGctDc994+omoZMdFXmCoG80DFgMvym9bT mlqgH5vXT5odf8cjzUvxT5hp/vPqxRu7G1BLAwQUAAAACACHTuJAWuMRZvcAAADiAQAAEwAAAFtD b250ZW50X1R5cGVzXS54bWyVkU1PxCAQhu8m/gcyV9NSPRhjSvdg9ahG1x8wgWlLtgXCYN3999L9 uBjXxCPMvM/7BOrVdhrFTJGtdwquywoEOe2Ndb2Cj/VTcQeCEzqDo3ekYEcMq+byol7vArHIaccK hpTCvZSsB5qQSx/I5Unn44QpH2MvA+oN9iRvqupWau8SuVSkhQFN3VKHn2MSj9t8fTCJNDKIh8Pi 0qUAQxitxpRN5ezMj5bi2FDm5H6HBxv4KmuA/LVhmZwvOOZe8tNEa0i8YkzPOGUNaSJL479cpLn8 G7JYTlz4rrOayjZym2NvNJ+sztF5wEAZ/V/8+5I7weX+h5pvUEsBAhQAFAAAAAgAh07iQFrjEWb3 AAAA4gEAABMAAAAAAAAAAQAgAAAAjAIAAFtDb250ZW50X1R5cGVzXS54bWxQSwECFAAKAAAAAACH TuJAAAAAAAAAAAAAAAAABgAAAAAAAAAAABAAAABzAQAAX3JlbHMvUEsBAhQAFAAAAAgAh07iQNVc JijMAAAAjwEAAAsAAAAAAAAAAQAgAAAAlwEAAF9yZWxzLy5yZWxzUEsBAhQACgAAAAAAh07iQAAA AAAAAAAAAAAAAAQAAAAAAAAAAAAQAAAAAAAAAGRycy9QSwECFAAUAAAACACHTuJAZst1MrsAAADa AAAADwAAAAAAAAABACAAAAAiAAAAZHJzL2Rvd25yZXYueG1sUEsBAhQAFAAAAAgAh07iQDMvBZ47 AAAAOQAAABAAAAAAAAAAAQAgAAAACgEAAGRycy9zaGFwZXhtbC54bWxQSwUGAAAAAAYABgBbAQAA tAMAAAAA ">
                  <v:fill on="t" focussize="0,0"/>
                  <v:stroke weight="2.25pt" color="#808080" joinstyle="round"/>
                  <v:imagedata o:title=""/>
                  <o:lock v:ext="edit" aspectratio="t"/>
                </v:shape>
                <v:shape id="AutoShape 8" o:spid="_x0000_s1026" o:spt="7" alt="轮廓式菱形" type="#_x0000_t7" style="position:absolute;left:3154;top:4625;height:510;width:1361;" fillcolor="#C0C0C0" filled="t" stroked="t" coordsize="21600,21600" o:gfxdata="UEsDBAoAAAAAAIdO4kAAAAAAAAAAAAAAAAAEAAAAZHJzL1BLAwQUAAAACACHTuJA1Bj1yLsAAADa AAAADwAAAGRycy9kb3ducmV2LnhtbEWPQYvCMBSE74L/ITzBm6aVrkjX6GFB8aDLWj14fDRvm7LN S2mi1X9vBGGPw8x8wyzXd9uIG3W+dqwgnSYgiEuna64UnE+byQKED8gaG8ek4EEe1qvhYIm5dj0f 6VaESkQI+xwVmBDaXEpfGrLop64ljt6v6yyGKLtK6g77CLeNnCXJXFqsOS4YbOnLUPlXXK0Crkz2 Xab+x2SX/nQIH7PFfrtVajxKk08Qge7hP/xu77SCDF5X4g2QqydQSwMEFAAAAAgAh07iQDMvBZ47 AAAAOQAAABAAAABkcnMvc2hhcGV4bWwueG1ss7GvyM1RKEstKs7Mz7NVMtQzUFJIzUvOT8nMS7dV Cg1x07VQUiguScxLSczJz0u1VapMLVayt+PlAgBQSwMECgAAAAAAh07iQAAAAAAAAAAAAAAAAAYA AABfcmVscy9QSwMEFAAAAAgAh07iQNVcJijMAAAAjwEAAAsAAABfcmVscy8ucmVsc6WQsWoDMQyG 90DfwWjv+ZKhlBBftkLWkEJXYevuTM6Wscw1efu4lEIvZMugQb/Q9wnt9pcwqZmyeI4G1k0LiqJl 5+Ng4PP08foOSgpGhxNHMnAlgX33stodacJSl2T0SVSlRDEwlpK2WosdKaA0nCjWSc85YKltHnRC e8aB9KZt33T+z4BuwVQHZyAf3AbU6Zqq+Y4dvM0s3JfGctDc994+omoZMdFXmCoG80DFgMvym9bT mlqgH5vXT5odf8cjzUvxT5hp/vPqxRu7G1BLAwQUAAAACACHTuJAWuMRZvcAAADiAQAAEwAAAFtD b250ZW50X1R5cGVzXS54bWyVkU1PxCAQhu8m/gcyV9NSPRhjSvdg9ahG1x8wgWlLtgXCYN3999L9 uBjXxCPMvM/7BOrVdhrFTJGtdwquywoEOe2Ndb2Cj/VTcQeCEzqDo3ekYEcMq+byol7vArHIaccK hpTCvZSsB5qQSx/I5Unn44QpH2MvA+oN9iRvqupWau8SuVSkhQFN3VKHn2MSj9t8fTCJNDKIh8Pi 0qUAQxitxpRN5ezMj5bi2FDm5H6HBxv4KmuA/LVhmZwvOOZe8tNEa0i8YkzPOGUNaSJL479cpLn8 G7JYTlz4rrOayjZym2NvNJ+sztF5wEAZ/V/8+5I7weX+h5pvUEsBAhQAFAAAAAgAh07iQFrjEWb3 AAAA4gEAABMAAAAAAAAAAQAgAAAAjAIAAFtDb250ZW50X1R5cGVzXS54bWxQSwECFAAKAAAAAACH TuJAAAAAAAAAAAAAAAAABgAAAAAAAAAAABAAAABzAQAAX3JlbHMvUEsBAhQAFAAAAAgAh07iQNVc JijMAAAAjwEAAAsAAAAAAAAAAQAgAAAAlwEAAF9yZWxzLy5yZWxzUEsBAhQACgAAAAAAh07iQAAA AAAAAAAAAAAAAAQAAAAAAAAAAAAQAAAAAAAAAGRycy9QSwECFAAUAAAACACHTuJA1Bj1yLsAAADa AAAADwAAAAAAAAABACAAAAAiAAAAZHJzL2Rvd25yZXYueG1sUEsBAhQAFAAAAAgAh07iQDMvBZ47 AAAAOQAAABAAAAAAAAAAAQAgAAAACgEAAGRycy9zaGFwZXhtbC54bWxQSwUGAAAAAAYABgBbAQAA tAMAAAAA " adj="5400">
                  <v:fill type="pattern" on="t" color2="#333399" o:title="轮廓式菱形" focussize="0,0" r:id="rId40"/>
                  <v:stroke weight="0.5pt" color="#969696" joinstyle="miter"/>
                  <v:imagedata o:title=""/>
                  <o:lock v:ext="edit" aspectratio="t"/>
                </v:shape>
                <w10:wrap type="none"/>
                <w10:anchorlock/>
              </v:group>
            </w:pict>
          </mc:Fallback>
        </mc:AlternateContent>
      </w:r>
    </w:p>
    <w:p>
      <w:pPr>
        <w:jc w:val="center"/>
        <w:rPr>
          <w:rFonts w:ascii="宋体" w:hAnsi="宋体"/>
          <w:szCs w:val="21"/>
        </w:rPr>
      </w:pPr>
      <w:r>
        <w:rPr>
          <w:rFonts w:hint="eastAsia" w:ascii="宋体" w:hAnsi="宋体"/>
          <w:szCs w:val="21"/>
        </w:rPr>
        <w:t>400铝壳黄闪灯</w:t>
      </w:r>
    </w:p>
    <w:p>
      <w:pPr>
        <w:jc w:val="center"/>
        <w:rPr>
          <w:rFonts w:hint="eastAsia" w:ascii="宋体" w:hAnsi="宋体"/>
          <w:szCs w:val="21"/>
        </w:rPr>
      </w:pPr>
    </w:p>
    <w:p>
      <w:pPr>
        <w:ind w:firstLine="420" w:firstLineChars="200"/>
        <w:rPr>
          <w:rFonts w:hint="eastAsia" w:ascii="宋体" w:hAnsi="宋体"/>
          <w:szCs w:val="21"/>
        </w:rPr>
      </w:pPr>
      <w:r>
        <w:rPr>
          <w:rFonts w:hint="eastAsia" w:ascii="宋体" w:hAnsi="宋体"/>
          <w:szCs w:val="21"/>
        </w:rPr>
        <w:t>产品参数：</w:t>
      </w:r>
    </w:p>
    <w:p>
      <w:pPr>
        <w:ind w:firstLine="420" w:firstLineChars="200"/>
        <w:rPr>
          <w:rFonts w:hint="eastAsia" w:ascii="宋体" w:hAnsi="宋体"/>
          <w:szCs w:val="21"/>
        </w:rPr>
      </w:pPr>
      <w:r>
        <w:rPr>
          <w:rFonts w:hint="eastAsia" w:ascii="宋体" w:hAnsi="宋体"/>
          <w:szCs w:val="21"/>
        </w:rPr>
        <w:t>·产品尺寸</w:t>
      </w:r>
      <w:r>
        <w:rPr>
          <w:rFonts w:hint="eastAsia" w:ascii="宋体" w:hAnsi="宋体"/>
          <w:szCs w:val="21"/>
        </w:rPr>
        <w:tab/>
      </w:r>
      <w:r>
        <w:rPr>
          <w:rFonts w:hint="eastAsia" w:ascii="宋体" w:hAnsi="宋体"/>
          <w:szCs w:val="21"/>
        </w:rPr>
        <w:tab/>
      </w:r>
      <w:r>
        <w:rPr>
          <w:rFonts w:hint="eastAsia" w:ascii="宋体" w:hAnsi="宋体"/>
          <w:szCs w:val="21"/>
        </w:rPr>
        <w:t>460mm×460mm×180mm</w:t>
      </w:r>
    </w:p>
    <w:p>
      <w:pPr>
        <w:ind w:firstLine="420" w:firstLineChars="200"/>
        <w:rPr>
          <w:rFonts w:hint="eastAsia" w:ascii="宋体" w:hAnsi="宋体"/>
          <w:szCs w:val="21"/>
        </w:rPr>
      </w:pPr>
      <w:r>
        <w:rPr>
          <w:rFonts w:hint="eastAsia" w:ascii="宋体" w:hAnsi="宋体"/>
          <w:szCs w:val="21"/>
        </w:rPr>
        <w:t>·面罩规格</w:t>
      </w:r>
      <w:r>
        <w:rPr>
          <w:rFonts w:hint="eastAsia" w:ascii="宋体" w:hAnsi="宋体"/>
          <w:szCs w:val="21"/>
        </w:rPr>
        <w:tab/>
      </w:r>
      <w:r>
        <w:rPr>
          <w:rFonts w:hint="eastAsia" w:ascii="宋体" w:hAnsi="宋体"/>
          <w:szCs w:val="21"/>
        </w:rPr>
        <w:tab/>
      </w:r>
      <w:r>
        <w:rPr>
          <w:rFonts w:hint="eastAsia" w:ascii="宋体" w:hAnsi="宋体"/>
          <w:szCs w:val="21"/>
        </w:rPr>
        <w:t>Φ400mm</w:t>
      </w:r>
    </w:p>
    <w:p>
      <w:pPr>
        <w:ind w:firstLine="420" w:firstLineChars="200"/>
        <w:rPr>
          <w:rFonts w:hint="eastAsia" w:ascii="宋体" w:hAnsi="宋体"/>
          <w:szCs w:val="21"/>
        </w:rPr>
      </w:pPr>
      <w:r>
        <w:rPr>
          <w:rFonts w:hint="eastAsia" w:ascii="宋体" w:hAnsi="宋体"/>
          <w:szCs w:val="21"/>
        </w:rPr>
        <w:t>·面罩材质</w:t>
      </w:r>
      <w:r>
        <w:rPr>
          <w:rFonts w:hint="eastAsia" w:ascii="宋体" w:hAnsi="宋体"/>
          <w:szCs w:val="21"/>
        </w:rPr>
        <w:tab/>
      </w:r>
      <w:r>
        <w:rPr>
          <w:rFonts w:hint="eastAsia" w:ascii="宋体" w:hAnsi="宋体"/>
          <w:szCs w:val="21"/>
        </w:rPr>
        <w:tab/>
      </w:r>
      <w:r>
        <w:rPr>
          <w:rFonts w:hint="eastAsia" w:ascii="宋体" w:hAnsi="宋体"/>
          <w:szCs w:val="21"/>
        </w:rPr>
        <w:t>玻璃</w:t>
      </w:r>
    </w:p>
    <w:p>
      <w:pPr>
        <w:ind w:firstLine="420" w:firstLineChars="200"/>
        <w:rPr>
          <w:rFonts w:hint="eastAsia" w:ascii="宋体" w:hAnsi="宋体"/>
          <w:szCs w:val="21"/>
        </w:rPr>
      </w:pPr>
      <w:r>
        <w:rPr>
          <w:rFonts w:hint="eastAsia" w:ascii="宋体" w:hAnsi="宋体"/>
          <w:szCs w:val="21"/>
        </w:rPr>
        <w:t>·遮沿帽檐</w:t>
      </w:r>
      <w:r>
        <w:rPr>
          <w:rFonts w:hint="eastAsia" w:ascii="宋体" w:hAnsi="宋体"/>
          <w:szCs w:val="21"/>
        </w:rPr>
        <w:tab/>
      </w:r>
      <w:r>
        <w:rPr>
          <w:rFonts w:hint="eastAsia" w:ascii="宋体" w:hAnsi="宋体"/>
          <w:szCs w:val="21"/>
        </w:rPr>
        <w:tab/>
      </w:r>
      <w:r>
        <w:rPr>
          <w:rFonts w:hint="eastAsia" w:ascii="宋体" w:hAnsi="宋体"/>
          <w:szCs w:val="21"/>
        </w:rPr>
        <w:t>400帽檐长度40cm，0.45镀锌板黑色喷塑，接受下单时定制</w:t>
      </w:r>
    </w:p>
    <w:p>
      <w:pPr>
        <w:ind w:firstLine="420" w:firstLineChars="200"/>
        <w:rPr>
          <w:rFonts w:hint="eastAsia" w:ascii="宋体" w:hAnsi="宋体"/>
          <w:szCs w:val="21"/>
        </w:rPr>
      </w:pPr>
      <w:r>
        <w:rPr>
          <w:rFonts w:hint="eastAsia" w:ascii="宋体" w:hAnsi="宋体"/>
          <w:szCs w:val="21"/>
        </w:rPr>
        <w:t>·工作电压</w:t>
      </w:r>
      <w:r>
        <w:rPr>
          <w:rFonts w:hint="eastAsia" w:ascii="宋体" w:hAnsi="宋体"/>
          <w:szCs w:val="21"/>
        </w:rPr>
        <w:tab/>
      </w:r>
      <w:r>
        <w:rPr>
          <w:rFonts w:hint="eastAsia" w:ascii="宋体" w:hAnsi="宋体"/>
          <w:szCs w:val="21"/>
        </w:rPr>
        <w:tab/>
      </w:r>
      <w:r>
        <w:rPr>
          <w:rFonts w:hint="eastAsia" w:ascii="宋体" w:hAnsi="宋体"/>
          <w:szCs w:val="21"/>
        </w:rPr>
        <w:t>DC12V</w:t>
      </w:r>
    </w:p>
    <w:p>
      <w:pPr>
        <w:ind w:firstLine="420" w:firstLineChars="200"/>
        <w:rPr>
          <w:rFonts w:hint="eastAsia" w:ascii="宋体" w:hAnsi="宋体"/>
          <w:szCs w:val="21"/>
        </w:rPr>
      </w:pPr>
      <w:r>
        <w:rPr>
          <w:rFonts w:hint="eastAsia" w:ascii="宋体" w:hAnsi="宋体"/>
          <w:szCs w:val="21"/>
        </w:rPr>
        <w:t>·平均功率</w:t>
      </w:r>
      <w:r>
        <w:rPr>
          <w:rFonts w:hint="eastAsia" w:ascii="宋体" w:hAnsi="宋体"/>
          <w:szCs w:val="21"/>
        </w:rPr>
        <w:tab/>
      </w:r>
      <w:r>
        <w:rPr>
          <w:rFonts w:hint="eastAsia" w:ascii="宋体" w:hAnsi="宋体"/>
          <w:szCs w:val="21"/>
        </w:rPr>
        <w:tab/>
      </w:r>
      <w:r>
        <w:rPr>
          <w:rFonts w:hint="eastAsia" w:ascii="宋体" w:hAnsi="宋体"/>
          <w:szCs w:val="21"/>
        </w:rPr>
        <w:t>≤1W</w:t>
      </w:r>
    </w:p>
    <w:p>
      <w:pPr>
        <w:ind w:firstLine="420" w:firstLineChars="200"/>
        <w:rPr>
          <w:rFonts w:hint="eastAsia" w:ascii="宋体" w:hAnsi="宋体"/>
          <w:szCs w:val="21"/>
        </w:rPr>
      </w:pPr>
      <w:r>
        <w:rPr>
          <w:rFonts w:hint="eastAsia" w:ascii="宋体" w:hAnsi="宋体"/>
          <w:szCs w:val="21"/>
        </w:rPr>
        <w:t>·绝缘电阻</w:t>
      </w:r>
      <w:r>
        <w:rPr>
          <w:rFonts w:hint="eastAsia" w:ascii="宋体" w:hAnsi="宋体"/>
          <w:szCs w:val="21"/>
        </w:rPr>
        <w:tab/>
      </w:r>
      <w:r>
        <w:rPr>
          <w:rFonts w:hint="eastAsia" w:ascii="宋体" w:hAnsi="宋体"/>
          <w:szCs w:val="21"/>
        </w:rPr>
        <w:tab/>
      </w:r>
      <w:r>
        <w:rPr>
          <w:rFonts w:hint="eastAsia" w:ascii="宋体" w:hAnsi="宋体"/>
          <w:szCs w:val="21"/>
        </w:rPr>
        <w:t>≥500MΩ  介电强度</w:t>
      </w:r>
      <w:r>
        <w:rPr>
          <w:rFonts w:hint="eastAsia" w:ascii="宋体" w:hAnsi="宋体"/>
          <w:szCs w:val="21"/>
        </w:rPr>
        <w:tab/>
      </w:r>
      <w:r>
        <w:rPr>
          <w:rFonts w:hint="eastAsia" w:ascii="宋体" w:hAnsi="宋体"/>
          <w:szCs w:val="21"/>
        </w:rPr>
        <w:tab/>
      </w:r>
      <w:r>
        <w:rPr>
          <w:rFonts w:hint="eastAsia" w:ascii="宋体" w:hAnsi="宋体"/>
          <w:szCs w:val="21"/>
        </w:rPr>
        <w:t>≥1440V</w:t>
      </w:r>
    </w:p>
    <w:p>
      <w:pPr>
        <w:ind w:firstLine="420" w:firstLineChars="200"/>
        <w:rPr>
          <w:rFonts w:hint="eastAsia" w:ascii="宋体" w:hAnsi="宋体"/>
          <w:szCs w:val="21"/>
        </w:rPr>
      </w:pPr>
      <w:r>
        <w:rPr>
          <w:rFonts w:hint="eastAsia" w:ascii="宋体" w:hAnsi="宋体"/>
          <w:szCs w:val="21"/>
        </w:rPr>
        <w:t>·中心光强</w:t>
      </w:r>
      <w:r>
        <w:rPr>
          <w:rFonts w:hint="eastAsia" w:ascii="宋体" w:hAnsi="宋体"/>
          <w:szCs w:val="21"/>
        </w:rPr>
        <w:tab/>
      </w:r>
      <w:r>
        <w:rPr>
          <w:rFonts w:hint="eastAsia" w:ascii="宋体" w:hAnsi="宋体"/>
          <w:szCs w:val="21"/>
        </w:rPr>
        <w:tab/>
      </w:r>
      <w:r>
        <w:rPr>
          <w:rFonts w:hint="eastAsia" w:ascii="宋体" w:hAnsi="宋体"/>
          <w:szCs w:val="21"/>
        </w:rPr>
        <w:t>~ 400cd</w:t>
      </w:r>
    </w:p>
    <w:p>
      <w:pPr>
        <w:ind w:firstLine="420" w:firstLineChars="200"/>
        <w:rPr>
          <w:rFonts w:hint="eastAsia" w:ascii="宋体" w:hAnsi="宋体"/>
          <w:szCs w:val="21"/>
        </w:rPr>
      </w:pPr>
      <w:r>
        <w:rPr>
          <w:rFonts w:hint="eastAsia" w:ascii="宋体" w:hAnsi="宋体"/>
          <w:szCs w:val="21"/>
        </w:rPr>
        <w:t>·LED直径</w:t>
      </w:r>
      <w:r>
        <w:rPr>
          <w:rFonts w:hint="eastAsia" w:ascii="宋体" w:hAnsi="宋体"/>
          <w:szCs w:val="21"/>
        </w:rPr>
        <w:tab/>
      </w:r>
      <w:r>
        <w:rPr>
          <w:rFonts w:hint="eastAsia" w:ascii="宋体" w:hAnsi="宋体"/>
          <w:szCs w:val="21"/>
        </w:rPr>
        <w:tab/>
      </w:r>
      <w:r>
        <w:rPr>
          <w:rFonts w:hint="eastAsia" w:ascii="宋体" w:hAnsi="宋体"/>
          <w:szCs w:val="21"/>
        </w:rPr>
        <w:t>Φ5mm 单管电流 &lt; 18mA</w:t>
      </w:r>
    </w:p>
    <w:p>
      <w:pPr>
        <w:ind w:firstLine="420" w:firstLineChars="200"/>
        <w:rPr>
          <w:rFonts w:hint="eastAsia" w:ascii="宋体" w:hAnsi="宋体"/>
          <w:szCs w:val="21"/>
        </w:rPr>
      </w:pPr>
      <w:r>
        <w:rPr>
          <w:rFonts w:hint="eastAsia" w:ascii="宋体" w:hAnsi="宋体"/>
          <w:szCs w:val="21"/>
        </w:rPr>
        <w:t>·LED寿命</w:t>
      </w:r>
      <w:r>
        <w:rPr>
          <w:rFonts w:hint="eastAsia" w:ascii="宋体" w:hAnsi="宋体"/>
          <w:szCs w:val="21"/>
        </w:rPr>
        <w:tab/>
      </w:r>
      <w:r>
        <w:rPr>
          <w:rFonts w:hint="eastAsia" w:ascii="宋体" w:hAnsi="宋体"/>
          <w:szCs w:val="21"/>
        </w:rPr>
        <w:tab/>
      </w:r>
      <w:r>
        <w:rPr>
          <w:rFonts w:hint="eastAsia" w:ascii="宋体" w:hAnsi="宋体"/>
          <w:szCs w:val="21"/>
        </w:rPr>
        <w:t>≥70000小时</w:t>
      </w:r>
    </w:p>
    <w:p>
      <w:pPr>
        <w:ind w:firstLine="420" w:firstLineChars="200"/>
        <w:rPr>
          <w:rFonts w:hint="eastAsia" w:ascii="宋体" w:hAnsi="宋体"/>
          <w:szCs w:val="21"/>
        </w:rPr>
      </w:pPr>
      <w:r>
        <w:rPr>
          <w:rFonts w:hint="eastAsia" w:ascii="宋体" w:hAnsi="宋体"/>
          <w:szCs w:val="21"/>
        </w:rPr>
        <w:t>·LED波长</w:t>
      </w:r>
      <w:r>
        <w:rPr>
          <w:rFonts w:hint="eastAsia" w:ascii="宋体" w:hAnsi="宋体"/>
          <w:szCs w:val="21"/>
        </w:rPr>
        <w:tab/>
      </w:r>
      <w:r>
        <w:rPr>
          <w:rFonts w:hint="eastAsia" w:ascii="宋体" w:hAnsi="宋体"/>
          <w:szCs w:val="21"/>
        </w:rPr>
        <w:tab/>
      </w:r>
      <w:r>
        <w:rPr>
          <w:rFonts w:hint="eastAsia" w:ascii="宋体" w:hAnsi="宋体"/>
          <w:szCs w:val="21"/>
        </w:rPr>
        <w:t>黄：590nm</w:t>
      </w:r>
    </w:p>
    <w:p>
      <w:pPr>
        <w:ind w:firstLine="420" w:firstLineChars="200"/>
        <w:rPr>
          <w:rFonts w:hint="eastAsia" w:ascii="宋体" w:hAnsi="宋体"/>
          <w:szCs w:val="21"/>
        </w:rPr>
      </w:pPr>
      <w:r>
        <w:rPr>
          <w:rFonts w:hint="eastAsia" w:ascii="宋体" w:hAnsi="宋体"/>
          <w:szCs w:val="21"/>
        </w:rPr>
        <w:t>·可视距离</w:t>
      </w:r>
      <w:r>
        <w:rPr>
          <w:rFonts w:hint="eastAsia" w:ascii="宋体" w:hAnsi="宋体"/>
          <w:szCs w:val="21"/>
        </w:rPr>
        <w:tab/>
      </w:r>
      <w:r>
        <w:rPr>
          <w:rFonts w:hint="eastAsia" w:ascii="宋体" w:hAnsi="宋体"/>
          <w:szCs w:val="21"/>
        </w:rPr>
        <w:tab/>
      </w:r>
      <w:r>
        <w:rPr>
          <w:rFonts w:hint="eastAsia" w:ascii="宋体" w:hAnsi="宋体"/>
          <w:szCs w:val="21"/>
        </w:rPr>
        <w:t>&gt;300m 可视角度 &gt;30°</w:t>
      </w:r>
    </w:p>
    <w:p>
      <w:pPr>
        <w:ind w:firstLine="420" w:firstLineChars="200"/>
        <w:rPr>
          <w:rFonts w:hint="eastAsia" w:ascii="宋体" w:hAnsi="宋体"/>
          <w:szCs w:val="21"/>
        </w:rPr>
      </w:pPr>
      <w:r>
        <w:rPr>
          <w:rFonts w:hint="eastAsia" w:ascii="宋体" w:hAnsi="宋体"/>
          <w:szCs w:val="21"/>
        </w:rPr>
        <w:t>·闪光频率</w:t>
      </w:r>
      <w:r>
        <w:rPr>
          <w:rFonts w:hint="eastAsia" w:ascii="宋体" w:hAnsi="宋体"/>
          <w:szCs w:val="21"/>
        </w:rPr>
        <w:tab/>
      </w:r>
      <w:r>
        <w:rPr>
          <w:rFonts w:hint="eastAsia" w:ascii="宋体" w:hAnsi="宋体"/>
          <w:szCs w:val="21"/>
        </w:rPr>
        <w:tab/>
      </w:r>
      <w:r>
        <w:rPr>
          <w:rFonts w:ascii="宋体" w:hAnsi="宋体"/>
          <w:szCs w:val="21"/>
        </w:rPr>
        <w:t>40</w:t>
      </w:r>
      <w:r>
        <w:rPr>
          <w:rFonts w:hint="eastAsia" w:ascii="宋体" w:hAnsi="宋体"/>
          <w:szCs w:val="21"/>
        </w:rPr>
        <w:t>～50 次/分钟</w:t>
      </w:r>
      <w:r>
        <w:rPr>
          <w:rFonts w:hint="eastAsia" w:ascii="宋体" w:hAnsi="宋体"/>
          <w:szCs w:val="21"/>
        </w:rPr>
        <w:tab/>
      </w:r>
      <w:r>
        <w:rPr>
          <w:rFonts w:hint="eastAsia" w:ascii="宋体" w:hAnsi="宋体"/>
          <w:szCs w:val="21"/>
        </w:rPr>
        <w:tab/>
      </w:r>
      <w:r>
        <w:rPr>
          <w:rFonts w:hint="eastAsia" w:ascii="宋体" w:hAnsi="宋体"/>
          <w:szCs w:val="21"/>
        </w:rPr>
        <w:t>占空比</w:t>
      </w:r>
      <w:r>
        <w:rPr>
          <w:rFonts w:hint="eastAsia" w:ascii="宋体" w:hAnsi="宋体"/>
          <w:szCs w:val="21"/>
        </w:rPr>
        <w:tab/>
      </w:r>
      <w:r>
        <w:rPr>
          <w:rFonts w:hint="eastAsia" w:ascii="宋体" w:hAnsi="宋体"/>
          <w:szCs w:val="21"/>
        </w:rPr>
        <w:tab/>
      </w:r>
      <w:r>
        <w:rPr>
          <w:rFonts w:hint="eastAsia" w:ascii="宋体" w:hAnsi="宋体"/>
          <w:szCs w:val="21"/>
        </w:rPr>
        <w:t>1/5~1/3</w:t>
      </w:r>
    </w:p>
    <w:p>
      <w:pPr>
        <w:ind w:firstLine="420" w:firstLineChars="200"/>
        <w:rPr>
          <w:rFonts w:hint="eastAsia" w:ascii="宋体" w:hAnsi="宋体"/>
          <w:szCs w:val="21"/>
        </w:rPr>
      </w:pPr>
      <w:r>
        <w:rPr>
          <w:rFonts w:hint="eastAsia" w:ascii="宋体" w:hAnsi="宋体"/>
          <w:szCs w:val="21"/>
        </w:rPr>
        <w:t>·工作方式</w:t>
      </w:r>
      <w:r>
        <w:rPr>
          <w:rFonts w:hint="eastAsia" w:ascii="宋体" w:hAnsi="宋体"/>
          <w:szCs w:val="21"/>
        </w:rPr>
        <w:tab/>
      </w:r>
      <w:r>
        <w:rPr>
          <w:rFonts w:hint="eastAsia" w:ascii="宋体" w:hAnsi="宋体"/>
          <w:szCs w:val="21"/>
        </w:rPr>
        <w:tab/>
      </w:r>
      <w:r>
        <w:rPr>
          <w:rFonts w:hint="eastAsia" w:ascii="宋体" w:hAnsi="宋体"/>
          <w:szCs w:val="21"/>
        </w:rPr>
        <w:t>全天候，夜间降光，电池保护</w:t>
      </w:r>
    </w:p>
    <w:p>
      <w:pPr>
        <w:ind w:firstLine="420" w:firstLineChars="200"/>
        <w:rPr>
          <w:rFonts w:hint="eastAsia" w:ascii="宋体" w:hAnsi="宋体"/>
          <w:szCs w:val="21"/>
        </w:rPr>
      </w:pPr>
      <w:r>
        <w:rPr>
          <w:rFonts w:hint="eastAsia" w:ascii="宋体" w:hAnsi="宋体"/>
          <w:szCs w:val="21"/>
        </w:rPr>
        <w:t>·太阳能板</w:t>
      </w:r>
      <w:r>
        <w:rPr>
          <w:rFonts w:hint="eastAsia" w:ascii="宋体" w:hAnsi="宋体"/>
          <w:szCs w:val="21"/>
        </w:rPr>
        <w:tab/>
      </w:r>
      <w:r>
        <w:rPr>
          <w:rFonts w:hint="eastAsia" w:ascii="宋体" w:hAnsi="宋体"/>
          <w:szCs w:val="21"/>
        </w:rPr>
        <w:tab/>
      </w:r>
      <w:r>
        <w:rPr>
          <w:rFonts w:hint="eastAsia" w:ascii="宋体" w:hAnsi="宋体"/>
          <w:szCs w:val="21"/>
        </w:rPr>
        <w:t>10W</w:t>
      </w:r>
      <w:r>
        <w:rPr>
          <w:rFonts w:hint="eastAsia" w:ascii="宋体" w:hAnsi="宋体"/>
          <w:szCs w:val="21"/>
        </w:rPr>
        <w:tab/>
      </w:r>
      <w:r>
        <w:rPr>
          <w:rFonts w:hint="eastAsia" w:ascii="宋体" w:hAnsi="宋体"/>
          <w:szCs w:val="21"/>
        </w:rPr>
        <w:t>蓄电池</w:t>
      </w:r>
      <w:r>
        <w:rPr>
          <w:rFonts w:hint="eastAsia" w:ascii="宋体" w:hAnsi="宋体"/>
          <w:szCs w:val="21"/>
        </w:rPr>
        <w:tab/>
      </w:r>
      <w:r>
        <w:rPr>
          <w:rFonts w:hint="eastAsia" w:ascii="宋体" w:hAnsi="宋体"/>
          <w:szCs w:val="21"/>
        </w:rPr>
        <w:t>12V8Ah</w:t>
      </w:r>
    </w:p>
    <w:p>
      <w:pPr>
        <w:ind w:firstLine="420" w:firstLineChars="200"/>
        <w:rPr>
          <w:rFonts w:hint="eastAsia" w:ascii="宋体" w:hAnsi="宋体"/>
          <w:szCs w:val="21"/>
        </w:rPr>
      </w:pPr>
      <w:r>
        <w:rPr>
          <w:rFonts w:hint="eastAsia" w:ascii="宋体" w:hAnsi="宋体"/>
          <w:szCs w:val="21"/>
        </w:rPr>
        <w:t>·使用时长</w:t>
      </w:r>
      <w:r>
        <w:rPr>
          <w:rFonts w:hint="eastAsia" w:ascii="宋体" w:hAnsi="宋体"/>
          <w:szCs w:val="21"/>
        </w:rPr>
        <w:tab/>
      </w:r>
      <w:r>
        <w:rPr>
          <w:rFonts w:hint="eastAsia" w:ascii="宋体" w:hAnsi="宋体"/>
          <w:szCs w:val="21"/>
        </w:rPr>
        <w:tab/>
      </w:r>
      <w:r>
        <w:rPr>
          <w:rFonts w:hint="eastAsia" w:ascii="宋体" w:hAnsi="宋体"/>
          <w:szCs w:val="21"/>
        </w:rPr>
        <w:t>充满电后连续15个阴雨日工作</w:t>
      </w:r>
    </w:p>
    <w:p>
      <w:pPr>
        <w:ind w:firstLine="420" w:firstLineChars="200"/>
        <w:rPr>
          <w:rFonts w:hint="eastAsia" w:ascii="宋体" w:hAnsi="宋体"/>
          <w:szCs w:val="21"/>
        </w:rPr>
      </w:pPr>
      <w:r>
        <w:rPr>
          <w:rFonts w:hint="eastAsia" w:ascii="宋体" w:hAnsi="宋体"/>
          <w:szCs w:val="21"/>
        </w:rPr>
        <w:t>·工作温度</w:t>
      </w:r>
      <w:r>
        <w:rPr>
          <w:rFonts w:hint="eastAsia" w:ascii="宋体" w:hAnsi="宋体"/>
          <w:szCs w:val="21"/>
        </w:rPr>
        <w:tab/>
      </w:r>
      <w:r>
        <w:rPr>
          <w:rFonts w:hint="eastAsia" w:ascii="宋体" w:hAnsi="宋体"/>
          <w:szCs w:val="21"/>
        </w:rPr>
        <w:tab/>
      </w:r>
      <w:r>
        <w:rPr>
          <w:rFonts w:hint="eastAsia" w:ascii="宋体" w:hAnsi="宋体"/>
          <w:szCs w:val="21"/>
        </w:rPr>
        <w:t>-40~+85℃ 相对湿度 ≤93%</w:t>
      </w:r>
    </w:p>
    <w:p>
      <w:pPr>
        <w:ind w:firstLine="420" w:firstLineChars="200"/>
        <w:rPr>
          <w:rFonts w:hint="eastAsia" w:ascii="宋体" w:hAnsi="宋体"/>
          <w:szCs w:val="21"/>
        </w:rPr>
      </w:pPr>
      <w:r>
        <w:rPr>
          <w:rFonts w:hint="eastAsia" w:ascii="宋体" w:hAnsi="宋体"/>
          <w:szCs w:val="21"/>
        </w:rPr>
        <w:t>·保存环境</w:t>
      </w:r>
      <w:r>
        <w:rPr>
          <w:rFonts w:hint="eastAsia" w:ascii="宋体" w:hAnsi="宋体"/>
          <w:szCs w:val="21"/>
        </w:rPr>
        <w:tab/>
      </w:r>
      <w:r>
        <w:rPr>
          <w:rFonts w:hint="eastAsia" w:ascii="宋体" w:hAnsi="宋体"/>
          <w:szCs w:val="21"/>
        </w:rPr>
        <w:tab/>
      </w:r>
      <w:r>
        <w:rPr>
          <w:rFonts w:hint="eastAsia" w:ascii="宋体" w:hAnsi="宋体"/>
          <w:szCs w:val="21"/>
        </w:rPr>
        <w:t>0~50℃，40~60%RH</w:t>
      </w:r>
    </w:p>
    <w:p>
      <w:pPr>
        <w:ind w:firstLine="420" w:firstLineChars="200"/>
        <w:rPr>
          <w:rFonts w:hint="eastAsia" w:ascii="宋体" w:hAnsi="宋体"/>
          <w:szCs w:val="21"/>
        </w:rPr>
      </w:pPr>
      <w:r>
        <w:rPr>
          <w:rFonts w:hint="eastAsia" w:ascii="宋体" w:hAnsi="宋体"/>
          <w:szCs w:val="21"/>
        </w:rPr>
        <w:t>·防护等级</w:t>
      </w:r>
      <w:r>
        <w:rPr>
          <w:rFonts w:hint="eastAsia" w:ascii="宋体" w:hAnsi="宋体"/>
          <w:szCs w:val="21"/>
        </w:rPr>
        <w:tab/>
      </w:r>
      <w:r>
        <w:rPr>
          <w:rFonts w:hint="eastAsia" w:ascii="宋体" w:hAnsi="宋体"/>
          <w:szCs w:val="21"/>
        </w:rPr>
        <w:tab/>
      </w:r>
      <w:r>
        <w:rPr>
          <w:rFonts w:hint="eastAsia" w:ascii="宋体" w:hAnsi="宋体"/>
          <w:szCs w:val="21"/>
        </w:rPr>
        <w:t>IP53</w:t>
      </w:r>
    </w:p>
    <w:p>
      <w:pPr>
        <w:ind w:firstLine="420" w:firstLineChars="200"/>
        <w:rPr>
          <w:rFonts w:hint="eastAsia" w:ascii="宋体" w:hAnsi="宋体"/>
          <w:szCs w:val="21"/>
        </w:rPr>
      </w:pPr>
      <w:r>
        <w:rPr>
          <w:rFonts w:hint="eastAsia" w:ascii="宋体" w:hAnsi="宋体"/>
          <w:szCs w:val="21"/>
        </w:rPr>
        <w:t>·重量</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≤11KG</w:t>
      </w:r>
    </w:p>
    <w:p>
      <w:pPr>
        <w:ind w:firstLine="420" w:firstLineChars="200"/>
        <w:rPr>
          <w:rFonts w:hint="eastAsia" w:ascii="宋体" w:hAnsi="宋体"/>
          <w:szCs w:val="21"/>
        </w:rPr>
      </w:pPr>
      <w:r>
        <w:rPr>
          <w:rFonts w:hint="eastAsia" w:ascii="宋体" w:hAnsi="宋体"/>
          <w:szCs w:val="21"/>
        </w:rPr>
        <w:t>·毛重</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≤14KG</w:t>
      </w:r>
    </w:p>
    <w:p>
      <w:pPr>
        <w:ind w:firstLine="420" w:firstLineChars="200"/>
        <w:rPr>
          <w:rFonts w:hint="eastAsia" w:ascii="宋体" w:hAnsi="宋体"/>
          <w:szCs w:val="21"/>
        </w:rPr>
      </w:pPr>
      <w:r>
        <w:rPr>
          <w:rFonts w:hint="eastAsia" w:ascii="宋体" w:hAnsi="宋体"/>
          <w:szCs w:val="21"/>
        </w:rPr>
        <w:t>·非RoHS</w:t>
      </w:r>
    </w:p>
    <w:p>
      <w:pPr>
        <w:ind w:firstLine="420" w:firstLineChars="200"/>
        <w:rPr>
          <w:rFonts w:hint="eastAsia" w:ascii="宋体" w:hAnsi="宋体"/>
          <w:szCs w:val="21"/>
        </w:rPr>
      </w:pPr>
      <w:r>
        <w:rPr>
          <w:rFonts w:hint="eastAsia" w:ascii="宋体" w:hAnsi="宋体"/>
          <w:szCs w:val="21"/>
        </w:rPr>
        <w:t>·注意</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蓄电池不可长期闲置，即使不使用也必须半月检查及时补充电到13.5V；</w:t>
      </w:r>
    </w:p>
    <w:p>
      <w:pPr>
        <w:ind w:firstLine="422" w:firstLineChars="200"/>
        <w:rPr>
          <w:rFonts w:hint="eastAsia" w:ascii="宋体" w:hAnsi="宋体"/>
          <w:b/>
          <w:bCs/>
          <w:szCs w:val="21"/>
        </w:rPr>
      </w:pPr>
      <w:bookmarkStart w:id="111" w:name="_Toc143078371"/>
      <w:bookmarkStart w:id="112" w:name="_Toc488154458"/>
      <w:r>
        <w:rPr>
          <w:rFonts w:hint="eastAsia" w:ascii="宋体" w:hAnsi="宋体"/>
          <w:b/>
          <w:bCs/>
          <w:szCs w:val="21"/>
        </w:rPr>
        <w:t>多时段行人过街语音提示装置</w:t>
      </w:r>
      <w:bookmarkEnd w:id="111"/>
      <w:bookmarkEnd w:id="112"/>
    </w:p>
    <w:p>
      <w:pPr>
        <w:ind w:firstLine="420" w:firstLineChars="200"/>
        <w:rPr>
          <w:rFonts w:hint="eastAsia" w:ascii="宋体" w:hAnsi="宋体"/>
          <w:szCs w:val="21"/>
        </w:rPr>
      </w:pPr>
      <w:r>
        <w:rPr>
          <w:rFonts w:hint="eastAsia" w:ascii="宋体" w:hAnsi="宋体"/>
          <w:szCs w:val="21"/>
        </w:rPr>
        <w:t>多时段行人过街语音提示装置（行人语音）</w:t>
      </w:r>
    </w:p>
    <w:p>
      <w:pPr>
        <w:spacing w:line="24" w:lineRule="atLeast"/>
        <w:ind w:firstLine="3398" w:firstLineChars="1612"/>
        <w:rPr>
          <w:rFonts w:ascii="宋体" w:hAnsi="宋体" w:cs="宋体"/>
          <w:b/>
          <w:color w:val="FF0000"/>
          <w:szCs w:val="21"/>
        </w:rPr>
      </w:pPr>
      <w:r>
        <w:rPr>
          <w:rFonts w:ascii="宋体" w:hAnsi="宋体" w:cs="宋体"/>
          <w:b/>
          <w:color w:val="FF0000"/>
          <w:szCs w:val="21"/>
        </w:rPr>
        <mc:AlternateContent>
          <mc:Choice Requires="wpg">
            <w:drawing>
              <wp:inline distT="0" distB="0" distL="114300" distR="114300">
                <wp:extent cx="1489710" cy="730885"/>
                <wp:effectExtent l="4445" t="4445" r="10795" b="7620"/>
                <wp:docPr id="18"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1489710" cy="730885"/>
                          <a:chOff x="675" y="1170"/>
                          <a:chExt cx="5625" cy="2760"/>
                        </a:xfrm>
                      </wpg:grpSpPr>
                      <wps:wsp>
                        <wps:cNvPr id="6" name="Freeform 12"/>
                        <wps:cNvSpPr>
                          <a:spLocks noChangeAspect="1"/>
                        </wps:cNvSpPr>
                        <wps:spPr>
                          <a:xfrm>
                            <a:off x="675" y="1170"/>
                            <a:ext cx="5625" cy="2760"/>
                          </a:xfrm>
                          <a:custGeom>
                            <a:avLst/>
                            <a:gdLst/>
                            <a:ahLst/>
                            <a:cxnLst>
                              <a:cxn ang="0">
                                <a:pos x="0" y="1193"/>
                              </a:cxn>
                              <a:cxn ang="0">
                                <a:pos x="690" y="338"/>
                              </a:cxn>
                              <a:cxn ang="0">
                                <a:pos x="1845" y="0"/>
                              </a:cxn>
                              <a:cxn ang="0">
                                <a:pos x="3788" y="98"/>
                              </a:cxn>
                              <a:cxn ang="0">
                                <a:pos x="4943" y="570"/>
                              </a:cxn>
                              <a:cxn ang="0">
                                <a:pos x="5625" y="1425"/>
                              </a:cxn>
                              <a:cxn ang="0">
                                <a:pos x="5588" y="1575"/>
                              </a:cxn>
                              <a:cxn ang="0">
                                <a:pos x="5520" y="1598"/>
                              </a:cxn>
                              <a:cxn ang="0">
                                <a:pos x="4838" y="2760"/>
                              </a:cxn>
                              <a:cxn ang="0">
                                <a:pos x="615" y="2670"/>
                              </a:cxn>
                              <a:cxn ang="0">
                                <a:pos x="105" y="1358"/>
                              </a:cxn>
                              <a:cxn ang="0">
                                <a:pos x="38" y="1328"/>
                              </a:cxn>
                              <a:cxn ang="0">
                                <a:pos x="0" y="1193"/>
                              </a:cxn>
                            </a:cxnLst>
                            <a:pathLst>
                              <a:path w="5625" h="2760">
                                <a:moveTo>
                                  <a:pt x="0" y="1193"/>
                                </a:moveTo>
                                <a:lnTo>
                                  <a:pt x="690" y="338"/>
                                </a:lnTo>
                                <a:lnTo>
                                  <a:pt x="1845" y="0"/>
                                </a:lnTo>
                                <a:lnTo>
                                  <a:pt x="3788" y="98"/>
                                </a:lnTo>
                                <a:lnTo>
                                  <a:pt x="4943" y="570"/>
                                </a:lnTo>
                                <a:lnTo>
                                  <a:pt x="5625" y="1425"/>
                                </a:lnTo>
                                <a:lnTo>
                                  <a:pt x="5588" y="1575"/>
                                </a:lnTo>
                                <a:lnTo>
                                  <a:pt x="5520" y="1598"/>
                                </a:lnTo>
                                <a:lnTo>
                                  <a:pt x="4838" y="2760"/>
                                </a:lnTo>
                                <a:lnTo>
                                  <a:pt x="615" y="2670"/>
                                </a:lnTo>
                                <a:lnTo>
                                  <a:pt x="105" y="1358"/>
                                </a:lnTo>
                                <a:lnTo>
                                  <a:pt x="38" y="1328"/>
                                </a:lnTo>
                                <a:lnTo>
                                  <a:pt x="0" y="1193"/>
                                </a:lnTo>
                                <a:close/>
                              </a:path>
                            </a:pathLst>
                          </a:custGeom>
                          <a:gradFill rotWithShape="1">
                            <a:gsLst>
                              <a:gs pos="0">
                                <a:srgbClr val="A3A3A3">
                                  <a:alpha val="100000"/>
                                </a:srgbClr>
                              </a:gs>
                              <a:gs pos="100000">
                                <a:srgbClr val="272727">
                                  <a:alpha val="100000"/>
                                </a:srgbClr>
                              </a:gs>
                            </a:gsLst>
                            <a:lin ang="5400000" scaled="1"/>
                            <a:tileRect/>
                          </a:gradFill>
                          <a:ln w="3175" cap="flat" cmpd="sng">
                            <a:solidFill>
                              <a:srgbClr val="272727"/>
                            </a:solidFill>
                            <a:prstDash val="solid"/>
                            <a:round/>
                            <a:headEnd type="none" w="med" len="med"/>
                            <a:tailEnd type="none" w="med" len="med"/>
                          </a:ln>
                        </wps:spPr>
                        <wps:bodyPr vert="horz" wrap="square" anchor="t" anchorCtr="0" upright="1"/>
                      </wps:wsp>
                      <wps:wsp>
                        <wps:cNvPr id="7" name="AutoShape 13"/>
                        <wps:cNvSpPr>
                          <a:spLocks noChangeAspect="1"/>
                        </wps:cNvSpPr>
                        <wps:spPr>
                          <a:xfrm>
                            <a:off x="773" y="2520"/>
                            <a:ext cx="5452" cy="240"/>
                          </a:xfrm>
                          <a:prstGeom prst="straightConnector1">
                            <a:avLst/>
                          </a:prstGeom>
                          <a:ln w="3175" cap="flat" cmpd="sng">
                            <a:solidFill>
                              <a:srgbClr val="272727"/>
                            </a:solidFill>
                            <a:prstDash val="solid"/>
                            <a:headEnd type="none" w="med" len="med"/>
                            <a:tailEnd type="none" w="med" len="med"/>
                          </a:ln>
                        </wps:spPr>
                        <wps:bodyPr wrap="square" upright="1"/>
                      </wps:wsp>
                      <wps:wsp>
                        <wps:cNvPr id="8" name="AutoShape 14"/>
                        <wps:cNvSpPr>
                          <a:spLocks noChangeAspect="1"/>
                        </wps:cNvSpPr>
                        <wps:spPr>
                          <a:xfrm>
                            <a:off x="675" y="2370"/>
                            <a:ext cx="5625" cy="248"/>
                          </a:xfrm>
                          <a:prstGeom prst="straightConnector1">
                            <a:avLst/>
                          </a:prstGeom>
                          <a:ln w="3175" cap="flat" cmpd="sng">
                            <a:solidFill>
                              <a:srgbClr val="272727"/>
                            </a:solidFill>
                            <a:prstDash val="solid"/>
                            <a:headEnd type="none" w="med" len="med"/>
                            <a:tailEnd type="none" w="med" len="med"/>
                          </a:ln>
                        </wps:spPr>
                        <wps:bodyPr wrap="square" upright="1"/>
                      </wps:wsp>
                      <wps:wsp>
                        <wps:cNvPr id="9" name="AutoShape 15"/>
                        <wps:cNvSpPr>
                          <a:spLocks noChangeAspect="1"/>
                        </wps:cNvSpPr>
                        <wps:spPr>
                          <a:xfrm>
                            <a:off x="2682" y="3612"/>
                            <a:ext cx="102" cy="84"/>
                          </a:xfrm>
                          <a:prstGeom prst="straightConnector1">
                            <a:avLst/>
                          </a:prstGeom>
                          <a:ln w="25400" cap="flat" cmpd="sng">
                            <a:solidFill>
                              <a:srgbClr val="000000"/>
                            </a:solidFill>
                            <a:prstDash val="solid"/>
                            <a:headEnd type="none" w="med" len="med"/>
                            <a:tailEnd type="none" w="med" len="med"/>
                          </a:ln>
                        </wps:spPr>
                        <wps:bodyPr wrap="square" upright="1"/>
                      </wps:wsp>
                      <wps:wsp>
                        <wps:cNvPr id="10" name="AutoShape 16"/>
                        <wps:cNvSpPr>
                          <a:spLocks noChangeAspect="1"/>
                        </wps:cNvSpPr>
                        <wps:spPr>
                          <a:xfrm>
                            <a:off x="2784" y="3696"/>
                            <a:ext cx="1374" cy="21"/>
                          </a:xfrm>
                          <a:prstGeom prst="straightConnector1">
                            <a:avLst/>
                          </a:prstGeom>
                          <a:ln w="25400" cap="flat" cmpd="sng">
                            <a:solidFill>
                              <a:srgbClr val="000000"/>
                            </a:solidFill>
                            <a:prstDash val="solid"/>
                            <a:headEnd type="none" w="med" len="med"/>
                            <a:tailEnd type="none" w="med" len="med"/>
                          </a:ln>
                        </wps:spPr>
                        <wps:bodyPr wrap="square" upright="1"/>
                      </wps:wsp>
                      <wps:wsp>
                        <wps:cNvPr id="11" name="AutoShape 17"/>
                        <wps:cNvSpPr>
                          <a:spLocks noChangeAspect="1"/>
                        </wps:cNvSpPr>
                        <wps:spPr>
                          <a:xfrm flipV="1">
                            <a:off x="4158" y="3669"/>
                            <a:ext cx="99" cy="48"/>
                          </a:xfrm>
                          <a:prstGeom prst="straightConnector1">
                            <a:avLst/>
                          </a:prstGeom>
                          <a:ln w="25400" cap="flat" cmpd="sng">
                            <a:solidFill>
                              <a:srgbClr val="000000"/>
                            </a:solidFill>
                            <a:prstDash val="solid"/>
                            <a:headEnd type="none" w="med" len="med"/>
                            <a:tailEnd type="none" w="med" len="med"/>
                          </a:ln>
                        </wps:spPr>
                        <wps:bodyPr wrap="square" upright="1"/>
                      </wps:wsp>
                      <wps:wsp>
                        <wps:cNvPr id="12" name="AutoShape 18"/>
                        <wps:cNvSpPr>
                          <a:spLocks noChangeAspect="1"/>
                        </wps:cNvSpPr>
                        <wps:spPr>
                          <a:xfrm>
                            <a:off x="2661" y="3366"/>
                            <a:ext cx="102" cy="66"/>
                          </a:xfrm>
                          <a:prstGeom prst="straightConnector1">
                            <a:avLst/>
                          </a:prstGeom>
                          <a:ln w="25400" cap="flat" cmpd="sng">
                            <a:solidFill>
                              <a:srgbClr val="000000"/>
                            </a:solidFill>
                            <a:prstDash val="solid"/>
                            <a:headEnd type="none" w="med" len="med"/>
                            <a:tailEnd type="none" w="med" len="med"/>
                          </a:ln>
                        </wps:spPr>
                        <wps:bodyPr wrap="square" upright="1"/>
                      </wps:wsp>
                      <wps:wsp>
                        <wps:cNvPr id="13" name="AutoShape 19"/>
                        <wps:cNvSpPr>
                          <a:spLocks noChangeAspect="1"/>
                        </wps:cNvSpPr>
                        <wps:spPr>
                          <a:xfrm>
                            <a:off x="2763" y="3432"/>
                            <a:ext cx="1428" cy="51"/>
                          </a:xfrm>
                          <a:prstGeom prst="straightConnector1">
                            <a:avLst/>
                          </a:prstGeom>
                          <a:ln w="25400" cap="flat" cmpd="sng">
                            <a:solidFill>
                              <a:srgbClr val="000000"/>
                            </a:solidFill>
                            <a:prstDash val="solid"/>
                            <a:headEnd type="none" w="med" len="med"/>
                            <a:tailEnd type="none" w="med" len="med"/>
                          </a:ln>
                        </wps:spPr>
                        <wps:bodyPr wrap="square" upright="1"/>
                      </wps:wsp>
                      <wps:wsp>
                        <wps:cNvPr id="14" name="AutoShape 20"/>
                        <wps:cNvSpPr>
                          <a:spLocks noChangeAspect="1"/>
                        </wps:cNvSpPr>
                        <wps:spPr>
                          <a:xfrm flipV="1">
                            <a:off x="4191" y="3402"/>
                            <a:ext cx="123" cy="81"/>
                          </a:xfrm>
                          <a:prstGeom prst="straightConnector1">
                            <a:avLst/>
                          </a:prstGeom>
                          <a:ln w="25400" cap="flat" cmpd="sng">
                            <a:solidFill>
                              <a:srgbClr val="000000"/>
                            </a:solidFill>
                            <a:prstDash val="solid"/>
                            <a:headEnd type="none" w="med" len="med"/>
                            <a:tailEnd type="none" w="med" len="med"/>
                          </a:ln>
                        </wps:spPr>
                        <wps:bodyPr wrap="square" upright="1"/>
                      </wps:wsp>
                      <wps:wsp>
                        <wps:cNvPr id="15" name="AutoShape 21"/>
                        <wps:cNvSpPr>
                          <a:spLocks noChangeAspect="1"/>
                        </wps:cNvSpPr>
                        <wps:spPr>
                          <a:xfrm>
                            <a:off x="2661" y="3075"/>
                            <a:ext cx="123" cy="60"/>
                          </a:xfrm>
                          <a:prstGeom prst="straightConnector1">
                            <a:avLst/>
                          </a:prstGeom>
                          <a:ln w="25400" cap="flat" cmpd="sng">
                            <a:solidFill>
                              <a:srgbClr val="000000"/>
                            </a:solidFill>
                            <a:prstDash val="solid"/>
                            <a:headEnd type="none" w="med" len="med"/>
                            <a:tailEnd type="none" w="med" len="med"/>
                          </a:ln>
                        </wps:spPr>
                        <wps:bodyPr wrap="square" upright="1"/>
                      </wps:wsp>
                      <wps:wsp>
                        <wps:cNvPr id="16" name="AutoShape 22"/>
                        <wps:cNvSpPr>
                          <a:spLocks noChangeAspect="1"/>
                        </wps:cNvSpPr>
                        <wps:spPr>
                          <a:xfrm>
                            <a:off x="2784" y="3135"/>
                            <a:ext cx="1473" cy="30"/>
                          </a:xfrm>
                          <a:prstGeom prst="straightConnector1">
                            <a:avLst/>
                          </a:prstGeom>
                          <a:ln w="25400" cap="flat" cmpd="sng">
                            <a:solidFill>
                              <a:srgbClr val="000000"/>
                            </a:solidFill>
                            <a:prstDash val="solid"/>
                            <a:headEnd type="none" w="med" len="med"/>
                            <a:tailEnd type="none" w="med" len="med"/>
                          </a:ln>
                        </wps:spPr>
                        <wps:bodyPr wrap="square" upright="1"/>
                      </wps:wsp>
                      <wps:wsp>
                        <wps:cNvPr id="17" name="AutoShape 23"/>
                        <wps:cNvSpPr>
                          <a:spLocks noChangeAspect="1"/>
                        </wps:cNvSpPr>
                        <wps:spPr>
                          <a:xfrm flipV="1">
                            <a:off x="4257" y="3117"/>
                            <a:ext cx="126" cy="48"/>
                          </a:xfrm>
                          <a:prstGeom prst="straightConnector1">
                            <a:avLst/>
                          </a:prstGeom>
                          <a:ln w="25400" cap="flat" cmpd="sng">
                            <a:solidFill>
                              <a:srgbClr val="000000"/>
                            </a:solidFill>
                            <a:prstDash val="solid"/>
                            <a:headEnd type="none" w="med" len="med"/>
                            <a:tailEnd type="none" w="med" len="med"/>
                          </a:ln>
                        </wps:spPr>
                        <wps:bodyPr wrap="square" upright="1"/>
                      </wps:wsp>
                    </wpg:wgp>
                  </a:graphicData>
                </a:graphic>
              </wp:inline>
            </w:drawing>
          </mc:Choice>
          <mc:Fallback>
            <w:pict>
              <v:group id="Group 11" o:spid="_x0000_s1026" o:spt="203" style="height:57.55pt;width:117.3pt;" coordorigin="675,1170" coordsize="5625,2760" o:gfxdata="UEsDBAoAAAAAAIdO4kAAAAAAAAAAAAAAAAAEAAAAZHJzL1BLAwQUAAAACACHTuJANu60HdYAAAAF AQAADwAAAGRycy9kb3ducmV2LnhtbE2PQUvDQBCF74L/YRnBm91sa0uJ2RQp6qkItoL0Nk2mSWh2 NmS3SfvvHb3o5cHwHu99k60urlUD9aHxbMFMElDEhS8brix87l4flqBCRC6x9UwWrhRgld/eZJiW fuQPGraxUlLCIUULdYxdqnUoanIYJr4jFu/oe4dRzr7SZY+jlLtWT5NkoR02LAs1drSuqThtz87C 24jj88y8DJvTcX3d7+bvXxtD1t7fmeQJVKRL/AvDD76gQy5MB3/mMqjWgjwSf1W86exxAeogITM3 oPNM/6fPvwFQSwMEFAAAAAgAh07iQGygMCPgBQAAHyUAAA4AAABkcnMvZTJvRG9jLnhtbO1aX2/j Ngx/H7DvYPh9TeS/SdD0ULTXvhy2w91te1ZtxTZmW57kNO0+/UhJTNIk7bK7pLdiaYBKtiiaIn8m Kcrn7x6a2rsXSleynfrsbOh7os1kXrXF1P/1y81PI9/TPW9zXstWTP1Hof13Fz/+cL7oJiKQpaxz oTxg0urJopv6Zd93k8FAZ6VouD6TnWhhcCZVw3u4VMUgV3wB3Jt6EAyHyWAhVd4pmQmt4e61HfQd R7UPQzmbVZm4ltm8EW1vuSpR8x6WpMuq0/6FkXY2E1n/y2ymRe/VUx9W2pv/8BDo3+H/wcU5nxSK d2WVORH4PiJsrKnhVQsPXbK65j335qraYtVUmZJazvqzTDYDuxCjEVgFG27o5lbJeWfWUkwWRbdU OhhqQ+tfzTb7+f6j8qockAB2b3kDFjeP9RhD5Sy6YgI0t6r73H1UdoXQ/SCzP7TXyk8SNMpgorwq eVuIS92ByvEWzB1sTsbrYsXpYaYa5Aha8B6MSR6XJhEPvZfBTRaNxikDa2UwlobD0Si2NstKMCxO S9LY92CQsdSZMyvfu9lxEsAgTg3SxIwO+MQ+1gi3FGbRAZj1SsP62zT8ueSdMIbTqD2n4YQUfKOE wBfEY4HVsaEiBeuldnfrdI0YxdbOLhva3FYLqfQFpfBJNtf9rZDGLvz+g+7tC5JTj5fUyx5a6KL9 oOeB8dF2eNlJvTInY+PQYMGQPU+djMHGYKcwHO1DzkaRtToZFWR4nnmYjgDcwH28F/NoHIWGPLaI Asy8yN4qFCEYAdwQ+P80IXbysBjAu9eEwKqHxXsuYQR6xBWv4f7FNSTM6jNI9lszG7q3Loz30qkT h4XBXuRutRvgsXp1qOt4j1g0iIOut5j61hClWzWONPJefJGGpt8JyhVB3a4TbuORxqntDMMtINIw tZZsG4E0Tq2l2wE9IqDWEu7CHFFQ6yh3gI0oqCXKbZQRBbVOzB3wIgpqLeUOXBEBtZZwB6CIgFpL uI0kGqfW0m1BiIazWmphXzrEkHldl2BCiK25QMgM8puqrj0l+9+rvjSOHcMbQqrQDn+F9sDpkf/T qri7qpV3zyHnuAzxZ8h53ZXc3mVD/HNvvqM3chTaMrb8HBneesI0SPH3r5jCupbi1pXz13Fk5fB0 xmuBOQCKxCd9VYtPEMetkkgHOFK3+J6FDGNuxiH7m0HWBd2mg9m6LYxMWtaV0dpzglu+T8g6pftr rkurHzNkZYEUqM2NVKXg+fs29/rHDpKUFpJTH4VpRO57tYBcFntWfl7V+1CCUmoIG5AKUBjF3p3M HyFiQ4oMiUwp1V/wGEgQYX1/zrmCh/I2g9tTHxZuu1e9zSjnnaqKci39MUkFJlGvkF2klF1czntp cOoxE3rx6ZCEHDa9SFMbIoMYfIZR+jK9iOLA5VwRQZxyE7QyZhcedkChveKosCvZtgA3qex7RXkH mIcmfB/svTLinqLsu4JpuRdYA1OEdj4KmChXDUJK4ZdgWiXwESUOJzA5R/ei+/oPgWm8wzOZtPco YAqSEfgf3EokdnvFJ4QmNnSeaWSwDPo7IJYCjKZfFRVNECZXuV9U/P96JqwF2DLFmmtKjuaaghSw YtE0Nk9ZQ1OYwpApLthyxwlOqyTsrfgmqHJtwyk9LJy8WV11v9GuwVW7IgYbZwusZPw0gxqDw0RY HSPinbzUqyTjEHm2YWUSmCPFvARwjDEvTDa9FMU8O3CKeWs7xTfjpGCvtRXzjNM4DprSxG7uwig0 Beq1mBdB/c44p/gU8zYLD28GTpC2bMLJ7uIPB6dnYt7YuakIvNKTqgELAHIY9EYnXL1ZXEFRcAtX xpyHwxUWglwGFSQU9Ib2FGXNTRGaNg79VgWlb6hAnVIoNOfRT0vZ8rh0tdELjndeutrosdAdMS/L BhEWO9E5hbRLP9UNqNr+ZoLejvo4eImDljR3B70ghkcjeOALhc2gBxg/7fR2nuIcAFfmEw/4bsae rNlvfPDDnPVrc/qz+q7p4m9QSwMECgAAAAAAh07iQAAAAAAAAAAAAAAAAAYAAABfcmVscy9QSwME FAAAAAgAh07iQIoUZjzRAAAAlAEAAAsAAABfcmVscy8ucmVsc6WQwWrDMAyG74O9g9F9cZrDGKNO L6PQa+kewNiKYxpbRjLZ+vbzDoNl9LajfqHvE//+8JkWtSJLpGxg1/WgMDvyMQcD75fj0wsoqTZ7 u1BGAzcUOIyPD/szLra2I5ljEdUoWQzMtZZXrcXNmKx0VDC3zUScbG0jB12su9qAeuj7Z82/GTBu mOrkDfDJD6Aut9LMf9gpOiahqXaOkqZpiu4eVQe2ZY7uyDbhG7lGsxywGvAsGgdqWdd+BH1fv/un 3tNHPuO61X6HjOuPV2+6HL8AUEsDBBQAAAAIAIdO4kB+5uUg9wAAAOEBAAATAAAAW0NvbnRlbnRf VHlwZXNdLnhtbJWRQU7DMBBF90jcwfIWJU67QAgl6YK0S0CoHGBkTxKLZGx5TGhvj5O2G0SRWNoz /78nu9wcxkFMGNg6quQqL6RA0s5Y6ir5vt9lD1JwBDIwOMJKHpHlpr69KfdHjyxSmriSfYz+USnW PY7AufNIadK6MEJMx9ApD/oDOlTrorhX2lFEilmcO2RdNtjC5xDF9pCuTyYBB5bi6bQ4syoJ3g9W Q0ymaiLzg5KdCXlKLjvcW893SUOqXwnz5DrgnHtJTxOsQfEKIT7DmDSUCayM+6KAU/53yWw5cuba 1mrMm8BNir3hdLG61o5r1zj93/Ltkrp0q+WD6m9QSwECFAAUAAAACACHTuJAfublIPcAAADhAQAA EwAAAAAAAAABACAAAABPCAAAW0NvbnRlbnRfVHlwZXNdLnhtbFBLAQIUAAoAAAAAAIdO4kAAAAAA AAAAAAAAAAAGAAAAAAAAAAAAEAAAADEHAABfcmVscy9QSwECFAAUAAAACACHTuJAihRmPNEAAACU AQAACwAAAAAAAAABACAAAABVBwAAX3JlbHMvLnJlbHNQSwECFAAKAAAAAACHTuJAAAAAAAAAAAAA AAAABAAAAAAAAAAAABAAAAAAAAAAZHJzL1BLAQIUABQAAAAIAIdO4kA27rQd1gAAAAUBAAAPAAAA AAAAAAEAIAAAACIAAABkcnMvZG93bnJldi54bWxQSwECFAAUAAAACACHTuJAbKAwI+AFAAAfJQAA DgAAAAAAAAABACAAAAAlAQAAZHJzL2Uyb0RvYy54bWxQSwUGAAAAAAYABgBZAQAAdwkAAAAA ">
                <o:lock v:ext="edit" rotation="t" aspectratio="t"/>
                <v:shape id="Freeform 12" o:spid="_x0000_s1026" o:spt="100" style="position:absolute;left:675;top:1170;height:2760;width:5625;" fillcolor="#A3A3A3" filled="t" stroked="t" coordsize="5625,2760" o:gfxdata="UEsDBAoAAAAAAIdO4kAAAAAAAAAAAAAAAAAEAAAAZHJzL1BLAwQUAAAACACHTuJAAHoKCLoAAADa AAAADwAAAGRycy9kb3ducmV2LnhtbEWPzarCMBSE94LvEI7gRjRVoVeqUVBQxIWg3o27Q3Nsis1J aeLf2xtBcDnMzDfMbPG0lbhT40vHCoaDBARx7nTJhYL/07o/AeEDssbKMSl4kYfFvN2aYabdgw90 P4ZCRAj7DBWYEOpMSp8bsugHriaO3sU1FkOUTSF1g48It5UcJUkqLZYcFwzWtDKUX483q2Cnl7sq NWNf/G16h/NpP+5tiZXqdobJFESgZ/iFv+2tVpDC50q8AXL+BlBLAwQUAAAACACHTuJAMy8FnjsA AAA5AAAAEAAAAGRycy9zaGFwZXhtbC54bWyzsa/IzVEoSy0qzszPs1Uy1DNQUkjNS85PycxLt1UK DXHTtVBSKC5JzEtJzMnPS7VVqkwtVrK34+UCAFBLAwQKAAAAAACHTuJAAAAAAAAAAAAAAAAABgAA AF9yZWxzL1BLAwQUAAAACACHTuJA1VwmKMwAAACPAQAACwAAAF9yZWxzLy5yZWxzpZCxagMxDIb3 QN/BaO/5kqGUEF+2QtaQQldh6+5MzpaxzDV5+7iUQi9ky6BBv9D3Ce32lzCpmbJ4jgbWTQuKomXn 42Dg8/Tx+g5KCkaHE0cycCWBffey2h1pwlKXZPRJVKVEMTCWkrZaix0poDScKNZJzzlgqW0edEJ7 xoH0pm3fdP7PgG7BVAdnIB/cBtTpmqr5jh28zSzcl8Zy0Nz33j6iahkx0VeYKgbzQMWAy/Kb1tOa WqAfm9dPmh1/xyPNS/FPmGn+8+rFG7sbUEsDBBQAAAAIAIdO4kBa4xFm9wAAAOIBAAATAAAAW0Nv bnRlbnRfVHlwZXNdLnhtbJWRTU/EIBCG7yb+BzJX01I9GGNK92D1qEbXHzCBaUu2BcJg3f330v24 GNfEI8y8z/sE6tV2GsVMka13Cq7LCgQ57Y11vYKP9VNxB4ITOoOjd6RgRwyr5vKiXu8CschpxwqG lMK9lKwHmpBLH8jlSefjhCkfYy8D6g32JG+q6lZq7xK5VKSFAU3dUoefYxKP23x9MIk0MoiHw+LS pQBDGK3GlE3l7MyPluLYUObkfocHG/gqa4D8tWGZnC845l7y00RrSLxiTM84ZQ1pIkvjv1ykufwb slhOXPius5rKNnKbY280n6zO0XnAQBn9X/z7kjvB5f6Hmm9QSwECFAAUAAAACACHTuJAWuMRZvcA AADiAQAAEwAAAAAAAAABACAAAACLAgAAW0NvbnRlbnRfVHlwZXNdLnhtbFBLAQIUAAoAAAAAAIdO 4kAAAAAAAAAAAAAAAAAGAAAAAAAAAAAAEAAAAHIBAABfcmVscy9QSwECFAAUAAAACACHTuJA1Vwm KMwAAACPAQAACwAAAAAAAAABACAAAACWAQAAX3JlbHMvLnJlbHNQSwECFAAKAAAAAACHTuJAAAAA AAAAAAAAAAAABAAAAAAAAAAAABAAAAAAAAAAZHJzL1BLAQIUABQAAAAIAIdO4kAAegoIugAAANoA AAAPAAAAAAAAAAEAIAAAACIAAABkcnMvZG93bnJldi54bWxQSwECFAAUAAAACACHTuJAMy8FnjsA AAA5AAAAEAAAAAAAAAABACAAAAAJAQAAZHJzL3NoYXBleG1sLnhtbFBLBQYAAAAABgAGAFsBAACz AwAAAAA= " path="m0,1193l690,338,1845,0,3788,98,4943,570,5625,1425,5588,1575,5520,1598,4838,2760,615,2670,105,1358,38,1328,0,1193xe">
                  <v:path o:connectlocs="0,1193;690,338;1845,0;3788,98;4943,570;5625,1425;5588,1575;5520,1598;4838,2760;615,2670;105,1358;38,1328;0,1193" o:connectangles="0,0,0,0,0,0,0,0,0,0,0,0,0"/>
                  <v:fill type="gradient" on="t" color2="#272727" focus="100%" focussize="0f,0f" focusposition="0f,0f" rotate="t"/>
                  <v:stroke weight="0.25pt" color="#272727" joinstyle="round"/>
                  <v:imagedata o:title=""/>
                  <o:lock v:ext="edit" aspectratio="t"/>
                </v:shape>
                <v:shape id="AutoShape 13" o:spid="_x0000_s1026" o:spt="32" type="#_x0000_t32" style="position:absolute;left:773;top:2520;height:240;width:5452;" filled="f" stroked="t" coordsize="21600,21600" o:gfxdata="UEsDBAoAAAAAAIdO4kAAAAAAAAAAAAAAAAAEAAAAZHJzL1BLAwQUAAAACACHTuJAjPMajLwAAADa AAAADwAAAGRycy9kb3ducmV2LnhtbEWPQWvCQBSE7wX/w/KE3upGEVNSVw9aMdiTsT/gkX3NBrNv Q3Yb0/x6Vyh4HGbmG2a9HWwjeup87VjBfJaAIC6drrlS8H05vL2D8AFZY+OYFPyRh+1m8rLGTLsb n6kvQiUihH2GCkwIbSalLw1Z9DPXEkfvx3UWQ5RdJXWHtwi3jVwkyUparDkuGGxpZ6i8Fr9WwbFu ZE+Lz690OZ5643eX/SEflXqdzpMPEIGG8Az/t3OtIIXHlXgD5OYOUEsDBBQAAAAIAIdO4kAzLwWe OwAAADkAAAAQAAAAZHJzL3NoYXBleG1sLnhtbLOxr8jNUShLLSrOzM+zVTLUM1BSSM1Lzk/JzEu3 VQoNcdO1UFIoLknMS0nMyc9LtVWqTC1Wsrfj5QIAUEsDBAoAAAAAAIdO4kAAAAAAAAAAAAAAAAAG AAAAX3JlbHMvUEsDBBQAAAAIAIdO4kDVXCYozAAAAI8BAAALAAAAX3JlbHMvLnJlbHOlkLFqAzEM hvdA38Fo7/mSoZQQX7ZC1pBCV2Hr7kzOlrHMNXn7uJRCL2TLoEG/0PcJ7faXMKmZsniOBtZNC4qi ZefjYODz9PH6DkoKRocTRzJwJYF997LaHWnCUpdk9ElUpUQxMJaStlqLHSmgNJwo1knPOWCpbR50 QnvGgfSmbd90/s+AbsFUB2cgH9wG1OmaqvmOHbzNLNyXxnLQ3PfePqJqGTHRV5gqBvNAxYDL8pvW 05paoB+b10+aHX/HI81L8U+Yaf7z6sUbuxtQSwMEFAAAAAgAh07iQFrjEWb3AAAA4gEAABMAAABb Q29udGVudF9UeXBlc10ueG1slZFNT8QgEIbvJv4HMlfTUj0YY0r3YPWoRtcfMIFpS7YFwmDd/ffS /bgY18QjzLzP+wTq1XYaxUyRrXcKrssKBDntjXW9go/1U3EHghM6g6N3pGBHDKvm8qJe7wKxyGnH CoaUwr2UrAeakEsfyOVJ5+OEKR9jLwPqDfYkb6rqVmrvErlUpIUBTd1Sh59jEo/bfH0wiTQyiIfD 4tKlAEMYrcaUTeXszI+W4thQ5uR+hwcb+CprgPy1YZmcLzjmXvLTRGtIvGJMzzhlDWkiS+O/XKS5 /BuyWE5c+K6zmso2cptjbzSfrM7RecBAGf1f/PuSO8Hl/oeab1BLAQIUABQAAAAIAIdO4kBa4xFm 9wAAAOIBAAATAAAAAAAAAAEAIAAAAI0CAABbQ29udGVudF9UeXBlc10ueG1sUEsBAhQACgAAAAAA h07iQAAAAAAAAAAAAAAAAAYAAAAAAAAAAAAQAAAAdAEAAF9yZWxzL1BLAQIUABQAAAAIAIdO4kDV XCYozAAAAI8BAAALAAAAAAAAAAEAIAAAAJgBAABfcmVscy8ucmVsc1BLAQIUAAoAAAAAAIdO4kAA AAAAAAAAAAAAAAAEAAAAAAAAAAAAEAAAAAAAAABkcnMvUEsBAhQAFAAAAAgAh07iQIzzGoy8AAAA 2gAAAA8AAAAAAAAAAQAgAAAAIgAAAGRycy9kb3ducmV2LnhtbFBLAQIUABQAAAAIAIdO4kAzLwWe OwAAADkAAAAQAAAAAAAAAAEAIAAAAAsBAABkcnMvc2hhcGV4bWwueG1sUEsFBgAAAAAGAAYAWwEA ALUDAAAAAA== ">
                  <v:fill on="f" focussize="0,0"/>
                  <v:stroke weight="0.25pt" color="#272727" joinstyle="round"/>
                  <v:imagedata o:title=""/>
                  <o:lock v:ext="edit" aspectratio="t"/>
                </v:shape>
                <v:shape id="AutoShape 14" o:spid="_x0000_s1026" o:spt="32" type="#_x0000_t32" style="position:absolute;left:675;top:2370;height:248;width:5625;" filled="f" stroked="t" coordsize="21600,21600" o:gfxdata="UEsDBAoAAAAAAIdO4kAAAAAAAAAAAAAAAAAEAAAAZHJzL1BLAwQUAAAACACHTuJA/WyO/rUAAADa AAAADwAAAGRycy9kb3ducmV2LnhtbEVPyQrCMBC9C/5DGMGbpoqoVKMHFxQ9uXzA0IxNsZmUJtbl 681B8Ph4+3z5sqVoqPaFYwWDfgKCOHO64FzB9bLtTUH4gKyxdEwK3uRhuWi35phq9+QTNeeQixjC PkUFJoQqldJnhiz6vquII3dztcUQYZ1LXeMzhttSDpNkLC0WHBsMVrQylN3PD6tgV5SyoeHmOBl9 Do3xq8t6u/8o1e0MkhmIQK/wF//ce60gbo1X4g2Qiy9QSwMEFAAAAAgAh07iQDMvBZ47AAAAOQAA ABAAAABkcnMvc2hhcGV4bWwueG1ss7GvyM1RKEstKs7Mz7NVMtQzUFJIzUvOT8nMS7dVCg1x07VQ UiguScxLSczJz0u1VapMLVayt+PlAgBQSwMECgAAAAAAh07iQAAAAAAAAAAAAAAAAAYAAABfcmVs cy9QSwMEFAAAAAgAh07iQNVcJijMAAAAjwEAAAsAAABfcmVscy8ucmVsc6WQsWoDMQyG90DfwWjv +ZKhlBBftkLWkEJXYevuTM6Wscw1efu4lEIvZMugQb/Q9wnt9pcwqZmyeI4G1k0LiqJl5+Ng4PP0 8foOSgpGhxNHMnAlgX33stodacJSl2T0SVSlRDEwlpK2WosdKaA0nCjWSc85YKltHnRCe8aB9KZt 33T+z4BuwVQHZyAf3AbU6Zqq+Y4dvM0s3JfGctDc994+omoZMdFXmCoG80DFgMvym9bTmlqgH5vX T5odf8cjzUvxT5hp/vPqxRu7G1BLAwQUAAAACACHTuJAWuMRZvcAAADiAQAAEwAAAFtDb250ZW50 X1R5cGVzXS54bWyVkU1PxCAQhu8m/gcyV9NSPRhjSvdg9ahG1x8wgWlLtgXCYN3999L9uBjXxCPM vM/7BOrVdhrFTJGtdwquywoEOe2Ndb2Cj/VTcQeCEzqDo3ekYEcMq+byol7vArHIaccKhpTCvZSs B5qQSx/I5Unn44QpH2MvA+oN9iRvqupWau8SuVSkhQFN3VKHn2MSj9t8fTCJNDKIh8Pi0qUAQxit xpRN5ezMj5bi2FDm5H6HBxv4KmuA/LVhmZwvOOZe8tNEa0i8YkzPOGUNaSJL479cpLn8G7JYTlz4 rrOayjZym2NvNJ+sztF5wEAZ/V/8+5I7weX+h5pvUEsBAhQAFAAAAAgAh07iQFrjEWb3AAAA4gEA ABMAAAAAAAAAAQAgAAAAhgIAAFtDb250ZW50X1R5cGVzXS54bWxQSwECFAAKAAAAAACHTuJAAAAA AAAAAAAAAAAABgAAAAAAAAAAABAAAABtAQAAX3JlbHMvUEsBAhQAFAAAAAgAh07iQNVcJijMAAAA jwEAAAsAAAAAAAAAAQAgAAAAkQEAAF9yZWxzLy5yZWxzUEsBAhQACgAAAAAAh07iQAAAAAAAAAAA AAAAAAQAAAAAAAAAAAAQAAAAAAAAAGRycy9QSwECFAAUAAAACACHTuJA/WyO/rUAAADaAAAADwAA AAAAAAABACAAAAAiAAAAZHJzL2Rvd25yZXYueG1sUEsBAhQAFAAAAAgAh07iQDMvBZ47AAAAOQAA ABAAAAAAAAAAAQAgAAAABAEAAGRycy9zaGFwZXhtbC54bWxQSwUGAAAAAAYABgBbAQAArgMAAAAA ">
                  <v:fill on="f" focussize="0,0"/>
                  <v:stroke weight="0.25pt" color="#272727" joinstyle="round"/>
                  <v:imagedata o:title=""/>
                  <o:lock v:ext="edit" aspectratio="t"/>
                </v:shape>
                <v:shape id="AutoShape 15" o:spid="_x0000_s1026" o:spt="32" type="#_x0000_t32" style="position:absolute;left:2682;top:3612;height:84;width:102;" filled="f" stroked="t" coordsize="21600,21600" o:gfxdata="UEsDBAoAAAAAAIdO4kAAAAAAAAAAAAAAAAAEAAAAZHJzL1BLAwQUAAAACACHTuJAB+TVqLcAAADa AAAADwAAAGRycy9kb3ducmV2LnhtbEWPzQrCMBCE74LvEFbwZtMK/lWjB0Eogge1D7A0a1tsNqWJ Wt/eCILHYWa+YTa73jTiSZ2rLStIohgEcWF1zaWC/HqYLEE4j6yxsUwK3uRgtx0ONphq++IzPS++ FAHCLkUFlfdtKqUrKjLoItsSB+9mO4M+yK6UusNXgJtGTuN4Lg3WHBYqbGlfUXG/PIyCRb4q8v6a ZPvMW5KzI75PPSo1HiXxGoSn3v/Dv3amFazgeyXcALn9AFBLAwQUAAAACACHTuJAMy8FnjsAAAA5 AAAAEAAAAGRycy9zaGFwZXhtbC54bWyzsa/IzVEoSy0qzszPs1Uy1DNQUkjNS85PycxLt1UKDXHT tVBSKC5JzEtJzMnPS7VVqkwtVrK34+UCAFBLAwQKAAAAAACHTuJAAAAAAAAAAAAAAAAABgAAAF9y ZWxzL1BLAwQUAAAACACHTuJA1VwmKMwAAACPAQAACwAAAF9yZWxzLy5yZWxzpZCxagMxDIb3QN/B aO/5kqGUEF+2QtaQQldh6+5MzpaxzDV5+7iUQi9ky6BBv9D3Ce32lzCpmbJ4jgbWTQuKomXn42Dg 8/Tx+g5KCkaHE0cycCWBffey2h1pwlKXZPRJVKVEMTCWkrZaix0poDScKNZJzzlgqW0edEJ7xoH0 pm3fdP7PgG7BVAdnIB/cBtTpmqr5jh28zSzcl8Zy0Nz33j6iahkx0VeYKgbzQMWAy/Kb1tOaWqAf m9dPmh1/xyPNS/FPmGn+8+rFG7sbUEsDBBQAAAAIAIdO4kBa4xFm9wAAAOIBAAATAAAAW0NvbnRl bnRfVHlwZXNdLnhtbJWRTU/EIBCG7yb+BzJX01I9GGNK92D1qEbXHzCBaUu2BcJg3f330v24GNfE I8y8z/sE6tV2GsVMka13Cq7LCgQ57Y11vYKP9VNxB4ITOoOjd6RgRwyr5vKiXu8CschpxwqGlMK9 lKwHmpBLH8jlSefjhCkfYy8D6g32JG+q6lZq7xK5VKSFAU3dUoefYxKP23x9MIk0MoiHw+LSpQBD GK3GlE3l7MyPluLYUObkfocHG/gqa4D8tWGZnC845l7y00RrSLxiTM84ZQ1pIkvjv1ykufwbslhO XPius5rKNnKbY280n6zO0XnAQBn9X/z7kjvB5f6Hmm9QSwECFAAUAAAACACHTuJAWuMRZvcAAADi AQAAEwAAAAAAAAABACAAAACIAgAAW0NvbnRlbnRfVHlwZXNdLnhtbFBLAQIUAAoAAAAAAIdO4kAA AAAAAAAAAAAAAAAGAAAAAAAAAAAAEAAAAG8BAABfcmVscy9QSwECFAAUAAAACACHTuJA1VwmKMwA AACPAQAACwAAAAAAAAABACAAAACTAQAAX3JlbHMvLnJlbHNQSwECFAAKAAAAAACHTuJAAAAAAAAA AAAAAAAABAAAAAAAAAAAABAAAAAAAAAAZHJzL1BLAQIUABQAAAAIAIdO4kAH5NWotwAAANoAAAAP AAAAAAAAAAEAIAAAACIAAABkcnMvZG93bnJldi54bWxQSwECFAAUAAAACACHTuJAMy8FnjsAAAA5 AAAAEAAAAAAAAAABACAAAAAGAQAAZHJzL3NoYXBleG1sLnhtbFBLBQYAAAAABgAGAFsBAACwAwAA AAA= ">
                  <v:fill on="f" focussize="0,0"/>
                  <v:stroke weight="2pt" color="#000000" joinstyle="round"/>
                  <v:imagedata o:title=""/>
                  <o:lock v:ext="edit" aspectratio="t"/>
                </v:shape>
                <v:shape id="AutoShape 16" o:spid="_x0000_s1026" o:spt="32" type="#_x0000_t32" style="position:absolute;left:2784;top:3696;height:21;width:1374;" filled="f" stroked="t" coordsize="21600,21600" o:gfxdata="UEsDBAoAAAAAAIdO4kAAAAAAAAAAAAAAAAAEAAAAZHJzL1BLAwQUAAAACACHTuJAmQv0RrsAAADb AAAADwAAAGRycy9kb3ducmV2LnhtbEWPQWuDQBCF74X+h2UCvTWrgbaJzepBCEihh6o/YHCnKnFn xd0a8+87h0JvM7w3731zLjY3qZWWMHo2kO4TUMSdtyP3Btrm8nwEFSKyxckzGbhTgCJ/fDhjZv2N v2itY68khEOGBoYY50zr0A3kMOz9TCzat18cRlmXXtsFbxLuJn1IklftcGRpGHCmcqDuWv84A2/t qWu3Jq3KKnrSLx94/9zQmKddmryDirTFf/PfdWUFX+jlFxlA579QSwMEFAAAAAgAh07iQDMvBZ47 AAAAOQAAABAAAABkcnMvc2hhcGV4bWwueG1ss7GvyM1RKEstKs7Mz7NVMtQzUFJIzUvOT8nMS7dV Cg1x07VQUiguScxLSczJz0u1VapMLVayt+PlAgBQSwMECgAAAAAAh07iQAAAAAAAAAAAAAAAAAYA AABfcmVscy9QSwMEFAAAAAgAh07iQNVcJijMAAAAjwEAAAsAAABfcmVscy8ucmVsc6WQsWoDMQyG 90DfwWjv+ZKhlBBftkLWkEJXYevuTM6Wscw1efu4lEIvZMugQb/Q9wnt9pcwqZmyeI4G1k0LiqJl 5+Ng4PP08foOSgpGhxNHMnAlgX33stodacJSl2T0SVSlRDEwlpK2WosdKaA0nCjWSc85YKltHnRC e8aB9KZt33T+z4BuwVQHZyAf3AbU6Zqq+Y4dvM0s3JfGctDc994+omoZMdFXmCoG80DFgMvym9bT mlqgH5vXT5odf8cjzUvxT5hp/vPqxRu7G1BLAwQUAAAACACHTuJAWuMRZvcAAADiAQAAEwAAAFtD b250ZW50X1R5cGVzXS54bWyVkU1PxCAQhu8m/gcyV9NSPRhjSvdg9ahG1x8wgWlLtgXCYN3999L9 uBjXxCPMvM/7BOrVdhrFTJGtdwquywoEOe2Ndb2Cj/VTcQeCEzqDo3ekYEcMq+byol7vArHIaccK hpTCvZSsB5qQSx/I5Unn44QpH2MvA+oN9iRvqupWau8SuVSkhQFN3VKHn2MSj9t8fTCJNDKIh8Pi 0qUAQxitxpRN5ezMj5bi2FDm5H6HBxv4KmuA/LVhmZwvOOZe8tNEa0i8YkzPOGUNaSJL479cpLn8 G7JYTlz4rrOayjZym2NvNJ+sztF5wEAZ/V/8+5I7weX+h5pvUEsBAhQAFAAAAAgAh07iQFrjEWb3 AAAA4gEAABMAAAAAAAAAAQAgAAAAjAIAAFtDb250ZW50X1R5cGVzXS54bWxQSwECFAAKAAAAAACH TuJAAAAAAAAAAAAAAAAABgAAAAAAAAAAABAAAABzAQAAX3JlbHMvUEsBAhQAFAAAAAgAh07iQNVc JijMAAAAjwEAAAsAAAAAAAAAAQAgAAAAlwEAAF9yZWxzLy5yZWxzUEsBAhQACgAAAAAAh07iQAAA AAAAAAAAAAAAAAQAAAAAAAAAAAAQAAAAAAAAAGRycy9QSwECFAAUAAAACACHTuJAmQv0RrsAAADb AAAADwAAAAAAAAABACAAAAAiAAAAZHJzL2Rvd25yZXYueG1sUEsBAhQAFAAAAAgAh07iQDMvBZ47 AAAAOQAAABAAAAAAAAAAAQAgAAAACgEAAGRycy9zaGFwZXhtbC54bWxQSwUGAAAAAAYABgBbAQAA tAMAAAAA ">
                  <v:fill on="f" focussize="0,0"/>
                  <v:stroke weight="2pt" color="#000000" joinstyle="round"/>
                  <v:imagedata o:title=""/>
                  <o:lock v:ext="edit" aspectratio="t"/>
                </v:shape>
                <v:shape id="AutoShape 17" o:spid="_x0000_s1026" o:spt="32" type="#_x0000_t32" style="position:absolute;left:4158;top:3669;flip:y;height:48;width:99;" filled="f" stroked="t" coordsize="21600,21600" o:gfxdata="UEsDBAoAAAAAAIdO4kAAAAAAAAAAAAAAAAAEAAAAZHJzL1BLAwQUAAAACACHTuJAC2U8NbwAAADb AAAADwAAAGRycy9kb3ducmV2LnhtbEVPTWvCQBC9F/wPyxS81U082BpdPYiR9lCk1kKPQ3ZMQjOz Mbs16b93BaG3ebzPWa4HbtSFOl87MZBOElAkhbO1lAaOn/nTCygfUCw2TsjAH3lYr0YPS8ys6+WD LodQqhgiPkMDVQhtprUvKmL0E9eSRO7kOsYQYVdq22Efw7nR0ySZacZaYkOFLW0qKn4Ov2yA9f47 f+uHDW/7eZm/T/n5/LUzZvyYJgtQgYbwL767X22cn8Ltl3iAXl0BUEsDBBQAAAAIAIdO4kAzLwWe OwAAADkAAAAQAAAAZHJzL3NoYXBleG1sLnhtbLOxr8jNUShLLSrOzM+zVTLUM1BSSM1Lzk/JzEu3 VQoNcdO1UFIoLknMS0nMyc9LtVWqTC1Wsrfj5QIAUEsDBAoAAAAAAIdO4kAAAAAAAAAAAAAAAAAG AAAAX3JlbHMvUEsDBBQAAAAIAIdO4kDVXCYozAAAAI8BAAALAAAAX3JlbHMvLnJlbHOlkLFqAzEM hvdA38Fo7/mSoZQQX7ZC1pBCV2Hr7kzOlrHMNXn7uJRCL2TLoEG/0PcJ7faXMKmZsniOBtZNC4qi ZefjYODz9PH6DkoKRocTRzJwJYF997LaHWnCUpdk9ElUpUQxMJaStlqLHSmgNJwo1knPOWCpbR50 QnvGgfSmbd90/s+AbsFUB2cgH9wG1OmaqvmOHbzNLNyXxnLQ3PfePqJqGTHRV5gqBvNAxYDL8pvW 05paoB+b10+aHX/HI81L8U+Yaf7z6sUbuxtQSwMEFAAAAAgAh07iQFrjEWb3AAAA4gEAABMAAABb Q29udGVudF9UeXBlc10ueG1slZFNT8QgEIbvJv4HMlfTUj0YY0r3YPWoRtcfMIFpS7YFwmDd/ffS /bgY18QjzLzP+wTq1XYaxUyRrXcKrssKBDntjXW9go/1U3EHghM6g6N3pGBHDKvm8qJe7wKxyGnH CoaUwr2UrAeakEsfyOVJ5+OEKR9jLwPqDfYkb6rqVmrvErlUpIUBTd1Sh59jEo/bfH0wiTQyiIfD 4tKlAEMYrcaUTeXszI+W4thQ5uR+hwcb+CprgPy1YZmcLzjmXvLTRGtIvGJMzzhlDWkiS+O/XKS5 /BuyWE5c+K6zmso2cptjbzSfrM7RecBAGf1f/PuSO8Hl/oeab1BLAQIUABQAAAAIAIdO4kBa4xFm 9wAAAOIBAAATAAAAAAAAAAEAIAAAAI0CAABbQ29udGVudF9UeXBlc10ueG1sUEsBAhQACgAAAAAA h07iQAAAAAAAAAAAAAAAAAYAAAAAAAAAAAAQAAAAdAEAAF9yZWxzL1BLAQIUABQAAAAIAIdO4kDV XCYozAAAAI8BAAALAAAAAAAAAAEAIAAAAJgBAABfcmVscy8ucmVsc1BLAQIUAAoAAAAAAIdO4kAA AAAAAAAAAAAAAAAEAAAAAAAAAAAAEAAAAAAAAABkcnMvUEsBAhQAFAAAAAgAh07iQAtlPDW8AAAA 2wAAAA8AAAAAAAAAAQAgAAAAIgAAAGRycy9kb3ducmV2LnhtbFBLAQIUABQAAAAIAIdO4kAzLwWe OwAAADkAAAAQAAAAAAAAAAEAIAAAAAsBAABkcnMvc2hhcGV4bWwueG1sUEsFBgAAAAAGAAYAWwEA ALUDAAAAAA== ">
                  <v:fill on="f" focussize="0,0"/>
                  <v:stroke weight="2pt" color="#000000" joinstyle="round"/>
                  <v:imagedata o:title=""/>
                  <o:lock v:ext="edit" aspectratio="t"/>
                </v:shape>
                <v:shape id="AutoShape 18" o:spid="_x0000_s1026" o:spt="32" type="#_x0000_t32" style="position:absolute;left:2661;top:3366;height:66;width:102;" filled="f" stroked="t" coordsize="21600,21600" o:gfxdata="UEsDBAoAAAAAAIdO4kAAAAAAAAAAAAAAAAAEAAAAZHJzL1BLAwQUAAAACACHTuJABpXPqrUAAADb AAAADwAAAGRycy9kb3ducmV2LnhtbEVPSwrCMBDdC94hjODOphX8VaMLQSiCC7UHGJqxLTaT0kSt tzeC4G4e7zubXW8a8aTO1ZYVJFEMgriwuuZSQX49TJYgnEfW2FgmBW9ysNsOBxtMtX3xmZ4XX4oQ wi5FBZX3bSqlKyoy6CLbEgfuZjuDPsCulLrDVwg3jZzG8VwarDk0VNjSvqLifnkYBYt8VeT9Ncn2 mbckZ0d8n3pUajxK4jUIT73/i3/uTIf5U/j+Eg6Q2w9QSwMEFAAAAAgAh07iQDMvBZ47AAAAOQAA ABAAAABkcnMvc2hhcGV4bWwueG1ss7GvyM1RKEstKs7Mz7NVMtQzUFJIzUvOT8nMS7dVCg1x07VQ UiguScxLSczJz0u1VapMLVayt+PlAgBQSwMECgAAAAAAh07iQAAAAAAAAAAAAAAAAAYAAABfcmVs cy9QSwMEFAAAAAgAh07iQNVcJijMAAAAjwEAAAsAAABfcmVscy8ucmVsc6WQsWoDMQyG90DfwWjv +ZKhlBBftkLWkEJXYevuTM6Wscw1efu4lEIvZMugQb/Q9wnt9pcwqZmyeI4G1k0LiqJl5+Ng4PP0 8foOSgpGhxNHMnAlgX33stodacJSl2T0SVSlRDEwlpK2WosdKaA0nCjWSc85YKltHnRCe8aB9KZt 33T+z4BuwVQHZyAf3AbU6Zqq+Y4dvM0s3JfGctDc994+omoZMdFXmCoG80DFgMvym9bTmlqgH5vX T5odf8cjzUvxT5hp/vPqxRu7G1BLAwQUAAAACACHTuJAWuMRZvcAAADiAQAAEwAAAFtDb250ZW50 X1R5cGVzXS54bWyVkU1PxCAQhu8m/gcyV9NSPRhjSvdg9ahG1x8wgWlLtgXCYN3999L9uBjXxCPM vM/7BOrVdhrFTJGtdwquywoEOe2Ndb2Cj/VTcQeCEzqDo3ekYEcMq+byol7vArHIaccKhpTCvZSs B5qQSx/I5Unn44QpH2MvA+oN9iRvqupWau8SuVSkhQFN3VKHn2MSj9t8fTCJNDKIh8Pi0qUAQxit xpRN5ezMj5bi2FDm5H6HBxv4KmuA/LVhmZwvOOZe8tNEa0i8YkzPOGUNaSJL479cpLn8G7JYTlz4 rrOayjZym2NvNJ+sztF5wEAZ/V/8+5I7weX+h5pvUEsBAhQAFAAAAAgAh07iQFrjEWb3AAAA4gEA ABMAAAAAAAAAAQAgAAAAhgIAAFtDb250ZW50X1R5cGVzXS54bWxQSwECFAAKAAAAAACHTuJAAAAA AAAAAAAAAAAABgAAAAAAAAAAABAAAABtAQAAX3JlbHMvUEsBAhQAFAAAAAgAh07iQNVcJijMAAAA jwEAAAsAAAAAAAAAAQAgAAAAkQEAAF9yZWxzLy5yZWxzUEsBAhQACgAAAAAAh07iQAAAAAAAAAAA AAAAAAQAAAAAAAAAAAAQAAAAAAAAAGRycy9QSwECFAAUAAAACACHTuJABpXPqrUAAADbAAAADwAA AAAAAAABACAAAAAiAAAAZHJzL2Rvd25yZXYueG1sUEsBAhQAFAAAAAgAh07iQDMvBZ47AAAAOQAA ABAAAAAAAAAAAQAgAAAABAEAAGRycy9zaGFwZXhtbC54bWxQSwUGAAAAAAYABgBbAQAArgMAAAAA ">
                  <v:fill on="f" focussize="0,0"/>
                  <v:stroke weight="2pt" color="#000000" joinstyle="round"/>
                  <v:imagedata o:title=""/>
                  <o:lock v:ext="edit" aspectratio="t"/>
                </v:shape>
                <v:shape id="AutoShape 19" o:spid="_x0000_s1026" o:spt="32" type="#_x0000_t32" style="position:absolute;left:2763;top:3432;height:51;width:1428;" filled="f" stroked="t" coordsize="21600,21600" o:gfxdata="UEsDBAoAAAAAAIdO4kAAAAAAAAAAAAAAAAAEAAAAZHJzL1BLAwQUAAAACACHTuJAadlqMbUAAADb AAAADwAAAGRycy9kb3ducmV2LnhtbEVPSwrCMBDdC94hjOBO0yr+qtGFIBTBhdoDDM3YFptJaaLW 2xtBcDeP953NrjO1eFLrKssK4nEEgji3uuJCQXY9jJYgnEfWWFsmBW9ysNv2extMtH3xmZ4XX4gQ wi5BBaX3TSKly0sy6Ma2IQ7czbYGfYBtIXWLrxBuajmJork0WHFoKLGhfUn5/fIwChbZKs+6a5zu U29Jzo74PnWo1HAQR2sQnjr/F//cqQ7zp/D9JRwgtx9QSwMEFAAAAAgAh07iQDMvBZ47AAAAOQAA ABAAAABkcnMvc2hhcGV4bWwueG1ss7GvyM1RKEstKs7Mz7NVMtQzUFJIzUvOT8nMS7dVCg1x07VQ UiguScxLSczJz0u1VapMLVayt+PlAgBQSwMECgAAAAAAh07iQAAAAAAAAAAAAAAAAAYAAABfcmVs cy9QSwMEFAAAAAgAh07iQNVcJijMAAAAjwEAAAsAAABfcmVscy8ucmVsc6WQsWoDMQyG90DfwWjv +ZKhlBBftkLWkEJXYevuTM6Wscw1efu4lEIvZMugQb/Q9wnt9pcwqZmyeI4G1k0LiqJl5+Ng4PP0 8foOSgpGhxNHMnAlgX33stodacJSl2T0SVSlRDEwlpK2WosdKaA0nCjWSc85YKltHnRCe8aB9KZt 33T+z4BuwVQHZyAf3AbU6Zqq+Y4dvM0s3JfGctDc994+omoZMdFXmCoG80DFgMvym9bTmlqgH5vX T5odf8cjzUvxT5hp/vPqxRu7G1BLAwQUAAAACACHTuJAWuMRZvcAAADiAQAAEwAAAFtDb250ZW50 X1R5cGVzXS54bWyVkU1PxCAQhu8m/gcyV9NSPRhjSvdg9ahG1x8wgWlLtgXCYN3999L9uBjXxCPM vM/7BOrVdhrFTJGtdwquywoEOe2Ndb2Cj/VTcQeCEzqDo3ekYEcMq+byol7vArHIaccKhpTCvZSs B5qQSx/I5Unn44QpH2MvA+oN9iRvqupWau8SuVSkhQFN3VKHn2MSj9t8fTCJNDKIh8Pi0qUAQxit xpRN5ezMj5bi2FDm5H6HBxv4KmuA/LVhmZwvOOZe8tNEa0i8YkzPOGUNaSJL479cpLn8G7JYTlz4 rrOayjZym2NvNJ+sztF5wEAZ/V/8+5I7weX+h5pvUEsBAhQAFAAAAAgAh07iQFrjEWb3AAAA4gEA ABMAAAAAAAAAAQAgAAAAhgIAAFtDb250ZW50X1R5cGVzXS54bWxQSwECFAAKAAAAAACHTuJAAAAA AAAAAAAAAAAABgAAAAAAAAAAABAAAABtAQAAX3JlbHMvUEsBAhQAFAAAAAgAh07iQNVcJijMAAAA jwEAAAsAAAAAAAAAAQAgAAAAkQEAAF9yZWxzLy5yZWxzUEsBAhQACgAAAAAAh07iQAAAAAAAAAAA AAAAAAQAAAAAAAAAAAAQAAAAAAAAAGRycy9QSwECFAAUAAAACACHTuJAadlqMbUAAADbAAAADwAA AAAAAAABACAAAAAiAAAAZHJzL2Rvd25yZXYueG1sUEsBAhQAFAAAAAgAh07iQDMvBZ47AAAAOQAA ABAAAAAAAAAAAQAgAAAABAEAAGRycy9zaGFwZXhtbC54bWxQSwUGAAAAAAYABgBbAQAArgMAAAAA ">
                  <v:fill on="f" focussize="0,0"/>
                  <v:stroke weight="2pt" color="#000000" joinstyle="round"/>
                  <v:imagedata o:title=""/>
                  <o:lock v:ext="edit" aspectratio="t"/>
                </v:shape>
                <v:shape id="AutoShape 20" o:spid="_x0000_s1026" o:spt="32" type="#_x0000_t32" style="position:absolute;left:4191;top:3402;flip:y;height:81;width:123;" filled="f" stroked="t" coordsize="21600,21600" o:gfxdata="UEsDBAoAAAAAAIdO4kAAAAAAAAAAAAAAAAAEAAAAZHJzL1BLAwQUAAAACACHTuJAGxKfrbwAAADb AAAADwAAAGRycy9kb3ducmV2LnhtbEVPTWvCQBC9F/wPywi96UYprU1dPYgp7UGKWsHjkJ0mwcxs mt2a+O9dQehtHu9z5suea3Wm1ldODEzGCSiS3NlKCgPf+2w0A+UDisXaCRm4kIflYvAwx9S6TrZ0 3oVCxRDxKRooQ2hSrX1eEqMfu4Ykcj+uZQwRtoW2LXYxnGs9TZJnzVhJbCixoVVJ+Wn3xwZYfx2z z65f8bp7LbLNlF9+D+/GPA4nyRuoQH34F9/dHzbOf4LbL/EAvbgCUEsDBBQAAAAIAIdO4kAzLwWe OwAAADkAAAAQAAAAZHJzL3NoYXBleG1sLnhtbLOxr8jNUShLLSrOzM+zVTLUM1BSSM1Lzk/JzEu3 VQoNcdO1UFIoLknMS0nMyc9LtVWqTC1Wsrfj5QIAUEsDBAoAAAAAAIdO4kAAAAAAAAAAAAAAAAAG AAAAX3JlbHMvUEsDBBQAAAAIAIdO4kDVXCYozAAAAI8BAAALAAAAX3JlbHMvLnJlbHOlkLFqAzEM hvdA38Fo7/mSoZQQX7ZC1pBCV2Hr7kzOlrHMNXn7uJRCL2TLoEG/0PcJ7faXMKmZsniOBtZNC4qi ZefjYODz9PH6DkoKRocTRzJwJYF997LaHWnCUpdk9ElUpUQxMJaStlqLHSmgNJwo1knPOWCpbR50 QnvGgfSmbd90/s+AbsFUB2cgH9wG1OmaqvmOHbzNLNyXxnLQ3PfePqJqGTHRV5gqBvNAxYDL8pvW 05paoB+b10+aHX/HI81L8U+Yaf7z6sUbuxtQSwMEFAAAAAgAh07iQFrjEWb3AAAA4gEAABMAAABb Q29udGVudF9UeXBlc10ueG1slZFNT8QgEIbvJv4HMlfTUj0YY0r3YPWoRtcfMIFpS7YFwmDd/ffS /bgY18QjzLzP+wTq1XYaxUyRrXcKrssKBDntjXW9go/1U3EHghM6g6N3pGBHDKvm8qJe7wKxyGnH CoaUwr2UrAeakEsfyOVJ5+OEKR9jLwPqDfYkb6rqVmrvErlUpIUBTd1Sh59jEo/bfH0wiTQyiIfD 4tKlAEMYrcaUTeXszI+W4thQ5uR+hwcb+CprgPy1YZmcLzjmXvLTRGtIvGJMzzhlDWkiS+O/XKS5 /BuyWE5c+K6zmso2cptjbzSfrM7RecBAGf1f/PuSO8Hl/oeab1BLAQIUABQAAAAIAIdO4kBa4xFm 9wAAAOIBAAATAAAAAAAAAAEAIAAAAI0CAABbQ29udGVudF9UeXBlc10ueG1sUEsBAhQACgAAAAAA h07iQAAAAAAAAAAAAAAAAAYAAAAAAAAAAAAQAAAAdAEAAF9yZWxzL1BLAQIUABQAAAAIAIdO4kDV XCYozAAAAI8BAAALAAAAAAAAAAEAIAAAAJgBAABfcmVscy8ucmVsc1BLAQIUAAoAAAAAAIdO4kAA AAAAAAAAAAAAAAAEAAAAAAAAAAAAEAAAAAAAAABkcnMvUEsBAhQAFAAAAAgAh07iQBsSn628AAAA 2wAAAA8AAAAAAAAAAQAgAAAAIgAAAGRycy9kb3ducmV2LnhtbFBLAQIUABQAAAAIAIdO4kAzLwWe OwAAADkAAAAQAAAAAAAAAAEAIAAAAAsBAABkcnMvc2hhcGV4bWwueG1sUEsFBgAAAAAGAAYAWwEA ALUDAAAAAA== ">
                  <v:fill on="f" focussize="0,0"/>
                  <v:stroke weight="2pt" color="#000000" joinstyle="round"/>
                  <v:imagedata o:title=""/>
                  <o:lock v:ext="edit" aspectratio="t"/>
                </v:shape>
                <v:shape id="AutoShape 21" o:spid="_x0000_s1026" o:spt="32" type="#_x0000_t32" style="position:absolute;left:2661;top:3075;height:60;width:123;" filled="f" stroked="t" coordsize="21600,21600" o:gfxdata="UEsDBAoAAAAAAIdO4kAAAAAAAAAAAAAAAAAEAAAAZHJzL1BLAwQUAAAACACHTuJAiXxX3rUAAADb AAAADwAAAGRycy9kb3ducmV2LnhtbEVPSwrCMBDdC94hjODOphX8VaMLQSiCC7UHGJqxLTaT0kSt tzeC4G4e7zubXW8a8aTO1ZYVJFEMgriwuuZSQX49TJYgnEfW2FgmBW9ysNsOBxtMtX3xmZ4XX4oQ wi5FBZX3bSqlKyoy6CLbEgfuZjuDPsCulLrDVwg3jZzG8VwarDk0VNjSvqLifnkYBYt8VeT9Ncn2 mbckZ0d8n3pUajxK4jUIT73/i3/uTIf5M/j+Eg6Q2w9QSwMEFAAAAAgAh07iQDMvBZ47AAAAOQAA ABAAAABkcnMvc2hhcGV4bWwueG1ss7GvyM1RKEstKs7Mz7NVMtQzUFJIzUvOT8nMS7dVCg1x07VQ UiguScxLSczJz0u1VapMLVayt+PlAgBQSwMECgAAAAAAh07iQAAAAAAAAAAAAAAAAAYAAABfcmVs cy9QSwMEFAAAAAgAh07iQNVcJijMAAAAjwEAAAsAAABfcmVscy8ucmVsc6WQsWoDMQyG90DfwWjv +ZKhlBBftkLWkEJXYevuTM6Wscw1efu4lEIvZMugQb/Q9wnt9pcwqZmyeI4G1k0LiqJl5+Ng4PP0 8foOSgpGhxNHMnAlgX33stodacJSl2T0SVSlRDEwlpK2WosdKaA0nCjWSc85YKltHnRCe8aB9KZt 33T+z4BuwVQHZyAf3AbU6Zqq+Y4dvM0s3JfGctDc994+omoZMdFXmCoG80DFgMvym9bTmlqgH5vX T5odf8cjzUvxT5hp/vPqxRu7G1BLAwQUAAAACACHTuJAWuMRZvcAAADiAQAAEwAAAFtDb250ZW50 X1R5cGVzXS54bWyVkU1PxCAQhu8m/gcyV9NSPRhjSvdg9ahG1x8wgWlLtgXCYN3999L9uBjXxCPM vM/7BOrVdhrFTJGtdwquywoEOe2Ndb2Cj/VTcQeCEzqDo3ekYEcMq+byol7vArHIaccKhpTCvZSs B5qQSx/I5Unn44QpH2MvA+oN9iRvqupWau8SuVSkhQFN3VKHn2MSj9t8fTCJNDKIh8Pi0qUAQxit xpRN5ezMj5bi2FDm5H6HBxv4KmuA/LVhmZwvOOZe8tNEa0i8YkzPOGUNaSJL479cpLn8G7JYTlz4 rrOayjZym2NvNJ+sztF5wEAZ/V/8+5I7weX+h5pvUEsBAhQAFAAAAAgAh07iQFrjEWb3AAAA4gEA ABMAAAAAAAAAAQAgAAAAhgIAAFtDb250ZW50X1R5cGVzXS54bWxQSwECFAAKAAAAAACHTuJAAAAA AAAAAAAAAAAABgAAAAAAAAAAABAAAABtAQAAX3JlbHMvUEsBAhQAFAAAAAgAh07iQNVcJijMAAAA jwEAAAsAAAAAAAAAAQAgAAAAkQEAAF9yZWxzLy5yZWxzUEsBAhQACgAAAAAAh07iQAAAAAAAAAAA AAAAAAQAAAAAAAAAAAAQAAAAAAAAAGRycy9QSwECFAAUAAAACACHTuJAiXxX3rUAAADbAAAADwAA AAAAAAABACAAAAAiAAAAZHJzL2Rvd25yZXYueG1sUEsBAhQAFAAAAAgAh07iQDMvBZ47AAAAOQAA ABAAAAAAAAAAAQAgAAAABAEAAGRycy9zaGFwZXhtbC54bWxQSwUGAAAAAAYABgBbAQAArgMAAAAA ">
                  <v:fill on="f" focussize="0,0"/>
                  <v:stroke weight="2pt" color="#000000" joinstyle="round"/>
                  <v:imagedata o:title=""/>
                  <o:lock v:ext="edit" aspectratio="t"/>
                </v:shape>
                <v:shape id="AutoShape 22" o:spid="_x0000_s1026" o:spt="32" type="#_x0000_t32" style="position:absolute;left:2784;top:3135;height:30;width:1473;" filled="f" stroked="t" coordsize="21600,21600" o:gfxdata="UEsDBAoAAAAAAIdO4kAAAAAAAAAAAAAAAAAEAAAAZHJzL1BLAwQUAAAACACHTuJAea7JqbUAAADb AAAADwAAAGRycy9kb3ducmV2LnhtbEVPSwrCMBDdC94hjODOphX8VaMLQSiCC7UHGJqxLTaT0kSt tzeC4G4e7zubXW8a8aTO1ZYVJFEMgriwuuZSQX49TJYgnEfW2FgmBW9ysNsOBxtMtX3xmZ4XX4oQ wi5FBZX3bSqlKyoy6CLbEgfuZjuDPsCulLrDVwg3jZzG8VwarDk0VNjSvqLifnkYBYt8VeT9Ncn2 mbckZ0d8n3pUajxK4jUIT73/i3/uTIf5c/j+Eg6Q2w9QSwMEFAAAAAgAh07iQDMvBZ47AAAAOQAA ABAAAABkcnMvc2hhcGV4bWwueG1ss7GvyM1RKEstKs7Mz7NVMtQzUFJIzUvOT8nMS7dVCg1x07VQ UiguScxLSczJz0u1VapMLVayt+PlAgBQSwMECgAAAAAAh07iQAAAAAAAAAAAAAAAAAYAAABfcmVs cy9QSwMEFAAAAAgAh07iQNVcJijMAAAAjwEAAAsAAABfcmVscy8ucmVsc6WQsWoDMQyG90DfwWjv +ZKhlBBftkLWkEJXYevuTM6Wscw1efu4lEIvZMugQb/Q9wnt9pcwqZmyeI4G1k0LiqJl5+Ng4PP0 8foOSgpGhxNHMnAlgX33stodacJSl2T0SVSlRDEwlpK2WosdKaA0nCjWSc85YKltHnRCe8aB9KZt 33T+z4BuwVQHZyAf3AbU6Zqq+Y4dvM0s3JfGctDc994+omoZMdFXmCoG80DFgMvym9bTmlqgH5vX T5odf8cjzUvxT5hp/vPqxRu7G1BLAwQUAAAACACHTuJAWuMRZvcAAADiAQAAEwAAAFtDb250ZW50 X1R5cGVzXS54bWyVkU1PxCAQhu8m/gcyV9NSPRhjSvdg9ahG1x8wgWlLtgXCYN3999L9uBjXxCPM vM/7BOrVdhrFTJGtdwquywoEOe2Ndb2Cj/VTcQeCEzqDo3ekYEcMq+byol7vArHIaccKhpTCvZSs B5qQSx/I5Unn44QpH2MvA+oN9iRvqupWau8SuVSkhQFN3VKHn2MSj9t8fTCJNDKIh8Pi0qUAQxit xpRN5ezMj5bi2FDm5H6HBxv4KmuA/LVhmZwvOOZe8tNEa0i8YkzPOGUNaSJL479cpLn8G7JYTlz4 rrOayjZym2NvNJ+sztF5wEAZ/V/8+5I7weX+h5pvUEsBAhQAFAAAAAgAh07iQFrjEWb3AAAA4gEA ABMAAAAAAAAAAQAgAAAAhgIAAFtDb250ZW50X1R5cGVzXS54bWxQSwECFAAKAAAAAACHTuJAAAAA AAAAAAAAAAAABgAAAAAAAAAAABAAAABtAQAAX3JlbHMvUEsBAhQAFAAAAAgAh07iQNVcJijMAAAA jwEAAAsAAAAAAAAAAQAgAAAAkQEAAF9yZWxzLy5yZWxzUEsBAhQACgAAAAAAh07iQAAAAAAAAAAA AAAAAAQAAAAAAAAAAAAQAAAAAAAAAGRycy9QSwECFAAUAAAACACHTuJAea7JqbUAAADbAAAADwAA AAAAAAABACAAAAAiAAAAZHJzL2Rvd25yZXYueG1sUEsBAhQAFAAAAAgAh07iQDMvBZ47AAAAOQAA ABAAAAAAAAAAAQAgAAAABAEAAGRycy9zaGFwZXhtbC54bWxQSwUGAAAAAAYABgBbAQAArgMAAAAA ">
                  <v:fill on="f" focussize="0,0"/>
                  <v:stroke weight="2pt" color="#000000" joinstyle="round"/>
                  <v:imagedata o:title=""/>
                  <o:lock v:ext="edit" aspectratio="t"/>
                </v:shape>
                <v:shape id="AutoShape 23" o:spid="_x0000_s1026" o:spt="32" type="#_x0000_t32" style="position:absolute;left:4257;top:3117;flip:y;height:48;width:126;" filled="f" stroked="t" coordsize="21600,21600" o:gfxdata="UEsDBAoAAAAAAIdO4kAAAAAAAAAAAAAAAAAEAAAAZHJzL1BLAwQUAAAACACHTuJA68AB2rsAAADb AAAADwAAAGRycy9kb3ducmV2LnhtbEVPTWvCQBC9F/oflin0Vjd60Da6ehBT7EFKrYLHITsmwcxs zG5N/PddQfA2j/c5s0XPtbpQ6ysnBoaDBBRJ7mwlhYHdb/b2DsoHFIu1EzJwJQ+L+fPTDFPrOvmh yzYUKoaIT9FAGUKTau3zkhj9wDUkkTu6ljFE2BbattjFcK71KEnGmrGS2FBiQ8uS8tP2jw2w/j5k X12/5FX3UWSbEU/O+09jXl+GyRRUoD48xHf32sb5E7j9Eg/Q839QSwMEFAAAAAgAh07iQDMvBZ47 AAAAOQAAABAAAABkcnMvc2hhcGV4bWwueG1ss7GvyM1RKEstKs7Mz7NVMtQzUFJIzUvOT8nMS7dV Cg1x07VQUiguScxLSczJz0u1VapMLVayt+PlAgBQSwMECgAAAAAAh07iQAAAAAAAAAAAAAAAAAYA AABfcmVscy9QSwMEFAAAAAgAh07iQNVcJijMAAAAjwEAAAsAAABfcmVscy8ucmVsc6WQsWoDMQyG 90DfwWjv+ZKhlBBftkLWkEJXYevuTM6Wscw1efu4lEIvZMugQb/Q9wnt9pcwqZmyeI4G1k0LiqJl 5+Ng4PP08foOSgpGhxNHMnAlgX33stodacJSl2T0SVSlRDEwlpK2WosdKaA0nCjWSc85YKltHnRC e8aB9KZt33T+z4BuwVQHZyAf3AbU6Zqq+Y4dvM0s3JfGctDc994+omoZMdFXmCoG80DFgMvym9bT mlqgH5vXT5odf8cjzUvxT5hp/vPqxRu7G1BLAwQUAAAACACHTuJAWuMRZvcAAADiAQAAEwAAAFtD b250ZW50X1R5cGVzXS54bWyVkU1PxCAQhu8m/gcyV9NSPRhjSvdg9ahG1x8wgWlLtgXCYN3999L9 uBjXxCPMvM/7BOrVdhrFTJGtdwquywoEOe2Ndb2Cj/VTcQeCEzqDo3ekYEcMq+byol7vArHIaccK hpTCvZSsB5qQSx/I5Unn44QpH2MvA+oN9iRvqupWau8SuVSkhQFN3VKHn2MSj9t8fTCJNDKIh8Pi 0qUAQxitxpRN5ezMj5bi2FDm5H6HBxv4KmuA/LVhmZwvOOZe8tNEa0i8YkzPOGUNaSJL479cpLn8 G7JYTlz4rrOayjZym2NvNJ+sztF5wEAZ/V/8+5I7weX+h5pvUEsBAhQAFAAAAAgAh07iQFrjEWb3 AAAA4gEAABMAAAAAAAAAAQAgAAAAjAIAAFtDb250ZW50X1R5cGVzXS54bWxQSwECFAAKAAAAAACH TuJAAAAAAAAAAAAAAAAABgAAAAAAAAAAABAAAABzAQAAX3JlbHMvUEsBAhQAFAAAAAgAh07iQNVc JijMAAAAjwEAAAsAAAAAAAAAAQAgAAAAlwEAAF9yZWxzLy5yZWxzUEsBAhQACgAAAAAAh07iQAAA AAAAAAAAAAAAAAQAAAAAAAAAAAAQAAAAAAAAAGRycy9QSwECFAAUAAAACACHTuJA68AB2rsAAADb AAAADwAAAAAAAAABACAAAAAiAAAAZHJzL2Rvd25yZXYueG1sUEsBAhQAFAAAAAgAh07iQDMvBZ47 AAAAOQAAABAAAAAAAAAAAQAgAAAACgEAAGRycy9zaGFwZXhtbC54bWxQSwUGAAAAAAYABgBbAQAA tAMAAAAA ">
                  <v:fill on="f" focussize="0,0"/>
                  <v:stroke weight="2pt" color="#000000" joinstyle="round"/>
                  <v:imagedata o:title=""/>
                  <o:lock v:ext="edit" aspectratio="t"/>
                </v:shape>
                <w10:wrap type="none"/>
                <w10:anchorlock/>
              </v:group>
            </w:pict>
          </mc:Fallback>
        </mc:AlternateContent>
      </w:r>
    </w:p>
    <w:p>
      <w:pPr>
        <w:jc w:val="center"/>
        <w:rPr>
          <w:rFonts w:ascii="宋体" w:hAnsi="宋体"/>
          <w:szCs w:val="21"/>
        </w:rPr>
      </w:pPr>
      <w:r>
        <w:rPr>
          <w:rFonts w:hint="eastAsia" w:ascii="宋体" w:hAnsi="宋体"/>
          <w:szCs w:val="21"/>
        </w:rPr>
        <w:t>多时段行人语音</w:t>
      </w:r>
    </w:p>
    <w:p>
      <w:pPr>
        <w:jc w:val="center"/>
        <w:rPr>
          <w:rFonts w:hint="eastAsia" w:ascii="宋体" w:hAnsi="宋体"/>
          <w:szCs w:val="21"/>
        </w:rPr>
      </w:pPr>
    </w:p>
    <w:p>
      <w:pPr>
        <w:ind w:firstLine="420" w:firstLineChars="200"/>
        <w:rPr>
          <w:rFonts w:hint="eastAsia" w:ascii="宋体" w:hAnsi="宋体"/>
          <w:szCs w:val="21"/>
        </w:rPr>
      </w:pPr>
      <w:r>
        <w:rPr>
          <w:rFonts w:hint="eastAsia" w:ascii="宋体" w:hAnsi="宋体"/>
          <w:szCs w:val="21"/>
        </w:rPr>
        <w:t>产品参数：</w:t>
      </w:r>
    </w:p>
    <w:p>
      <w:pPr>
        <w:ind w:firstLine="420" w:firstLineChars="200"/>
        <w:rPr>
          <w:rFonts w:hint="eastAsia" w:ascii="宋体" w:hAnsi="宋体"/>
          <w:szCs w:val="21"/>
        </w:rPr>
      </w:pPr>
      <w:r>
        <w:rPr>
          <w:rFonts w:hint="eastAsia" w:ascii="宋体" w:hAnsi="宋体"/>
          <w:szCs w:val="21"/>
        </w:rPr>
        <w:t>·材质</w:t>
      </w:r>
      <w:r>
        <w:rPr>
          <w:rFonts w:hint="eastAsia" w:ascii="宋体" w:hAnsi="宋体"/>
          <w:szCs w:val="21"/>
        </w:rPr>
        <w:tab/>
      </w:r>
      <w:r>
        <w:rPr>
          <w:rFonts w:hint="eastAsia" w:ascii="宋体" w:hAnsi="宋体"/>
          <w:szCs w:val="21"/>
        </w:rPr>
        <w:tab/>
      </w:r>
      <w:r>
        <w:rPr>
          <w:rFonts w:hint="eastAsia" w:ascii="宋体" w:hAnsi="宋体"/>
          <w:szCs w:val="21"/>
        </w:rPr>
        <w:t>不锈钢壳体 黑色喷塑</w:t>
      </w:r>
    </w:p>
    <w:p>
      <w:pPr>
        <w:ind w:firstLine="420" w:firstLineChars="200"/>
        <w:rPr>
          <w:rFonts w:hint="eastAsia" w:ascii="宋体" w:hAnsi="宋体"/>
          <w:szCs w:val="21"/>
        </w:rPr>
      </w:pPr>
      <w:r>
        <w:rPr>
          <w:rFonts w:hint="eastAsia" w:ascii="宋体" w:hAnsi="宋体"/>
          <w:szCs w:val="21"/>
        </w:rPr>
        <w:t>·尺寸</w:t>
      </w:r>
      <w:r>
        <w:rPr>
          <w:rFonts w:hint="eastAsia" w:ascii="宋体" w:hAnsi="宋体"/>
          <w:szCs w:val="21"/>
        </w:rPr>
        <w:tab/>
      </w:r>
      <w:r>
        <w:rPr>
          <w:rFonts w:hint="eastAsia" w:ascii="宋体" w:hAnsi="宋体"/>
          <w:szCs w:val="21"/>
        </w:rPr>
        <w:tab/>
      </w:r>
      <w:r>
        <w:rPr>
          <w:rFonts w:hint="eastAsia" w:ascii="宋体" w:hAnsi="宋体"/>
          <w:szCs w:val="21"/>
        </w:rPr>
        <w:t>260mm×160mm×100mm（长宽高）</w:t>
      </w:r>
    </w:p>
    <w:p>
      <w:pPr>
        <w:ind w:firstLine="420" w:firstLineChars="200"/>
        <w:rPr>
          <w:rFonts w:hint="eastAsia" w:ascii="宋体" w:hAnsi="宋体"/>
          <w:szCs w:val="21"/>
        </w:rPr>
      </w:pPr>
      <w:r>
        <w:rPr>
          <w:rFonts w:hint="eastAsia" w:ascii="宋体" w:hAnsi="宋体"/>
          <w:szCs w:val="21"/>
        </w:rPr>
        <w:t>·电源</w:t>
      </w:r>
      <w:r>
        <w:rPr>
          <w:rFonts w:hint="eastAsia" w:ascii="宋体" w:hAnsi="宋体"/>
          <w:szCs w:val="21"/>
        </w:rPr>
        <w:tab/>
      </w:r>
      <w:r>
        <w:rPr>
          <w:rFonts w:hint="eastAsia" w:ascii="宋体" w:hAnsi="宋体"/>
          <w:szCs w:val="21"/>
        </w:rPr>
        <w:tab/>
      </w:r>
      <w:r>
        <w:rPr>
          <w:rFonts w:hint="eastAsia" w:ascii="宋体" w:hAnsi="宋体"/>
          <w:szCs w:val="21"/>
        </w:rPr>
        <w:t>人行灯红绿信号220VAC(±20%)黑护套线；红：红灯，绿：绿灯；黑：零线；</w:t>
      </w:r>
    </w:p>
    <w:p>
      <w:pPr>
        <w:ind w:firstLine="420" w:firstLineChars="200"/>
        <w:rPr>
          <w:rFonts w:hint="eastAsia" w:ascii="宋体" w:hAnsi="宋体"/>
          <w:szCs w:val="21"/>
        </w:rPr>
      </w:pPr>
      <w:r>
        <w:rPr>
          <w:rFonts w:hint="eastAsia" w:ascii="宋体" w:hAnsi="宋体"/>
          <w:szCs w:val="21"/>
        </w:rPr>
        <w:t>·功率</w:t>
      </w:r>
      <w:r>
        <w:rPr>
          <w:rFonts w:hint="eastAsia" w:ascii="宋体" w:hAnsi="宋体"/>
          <w:szCs w:val="21"/>
        </w:rPr>
        <w:tab/>
      </w:r>
      <w:r>
        <w:rPr>
          <w:rFonts w:hint="eastAsia" w:ascii="宋体" w:hAnsi="宋体"/>
          <w:szCs w:val="21"/>
        </w:rPr>
        <w:tab/>
      </w:r>
      <w:r>
        <w:rPr>
          <w:rFonts w:hint="eastAsia" w:ascii="宋体" w:hAnsi="宋体"/>
          <w:szCs w:val="21"/>
        </w:rPr>
        <w:t>≤15W</w:t>
      </w:r>
    </w:p>
    <w:p>
      <w:pPr>
        <w:ind w:firstLine="420" w:firstLineChars="200"/>
        <w:rPr>
          <w:rFonts w:hint="eastAsia" w:ascii="宋体" w:hAnsi="宋体"/>
          <w:szCs w:val="21"/>
        </w:rPr>
      </w:pPr>
      <w:r>
        <w:rPr>
          <w:rFonts w:hint="eastAsia" w:ascii="宋体" w:hAnsi="宋体"/>
          <w:szCs w:val="21"/>
        </w:rPr>
        <w:t>·语音内容</w:t>
      </w:r>
      <w:r>
        <w:rPr>
          <w:rFonts w:hint="eastAsia" w:ascii="宋体" w:hAnsi="宋体"/>
          <w:szCs w:val="21"/>
        </w:rPr>
        <w:tab/>
      </w:r>
      <w:r>
        <w:rPr>
          <w:rFonts w:hint="eastAsia" w:ascii="宋体" w:hAnsi="宋体"/>
          <w:szCs w:val="21"/>
        </w:rPr>
        <w:t>【默认】</w:t>
      </w:r>
    </w:p>
    <w:p>
      <w:pPr>
        <w:ind w:firstLine="420" w:firstLineChars="200"/>
        <w:rPr>
          <w:rFonts w:hint="eastAsia" w:ascii="宋体" w:hAnsi="宋体"/>
          <w:szCs w:val="21"/>
        </w:rPr>
      </w:pPr>
      <w:r>
        <w:rPr>
          <w:rFonts w:hint="eastAsia" w:ascii="宋体" w:hAnsi="宋体"/>
          <w:szCs w:val="21"/>
        </w:rPr>
        <w:t>红灯：“现在是红灯，行人请止步”</w:t>
      </w:r>
    </w:p>
    <w:p>
      <w:pPr>
        <w:ind w:firstLine="420" w:firstLineChars="200"/>
        <w:rPr>
          <w:rFonts w:hint="eastAsia" w:ascii="宋体" w:hAnsi="宋体"/>
          <w:szCs w:val="21"/>
        </w:rPr>
      </w:pPr>
      <w:r>
        <w:rPr>
          <w:rFonts w:hint="eastAsia" w:ascii="宋体" w:hAnsi="宋体"/>
          <w:szCs w:val="21"/>
        </w:rPr>
        <w:t>绿灯：“现在是绿灯，行人请走斑马线”</w:t>
      </w:r>
    </w:p>
    <w:p>
      <w:pPr>
        <w:ind w:firstLine="420" w:firstLineChars="200"/>
        <w:rPr>
          <w:rFonts w:hint="eastAsia" w:ascii="宋体" w:hAnsi="宋体"/>
          <w:szCs w:val="21"/>
        </w:rPr>
      </w:pPr>
      <w:r>
        <w:rPr>
          <w:rFonts w:hint="eastAsia" w:ascii="宋体" w:hAnsi="宋体"/>
          <w:szCs w:val="21"/>
        </w:rPr>
        <w:t>可设置的“嘟嘟嘟”盲人钟声；</w:t>
      </w:r>
    </w:p>
    <w:p>
      <w:pPr>
        <w:ind w:firstLine="420" w:firstLineChars="200"/>
        <w:rPr>
          <w:rFonts w:hint="eastAsia" w:ascii="宋体" w:hAnsi="宋体"/>
          <w:szCs w:val="21"/>
        </w:rPr>
      </w:pPr>
      <w:r>
        <w:rPr>
          <w:rFonts w:hint="eastAsia" w:ascii="宋体" w:hAnsi="宋体"/>
          <w:szCs w:val="21"/>
        </w:rPr>
        <w:t>·语音遍数</w:t>
      </w:r>
      <w:r>
        <w:rPr>
          <w:rFonts w:hint="eastAsia" w:ascii="宋体" w:hAnsi="宋体"/>
          <w:szCs w:val="21"/>
        </w:rPr>
        <w:tab/>
      </w:r>
      <w:r>
        <w:rPr>
          <w:rFonts w:hint="eastAsia" w:ascii="宋体" w:hAnsi="宋体"/>
          <w:szCs w:val="21"/>
        </w:rPr>
        <w:tab/>
      </w:r>
      <w:r>
        <w:rPr>
          <w:rFonts w:hint="eastAsia" w:ascii="宋体" w:hAnsi="宋体"/>
          <w:szCs w:val="21"/>
        </w:rPr>
        <w:t>人声播报遍数可设（0-9遍）；</w:t>
      </w:r>
    </w:p>
    <w:p>
      <w:pPr>
        <w:ind w:firstLine="420" w:firstLineChars="200"/>
        <w:rPr>
          <w:rFonts w:hint="eastAsia" w:ascii="宋体" w:hAnsi="宋体"/>
          <w:szCs w:val="21"/>
        </w:rPr>
      </w:pPr>
      <w:r>
        <w:rPr>
          <w:rFonts w:hint="eastAsia" w:ascii="宋体" w:hAnsi="宋体"/>
          <w:szCs w:val="21"/>
        </w:rPr>
        <w:t>·盲人钟频率</w:t>
      </w:r>
      <w:r>
        <w:rPr>
          <w:rFonts w:hint="eastAsia" w:ascii="宋体" w:hAnsi="宋体"/>
          <w:szCs w:val="21"/>
        </w:rPr>
        <w:tab/>
      </w:r>
      <w:r>
        <w:rPr>
          <w:rFonts w:hint="eastAsia" w:ascii="宋体" w:hAnsi="宋体"/>
          <w:szCs w:val="21"/>
        </w:rPr>
        <w:t>红灯盲人钟1.0~1.9秒一次或关闭，绿灯盲人钟每秒0~14次8级可调；</w:t>
      </w:r>
    </w:p>
    <w:p>
      <w:pPr>
        <w:ind w:firstLine="420" w:firstLineChars="200"/>
        <w:rPr>
          <w:rFonts w:hint="eastAsia" w:ascii="宋体" w:hAnsi="宋体"/>
          <w:szCs w:val="21"/>
        </w:rPr>
      </w:pPr>
      <w:r>
        <w:rPr>
          <w:rFonts w:hint="eastAsia" w:ascii="宋体" w:hAnsi="宋体"/>
          <w:szCs w:val="21"/>
        </w:rPr>
        <w:t>·音量</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0~9级，0为不播报语音，9为语音播报声音最大；</w:t>
      </w:r>
    </w:p>
    <w:p>
      <w:pPr>
        <w:ind w:firstLine="420" w:firstLineChars="200"/>
        <w:rPr>
          <w:rFonts w:hint="eastAsia" w:ascii="宋体" w:hAnsi="宋体"/>
          <w:szCs w:val="21"/>
        </w:rPr>
      </w:pPr>
      <w:r>
        <w:rPr>
          <w:rFonts w:hint="eastAsia" w:ascii="宋体" w:hAnsi="宋体"/>
          <w:szCs w:val="21"/>
        </w:rPr>
        <w:t>·时段控制</w:t>
      </w:r>
      <w:r>
        <w:rPr>
          <w:rFonts w:hint="eastAsia" w:ascii="宋体" w:hAnsi="宋体"/>
          <w:szCs w:val="21"/>
        </w:rPr>
        <w:tab/>
      </w:r>
      <w:r>
        <w:rPr>
          <w:rFonts w:hint="eastAsia" w:ascii="宋体" w:hAnsi="宋体"/>
          <w:szCs w:val="21"/>
        </w:rPr>
        <w:tab/>
      </w:r>
      <w:r>
        <w:rPr>
          <w:rFonts w:hint="eastAsia" w:ascii="宋体" w:hAnsi="宋体"/>
          <w:szCs w:val="21"/>
        </w:rPr>
        <w:t>内置实时钟，10个时段音量可调节；</w:t>
      </w:r>
    </w:p>
    <w:p>
      <w:pPr>
        <w:ind w:firstLine="420" w:firstLineChars="200"/>
        <w:rPr>
          <w:rFonts w:hint="eastAsia" w:ascii="宋体" w:hAnsi="宋体"/>
          <w:szCs w:val="21"/>
        </w:rPr>
      </w:pPr>
      <w:r>
        <w:rPr>
          <w:rFonts w:hint="eastAsia" w:ascii="宋体" w:hAnsi="宋体"/>
          <w:szCs w:val="21"/>
        </w:rPr>
        <w:t>·喇叭功率</w:t>
      </w:r>
      <w:r>
        <w:rPr>
          <w:rFonts w:hint="eastAsia" w:ascii="宋体" w:hAnsi="宋体"/>
          <w:szCs w:val="21"/>
        </w:rPr>
        <w:tab/>
      </w:r>
      <w:r>
        <w:rPr>
          <w:rFonts w:hint="eastAsia" w:ascii="宋体" w:hAnsi="宋体"/>
          <w:szCs w:val="21"/>
        </w:rPr>
        <w:tab/>
      </w:r>
      <w:r>
        <w:rPr>
          <w:rFonts w:hint="eastAsia" w:ascii="宋体" w:hAnsi="宋体"/>
          <w:szCs w:val="21"/>
        </w:rPr>
        <w:t>10Wmax；</w:t>
      </w:r>
    </w:p>
    <w:p>
      <w:pPr>
        <w:ind w:firstLine="420" w:firstLineChars="200"/>
        <w:rPr>
          <w:rFonts w:hint="eastAsia" w:ascii="宋体" w:hAnsi="宋体"/>
          <w:szCs w:val="21"/>
        </w:rPr>
      </w:pPr>
      <w:r>
        <w:rPr>
          <w:rFonts w:hint="eastAsia" w:ascii="宋体" w:hAnsi="宋体"/>
          <w:szCs w:val="21"/>
        </w:rPr>
        <w:t>·声压级</w:t>
      </w:r>
      <w:r>
        <w:rPr>
          <w:rFonts w:hint="eastAsia" w:ascii="宋体" w:hAnsi="宋体"/>
          <w:szCs w:val="21"/>
        </w:rPr>
        <w:tab/>
      </w:r>
      <w:r>
        <w:rPr>
          <w:rFonts w:hint="eastAsia" w:ascii="宋体" w:hAnsi="宋体"/>
          <w:szCs w:val="21"/>
        </w:rPr>
        <w:tab/>
      </w:r>
      <w:r>
        <w:rPr>
          <w:rFonts w:hint="eastAsia" w:ascii="宋体" w:hAnsi="宋体"/>
          <w:szCs w:val="21"/>
        </w:rPr>
        <w:t>70~90db</w:t>
      </w:r>
    </w:p>
    <w:p>
      <w:pPr>
        <w:ind w:firstLine="420" w:firstLineChars="200"/>
        <w:rPr>
          <w:rFonts w:hint="eastAsia" w:ascii="宋体" w:hAnsi="宋体"/>
          <w:szCs w:val="21"/>
        </w:rPr>
      </w:pPr>
      <w:r>
        <w:rPr>
          <w:rFonts w:hint="eastAsia" w:ascii="宋体" w:hAnsi="宋体"/>
          <w:szCs w:val="21"/>
        </w:rPr>
        <w:t>·工作温度</w:t>
      </w:r>
      <w:r>
        <w:rPr>
          <w:rFonts w:hint="eastAsia" w:ascii="宋体" w:hAnsi="宋体"/>
          <w:szCs w:val="21"/>
        </w:rPr>
        <w:tab/>
      </w:r>
      <w:r>
        <w:rPr>
          <w:rFonts w:hint="eastAsia" w:ascii="宋体" w:hAnsi="宋体"/>
          <w:szCs w:val="21"/>
        </w:rPr>
        <w:tab/>
      </w:r>
      <w:r>
        <w:rPr>
          <w:rFonts w:hint="eastAsia" w:ascii="宋体" w:hAnsi="宋体"/>
          <w:szCs w:val="21"/>
        </w:rPr>
        <w:t>-40~+85℃ 相对湿度 ≤93%</w:t>
      </w:r>
    </w:p>
    <w:p>
      <w:pPr>
        <w:ind w:firstLine="420" w:firstLineChars="200"/>
        <w:rPr>
          <w:rFonts w:hint="eastAsia" w:ascii="宋体" w:hAnsi="宋体"/>
          <w:szCs w:val="21"/>
        </w:rPr>
      </w:pPr>
      <w:r>
        <w:rPr>
          <w:rFonts w:hint="eastAsia" w:ascii="宋体" w:hAnsi="宋体"/>
          <w:szCs w:val="21"/>
        </w:rPr>
        <w:t>·保存环境</w:t>
      </w:r>
      <w:r>
        <w:rPr>
          <w:rFonts w:hint="eastAsia" w:ascii="宋体" w:hAnsi="宋体"/>
          <w:szCs w:val="21"/>
        </w:rPr>
        <w:tab/>
      </w:r>
      <w:r>
        <w:rPr>
          <w:rFonts w:hint="eastAsia" w:ascii="宋体" w:hAnsi="宋体"/>
          <w:szCs w:val="21"/>
        </w:rPr>
        <w:tab/>
      </w:r>
      <w:r>
        <w:rPr>
          <w:rFonts w:hint="eastAsia" w:ascii="宋体" w:hAnsi="宋体"/>
          <w:szCs w:val="21"/>
        </w:rPr>
        <w:t>0~50℃，40~60%RH</w:t>
      </w:r>
    </w:p>
    <w:p>
      <w:pPr>
        <w:ind w:firstLine="420" w:firstLineChars="200"/>
        <w:rPr>
          <w:rFonts w:hint="eastAsia" w:ascii="宋体" w:hAnsi="宋体"/>
          <w:szCs w:val="21"/>
        </w:rPr>
      </w:pPr>
      <w:r>
        <w:rPr>
          <w:rFonts w:hint="eastAsia" w:ascii="宋体" w:hAnsi="宋体"/>
          <w:szCs w:val="21"/>
        </w:rPr>
        <w:t>·重量</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~3.0KG</w:t>
      </w:r>
    </w:p>
    <w:p>
      <w:pPr>
        <w:ind w:firstLine="420" w:firstLineChars="200"/>
        <w:rPr>
          <w:rFonts w:hint="eastAsia" w:ascii="宋体" w:hAnsi="宋体"/>
          <w:szCs w:val="21"/>
        </w:rPr>
      </w:pPr>
      <w:r>
        <w:rPr>
          <w:rFonts w:hint="eastAsia" w:ascii="宋体" w:hAnsi="宋体"/>
          <w:szCs w:val="21"/>
        </w:rPr>
        <w:t>·毛重</w:t>
      </w:r>
      <w:r>
        <w:rPr>
          <w:rFonts w:hint="eastAsia" w:ascii="宋体" w:hAnsi="宋体"/>
          <w:szCs w:val="21"/>
        </w:rPr>
        <w:tab/>
      </w:r>
      <w:r>
        <w:rPr>
          <w:rFonts w:hint="eastAsia" w:ascii="宋体" w:hAnsi="宋体"/>
          <w:szCs w:val="21"/>
        </w:rPr>
        <w:tab/>
      </w:r>
      <w:r>
        <w:rPr>
          <w:rFonts w:hint="eastAsia" w:ascii="宋体" w:hAnsi="宋体"/>
          <w:szCs w:val="21"/>
        </w:rPr>
        <w:tab/>
      </w:r>
      <w:r>
        <w:rPr>
          <w:rFonts w:hint="eastAsia" w:ascii="宋体" w:hAnsi="宋体"/>
          <w:szCs w:val="21"/>
        </w:rPr>
        <w:t>≤6KG</w:t>
      </w:r>
    </w:p>
    <w:p>
      <w:pPr>
        <w:ind w:firstLine="420" w:firstLineChars="200"/>
        <w:rPr>
          <w:rFonts w:hint="eastAsia" w:ascii="宋体" w:hAnsi="宋体"/>
          <w:szCs w:val="21"/>
        </w:rPr>
      </w:pPr>
      <w:r>
        <w:rPr>
          <w:rFonts w:hint="eastAsia" w:ascii="宋体" w:hAnsi="宋体"/>
          <w:szCs w:val="21"/>
        </w:rPr>
        <w:t>·安装方式</w:t>
      </w:r>
      <w:r>
        <w:rPr>
          <w:rFonts w:hint="eastAsia" w:ascii="宋体" w:hAnsi="宋体"/>
          <w:szCs w:val="21"/>
        </w:rPr>
        <w:tab/>
      </w:r>
      <w:r>
        <w:rPr>
          <w:rFonts w:hint="eastAsia" w:ascii="宋体" w:hAnsi="宋体"/>
          <w:szCs w:val="21"/>
        </w:rPr>
        <w:tab/>
      </w:r>
      <w:r>
        <w:rPr>
          <w:rFonts w:hint="eastAsia" w:ascii="宋体" w:hAnsi="宋体"/>
          <w:szCs w:val="21"/>
        </w:rPr>
        <w:t>人行灯上方固定或抱灯杆</w:t>
      </w:r>
    </w:p>
    <w:p>
      <w:pPr>
        <w:ind w:firstLine="420" w:firstLineChars="200"/>
        <w:rPr>
          <w:rFonts w:hint="eastAsia" w:ascii="宋体" w:hAnsi="宋体"/>
          <w:szCs w:val="21"/>
        </w:rPr>
      </w:pPr>
      <w:r>
        <w:rPr>
          <w:rFonts w:hint="eastAsia" w:ascii="宋体" w:hAnsi="宋体"/>
          <w:szCs w:val="21"/>
        </w:rPr>
        <w:t>·非RoHS</w:t>
      </w:r>
    </w:p>
    <w:p>
      <w:pPr>
        <w:ind w:firstLine="422" w:firstLineChars="200"/>
        <w:rPr>
          <w:rFonts w:hint="eastAsia" w:ascii="宋体" w:hAnsi="宋体"/>
          <w:b/>
          <w:bCs/>
          <w:szCs w:val="21"/>
        </w:rPr>
      </w:pPr>
      <w:r>
        <w:rPr>
          <w:rFonts w:hint="eastAsia" w:ascii="宋体" w:hAnsi="宋体"/>
          <w:b/>
          <w:bCs/>
          <w:szCs w:val="21"/>
        </w:rPr>
        <w:t>五、工作要求及安全文明施工</w:t>
      </w:r>
    </w:p>
    <w:p>
      <w:pPr>
        <w:ind w:firstLine="422" w:firstLineChars="200"/>
        <w:rPr>
          <w:rFonts w:hint="eastAsia" w:ascii="宋体" w:hAnsi="宋体"/>
          <w:b/>
          <w:bCs/>
          <w:szCs w:val="21"/>
        </w:rPr>
      </w:pPr>
      <w:r>
        <w:rPr>
          <w:rFonts w:hint="eastAsia" w:ascii="宋体" w:hAnsi="宋体"/>
          <w:b/>
          <w:bCs/>
          <w:szCs w:val="21"/>
        </w:rPr>
        <w:t>一）、工作要求</w:t>
      </w:r>
    </w:p>
    <w:p>
      <w:pPr>
        <w:ind w:firstLine="420" w:firstLineChars="200"/>
        <w:rPr>
          <w:rFonts w:ascii="宋体" w:hAnsi="宋体"/>
          <w:szCs w:val="21"/>
        </w:rPr>
      </w:pPr>
      <w:r>
        <w:rPr>
          <w:rFonts w:hint="eastAsia" w:ascii="宋体" w:hAnsi="宋体"/>
          <w:szCs w:val="21"/>
        </w:rPr>
        <w:t>1、按有关技术规范进行施工，确保项目质量，按时完成区域范围内的交通设施维护工作；所使用的主要原材料均需要提供检测报告或质量保证单并建立项目施工的质量保证体系；</w:t>
      </w:r>
    </w:p>
    <w:p>
      <w:pPr>
        <w:ind w:firstLine="420" w:firstLineChars="200"/>
        <w:rPr>
          <w:rFonts w:hint="eastAsia" w:ascii="宋体" w:hAnsi="宋体"/>
          <w:szCs w:val="21"/>
        </w:rPr>
      </w:pPr>
      <w:r>
        <w:rPr>
          <w:rFonts w:hint="eastAsia" w:ascii="宋体" w:hAnsi="宋体"/>
          <w:szCs w:val="21"/>
        </w:rPr>
        <w:t>2、建立相关台账日常收集建立（拆除设施的出入库台账登记；维护清单中包含维修前后对比照片、拆除的设施照片等三类照片，并将拆除设施汇总入库，制作相应清单台账），每月5日前上报上月的工作量、工作数据等，每月完成工作量清单的签字审核并上报秩序科及监理单位；</w:t>
      </w:r>
    </w:p>
    <w:p>
      <w:pPr>
        <w:ind w:firstLine="420" w:firstLineChars="200"/>
        <w:rPr>
          <w:rFonts w:hint="eastAsia" w:ascii="宋体" w:hAnsi="宋体"/>
          <w:szCs w:val="21"/>
        </w:rPr>
      </w:pPr>
      <w:r>
        <w:rPr>
          <w:rFonts w:hint="eastAsia" w:ascii="宋体" w:hAnsi="宋体"/>
          <w:szCs w:val="21"/>
        </w:rPr>
        <w:t>3、负责施工场地的安全文明生产。接受交通警察支队、监理对文明施工、安全施工、质量、施工时效等的监管；</w:t>
      </w:r>
    </w:p>
    <w:p>
      <w:pPr>
        <w:ind w:firstLine="420" w:firstLineChars="200"/>
        <w:rPr>
          <w:rFonts w:hint="eastAsia" w:ascii="宋体" w:hAnsi="宋体"/>
          <w:szCs w:val="21"/>
        </w:rPr>
      </w:pPr>
      <w:r>
        <w:rPr>
          <w:rFonts w:hint="eastAsia" w:ascii="宋体" w:hAnsi="宋体"/>
          <w:szCs w:val="21"/>
        </w:rPr>
        <w:t>4、辖区大队、中队、监理在巡查过程中发现中标单位在施工中不按国家有关标准设置，经交通警察支队确认后，施工单位无条件返工；</w:t>
      </w:r>
    </w:p>
    <w:p>
      <w:pPr>
        <w:ind w:firstLine="420" w:firstLineChars="200"/>
        <w:rPr>
          <w:rFonts w:hint="eastAsia" w:ascii="宋体" w:hAnsi="宋体"/>
          <w:sz w:val="28"/>
          <w:szCs w:val="28"/>
        </w:rPr>
      </w:pPr>
      <w:r>
        <w:rPr>
          <w:rFonts w:hint="eastAsia" w:ascii="宋体" w:hAnsi="宋体"/>
          <w:szCs w:val="21"/>
        </w:rPr>
        <w:t>5、除业主要求外，更换后的交通安全设施须和原有设施品牌一致；新的信号灯灯组更换时，维护的信号灯组品牌原则上原有品牌一致，更换前必须由业主和监理确认。</w:t>
      </w:r>
    </w:p>
    <w:p>
      <w:pPr>
        <w:ind w:firstLine="422" w:firstLineChars="200"/>
        <w:rPr>
          <w:rFonts w:ascii="宋体" w:hAnsi="宋体"/>
          <w:b/>
          <w:bCs/>
          <w:szCs w:val="21"/>
        </w:rPr>
      </w:pPr>
      <w:r>
        <w:rPr>
          <w:rFonts w:hint="eastAsia" w:ascii="宋体" w:hAnsi="宋体"/>
          <w:b/>
          <w:bCs/>
          <w:szCs w:val="21"/>
        </w:rPr>
        <w:t>二）、安全文明施工与检查</w:t>
      </w:r>
    </w:p>
    <w:p>
      <w:pPr>
        <w:ind w:firstLine="420" w:firstLineChars="200"/>
        <w:rPr>
          <w:rFonts w:ascii="宋体" w:hAnsi="宋体"/>
          <w:szCs w:val="21"/>
        </w:rPr>
      </w:pPr>
      <w:r>
        <w:rPr>
          <w:rFonts w:hint="eastAsia" w:ascii="宋体" w:hAnsi="宋体"/>
          <w:szCs w:val="21"/>
        </w:rPr>
        <w:t>1.1供应商应遵循有关规定及行业规范，严格按照操作规程作业，并随时接受采购人或有关部门的监督检查和社会监督，采取必要的安全防护措施，消除事故隐患。</w:t>
      </w:r>
    </w:p>
    <w:p>
      <w:pPr>
        <w:ind w:firstLine="420" w:firstLineChars="200"/>
        <w:rPr>
          <w:rFonts w:ascii="宋体" w:hAnsi="宋体"/>
          <w:szCs w:val="21"/>
        </w:rPr>
      </w:pPr>
      <w:r>
        <w:rPr>
          <w:rFonts w:hint="eastAsia" w:ascii="宋体" w:hAnsi="宋体"/>
          <w:szCs w:val="21"/>
        </w:rPr>
        <w:t>1.2由于供应商管理不善，引起政府职能部门处罚和限期整改，或安全措施不力造成事故的责任和因此发生的费用，由供应商承担。</w:t>
      </w:r>
    </w:p>
    <w:p>
      <w:pPr>
        <w:ind w:firstLine="422" w:firstLineChars="200"/>
        <w:rPr>
          <w:rFonts w:ascii="宋体" w:hAnsi="宋体"/>
          <w:b/>
          <w:bCs/>
          <w:szCs w:val="21"/>
        </w:rPr>
      </w:pPr>
      <w:r>
        <w:rPr>
          <w:rFonts w:hint="eastAsia" w:ascii="宋体" w:hAnsi="宋体"/>
          <w:b/>
          <w:bCs/>
          <w:szCs w:val="21"/>
        </w:rPr>
        <w:t>2.安全防护</w:t>
      </w:r>
    </w:p>
    <w:p>
      <w:pPr>
        <w:ind w:firstLine="420" w:firstLineChars="200"/>
        <w:rPr>
          <w:rFonts w:ascii="宋体" w:hAnsi="宋体"/>
          <w:szCs w:val="21"/>
        </w:rPr>
      </w:pPr>
      <w:r>
        <w:rPr>
          <w:rFonts w:hint="eastAsia" w:ascii="宋体" w:hAnsi="宋体"/>
          <w:szCs w:val="21"/>
        </w:rPr>
        <w:t>2.1作业人员应做好各项安全防范措施，必须着装上岗操作。</w:t>
      </w:r>
    </w:p>
    <w:p>
      <w:pPr>
        <w:ind w:firstLine="422" w:firstLineChars="200"/>
        <w:rPr>
          <w:rFonts w:ascii="宋体" w:hAnsi="宋体"/>
          <w:b/>
          <w:bCs/>
          <w:szCs w:val="21"/>
        </w:rPr>
      </w:pPr>
      <w:r>
        <w:rPr>
          <w:rFonts w:hint="eastAsia" w:ascii="宋体" w:hAnsi="宋体"/>
          <w:b/>
          <w:bCs/>
          <w:szCs w:val="21"/>
        </w:rPr>
        <w:t>3.事故处理</w:t>
      </w:r>
    </w:p>
    <w:p>
      <w:pPr>
        <w:ind w:firstLine="420" w:firstLineChars="200"/>
        <w:rPr>
          <w:rFonts w:hint="eastAsia" w:ascii="宋体" w:hAnsi="宋体"/>
          <w:szCs w:val="21"/>
        </w:rPr>
      </w:pPr>
      <w:r>
        <w:rPr>
          <w:rFonts w:hint="eastAsia" w:ascii="宋体" w:hAnsi="宋体"/>
          <w:szCs w:val="21"/>
        </w:rPr>
        <w:t>3.1发生重大伤亡及其他安全事故，供应商按有关规定立即上报有关部门并通知采购人代表，同时按政府有关部门要求处理由事故责任方承担发生的费用。</w:t>
      </w:r>
    </w:p>
    <w:p>
      <w:pPr>
        <w:ind w:firstLine="422" w:firstLineChars="200"/>
        <w:rPr>
          <w:rFonts w:ascii="宋体" w:hAnsi="宋体"/>
          <w:b/>
          <w:bCs/>
          <w:szCs w:val="21"/>
        </w:rPr>
      </w:pPr>
      <w:r>
        <w:rPr>
          <w:rFonts w:hint="eastAsia" w:ascii="宋体" w:hAnsi="宋体"/>
          <w:b/>
          <w:bCs/>
          <w:szCs w:val="21"/>
        </w:rPr>
        <w:t>六、售后服务</w:t>
      </w:r>
      <w:bookmarkStart w:id="113" w:name="_Toc170792779"/>
    </w:p>
    <w:p>
      <w:pPr>
        <w:ind w:firstLine="420" w:firstLineChars="200"/>
        <w:rPr>
          <w:rFonts w:ascii="宋体" w:hAnsi="宋体"/>
          <w:szCs w:val="21"/>
        </w:rPr>
      </w:pPr>
      <w:r>
        <w:rPr>
          <w:rFonts w:ascii="宋体" w:hAnsi="宋体"/>
          <w:szCs w:val="21"/>
        </w:rPr>
        <w:t>1、供应商对其供货的</w:t>
      </w:r>
      <w:r>
        <w:rPr>
          <w:rFonts w:hint="eastAsia" w:ascii="宋体" w:hAnsi="宋体"/>
          <w:szCs w:val="21"/>
        </w:rPr>
        <w:t>货物</w:t>
      </w:r>
      <w:r>
        <w:rPr>
          <w:rFonts w:ascii="宋体" w:hAnsi="宋体"/>
          <w:szCs w:val="21"/>
        </w:rPr>
        <w:t>质量</w:t>
      </w:r>
      <w:r>
        <w:rPr>
          <w:rFonts w:hint="eastAsia" w:ascii="宋体" w:hAnsi="宋体"/>
          <w:szCs w:val="21"/>
        </w:rPr>
        <w:t>按国家规定</w:t>
      </w:r>
      <w:r>
        <w:rPr>
          <w:rFonts w:ascii="宋体" w:hAnsi="宋体"/>
          <w:szCs w:val="21"/>
        </w:rPr>
        <w:t>负责并实行三包。</w:t>
      </w:r>
    </w:p>
    <w:p>
      <w:pPr>
        <w:ind w:firstLine="422" w:firstLineChars="200"/>
        <w:rPr>
          <w:rFonts w:ascii="宋体" w:hAnsi="宋体"/>
          <w:b/>
          <w:bCs/>
          <w:szCs w:val="21"/>
        </w:rPr>
      </w:pPr>
      <w:r>
        <w:rPr>
          <w:rFonts w:hint="eastAsia" w:ascii="宋体" w:hAnsi="宋体"/>
          <w:b/>
          <w:bCs/>
          <w:szCs w:val="21"/>
        </w:rPr>
        <w:t>2、标线、信号灯（含发光原件）、护栏保修12个月，其它等保修12个月、标杆质保5年。</w:t>
      </w:r>
    </w:p>
    <w:p>
      <w:pPr>
        <w:ind w:firstLine="420" w:firstLineChars="200"/>
        <w:rPr>
          <w:rFonts w:ascii="宋体" w:hAnsi="宋体"/>
          <w:szCs w:val="21"/>
        </w:rPr>
      </w:pPr>
      <w:r>
        <w:rPr>
          <w:rFonts w:hint="eastAsia" w:ascii="宋体" w:hAnsi="宋体"/>
          <w:szCs w:val="21"/>
        </w:rPr>
        <w:t>质保期内的货物免费维修，不能维修的予以调换。</w:t>
      </w:r>
    </w:p>
    <w:p>
      <w:pPr>
        <w:ind w:firstLine="422" w:firstLineChars="200"/>
        <w:rPr>
          <w:rFonts w:ascii="宋体" w:hAnsi="宋体"/>
          <w:b/>
          <w:bCs/>
          <w:szCs w:val="21"/>
        </w:rPr>
      </w:pPr>
      <w:r>
        <w:rPr>
          <w:rFonts w:hint="eastAsia" w:ascii="宋体" w:hAnsi="宋体"/>
          <w:b/>
          <w:bCs/>
          <w:szCs w:val="21"/>
        </w:rPr>
        <w:t>七、备品备件</w:t>
      </w:r>
    </w:p>
    <w:p>
      <w:pPr>
        <w:ind w:firstLine="420" w:firstLineChars="200"/>
        <w:rPr>
          <w:rFonts w:ascii="宋体" w:hAnsi="宋体"/>
          <w:szCs w:val="21"/>
        </w:rPr>
      </w:pPr>
      <w:r>
        <w:rPr>
          <w:rFonts w:hint="eastAsia" w:ascii="宋体" w:hAnsi="宋体"/>
          <w:szCs w:val="21"/>
        </w:rPr>
        <w:t>1、</w:t>
      </w:r>
      <w:r>
        <w:rPr>
          <w:rFonts w:ascii="宋体" w:hAnsi="宋体"/>
          <w:szCs w:val="21"/>
        </w:rPr>
        <w:t>保</w:t>
      </w:r>
      <w:r>
        <w:rPr>
          <w:rFonts w:hint="eastAsia" w:ascii="宋体" w:hAnsi="宋体"/>
          <w:szCs w:val="21"/>
        </w:rPr>
        <w:t>修</w:t>
      </w:r>
      <w:r>
        <w:rPr>
          <w:rFonts w:ascii="宋体" w:hAnsi="宋体"/>
          <w:szCs w:val="21"/>
        </w:rPr>
        <w:t>期内如发生质量问题，供应商在接到采购人</w:t>
      </w:r>
      <w:r>
        <w:rPr>
          <w:rFonts w:hint="eastAsia" w:ascii="宋体" w:hAnsi="宋体"/>
          <w:szCs w:val="21"/>
        </w:rPr>
        <w:t>通知一天内</w:t>
      </w:r>
      <w:r>
        <w:rPr>
          <w:rFonts w:ascii="宋体" w:hAnsi="宋体"/>
          <w:szCs w:val="21"/>
        </w:rPr>
        <w:t>给予答复，如属</w:t>
      </w:r>
      <w:r>
        <w:rPr>
          <w:rFonts w:hint="eastAsia" w:ascii="宋体" w:hAnsi="宋体"/>
          <w:szCs w:val="21"/>
        </w:rPr>
        <w:t>于供应商的责任，供应商负责48小时修复、更换或退货，并承担由此发生的一切费用，一时确实无法修复的，准备替代品，修复后退回替代品。如因采购人使用不当造成的问题，供应商应积极配合解决。修复或更换时间最长不超过7</w:t>
      </w:r>
      <w:r>
        <w:rPr>
          <w:rFonts w:ascii="宋体" w:hAnsi="宋体"/>
          <w:szCs w:val="21"/>
        </w:rPr>
        <w:t>天。</w:t>
      </w:r>
    </w:p>
    <w:p>
      <w:pPr>
        <w:ind w:firstLine="420" w:firstLineChars="200"/>
        <w:rPr>
          <w:rFonts w:ascii="宋体" w:hAnsi="宋体"/>
          <w:szCs w:val="21"/>
        </w:rPr>
      </w:pPr>
      <w:r>
        <w:rPr>
          <w:rFonts w:hint="eastAsia" w:ascii="宋体" w:hAnsi="宋体"/>
          <w:szCs w:val="21"/>
        </w:rPr>
        <w:t>2、供应商</w:t>
      </w:r>
      <w:r>
        <w:rPr>
          <w:rFonts w:ascii="宋体" w:hAnsi="宋体"/>
          <w:szCs w:val="21"/>
        </w:rPr>
        <w:t>在收到采购人通知</w:t>
      </w:r>
      <w:r>
        <w:rPr>
          <w:rFonts w:hint="eastAsia" w:ascii="宋体" w:hAnsi="宋体"/>
          <w:szCs w:val="21"/>
        </w:rPr>
        <w:t>二</w:t>
      </w:r>
      <w:r>
        <w:rPr>
          <w:rFonts w:ascii="宋体" w:hAnsi="宋体"/>
          <w:szCs w:val="21"/>
        </w:rPr>
        <w:t>天内没有答复，则视为供应商承认质量问题，采购人有权进行自行处理，供应商承担由此产生的一切费用。</w:t>
      </w:r>
    </w:p>
    <w:p>
      <w:pPr>
        <w:ind w:firstLine="420" w:firstLineChars="200"/>
        <w:rPr>
          <w:rFonts w:hint="eastAsia" w:ascii="宋体" w:hAnsi="宋体"/>
          <w:szCs w:val="21"/>
        </w:rPr>
      </w:pPr>
      <w:r>
        <w:rPr>
          <w:rFonts w:hint="eastAsia" w:ascii="宋体" w:hAnsi="宋体"/>
          <w:szCs w:val="21"/>
        </w:rPr>
        <w:t>3、本项目备品备件产权归属供应商所有。</w:t>
      </w:r>
    </w:p>
    <w:p>
      <w:pPr>
        <w:ind w:firstLine="422" w:firstLineChars="200"/>
        <w:rPr>
          <w:rFonts w:ascii="宋体" w:hAnsi="宋体"/>
          <w:b/>
          <w:bCs/>
          <w:szCs w:val="21"/>
        </w:rPr>
      </w:pPr>
      <w:r>
        <w:rPr>
          <w:rFonts w:hint="eastAsia" w:ascii="宋体" w:hAnsi="宋体"/>
          <w:b/>
          <w:bCs/>
          <w:szCs w:val="21"/>
        </w:rPr>
        <w:t>八、培训</w:t>
      </w:r>
    </w:p>
    <w:p>
      <w:pPr>
        <w:ind w:firstLine="420" w:firstLineChars="200"/>
        <w:rPr>
          <w:rFonts w:ascii="宋体" w:hAnsi="宋体"/>
          <w:szCs w:val="21"/>
        </w:rPr>
      </w:pPr>
      <w:r>
        <w:rPr>
          <w:rFonts w:hint="eastAsia" w:ascii="宋体" w:hAnsi="宋体"/>
          <w:szCs w:val="21"/>
        </w:rPr>
        <w:t>所投标产品，必须对采购方进行全系列的操作、设置及简易的故障处理培训。</w:t>
      </w:r>
    </w:p>
    <w:p>
      <w:pPr>
        <w:ind w:firstLine="422" w:firstLineChars="200"/>
        <w:rPr>
          <w:rFonts w:ascii="宋体" w:hAnsi="宋体"/>
          <w:b/>
          <w:bCs/>
          <w:szCs w:val="21"/>
        </w:rPr>
      </w:pPr>
      <w:r>
        <w:rPr>
          <w:rFonts w:hint="eastAsia" w:ascii="宋体" w:hAnsi="宋体"/>
          <w:b/>
          <w:bCs/>
          <w:szCs w:val="21"/>
        </w:rPr>
        <w:t>九、验收标准及条件</w:t>
      </w:r>
    </w:p>
    <w:p>
      <w:pPr>
        <w:ind w:firstLine="420" w:firstLineChars="200"/>
        <w:rPr>
          <w:rFonts w:ascii="宋体" w:hAnsi="宋体"/>
          <w:szCs w:val="21"/>
        </w:rPr>
      </w:pPr>
      <w:r>
        <w:rPr>
          <w:rFonts w:hint="eastAsia" w:ascii="宋体" w:hAnsi="宋体"/>
          <w:szCs w:val="21"/>
        </w:rPr>
        <w:t>1、提供的货物依据招标文件上的技术规格要求和国家有关质量标准进行现场初步验收，外观、说明书符合招标文件技术要求的，给予签收，初步验收不合格的不予签收。货到后，采购人需在五个工作日内验收。</w:t>
      </w:r>
    </w:p>
    <w:p>
      <w:pPr>
        <w:ind w:firstLine="420" w:firstLineChars="200"/>
        <w:rPr>
          <w:rFonts w:ascii="宋体" w:hAnsi="宋体"/>
          <w:szCs w:val="21"/>
        </w:rPr>
      </w:pPr>
      <w:r>
        <w:rPr>
          <w:rFonts w:hint="eastAsia" w:ascii="宋体" w:hAnsi="宋体"/>
          <w:szCs w:val="21"/>
        </w:rPr>
        <w:t>2、供应商交货前应对产品作出全面检查和对验收文件进行整理，并列出清单，作为采购方收货验收和使用的技术条件依据，检验的结果应随货物交采购方。</w:t>
      </w:r>
    </w:p>
    <w:p>
      <w:pPr>
        <w:ind w:firstLine="420" w:firstLineChars="200"/>
        <w:rPr>
          <w:rFonts w:ascii="宋体" w:hAnsi="宋体"/>
          <w:szCs w:val="21"/>
        </w:rPr>
      </w:pPr>
      <w:r>
        <w:rPr>
          <w:rFonts w:hint="eastAsia" w:ascii="宋体" w:hAnsi="宋体"/>
          <w:szCs w:val="21"/>
        </w:rPr>
        <w:t>3、对提供的货物在使用前进行调试时，供货方需负责安装并培训采购方的使用操作人员，并协助采购人一起调试，直到符合技术要求，才作最终验收。</w:t>
      </w:r>
    </w:p>
    <w:p>
      <w:pPr>
        <w:ind w:firstLine="420" w:firstLineChars="200"/>
        <w:rPr>
          <w:rFonts w:ascii="宋体" w:hAnsi="宋体"/>
          <w:szCs w:val="21"/>
        </w:rPr>
      </w:pPr>
      <w:r>
        <w:rPr>
          <w:rFonts w:hint="eastAsia" w:ascii="宋体" w:hAnsi="宋体"/>
          <w:szCs w:val="21"/>
        </w:rPr>
        <w:t>4、对技术复杂的货物，采购方应请国家认可的专业检测机构参与初步验收及最终验收，并由其出具质量检测报告。</w:t>
      </w:r>
    </w:p>
    <w:p>
      <w:pPr>
        <w:ind w:firstLine="420" w:firstLineChars="200"/>
        <w:rPr>
          <w:rFonts w:ascii="宋体" w:hAnsi="宋体"/>
          <w:szCs w:val="21"/>
        </w:rPr>
      </w:pPr>
      <w:r>
        <w:rPr>
          <w:rFonts w:hint="eastAsia" w:ascii="宋体" w:hAnsi="宋体"/>
          <w:szCs w:val="21"/>
        </w:rPr>
        <w:t>5、验收时供应商必须在现场，验收完毕后作出验收结果报告；验收费用由供应商负责。</w:t>
      </w:r>
    </w:p>
    <w:p>
      <w:pPr>
        <w:ind w:firstLine="422" w:firstLineChars="200"/>
        <w:rPr>
          <w:rFonts w:ascii="宋体" w:hAnsi="宋体"/>
          <w:b/>
          <w:bCs/>
          <w:szCs w:val="21"/>
        </w:rPr>
      </w:pPr>
      <w:r>
        <w:rPr>
          <w:rFonts w:hint="eastAsia" w:ascii="宋体" w:hAnsi="宋体"/>
          <w:b/>
          <w:bCs/>
          <w:szCs w:val="21"/>
        </w:rPr>
        <w:t>十、报价及付款</w:t>
      </w:r>
    </w:p>
    <w:p>
      <w:pPr>
        <w:ind w:firstLine="422" w:firstLineChars="200"/>
        <w:rPr>
          <w:rFonts w:ascii="宋体" w:hAnsi="宋体"/>
          <w:b/>
          <w:bCs/>
          <w:szCs w:val="21"/>
        </w:rPr>
      </w:pPr>
      <w:r>
        <w:rPr>
          <w:rFonts w:hint="eastAsia" w:ascii="宋体" w:hAnsi="宋体"/>
          <w:b/>
          <w:bCs/>
          <w:szCs w:val="21"/>
        </w:rPr>
        <w:t>报价：</w:t>
      </w:r>
    </w:p>
    <w:p>
      <w:pPr>
        <w:ind w:firstLine="422" w:firstLineChars="200"/>
        <w:rPr>
          <w:rFonts w:ascii="宋体" w:hAnsi="宋体"/>
          <w:b/>
          <w:bCs/>
          <w:szCs w:val="21"/>
        </w:rPr>
      </w:pPr>
      <w:r>
        <w:rPr>
          <w:rFonts w:hint="eastAsia" w:ascii="宋体" w:hAnsi="宋体"/>
          <w:b/>
          <w:bCs/>
          <w:szCs w:val="21"/>
        </w:rPr>
        <w:t>1、所报价格包含产品到达用户方并能正常使用所需的一切费用。</w:t>
      </w:r>
    </w:p>
    <w:p>
      <w:pPr>
        <w:ind w:firstLine="422" w:firstLineChars="200"/>
        <w:rPr>
          <w:rFonts w:ascii="宋体" w:hAnsi="宋体"/>
          <w:b/>
          <w:bCs/>
          <w:szCs w:val="21"/>
        </w:rPr>
      </w:pPr>
      <w:r>
        <w:rPr>
          <w:rFonts w:hint="eastAsia" w:ascii="宋体" w:hAnsi="宋体"/>
          <w:b/>
          <w:bCs/>
          <w:szCs w:val="21"/>
        </w:rPr>
        <w:t>▲2、任一项报价不得超过上限价【系指第二章招标需求采购清单中的各子项固定单价100%】，任何超过上限价的报价均导致投标被否决。本项目以总体投标折扣率进行报价，实际费用以固定单价×中标折扣率×实际采购数量据实结算。</w:t>
      </w:r>
    </w:p>
    <w:p>
      <w:pPr>
        <w:ind w:firstLine="422" w:firstLineChars="200"/>
        <w:rPr>
          <w:rFonts w:hint="eastAsia" w:ascii="宋体" w:hAnsi="宋体"/>
          <w:b/>
          <w:bCs/>
          <w:szCs w:val="21"/>
        </w:rPr>
      </w:pPr>
      <w:r>
        <w:rPr>
          <w:rFonts w:hint="eastAsia" w:ascii="宋体" w:hAnsi="宋体"/>
          <w:b/>
          <w:bCs/>
          <w:szCs w:val="21"/>
        </w:rPr>
        <w:t>3、本文所表述的“折扣率”均表示为固定单价的百分比。如折扣率为80%，即固定单价×80%。</w:t>
      </w:r>
      <w:bookmarkEnd w:id="113"/>
    </w:p>
    <w:p>
      <w:pPr>
        <w:ind w:firstLine="422" w:firstLineChars="200"/>
        <w:rPr>
          <w:rFonts w:ascii="宋体" w:hAnsi="宋体"/>
          <w:szCs w:val="21"/>
        </w:rPr>
      </w:pPr>
      <w:r>
        <w:rPr>
          <w:rFonts w:hint="eastAsia" w:ascii="宋体" w:hAnsi="宋体"/>
          <w:b/>
          <w:bCs/>
          <w:szCs w:val="21"/>
        </w:rPr>
        <w:t>付款：</w:t>
      </w:r>
    </w:p>
    <w:p>
      <w:pPr>
        <w:ind w:firstLine="420" w:firstLineChars="200"/>
        <w:rPr>
          <w:rFonts w:ascii="宋体" w:hAnsi="宋体"/>
          <w:szCs w:val="21"/>
        </w:rPr>
      </w:pPr>
      <w:r>
        <w:rPr>
          <w:rFonts w:hint="eastAsia" w:ascii="宋体" w:hAnsi="宋体"/>
          <w:szCs w:val="21"/>
        </w:rPr>
        <w:t>1、</w:t>
      </w:r>
      <w:r>
        <w:rPr>
          <w:rFonts w:ascii="宋体" w:hAnsi="宋体"/>
          <w:szCs w:val="21"/>
        </w:rPr>
        <w:t>政策性条款：</w:t>
      </w:r>
    </w:p>
    <w:p>
      <w:pPr>
        <w:ind w:firstLine="420" w:firstLineChars="200"/>
        <w:rPr>
          <w:rFonts w:ascii="宋体" w:hAnsi="宋体"/>
          <w:szCs w:val="21"/>
        </w:rPr>
      </w:pPr>
      <w:r>
        <w:rPr>
          <w:rFonts w:ascii="宋体" w:hAnsi="宋体"/>
          <w:szCs w:val="21"/>
        </w:rPr>
        <w:t>根据《浙江省财政厅关于进一步发挥政府采购政策功能全力推动经济稳进提质的通知》[浙财采监〔2022〕3号]规定：进一步提高政府采购预付款比例。采购单位应当在政府采购合同中约定预付款，对中小企业合同预付款比例原则上不低于合同金额的40%，不高于合同金额的70%；项目分年安排预算的，每年预付款比例不低于项目年底计划支付资金额的40%，不高于年度计划支付资金额的70%；采购项目实施以人工投入为主的，可适当降低预付款比例，但不得低于20%。对供应商为大型企业的项目或者以人工投入为主且实行按月定期结算支付款项的项目，预付款比例可低于上述比例或者不约定预付款。在签订合同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7个工作日内支付。政府采购工程以及与工程建设有关的货物、服务，采用招标方式采购的，预付款从其相关规定。</w:t>
      </w:r>
    </w:p>
    <w:p>
      <w:pPr>
        <w:ind w:firstLine="420" w:firstLineChars="200"/>
        <w:rPr>
          <w:rFonts w:ascii="宋体" w:hAnsi="宋体"/>
          <w:szCs w:val="21"/>
        </w:rPr>
      </w:pPr>
      <w:r>
        <w:rPr>
          <w:rFonts w:hint="eastAsia" w:ascii="宋体" w:hAnsi="宋体"/>
          <w:szCs w:val="21"/>
        </w:rPr>
        <w:t>2、预付款：合同签订后七日内，供应商出具履约保证金保险/保函及预付款保险/保函后，采购人向中标人支付40%预算价（</w:t>
      </w:r>
      <w:r>
        <w:rPr>
          <w:rFonts w:ascii="宋体" w:hAnsi="宋体"/>
          <w:szCs w:val="21"/>
        </w:rPr>
        <w:t>在签订合同时，</w:t>
      </w:r>
      <w:r>
        <w:rPr>
          <w:rFonts w:hint="eastAsia" w:ascii="宋体" w:hAnsi="宋体"/>
          <w:szCs w:val="21"/>
        </w:rPr>
        <w:t>若</w:t>
      </w:r>
      <w:r>
        <w:rPr>
          <w:rFonts w:ascii="宋体" w:hAnsi="宋体"/>
          <w:szCs w:val="21"/>
        </w:rPr>
        <w:t>供应商明确表示无需预付款或者主动要求降低预付款比例的</w:t>
      </w:r>
      <w:r>
        <w:rPr>
          <w:rFonts w:hint="eastAsia" w:ascii="宋体" w:hAnsi="宋体"/>
          <w:szCs w:val="21"/>
        </w:rPr>
        <w:t>，以双方协商确定）。</w:t>
      </w:r>
    </w:p>
    <w:p>
      <w:pPr>
        <w:ind w:firstLine="420" w:firstLineChars="200"/>
        <w:rPr>
          <w:rFonts w:ascii="宋体" w:hAnsi="宋体"/>
          <w:szCs w:val="21"/>
        </w:rPr>
      </w:pPr>
      <w:r>
        <w:rPr>
          <w:rFonts w:ascii="宋体" w:hAnsi="宋体"/>
        </w:rPr>
        <w:t>中标供应商</w:t>
      </w:r>
      <w:r>
        <w:rPr>
          <w:rFonts w:hint="eastAsia" w:ascii="宋体" w:hAnsi="宋体"/>
        </w:rPr>
        <w:t>可通过政采云平台或其他渠道购买</w:t>
      </w:r>
      <w:r>
        <w:rPr>
          <w:rFonts w:hint="eastAsia" w:ascii="宋体" w:hAnsi="宋体" w:cs="等线"/>
          <w:szCs w:val="21"/>
        </w:rPr>
        <w:t>保险/保函</w:t>
      </w:r>
      <w:r>
        <w:rPr>
          <w:rFonts w:hint="eastAsia" w:ascii="宋体" w:hAnsi="宋体"/>
        </w:rPr>
        <w:t>。可登录</w:t>
      </w:r>
      <w:r>
        <w:rPr>
          <w:rFonts w:hint="eastAsia" w:ascii="宋体" w:hAnsi="宋体" w:cs="等线"/>
          <w:b/>
          <w:bCs/>
          <w:szCs w:val="21"/>
        </w:rPr>
        <w:t>政采云平台-金融服务-保险保函模块选购</w:t>
      </w:r>
      <w:r>
        <w:rPr>
          <w:rFonts w:hint="eastAsia" w:ascii="宋体" w:hAnsi="宋体" w:cs="等线"/>
          <w:szCs w:val="21"/>
        </w:rPr>
        <w:t>：</w:t>
      </w:r>
      <w:r>
        <w:rPr>
          <w:rFonts w:ascii="宋体" w:hAnsi="宋体"/>
        </w:rPr>
        <w:fldChar w:fldCharType="begin"/>
      </w:r>
      <w:r>
        <w:rPr>
          <w:rFonts w:ascii="宋体" w:hAnsi="宋体"/>
        </w:rPr>
        <w:instrText xml:space="preserve"> HYPERLINK "https://jinrong.zcygov.cn/finance-service/" \l "/home，有疑问可咨询政采云金融热线400-903-9583" </w:instrText>
      </w:r>
      <w:r>
        <w:rPr>
          <w:rFonts w:ascii="宋体" w:hAnsi="宋体"/>
        </w:rPr>
        <w:fldChar w:fldCharType="separate"/>
      </w:r>
      <w:r>
        <w:rPr>
          <w:rFonts w:hint="eastAsia" w:ascii="宋体" w:hAnsi="宋体" w:cs="等线"/>
          <w:szCs w:val="21"/>
        </w:rPr>
        <w:t>https://jinrong.zcygov.cn/finance-service/#/letter，有疑问可咨询</w:t>
      </w:r>
      <w:r>
        <w:rPr>
          <w:rFonts w:hint="eastAsia" w:ascii="宋体" w:hAnsi="宋体" w:cs="等线"/>
          <w:b/>
          <w:bCs/>
          <w:szCs w:val="21"/>
        </w:rPr>
        <w:t>政采云金融热线400-903-9583</w:t>
      </w:r>
      <w:r>
        <w:rPr>
          <w:rFonts w:ascii="宋体" w:hAnsi="宋体" w:cs="等线"/>
          <w:b/>
          <w:bCs/>
          <w:szCs w:val="21"/>
        </w:rPr>
        <w:fldChar w:fldCharType="end"/>
      </w:r>
    </w:p>
    <w:p>
      <w:pPr>
        <w:ind w:firstLine="420" w:firstLineChars="200"/>
        <w:rPr>
          <w:rFonts w:ascii="宋体" w:hAnsi="宋体"/>
          <w:szCs w:val="21"/>
        </w:rPr>
      </w:pPr>
      <w:r>
        <w:rPr>
          <w:rFonts w:ascii="宋体" w:hAnsi="宋体"/>
          <w:szCs w:val="21"/>
        </w:rPr>
        <w:t>3</w:t>
      </w:r>
      <w:r>
        <w:rPr>
          <w:rFonts w:hint="eastAsia" w:ascii="宋体" w:hAnsi="宋体"/>
          <w:szCs w:val="21"/>
        </w:rPr>
        <w:t>、付款方式：</w:t>
      </w:r>
    </w:p>
    <w:p>
      <w:pPr>
        <w:ind w:firstLine="420" w:firstLineChars="200"/>
        <w:rPr>
          <w:rFonts w:hint="eastAsia" w:ascii="宋体" w:hAnsi="宋体"/>
          <w:szCs w:val="21"/>
        </w:rPr>
      </w:pPr>
      <w:r>
        <w:rPr>
          <w:rFonts w:hint="eastAsia" w:ascii="宋体" w:hAnsi="宋体"/>
          <w:szCs w:val="21"/>
        </w:rPr>
        <w:t>在项目实施期按双方确认的当月完成工程量的55%（根据预付款调整比例，调整公式：1</w:t>
      </w:r>
      <w:r>
        <w:rPr>
          <w:rFonts w:ascii="宋体" w:hAnsi="宋体"/>
          <w:szCs w:val="21"/>
        </w:rPr>
        <w:t>-</w:t>
      </w:r>
      <w:r>
        <w:rPr>
          <w:rFonts w:hint="eastAsia" w:ascii="宋体" w:hAnsi="宋体"/>
          <w:szCs w:val="21"/>
        </w:rPr>
        <w:t>预付款比例-</w:t>
      </w:r>
      <w:r>
        <w:rPr>
          <w:rFonts w:ascii="宋体" w:hAnsi="宋体"/>
          <w:szCs w:val="21"/>
        </w:rPr>
        <w:t>5</w:t>
      </w:r>
      <w:r>
        <w:rPr>
          <w:rFonts w:hint="eastAsia" w:ascii="宋体" w:hAnsi="宋体"/>
          <w:szCs w:val="21"/>
        </w:rPr>
        <w:t>%）支付给乙方，每月支付，余款在项目竣工验收合格后付清。</w:t>
      </w:r>
    </w:p>
    <w:p>
      <w:pPr>
        <w:ind w:firstLine="422" w:firstLineChars="200"/>
        <w:rPr>
          <w:rFonts w:ascii="宋体" w:hAnsi="宋体"/>
          <w:b/>
          <w:bCs/>
          <w:szCs w:val="21"/>
        </w:rPr>
      </w:pPr>
      <w:r>
        <w:rPr>
          <w:rFonts w:hint="eastAsia" w:ascii="宋体" w:hAnsi="宋体"/>
          <w:b/>
          <w:bCs/>
          <w:szCs w:val="21"/>
        </w:rPr>
        <w:t>十一、供货时间及地点</w:t>
      </w:r>
    </w:p>
    <w:p>
      <w:pPr>
        <w:ind w:firstLine="420" w:firstLineChars="200"/>
        <w:rPr>
          <w:rFonts w:ascii="宋体" w:hAnsi="宋体"/>
          <w:szCs w:val="21"/>
        </w:rPr>
      </w:pPr>
      <w:r>
        <w:rPr>
          <w:rFonts w:hint="eastAsia" w:ascii="宋体" w:hAnsi="宋体"/>
          <w:szCs w:val="21"/>
        </w:rPr>
        <w:t>本次招标项目有效期为</w:t>
      </w:r>
      <w:r>
        <w:rPr>
          <w:rFonts w:hint="eastAsia" w:ascii="宋体" w:hAnsi="宋体"/>
        </w:rPr>
        <w:t>2</w:t>
      </w:r>
      <w:r>
        <w:rPr>
          <w:rFonts w:ascii="宋体" w:hAnsi="宋体"/>
        </w:rPr>
        <w:t>023</w:t>
      </w:r>
      <w:r>
        <w:rPr>
          <w:rFonts w:hint="eastAsia" w:ascii="宋体" w:hAnsi="宋体"/>
        </w:rPr>
        <w:t>年1</w:t>
      </w:r>
      <w:r>
        <w:rPr>
          <w:rFonts w:ascii="宋体" w:hAnsi="宋体"/>
        </w:rPr>
        <w:t>1</w:t>
      </w:r>
      <w:r>
        <w:rPr>
          <w:rFonts w:hint="eastAsia" w:ascii="宋体" w:hAnsi="宋体"/>
        </w:rPr>
        <w:t>月1</w:t>
      </w:r>
      <w:r>
        <w:rPr>
          <w:rFonts w:ascii="宋体" w:hAnsi="宋体"/>
        </w:rPr>
        <w:t>5</w:t>
      </w:r>
      <w:r>
        <w:rPr>
          <w:rFonts w:hint="eastAsia" w:ascii="宋体" w:hAnsi="宋体"/>
        </w:rPr>
        <w:t>日起壹年</w:t>
      </w:r>
      <w:r>
        <w:rPr>
          <w:rFonts w:hint="eastAsia" w:ascii="宋体" w:hAnsi="宋体"/>
          <w:szCs w:val="21"/>
        </w:rPr>
        <w:t>。确定中标后，由嘉兴市公安局交通警察支队与中标单位签订合同。由嘉兴市公安局交通警察支队开具工程联系单交中标单位施工，采购数量、制作工期、安装工期根据工程项目具体商定。</w:t>
      </w:r>
    </w:p>
    <w:p>
      <w:pPr>
        <w:ind w:firstLine="420" w:firstLineChars="200"/>
        <w:rPr>
          <w:rFonts w:ascii="宋体" w:hAnsi="宋体"/>
          <w:szCs w:val="21"/>
        </w:rPr>
      </w:pPr>
      <w:r>
        <w:rPr>
          <w:rFonts w:hint="eastAsia" w:ascii="宋体" w:hAnsi="宋体"/>
          <w:szCs w:val="21"/>
        </w:rPr>
        <w:t>供货时间：按采购人要求。</w:t>
      </w:r>
    </w:p>
    <w:p>
      <w:pPr>
        <w:ind w:firstLine="420" w:firstLineChars="200"/>
        <w:rPr>
          <w:rFonts w:hint="eastAsia" w:ascii="宋体" w:hAnsi="宋体"/>
          <w:szCs w:val="21"/>
        </w:rPr>
      </w:pPr>
      <w:r>
        <w:rPr>
          <w:rFonts w:hint="eastAsia" w:ascii="宋体" w:hAnsi="宋体"/>
          <w:szCs w:val="21"/>
        </w:rPr>
        <w:t>供货地点：嘉兴市公安局交通警察支队指定地点。</w:t>
      </w:r>
    </w:p>
    <w:p>
      <w:pPr>
        <w:ind w:firstLine="422" w:firstLineChars="200"/>
        <w:rPr>
          <w:rFonts w:ascii="宋体" w:hAnsi="宋体"/>
          <w:b/>
          <w:bCs/>
          <w:szCs w:val="21"/>
        </w:rPr>
      </w:pPr>
      <w:r>
        <w:rPr>
          <w:rFonts w:hint="eastAsia" w:ascii="宋体" w:hAnsi="宋体"/>
          <w:b/>
          <w:bCs/>
          <w:szCs w:val="21"/>
        </w:rPr>
        <w:t>十二、运营维保</w:t>
      </w:r>
    </w:p>
    <w:p>
      <w:pPr>
        <w:ind w:firstLine="422" w:firstLineChars="200"/>
        <w:rPr>
          <w:rFonts w:ascii="宋体" w:hAnsi="宋体"/>
          <w:b/>
          <w:bCs/>
          <w:szCs w:val="21"/>
        </w:rPr>
      </w:pPr>
      <w:r>
        <w:rPr>
          <w:rFonts w:hint="eastAsia" w:ascii="宋体" w:hAnsi="宋体"/>
          <w:b/>
          <w:bCs/>
          <w:szCs w:val="21"/>
        </w:rPr>
        <w:t>因本项目实施时，任务紧、作业环境差，故要求投标单位有足够人员、设备、作业车辆（必须符合嘉兴市相关交通管理要求）、场地等为本项目专用，以及保证项目有效实施的组织能力，特别是遇到恶劣天气、突发状况需要如何作好预警预案工作。</w:t>
      </w:r>
    </w:p>
    <w:p>
      <w:pPr>
        <w:ind w:firstLine="422" w:firstLineChars="200"/>
        <w:rPr>
          <w:rFonts w:ascii="宋体" w:hAnsi="宋体"/>
          <w:b/>
          <w:bCs/>
          <w:szCs w:val="21"/>
        </w:rPr>
      </w:pPr>
      <w:r>
        <w:rPr>
          <w:rFonts w:hint="eastAsia" w:ascii="宋体" w:hAnsi="宋体"/>
          <w:b/>
          <w:bCs/>
          <w:szCs w:val="21"/>
        </w:rPr>
        <w:t>十三、图纸等其他资料</w:t>
      </w:r>
    </w:p>
    <w:p>
      <w:pPr>
        <w:ind w:firstLine="420" w:firstLineChars="200"/>
        <w:rPr>
          <w:rFonts w:hint="eastAsia" w:ascii="宋体" w:hAnsi="宋体"/>
          <w:szCs w:val="21"/>
        </w:rPr>
      </w:pPr>
      <w:r>
        <w:rPr>
          <w:rFonts w:hint="eastAsia" w:ascii="宋体" w:hAnsi="宋体"/>
          <w:szCs w:val="21"/>
        </w:rPr>
        <w:t>供货方提供的所有产品资料（包括：出厂合格证、第三方检验证明、产品批次、批次货物样品、图纸等），在安装施工完毕后，须整理好后交付给采购方保管。</w:t>
      </w:r>
    </w:p>
    <w:p>
      <w:pPr>
        <w:ind w:firstLine="422" w:firstLineChars="200"/>
        <w:rPr>
          <w:rFonts w:ascii="宋体" w:hAnsi="宋体"/>
          <w:b/>
          <w:bCs/>
          <w:szCs w:val="21"/>
        </w:rPr>
      </w:pPr>
      <w:r>
        <w:rPr>
          <w:rFonts w:hint="eastAsia" w:ascii="宋体" w:hAnsi="宋体"/>
          <w:b/>
          <w:bCs/>
          <w:szCs w:val="21"/>
        </w:rPr>
        <w:t>十四、更新项目施工过程中拆除的杆件、标志、信号灯、护栏等物资处置</w:t>
      </w:r>
    </w:p>
    <w:p>
      <w:pPr>
        <w:ind w:firstLine="420" w:firstLineChars="200"/>
        <w:rPr>
          <w:rFonts w:hint="eastAsia" w:ascii="宋体" w:hAnsi="宋体"/>
          <w:szCs w:val="21"/>
        </w:rPr>
      </w:pPr>
      <w:r>
        <w:rPr>
          <w:rFonts w:hint="eastAsia" w:ascii="宋体" w:hAnsi="宋体"/>
          <w:szCs w:val="21"/>
        </w:rPr>
        <w:t>供货方在施工过程中拆除的交通设施包括且不限于杆件、标志、信号灯、护栏等废旧物资需登记造册，整理好后运送至采购人指定地点，做好移交手续。若在施工中遗失或未按要求登记、移交造成物资缺失的由乙方补齐或照价赔偿（按废旧物资市场价）。</w:t>
      </w:r>
    </w:p>
    <w:p>
      <w:pPr>
        <w:pStyle w:val="4"/>
        <w:ind w:firstLine="422" w:firstLineChars="200"/>
        <w:rPr>
          <w:rFonts w:ascii="宋体" w:hAnsi="宋体"/>
        </w:rPr>
      </w:pPr>
      <w:r>
        <w:rPr>
          <w:rFonts w:ascii="宋体" w:hAnsi="宋体" w:cs="宋体"/>
          <w:kern w:val="2"/>
          <w:sz w:val="21"/>
        </w:rPr>
        <w:br w:type="page"/>
      </w:r>
      <w:bookmarkStart w:id="114" w:name="_Toc89897652"/>
      <w:r>
        <w:rPr>
          <w:rFonts w:hint="eastAsia" w:ascii="宋体" w:hAnsi="宋体"/>
        </w:rPr>
        <w:t>第三章 供应商须知</w:t>
      </w:r>
      <w:bookmarkEnd w:id="114"/>
    </w:p>
    <w:p>
      <w:pPr>
        <w:ind w:firstLine="562" w:firstLineChars="200"/>
        <w:jc w:val="center"/>
        <w:rPr>
          <w:rFonts w:ascii="宋体" w:hAnsi="宋体"/>
          <w:b/>
          <w:bCs/>
          <w:sz w:val="28"/>
          <w:szCs w:val="28"/>
        </w:rPr>
      </w:pPr>
      <w:r>
        <w:rPr>
          <w:rFonts w:hint="eastAsia" w:ascii="宋体" w:hAnsi="宋体"/>
          <w:b/>
          <w:bCs/>
          <w:sz w:val="28"/>
          <w:szCs w:val="28"/>
        </w:rPr>
        <w:t>电子交易注意事项</w:t>
      </w:r>
    </w:p>
    <w:p>
      <w:pPr>
        <w:ind w:firstLine="420" w:firstLineChars="200"/>
        <w:jc w:val="left"/>
        <w:rPr>
          <w:rFonts w:ascii="宋体" w:hAnsi="宋体"/>
          <w:szCs w:val="21"/>
        </w:rPr>
      </w:pPr>
      <w:r>
        <w:rPr>
          <w:rFonts w:hint="eastAsia" w:ascii="宋体" w:hAnsi="宋体"/>
          <w:szCs w:val="21"/>
        </w:rPr>
        <w:t>政府采购项目电子交易活动适用《浙江省政府采购项目电子交易管理暂行办法》，现将相关注意事项告知如下：</w:t>
      </w:r>
    </w:p>
    <w:p>
      <w:pPr>
        <w:ind w:firstLine="420" w:firstLineChars="200"/>
        <w:jc w:val="left"/>
        <w:rPr>
          <w:rFonts w:ascii="宋体" w:hAnsi="宋体"/>
          <w:szCs w:val="21"/>
        </w:rPr>
      </w:pPr>
      <w:r>
        <w:rPr>
          <w:rFonts w:hint="eastAsia" w:ascii="宋体" w:hAnsi="宋体"/>
          <w:szCs w:val="21"/>
        </w:rPr>
        <w:t>1、代理机构按照招标文件规定的时间通过电子交易平台组织开标、开启投标文件、开启报价文件，所有供应商均应当准时在线参加，直至评审结束。</w:t>
      </w:r>
    </w:p>
    <w:p>
      <w:pPr>
        <w:ind w:firstLine="420" w:firstLineChars="200"/>
        <w:jc w:val="left"/>
        <w:rPr>
          <w:rFonts w:ascii="宋体" w:hAnsi="宋体"/>
          <w:szCs w:val="21"/>
        </w:rPr>
      </w:pPr>
      <w:r>
        <w:rPr>
          <w:rFonts w:hint="eastAsia" w:ascii="宋体" w:hAnsi="宋体"/>
          <w:szCs w:val="21"/>
        </w:rPr>
        <w:t>2、投标文件未按时解密，供应商如提供备份投标文件的，以符合要求的备份投标文件作为依据，否则视为投标文件撤回。投标文件已按时解密的，备份投标文件自动失效。</w:t>
      </w:r>
    </w:p>
    <w:p>
      <w:pPr>
        <w:ind w:firstLine="420" w:firstLineChars="200"/>
        <w:jc w:val="left"/>
        <w:rPr>
          <w:rFonts w:ascii="宋体" w:hAnsi="宋体"/>
          <w:szCs w:val="21"/>
        </w:rPr>
      </w:pPr>
      <w:r>
        <w:rPr>
          <w:rFonts w:hint="eastAsia" w:ascii="宋体" w:hAnsi="宋体"/>
          <w:szCs w:val="21"/>
        </w:rPr>
        <w:t>3、采购过程中出现以下情形，导致电子交易平台无法正常运行，或者无法保证电子交易的公平、公正和安全时，代理机构可中止电子交易活动：</w:t>
      </w:r>
    </w:p>
    <w:p>
      <w:pPr>
        <w:ind w:firstLine="420" w:firstLineChars="200"/>
        <w:jc w:val="left"/>
        <w:rPr>
          <w:rFonts w:ascii="宋体" w:hAnsi="宋体"/>
          <w:szCs w:val="21"/>
        </w:rPr>
      </w:pPr>
      <w:r>
        <w:rPr>
          <w:rFonts w:hint="eastAsia" w:ascii="宋体" w:hAnsi="宋体"/>
          <w:szCs w:val="21"/>
        </w:rPr>
        <w:t>（一）电子交易平台发生故障而无法登录访问的；</w:t>
      </w:r>
    </w:p>
    <w:p>
      <w:pPr>
        <w:ind w:firstLine="420" w:firstLineChars="200"/>
        <w:jc w:val="left"/>
        <w:rPr>
          <w:rFonts w:ascii="宋体" w:hAnsi="宋体"/>
          <w:szCs w:val="21"/>
        </w:rPr>
      </w:pPr>
      <w:r>
        <w:rPr>
          <w:rFonts w:hint="eastAsia" w:ascii="宋体" w:hAnsi="宋体"/>
          <w:szCs w:val="21"/>
        </w:rPr>
        <w:t>（二）电子交易平台应用或数据库出现错误，不能进行正常操作的；</w:t>
      </w:r>
    </w:p>
    <w:p>
      <w:pPr>
        <w:ind w:firstLine="420" w:firstLineChars="200"/>
        <w:jc w:val="left"/>
        <w:rPr>
          <w:rFonts w:ascii="宋体" w:hAnsi="宋体"/>
          <w:szCs w:val="21"/>
        </w:rPr>
      </w:pPr>
      <w:r>
        <w:rPr>
          <w:rFonts w:hint="eastAsia" w:ascii="宋体" w:hAnsi="宋体"/>
          <w:szCs w:val="21"/>
        </w:rPr>
        <w:t>（三）电子交易平台发现严重安全漏洞，有潜在泄密危险的；</w:t>
      </w:r>
    </w:p>
    <w:p>
      <w:pPr>
        <w:ind w:firstLine="420" w:firstLineChars="200"/>
        <w:jc w:val="left"/>
        <w:rPr>
          <w:rFonts w:ascii="宋体" w:hAnsi="宋体"/>
          <w:szCs w:val="21"/>
        </w:rPr>
      </w:pPr>
      <w:r>
        <w:rPr>
          <w:rFonts w:hint="eastAsia" w:ascii="宋体" w:hAnsi="宋体"/>
          <w:szCs w:val="21"/>
        </w:rPr>
        <w:t>（四）病毒发作导致不能进行正常操作的；</w:t>
      </w:r>
    </w:p>
    <w:p>
      <w:pPr>
        <w:ind w:firstLine="420" w:firstLineChars="200"/>
        <w:jc w:val="left"/>
        <w:rPr>
          <w:rFonts w:ascii="宋体" w:hAnsi="宋体"/>
          <w:szCs w:val="21"/>
        </w:rPr>
      </w:pPr>
      <w:r>
        <w:rPr>
          <w:rFonts w:hint="eastAsia" w:ascii="宋体" w:hAnsi="宋体"/>
          <w:szCs w:val="21"/>
        </w:rPr>
        <w:t>（五）其他无法保证电子交易的公平、公正和安全的情况。</w:t>
      </w:r>
    </w:p>
    <w:p>
      <w:pPr>
        <w:ind w:firstLine="420" w:firstLineChars="200"/>
        <w:jc w:val="left"/>
        <w:rPr>
          <w:rFonts w:ascii="宋体" w:hAnsi="宋体"/>
          <w:szCs w:val="21"/>
        </w:rPr>
      </w:pPr>
      <w:r>
        <w:rPr>
          <w:rFonts w:hint="eastAsia" w:ascii="宋体" w:hAnsi="宋体"/>
          <w:szCs w:val="21"/>
        </w:rPr>
        <w:t>出现前款规定情形，不影响采购公平、公正性的，代理机构可以待上述情形消除后继续组织电子交易活动，也可以决定某些环节以纸质形式进行；影响或可能影响采购公平、公正性的，应当重新采购。</w:t>
      </w:r>
    </w:p>
    <w:p>
      <w:pPr>
        <w:ind w:firstLine="420" w:firstLineChars="200"/>
        <w:jc w:val="left"/>
        <w:rPr>
          <w:rFonts w:ascii="宋体" w:hAnsi="宋体"/>
          <w:szCs w:val="21"/>
        </w:rPr>
      </w:pPr>
      <w:r>
        <w:rPr>
          <w:rFonts w:hint="eastAsia" w:ascii="宋体" w:hAnsi="宋体"/>
          <w:szCs w:val="21"/>
        </w:rPr>
        <w:t>4、评审中需要供应商对投标文件作出澄清、说明或者补正的，评审小组和供应商应当通过电子交易平台交换数据电文。供应商需在半小时内提交澄清说明或补正，供应商已经明确表示澄清说明或补正完毕的除外。</w:t>
      </w:r>
    </w:p>
    <w:p>
      <w:pPr>
        <w:ind w:firstLine="420" w:firstLineChars="200"/>
        <w:jc w:val="left"/>
        <w:rPr>
          <w:rFonts w:ascii="宋体" w:hAnsi="宋体"/>
          <w:szCs w:val="21"/>
        </w:rPr>
      </w:pPr>
      <w:r>
        <w:rPr>
          <w:rFonts w:hint="eastAsia" w:ascii="宋体" w:hAnsi="宋体"/>
          <w:szCs w:val="21"/>
        </w:rPr>
        <w:t>如果</w:t>
      </w:r>
      <w:r>
        <w:rPr>
          <w:rFonts w:ascii="宋体" w:hAnsi="宋体"/>
          <w:szCs w:val="21"/>
        </w:rPr>
        <w:t>有现场展示或讲标</w:t>
      </w:r>
      <w:r>
        <w:rPr>
          <w:rFonts w:hint="eastAsia" w:ascii="宋体" w:hAnsi="宋体"/>
          <w:szCs w:val="21"/>
        </w:rPr>
        <w:t>（按</w:t>
      </w:r>
      <w:r>
        <w:rPr>
          <w:rFonts w:ascii="宋体" w:hAnsi="宋体"/>
          <w:szCs w:val="21"/>
        </w:rPr>
        <w:t>第五条</w:t>
      </w:r>
      <w:r>
        <w:rPr>
          <w:rFonts w:hint="eastAsia" w:ascii="宋体" w:hAnsi="宋体"/>
          <w:szCs w:val="21"/>
        </w:rPr>
        <w:t>执行）</w:t>
      </w:r>
    </w:p>
    <w:p>
      <w:pPr>
        <w:ind w:firstLine="420" w:firstLineChars="200"/>
        <w:jc w:val="left"/>
        <w:rPr>
          <w:rFonts w:ascii="宋体" w:hAnsi="宋体"/>
          <w:szCs w:val="21"/>
        </w:rPr>
      </w:pPr>
      <w:r>
        <w:rPr>
          <w:rFonts w:hint="eastAsia" w:ascii="宋体" w:hAnsi="宋体"/>
          <w:szCs w:val="21"/>
        </w:rPr>
        <w:t>5、代理机构工作人员在投标截止时间后建立项目专属钉钉群，邀请投标供应商进群。项目专属钉钉群作用：</w:t>
      </w:r>
    </w:p>
    <w:p>
      <w:pPr>
        <w:ind w:firstLine="420" w:firstLineChars="200"/>
        <w:jc w:val="left"/>
        <w:rPr>
          <w:rFonts w:ascii="宋体" w:hAnsi="宋体"/>
          <w:szCs w:val="21"/>
        </w:rPr>
      </w:pPr>
      <w:r>
        <w:rPr>
          <w:rFonts w:hint="eastAsia" w:ascii="宋体" w:hAnsi="宋体"/>
          <w:szCs w:val="21"/>
        </w:rPr>
        <w:t>5.1代理机构工作人员通过专属钉钉群通知供应商按电子交易项目要求接受讲标（演示、视频展示）、签发中标通知书（纸质件由采购人代表代为领取，同合同一起寄送给中标供应商）等事宜。</w:t>
      </w:r>
    </w:p>
    <w:p>
      <w:pPr>
        <w:ind w:firstLine="420" w:firstLineChars="200"/>
        <w:jc w:val="left"/>
        <w:rPr>
          <w:rFonts w:ascii="宋体" w:hAnsi="宋体"/>
          <w:szCs w:val="21"/>
        </w:rPr>
      </w:pPr>
      <w:r>
        <w:rPr>
          <w:rFonts w:hint="eastAsia" w:ascii="宋体" w:hAnsi="宋体"/>
          <w:szCs w:val="21"/>
        </w:rPr>
        <w:t>5.2供应商须在代理机构宣布评审结束、产生中标候选人期间时刻关注项目专属钉钉，配合专家组工作，如有询标（澄清、质疑），在30分钟内（具体时间以询标函上规定的时间为准备）通过CA进行回复。过期不按要求回复，其投标文件无效。</w:t>
      </w:r>
    </w:p>
    <w:p>
      <w:pPr>
        <w:ind w:firstLine="420" w:firstLineChars="200"/>
        <w:jc w:val="left"/>
        <w:rPr>
          <w:rFonts w:ascii="宋体" w:hAnsi="宋体"/>
          <w:b/>
          <w:sz w:val="28"/>
          <w:szCs w:val="28"/>
        </w:rPr>
      </w:pPr>
      <w:r>
        <w:rPr>
          <w:rFonts w:hint="eastAsia" w:ascii="宋体" w:hAnsi="宋体"/>
          <w:szCs w:val="21"/>
        </w:rPr>
        <w:t>5.3项目专属钉钉群等项目签订政府采购合同之后解散。</w:t>
      </w:r>
    </w:p>
    <w:p>
      <w:pPr>
        <w:ind w:firstLine="562" w:firstLineChars="200"/>
        <w:jc w:val="center"/>
        <w:rPr>
          <w:rFonts w:ascii="宋体" w:hAnsi="宋体"/>
          <w:b/>
          <w:sz w:val="28"/>
          <w:szCs w:val="28"/>
        </w:rPr>
      </w:pPr>
      <w:r>
        <w:rPr>
          <w:rFonts w:ascii="宋体" w:hAnsi="宋体"/>
          <w:b/>
          <w:sz w:val="28"/>
          <w:szCs w:val="28"/>
        </w:rPr>
        <w:br w:type="page"/>
      </w:r>
      <w:r>
        <w:rPr>
          <w:rFonts w:hint="eastAsia" w:ascii="宋体" w:hAnsi="宋体"/>
          <w:b/>
          <w:sz w:val="28"/>
          <w:szCs w:val="28"/>
        </w:rPr>
        <w:t>前附表</w:t>
      </w:r>
    </w:p>
    <w:tbl>
      <w:tblPr>
        <w:tblStyle w:val="53"/>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8"/>
        <w:gridCol w:w="835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4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jc w:val="center"/>
              <w:rPr>
                <w:rFonts w:ascii="宋体" w:hAnsi="宋体"/>
                <w:szCs w:val="21"/>
              </w:rPr>
            </w:pPr>
            <w:r>
              <w:rPr>
                <w:rFonts w:hint="eastAsia" w:ascii="宋体" w:hAnsi="宋体"/>
                <w:szCs w:val="21"/>
              </w:rPr>
              <w:t>序号</w:t>
            </w: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jc w:val="center"/>
              <w:rPr>
                <w:rFonts w:ascii="宋体" w:hAnsi="宋体"/>
                <w:szCs w:val="21"/>
              </w:rPr>
            </w:pPr>
            <w:r>
              <w:rPr>
                <w:rFonts w:hint="eastAsia" w:ascii="宋体" w:hAnsi="宋体"/>
                <w:szCs w:val="21"/>
              </w:rPr>
              <w:t>内容、要求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90"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项目名称：2023年度嘉兴市公安局交通警察支队交通设施日常维护、更新项目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7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ascii="宋体" w:hAnsi="宋体"/>
                <w:szCs w:val="21"/>
              </w:rPr>
            </w:pPr>
            <w:r>
              <w:rPr>
                <w:rFonts w:hint="eastAsia" w:ascii="宋体" w:hAnsi="宋体"/>
                <w:szCs w:val="21"/>
              </w:rPr>
              <w:t>采购内容：详见第二章招标需求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89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投标报价及费用：</w:t>
            </w:r>
          </w:p>
          <w:p>
            <w:pPr>
              <w:snapToGrid w:val="0"/>
              <w:spacing w:after="60" w:afterLines="25" w:line="360" w:lineRule="exact"/>
              <w:rPr>
                <w:rFonts w:ascii="宋体" w:hAnsi="宋体"/>
                <w:szCs w:val="21"/>
              </w:rPr>
            </w:pPr>
            <w:r>
              <w:rPr>
                <w:rFonts w:hint="eastAsia" w:ascii="宋体" w:hAnsi="宋体"/>
                <w:szCs w:val="21"/>
              </w:rPr>
              <w:t>1.本项目投标应以</w:t>
            </w:r>
            <w:r>
              <w:rPr>
                <w:rFonts w:hint="eastAsia" w:ascii="宋体" w:hAnsi="宋体"/>
                <w:b/>
                <w:bCs/>
                <w:szCs w:val="21"/>
              </w:rPr>
              <w:t>折扣率</w:t>
            </w:r>
            <w:r>
              <w:rPr>
                <w:rFonts w:hint="eastAsia" w:ascii="宋体" w:hAnsi="宋体"/>
                <w:szCs w:val="21"/>
              </w:rPr>
              <w:t>报价；</w:t>
            </w:r>
          </w:p>
          <w:p>
            <w:pPr>
              <w:snapToGrid w:val="0"/>
              <w:spacing w:after="60" w:afterLines="25" w:line="360" w:lineRule="exact"/>
              <w:rPr>
                <w:rFonts w:ascii="宋体" w:hAnsi="宋体"/>
                <w:szCs w:val="21"/>
              </w:rPr>
            </w:pPr>
            <w:r>
              <w:rPr>
                <w:rFonts w:hint="eastAsia" w:ascii="宋体" w:hAnsi="宋体"/>
                <w:szCs w:val="21"/>
              </w:rPr>
              <w:t>2.不论投标结果如何，供应商均应自行承担所有与投标有关的全部费用；</w:t>
            </w:r>
          </w:p>
          <w:p>
            <w:pPr>
              <w:snapToGrid w:val="0"/>
              <w:spacing w:after="60" w:afterLines="25" w:line="360" w:lineRule="exact"/>
              <w:rPr>
                <w:rFonts w:ascii="宋体" w:hAnsi="宋体"/>
                <w:szCs w:val="21"/>
              </w:rPr>
            </w:pPr>
            <w:r>
              <w:rPr>
                <w:rFonts w:hint="eastAsia" w:ascii="宋体" w:hAnsi="宋体"/>
                <w:szCs w:val="21"/>
              </w:rPr>
              <w:t>3.投标报价是履行合同的最终价格，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snapToGrid w:val="0"/>
              <w:spacing w:after="60" w:afterLines="25" w:line="360" w:lineRule="exact"/>
              <w:rPr>
                <w:rFonts w:ascii="宋体" w:hAnsi="宋体"/>
                <w:szCs w:val="21"/>
              </w:rPr>
            </w:pPr>
            <w:r>
              <w:rPr>
                <w:rFonts w:ascii="宋体" w:hAnsi="宋体"/>
                <w:szCs w:val="21"/>
              </w:rPr>
              <w:t>4.</w:t>
            </w:r>
            <w:r>
              <w:rPr>
                <w:rFonts w:hint="eastAsia" w:ascii="宋体" w:hAnsi="宋体"/>
                <w:szCs w:val="21"/>
              </w:rPr>
              <w:t>本项目招标代理费按“国家发展改革委发改价格【2011】534号”文件收费标准计取，由各标项的中标单位领取中标通知书时一次性支付，请各供应商投标报价时综合考虑此费用。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41"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投标保证金：无。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18"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现场踏勘：</w:t>
            </w:r>
            <w:r>
              <w:rPr>
                <w:rFonts w:hint="eastAsia" w:ascii="宋体" w:hAnsi="宋体"/>
                <w:color w:val="000000"/>
                <w:szCs w:val="21"/>
              </w:rPr>
              <w:t>自行踏勘（费用自理）</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
                <w:szCs w:val="21"/>
                <w:lang w:val="zh-CN"/>
              </w:rPr>
            </w:pPr>
            <w:r>
              <w:rPr>
                <w:rFonts w:hint="eastAsia" w:ascii="宋体" w:hAnsi="宋体" w:cs="Arial"/>
                <w:b/>
                <w:szCs w:val="21"/>
                <w:lang w:val="zh-CN"/>
              </w:rPr>
              <w:t>投标文件组成：完整的《投标文件》由资格文件、商务技术文件、投标报价文件三部份组成。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
                <w:szCs w:val="21"/>
                <w:lang w:val="zh-CN"/>
              </w:rPr>
            </w:pPr>
            <w:r>
              <w:rPr>
                <w:rFonts w:hint="eastAsia" w:ascii="宋体" w:hAnsi="宋体" w:cs="Arial"/>
                <w:bCs/>
                <w:szCs w:val="21"/>
                <w:lang w:val="zh-CN"/>
              </w:rPr>
              <w:t>投标文件的编制：供应商应先安装“政采云电子交易客户端”，并按照本招标文件和“政府采购云平台”的要求，通过“政采云电子交易客户端”编制并加密投标文件。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hint="eastAsia" w:ascii="宋体" w:hAnsi="宋体" w:cs="Arial"/>
                <w:bCs/>
                <w:szCs w:val="21"/>
                <w:lang w:val="zh-CN"/>
              </w:rPr>
            </w:pPr>
            <w:r>
              <w:rPr>
                <w:rFonts w:hint="eastAsia" w:ascii="宋体" w:hAnsi="宋体" w:cs="Arial"/>
                <w:bCs/>
                <w:szCs w:val="21"/>
                <w:lang w:val="zh-CN"/>
              </w:rPr>
              <w:t>投标文件的签章：电子签章。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投标文件的形式：电子投标文件（包括“电子加密投标文件”和“备份投标文件”，在投标文件编制完成后同时生成）；</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（1）“电子加密投标文件”是指通过“政采云电子交易客户端”完成投标文件编制后生成并加密的数据电文形式的投标文件。</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（2）“备份投标文件”是指与“电子加密投标文件”同时生成的数据电文形式的电子文件（备份标书），其他方式编制的备份投标文件视为无效备份投标文件。</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份数：（1）“电子加密投标文件”：在线上传递交、一份。（2）“备份投标文件”：密封包装后投标截止时间前邮寄至浙江富昱项目管理有限公司（嘉兴市秀洲区高照街道丽晶广场1幢1401-1）收件人：陈娟，联系电话：</w:t>
            </w:r>
            <w:r>
              <w:rPr>
                <w:rFonts w:ascii="宋体" w:hAnsi="宋体" w:cs="Arial"/>
                <w:bCs/>
                <w:szCs w:val="21"/>
                <w:lang w:val="zh-CN"/>
              </w:rPr>
              <w:t>15888364231</w:t>
            </w:r>
            <w:r>
              <w:rPr>
                <w:rFonts w:hint="eastAsia" w:ascii="宋体" w:hAnsi="宋体" w:cs="Arial"/>
                <w:bCs/>
                <w:szCs w:val="21"/>
                <w:lang w:val="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投标文件的上传和递交：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（1）“电子加密投标文件”的上传、递交：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a.供应商应在投标截止时间前将“电子加密投标文件”成功上传递交至“政府采购云平台”，否则投标无效。</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b.“电子加密投标文件”成功上传递交后，供应商可自行打印投标文件接收回执。</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（2）“备份投标文件”的密封包装、递交：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a.供应商在“政府采购云平台”完成“电子加密投标文件”的上传递交后，还可以（邮寄形式）在投标截止时间前递交以介质（U盘）存储的“备份投标文件”（一份）；</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b.“备份投标文件”应当密封包装，并在包装上标注投标项目名称、供应商名称并加盖公章。没有密封包装或者逾期邮寄送达至上述邮寄地点的“备份投标文件”将不予接收；（非强制递交）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c.通过“政府采购云平台”成功上传递交的“电子加密投标文件”已按时解密的，“备份投标文件”自动失效。投标截止时间前，供应商仅递交了“备份投标文件”而未将“电子加密投标文件”成功上传至“政府采购云平台”的，投标无效。</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d</w:t>
            </w:r>
            <w:r>
              <w:rPr>
                <w:rFonts w:ascii="宋体" w:hAnsi="宋体" w:cs="Arial"/>
                <w:bCs/>
                <w:szCs w:val="21"/>
                <w:lang w:val="zh-CN"/>
              </w:rPr>
              <w:t>.</w:t>
            </w:r>
            <w:r>
              <w:rPr>
                <w:rFonts w:hint="eastAsia" w:ascii="宋体" w:hAnsi="宋体" w:cs="Arial"/>
                <w:bCs/>
                <w:szCs w:val="21"/>
                <w:lang w:val="zh-CN"/>
              </w:rPr>
              <w:t>中标通知书发出前，成交供应商须向招标人（采购代理机构）提供纸质资格文件、资信商务及技术文件、报价文件正本各1份；副本各2份。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电子加密投标文件的解密和异常情况处理：</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（1）开标后，采购组织机构将向各供应商发出“电子加密投标文件”的解密通知，各供应商代表应当在接到解密通知后30分钟内自行完成“电子加密投标文件”的在线解密。</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通过“政府采购云平台”成功上传递交的“电子加密投标文件”无法按时解密，供应商如按规定递交了“备份投标文件”的，以“备份投标文件”为依据（由采购组织机构按“政府采购云平台”操作规范将“备份投标文件”上传至“政府采购云平台”，上传成功后，“电子加密投标文件”自动失效），否则视为投标文件撤回。</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（3）投标截止时间前，供应商仅递交了“备份投标文件”而未将电子加密投标文件上传至“政府采购云平台”的，投标无效。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b/>
                <w:szCs w:val="21"/>
              </w:rPr>
              <w:t>投标截止时间：</w:t>
            </w:r>
            <w:r>
              <w:rPr>
                <w:rFonts w:ascii="宋体" w:hAnsi="宋体"/>
                <w:b/>
                <w:szCs w:val="21"/>
              </w:rPr>
              <w:t>2023年09月20日09：00</w:t>
            </w:r>
            <w:r>
              <w:rPr>
                <w:rFonts w:hint="eastAsia" w:ascii="宋体" w:hAnsi="宋体"/>
                <w:b/>
                <w:szCs w:val="21"/>
              </w:rPr>
              <w:t>；</w:t>
            </w:r>
          </w:p>
          <w:p>
            <w:pPr>
              <w:snapToGrid w:val="0"/>
              <w:spacing w:after="60" w:afterLines="25" w:line="360" w:lineRule="exact"/>
              <w:rPr>
                <w:rFonts w:ascii="宋体" w:hAnsi="宋体"/>
                <w:b/>
                <w:szCs w:val="21"/>
              </w:rPr>
            </w:pPr>
            <w:r>
              <w:rPr>
                <w:rFonts w:hint="eastAsia" w:ascii="宋体" w:hAnsi="宋体"/>
                <w:b/>
                <w:szCs w:val="21"/>
              </w:rPr>
              <w:t>投标截止地点：</w:t>
            </w:r>
            <w:r>
              <w:rPr>
                <w:rFonts w:ascii="宋体" w:hAnsi="宋体"/>
                <w:b/>
                <w:szCs w:val="21"/>
              </w:rPr>
              <w:t>请登录政采云投标客户端投标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b/>
                <w:szCs w:val="21"/>
              </w:rPr>
              <w:t>开标时间：2023年09月20日09：00；</w:t>
            </w:r>
          </w:p>
          <w:p>
            <w:pPr>
              <w:snapToGrid w:val="0"/>
              <w:spacing w:after="60" w:afterLines="25" w:line="360" w:lineRule="exact"/>
              <w:rPr>
                <w:rFonts w:ascii="宋体" w:hAnsi="宋体"/>
                <w:b/>
                <w:szCs w:val="21"/>
              </w:rPr>
            </w:pPr>
            <w:r>
              <w:rPr>
                <w:rFonts w:hint="eastAsia" w:ascii="宋体" w:hAnsi="宋体"/>
                <w:b/>
                <w:szCs w:val="21"/>
              </w:rPr>
              <w:t>开标地点：“政采云”平台电子投标（线上），</w:t>
            </w:r>
            <w:r>
              <w:rPr>
                <w:rFonts w:hint="eastAsia" w:ascii="宋体" w:hAnsi="宋体"/>
                <w:b/>
                <w:bCs/>
                <w:szCs w:val="21"/>
              </w:rPr>
              <w:t>嘉兴市公共资源交易中心开标室（嘉兴市广场路350号）</w:t>
            </w:r>
            <w:r>
              <w:rPr>
                <w:rFonts w:hint="eastAsia" w:ascii="宋体" w:hAnsi="宋体"/>
                <w:b/>
                <w:szCs w:val="21"/>
              </w:rPr>
              <w:t>；供应商无需到开标现场，但须准时在线参加，直至评审结束。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58"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现场演示：无。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74"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szCs w:val="21"/>
              </w:rPr>
              <w:t>评标办法及评分标准：详见第四章。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24"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评标结果公告：评标结束后2个工作日内，评标结果公告于浙江省政府采购网（</w:t>
            </w:r>
            <w:r>
              <w:rPr>
                <w:rFonts w:ascii="宋体" w:hAnsi="宋体"/>
                <w:szCs w:val="21"/>
              </w:rPr>
              <w:fldChar w:fldCharType="begin"/>
            </w:r>
            <w:r>
              <w:rPr>
                <w:rFonts w:ascii="宋体" w:hAnsi="宋体"/>
                <w:szCs w:val="21"/>
              </w:rPr>
              <w:instrText xml:space="preserve"> HYPERLINK "http://www.zjzfcg.gov.cn/" </w:instrText>
            </w:r>
            <w:r>
              <w:rPr>
                <w:rFonts w:ascii="宋体" w:hAnsi="宋体"/>
                <w:szCs w:val="21"/>
              </w:rPr>
              <w:fldChar w:fldCharType="separate"/>
            </w:r>
            <w:r>
              <w:rPr>
                <w:rFonts w:hint="eastAsia" w:ascii="宋体" w:hAnsi="宋体"/>
                <w:szCs w:val="21"/>
              </w:rPr>
              <w:t>http：//zfcg.czt.zj.gov.cn/</w:t>
            </w:r>
            <w:r>
              <w:rPr>
                <w:rFonts w:ascii="宋体" w:hAnsi="宋体"/>
                <w:szCs w:val="21"/>
              </w:rPr>
              <w:fldChar w:fldCharType="end"/>
            </w:r>
            <w:r>
              <w:rPr>
                <w:rFonts w:hint="eastAsia" w:ascii="宋体" w:hAnsi="宋体"/>
                <w:szCs w:val="21"/>
              </w:rPr>
              <w:t>）</w:t>
            </w:r>
            <w:r>
              <w:rPr>
                <w:rFonts w:ascii="宋体" w:hAnsi="宋体"/>
                <w:szCs w:val="21"/>
              </w:rPr>
              <w:t>。</w:t>
            </w:r>
            <w:r>
              <w:rPr>
                <w:rFonts w:hint="eastAsia" w:ascii="宋体" w:hAnsi="宋体"/>
                <w:szCs w:val="21"/>
              </w:rPr>
              <w:t>本项目公告期限为1个工作日，各参加政府采购活动的供应商认为该中标结果和采购过程等使自己的权益受到损害的，可以自本公告期限届满之日（本公告发布之日后第2个工作日）起7个工作日内，以书面形式向采购人或受其委托的分散采购机构提出质疑。质疑供应商对采购人、分散采购机构的答复不满意或者采购人、分散采购机构未在规定的时间内作出答复的，可以在答复期满后十五个工作日内向同级政府采购监督管理部门投诉。质疑函范本、投诉书范本请到浙江政府采购网下载专区下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0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中标公告及中标通知书：中标公告发布于上述媒体，中标公告期限为1个工作日。在公告中标结果的同时，采购人或采购代理机构向中标人发出中标通知书。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签订合同时间：</w:t>
            </w:r>
            <w:r>
              <w:rPr>
                <w:rFonts w:ascii="宋体" w:hAnsi="宋体"/>
                <w:szCs w:val="21"/>
              </w:rPr>
              <w:t>中标通知书发出后30日内。建议采购人在对采购结果质疑期（自采购结果公告之日起七个工作日）后与中标人签订政府采购合同。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合同公告：本项目政府采购合同将于签订之日起2个工作日内发布于上述媒体，但政府采购合同中涉及国家秘密、商业秘密的内容除外。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7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hint="eastAsia" w:ascii="宋体" w:hAnsi="宋体"/>
              </w:rPr>
            </w:pPr>
            <w:r>
              <w:rPr>
                <w:rFonts w:hint="eastAsia" w:ascii="宋体" w:hAnsi="宋体"/>
                <w:kern w:val="0"/>
                <w:szCs w:val="21"/>
              </w:rPr>
              <w:t>履约保证金：本项目不设置履约保证金。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ascii="宋体" w:hAnsi="宋体"/>
                <w:b/>
                <w:szCs w:val="21"/>
              </w:rPr>
            </w:pPr>
            <w:r>
              <w:rPr>
                <w:rFonts w:hint="eastAsia" w:ascii="宋体" w:hAnsi="宋体"/>
                <w:b/>
                <w:szCs w:val="21"/>
              </w:rPr>
              <w:t>本项目预算金额：</w:t>
            </w:r>
            <w:r>
              <w:rPr>
                <w:rFonts w:ascii="宋体" w:hAnsi="宋体"/>
                <w:b/>
                <w:szCs w:val="21"/>
              </w:rPr>
              <w:t>1</w:t>
            </w:r>
            <w:r>
              <w:rPr>
                <w:rFonts w:hint="eastAsia" w:ascii="宋体" w:hAnsi="宋体"/>
                <w:b/>
                <w:szCs w:val="21"/>
              </w:rPr>
              <w:t>3590000元，</w:t>
            </w:r>
            <w:r>
              <w:rPr>
                <w:rFonts w:ascii="宋体" w:hAnsi="宋体"/>
                <w:b/>
                <w:szCs w:val="21"/>
              </w:rPr>
              <w:t>大写：</w:t>
            </w:r>
            <w:r>
              <w:rPr>
                <w:rFonts w:hint="eastAsia" w:ascii="宋体" w:hAnsi="宋体"/>
                <w:b/>
                <w:szCs w:val="21"/>
              </w:rPr>
              <w:t>壹仟叁佰伍拾玖万元整；</w:t>
            </w:r>
          </w:p>
          <w:p>
            <w:pPr>
              <w:spacing w:after="60" w:afterLines="25" w:line="360" w:lineRule="exact"/>
              <w:rPr>
                <w:rFonts w:ascii="宋体" w:hAnsi="宋体"/>
                <w:b/>
                <w:szCs w:val="21"/>
              </w:rPr>
            </w:pPr>
            <w:r>
              <w:rPr>
                <w:rFonts w:hint="eastAsia" w:ascii="宋体" w:hAnsi="宋体"/>
                <w:b/>
                <w:szCs w:val="21"/>
              </w:rPr>
              <w:t>其中标项</w:t>
            </w:r>
            <w:r>
              <w:rPr>
                <w:rFonts w:ascii="宋体" w:hAnsi="宋体"/>
                <w:b/>
                <w:szCs w:val="21"/>
              </w:rPr>
              <w:t>1</w:t>
            </w:r>
            <w:r>
              <w:rPr>
                <w:rFonts w:hint="eastAsia" w:ascii="宋体" w:hAnsi="宋体"/>
                <w:b/>
                <w:szCs w:val="21"/>
              </w:rPr>
              <w:t>预算金额：10000000元，大写：壹仟万元整；</w:t>
            </w:r>
          </w:p>
          <w:p>
            <w:pPr>
              <w:spacing w:after="60" w:afterLines="25" w:line="360" w:lineRule="exact"/>
              <w:rPr>
                <w:rFonts w:ascii="宋体" w:hAnsi="宋体"/>
                <w:b/>
                <w:szCs w:val="21"/>
              </w:rPr>
            </w:pPr>
            <w:r>
              <w:rPr>
                <w:rFonts w:hint="eastAsia" w:ascii="宋体" w:hAnsi="宋体"/>
                <w:b/>
                <w:szCs w:val="21"/>
              </w:rPr>
              <w:t>标项2预算金额：2090000元，大写：贰佰零玖万元整；</w:t>
            </w:r>
          </w:p>
          <w:p>
            <w:pPr>
              <w:spacing w:after="60" w:afterLines="25" w:line="360" w:lineRule="exact"/>
              <w:rPr>
                <w:rFonts w:hint="eastAsia" w:ascii="宋体" w:hAnsi="宋体"/>
                <w:b/>
                <w:szCs w:val="21"/>
              </w:rPr>
            </w:pPr>
            <w:r>
              <w:rPr>
                <w:rFonts w:hint="eastAsia" w:ascii="宋体" w:hAnsi="宋体"/>
                <w:b/>
                <w:szCs w:val="21"/>
              </w:rPr>
              <w:t>标项3预算金额：1500000元，大写：壹佰伍拾万元整；</w:t>
            </w:r>
          </w:p>
          <w:p>
            <w:pPr>
              <w:spacing w:after="60" w:afterLines="25" w:line="360" w:lineRule="exact"/>
              <w:rPr>
                <w:rFonts w:ascii="宋体" w:hAnsi="宋体"/>
                <w:b/>
                <w:szCs w:val="21"/>
              </w:rPr>
            </w:pPr>
            <w:r>
              <w:rPr>
                <w:rFonts w:hint="eastAsia" w:ascii="宋体" w:hAnsi="宋体"/>
                <w:b/>
                <w:szCs w:val="21"/>
              </w:rPr>
              <w:t>标项1、2、3最高限价均为</w:t>
            </w:r>
            <w:r>
              <w:rPr>
                <w:rFonts w:ascii="宋体" w:hAnsi="宋体"/>
                <w:b/>
                <w:szCs w:val="21"/>
              </w:rPr>
              <w:t>100%</w:t>
            </w:r>
            <w:r>
              <w:rPr>
                <w:rFonts w:hint="eastAsia" w:ascii="宋体" w:hAnsi="宋体"/>
                <w:b/>
                <w:szCs w:val="21"/>
              </w:rPr>
              <w:t>，超过最高限价的投标文件均为无效文件。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付款方式：详见第二章招标需求。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07"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szCs w:val="21"/>
              </w:rPr>
              <w:t>投标文件有效期：90天。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07"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关于参考品牌：除采购文件明确的品牌外，欢迎其他能满足本项目技术需求且性能与所明确品牌相当的产品参加本项目投标。（如有）</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117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信用记录：符合浙财采监【2013】24号《关于规范政府采购供应商资格设定及资格审查的通知》第六条规定，且未被“信用中国”（www.creditchina.gov.cn）、中国政府采购网（www.ccgp.gov.cn）列入失信被执行人、重大税收违法案件当事人名单、政府采购严重违法失信行为记录名单（提供自招标公告发布之日起至投标截止日内任意时间的“信用中国”网站（www.creditchina.gov.cn）、中国政府采购网（www.ccgp.gov.cn）供应商信用查询网页截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65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政府采购节能环保产品：按《节能产品政府采购品目清单》财库〔2019〕19号执行；政府采购节能产品、环境标志产品实施品目清单管理：投标产品符合财库〔2019〕9号《关于调整优化节能产品、环境标志产品政府采购执行机制的通知》条件，属于强制采购目录的，投标时需提供有效的认证证书或其他证明材料，不属于强制采购的产品鼓励使用节能产品，予以政策加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696"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（1）采购文件中凡标注“▲”的条款均为实质性要求，不响应的投标文件将作无效标处理。</w:t>
            </w:r>
          </w:p>
          <w:p>
            <w:pPr>
              <w:snapToGrid w:val="0"/>
              <w:spacing w:after="60" w:afterLines="25" w:line="360" w:lineRule="exact"/>
              <w:rPr>
                <w:rFonts w:ascii="宋体" w:hAnsi="宋体"/>
                <w:szCs w:val="21"/>
              </w:rPr>
            </w:pPr>
            <w:r>
              <w:rPr>
                <w:rFonts w:hint="eastAsia" w:ascii="宋体" w:hAnsi="宋体"/>
                <w:szCs w:val="21"/>
              </w:rPr>
              <w:t>（2）供应商未上传电子加密投标文件，其投标无效。</w:t>
            </w:r>
          </w:p>
          <w:p>
            <w:pPr>
              <w:snapToGrid w:val="0"/>
              <w:spacing w:after="60" w:afterLines="25" w:line="360" w:lineRule="exact"/>
              <w:rPr>
                <w:rFonts w:ascii="宋体" w:hAnsi="宋体"/>
                <w:szCs w:val="21"/>
              </w:rPr>
            </w:pPr>
            <w:r>
              <w:rPr>
                <w:rFonts w:hint="eastAsia" w:ascii="宋体" w:hAnsi="宋体"/>
                <w:szCs w:val="21"/>
              </w:rPr>
              <w:t>（3）供应商应同时提递交电子加密投标文件、备份投标文件，如出现投标文件不一致以电子加密投标文件为准。</w:t>
            </w:r>
          </w:p>
          <w:p>
            <w:pPr>
              <w:snapToGrid w:val="0"/>
              <w:spacing w:after="60" w:afterLines="25" w:line="360" w:lineRule="exact"/>
              <w:rPr>
                <w:rFonts w:ascii="宋体" w:hAnsi="宋体"/>
                <w:szCs w:val="21"/>
              </w:rPr>
            </w:pPr>
            <w:r>
              <w:rPr>
                <w:rFonts w:hint="eastAsia" w:ascii="宋体" w:hAnsi="宋体"/>
                <w:szCs w:val="21"/>
              </w:rPr>
              <w:t>（4）供应商上传了电子加密投标文件，未提供备份投标文件，解密出现问题后，由此导致对该供应商投标无法评审的，其后果由该供应商自行承担。</w:t>
            </w:r>
          </w:p>
          <w:p>
            <w:pPr>
              <w:snapToGrid w:val="0"/>
              <w:spacing w:after="60" w:afterLines="25" w:line="360" w:lineRule="exact"/>
              <w:rPr>
                <w:rFonts w:ascii="宋体" w:hAnsi="宋体"/>
                <w:szCs w:val="21"/>
              </w:rPr>
            </w:pPr>
            <w:r>
              <w:rPr>
                <w:rFonts w:hint="eastAsia" w:ascii="宋体" w:hAnsi="宋体"/>
                <w:szCs w:val="21"/>
              </w:rPr>
              <w:t>（5）各供应商自行在浙江政府采购网下载或查阅采购文件和相关更正公告等，不另行通知，如有遗漏，采购人、采购代理机构概不负责。</w:t>
            </w:r>
          </w:p>
          <w:p>
            <w:pPr>
              <w:snapToGrid w:val="0"/>
              <w:spacing w:after="60" w:afterLines="25" w:line="360" w:lineRule="exact"/>
              <w:rPr>
                <w:rFonts w:hint="eastAsia" w:ascii="宋体" w:hAnsi="宋体"/>
                <w:szCs w:val="21"/>
              </w:rPr>
            </w:pPr>
            <w:r>
              <w:rPr>
                <w:rFonts w:hint="eastAsia" w:ascii="宋体" w:hAnsi="宋体"/>
                <w:szCs w:val="21"/>
              </w:rPr>
              <w:t>（6）两家或两家以上供应商提供的投标文件出自同一终端设备的，或在相同Internet主机分配地址（相同IP地址）报名或网上投标的，后果由供应商自行承担。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46"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解释：本招标文件的解释权属于采购人。</w:t>
            </w:r>
          </w:p>
        </w:tc>
      </w:tr>
    </w:tbl>
    <w:p>
      <w:pPr>
        <w:pStyle w:val="4"/>
        <w:spacing w:line="400" w:lineRule="exact"/>
        <w:rPr>
          <w:rFonts w:ascii="宋体" w:hAnsi="宋体"/>
        </w:rPr>
      </w:pPr>
      <w:r>
        <w:rPr>
          <w:rFonts w:hint="eastAsia" w:ascii="宋体" w:hAnsi="宋体"/>
          <w:b w:val="0"/>
          <w:sz w:val="32"/>
          <w:szCs w:val="32"/>
        </w:rPr>
        <w:br w:type="page"/>
      </w:r>
      <w:bookmarkStart w:id="115" w:name="_Toc16185628"/>
      <w:bookmarkStart w:id="116" w:name="_Toc50211552"/>
      <w:bookmarkStart w:id="117" w:name="_Toc42879248"/>
      <w:bookmarkStart w:id="118" w:name="_Toc89897653"/>
      <w:bookmarkStart w:id="119" w:name="_Toc82881284"/>
      <w:bookmarkStart w:id="120" w:name="_Toc3386498"/>
      <w:bookmarkStart w:id="121" w:name="_Toc39655257"/>
      <w:r>
        <w:rPr>
          <w:rFonts w:hint="eastAsia" w:ascii="宋体" w:hAnsi="宋体"/>
        </w:rPr>
        <w:t>一、总则</w:t>
      </w:r>
      <w:bookmarkEnd w:id="115"/>
      <w:bookmarkEnd w:id="116"/>
      <w:bookmarkEnd w:id="117"/>
      <w:bookmarkEnd w:id="118"/>
      <w:bookmarkEnd w:id="119"/>
      <w:bookmarkEnd w:id="120"/>
      <w:bookmarkEnd w:id="121"/>
    </w:p>
    <w:p>
      <w:pPr>
        <w:pStyle w:val="5"/>
        <w:spacing w:line="400" w:lineRule="exact"/>
        <w:ind w:firstLine="422" w:firstLineChars="200"/>
        <w:rPr>
          <w:rFonts w:ascii="宋体" w:hAnsi="宋体"/>
        </w:rPr>
      </w:pPr>
      <w:r>
        <w:rPr>
          <w:rFonts w:hint="eastAsia" w:ascii="宋体" w:hAnsi="宋体"/>
        </w:rPr>
        <w:t>（一）适用范围</w:t>
      </w:r>
    </w:p>
    <w:p>
      <w:pPr>
        <w:snapToGrid w:val="0"/>
        <w:spacing w:line="400" w:lineRule="exact"/>
        <w:ind w:firstLine="420" w:firstLineChars="200"/>
        <w:jc w:val="left"/>
        <w:rPr>
          <w:rFonts w:ascii="宋体" w:hAnsi="宋体"/>
          <w:szCs w:val="21"/>
        </w:rPr>
      </w:pPr>
      <w:r>
        <w:rPr>
          <w:rFonts w:hint="eastAsia" w:ascii="宋体" w:hAnsi="宋体"/>
          <w:szCs w:val="21"/>
        </w:rPr>
        <w:t>本招标文件适用于</w:t>
      </w:r>
      <w:r>
        <w:rPr>
          <w:rFonts w:ascii="宋体" w:hAnsi="宋体"/>
          <w:szCs w:val="21"/>
        </w:rPr>
        <w:t>本项目</w:t>
      </w:r>
      <w:r>
        <w:rPr>
          <w:rFonts w:hint="eastAsia" w:ascii="宋体" w:hAnsi="宋体"/>
          <w:szCs w:val="21"/>
        </w:rPr>
        <w:t>的招标、投标、评标、定标、验收、合同履约、付款等行为（法律、法规另有规定的，从其规定）。</w:t>
      </w:r>
    </w:p>
    <w:p>
      <w:pPr>
        <w:pStyle w:val="5"/>
        <w:spacing w:line="400" w:lineRule="exact"/>
        <w:ind w:firstLine="422" w:firstLineChars="200"/>
        <w:rPr>
          <w:rFonts w:ascii="宋体" w:hAnsi="宋体"/>
        </w:rPr>
      </w:pPr>
      <w:r>
        <w:rPr>
          <w:rFonts w:hint="eastAsia" w:ascii="宋体" w:hAnsi="宋体"/>
        </w:rPr>
        <w:t>（二）定义</w:t>
      </w:r>
    </w:p>
    <w:p>
      <w:pPr>
        <w:snapToGrid w:val="0"/>
        <w:spacing w:line="400" w:lineRule="exact"/>
        <w:ind w:firstLine="420" w:firstLineChars="200"/>
        <w:jc w:val="left"/>
        <w:rPr>
          <w:rFonts w:ascii="宋体" w:hAnsi="宋体"/>
          <w:szCs w:val="21"/>
        </w:rPr>
      </w:pPr>
      <w:r>
        <w:rPr>
          <w:rFonts w:hint="eastAsia" w:ascii="宋体" w:hAnsi="宋体"/>
          <w:szCs w:val="21"/>
        </w:rPr>
        <w:t>1.“采购人”或“招标采购单位”为嘉兴市公安局交通警察支队。</w:t>
      </w:r>
    </w:p>
    <w:p>
      <w:pPr>
        <w:snapToGrid w:val="0"/>
        <w:spacing w:line="400" w:lineRule="exact"/>
        <w:ind w:firstLine="420" w:firstLineChars="200"/>
        <w:jc w:val="left"/>
        <w:rPr>
          <w:rFonts w:ascii="宋体" w:hAnsi="宋体"/>
          <w:szCs w:val="21"/>
        </w:rPr>
      </w:pPr>
      <w:r>
        <w:rPr>
          <w:rFonts w:hint="eastAsia" w:ascii="宋体" w:hAnsi="宋体"/>
          <w:szCs w:val="21"/>
        </w:rPr>
        <w:t>2.“采购代理机构”为浙江富昱项目管理有限公司。</w:t>
      </w:r>
    </w:p>
    <w:p>
      <w:pPr>
        <w:snapToGrid w:val="0"/>
        <w:spacing w:line="400" w:lineRule="exact"/>
        <w:ind w:firstLine="420" w:firstLineChars="200"/>
        <w:jc w:val="left"/>
        <w:rPr>
          <w:rFonts w:ascii="宋体" w:hAnsi="宋体"/>
          <w:szCs w:val="21"/>
        </w:rPr>
      </w:pPr>
      <w:r>
        <w:rPr>
          <w:rFonts w:hint="eastAsia" w:ascii="宋体" w:hAnsi="宋体"/>
          <w:szCs w:val="21"/>
        </w:rPr>
        <w:t>3.“供应商”或“供应商”系指向招标方提交投标文件的单位。</w:t>
      </w:r>
    </w:p>
    <w:p>
      <w:pPr>
        <w:snapToGrid w:val="0"/>
        <w:spacing w:line="400" w:lineRule="exact"/>
        <w:ind w:firstLine="420" w:firstLineChars="200"/>
        <w:jc w:val="left"/>
        <w:rPr>
          <w:rFonts w:ascii="宋体" w:hAnsi="宋体"/>
          <w:szCs w:val="21"/>
        </w:rPr>
      </w:pPr>
      <w:r>
        <w:rPr>
          <w:rFonts w:hint="eastAsia" w:ascii="宋体" w:hAnsi="宋体"/>
          <w:szCs w:val="21"/>
        </w:rPr>
        <w:t>4.“产品”系指供应商按招标文件规定，须向采购人提供的一切设备、保险、税金、备品备件、工具、手册及其它有关技术资料和材料。</w:t>
      </w:r>
    </w:p>
    <w:p>
      <w:pPr>
        <w:snapToGrid w:val="0"/>
        <w:spacing w:line="400" w:lineRule="exact"/>
        <w:ind w:firstLine="420" w:firstLineChars="200"/>
        <w:jc w:val="left"/>
        <w:rPr>
          <w:rFonts w:ascii="宋体" w:hAnsi="宋体"/>
          <w:szCs w:val="21"/>
        </w:rPr>
      </w:pPr>
      <w:r>
        <w:rPr>
          <w:rFonts w:hint="eastAsia" w:ascii="宋体" w:hAnsi="宋体"/>
          <w:szCs w:val="21"/>
        </w:rPr>
        <w:t>5.“服务”系指招标文件规定供应商须承担的安装、调试、技术协助、校准、培训、技术指导以及其他类似的义务。</w:t>
      </w:r>
    </w:p>
    <w:p>
      <w:pPr>
        <w:snapToGrid w:val="0"/>
        <w:spacing w:line="400" w:lineRule="exact"/>
        <w:ind w:firstLine="420" w:firstLineChars="200"/>
        <w:jc w:val="left"/>
        <w:rPr>
          <w:rFonts w:ascii="宋体" w:hAnsi="宋体"/>
          <w:szCs w:val="21"/>
        </w:rPr>
      </w:pPr>
      <w:r>
        <w:rPr>
          <w:rFonts w:hint="eastAsia" w:ascii="宋体" w:hAnsi="宋体"/>
          <w:szCs w:val="21"/>
        </w:rPr>
        <w:t>6.“项目”系指供应商按招标文件规定向采购人提供的产品和服务。</w:t>
      </w:r>
    </w:p>
    <w:p>
      <w:pPr>
        <w:snapToGrid w:val="0"/>
        <w:spacing w:line="400" w:lineRule="exact"/>
        <w:ind w:firstLine="420" w:firstLineChars="200"/>
        <w:jc w:val="left"/>
        <w:rPr>
          <w:rFonts w:ascii="宋体" w:hAnsi="宋体"/>
          <w:szCs w:val="21"/>
        </w:rPr>
      </w:pPr>
      <w:r>
        <w:rPr>
          <w:rFonts w:hint="eastAsia" w:ascii="宋体" w:hAnsi="宋体"/>
          <w:szCs w:val="21"/>
        </w:rPr>
        <w:t>7.“书面形式”包括信函、传真、电报等。</w:t>
      </w:r>
    </w:p>
    <w:p>
      <w:pPr>
        <w:snapToGrid w:val="0"/>
        <w:spacing w:line="400" w:lineRule="exact"/>
        <w:ind w:firstLine="420" w:firstLineChars="200"/>
        <w:jc w:val="left"/>
        <w:rPr>
          <w:rFonts w:ascii="宋体" w:hAnsi="宋体"/>
          <w:szCs w:val="21"/>
        </w:rPr>
      </w:pPr>
      <w:r>
        <w:rPr>
          <w:rFonts w:hint="eastAsia" w:ascii="宋体" w:hAnsi="宋体"/>
          <w:szCs w:val="21"/>
        </w:rPr>
        <w:t>8.“</w:t>
      </w:r>
      <w:r>
        <w:rPr>
          <w:rFonts w:ascii="宋体" w:hAnsi="宋体"/>
          <w:szCs w:val="21"/>
        </w:rPr>
        <w:t>▲</w:t>
      </w:r>
      <w:r>
        <w:rPr>
          <w:rFonts w:hint="eastAsia" w:ascii="宋体" w:hAnsi="宋体"/>
          <w:szCs w:val="21"/>
        </w:rPr>
        <w:t>”系指实质性要求条款，不满足实行性要求条款的投标文件无效。“★”系指系统重要条款，供应商对重要条款的响应程度将作为评审工作的主要依据之一。</w:t>
      </w:r>
    </w:p>
    <w:p>
      <w:pPr>
        <w:pStyle w:val="5"/>
        <w:spacing w:line="400" w:lineRule="exact"/>
        <w:ind w:firstLine="422" w:firstLineChars="200"/>
        <w:rPr>
          <w:rFonts w:ascii="宋体" w:hAnsi="宋体"/>
        </w:rPr>
      </w:pPr>
      <w:r>
        <w:rPr>
          <w:rFonts w:hint="eastAsia" w:ascii="宋体" w:hAnsi="宋体"/>
        </w:rPr>
        <w:t>（三）招标方式</w:t>
      </w:r>
    </w:p>
    <w:p>
      <w:pPr>
        <w:snapToGrid w:val="0"/>
        <w:spacing w:line="400" w:lineRule="exact"/>
        <w:ind w:firstLine="420" w:firstLineChars="200"/>
        <w:jc w:val="left"/>
        <w:rPr>
          <w:rFonts w:ascii="宋体" w:hAnsi="宋体"/>
          <w:szCs w:val="21"/>
        </w:rPr>
      </w:pPr>
      <w:r>
        <w:rPr>
          <w:rFonts w:hint="eastAsia" w:ascii="宋体" w:hAnsi="宋体"/>
          <w:szCs w:val="21"/>
        </w:rPr>
        <w:t>本次招标采用公开招标方式进行。</w:t>
      </w:r>
    </w:p>
    <w:p>
      <w:pPr>
        <w:pStyle w:val="5"/>
        <w:spacing w:line="400" w:lineRule="exact"/>
        <w:ind w:firstLine="422" w:firstLineChars="200"/>
        <w:rPr>
          <w:rFonts w:ascii="宋体" w:hAnsi="宋体"/>
        </w:rPr>
      </w:pPr>
      <w:r>
        <w:rPr>
          <w:rFonts w:hint="eastAsia" w:ascii="宋体" w:hAnsi="宋体"/>
        </w:rPr>
        <w:t>（四）投标委托</w:t>
      </w:r>
    </w:p>
    <w:p>
      <w:pPr>
        <w:snapToGrid w:val="0"/>
        <w:spacing w:line="400" w:lineRule="exact"/>
        <w:ind w:firstLine="420" w:firstLineChars="200"/>
        <w:jc w:val="left"/>
        <w:rPr>
          <w:rFonts w:ascii="宋体" w:hAnsi="宋体"/>
          <w:szCs w:val="21"/>
        </w:rPr>
      </w:pPr>
      <w:r>
        <w:rPr>
          <w:rFonts w:hint="eastAsia" w:ascii="宋体" w:hAnsi="宋体"/>
          <w:szCs w:val="21"/>
        </w:rPr>
        <w:t>供应商代表须携带有效身份证件。如供应商代表不是法定代表人，须有法定代表人出具的授权委托书（格式见第六章）。</w:t>
      </w:r>
    </w:p>
    <w:p>
      <w:pPr>
        <w:pStyle w:val="5"/>
        <w:spacing w:line="400" w:lineRule="exact"/>
        <w:ind w:firstLine="422" w:firstLineChars="200"/>
        <w:rPr>
          <w:rFonts w:ascii="宋体" w:hAnsi="宋体"/>
        </w:rPr>
      </w:pPr>
      <w:r>
        <w:rPr>
          <w:rFonts w:hint="eastAsia" w:ascii="宋体" w:hAnsi="宋体"/>
        </w:rPr>
        <w:t>（五）投标费用</w:t>
      </w:r>
    </w:p>
    <w:p>
      <w:pPr>
        <w:snapToGrid w:val="0"/>
        <w:spacing w:line="400" w:lineRule="exact"/>
        <w:ind w:firstLine="420" w:firstLineChars="200"/>
        <w:jc w:val="left"/>
        <w:rPr>
          <w:rFonts w:ascii="宋体" w:hAnsi="宋体"/>
          <w:szCs w:val="21"/>
        </w:rPr>
      </w:pPr>
      <w:r>
        <w:rPr>
          <w:rFonts w:hint="eastAsia" w:ascii="宋体" w:hAnsi="宋体"/>
          <w:szCs w:val="21"/>
        </w:rPr>
        <w:t>不论投标结果如何，供应商均应自行承担所有与投标有关的全部费用。</w:t>
      </w:r>
    </w:p>
    <w:p>
      <w:pPr>
        <w:pStyle w:val="5"/>
        <w:spacing w:line="400" w:lineRule="exact"/>
        <w:ind w:firstLine="422" w:firstLineChars="200"/>
        <w:rPr>
          <w:rFonts w:ascii="宋体" w:hAnsi="宋体"/>
        </w:rPr>
      </w:pPr>
      <w:r>
        <w:rPr>
          <w:rFonts w:hint="eastAsia" w:ascii="宋体" w:hAnsi="宋体"/>
        </w:rPr>
        <w:t>（六）联合体投标</w:t>
      </w:r>
    </w:p>
    <w:p>
      <w:pPr>
        <w:snapToGrid w:val="0"/>
        <w:spacing w:line="400" w:lineRule="exact"/>
        <w:ind w:firstLine="420" w:firstLineChars="200"/>
        <w:jc w:val="left"/>
        <w:rPr>
          <w:rFonts w:ascii="宋体" w:hAnsi="宋体"/>
          <w:szCs w:val="21"/>
        </w:rPr>
      </w:pPr>
      <w:r>
        <w:rPr>
          <w:rFonts w:hint="eastAsia" w:ascii="宋体" w:hAnsi="宋体"/>
          <w:szCs w:val="21"/>
        </w:rPr>
        <w:t>本项目不接受联合体投标。</w:t>
      </w:r>
    </w:p>
    <w:p>
      <w:pPr>
        <w:pStyle w:val="5"/>
        <w:spacing w:line="400" w:lineRule="exact"/>
        <w:ind w:firstLine="422" w:firstLineChars="200"/>
        <w:rPr>
          <w:rFonts w:ascii="宋体" w:hAnsi="宋体"/>
          <w:kern w:val="0"/>
        </w:rPr>
      </w:pPr>
      <w:r>
        <w:rPr>
          <w:rFonts w:hint="eastAsia" w:ascii="宋体" w:hAnsi="宋体"/>
        </w:rPr>
        <w:t>（七）</w:t>
      </w:r>
      <w:r>
        <w:rPr>
          <w:rFonts w:hint="eastAsia" w:ascii="宋体" w:hAnsi="宋体"/>
          <w:kern w:val="0"/>
        </w:rPr>
        <w:t>转包与分包</w:t>
      </w:r>
    </w:p>
    <w:p>
      <w:pPr>
        <w:snapToGrid w:val="0"/>
        <w:spacing w:line="400" w:lineRule="exact"/>
        <w:ind w:firstLine="420" w:firstLineChars="200"/>
        <w:rPr>
          <w:rFonts w:ascii="宋体" w:hAnsi="宋体"/>
          <w:kern w:val="0"/>
          <w:szCs w:val="21"/>
        </w:rPr>
      </w:pPr>
      <w:r>
        <w:rPr>
          <w:rFonts w:hint="eastAsia" w:ascii="宋体" w:hAnsi="宋体"/>
          <w:kern w:val="0"/>
          <w:szCs w:val="21"/>
        </w:rPr>
        <w:t>1.本项目不允许转包。</w:t>
      </w:r>
    </w:p>
    <w:p>
      <w:pPr>
        <w:snapToGrid w:val="0"/>
        <w:spacing w:line="400" w:lineRule="exact"/>
        <w:ind w:firstLine="420" w:firstLineChars="200"/>
        <w:rPr>
          <w:rFonts w:ascii="宋体" w:hAnsi="宋体"/>
          <w:szCs w:val="21"/>
        </w:rPr>
      </w:pPr>
      <w:r>
        <w:rPr>
          <w:rFonts w:hint="eastAsia" w:ascii="宋体" w:hAnsi="宋体"/>
          <w:kern w:val="0"/>
          <w:szCs w:val="21"/>
        </w:rPr>
        <w:t>2.本项目不可以分包。</w:t>
      </w:r>
    </w:p>
    <w:p>
      <w:pPr>
        <w:pStyle w:val="5"/>
        <w:spacing w:line="400" w:lineRule="exact"/>
        <w:ind w:firstLine="422" w:firstLineChars="200"/>
        <w:rPr>
          <w:rFonts w:ascii="宋体" w:hAnsi="宋体"/>
        </w:rPr>
      </w:pPr>
      <w:r>
        <w:rPr>
          <w:rFonts w:hint="eastAsia" w:ascii="宋体" w:hAnsi="宋体"/>
        </w:rPr>
        <w:t>（八）是否允许采购进口产品</w:t>
      </w:r>
    </w:p>
    <w:p>
      <w:pPr>
        <w:pStyle w:val="5"/>
        <w:spacing w:line="400" w:lineRule="exact"/>
        <w:ind w:firstLine="420" w:firstLineChars="200"/>
        <w:rPr>
          <w:rFonts w:ascii="宋体" w:hAnsi="宋体"/>
          <w:b w:val="0"/>
          <w:szCs w:val="21"/>
        </w:rPr>
      </w:pPr>
      <w:r>
        <w:rPr>
          <w:rFonts w:hint="eastAsia" w:ascii="宋体" w:hAnsi="宋体"/>
          <w:b w:val="0"/>
          <w:szCs w:val="21"/>
        </w:rPr>
        <w:t>不</w:t>
      </w:r>
      <w:r>
        <w:rPr>
          <w:rFonts w:ascii="宋体" w:hAnsi="宋体"/>
          <w:b w:val="0"/>
          <w:szCs w:val="21"/>
        </w:rPr>
        <w:t>允许</w:t>
      </w:r>
      <w:r>
        <w:rPr>
          <w:rFonts w:hint="eastAsia" w:ascii="宋体" w:hAnsi="宋体"/>
          <w:b w:val="0"/>
          <w:szCs w:val="21"/>
        </w:rPr>
        <w:t>采购进口产品</w:t>
      </w:r>
      <w:r>
        <w:rPr>
          <w:rFonts w:ascii="宋体" w:hAnsi="宋体"/>
          <w:b w:val="0"/>
          <w:szCs w:val="21"/>
        </w:rPr>
        <w:t>。</w:t>
      </w:r>
    </w:p>
    <w:p>
      <w:pPr>
        <w:pStyle w:val="5"/>
        <w:spacing w:line="400" w:lineRule="exact"/>
        <w:ind w:firstLine="422" w:firstLineChars="200"/>
        <w:rPr>
          <w:rFonts w:ascii="宋体" w:hAnsi="宋体"/>
        </w:rPr>
      </w:pPr>
      <w:r>
        <w:rPr>
          <w:rFonts w:hint="eastAsia" w:ascii="宋体" w:hAnsi="宋体"/>
        </w:rPr>
        <w:t>（九）特别说明：</w:t>
      </w:r>
    </w:p>
    <w:p>
      <w:pPr>
        <w:spacing w:line="400" w:lineRule="exact"/>
        <w:ind w:firstLine="420" w:firstLineChars="200"/>
        <w:rPr>
          <w:rFonts w:ascii="宋体" w:hAnsi="宋体"/>
          <w:szCs w:val="21"/>
        </w:rPr>
      </w:pPr>
      <w:r>
        <w:rPr>
          <w:rFonts w:hint="eastAsia" w:ascii="宋体" w:hAnsi="宋体"/>
          <w:szCs w:val="21"/>
        </w:rPr>
        <w:t>1.采用最低评标价法的采购项目，提供相同品牌产品的不同供应商参加同一合同项下投标的，以其中通过资格审查、符合性审查且报价最低的参加评标；报价相同的，由采购人或者采购人委托评标委员会按照招标文件规定的方式确定一个参加评标的供应商，招标文件未规定的采取随机抽取方式确定，其他投标无效。</w:t>
      </w:r>
    </w:p>
    <w:p>
      <w:pPr>
        <w:spacing w:line="400" w:lineRule="exact"/>
        <w:ind w:firstLine="420" w:firstLineChars="200"/>
        <w:rPr>
          <w:rFonts w:ascii="宋体" w:hAnsi="宋体"/>
          <w:szCs w:val="21"/>
        </w:rPr>
      </w:pPr>
      <w:r>
        <w:rPr>
          <w:rFonts w:hint="eastAsia" w:ascii="宋体" w:hAnsi="宋体"/>
          <w:szCs w:val="21"/>
        </w:rPr>
        <w:t>使用综合评分法的采购项目，提供相同品牌产品且通过资格审查、符合性审查的不同供应商参加同一合同项下投标的，按一家供应商计算，评审后得分最高的同品牌供应商获得中标供应商推荐资格；评审得分相同的，由采购人或者采购人委托评标委员会按照招标文件规定的方式确定一个供应商获得中标供应商推荐资格，招标文件未规定的采取随机抽取方式确定，其他同品牌供应商不作为中标候选人。</w:t>
      </w:r>
    </w:p>
    <w:p>
      <w:pPr>
        <w:spacing w:line="400" w:lineRule="exact"/>
        <w:ind w:firstLine="420" w:firstLineChars="200"/>
        <w:rPr>
          <w:rFonts w:ascii="宋体" w:hAnsi="宋体"/>
          <w:szCs w:val="21"/>
        </w:rPr>
      </w:pPr>
      <w:r>
        <w:rPr>
          <w:rFonts w:hint="eastAsia" w:ascii="宋体" w:hAnsi="宋体"/>
          <w:szCs w:val="21"/>
        </w:rPr>
        <w:t>非单一产品采购项目，采购人应当根据采购项目技术构成、产品价格比重等合理确定核心产品，并在招标文件中载明。多家供应商提供的核心产品品牌相同的，按前两款规定处理。</w:t>
      </w:r>
    </w:p>
    <w:p>
      <w:pPr>
        <w:spacing w:line="400" w:lineRule="exact"/>
        <w:ind w:firstLine="420" w:firstLineChars="200"/>
        <w:rPr>
          <w:rFonts w:ascii="宋体" w:hAnsi="宋体"/>
          <w:szCs w:val="21"/>
        </w:rPr>
      </w:pPr>
      <w:r>
        <w:rPr>
          <w:rFonts w:hint="eastAsia" w:ascii="宋体" w:hAnsi="宋体"/>
          <w:szCs w:val="21"/>
        </w:rPr>
        <w:t>2.供应商投标所使用的资格、信誉、荣誉、业绩与企业认证必须为本法人所拥有。供应商投标所使用的采购项目实施人员必须为本法人员工（或必须为本法人或控股公司正式员工）。</w:t>
      </w:r>
    </w:p>
    <w:p>
      <w:pPr>
        <w:spacing w:line="400" w:lineRule="exact"/>
        <w:ind w:firstLine="420" w:firstLineChars="200"/>
        <w:rPr>
          <w:rFonts w:ascii="宋体" w:hAnsi="宋体"/>
          <w:szCs w:val="21"/>
        </w:rPr>
      </w:pPr>
      <w:r>
        <w:rPr>
          <w:rFonts w:hint="eastAsia" w:ascii="宋体" w:hAnsi="宋体"/>
          <w:szCs w:val="21"/>
        </w:rPr>
        <w:t>3.供应商应仔细阅读招标文件的所有内容，按照招标文件的要求提交投标文件，并对所提供的全部资料的真实性承担法律责任。</w:t>
      </w:r>
    </w:p>
    <w:p>
      <w:pPr>
        <w:spacing w:line="400" w:lineRule="exact"/>
        <w:ind w:firstLine="420" w:firstLineChars="200"/>
        <w:rPr>
          <w:rFonts w:ascii="宋体" w:hAnsi="宋体"/>
          <w:szCs w:val="21"/>
        </w:rPr>
      </w:pPr>
      <w:r>
        <w:rPr>
          <w:rFonts w:hint="eastAsia" w:ascii="宋体" w:hAnsi="宋体"/>
          <w:szCs w:val="21"/>
        </w:rPr>
        <w:t>4.供应商在投标活动中提供任何虚假材料，其投标无效，并报监管部门查处；中标后发现的，根据《浙江省政府采购供应商注册及诚信管理暂行办法的通知》规定进行处罚；还将依照《中华人民共和国消费者权益保护法》第49条之规定由中标人双倍赔偿采购人，且民事赔偿并不免除违法供应商的行政与刑事责任。</w:t>
      </w:r>
    </w:p>
    <w:p>
      <w:pPr>
        <w:pStyle w:val="5"/>
        <w:spacing w:line="400" w:lineRule="exact"/>
        <w:ind w:firstLine="422" w:firstLineChars="200"/>
        <w:rPr>
          <w:rFonts w:ascii="宋体" w:hAnsi="宋体"/>
        </w:rPr>
      </w:pPr>
      <w:r>
        <w:rPr>
          <w:rFonts w:hint="eastAsia" w:ascii="宋体" w:hAnsi="宋体"/>
        </w:rPr>
        <w:t>（十）质疑和投诉</w:t>
      </w:r>
    </w:p>
    <w:p>
      <w:pPr>
        <w:spacing w:line="400" w:lineRule="exact"/>
        <w:ind w:firstLine="420" w:firstLineChars="200"/>
        <w:rPr>
          <w:rFonts w:ascii="宋体" w:hAnsi="宋体"/>
          <w:szCs w:val="21"/>
        </w:rPr>
      </w:pPr>
      <w:r>
        <w:rPr>
          <w:rFonts w:hint="eastAsia" w:ascii="宋体" w:hAnsi="宋体"/>
          <w:szCs w:val="21"/>
        </w:rPr>
        <w:t>1.供应商认为招标文件、招标过程或中标结果使自己的合法权益受到损害的，应当在知道或者应知其权益受到损害之日起七个工作日内，以书面形式向采购人、采购代理单位提出质疑。供应商对招标采购单位的质疑答复不满意或者招标采购单位未在规定时间内作出答复的，可以在答复期满后十五个工作日内向同级采购监管部门投诉。</w:t>
      </w:r>
    </w:p>
    <w:p>
      <w:pPr>
        <w:spacing w:line="400" w:lineRule="exact"/>
        <w:ind w:firstLine="420" w:firstLineChars="200"/>
        <w:rPr>
          <w:rFonts w:ascii="宋体" w:hAnsi="宋体"/>
          <w:szCs w:val="21"/>
        </w:rPr>
      </w:pPr>
      <w:r>
        <w:rPr>
          <w:rFonts w:hint="eastAsia" w:ascii="宋体" w:hAnsi="宋体"/>
          <w:szCs w:val="21"/>
        </w:rPr>
        <w:t>2.</w:t>
      </w:r>
      <w:r>
        <w:rPr>
          <w:rFonts w:ascii="宋体" w:hAnsi="宋体"/>
          <w:szCs w:val="21"/>
        </w:rPr>
        <w:t>质疑、投诉应当采用书面形式，质疑书、投诉书均应明确阐述招标文件、招标过程</w:t>
      </w:r>
      <w:r>
        <w:rPr>
          <w:rFonts w:hint="eastAsia" w:ascii="宋体" w:hAnsi="宋体"/>
          <w:szCs w:val="21"/>
        </w:rPr>
        <w:t>或</w:t>
      </w:r>
      <w:r>
        <w:rPr>
          <w:rFonts w:ascii="宋体" w:hAnsi="宋体"/>
          <w:szCs w:val="21"/>
        </w:rPr>
        <w:t>中标结果中使自己合法权益受到损害的实质性内容，提供相关事实、依据和证据及其来源或线索，便于有关单位调查、答复和处理</w:t>
      </w:r>
      <w:r>
        <w:rPr>
          <w:rFonts w:hint="eastAsia" w:ascii="宋体" w:hAnsi="宋体"/>
          <w:szCs w:val="21"/>
        </w:rPr>
        <w:t>。</w:t>
      </w:r>
    </w:p>
    <w:p>
      <w:pPr>
        <w:pStyle w:val="4"/>
        <w:spacing w:line="400" w:lineRule="exact"/>
        <w:rPr>
          <w:rFonts w:ascii="宋体" w:hAnsi="宋体"/>
        </w:rPr>
      </w:pPr>
      <w:bookmarkStart w:id="122" w:name="_Toc3386499"/>
      <w:bookmarkStart w:id="123" w:name="_Toc89897654"/>
      <w:bookmarkStart w:id="124" w:name="_Toc16185629"/>
      <w:bookmarkStart w:id="125" w:name="_Toc82881285"/>
      <w:bookmarkStart w:id="126" w:name="_Toc39655258"/>
      <w:bookmarkStart w:id="127" w:name="_Toc42879249"/>
      <w:bookmarkStart w:id="128" w:name="_Toc50211553"/>
      <w:r>
        <w:rPr>
          <w:rFonts w:hint="eastAsia" w:ascii="宋体" w:hAnsi="宋体"/>
        </w:rPr>
        <w:t>二、招标文件</w:t>
      </w:r>
      <w:bookmarkEnd w:id="122"/>
      <w:bookmarkEnd w:id="123"/>
      <w:bookmarkEnd w:id="124"/>
      <w:bookmarkEnd w:id="125"/>
      <w:bookmarkEnd w:id="126"/>
      <w:bookmarkEnd w:id="127"/>
      <w:bookmarkEnd w:id="128"/>
    </w:p>
    <w:p>
      <w:pPr>
        <w:pStyle w:val="5"/>
        <w:spacing w:line="400" w:lineRule="exact"/>
        <w:ind w:firstLine="422" w:firstLineChars="200"/>
        <w:rPr>
          <w:rFonts w:ascii="宋体" w:hAnsi="宋体"/>
          <w:szCs w:val="21"/>
        </w:rPr>
      </w:pPr>
      <w:r>
        <w:rPr>
          <w:rFonts w:hint="eastAsia" w:ascii="宋体" w:hAnsi="宋体"/>
          <w:szCs w:val="21"/>
        </w:rPr>
        <w:t>（一）招标文件的构成。本招标文件由以下部份组成：</w:t>
      </w:r>
    </w:p>
    <w:p>
      <w:pPr>
        <w:snapToGrid w:val="0"/>
        <w:spacing w:line="400" w:lineRule="exact"/>
        <w:ind w:firstLine="420" w:firstLineChars="200"/>
        <w:jc w:val="left"/>
        <w:rPr>
          <w:rFonts w:ascii="宋体" w:hAnsi="宋体"/>
          <w:szCs w:val="21"/>
        </w:rPr>
      </w:pPr>
      <w:r>
        <w:rPr>
          <w:rFonts w:hint="eastAsia" w:ascii="宋体" w:hAnsi="宋体"/>
          <w:szCs w:val="21"/>
        </w:rPr>
        <w:t>1.招标公告</w:t>
      </w:r>
    </w:p>
    <w:p>
      <w:pPr>
        <w:snapToGrid w:val="0"/>
        <w:spacing w:line="400" w:lineRule="exact"/>
        <w:ind w:firstLine="420" w:firstLineChars="200"/>
        <w:jc w:val="left"/>
        <w:rPr>
          <w:rFonts w:ascii="宋体" w:hAnsi="宋体"/>
          <w:szCs w:val="21"/>
        </w:rPr>
      </w:pPr>
      <w:r>
        <w:rPr>
          <w:rFonts w:hint="eastAsia" w:ascii="宋体" w:hAnsi="宋体"/>
          <w:szCs w:val="21"/>
        </w:rPr>
        <w:t>2.招标需求</w:t>
      </w:r>
    </w:p>
    <w:p>
      <w:pPr>
        <w:snapToGrid w:val="0"/>
        <w:spacing w:line="400" w:lineRule="exact"/>
        <w:ind w:firstLine="420" w:firstLineChars="200"/>
        <w:jc w:val="left"/>
        <w:rPr>
          <w:rFonts w:ascii="宋体" w:hAnsi="宋体"/>
          <w:szCs w:val="21"/>
        </w:rPr>
      </w:pPr>
      <w:r>
        <w:rPr>
          <w:rFonts w:hint="eastAsia" w:ascii="宋体" w:hAnsi="宋体"/>
          <w:szCs w:val="21"/>
        </w:rPr>
        <w:t>3.供应商须知</w:t>
      </w:r>
    </w:p>
    <w:p>
      <w:pPr>
        <w:snapToGrid w:val="0"/>
        <w:spacing w:line="400" w:lineRule="exact"/>
        <w:ind w:firstLine="420" w:firstLineChars="200"/>
        <w:jc w:val="left"/>
        <w:rPr>
          <w:rFonts w:ascii="宋体" w:hAnsi="宋体"/>
          <w:szCs w:val="21"/>
        </w:rPr>
      </w:pPr>
      <w:r>
        <w:rPr>
          <w:rFonts w:hint="eastAsia" w:ascii="宋体" w:hAnsi="宋体"/>
          <w:szCs w:val="21"/>
        </w:rPr>
        <w:t>4.评标办法及标准</w:t>
      </w:r>
    </w:p>
    <w:p>
      <w:pPr>
        <w:snapToGrid w:val="0"/>
        <w:spacing w:line="400" w:lineRule="exact"/>
        <w:ind w:firstLine="420" w:firstLineChars="200"/>
        <w:jc w:val="left"/>
        <w:rPr>
          <w:rFonts w:ascii="宋体" w:hAnsi="宋体"/>
          <w:szCs w:val="21"/>
        </w:rPr>
      </w:pPr>
      <w:r>
        <w:rPr>
          <w:rFonts w:hint="eastAsia" w:ascii="宋体" w:hAnsi="宋体"/>
          <w:szCs w:val="21"/>
        </w:rPr>
        <w:t>5.合同主要条款</w:t>
      </w:r>
    </w:p>
    <w:p>
      <w:pPr>
        <w:snapToGrid w:val="0"/>
        <w:spacing w:line="400" w:lineRule="exact"/>
        <w:ind w:firstLine="420" w:firstLineChars="200"/>
        <w:jc w:val="left"/>
        <w:rPr>
          <w:rFonts w:ascii="宋体" w:hAnsi="宋体"/>
          <w:szCs w:val="21"/>
        </w:rPr>
      </w:pPr>
      <w:r>
        <w:rPr>
          <w:rFonts w:hint="eastAsia" w:ascii="宋体" w:hAnsi="宋体"/>
          <w:szCs w:val="21"/>
        </w:rPr>
        <w:t>6.投标文件格式</w:t>
      </w:r>
    </w:p>
    <w:p>
      <w:pPr>
        <w:snapToGrid w:val="0"/>
        <w:spacing w:line="400" w:lineRule="exact"/>
        <w:ind w:firstLine="420" w:firstLineChars="200"/>
        <w:jc w:val="left"/>
        <w:rPr>
          <w:rFonts w:ascii="宋体" w:hAnsi="宋体"/>
          <w:szCs w:val="21"/>
        </w:rPr>
      </w:pPr>
      <w:r>
        <w:rPr>
          <w:rFonts w:hint="eastAsia" w:ascii="宋体" w:hAnsi="宋体"/>
          <w:szCs w:val="21"/>
        </w:rPr>
        <w:t>7.本项目招标文件的澄清、答复、修改、补充的内容</w:t>
      </w:r>
      <w:r>
        <w:rPr>
          <w:rFonts w:ascii="宋体" w:hAnsi="宋体"/>
          <w:szCs w:val="21"/>
        </w:rPr>
        <w:t>（所有内容将以电子文档形式上传于浙江省政府采购网网站（https：//zfcg.czt.zj.gov.cn/）。澄清、答复、修改、补充的内容均作为招标文件的组成部分，具有约束作用。供应商必须自行下载。）</w:t>
      </w:r>
    </w:p>
    <w:p>
      <w:pPr>
        <w:pStyle w:val="5"/>
        <w:spacing w:line="400" w:lineRule="exact"/>
        <w:ind w:firstLine="422" w:firstLineChars="200"/>
        <w:rPr>
          <w:rFonts w:ascii="宋体" w:hAnsi="宋体"/>
        </w:rPr>
      </w:pPr>
      <w:r>
        <w:rPr>
          <w:rFonts w:hint="eastAsia" w:ascii="宋体" w:hAnsi="宋体"/>
        </w:rPr>
        <w:t>（二）供应商的风险</w:t>
      </w:r>
    </w:p>
    <w:p>
      <w:pPr>
        <w:spacing w:line="400" w:lineRule="exact"/>
        <w:ind w:firstLine="420" w:firstLineChars="200"/>
        <w:rPr>
          <w:rFonts w:ascii="宋体" w:hAnsi="宋体"/>
          <w:bCs/>
          <w:szCs w:val="21"/>
        </w:rPr>
      </w:pPr>
      <w:r>
        <w:rPr>
          <w:rFonts w:hint="eastAsia" w:ascii="宋体" w:hAnsi="宋体"/>
          <w:bCs/>
          <w:szCs w:val="21"/>
        </w:rPr>
        <w:t>供应商没有按照招标文件要求提供全部资料，或者供应商没有对招标文件在各方面作出实质性响应是供应商的风险，并可能导致其投标为无效标。</w:t>
      </w:r>
    </w:p>
    <w:p>
      <w:pPr>
        <w:pStyle w:val="5"/>
        <w:spacing w:line="400" w:lineRule="exact"/>
        <w:ind w:firstLine="422" w:firstLineChars="200"/>
        <w:rPr>
          <w:rFonts w:ascii="宋体" w:hAnsi="宋体"/>
        </w:rPr>
      </w:pPr>
      <w:r>
        <w:rPr>
          <w:rFonts w:hint="eastAsia" w:ascii="宋体" w:hAnsi="宋体"/>
        </w:rPr>
        <w:t>（三）招标文件的澄清与修改</w:t>
      </w:r>
    </w:p>
    <w:p>
      <w:pPr>
        <w:snapToGrid w:val="0"/>
        <w:spacing w:line="400" w:lineRule="exact"/>
        <w:ind w:firstLine="420" w:firstLineChars="200"/>
        <w:jc w:val="left"/>
        <w:rPr>
          <w:rFonts w:ascii="宋体" w:hAnsi="宋体"/>
          <w:szCs w:val="21"/>
        </w:rPr>
      </w:pPr>
      <w:r>
        <w:rPr>
          <w:rFonts w:hint="eastAsia" w:ascii="宋体" w:hAnsi="宋体"/>
          <w:szCs w:val="21"/>
        </w:rPr>
        <w:t>1.供应商应认真阅读本招标文件，发现其中有误或有不合理要求的，可要求招标采购人澄清。招标采购人对已发出的招标文件进行必要澄清或者修改的，应当在招标文件要求提交投标文件截止十五日前，在财政部门指定的政府采购信息发布媒体上发布更正公告，并以书面形式通知所有招标文件获取人。</w:t>
      </w:r>
    </w:p>
    <w:p>
      <w:pPr>
        <w:snapToGrid w:val="0"/>
        <w:spacing w:line="400" w:lineRule="exact"/>
        <w:ind w:firstLine="420" w:firstLineChars="200"/>
        <w:jc w:val="left"/>
        <w:rPr>
          <w:rFonts w:ascii="宋体" w:hAnsi="宋体"/>
          <w:szCs w:val="21"/>
        </w:rPr>
      </w:pPr>
      <w:r>
        <w:rPr>
          <w:rFonts w:hint="eastAsia" w:ascii="宋体" w:hAnsi="宋体"/>
          <w:szCs w:val="21"/>
        </w:rPr>
        <w:t>2.招标文件澄清或者修改的内容为招标文件的组成部分。当招标文件与澄清或者修改就同一内容的表述不一致时，以最后发出的书面文件为准。</w:t>
      </w:r>
    </w:p>
    <w:p>
      <w:pPr>
        <w:snapToGrid w:val="0"/>
        <w:spacing w:line="400" w:lineRule="exact"/>
        <w:ind w:firstLine="420" w:firstLineChars="200"/>
        <w:jc w:val="left"/>
        <w:rPr>
          <w:rFonts w:ascii="宋体" w:hAnsi="宋体"/>
          <w:szCs w:val="21"/>
        </w:rPr>
      </w:pPr>
      <w:r>
        <w:rPr>
          <w:rFonts w:hint="eastAsia" w:ascii="宋体" w:hAnsi="宋体"/>
          <w:szCs w:val="21"/>
        </w:rPr>
        <w:t>3.对招标文件的澄清、答复、修改或补充都应该通过招标代理机构以法定形式发布，采购人非通过招标代理机构，不得擅自澄清、答复、修改或补充招标文件。</w:t>
      </w:r>
    </w:p>
    <w:p>
      <w:pPr>
        <w:pStyle w:val="4"/>
        <w:spacing w:line="400" w:lineRule="exact"/>
        <w:rPr>
          <w:rFonts w:ascii="宋体" w:hAnsi="宋体"/>
        </w:rPr>
      </w:pPr>
      <w:bookmarkStart w:id="129" w:name="_Toc3386500"/>
      <w:bookmarkStart w:id="130" w:name="_Toc50211554"/>
      <w:bookmarkStart w:id="131" w:name="_Toc42879250"/>
      <w:bookmarkStart w:id="132" w:name="_Toc82881286"/>
      <w:bookmarkStart w:id="133" w:name="_Toc89897655"/>
      <w:bookmarkStart w:id="134" w:name="_Toc16185630"/>
      <w:bookmarkStart w:id="135" w:name="_Toc39655259"/>
      <w:r>
        <w:rPr>
          <w:rFonts w:hint="eastAsia" w:ascii="宋体" w:hAnsi="宋体"/>
        </w:rPr>
        <w:t>三、投标文件的编制</w:t>
      </w:r>
      <w:bookmarkEnd w:id="129"/>
      <w:bookmarkEnd w:id="130"/>
      <w:bookmarkEnd w:id="131"/>
      <w:bookmarkEnd w:id="132"/>
      <w:bookmarkEnd w:id="133"/>
      <w:bookmarkEnd w:id="134"/>
      <w:bookmarkEnd w:id="135"/>
    </w:p>
    <w:p>
      <w:pPr>
        <w:spacing w:line="400" w:lineRule="exact"/>
        <w:ind w:firstLine="422" w:firstLineChars="200"/>
        <w:rPr>
          <w:rFonts w:ascii="宋体" w:hAnsi="宋体"/>
          <w:b/>
          <w:kern w:val="0"/>
        </w:rPr>
      </w:pPr>
      <w:r>
        <w:rPr>
          <w:rFonts w:hint="eastAsia" w:ascii="宋体" w:hAnsi="宋体"/>
          <w:b/>
          <w:kern w:val="0"/>
        </w:rPr>
        <w:t>本项目所涉投标文件格式请详见第六章，未给出的格式请自拟。资格文件、商务技术文件中不得出现报价，否则投标文件将被视为无效。</w:t>
      </w:r>
    </w:p>
    <w:p>
      <w:pPr>
        <w:spacing w:line="400" w:lineRule="exact"/>
        <w:ind w:firstLine="422" w:firstLineChars="200"/>
        <w:rPr>
          <w:rFonts w:ascii="宋体" w:hAnsi="宋体"/>
          <w:b/>
          <w:kern w:val="0"/>
        </w:rPr>
      </w:pPr>
      <w:bookmarkStart w:id="136" w:name="_Toc33535357"/>
      <w:bookmarkStart w:id="137" w:name="_Toc32243"/>
      <w:bookmarkStart w:id="138" w:name="_Toc50012863"/>
      <w:r>
        <w:rPr>
          <w:rFonts w:hint="eastAsia" w:ascii="宋体" w:hAnsi="宋体"/>
          <w:b/>
          <w:kern w:val="0"/>
        </w:rPr>
        <w:t>总体要求：</w:t>
      </w:r>
      <w:bookmarkEnd w:id="136"/>
      <w:bookmarkEnd w:id="137"/>
      <w:bookmarkEnd w:id="138"/>
    </w:p>
    <w:p>
      <w:pPr>
        <w:spacing w:line="400" w:lineRule="exact"/>
        <w:ind w:firstLine="420" w:firstLineChars="200"/>
        <w:rPr>
          <w:rFonts w:ascii="宋体" w:hAnsi="宋体"/>
          <w:bCs/>
          <w:kern w:val="0"/>
        </w:rPr>
      </w:pPr>
      <w:r>
        <w:rPr>
          <w:rFonts w:hint="eastAsia" w:ascii="宋体" w:hAnsi="宋体"/>
          <w:bCs/>
          <w:kern w:val="0"/>
        </w:rPr>
        <w:t>1、投标人</w:t>
      </w:r>
      <w:r>
        <w:rPr>
          <w:rFonts w:ascii="宋体" w:hAnsi="宋体"/>
          <w:bCs/>
          <w:kern w:val="0"/>
        </w:rPr>
        <w:t>应仔细阅读招标文件的所有内容，按本文件的要求提供投标文件，并保证所提供的全部资料的真实性，以使其投标文件对招标文件作出实质性响应，否则，投标文件可能视为无效投标文件。</w:t>
      </w:r>
    </w:p>
    <w:p>
      <w:pPr>
        <w:spacing w:line="400" w:lineRule="exact"/>
        <w:ind w:firstLine="420" w:firstLineChars="200"/>
        <w:rPr>
          <w:rFonts w:ascii="宋体" w:hAnsi="宋体"/>
          <w:bCs/>
          <w:kern w:val="0"/>
        </w:rPr>
      </w:pPr>
      <w:r>
        <w:rPr>
          <w:rFonts w:hint="eastAsia" w:ascii="宋体" w:hAnsi="宋体"/>
          <w:bCs/>
          <w:kern w:val="0"/>
        </w:rPr>
        <w:t>2、投标文件及投标人与采购有关的来往通知，函件和文件均应使用中文。</w:t>
      </w:r>
    </w:p>
    <w:p>
      <w:pPr>
        <w:spacing w:line="400" w:lineRule="exact"/>
        <w:ind w:firstLine="420" w:firstLineChars="200"/>
        <w:rPr>
          <w:rFonts w:ascii="宋体" w:hAnsi="宋体"/>
          <w:bCs/>
          <w:kern w:val="0"/>
        </w:rPr>
      </w:pPr>
      <w:r>
        <w:rPr>
          <w:rFonts w:hint="eastAsia" w:ascii="宋体" w:hAnsi="宋体"/>
          <w:bCs/>
          <w:kern w:val="0"/>
        </w:rPr>
        <w:t>3、投标人应按本文件中提供的文件格式、内容和要求制作投标文件。</w:t>
      </w:r>
    </w:p>
    <w:p>
      <w:pPr>
        <w:spacing w:line="400" w:lineRule="exact"/>
        <w:ind w:firstLine="420" w:firstLineChars="200"/>
        <w:rPr>
          <w:rFonts w:ascii="宋体" w:hAnsi="宋体"/>
          <w:bCs/>
          <w:kern w:val="0"/>
        </w:rPr>
      </w:pPr>
      <w:r>
        <w:rPr>
          <w:rFonts w:hint="eastAsia" w:ascii="宋体" w:hAnsi="宋体"/>
          <w:bCs/>
          <w:kern w:val="0"/>
        </w:rPr>
        <w:t>4、投标文件的效力：投标文件的启用，按先后顺位分别为电子投标文件、电子备份投标文件。通过“政府采购云平台”成功上传递交的“电子加密投标文件”无法按时解密，投标投标人如按规定递交了“备份投标文件”的，以“备份投标文件”为依据（由采购组织机构按“政府采购云平台”操作规范将“备份投标文件”上传至“政府采购云平台”，上传成功后，“电子加密投标文件”自动失效），否则视为投标文件撤回。</w:t>
      </w:r>
    </w:p>
    <w:p>
      <w:pPr>
        <w:spacing w:line="400" w:lineRule="exact"/>
        <w:ind w:firstLine="422" w:firstLineChars="200"/>
        <w:rPr>
          <w:rFonts w:ascii="宋体" w:hAnsi="宋体"/>
        </w:rPr>
      </w:pPr>
      <w:r>
        <w:rPr>
          <w:rFonts w:ascii="宋体" w:hAnsi="宋体"/>
          <w:b/>
          <w:kern w:val="0"/>
        </w:rPr>
        <w:t>5</w:t>
      </w:r>
      <w:r>
        <w:rPr>
          <w:rFonts w:hint="eastAsia" w:ascii="宋体" w:hAnsi="宋体"/>
          <w:b/>
          <w:kern w:val="0"/>
        </w:rPr>
        <w:t>、电子投标文件按政采云平台供应商电子招投标操作指南（网址：</w:t>
      </w:r>
      <w:r>
        <w:rPr>
          <w:rFonts w:ascii="宋体" w:hAnsi="宋体"/>
        </w:rPr>
        <w:fldChar w:fldCharType="begin"/>
      </w:r>
      <w:r>
        <w:rPr>
          <w:rFonts w:ascii="宋体" w:hAnsi="宋体"/>
        </w:rPr>
        <w:instrText xml:space="preserve"> HYPERLINK "https://help.zcygov.cn/web/site_2/2018/12-28/2573.html%EF%BC%89%E5%8F%8A%E6%9C%AC%E6%8B%9B%E6%A0%87%E6%96%87%E4%BB%B6%E8%A7%84%E5%AE%9A%E7%9A%84%E6%A0%BC%E5%BC%8F%E5%92%8C%E9%A1%BA%E5%BA%8F%E7%BC%96%E5%88%B6%E7%94%B5%E5%AD%90%E6%8A%95%E6%A0%87%E6%96%87%E4%BB%B6%E5%B9%B6%E8%BF%9B%E8%A1%8C%E5%85%B3%E8%81%94%E5%AE%9A" \t "_blank" </w:instrText>
      </w:r>
      <w:r>
        <w:rPr>
          <w:rFonts w:ascii="宋体" w:hAnsi="宋体"/>
        </w:rPr>
        <w:fldChar w:fldCharType="separate"/>
      </w:r>
      <w:r>
        <w:rPr>
          <w:rFonts w:hint="eastAsia" w:ascii="宋体" w:hAnsi="宋体"/>
          <w:b/>
          <w:kern w:val="0"/>
        </w:rPr>
        <w:t>https：//help.zcygov.cn/web/site_2/2018/12-28/2573.html）及本招标文件规定的格式和顺序编制电子投标文件并进行关联定</w:t>
      </w:r>
      <w:r>
        <w:rPr>
          <w:rFonts w:ascii="宋体" w:hAnsi="宋体"/>
          <w:b/>
          <w:kern w:val="0"/>
        </w:rPr>
        <w:fldChar w:fldCharType="end"/>
      </w:r>
      <w:r>
        <w:rPr>
          <w:rFonts w:hint="eastAsia" w:ascii="宋体" w:hAnsi="宋体"/>
          <w:b/>
          <w:kern w:val="0"/>
        </w:rPr>
        <w:t>。建议根据招标文件合格供应商的资格要求、投标文件的编制及评分标准等内容一一关联。</w:t>
      </w:r>
    </w:p>
    <w:p>
      <w:pPr>
        <w:pStyle w:val="5"/>
        <w:spacing w:line="400" w:lineRule="exact"/>
        <w:ind w:firstLine="422" w:firstLineChars="200"/>
        <w:rPr>
          <w:rFonts w:ascii="宋体" w:hAnsi="宋体"/>
        </w:rPr>
      </w:pPr>
      <w:r>
        <w:rPr>
          <w:rFonts w:hint="eastAsia" w:ascii="宋体" w:hAnsi="宋体"/>
        </w:rPr>
        <w:t>（一）投标文件的组成</w:t>
      </w:r>
    </w:p>
    <w:p>
      <w:pPr>
        <w:snapToGrid w:val="0"/>
        <w:spacing w:line="400" w:lineRule="exact"/>
        <w:ind w:firstLine="422" w:firstLineChars="200"/>
        <w:jc w:val="left"/>
        <w:rPr>
          <w:rFonts w:ascii="宋体" w:hAnsi="宋体"/>
          <w:b/>
          <w:bCs/>
          <w:szCs w:val="21"/>
        </w:rPr>
      </w:pPr>
      <w:r>
        <w:rPr>
          <w:rFonts w:hint="eastAsia" w:ascii="宋体" w:hAnsi="宋体"/>
          <w:b/>
          <w:bCs/>
          <w:szCs w:val="21"/>
        </w:rPr>
        <w:t>包括电子投标文件和</w:t>
      </w:r>
      <w:r>
        <w:rPr>
          <w:rFonts w:hint="eastAsia" w:ascii="宋体" w:hAnsi="宋体"/>
          <w:szCs w:val="21"/>
        </w:rPr>
        <w:t>电子备份投标文件（选送）</w:t>
      </w:r>
      <w:r>
        <w:rPr>
          <w:rFonts w:hint="eastAsia" w:ascii="宋体" w:hAnsi="宋体"/>
          <w:b/>
          <w:bCs/>
          <w:szCs w:val="21"/>
        </w:rPr>
        <w:t>，均由资格投标文件、商务技术文件及投标报价文件三部份组成。其中电子投标文件中所须加盖公章部分均采用CA签章。</w:t>
      </w:r>
    </w:p>
    <w:p>
      <w:pPr>
        <w:snapToGrid w:val="0"/>
        <w:spacing w:line="400" w:lineRule="exact"/>
        <w:ind w:firstLine="422" w:firstLineChars="200"/>
        <w:jc w:val="left"/>
        <w:rPr>
          <w:rFonts w:ascii="宋体" w:hAnsi="宋体"/>
          <w:b/>
          <w:szCs w:val="21"/>
        </w:rPr>
      </w:pPr>
      <w:r>
        <w:rPr>
          <w:rFonts w:hint="eastAsia" w:ascii="宋体" w:hAnsi="宋体"/>
          <w:b/>
          <w:szCs w:val="21"/>
        </w:rPr>
        <w:t>1.资格文件：（适用于所有标项）</w:t>
      </w:r>
    </w:p>
    <w:p>
      <w:pPr>
        <w:snapToGrid w:val="0"/>
        <w:spacing w:line="400" w:lineRule="exact"/>
        <w:ind w:firstLine="420" w:firstLineChars="200"/>
        <w:jc w:val="left"/>
        <w:rPr>
          <w:rFonts w:ascii="宋体" w:hAnsi="宋体"/>
          <w:szCs w:val="21"/>
        </w:rPr>
      </w:pPr>
      <w:r>
        <w:rPr>
          <w:rFonts w:hint="eastAsia" w:ascii="宋体" w:hAnsi="宋体"/>
          <w:szCs w:val="21"/>
        </w:rPr>
        <w:t>（1）具有独立承担民事责任的能力（供应商营业执照副本复印件）；</w:t>
      </w:r>
    </w:p>
    <w:p>
      <w:pPr>
        <w:snapToGrid w:val="0"/>
        <w:spacing w:line="400" w:lineRule="exact"/>
        <w:ind w:firstLine="420" w:firstLineChars="200"/>
        <w:jc w:val="left"/>
        <w:rPr>
          <w:rFonts w:ascii="宋体" w:hAnsi="宋体"/>
          <w:szCs w:val="21"/>
        </w:rPr>
      </w:pPr>
      <w:r>
        <w:rPr>
          <w:rFonts w:hint="eastAsia" w:ascii="宋体" w:hAnsi="宋体"/>
          <w:szCs w:val="21"/>
        </w:rPr>
        <w:t>（2）供应商书面承诺符合参与政府采购活动资格条件承诺函【承诺函（格式见附件）】；</w:t>
      </w:r>
    </w:p>
    <w:p>
      <w:pPr>
        <w:snapToGrid w:val="0"/>
        <w:spacing w:line="400" w:lineRule="exact"/>
        <w:ind w:firstLine="420" w:firstLineChars="200"/>
        <w:jc w:val="left"/>
        <w:rPr>
          <w:rFonts w:ascii="宋体" w:hAnsi="宋体"/>
          <w:szCs w:val="21"/>
        </w:rPr>
      </w:pPr>
      <w:r>
        <w:rPr>
          <w:rFonts w:hint="eastAsia" w:ascii="宋体" w:hAnsi="宋体"/>
          <w:szCs w:val="21"/>
        </w:rPr>
        <w:t>（3）提供自招标公告发布之日起至投标截止日内任意时间的“信用中国”网站（www.creditchina.gov.cn）（未被信用中国网站</w:t>
      </w:r>
      <w:r>
        <w:rPr>
          <w:rFonts w:hint="eastAsia" w:ascii="宋体" w:hAnsi="宋体"/>
          <w:szCs w:val="21"/>
        </w:rPr>
        <w:fldChar w:fldCharType="begin"/>
      </w:r>
      <w:r>
        <w:rPr>
          <w:rFonts w:ascii="宋体" w:hAnsi="宋体"/>
          <w:szCs w:val="21"/>
        </w:rPr>
        <w:instrText xml:space="preserve"> HYPERLINK \t "_blank" </w:instrText>
      </w:r>
      <w:r>
        <w:rPr>
          <w:rFonts w:hint="eastAsia" w:ascii="宋体" w:hAnsi="宋体"/>
          <w:szCs w:val="21"/>
        </w:rPr>
        <w:fldChar w:fldCharType="separate"/>
      </w:r>
      <w:r>
        <w:rPr>
          <w:rFonts w:hint="eastAsia" w:ascii="宋体" w:hAnsi="宋体"/>
          <w:szCs w:val="21"/>
        </w:rPr>
        <w:t>列入失信被执行人、重大税收违法案件当事人名单</w:t>
      </w:r>
      <w:r>
        <w:rPr>
          <w:rFonts w:hint="eastAsia" w:ascii="宋体" w:hAnsi="宋体"/>
          <w:szCs w:val="21"/>
        </w:rPr>
        <w:fldChar w:fldCharType="end"/>
      </w:r>
      <w:r>
        <w:rPr>
          <w:rFonts w:ascii="宋体" w:hAnsi="宋体"/>
          <w:szCs w:val="21"/>
        </w:rPr>
        <w:t>的</w:t>
      </w:r>
      <w:r>
        <w:rPr>
          <w:rFonts w:hint="eastAsia" w:ascii="宋体" w:hAnsi="宋体"/>
          <w:szCs w:val="21"/>
        </w:rPr>
        <w:t>查询网页截图</w:t>
      </w:r>
      <w:r>
        <w:rPr>
          <w:rFonts w:ascii="宋体" w:hAnsi="宋体"/>
          <w:szCs w:val="21"/>
        </w:rPr>
        <w:t>）</w:t>
      </w:r>
      <w:r>
        <w:rPr>
          <w:rFonts w:hint="eastAsia" w:ascii="宋体" w:hAnsi="宋体"/>
          <w:szCs w:val="21"/>
        </w:rPr>
        <w:t>、中国政府采购网（www.ccgp.gov.cn）（未被中国政府采购网</w:t>
      </w:r>
      <w:r>
        <w:rPr>
          <w:rFonts w:hint="eastAsia" w:ascii="宋体" w:hAnsi="宋体"/>
          <w:szCs w:val="21"/>
        </w:rPr>
        <w:fldChar w:fldCharType="begin"/>
      </w:r>
      <w:r>
        <w:rPr>
          <w:rFonts w:ascii="宋体" w:hAnsi="宋体"/>
          <w:szCs w:val="21"/>
        </w:rPr>
        <w:instrText xml:space="preserve"> HYPERLINK \t "_blank" </w:instrText>
      </w:r>
      <w:r>
        <w:rPr>
          <w:rFonts w:hint="eastAsia" w:ascii="宋体" w:hAnsi="宋体"/>
          <w:szCs w:val="21"/>
        </w:rPr>
        <w:fldChar w:fldCharType="separate"/>
      </w:r>
      <w:r>
        <w:rPr>
          <w:rFonts w:hint="eastAsia" w:ascii="宋体" w:hAnsi="宋体"/>
          <w:szCs w:val="21"/>
        </w:rPr>
        <w:t>列入政府采购严重违法失信行为记录名单</w:t>
      </w:r>
      <w:r>
        <w:rPr>
          <w:rFonts w:hint="eastAsia" w:ascii="宋体" w:hAnsi="宋体"/>
          <w:szCs w:val="21"/>
        </w:rPr>
        <w:fldChar w:fldCharType="end"/>
      </w:r>
      <w:r>
        <w:rPr>
          <w:rFonts w:ascii="宋体" w:hAnsi="宋体"/>
          <w:szCs w:val="21"/>
        </w:rPr>
        <w:t>的</w:t>
      </w:r>
      <w:r>
        <w:rPr>
          <w:rFonts w:hint="eastAsia" w:ascii="宋体" w:hAnsi="宋体"/>
          <w:szCs w:val="21"/>
        </w:rPr>
        <w:t>查询网页截图）（以开标当日采购单位或由采购单位委托的评标委员会核实的查询结果为准）；</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4</w:t>
      </w:r>
      <w:r>
        <w:rPr>
          <w:rFonts w:hint="eastAsia" w:ascii="宋体" w:hAnsi="宋体"/>
          <w:szCs w:val="21"/>
        </w:rPr>
        <w:t>）供应商为中小企业【请根据\"落实政府采购政策需满足的资格要求\"，上传对应的资格文件，格式以采购文件要求为准】；</w:t>
      </w:r>
    </w:p>
    <w:p>
      <w:pPr>
        <w:snapToGrid w:val="0"/>
        <w:spacing w:line="400" w:lineRule="exact"/>
        <w:ind w:firstLine="422" w:firstLineChars="200"/>
        <w:jc w:val="left"/>
        <w:rPr>
          <w:rFonts w:ascii="宋体" w:hAnsi="宋体"/>
          <w:szCs w:val="21"/>
        </w:rPr>
      </w:pPr>
      <w:r>
        <w:rPr>
          <w:rFonts w:hint="eastAsia" w:ascii="宋体" w:hAnsi="宋体"/>
          <w:b/>
          <w:szCs w:val="21"/>
        </w:rPr>
        <w:t>2</w:t>
      </w:r>
      <w:r>
        <w:rPr>
          <w:rFonts w:ascii="宋体" w:hAnsi="宋体"/>
          <w:b/>
          <w:szCs w:val="21"/>
        </w:rPr>
        <w:t>.</w:t>
      </w:r>
      <w:r>
        <w:rPr>
          <w:rFonts w:hint="eastAsia" w:ascii="宋体" w:hAnsi="宋体"/>
          <w:b/>
          <w:szCs w:val="21"/>
        </w:rPr>
        <w:t>商务技术文件：（适用于所有标项）</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w:t>
      </w:r>
      <w:r>
        <w:rPr>
          <w:rFonts w:hint="eastAsia" w:ascii="宋体" w:hAnsi="宋体"/>
          <w:szCs w:val="21"/>
        </w:rPr>
        <w:t>）法定代表人资格证明书或法定代表人授权委托书；</w:t>
      </w:r>
    </w:p>
    <w:p>
      <w:pPr>
        <w:snapToGrid w:val="0"/>
        <w:spacing w:line="400" w:lineRule="exact"/>
        <w:ind w:firstLine="420" w:firstLineChars="200"/>
        <w:jc w:val="left"/>
        <w:rPr>
          <w:rFonts w:ascii="宋体" w:hAnsi="宋体"/>
          <w:szCs w:val="21"/>
        </w:rPr>
      </w:pPr>
      <w:r>
        <w:rPr>
          <w:rFonts w:hint="eastAsia" w:ascii="宋体" w:hAnsi="宋体"/>
          <w:szCs w:val="21"/>
        </w:rPr>
        <w:t>（2）投标声明书；</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3</w:t>
      </w:r>
      <w:r>
        <w:rPr>
          <w:rFonts w:hint="eastAsia" w:ascii="宋体" w:hAnsi="宋体"/>
          <w:szCs w:val="21"/>
        </w:rPr>
        <w:t>）类似案例成功的业绩；</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4</w:t>
      </w:r>
      <w:r>
        <w:rPr>
          <w:rFonts w:hint="eastAsia" w:ascii="宋体" w:hAnsi="宋体"/>
          <w:szCs w:val="21"/>
        </w:rPr>
        <w:t>）与本项目实施相关的供应商各类资质证书、认证证书、许可证等（提供相关证书复印件或承诺并加盖公章）（如有）；</w:t>
      </w:r>
    </w:p>
    <w:p>
      <w:pPr>
        <w:spacing w:line="400" w:lineRule="exact"/>
        <w:ind w:firstLine="420" w:firstLineChars="200"/>
        <w:rPr>
          <w:rFonts w:ascii="宋体" w:hAnsi="宋体"/>
          <w:szCs w:val="21"/>
        </w:rPr>
      </w:pPr>
      <w:r>
        <w:rPr>
          <w:rFonts w:hint="eastAsia" w:ascii="宋体" w:hAnsi="宋体"/>
        </w:rPr>
        <w:t>（</w:t>
      </w:r>
      <w:r>
        <w:rPr>
          <w:rFonts w:ascii="宋体" w:hAnsi="宋体"/>
        </w:rPr>
        <w:t>5</w:t>
      </w:r>
      <w:r>
        <w:rPr>
          <w:rFonts w:hint="eastAsia" w:ascii="宋体" w:hAnsi="宋体"/>
        </w:rPr>
        <w:t>）</w:t>
      </w:r>
      <w:r>
        <w:rPr>
          <w:rFonts w:hint="eastAsia" w:ascii="宋体" w:hAnsi="宋体"/>
          <w:szCs w:val="21"/>
        </w:rPr>
        <w:t>供应商情况介绍；</w:t>
      </w:r>
    </w:p>
    <w:p>
      <w:pPr>
        <w:spacing w:line="400" w:lineRule="exact"/>
        <w:ind w:firstLine="420" w:firstLineChars="200"/>
        <w:rPr>
          <w:rFonts w:hint="eastAsia" w:ascii="宋体" w:hAnsi="宋体"/>
        </w:rPr>
      </w:pPr>
      <w:r>
        <w:rPr>
          <w:rFonts w:hint="eastAsia" w:ascii="宋体" w:hAnsi="宋体"/>
        </w:rPr>
        <w:t>（</w:t>
      </w:r>
      <w:r>
        <w:rPr>
          <w:rFonts w:ascii="宋体" w:hAnsi="宋体"/>
        </w:rPr>
        <w:t>6</w:t>
      </w:r>
      <w:r>
        <w:rPr>
          <w:rFonts w:hint="eastAsia" w:ascii="宋体" w:hAnsi="宋体"/>
        </w:rPr>
        <w:t>）商务响应表；</w:t>
      </w:r>
    </w:p>
    <w:p>
      <w:pPr>
        <w:spacing w:line="400" w:lineRule="exact"/>
        <w:ind w:firstLine="420" w:firstLineChars="200"/>
        <w:rPr>
          <w:rFonts w:ascii="宋体" w:hAnsi="宋体"/>
        </w:rPr>
      </w:pPr>
      <w:r>
        <w:rPr>
          <w:rFonts w:hint="eastAsia" w:ascii="宋体" w:hAnsi="宋体"/>
        </w:rPr>
        <w:t>（</w:t>
      </w:r>
      <w:r>
        <w:rPr>
          <w:rFonts w:ascii="宋体" w:hAnsi="宋体"/>
        </w:rPr>
        <w:t>7</w:t>
      </w:r>
      <w:r>
        <w:rPr>
          <w:rFonts w:hint="eastAsia" w:ascii="宋体" w:hAnsi="宋体"/>
        </w:rPr>
        <w:t>）技术指标（投标产品详细清单（不含报价）及技术响应表）；</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8</w:t>
      </w:r>
      <w:r>
        <w:rPr>
          <w:rFonts w:hint="eastAsia" w:ascii="宋体" w:hAnsi="宋体"/>
          <w:szCs w:val="21"/>
        </w:rPr>
        <w:t>）保证措施；</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9</w:t>
      </w:r>
      <w:r>
        <w:rPr>
          <w:rFonts w:hint="eastAsia" w:ascii="宋体" w:hAnsi="宋体"/>
          <w:szCs w:val="21"/>
        </w:rPr>
        <w:t>）</w:t>
      </w:r>
      <w:r>
        <w:rPr>
          <w:rFonts w:ascii="宋体" w:hAnsi="宋体"/>
          <w:szCs w:val="21"/>
        </w:rPr>
        <w:t>施工部署</w:t>
      </w:r>
      <w:r>
        <w:rPr>
          <w:rFonts w:hint="eastAsia" w:ascii="宋体" w:hAnsi="宋体"/>
          <w:szCs w:val="21"/>
        </w:rPr>
        <w:t>；</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10</w:t>
      </w:r>
      <w:r>
        <w:rPr>
          <w:rFonts w:hint="eastAsia" w:ascii="宋体" w:hAnsi="宋体"/>
          <w:szCs w:val="21"/>
        </w:rPr>
        <w:t>）施工计划；</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11</w:t>
      </w:r>
      <w:r>
        <w:rPr>
          <w:rFonts w:hint="eastAsia" w:ascii="宋体" w:hAnsi="宋体"/>
          <w:szCs w:val="21"/>
        </w:rPr>
        <w:t>）质量体系；</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12</w:t>
      </w:r>
      <w:r>
        <w:rPr>
          <w:rFonts w:hint="eastAsia" w:ascii="宋体" w:hAnsi="宋体"/>
          <w:szCs w:val="21"/>
        </w:rPr>
        <w:t>）安全体系；</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13</w:t>
      </w:r>
      <w:r>
        <w:rPr>
          <w:rFonts w:hint="eastAsia" w:ascii="宋体" w:hAnsi="宋体"/>
          <w:szCs w:val="21"/>
        </w:rPr>
        <w:t>）应急预案；</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4</w:t>
      </w:r>
      <w:r>
        <w:rPr>
          <w:rFonts w:hint="eastAsia" w:ascii="宋体" w:hAnsi="宋体"/>
          <w:szCs w:val="21"/>
        </w:rPr>
        <w:t>）售后服务；</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5</w:t>
      </w:r>
      <w:r>
        <w:rPr>
          <w:rFonts w:hint="eastAsia" w:ascii="宋体" w:hAnsi="宋体"/>
          <w:szCs w:val="21"/>
        </w:rPr>
        <w:t>）拟投入车辆及设备；</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6</w:t>
      </w:r>
      <w:r>
        <w:rPr>
          <w:rFonts w:hint="eastAsia" w:ascii="宋体" w:hAnsi="宋体"/>
          <w:szCs w:val="21"/>
        </w:rPr>
        <w:t>）运营、维保实力；</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7</w:t>
      </w:r>
      <w:r>
        <w:rPr>
          <w:rFonts w:hint="eastAsia" w:ascii="宋体" w:hAnsi="宋体"/>
          <w:szCs w:val="21"/>
        </w:rPr>
        <w:t>）样品分（仅适用于标项2、标项3）；</w:t>
      </w:r>
    </w:p>
    <w:p>
      <w:pPr>
        <w:snapToGrid w:val="0"/>
        <w:spacing w:line="400" w:lineRule="exact"/>
        <w:ind w:firstLine="420" w:firstLineChars="200"/>
        <w:jc w:val="left"/>
        <w:rPr>
          <w:rFonts w:hint="eastAsia" w:ascii="宋体" w:hAnsi="宋体"/>
          <w:szCs w:val="21"/>
        </w:rPr>
      </w:pPr>
      <w:r>
        <w:rPr>
          <w:rFonts w:hint="eastAsia" w:ascii="宋体" w:hAnsi="宋体"/>
          <w:szCs w:val="21"/>
        </w:rPr>
        <w:t>（1</w:t>
      </w:r>
      <w:r>
        <w:rPr>
          <w:rFonts w:ascii="宋体" w:hAnsi="宋体"/>
          <w:szCs w:val="21"/>
        </w:rPr>
        <w:t>8</w:t>
      </w:r>
      <w:r>
        <w:rPr>
          <w:rFonts w:hint="eastAsia" w:ascii="宋体" w:hAnsi="宋体"/>
          <w:szCs w:val="21"/>
        </w:rPr>
        <w:t>）优惠条件及合理化建议；</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9</w:t>
      </w:r>
      <w:r>
        <w:rPr>
          <w:rFonts w:hint="eastAsia" w:ascii="宋体" w:hAnsi="宋体"/>
          <w:szCs w:val="21"/>
        </w:rPr>
        <w:t>）供应商需要说明的其他文件和说明（未尽事宜可按评分细则部分制作）。</w:t>
      </w:r>
    </w:p>
    <w:p>
      <w:pPr>
        <w:snapToGrid w:val="0"/>
        <w:spacing w:line="400" w:lineRule="exact"/>
        <w:ind w:firstLine="422" w:firstLineChars="200"/>
        <w:jc w:val="left"/>
        <w:rPr>
          <w:rFonts w:ascii="宋体" w:hAnsi="宋体"/>
          <w:b/>
          <w:bCs/>
          <w:szCs w:val="21"/>
        </w:rPr>
      </w:pPr>
      <w:r>
        <w:rPr>
          <w:rFonts w:ascii="宋体" w:hAnsi="宋体"/>
          <w:b/>
          <w:bCs/>
          <w:szCs w:val="21"/>
        </w:rPr>
        <w:t>3</w:t>
      </w:r>
      <w:r>
        <w:rPr>
          <w:rFonts w:hint="eastAsia" w:ascii="宋体" w:hAnsi="宋体"/>
          <w:b/>
          <w:bCs/>
          <w:szCs w:val="21"/>
        </w:rPr>
        <w:t>.报价文件：</w:t>
      </w:r>
      <w:r>
        <w:rPr>
          <w:rFonts w:hint="eastAsia" w:ascii="宋体" w:hAnsi="宋体"/>
          <w:b/>
          <w:szCs w:val="21"/>
        </w:rPr>
        <w:t>（适用于所有标项）</w:t>
      </w:r>
    </w:p>
    <w:p>
      <w:pPr>
        <w:tabs>
          <w:tab w:val="left" w:pos="3870"/>
          <w:tab w:val="left" w:pos="4085"/>
        </w:tabs>
        <w:snapToGrid w:val="0"/>
        <w:spacing w:line="400" w:lineRule="exact"/>
        <w:ind w:firstLine="420" w:firstLineChars="200"/>
        <w:jc w:val="left"/>
        <w:rPr>
          <w:rFonts w:ascii="宋体" w:hAnsi="宋体"/>
          <w:i/>
          <w:szCs w:val="21"/>
        </w:rPr>
      </w:pPr>
      <w:r>
        <w:rPr>
          <w:rFonts w:hint="eastAsia" w:ascii="宋体" w:hAnsi="宋体"/>
          <w:szCs w:val="21"/>
        </w:rPr>
        <w:t>（1）投标函；</w:t>
      </w:r>
    </w:p>
    <w:p>
      <w:pPr>
        <w:snapToGrid w:val="0"/>
        <w:spacing w:line="400" w:lineRule="exact"/>
        <w:ind w:firstLine="420" w:firstLineChars="200"/>
        <w:rPr>
          <w:rFonts w:ascii="宋体" w:hAnsi="宋体"/>
          <w:szCs w:val="21"/>
        </w:rPr>
      </w:pPr>
      <w:r>
        <w:rPr>
          <w:rFonts w:hint="eastAsia" w:ascii="宋体" w:hAnsi="宋体"/>
          <w:szCs w:val="21"/>
        </w:rPr>
        <w:t>（2）开标一览表；</w:t>
      </w:r>
    </w:p>
    <w:p>
      <w:pPr>
        <w:snapToGrid w:val="0"/>
        <w:spacing w:line="400" w:lineRule="exact"/>
        <w:ind w:firstLine="420" w:firstLineChars="200"/>
        <w:rPr>
          <w:rFonts w:ascii="宋体" w:hAnsi="宋体"/>
          <w:szCs w:val="21"/>
        </w:rPr>
      </w:pPr>
      <w:r>
        <w:rPr>
          <w:rFonts w:hint="eastAsia" w:ascii="宋体" w:hAnsi="宋体"/>
          <w:szCs w:val="21"/>
        </w:rPr>
        <w:t>（3）投标报价明细表（如有）；</w:t>
      </w:r>
    </w:p>
    <w:p>
      <w:pPr>
        <w:snapToGrid w:val="0"/>
        <w:spacing w:line="400" w:lineRule="exact"/>
        <w:ind w:firstLine="420" w:firstLineChars="200"/>
        <w:rPr>
          <w:rFonts w:ascii="宋体" w:hAnsi="宋体"/>
          <w:szCs w:val="21"/>
        </w:rPr>
      </w:pPr>
      <w:r>
        <w:rPr>
          <w:rFonts w:hint="eastAsia" w:ascii="宋体" w:hAnsi="宋体"/>
          <w:szCs w:val="21"/>
        </w:rPr>
        <w:t>（</w:t>
      </w:r>
      <w:r>
        <w:rPr>
          <w:rFonts w:ascii="宋体" w:hAnsi="宋体"/>
          <w:szCs w:val="21"/>
        </w:rPr>
        <w:t>4</w:t>
      </w:r>
      <w:r>
        <w:rPr>
          <w:rFonts w:hint="eastAsia" w:ascii="宋体" w:hAnsi="宋体"/>
          <w:szCs w:val="21"/>
        </w:rPr>
        <w:t>）供应商针对报价需要说明的其他文件和说明。</w:t>
      </w:r>
    </w:p>
    <w:p>
      <w:pPr>
        <w:tabs>
          <w:tab w:val="left" w:pos="180"/>
          <w:tab w:val="left" w:pos="720"/>
          <w:tab w:val="left" w:pos="1800"/>
          <w:tab w:val="left" w:pos="2340"/>
        </w:tabs>
        <w:spacing w:line="400" w:lineRule="exact"/>
        <w:ind w:firstLine="420" w:firstLineChars="200"/>
        <w:rPr>
          <w:rFonts w:ascii="宋体" w:hAnsi="宋体"/>
          <w:szCs w:val="21"/>
        </w:rPr>
      </w:pPr>
      <w:r>
        <w:rPr>
          <w:rFonts w:hint="eastAsia" w:ascii="宋体" w:hAnsi="宋体"/>
          <w:szCs w:val="21"/>
        </w:rPr>
        <w:t>注：法定代表人身份证明或授权委托书、投标声明书、投标函、开标一览表必须由法定代表人或授权委托人签字（或盖章）并加盖单位公章。</w:t>
      </w:r>
    </w:p>
    <w:p>
      <w:pPr>
        <w:pStyle w:val="5"/>
        <w:spacing w:line="400" w:lineRule="exact"/>
        <w:ind w:firstLine="422" w:firstLineChars="200"/>
        <w:rPr>
          <w:rFonts w:ascii="宋体" w:hAnsi="宋体"/>
        </w:rPr>
      </w:pPr>
      <w:r>
        <w:rPr>
          <w:rFonts w:hint="eastAsia" w:ascii="宋体" w:hAnsi="宋体"/>
        </w:rPr>
        <w:t>（二）投标文件的语言及计量</w:t>
      </w:r>
    </w:p>
    <w:p>
      <w:pPr>
        <w:snapToGrid w:val="0"/>
        <w:spacing w:line="400" w:lineRule="exact"/>
        <w:ind w:firstLine="420" w:firstLineChars="200"/>
        <w:jc w:val="left"/>
        <w:rPr>
          <w:rFonts w:ascii="宋体" w:hAnsi="宋体"/>
          <w:szCs w:val="21"/>
        </w:rPr>
      </w:pPr>
      <w:r>
        <w:rPr>
          <w:rFonts w:hint="eastAsia" w:ascii="宋体" w:hAnsi="宋体"/>
          <w:szCs w:val="21"/>
        </w:rPr>
        <w:t>1.投标文件以及供应商与招标人就有关投标事宜的所有来往函电，均应以中文汉语书写。除签名、盖章、专用名称等特殊情形外，以中文汉语以外的文字表述的投标文件视同未提供。</w:t>
      </w:r>
    </w:p>
    <w:p>
      <w:pPr>
        <w:snapToGrid w:val="0"/>
        <w:spacing w:line="400" w:lineRule="exact"/>
        <w:ind w:firstLine="420" w:firstLineChars="200"/>
        <w:jc w:val="left"/>
        <w:rPr>
          <w:rFonts w:ascii="宋体" w:hAnsi="宋体"/>
          <w:szCs w:val="21"/>
        </w:rPr>
      </w:pPr>
      <w:r>
        <w:rPr>
          <w:rFonts w:hint="eastAsia" w:ascii="宋体" w:hAnsi="宋体"/>
          <w:szCs w:val="21"/>
        </w:rPr>
        <w:t>2.投标计量单位，招标文件已有明确规定的，使用招标文件规定的计量单位；招标文件没有规定的，应采用中华人民共和国法定计量单位（货币单位：人民币元），否则视同未响应。</w:t>
      </w:r>
    </w:p>
    <w:p>
      <w:pPr>
        <w:pStyle w:val="5"/>
        <w:spacing w:line="400" w:lineRule="exact"/>
        <w:ind w:firstLine="422" w:firstLineChars="200"/>
        <w:rPr>
          <w:rFonts w:ascii="宋体" w:hAnsi="宋体"/>
        </w:rPr>
      </w:pPr>
      <w:r>
        <w:rPr>
          <w:rFonts w:hint="eastAsia" w:ascii="宋体" w:hAnsi="宋体"/>
        </w:rPr>
        <w:t>（三）投标报价</w:t>
      </w:r>
    </w:p>
    <w:p>
      <w:pPr>
        <w:snapToGrid w:val="0"/>
        <w:spacing w:line="400" w:lineRule="exact"/>
        <w:ind w:firstLine="420" w:firstLineChars="200"/>
        <w:jc w:val="left"/>
        <w:rPr>
          <w:rFonts w:ascii="宋体" w:hAnsi="宋体"/>
          <w:szCs w:val="21"/>
        </w:rPr>
      </w:pPr>
      <w:r>
        <w:rPr>
          <w:rFonts w:hint="eastAsia" w:ascii="宋体" w:hAnsi="宋体"/>
          <w:szCs w:val="21"/>
        </w:rPr>
        <w:t>1.投标报价应按招标文件中相关附表格式填写。</w:t>
      </w:r>
    </w:p>
    <w:p>
      <w:pPr>
        <w:snapToGrid w:val="0"/>
        <w:spacing w:line="400" w:lineRule="exact"/>
        <w:ind w:firstLine="422" w:firstLineChars="200"/>
        <w:jc w:val="left"/>
        <w:rPr>
          <w:rFonts w:ascii="宋体" w:hAnsi="宋体"/>
          <w:b/>
        </w:rPr>
      </w:pPr>
      <w:r>
        <w:rPr>
          <w:rFonts w:hint="eastAsia" w:ascii="宋体" w:hAnsi="宋体"/>
          <w:b/>
          <w:szCs w:val="21"/>
        </w:rPr>
        <w:t>2.</w:t>
      </w:r>
      <w:r>
        <w:rPr>
          <w:rFonts w:hint="eastAsia" w:ascii="宋体" w:hAnsi="宋体"/>
          <w:b/>
        </w:rPr>
        <w:t>投标报价是履行合同的最终价格，</w:t>
      </w:r>
      <w:r>
        <w:rPr>
          <w:rFonts w:hint="eastAsia" w:ascii="宋体" w:hAnsi="宋体"/>
          <w:b/>
          <w:bCs/>
          <w:kern w:val="0"/>
          <w:szCs w:val="21"/>
        </w:rPr>
        <w:t>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snapToGrid w:val="0"/>
        <w:spacing w:line="400" w:lineRule="exact"/>
        <w:ind w:firstLine="420" w:firstLineChars="200"/>
        <w:jc w:val="left"/>
        <w:rPr>
          <w:rFonts w:ascii="宋体" w:hAnsi="宋体"/>
          <w:szCs w:val="21"/>
        </w:rPr>
      </w:pPr>
      <w:r>
        <w:rPr>
          <w:rFonts w:hint="eastAsia" w:ascii="宋体" w:hAnsi="宋体"/>
          <w:szCs w:val="21"/>
        </w:rPr>
        <w:t>3.投标文件只允许有一个报价，有选择的或有条件的报价将不予接受。</w:t>
      </w:r>
    </w:p>
    <w:p>
      <w:pPr>
        <w:pStyle w:val="5"/>
        <w:spacing w:line="400" w:lineRule="exact"/>
        <w:ind w:firstLine="422" w:firstLineChars="200"/>
        <w:rPr>
          <w:rFonts w:ascii="宋体" w:hAnsi="宋体"/>
        </w:rPr>
      </w:pPr>
      <w:r>
        <w:rPr>
          <w:rFonts w:hint="eastAsia" w:ascii="宋体" w:hAnsi="宋体"/>
        </w:rPr>
        <w:t>（四）投标文件的有效期</w:t>
      </w:r>
    </w:p>
    <w:p>
      <w:pPr>
        <w:tabs>
          <w:tab w:val="left" w:pos="420"/>
        </w:tabs>
        <w:snapToGrid w:val="0"/>
        <w:spacing w:line="400" w:lineRule="exact"/>
        <w:ind w:firstLine="420" w:firstLineChars="200"/>
        <w:rPr>
          <w:rFonts w:ascii="宋体" w:hAnsi="宋体"/>
          <w:szCs w:val="21"/>
        </w:rPr>
      </w:pPr>
      <w:r>
        <w:rPr>
          <w:rFonts w:hint="eastAsia" w:ascii="宋体" w:hAnsi="宋体"/>
          <w:szCs w:val="21"/>
        </w:rPr>
        <w:t>1.自投标截止日起90天投标文件应保持有效。有效期不足的投标文件将被拒绝。</w:t>
      </w:r>
    </w:p>
    <w:p>
      <w:pPr>
        <w:tabs>
          <w:tab w:val="left" w:pos="420"/>
        </w:tabs>
        <w:snapToGrid w:val="0"/>
        <w:spacing w:line="400" w:lineRule="exact"/>
        <w:ind w:firstLine="420" w:firstLineChars="200"/>
        <w:rPr>
          <w:rFonts w:ascii="宋体" w:hAnsi="宋体"/>
          <w:szCs w:val="21"/>
        </w:rPr>
      </w:pPr>
      <w:r>
        <w:rPr>
          <w:rFonts w:hint="eastAsia" w:ascii="宋体" w:hAnsi="宋体"/>
          <w:szCs w:val="21"/>
        </w:rPr>
        <w:t>2.在特殊情况下，采购人可与供应商协商延长投标书的有效期，这种要求和答复均以书面形式进行。</w:t>
      </w:r>
    </w:p>
    <w:p>
      <w:pPr>
        <w:spacing w:line="400" w:lineRule="exact"/>
        <w:ind w:firstLine="420" w:firstLineChars="200"/>
        <w:rPr>
          <w:rFonts w:ascii="宋体" w:hAnsi="宋体"/>
        </w:rPr>
      </w:pPr>
      <w:r>
        <w:rPr>
          <w:rFonts w:hint="eastAsia" w:ascii="宋体" w:hAnsi="宋体"/>
        </w:rPr>
        <w:t>3.供应商可拒绝接受延期要求，或同意延长有效期，但不能修改投标文件。</w:t>
      </w:r>
    </w:p>
    <w:p>
      <w:pPr>
        <w:spacing w:line="400" w:lineRule="exact"/>
        <w:ind w:firstLine="420" w:firstLineChars="200"/>
        <w:rPr>
          <w:rFonts w:ascii="宋体" w:hAnsi="宋体"/>
        </w:rPr>
      </w:pPr>
      <w:r>
        <w:rPr>
          <w:rFonts w:hint="eastAsia" w:ascii="宋体" w:hAnsi="宋体"/>
        </w:rPr>
        <w:t>4.中标人的投标文件自开标之日起至合同履行完毕止均应保持有效。</w:t>
      </w:r>
    </w:p>
    <w:p>
      <w:pPr>
        <w:pStyle w:val="5"/>
        <w:spacing w:line="400" w:lineRule="exact"/>
        <w:ind w:firstLine="422" w:firstLineChars="200"/>
        <w:rPr>
          <w:rFonts w:ascii="宋体" w:hAnsi="宋体"/>
        </w:rPr>
      </w:pPr>
      <w:r>
        <w:rPr>
          <w:rFonts w:hint="eastAsia" w:ascii="宋体" w:hAnsi="宋体"/>
        </w:rPr>
        <w:t>（五）投标文件的签署和份数</w:t>
      </w:r>
    </w:p>
    <w:p>
      <w:pPr>
        <w:pStyle w:val="5"/>
        <w:spacing w:line="400" w:lineRule="exact"/>
        <w:ind w:firstLine="420" w:firstLineChars="200"/>
        <w:rPr>
          <w:rFonts w:ascii="宋体" w:hAnsi="宋体"/>
          <w:b w:val="0"/>
        </w:rPr>
      </w:pPr>
      <w:r>
        <w:rPr>
          <w:rFonts w:hint="eastAsia" w:ascii="宋体" w:hAnsi="宋体"/>
          <w:b w:val="0"/>
        </w:rPr>
        <w:t>电子投标文件按政采云平台供应商电子招投标操作指南（网址：https：//help.zcygov.cn/web/site_2/2018/12-28/2573.html）及本招标文件规定的格式和顺序编制电子投标文件并进行关联定位。</w:t>
      </w:r>
    </w:p>
    <w:p>
      <w:pPr>
        <w:pStyle w:val="5"/>
        <w:spacing w:line="400" w:lineRule="exact"/>
        <w:ind w:firstLine="422" w:firstLineChars="200"/>
        <w:rPr>
          <w:rFonts w:ascii="宋体" w:hAnsi="宋体"/>
        </w:rPr>
      </w:pPr>
      <w:r>
        <w:rPr>
          <w:rFonts w:hint="eastAsia" w:ascii="宋体" w:hAnsi="宋体"/>
        </w:rPr>
        <w:t>（六）投标无效的情形</w:t>
      </w:r>
    </w:p>
    <w:p>
      <w:pPr>
        <w:tabs>
          <w:tab w:val="left" w:pos="420"/>
        </w:tabs>
        <w:snapToGrid w:val="0"/>
        <w:spacing w:line="400" w:lineRule="exact"/>
        <w:ind w:firstLine="420" w:firstLineChars="200"/>
        <w:rPr>
          <w:rFonts w:ascii="宋体" w:hAnsi="宋体"/>
          <w:szCs w:val="21"/>
        </w:rPr>
      </w:pPr>
      <w:bookmarkStart w:id="139" w:name="_Toc32709"/>
      <w:bookmarkStart w:id="140" w:name="_Toc50012883"/>
      <w:r>
        <w:rPr>
          <w:rFonts w:hint="eastAsia" w:ascii="宋体" w:hAnsi="宋体"/>
          <w:szCs w:val="21"/>
        </w:rPr>
        <w:t>根据《政府采购货物和服务招标投标管理办法》有下列情形之一的，视为供应商串通投标，其投标无效：</w:t>
      </w:r>
      <w:bookmarkEnd w:id="139"/>
      <w:bookmarkEnd w:id="140"/>
    </w:p>
    <w:p>
      <w:pPr>
        <w:tabs>
          <w:tab w:val="left" w:pos="420"/>
        </w:tabs>
        <w:snapToGrid w:val="0"/>
        <w:spacing w:line="400" w:lineRule="exact"/>
        <w:ind w:firstLine="420" w:firstLineChars="200"/>
        <w:rPr>
          <w:rFonts w:ascii="宋体" w:hAnsi="宋体"/>
          <w:szCs w:val="21"/>
        </w:rPr>
      </w:pPr>
      <w:bookmarkStart w:id="141" w:name="_Toc11171"/>
      <w:bookmarkStart w:id="142" w:name="_Toc50012884"/>
      <w:r>
        <w:rPr>
          <w:rFonts w:hint="eastAsia" w:ascii="宋体" w:hAnsi="宋体"/>
          <w:szCs w:val="21"/>
        </w:rPr>
        <w:t>（一）不同供应商的投标文件由同一单位或者个人编制；</w:t>
      </w:r>
      <w:bookmarkEnd w:id="141"/>
      <w:bookmarkEnd w:id="142"/>
    </w:p>
    <w:p>
      <w:pPr>
        <w:tabs>
          <w:tab w:val="left" w:pos="420"/>
        </w:tabs>
        <w:snapToGrid w:val="0"/>
        <w:spacing w:line="400" w:lineRule="exact"/>
        <w:ind w:firstLine="420" w:firstLineChars="200"/>
        <w:rPr>
          <w:rFonts w:ascii="宋体" w:hAnsi="宋体"/>
          <w:szCs w:val="21"/>
        </w:rPr>
      </w:pPr>
      <w:r>
        <w:rPr>
          <w:rFonts w:hint="eastAsia" w:ascii="宋体" w:hAnsi="宋体"/>
          <w:szCs w:val="21"/>
        </w:rPr>
        <w:t>（二）不同供应商委托同一单位或者个人办理投标事宜；</w:t>
      </w:r>
    </w:p>
    <w:p>
      <w:pPr>
        <w:tabs>
          <w:tab w:val="left" w:pos="420"/>
        </w:tabs>
        <w:snapToGrid w:val="0"/>
        <w:spacing w:line="400" w:lineRule="exact"/>
        <w:ind w:firstLine="420" w:firstLineChars="200"/>
        <w:rPr>
          <w:rFonts w:ascii="宋体" w:hAnsi="宋体"/>
          <w:szCs w:val="21"/>
        </w:rPr>
      </w:pPr>
      <w:r>
        <w:rPr>
          <w:rFonts w:hint="eastAsia" w:ascii="宋体" w:hAnsi="宋体"/>
          <w:szCs w:val="21"/>
        </w:rPr>
        <w:t>（三）不同供应商的投标文件载明的项目管理成员或者联系人员为同一人；</w:t>
      </w:r>
    </w:p>
    <w:p>
      <w:pPr>
        <w:tabs>
          <w:tab w:val="left" w:pos="420"/>
        </w:tabs>
        <w:snapToGrid w:val="0"/>
        <w:spacing w:line="400" w:lineRule="exact"/>
        <w:ind w:firstLine="420" w:firstLineChars="200"/>
        <w:rPr>
          <w:rFonts w:ascii="宋体" w:hAnsi="宋体"/>
          <w:szCs w:val="21"/>
        </w:rPr>
      </w:pPr>
      <w:r>
        <w:rPr>
          <w:rFonts w:hint="eastAsia" w:ascii="宋体" w:hAnsi="宋体"/>
          <w:szCs w:val="21"/>
        </w:rPr>
        <w:t>（四）不同供应商的投标文件异常一致或者投标报价呈规律性差异；</w:t>
      </w:r>
    </w:p>
    <w:p>
      <w:pPr>
        <w:tabs>
          <w:tab w:val="left" w:pos="420"/>
        </w:tabs>
        <w:snapToGrid w:val="0"/>
        <w:spacing w:line="400" w:lineRule="exact"/>
        <w:ind w:firstLine="420" w:firstLineChars="200"/>
        <w:rPr>
          <w:rFonts w:ascii="宋体" w:hAnsi="宋体"/>
          <w:szCs w:val="21"/>
        </w:rPr>
      </w:pPr>
      <w:r>
        <w:rPr>
          <w:rFonts w:hint="eastAsia" w:ascii="宋体" w:hAnsi="宋体"/>
          <w:szCs w:val="21"/>
        </w:rPr>
        <w:t>（五）不同供应商的投标文件相互混装；</w:t>
      </w:r>
    </w:p>
    <w:p>
      <w:pPr>
        <w:tabs>
          <w:tab w:val="left" w:pos="420"/>
        </w:tabs>
        <w:snapToGrid w:val="0"/>
        <w:spacing w:line="400" w:lineRule="exact"/>
        <w:ind w:firstLine="420" w:firstLineChars="200"/>
        <w:rPr>
          <w:rFonts w:ascii="宋体" w:hAnsi="宋体"/>
          <w:bCs/>
          <w:szCs w:val="21"/>
        </w:rPr>
      </w:pPr>
      <w:r>
        <w:rPr>
          <w:rFonts w:hint="eastAsia" w:ascii="宋体" w:hAnsi="宋体"/>
          <w:szCs w:val="21"/>
        </w:rPr>
        <w:t>实质上没有响应招标文件要求的投标将被视为无效投标。供应商修改、补正投标文件后，不影</w:t>
      </w:r>
      <w:r>
        <w:rPr>
          <w:rFonts w:hint="eastAsia" w:ascii="宋体" w:hAnsi="宋体"/>
          <w:bCs/>
          <w:szCs w:val="21"/>
        </w:rPr>
        <w:t>响评标委员会对其投标文件所作的评价和评分结果。</w:t>
      </w:r>
    </w:p>
    <w:p>
      <w:pPr>
        <w:snapToGrid w:val="0"/>
        <w:spacing w:line="400" w:lineRule="exact"/>
        <w:ind w:firstLine="422" w:firstLineChars="200"/>
        <w:rPr>
          <w:rFonts w:ascii="宋体" w:hAnsi="宋体"/>
          <w:b/>
          <w:szCs w:val="21"/>
        </w:rPr>
      </w:pPr>
      <w:r>
        <w:rPr>
          <w:rFonts w:ascii="宋体" w:hAnsi="宋体"/>
          <w:b/>
          <w:szCs w:val="21"/>
        </w:rPr>
        <w:t>1</w:t>
      </w:r>
      <w:r>
        <w:rPr>
          <w:rFonts w:hint="eastAsia" w:ascii="宋体" w:hAnsi="宋体"/>
          <w:b/>
          <w:szCs w:val="21"/>
        </w:rPr>
        <w:t>.</w:t>
      </w:r>
      <w:r>
        <w:rPr>
          <w:rFonts w:ascii="宋体" w:hAnsi="宋体"/>
          <w:b/>
          <w:szCs w:val="21"/>
        </w:rPr>
        <w:t>电子投标文件解密失败的，且未在规定时间内提交</w:t>
      </w:r>
      <w:r>
        <w:rPr>
          <w:rFonts w:hint="eastAsia" w:ascii="宋体" w:hAnsi="宋体"/>
          <w:b/>
          <w:szCs w:val="21"/>
        </w:rPr>
        <w:t>有效</w:t>
      </w:r>
      <w:r>
        <w:rPr>
          <w:rFonts w:ascii="宋体" w:hAnsi="宋体"/>
          <w:b/>
          <w:szCs w:val="21"/>
        </w:rPr>
        <w:t>备份投标文件的</w:t>
      </w:r>
      <w:r>
        <w:rPr>
          <w:rFonts w:hint="eastAsia" w:ascii="宋体" w:hAnsi="宋体"/>
          <w:b/>
          <w:szCs w:val="21"/>
        </w:rPr>
        <w:t>。</w:t>
      </w:r>
    </w:p>
    <w:p>
      <w:pPr>
        <w:snapToGrid w:val="0"/>
        <w:spacing w:line="400" w:lineRule="exact"/>
        <w:ind w:firstLine="422" w:firstLineChars="200"/>
        <w:rPr>
          <w:rFonts w:ascii="宋体" w:hAnsi="宋体"/>
          <w:b/>
          <w:szCs w:val="21"/>
        </w:rPr>
      </w:pPr>
      <w:r>
        <w:rPr>
          <w:rFonts w:ascii="宋体" w:hAnsi="宋体"/>
          <w:b/>
          <w:szCs w:val="21"/>
        </w:rPr>
        <w:t>2.</w:t>
      </w:r>
      <w:r>
        <w:rPr>
          <w:rFonts w:hint="eastAsia" w:ascii="宋体" w:hAnsi="宋体"/>
          <w:b/>
          <w:szCs w:val="21"/>
        </w:rPr>
        <w:t>没有通过资格审查的，</w:t>
      </w:r>
      <w:r>
        <w:rPr>
          <w:rFonts w:ascii="宋体" w:hAnsi="宋体"/>
          <w:b/>
          <w:szCs w:val="21"/>
        </w:rPr>
        <w:t>投标文件将被视为无效。</w:t>
      </w:r>
    </w:p>
    <w:p>
      <w:pPr>
        <w:snapToGrid w:val="0"/>
        <w:spacing w:line="400" w:lineRule="exact"/>
        <w:ind w:firstLine="422" w:firstLineChars="200"/>
        <w:rPr>
          <w:rFonts w:ascii="宋体" w:hAnsi="宋体"/>
          <w:b/>
          <w:bCs/>
          <w:szCs w:val="21"/>
        </w:rPr>
      </w:pPr>
      <w:r>
        <w:rPr>
          <w:rFonts w:hint="eastAsia" w:ascii="宋体" w:hAnsi="宋体"/>
          <w:b/>
          <w:bCs/>
          <w:szCs w:val="21"/>
        </w:rPr>
        <w:t>3.</w:t>
      </w:r>
      <w:r>
        <w:rPr>
          <w:rFonts w:ascii="宋体" w:hAnsi="宋体"/>
          <w:b/>
          <w:bCs/>
          <w:szCs w:val="21"/>
        </w:rPr>
        <w:t>在符合性审查和商务评审时，如发现下列情形之一的，投标文件将被视为无效：</w:t>
      </w:r>
    </w:p>
    <w:p>
      <w:pPr>
        <w:snapToGrid w:val="0"/>
        <w:spacing w:line="400" w:lineRule="exact"/>
        <w:ind w:firstLine="420" w:firstLineChars="200"/>
        <w:rPr>
          <w:rFonts w:ascii="宋体" w:hAnsi="宋体"/>
          <w:szCs w:val="21"/>
        </w:rPr>
      </w:pPr>
      <w:r>
        <w:rPr>
          <w:rFonts w:hint="eastAsia" w:ascii="宋体" w:hAnsi="宋体"/>
          <w:bCs/>
          <w:szCs w:val="21"/>
        </w:rPr>
        <w:t>（1</w:t>
      </w:r>
      <w:r>
        <w:rPr>
          <w:rFonts w:ascii="宋体" w:hAnsi="宋体"/>
          <w:bCs/>
          <w:szCs w:val="21"/>
        </w:rPr>
        <w:t>）</w:t>
      </w:r>
      <w:r>
        <w:rPr>
          <w:rFonts w:ascii="宋体" w:hAnsi="宋体"/>
          <w:szCs w:val="21"/>
        </w:rPr>
        <w:t>电子投标文件未按规定要求提供电子签章的</w:t>
      </w:r>
      <w:r>
        <w:rPr>
          <w:rFonts w:hint="eastAsia" w:ascii="宋体" w:hAnsi="宋体"/>
          <w:szCs w:val="21"/>
        </w:rPr>
        <w:t>；</w:t>
      </w:r>
    </w:p>
    <w:p>
      <w:pPr>
        <w:snapToGrid w:val="0"/>
        <w:spacing w:line="400" w:lineRule="exact"/>
        <w:ind w:firstLine="420" w:firstLineChars="200"/>
        <w:rPr>
          <w:rFonts w:ascii="宋体" w:hAnsi="宋体"/>
          <w:bCs/>
          <w:szCs w:val="21"/>
        </w:rPr>
      </w:pPr>
      <w:r>
        <w:rPr>
          <w:rFonts w:hint="eastAsia" w:ascii="宋体" w:hAnsi="宋体"/>
          <w:szCs w:val="21"/>
        </w:rPr>
        <w:t>（2）</w:t>
      </w:r>
      <w:r>
        <w:rPr>
          <w:rFonts w:hint="eastAsia" w:ascii="宋体" w:hAnsi="宋体"/>
          <w:bCs/>
          <w:szCs w:val="21"/>
        </w:rPr>
        <w:t>在资信商务技术文件中出现报价的；</w:t>
      </w:r>
    </w:p>
    <w:p>
      <w:pPr>
        <w:snapToGrid w:val="0"/>
        <w:spacing w:line="400" w:lineRule="exact"/>
        <w:ind w:firstLine="420" w:firstLineChars="200"/>
        <w:rPr>
          <w:rFonts w:ascii="宋体" w:hAnsi="宋体"/>
          <w:szCs w:val="21"/>
        </w:rPr>
      </w:pPr>
      <w:r>
        <w:rPr>
          <w:rFonts w:hint="eastAsia" w:ascii="宋体" w:hAnsi="宋体"/>
          <w:szCs w:val="21"/>
        </w:rPr>
        <w:t>（3）</w:t>
      </w:r>
      <w:r>
        <w:rPr>
          <w:rFonts w:ascii="宋体" w:hAnsi="宋体"/>
          <w:szCs w:val="21"/>
        </w:rPr>
        <w:t>资格证明文件不全的，或者不符合招标文件标明的资格要求的</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hint="eastAsia" w:ascii="宋体" w:hAnsi="宋体"/>
          <w:szCs w:val="21"/>
        </w:rPr>
        <w:t>（4</w:t>
      </w:r>
      <w:r>
        <w:rPr>
          <w:rFonts w:ascii="宋体" w:hAnsi="宋体"/>
          <w:szCs w:val="21"/>
        </w:rPr>
        <w:t>）投标文件无法定代表人签字</w:t>
      </w:r>
      <w:r>
        <w:rPr>
          <w:rFonts w:hint="eastAsia" w:ascii="宋体" w:hAnsi="宋体"/>
          <w:szCs w:val="21"/>
        </w:rPr>
        <w:t>（或盖章），</w:t>
      </w:r>
      <w:r>
        <w:rPr>
          <w:rFonts w:ascii="宋体" w:hAnsi="宋体"/>
          <w:szCs w:val="21"/>
        </w:rPr>
        <w:t>或未</w:t>
      </w:r>
      <w:r>
        <w:rPr>
          <w:rFonts w:hint="eastAsia" w:ascii="宋体" w:hAnsi="宋体"/>
          <w:szCs w:val="21"/>
        </w:rPr>
        <w:t>提供法定代表人授权委托书、投标声明书或者填写项目不齐全的；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5</w:t>
      </w:r>
      <w:r>
        <w:rPr>
          <w:rFonts w:ascii="宋体" w:hAnsi="宋体"/>
          <w:szCs w:val="21"/>
        </w:rPr>
        <w:t>）投标文件格式不规范、项目不齐全或者内容虚假的；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6</w:t>
      </w:r>
      <w:r>
        <w:rPr>
          <w:rFonts w:ascii="宋体" w:hAnsi="宋体"/>
          <w:szCs w:val="21"/>
        </w:rPr>
        <w:t>）投标文件的实质性内容未使用中文表述、意思表述不明确、前后矛盾或者使用计量单位不符合招标文件要求的（经评标委员会认定</w:t>
      </w:r>
      <w:r>
        <w:rPr>
          <w:rFonts w:hint="eastAsia" w:ascii="宋体" w:hAnsi="宋体"/>
          <w:szCs w:val="21"/>
        </w:rPr>
        <w:t>并</w:t>
      </w:r>
      <w:r>
        <w:rPr>
          <w:rFonts w:ascii="宋体" w:hAnsi="宋体"/>
          <w:szCs w:val="21"/>
        </w:rPr>
        <w:t>允许其当场更正的笔误除外）</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7</w:t>
      </w:r>
      <w:r>
        <w:rPr>
          <w:rFonts w:ascii="宋体" w:hAnsi="宋体"/>
          <w:szCs w:val="21"/>
        </w:rPr>
        <w:t>）投标有效期、交货时间、服务期等商务条款不能满足招标文件要求的；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8</w:t>
      </w:r>
      <w:r>
        <w:rPr>
          <w:rFonts w:ascii="宋体" w:hAnsi="宋体"/>
          <w:szCs w:val="21"/>
        </w:rPr>
        <w:t>）</w:t>
      </w:r>
      <w:r>
        <w:rPr>
          <w:rFonts w:hint="eastAsia" w:ascii="宋体" w:hAnsi="宋体"/>
          <w:szCs w:val="21"/>
        </w:rPr>
        <w:t>未实质性</w:t>
      </w:r>
      <w:r>
        <w:rPr>
          <w:rFonts w:ascii="宋体" w:hAnsi="宋体"/>
          <w:szCs w:val="21"/>
        </w:rPr>
        <w:t>响应招标文件要求或者投标文件有招标方不能接受的附加条件的</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hint="eastAsia" w:ascii="宋体" w:hAnsi="宋体"/>
          <w:szCs w:val="21"/>
        </w:rPr>
        <w:t>（9）不符合本招标文件中的实质性要求条款。</w:t>
      </w:r>
    </w:p>
    <w:p>
      <w:pPr>
        <w:snapToGrid w:val="0"/>
        <w:spacing w:line="400" w:lineRule="exact"/>
        <w:ind w:firstLine="422" w:firstLineChars="200"/>
        <w:rPr>
          <w:rFonts w:ascii="宋体" w:hAnsi="宋体"/>
          <w:b/>
          <w:szCs w:val="21"/>
        </w:rPr>
      </w:pPr>
      <w:r>
        <w:rPr>
          <w:rFonts w:ascii="宋体" w:hAnsi="宋体"/>
          <w:b/>
          <w:szCs w:val="21"/>
        </w:rPr>
        <w:t>4</w:t>
      </w:r>
      <w:r>
        <w:rPr>
          <w:rFonts w:hint="eastAsia" w:ascii="宋体" w:hAnsi="宋体"/>
          <w:b/>
          <w:szCs w:val="21"/>
        </w:rPr>
        <w:t>.</w:t>
      </w:r>
      <w:r>
        <w:rPr>
          <w:rFonts w:ascii="宋体" w:hAnsi="宋体"/>
          <w:b/>
          <w:szCs w:val="21"/>
        </w:rPr>
        <w:t>在技术评审时，如发现下列情形之一的，投标文件将被视为无效：</w:t>
      </w:r>
    </w:p>
    <w:p>
      <w:pPr>
        <w:snapToGrid w:val="0"/>
        <w:spacing w:line="400" w:lineRule="exact"/>
        <w:ind w:firstLine="420" w:firstLineChars="200"/>
        <w:rPr>
          <w:rFonts w:ascii="宋体" w:hAnsi="宋体"/>
          <w:szCs w:val="21"/>
        </w:rPr>
      </w:pPr>
      <w:r>
        <w:rPr>
          <w:rFonts w:ascii="宋体" w:hAnsi="宋体"/>
          <w:szCs w:val="21"/>
        </w:rPr>
        <w:t>（1）未提供或未如实提供投标货物的技术参数，或者投标文件标明的响应或偏离与事实不符或虚假投标的；</w:t>
      </w:r>
    </w:p>
    <w:p>
      <w:pPr>
        <w:snapToGrid w:val="0"/>
        <w:spacing w:line="400" w:lineRule="exact"/>
        <w:ind w:firstLine="420" w:firstLineChars="200"/>
        <w:rPr>
          <w:rFonts w:ascii="宋体" w:hAnsi="宋体"/>
          <w:szCs w:val="21"/>
        </w:rPr>
      </w:pPr>
      <w:r>
        <w:rPr>
          <w:rFonts w:ascii="宋体" w:hAnsi="宋体"/>
          <w:szCs w:val="21"/>
        </w:rPr>
        <w:t>（2）明显不符合招标文件</w:t>
      </w:r>
      <w:r>
        <w:rPr>
          <w:rFonts w:hint="eastAsia" w:ascii="宋体" w:hAnsi="宋体"/>
          <w:szCs w:val="21"/>
        </w:rPr>
        <w:t>要求</w:t>
      </w:r>
      <w:r>
        <w:rPr>
          <w:rFonts w:ascii="宋体" w:hAnsi="宋体"/>
          <w:szCs w:val="21"/>
        </w:rPr>
        <w:t>的规格型号、质量标准，或者</w:t>
      </w:r>
      <w:r>
        <w:rPr>
          <w:rFonts w:hint="eastAsia" w:ascii="宋体" w:hAnsi="宋体"/>
          <w:szCs w:val="21"/>
        </w:rPr>
        <w:t>与</w:t>
      </w:r>
      <w:r>
        <w:rPr>
          <w:rFonts w:ascii="宋体" w:hAnsi="宋体"/>
          <w:szCs w:val="21"/>
        </w:rPr>
        <w:t>招标文件中标“▲”的技术指标、主要功能项目发生实质性偏离的；</w:t>
      </w:r>
    </w:p>
    <w:p>
      <w:pPr>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3</w:t>
      </w:r>
      <w:r>
        <w:rPr>
          <w:rFonts w:ascii="宋体" w:hAnsi="宋体"/>
          <w:szCs w:val="21"/>
        </w:rPr>
        <w:t>）投标技术方案不明确，存在一个或一个以上备选（替代）投标方案的；</w:t>
      </w:r>
    </w:p>
    <w:p>
      <w:pPr>
        <w:snapToGrid w:val="0"/>
        <w:spacing w:line="400" w:lineRule="exact"/>
        <w:ind w:firstLine="422" w:firstLineChars="200"/>
        <w:rPr>
          <w:rFonts w:ascii="宋体" w:hAnsi="宋体"/>
          <w:b/>
          <w:szCs w:val="21"/>
        </w:rPr>
      </w:pPr>
      <w:r>
        <w:rPr>
          <w:rFonts w:ascii="宋体" w:hAnsi="宋体"/>
          <w:b/>
          <w:szCs w:val="21"/>
        </w:rPr>
        <w:t>5</w:t>
      </w:r>
      <w:r>
        <w:rPr>
          <w:rFonts w:hint="eastAsia" w:ascii="宋体" w:hAnsi="宋体"/>
          <w:b/>
          <w:szCs w:val="21"/>
        </w:rPr>
        <w:t>.</w:t>
      </w:r>
      <w:r>
        <w:rPr>
          <w:rFonts w:ascii="宋体" w:hAnsi="宋体"/>
          <w:b/>
          <w:szCs w:val="21"/>
        </w:rPr>
        <w:t>在报价评审时，如发现下列情形之一的，投标文件将被视为无效：</w:t>
      </w:r>
    </w:p>
    <w:p>
      <w:pPr>
        <w:snapToGrid w:val="0"/>
        <w:spacing w:line="400" w:lineRule="exact"/>
        <w:ind w:firstLine="420" w:firstLineChars="200"/>
        <w:rPr>
          <w:rFonts w:ascii="宋体" w:hAnsi="宋体"/>
          <w:szCs w:val="21"/>
        </w:rPr>
      </w:pPr>
      <w:r>
        <w:rPr>
          <w:rFonts w:ascii="宋体" w:hAnsi="宋体"/>
          <w:szCs w:val="21"/>
        </w:rPr>
        <w:t>（1）未采用人民币报价或者未按照招标文件标明的币种报价的；</w:t>
      </w:r>
    </w:p>
    <w:p>
      <w:pPr>
        <w:snapToGrid w:val="0"/>
        <w:spacing w:line="400" w:lineRule="exact"/>
        <w:ind w:firstLine="420" w:firstLineChars="200"/>
        <w:rPr>
          <w:rFonts w:ascii="宋体" w:hAnsi="宋体"/>
          <w:szCs w:val="21"/>
        </w:rPr>
      </w:pPr>
      <w:r>
        <w:rPr>
          <w:rFonts w:ascii="宋体" w:hAnsi="宋体"/>
          <w:szCs w:val="21"/>
        </w:rPr>
        <w:t>（2）报价超出最高限价</w:t>
      </w:r>
      <w:r>
        <w:rPr>
          <w:rFonts w:hint="eastAsia" w:ascii="宋体" w:hAnsi="宋体"/>
          <w:szCs w:val="21"/>
        </w:rPr>
        <w:t>（或预算价）；</w:t>
      </w:r>
    </w:p>
    <w:p>
      <w:pPr>
        <w:snapToGrid w:val="0"/>
        <w:spacing w:line="400" w:lineRule="exact"/>
        <w:ind w:firstLine="420" w:firstLineChars="200"/>
        <w:rPr>
          <w:rFonts w:ascii="宋体" w:hAnsi="宋体"/>
          <w:szCs w:val="21"/>
        </w:rPr>
      </w:pPr>
      <w:r>
        <w:rPr>
          <w:rFonts w:hint="eastAsia" w:ascii="宋体" w:hAnsi="宋体"/>
          <w:szCs w:val="21"/>
        </w:rPr>
        <w:t>（3）投标报价具有选择性，或者开标价格与投标文件承诺的优惠（折扣）价格不一致的。</w:t>
      </w:r>
    </w:p>
    <w:p>
      <w:pPr>
        <w:snapToGrid w:val="0"/>
        <w:spacing w:line="400" w:lineRule="exact"/>
        <w:ind w:firstLine="422" w:firstLineChars="200"/>
        <w:rPr>
          <w:rFonts w:ascii="宋体" w:hAnsi="宋体"/>
          <w:b/>
          <w:szCs w:val="21"/>
        </w:rPr>
      </w:pPr>
      <w:r>
        <w:rPr>
          <w:rFonts w:ascii="宋体" w:hAnsi="宋体"/>
          <w:b/>
          <w:szCs w:val="21"/>
        </w:rPr>
        <w:t>6</w:t>
      </w:r>
      <w:r>
        <w:rPr>
          <w:rFonts w:hint="eastAsia" w:ascii="宋体" w:hAnsi="宋体"/>
          <w:b/>
          <w:szCs w:val="21"/>
        </w:rPr>
        <w:t>.被拒绝的投标文件为无效。</w:t>
      </w:r>
    </w:p>
    <w:p>
      <w:pPr>
        <w:pStyle w:val="4"/>
        <w:spacing w:line="400" w:lineRule="exact"/>
        <w:rPr>
          <w:rFonts w:ascii="宋体" w:hAnsi="宋体"/>
        </w:rPr>
      </w:pPr>
      <w:bookmarkStart w:id="143" w:name="_Toc42879251"/>
      <w:bookmarkStart w:id="144" w:name="_Toc89897656"/>
      <w:bookmarkStart w:id="145" w:name="_Toc3386501"/>
      <w:bookmarkStart w:id="146" w:name="_Toc16185631"/>
      <w:bookmarkStart w:id="147" w:name="_Toc82881287"/>
      <w:bookmarkStart w:id="148" w:name="_Toc50211555"/>
      <w:bookmarkStart w:id="149" w:name="_Toc39655260"/>
      <w:r>
        <w:rPr>
          <w:rFonts w:hint="eastAsia" w:ascii="宋体" w:hAnsi="宋体"/>
        </w:rPr>
        <w:t>四、开标</w:t>
      </w:r>
      <w:bookmarkEnd w:id="143"/>
      <w:bookmarkEnd w:id="144"/>
      <w:bookmarkEnd w:id="145"/>
      <w:bookmarkEnd w:id="146"/>
      <w:bookmarkEnd w:id="147"/>
      <w:bookmarkEnd w:id="148"/>
      <w:bookmarkEnd w:id="149"/>
    </w:p>
    <w:p>
      <w:pPr>
        <w:snapToGrid w:val="0"/>
        <w:spacing w:line="400" w:lineRule="exact"/>
        <w:ind w:firstLine="422" w:firstLineChars="200"/>
        <w:rPr>
          <w:rFonts w:ascii="宋体" w:hAnsi="宋体"/>
          <w:b/>
          <w:bCs/>
          <w:szCs w:val="21"/>
        </w:rPr>
      </w:pPr>
      <w:r>
        <w:rPr>
          <w:rFonts w:hint="eastAsia" w:ascii="宋体" w:hAnsi="宋体"/>
          <w:b/>
          <w:bCs/>
          <w:szCs w:val="21"/>
        </w:rPr>
        <w:t>（一）开标准备</w:t>
      </w:r>
    </w:p>
    <w:p>
      <w:pPr>
        <w:snapToGrid w:val="0"/>
        <w:spacing w:line="400" w:lineRule="exact"/>
        <w:ind w:firstLine="420" w:firstLineChars="200"/>
        <w:rPr>
          <w:rFonts w:ascii="宋体" w:hAnsi="宋体"/>
          <w:szCs w:val="21"/>
        </w:rPr>
      </w:pPr>
      <w:r>
        <w:rPr>
          <w:rFonts w:hint="eastAsia" w:ascii="宋体" w:hAnsi="宋体"/>
          <w:szCs w:val="21"/>
        </w:rPr>
        <w:t>1、开标的准备工作由采购组织机构负责落实；</w:t>
      </w:r>
    </w:p>
    <w:p>
      <w:pPr>
        <w:snapToGrid w:val="0"/>
        <w:spacing w:line="400" w:lineRule="exact"/>
        <w:ind w:firstLine="420" w:firstLineChars="200"/>
        <w:rPr>
          <w:rFonts w:ascii="宋体" w:hAnsi="宋体"/>
          <w:szCs w:val="21"/>
        </w:rPr>
      </w:pPr>
      <w:r>
        <w:rPr>
          <w:rFonts w:hint="eastAsia" w:ascii="宋体" w:hAnsi="宋体"/>
          <w:szCs w:val="21"/>
        </w:rPr>
        <w:t>2、采购组织机构将按照招标文件规定的时间通过“政府采购云平台”组织开标、开启投标文件，所有供应商均应当准时在线参加。投标供应商如不参加开标大会的，视同认可开标结果，事后不得对采购相关人员、开标过程和开标结果提出异议，同时投标供应商因未在线参加开标而导致投标文件无法按时解密等一切后果由供应商自己承担。</w:t>
      </w:r>
    </w:p>
    <w:p>
      <w:pPr>
        <w:snapToGrid w:val="0"/>
        <w:spacing w:line="400" w:lineRule="exact"/>
        <w:ind w:firstLine="422" w:firstLineChars="200"/>
        <w:rPr>
          <w:rFonts w:ascii="宋体" w:hAnsi="宋体"/>
          <w:b/>
          <w:bCs/>
          <w:szCs w:val="21"/>
        </w:rPr>
      </w:pPr>
      <w:r>
        <w:rPr>
          <w:rFonts w:hint="eastAsia" w:ascii="宋体" w:hAnsi="宋体"/>
          <w:b/>
          <w:bCs/>
          <w:szCs w:val="21"/>
        </w:rPr>
        <w:t>（二）采购人或者采购代理机构职责</w:t>
      </w:r>
    </w:p>
    <w:p>
      <w:pPr>
        <w:snapToGrid w:val="0"/>
        <w:spacing w:line="400" w:lineRule="exact"/>
        <w:ind w:firstLine="420" w:firstLineChars="200"/>
        <w:rPr>
          <w:rFonts w:ascii="宋体" w:hAnsi="宋体"/>
          <w:szCs w:val="21"/>
        </w:rPr>
      </w:pPr>
      <w:r>
        <w:rPr>
          <w:rFonts w:hint="eastAsia" w:ascii="宋体" w:hAnsi="宋体"/>
          <w:szCs w:val="21"/>
        </w:rPr>
        <w:t>采购人或者采购代理机构负责组织评标工作，并履行下列职责：</w:t>
      </w:r>
    </w:p>
    <w:p>
      <w:pPr>
        <w:snapToGrid w:val="0"/>
        <w:spacing w:line="400" w:lineRule="exact"/>
        <w:ind w:firstLine="420" w:firstLineChars="200"/>
        <w:rPr>
          <w:rFonts w:ascii="宋体" w:hAnsi="宋体"/>
          <w:szCs w:val="21"/>
        </w:rPr>
      </w:pPr>
      <w:r>
        <w:rPr>
          <w:rFonts w:hint="eastAsia" w:ascii="宋体" w:hAnsi="宋体"/>
          <w:szCs w:val="21"/>
        </w:rPr>
        <w:t>1、核对评审专家身份和采购人代表授权函，对评审专家在政府采购活动中的职责履行情况予以记录，并及时将有关违法违规行为向财政部门报告；</w:t>
      </w:r>
    </w:p>
    <w:p>
      <w:pPr>
        <w:snapToGrid w:val="0"/>
        <w:spacing w:line="400" w:lineRule="exact"/>
        <w:ind w:firstLine="420" w:firstLineChars="200"/>
        <w:rPr>
          <w:rFonts w:ascii="宋体" w:hAnsi="宋体"/>
          <w:szCs w:val="21"/>
        </w:rPr>
      </w:pPr>
      <w:r>
        <w:rPr>
          <w:rFonts w:hint="eastAsia" w:ascii="宋体" w:hAnsi="宋体"/>
          <w:szCs w:val="21"/>
        </w:rPr>
        <w:t>2、宣布评标纪律；</w:t>
      </w:r>
    </w:p>
    <w:p>
      <w:pPr>
        <w:snapToGrid w:val="0"/>
        <w:spacing w:line="400" w:lineRule="exact"/>
        <w:ind w:firstLine="420" w:firstLineChars="200"/>
        <w:rPr>
          <w:rFonts w:ascii="宋体" w:hAnsi="宋体"/>
          <w:szCs w:val="21"/>
        </w:rPr>
      </w:pPr>
      <w:r>
        <w:rPr>
          <w:rFonts w:hint="eastAsia" w:ascii="宋体" w:hAnsi="宋体"/>
          <w:szCs w:val="21"/>
        </w:rPr>
        <w:t>3、公布供应商名单，告知评审专家应当回避的情形；</w:t>
      </w:r>
    </w:p>
    <w:p>
      <w:pPr>
        <w:snapToGrid w:val="0"/>
        <w:spacing w:line="400" w:lineRule="exact"/>
        <w:ind w:firstLine="420" w:firstLineChars="200"/>
        <w:rPr>
          <w:rFonts w:ascii="宋体" w:hAnsi="宋体"/>
          <w:szCs w:val="21"/>
        </w:rPr>
      </w:pPr>
      <w:r>
        <w:rPr>
          <w:rFonts w:hint="eastAsia" w:ascii="宋体" w:hAnsi="宋体"/>
          <w:szCs w:val="21"/>
        </w:rPr>
        <w:t>4、组织评标委员会推选评标组长，采购人代表不得担任组长；</w:t>
      </w:r>
    </w:p>
    <w:p>
      <w:pPr>
        <w:snapToGrid w:val="0"/>
        <w:spacing w:line="400" w:lineRule="exact"/>
        <w:ind w:firstLine="420" w:firstLineChars="200"/>
        <w:rPr>
          <w:rFonts w:ascii="宋体" w:hAnsi="宋体"/>
          <w:szCs w:val="21"/>
        </w:rPr>
      </w:pPr>
      <w:r>
        <w:rPr>
          <w:rFonts w:hint="eastAsia" w:ascii="宋体" w:hAnsi="宋体"/>
          <w:szCs w:val="21"/>
        </w:rPr>
        <w:t>5、在评标期间采取必要的通讯管理措施，保证评标活动不受外界干扰；</w:t>
      </w:r>
    </w:p>
    <w:p>
      <w:pPr>
        <w:snapToGrid w:val="0"/>
        <w:spacing w:line="400" w:lineRule="exact"/>
        <w:ind w:firstLine="420" w:firstLineChars="200"/>
        <w:rPr>
          <w:rFonts w:ascii="宋体" w:hAnsi="宋体"/>
          <w:szCs w:val="21"/>
        </w:rPr>
      </w:pPr>
      <w:r>
        <w:rPr>
          <w:rFonts w:hint="eastAsia" w:ascii="宋体" w:hAnsi="宋体"/>
          <w:szCs w:val="21"/>
        </w:rPr>
        <w:t>6、根据评标委员会的要求介绍政府采购相关政策法规、招标文件；</w:t>
      </w:r>
    </w:p>
    <w:p>
      <w:pPr>
        <w:snapToGrid w:val="0"/>
        <w:spacing w:line="400" w:lineRule="exact"/>
        <w:ind w:firstLine="420" w:firstLineChars="200"/>
        <w:rPr>
          <w:rFonts w:ascii="宋体" w:hAnsi="宋体"/>
          <w:szCs w:val="21"/>
        </w:rPr>
      </w:pPr>
      <w:r>
        <w:rPr>
          <w:rFonts w:hint="eastAsia" w:ascii="宋体" w:hAnsi="宋体"/>
          <w:szCs w:val="21"/>
        </w:rPr>
        <w:t>7、维护评标秩序，监督评标委员会依照招标文件规定的评标程序、方法和标准进行独立评审，及时制止和纠正采购人代表、评审专家的倾向性言论或者违法违规行为；</w:t>
      </w:r>
    </w:p>
    <w:p>
      <w:pPr>
        <w:snapToGrid w:val="0"/>
        <w:spacing w:line="400" w:lineRule="exact"/>
        <w:ind w:firstLine="420" w:firstLineChars="200"/>
        <w:rPr>
          <w:rFonts w:ascii="宋体" w:hAnsi="宋体"/>
          <w:szCs w:val="21"/>
        </w:rPr>
      </w:pPr>
      <w:r>
        <w:rPr>
          <w:rFonts w:hint="eastAsia" w:ascii="宋体" w:hAnsi="宋体"/>
          <w:szCs w:val="21"/>
        </w:rPr>
        <w:t>8、核对评标结果，根据《政府采购货物和服务招标投标管理办法》，如有第六十四条规定情形的，要求评标委员会复核或者书面说明理由，评标委员会拒绝的，应予记录并向本级财政部门报告；</w:t>
      </w:r>
    </w:p>
    <w:p>
      <w:pPr>
        <w:snapToGrid w:val="0"/>
        <w:spacing w:line="400" w:lineRule="exact"/>
        <w:ind w:firstLine="420" w:firstLineChars="200"/>
        <w:rPr>
          <w:rFonts w:ascii="宋体" w:hAnsi="宋体"/>
          <w:szCs w:val="21"/>
        </w:rPr>
      </w:pPr>
      <w:r>
        <w:rPr>
          <w:rFonts w:hint="eastAsia" w:ascii="宋体" w:hAnsi="宋体"/>
          <w:szCs w:val="21"/>
        </w:rPr>
        <w:t>9、评审工作完成后，按照规定向评审专家支付劳务报酬和异地评审差旅费，不得向评审专家以外的其他人员支付评审劳务报酬；</w:t>
      </w:r>
    </w:p>
    <w:p>
      <w:pPr>
        <w:snapToGrid w:val="0"/>
        <w:spacing w:line="400" w:lineRule="exact"/>
        <w:ind w:firstLine="420" w:firstLineChars="200"/>
        <w:rPr>
          <w:rFonts w:ascii="宋体" w:hAnsi="宋体"/>
          <w:szCs w:val="21"/>
        </w:rPr>
      </w:pPr>
      <w:r>
        <w:rPr>
          <w:rFonts w:hint="eastAsia" w:ascii="宋体" w:hAnsi="宋体"/>
          <w:szCs w:val="21"/>
        </w:rPr>
        <w:t>10、处理与评标有关的其他事项。</w:t>
      </w:r>
    </w:p>
    <w:p>
      <w:pPr>
        <w:snapToGrid w:val="0"/>
        <w:spacing w:line="400" w:lineRule="exact"/>
        <w:ind w:firstLine="422" w:firstLineChars="200"/>
        <w:rPr>
          <w:rFonts w:ascii="宋体" w:hAnsi="宋体"/>
          <w:b/>
          <w:bCs/>
          <w:szCs w:val="21"/>
        </w:rPr>
      </w:pPr>
      <w:r>
        <w:rPr>
          <w:rFonts w:hint="eastAsia" w:ascii="宋体" w:hAnsi="宋体"/>
          <w:b/>
          <w:bCs/>
          <w:szCs w:val="21"/>
        </w:rPr>
        <w:t>（三）开标流程（两阶段）</w:t>
      </w:r>
    </w:p>
    <w:p>
      <w:pPr>
        <w:snapToGrid w:val="0"/>
        <w:spacing w:line="400" w:lineRule="exact"/>
        <w:ind w:firstLine="422" w:firstLineChars="200"/>
        <w:rPr>
          <w:rFonts w:ascii="宋体" w:hAnsi="宋体"/>
          <w:b/>
          <w:bCs/>
          <w:szCs w:val="21"/>
        </w:rPr>
      </w:pPr>
      <w:r>
        <w:rPr>
          <w:rFonts w:hint="eastAsia" w:ascii="宋体" w:hAnsi="宋体"/>
          <w:b/>
          <w:bCs/>
          <w:szCs w:val="21"/>
        </w:rPr>
        <w:t>1、开标第一阶段</w:t>
      </w:r>
    </w:p>
    <w:p>
      <w:pPr>
        <w:snapToGrid w:val="0"/>
        <w:spacing w:line="400" w:lineRule="exact"/>
        <w:ind w:firstLine="420" w:firstLineChars="200"/>
        <w:rPr>
          <w:rFonts w:ascii="宋体" w:hAnsi="宋体"/>
          <w:szCs w:val="21"/>
        </w:rPr>
      </w:pPr>
      <w:r>
        <w:rPr>
          <w:rFonts w:hint="eastAsia" w:ascii="宋体" w:hAnsi="宋体"/>
          <w:szCs w:val="21"/>
        </w:rPr>
        <w:t>（1）向各投标供应商发出电子加密投标文件【开始解密】通知，由供应商按招标文件规定的时间内自行进行投标文件解密。投标供应商在规定的时间内无法完成已递交的“电子加密投标文件”解密的，如已按规定递交了备份投标文件的，将由采购组织机构按“政府采购云平台”操作规范将备份投标文件上传至“政府采购云平台”，上传成功后，“电子加密投标文件”自动失效；</w:t>
      </w:r>
    </w:p>
    <w:p>
      <w:pPr>
        <w:snapToGrid w:val="0"/>
        <w:spacing w:line="400" w:lineRule="exact"/>
        <w:ind w:firstLine="420" w:firstLineChars="200"/>
        <w:rPr>
          <w:rFonts w:ascii="宋体" w:hAnsi="宋体"/>
          <w:szCs w:val="21"/>
        </w:rPr>
      </w:pPr>
      <w:r>
        <w:rPr>
          <w:rFonts w:hint="eastAsia" w:ascii="宋体" w:hAnsi="宋体"/>
          <w:szCs w:val="21"/>
        </w:rPr>
        <w:t>（2）投标文件解密，解密成功后，招标代理将与供应商建立钉钉联系请各投标单位在投标截止时间前注册完成钉钉联系方式；（如需建立）</w:t>
      </w:r>
    </w:p>
    <w:p>
      <w:pPr>
        <w:snapToGrid w:val="0"/>
        <w:spacing w:line="400" w:lineRule="exact"/>
        <w:ind w:firstLine="420" w:firstLineChars="200"/>
        <w:rPr>
          <w:rFonts w:ascii="宋体" w:hAnsi="宋体"/>
          <w:szCs w:val="21"/>
        </w:rPr>
      </w:pPr>
      <w:r>
        <w:rPr>
          <w:rFonts w:hint="eastAsia" w:ascii="宋体" w:hAnsi="宋体"/>
          <w:szCs w:val="21"/>
        </w:rPr>
        <w:t>（3）开启投标文件，进入资格审查；</w:t>
      </w:r>
    </w:p>
    <w:p>
      <w:pPr>
        <w:snapToGrid w:val="0"/>
        <w:spacing w:line="400" w:lineRule="exact"/>
        <w:ind w:firstLine="420" w:firstLineChars="200"/>
        <w:rPr>
          <w:rFonts w:ascii="宋体" w:hAnsi="宋体"/>
          <w:szCs w:val="21"/>
        </w:rPr>
      </w:pPr>
      <w:r>
        <w:rPr>
          <w:rFonts w:hint="eastAsia" w:ascii="宋体" w:hAnsi="宋体"/>
          <w:szCs w:val="21"/>
        </w:rPr>
        <w:t>（4）开启资格审查通过的投标供应商的商务技术文件进入符合性审查、商务技术评审；</w:t>
      </w:r>
    </w:p>
    <w:p>
      <w:pPr>
        <w:snapToGrid w:val="0"/>
        <w:spacing w:line="400" w:lineRule="exact"/>
        <w:ind w:firstLine="420" w:firstLineChars="200"/>
        <w:rPr>
          <w:rFonts w:ascii="宋体" w:hAnsi="宋体"/>
          <w:szCs w:val="21"/>
        </w:rPr>
      </w:pPr>
      <w:r>
        <w:rPr>
          <w:rFonts w:hint="eastAsia" w:ascii="宋体" w:hAnsi="宋体"/>
          <w:szCs w:val="21"/>
        </w:rPr>
        <w:t>（5）第一阶段开标结束。</w:t>
      </w:r>
    </w:p>
    <w:p>
      <w:pPr>
        <w:snapToGrid w:val="0"/>
        <w:spacing w:line="400" w:lineRule="exact"/>
        <w:ind w:firstLine="422" w:firstLineChars="200"/>
        <w:rPr>
          <w:rFonts w:ascii="宋体" w:hAnsi="宋体"/>
          <w:b/>
          <w:bCs/>
          <w:szCs w:val="21"/>
        </w:rPr>
      </w:pPr>
      <w:r>
        <w:rPr>
          <w:rFonts w:hint="eastAsia" w:ascii="宋体" w:hAnsi="宋体"/>
          <w:b/>
          <w:bCs/>
          <w:szCs w:val="21"/>
        </w:rPr>
        <w:t>备注：开标大会的第一阶段结束后，采购人或采购代理机构将对依法对投标供应商的资格进行审查，资格审查结束后进入符合性审查和商务技术的评审工作，具体见本章节“投标供应商资格审查”相关规定。</w:t>
      </w:r>
    </w:p>
    <w:p>
      <w:pPr>
        <w:snapToGrid w:val="0"/>
        <w:spacing w:line="400" w:lineRule="exact"/>
        <w:ind w:firstLine="422" w:firstLineChars="200"/>
        <w:rPr>
          <w:rFonts w:ascii="宋体" w:hAnsi="宋体"/>
          <w:b/>
          <w:bCs/>
          <w:szCs w:val="21"/>
        </w:rPr>
      </w:pPr>
      <w:r>
        <w:rPr>
          <w:rFonts w:hint="eastAsia" w:ascii="宋体" w:hAnsi="宋体"/>
          <w:b/>
          <w:bCs/>
          <w:szCs w:val="21"/>
        </w:rPr>
        <w:t>2、开标大会第二阶段</w:t>
      </w:r>
    </w:p>
    <w:p>
      <w:pPr>
        <w:snapToGrid w:val="0"/>
        <w:spacing w:line="400" w:lineRule="exact"/>
        <w:ind w:firstLine="420" w:firstLineChars="200"/>
        <w:rPr>
          <w:rFonts w:ascii="宋体" w:hAnsi="宋体"/>
          <w:szCs w:val="21"/>
        </w:rPr>
      </w:pPr>
      <w:r>
        <w:rPr>
          <w:rFonts w:hint="eastAsia" w:ascii="宋体" w:hAnsi="宋体"/>
          <w:szCs w:val="21"/>
        </w:rPr>
        <w:t>（1）符合性审查、商务技术评审结束后，举行开标大会第二阶段会议。</w:t>
      </w:r>
    </w:p>
    <w:p>
      <w:pPr>
        <w:snapToGrid w:val="0"/>
        <w:spacing w:line="400" w:lineRule="exact"/>
        <w:ind w:firstLine="420" w:firstLineChars="200"/>
        <w:rPr>
          <w:rFonts w:ascii="宋体" w:hAnsi="宋体"/>
          <w:szCs w:val="21"/>
        </w:rPr>
      </w:pPr>
      <w:r>
        <w:rPr>
          <w:rFonts w:hint="eastAsia" w:ascii="宋体" w:hAnsi="宋体"/>
          <w:szCs w:val="21"/>
        </w:rPr>
        <w:t>（2）开启符合性审查、商务技术评审有效投标供应商的《报价文件》，唱标结束后，由评标委员会对报价的合理性、准确性等进行审查核实。</w:t>
      </w:r>
    </w:p>
    <w:p>
      <w:pPr>
        <w:snapToGrid w:val="0"/>
        <w:spacing w:line="400" w:lineRule="exact"/>
        <w:ind w:firstLine="420" w:firstLineChars="200"/>
        <w:rPr>
          <w:rFonts w:ascii="宋体" w:hAnsi="宋体"/>
          <w:szCs w:val="21"/>
        </w:rPr>
      </w:pPr>
      <w:r>
        <w:rPr>
          <w:rFonts w:hint="eastAsia" w:ascii="宋体" w:hAnsi="宋体"/>
          <w:szCs w:val="21"/>
        </w:rPr>
        <w:t>（3）评审结束后通过政采云系统公布最终结果。</w:t>
      </w:r>
    </w:p>
    <w:p>
      <w:pPr>
        <w:snapToGrid w:val="0"/>
        <w:spacing w:line="400" w:lineRule="exact"/>
        <w:ind w:firstLine="420" w:firstLineChars="200"/>
        <w:rPr>
          <w:rFonts w:ascii="宋体" w:hAnsi="宋体"/>
          <w:szCs w:val="21"/>
        </w:rPr>
      </w:pPr>
      <w:r>
        <w:rPr>
          <w:rFonts w:hint="eastAsia" w:ascii="宋体" w:hAnsi="宋体"/>
          <w:szCs w:val="21"/>
        </w:rPr>
        <w:t>特别说明：如遇“政府采购云平台”电子化开标或评审程序调整的，按调整后程序执行。</w:t>
      </w:r>
    </w:p>
    <w:p>
      <w:pPr>
        <w:snapToGrid w:val="0"/>
        <w:spacing w:line="400" w:lineRule="exact"/>
        <w:ind w:firstLine="422" w:firstLineChars="200"/>
        <w:rPr>
          <w:rFonts w:ascii="宋体" w:hAnsi="宋体"/>
          <w:b/>
          <w:bCs/>
          <w:szCs w:val="21"/>
        </w:rPr>
      </w:pPr>
      <w:bookmarkStart w:id="150" w:name="_Toc33194393"/>
      <w:bookmarkStart w:id="151" w:name="_Toc24550037"/>
      <w:r>
        <w:rPr>
          <w:rFonts w:hint="eastAsia" w:ascii="宋体" w:hAnsi="宋体"/>
          <w:b/>
          <w:bCs/>
          <w:szCs w:val="21"/>
        </w:rPr>
        <w:t>（四）投标供应商资格审查</w:t>
      </w:r>
      <w:bookmarkEnd w:id="150"/>
      <w:bookmarkEnd w:id="151"/>
    </w:p>
    <w:p>
      <w:pPr>
        <w:snapToGrid w:val="0"/>
        <w:spacing w:line="400" w:lineRule="exact"/>
        <w:ind w:firstLine="420" w:firstLineChars="200"/>
        <w:rPr>
          <w:rFonts w:ascii="宋体" w:hAnsi="宋体"/>
          <w:szCs w:val="21"/>
        </w:rPr>
      </w:pPr>
      <w:r>
        <w:rPr>
          <w:rFonts w:hint="eastAsia" w:ascii="宋体" w:hAnsi="宋体"/>
          <w:szCs w:val="21"/>
        </w:rPr>
        <w:t>1、开标大会第一阶段结束后，采购人或采购代理机构首先依法对各投标供应商的资格进行审查，审查各投标供应商的资格是否满足招标文件的要求。采购人或采购代理机构对投标供应商所提交的资格证明材料仅负审核的责任。如发现投标供应商所提交的资格证明材料不合法或与事实不符，采购人可取消其中标资格并追究投标供应商的法律责任。</w:t>
      </w:r>
    </w:p>
    <w:p>
      <w:pPr>
        <w:snapToGrid w:val="0"/>
        <w:spacing w:line="400" w:lineRule="exact"/>
        <w:ind w:firstLine="420" w:firstLineChars="200"/>
        <w:rPr>
          <w:rFonts w:ascii="宋体" w:hAnsi="宋体"/>
          <w:szCs w:val="21"/>
        </w:rPr>
      </w:pPr>
      <w:r>
        <w:rPr>
          <w:rFonts w:hint="eastAsia" w:ascii="宋体" w:hAnsi="宋体"/>
          <w:szCs w:val="21"/>
        </w:rPr>
        <w:t>2、投标供应商提交的资格证明材料无法证明其符合招标文件规定的“投标供应商资格要求”的，采购人或采购代理机构将对其作资格审查不通过处理（无效投标），并不再将其投标提交评标委员会进行后续评审。</w:t>
      </w:r>
    </w:p>
    <w:p>
      <w:pPr>
        <w:snapToGrid w:val="0"/>
        <w:spacing w:line="400" w:lineRule="exact"/>
        <w:ind w:firstLine="420" w:firstLineChars="200"/>
        <w:rPr>
          <w:rFonts w:ascii="宋体" w:hAnsi="宋体"/>
          <w:szCs w:val="21"/>
        </w:rPr>
      </w:pPr>
      <w:r>
        <w:rPr>
          <w:rFonts w:hint="eastAsia" w:ascii="宋体" w:hAnsi="宋体"/>
          <w:szCs w:val="21"/>
        </w:rPr>
        <w:t>3、单位负责人为同一人或者存在直接控股、管理关系的不同供应商参加同一合同项下的政府采购活动的，相关投标供应商均作资格无效处理。</w:t>
      </w:r>
    </w:p>
    <w:p>
      <w:pPr>
        <w:pStyle w:val="4"/>
        <w:spacing w:line="400" w:lineRule="exact"/>
        <w:rPr>
          <w:rFonts w:ascii="宋体" w:hAnsi="宋体"/>
        </w:rPr>
      </w:pPr>
      <w:bookmarkStart w:id="152" w:name="_Toc82881288"/>
      <w:bookmarkStart w:id="153" w:name="_Toc16185632"/>
      <w:bookmarkStart w:id="154" w:name="_Toc3386502"/>
      <w:bookmarkStart w:id="155" w:name="_Toc89897657"/>
      <w:bookmarkStart w:id="156" w:name="_Toc39655261"/>
      <w:bookmarkStart w:id="157" w:name="_Toc50211556"/>
      <w:bookmarkStart w:id="158" w:name="_Toc42879252"/>
      <w:r>
        <w:rPr>
          <w:rFonts w:hint="eastAsia" w:ascii="宋体" w:hAnsi="宋体"/>
        </w:rPr>
        <w:t>五、评标</w:t>
      </w:r>
      <w:bookmarkEnd w:id="152"/>
      <w:bookmarkEnd w:id="153"/>
      <w:bookmarkEnd w:id="154"/>
      <w:bookmarkEnd w:id="155"/>
      <w:bookmarkEnd w:id="156"/>
      <w:bookmarkEnd w:id="157"/>
      <w:bookmarkEnd w:id="158"/>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（一）组建评标委员会</w:t>
      </w:r>
    </w:p>
    <w:p>
      <w:pPr>
        <w:pStyle w:val="28"/>
        <w:spacing w:line="400" w:lineRule="exact"/>
        <w:ind w:firstLine="420" w:firstLineChars="200"/>
        <w:rPr>
          <w:rFonts w:hAnsi="宋体"/>
          <w:szCs w:val="21"/>
        </w:rPr>
      </w:pPr>
      <w:r>
        <w:rPr>
          <w:rFonts w:hint="eastAsia" w:hAnsi="宋体"/>
          <w:szCs w:val="21"/>
        </w:rPr>
        <w:t>本项目评标委员会由政府采购评审专家</w:t>
      </w:r>
      <w:r>
        <w:rPr>
          <w:rFonts w:hint="eastAsia" w:hAnsi="宋体"/>
          <w:szCs w:val="21"/>
          <w:u w:val="single"/>
        </w:rPr>
        <w:t xml:space="preserve"> </w:t>
      </w:r>
      <w:r>
        <w:rPr>
          <w:rFonts w:hAnsi="宋体"/>
          <w:szCs w:val="21"/>
          <w:u w:val="single"/>
        </w:rPr>
        <w:t xml:space="preserve">5 </w:t>
      </w:r>
      <w:r>
        <w:rPr>
          <w:rFonts w:hint="eastAsia" w:hAnsi="宋体"/>
          <w:szCs w:val="21"/>
        </w:rPr>
        <w:t>人和采购人代表</w:t>
      </w:r>
      <w:r>
        <w:rPr>
          <w:rFonts w:hint="eastAsia" w:hAnsi="宋体"/>
          <w:szCs w:val="21"/>
          <w:u w:val="single"/>
        </w:rPr>
        <w:t xml:space="preserve"> </w:t>
      </w:r>
      <w:r>
        <w:rPr>
          <w:rFonts w:hAnsi="宋体"/>
          <w:szCs w:val="21"/>
          <w:u w:val="single"/>
        </w:rPr>
        <w:t xml:space="preserve">2 </w:t>
      </w:r>
      <w:r>
        <w:rPr>
          <w:rFonts w:hint="eastAsia" w:hAnsi="宋体"/>
          <w:szCs w:val="21"/>
        </w:rPr>
        <w:t>人，共</w:t>
      </w:r>
      <w:r>
        <w:rPr>
          <w:rFonts w:hint="eastAsia" w:hAnsi="宋体"/>
          <w:szCs w:val="21"/>
          <w:u w:val="single"/>
        </w:rPr>
        <w:t xml:space="preserve"> </w:t>
      </w:r>
      <w:r>
        <w:rPr>
          <w:rFonts w:hAnsi="宋体"/>
          <w:szCs w:val="21"/>
          <w:u w:val="single"/>
        </w:rPr>
        <w:t xml:space="preserve">7 </w:t>
      </w:r>
      <w:r>
        <w:rPr>
          <w:rFonts w:hint="eastAsia" w:hAnsi="宋体"/>
          <w:szCs w:val="21"/>
        </w:rPr>
        <w:t>人组成。</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评标委员会负责具体评标事务，并独立履行下列职责：</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1.审查、评价投标文件是否符合招标文件的商务、技术等实质性要求</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2.要求供应商对投标文件有关事项作出澄清或者说明</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3.对投标文件进行比较和评价</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4.确定中标候选人名单，以及根据采购人委托直接确定中标人</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5.向采购人、分散采购机构或者有关部门报告评标中发现的违法行为。</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除采购人代表、评标现场组织人员外，采购人的其他工作人员以及与评标工作无关的人员不得进入评标现场。</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（二）评标的方式</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本项目采用不公开方式评标，评标的依据为招标文件和投标文件。</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（三）评标程序</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采购人可以在评标前说明项目背景和采购需求，说明内容不得含有歧视性、倾向性意见，不得超出招标文件所述范围。说明应当提交书面材料，并随采购文件一并存档。</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1.形式审查</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形式审查包括资格审查（除符合性审查以外的关于供应商资格条件等内容）和符合性审查，即对供应商的资格和投标文件的完整性、合法性等进行审查。投标文件形式审查未通过的供应商，其投标文件将不再评审。</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2.实质审查与比较</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（1）评标委员会审查投标文件的实质性内容是否符合招标文件的实质性要求。</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评标委员会将根据供应商的投标文件进行审查、核对，如有疑问，将对供应商进行询标，供应商要向评标委员会澄清有关问题，并最终以书面形式进行答复。询标时，供应商代表未到场或者拒绝澄清或者澄清的内容改变了投标文件的实质性内容的，评标委员会有权对该投标文件作出不利于供应商的评判。</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（3）各供应商的资信商务及技术分按照评标委员会成员的独立评分结果汇总后的算术平均分计算，由政府采购业务系统计算。</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（4）报价审查后由政府采购业务系统自动计算各供应商的报价得分。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（5）评标委员会完成评标后，政府采购业务系统自动汇总各部分得分，计算出本项目最终得分。评标委员会按评标原则推荐中标候选人同时起草评标报告。</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（四）澄清问题的形式</w:t>
      </w:r>
    </w:p>
    <w:p>
      <w:pPr>
        <w:tabs>
          <w:tab w:val="left" w:pos="3870"/>
          <w:tab w:val="left" w:pos="4085"/>
        </w:tabs>
        <w:snapToGrid w:val="0"/>
        <w:spacing w:line="400" w:lineRule="exact"/>
        <w:ind w:firstLine="420" w:firstLineChars="200"/>
        <w:jc w:val="left"/>
        <w:rPr>
          <w:rFonts w:hint="eastAsia" w:ascii="宋体" w:hAnsi="宋体"/>
          <w:szCs w:val="21"/>
        </w:rPr>
      </w:pPr>
      <w:r>
        <w:rPr>
          <w:rFonts w:hint="eastAsia" w:ascii="宋体" w:hAnsi="宋体"/>
          <w:szCs w:val="21"/>
        </w:rPr>
        <w:t>（1</w:t>
      </w:r>
      <w:r>
        <w:rPr>
          <w:rFonts w:ascii="宋体" w:hAnsi="宋体"/>
          <w:szCs w:val="21"/>
        </w:rPr>
        <w:t>）</w:t>
      </w:r>
      <w:r>
        <w:rPr>
          <w:rFonts w:hint="eastAsia" w:ascii="宋体" w:hAnsi="宋体"/>
          <w:szCs w:val="21"/>
        </w:rPr>
        <w:t>对于投标文件中含义不明确、同类问题表述不一致或者有明显文字和计算错误的内容，评标委员会将以书面形式（或通过“政府采购云平台”在线询标）的形式要求投标供应商在规定的时间内作出必要的澄清、说明或者补正，投标供应商澄清、说明或补正时间为30分钟。</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w:t>
      </w:r>
      <w:r>
        <w:rPr>
          <w:rFonts w:ascii="宋体" w:hAnsi="宋体"/>
          <w:szCs w:val="21"/>
        </w:rPr>
        <w:t>）</w:t>
      </w:r>
      <w:r>
        <w:rPr>
          <w:rFonts w:hint="eastAsia" w:ascii="宋体" w:hAnsi="宋体"/>
          <w:szCs w:val="21"/>
        </w:rPr>
        <w:t>投标供应商的澄清、说明或者补正应当采用书面（或通过“政府采购云平台”在线答复）形式提交，并加盖公章，或者由法定代表人或其授权的代表签字。投标供应商的澄清、说明或者补正不得超出投标文件的范围或者改变投标文件的实质性内容。</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（五）错误修正</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评标委员会将对确定为实质上响应招标文件要求的投标文件进行校核，修正错误的原则如下：</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1.开标一览表总价与投标报价明细表汇总数不一致的，以开标一览表为准；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2.投标文件的大写金额和小写金额不一致的，以大写金额为准；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3.总价金额与按单价汇总金额不一致的，以单价金额计算结果为准；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4.对不同文字文本投标文件的解释发生异议的，以中文文本为准。</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按上述修正错误的原则及方法调整或修正投标文件的投标报价，供应商同意并签字确认后，调整后的投标报价对供应商具有约束作用。如果供应商不接受修正后的报价，则其投标将作为无效投标处理。</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（六）评标原则和评标办法</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评标原则。评标委员会必须公平、公正、客观，不带任何倾向性和启发性；不得向外界透露任何与评标有关的内容；任何单位和个人不得干扰、影响评标的正常进行；评标委员会及有关工作人员不得私下与供应商接触。</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2.评标办法。本项目评标办法采用综合评分法。具体评标内容及评分标准等详见《第四章：评标办法及评分标准》。</w:t>
      </w:r>
    </w:p>
    <w:p>
      <w:pPr>
        <w:tabs>
          <w:tab w:val="left" w:pos="3870"/>
          <w:tab w:val="left" w:pos="4085"/>
        </w:tabs>
        <w:snapToGrid w:val="0"/>
        <w:spacing w:line="400" w:lineRule="exact"/>
        <w:ind w:firstLine="422" w:firstLineChars="200"/>
        <w:jc w:val="left"/>
        <w:rPr>
          <w:rFonts w:ascii="宋体" w:hAnsi="宋体"/>
          <w:b/>
          <w:bCs/>
          <w:szCs w:val="21"/>
        </w:rPr>
      </w:pPr>
      <w:r>
        <w:rPr>
          <w:rFonts w:ascii="宋体" w:hAnsi="宋体"/>
          <w:b/>
          <w:bCs/>
          <w:szCs w:val="21"/>
        </w:rPr>
        <w:t>（七）评标过程的监控</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本项目评标过程实行全程录音、录像监控</w:t>
      </w:r>
      <w:bookmarkStart w:id="159" w:name="_Hlk95209716"/>
      <w:r>
        <w:rPr>
          <w:rFonts w:hint="eastAsia" w:ascii="宋体" w:hAnsi="宋体"/>
          <w:szCs w:val="21"/>
        </w:rPr>
        <w:t>，相关部门</w:t>
      </w:r>
      <w:r>
        <w:rPr>
          <w:rFonts w:ascii="宋体" w:hAnsi="宋体"/>
          <w:szCs w:val="21"/>
        </w:rPr>
        <w:t>进行现场监督</w:t>
      </w:r>
      <w:bookmarkEnd w:id="159"/>
      <w:r>
        <w:rPr>
          <w:rFonts w:hint="eastAsia" w:ascii="宋体" w:hAnsi="宋体"/>
          <w:szCs w:val="21"/>
        </w:rPr>
        <w:t>。</w:t>
      </w:r>
      <w:r>
        <w:rPr>
          <w:rFonts w:ascii="宋体" w:hAnsi="宋体"/>
          <w:szCs w:val="21"/>
        </w:rPr>
        <w:t>供应商在评标过程中所进行的</w:t>
      </w:r>
      <w:r>
        <w:rPr>
          <w:rFonts w:hint="eastAsia" w:ascii="宋体" w:hAnsi="宋体"/>
          <w:szCs w:val="21"/>
        </w:rPr>
        <w:t>试</w:t>
      </w:r>
      <w:r>
        <w:rPr>
          <w:rFonts w:ascii="宋体" w:hAnsi="宋体"/>
          <w:szCs w:val="21"/>
        </w:rPr>
        <w:t>图影响评标结果的不公正活动，可能导致其投标被拒绝。</w:t>
      </w:r>
    </w:p>
    <w:p>
      <w:pPr>
        <w:pStyle w:val="4"/>
        <w:spacing w:line="400" w:lineRule="exact"/>
        <w:rPr>
          <w:rFonts w:ascii="宋体" w:hAnsi="宋体"/>
        </w:rPr>
      </w:pPr>
      <w:bookmarkStart w:id="160" w:name="_Toc50211557"/>
      <w:bookmarkStart w:id="161" w:name="_Toc42879253"/>
      <w:bookmarkStart w:id="162" w:name="_Toc89897658"/>
      <w:bookmarkStart w:id="163" w:name="_Toc16185633"/>
      <w:bookmarkStart w:id="164" w:name="_Toc39655262"/>
      <w:bookmarkStart w:id="165" w:name="_Toc82881289"/>
      <w:bookmarkStart w:id="166" w:name="_Toc3386503"/>
      <w:r>
        <w:rPr>
          <w:rFonts w:hint="eastAsia" w:ascii="宋体" w:hAnsi="宋体"/>
        </w:rPr>
        <w:t>六、定标</w:t>
      </w:r>
      <w:bookmarkEnd w:id="160"/>
      <w:bookmarkEnd w:id="161"/>
      <w:bookmarkEnd w:id="162"/>
      <w:bookmarkEnd w:id="163"/>
      <w:bookmarkEnd w:id="164"/>
      <w:bookmarkEnd w:id="165"/>
      <w:bookmarkEnd w:id="166"/>
    </w:p>
    <w:p>
      <w:pPr>
        <w:pStyle w:val="5"/>
        <w:spacing w:line="400" w:lineRule="exact"/>
        <w:ind w:firstLine="422" w:firstLineChars="200"/>
        <w:rPr>
          <w:rFonts w:ascii="宋体" w:hAnsi="宋体"/>
        </w:rPr>
      </w:pPr>
      <w:r>
        <w:rPr>
          <w:rFonts w:hint="eastAsia" w:ascii="宋体" w:hAnsi="宋体"/>
        </w:rPr>
        <w:t>（一）确定中标人。</w:t>
      </w:r>
    </w:p>
    <w:p>
      <w:pPr>
        <w:snapToGrid w:val="0"/>
        <w:spacing w:line="400" w:lineRule="exact"/>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采购代理机构在评标结束后2个工作日内将评标报告交采购人确认，同时在发布招标公告的网站上对评标结果进行</w:t>
      </w:r>
      <w:r>
        <w:rPr>
          <w:rFonts w:hint="eastAsia" w:ascii="宋体" w:hAnsi="宋体"/>
          <w:szCs w:val="21"/>
        </w:rPr>
        <w:t>公告</w:t>
      </w:r>
      <w:r>
        <w:rPr>
          <w:rFonts w:ascii="宋体" w:hAnsi="宋体"/>
          <w:szCs w:val="21"/>
        </w:rPr>
        <w:t>。</w:t>
      </w:r>
    </w:p>
    <w:p>
      <w:pPr>
        <w:snapToGrid w:val="0"/>
        <w:spacing w:line="400" w:lineRule="exact"/>
        <w:ind w:firstLine="420" w:firstLineChars="200"/>
        <w:rPr>
          <w:rFonts w:ascii="宋体" w:hAnsi="宋体"/>
          <w:szCs w:val="21"/>
        </w:rPr>
      </w:pPr>
      <w:r>
        <w:rPr>
          <w:rFonts w:ascii="宋体" w:hAnsi="宋体"/>
          <w:szCs w:val="21"/>
        </w:rPr>
        <w:t>2</w:t>
      </w:r>
      <w:r>
        <w:rPr>
          <w:rFonts w:hint="eastAsia" w:ascii="宋体" w:hAnsi="宋体"/>
          <w:szCs w:val="21"/>
        </w:rPr>
        <w:t>.</w:t>
      </w:r>
      <w:r>
        <w:rPr>
          <w:rFonts w:ascii="宋体" w:hAnsi="宋体"/>
          <w:szCs w:val="21"/>
        </w:rPr>
        <w:t>供应商对评标结果无异议的，采购人应在收到评标报告后5个工作日内对评标结果进行确认。如有供应商对评标结果提出质疑的，采购人可在质疑处理完毕后确定中标人。</w:t>
      </w:r>
    </w:p>
    <w:p>
      <w:pPr>
        <w:snapToGrid w:val="0"/>
        <w:spacing w:line="400" w:lineRule="exact"/>
        <w:ind w:firstLine="420" w:firstLineChars="200"/>
        <w:rPr>
          <w:rFonts w:ascii="宋体" w:hAnsi="宋体"/>
          <w:szCs w:val="21"/>
        </w:rPr>
      </w:pPr>
      <w:r>
        <w:rPr>
          <w:rFonts w:hint="eastAsia" w:ascii="宋体" w:hAnsi="宋体"/>
          <w:szCs w:val="21"/>
        </w:rPr>
        <w:t>3.在公告中标结果的同时，采购</w:t>
      </w:r>
      <w:r>
        <w:rPr>
          <w:rFonts w:ascii="宋体" w:hAnsi="宋体"/>
          <w:szCs w:val="21"/>
        </w:rPr>
        <w:t>代理</w:t>
      </w:r>
      <w:r>
        <w:rPr>
          <w:rFonts w:hint="eastAsia" w:ascii="宋体" w:hAnsi="宋体"/>
          <w:szCs w:val="21"/>
        </w:rPr>
        <w:t>机构向中标人发出中标通知书。</w:t>
      </w:r>
    </w:p>
    <w:p>
      <w:pPr>
        <w:pStyle w:val="5"/>
        <w:spacing w:line="400" w:lineRule="exact"/>
        <w:ind w:firstLine="422" w:firstLineChars="200"/>
        <w:rPr>
          <w:rFonts w:ascii="宋体" w:hAnsi="宋体"/>
        </w:rPr>
      </w:pPr>
      <w:r>
        <w:rPr>
          <w:rFonts w:hint="eastAsia" w:ascii="宋体" w:hAnsi="宋体"/>
        </w:rPr>
        <w:t>（二）其他</w:t>
      </w:r>
    </w:p>
    <w:p>
      <w:pPr>
        <w:snapToGrid w:val="0"/>
        <w:spacing w:line="400" w:lineRule="exact"/>
        <w:ind w:firstLine="420" w:firstLineChars="200"/>
        <w:rPr>
          <w:rFonts w:ascii="宋体" w:hAnsi="宋体"/>
          <w:b/>
          <w:szCs w:val="21"/>
        </w:rPr>
      </w:pPr>
      <w:r>
        <w:rPr>
          <w:rFonts w:hint="eastAsia" w:ascii="宋体" w:hAnsi="宋体"/>
          <w:szCs w:val="21"/>
        </w:rPr>
        <w:t>1.此次招投标实行资格后审。中标结果将在招标文件规定的网站进行公示。对于供应商</w:t>
      </w:r>
      <w:r>
        <w:rPr>
          <w:rFonts w:hint="eastAsia" w:ascii="宋体" w:hAnsi="宋体"/>
        </w:rPr>
        <w:t>有行贿、违规违法经营等行为的，一经发现查实，取消该供应商的中标资格。</w:t>
      </w:r>
    </w:p>
    <w:p>
      <w:pPr>
        <w:snapToGrid w:val="0"/>
        <w:spacing w:line="400" w:lineRule="exact"/>
        <w:ind w:firstLine="420" w:firstLineChars="200"/>
        <w:rPr>
          <w:rFonts w:ascii="宋体" w:hAnsi="宋体"/>
          <w:szCs w:val="21"/>
        </w:rPr>
      </w:pPr>
      <w:r>
        <w:rPr>
          <w:rFonts w:hint="eastAsia" w:ascii="宋体" w:hAnsi="宋体"/>
          <w:szCs w:val="21"/>
        </w:rPr>
        <w:t>2.中标人因自身原因放弃中标成交或因不可抗力不能履行合同的；经质疑，采购代理机构审查确认因中标人在本次采购活动中存在违法违规行为或其他原因使质疑成立的；采购人可以与排位在中标人之后第一位的中标候选人签订政府采购合同，以此类推，也可重新开展政府采购活动。</w:t>
      </w:r>
    </w:p>
    <w:p>
      <w:pPr>
        <w:pStyle w:val="4"/>
        <w:spacing w:line="400" w:lineRule="exact"/>
        <w:rPr>
          <w:rFonts w:ascii="宋体" w:hAnsi="宋体"/>
        </w:rPr>
      </w:pPr>
      <w:bookmarkStart w:id="167" w:name="_Toc89897659"/>
      <w:bookmarkStart w:id="168" w:name="_Toc82881290"/>
      <w:bookmarkStart w:id="169" w:name="_Toc3386504"/>
      <w:bookmarkStart w:id="170" w:name="_Toc42879254"/>
      <w:bookmarkStart w:id="171" w:name="_Toc39655263"/>
      <w:bookmarkStart w:id="172" w:name="_Toc50211558"/>
      <w:bookmarkStart w:id="173" w:name="_Toc16185634"/>
      <w:r>
        <w:rPr>
          <w:rFonts w:hint="eastAsia" w:ascii="宋体" w:hAnsi="宋体"/>
        </w:rPr>
        <w:t>七、合同授予</w:t>
      </w:r>
      <w:bookmarkEnd w:id="167"/>
      <w:bookmarkEnd w:id="168"/>
      <w:bookmarkEnd w:id="169"/>
      <w:bookmarkEnd w:id="170"/>
      <w:bookmarkEnd w:id="171"/>
      <w:bookmarkEnd w:id="172"/>
      <w:bookmarkEnd w:id="173"/>
    </w:p>
    <w:p>
      <w:pPr>
        <w:pStyle w:val="5"/>
        <w:spacing w:line="400" w:lineRule="exact"/>
        <w:ind w:firstLine="422" w:firstLineChars="200"/>
        <w:rPr>
          <w:rFonts w:ascii="宋体" w:hAnsi="宋体"/>
        </w:rPr>
      </w:pPr>
      <w:r>
        <w:rPr>
          <w:rFonts w:hint="eastAsia" w:ascii="宋体" w:hAnsi="宋体"/>
        </w:rPr>
        <w:t>（一）签订合同</w:t>
      </w:r>
    </w:p>
    <w:p>
      <w:pPr>
        <w:snapToGrid w:val="0"/>
        <w:spacing w:line="400" w:lineRule="exact"/>
        <w:ind w:firstLine="420" w:firstLineChars="200"/>
        <w:rPr>
          <w:rFonts w:ascii="宋体" w:hAnsi="宋体"/>
          <w:szCs w:val="21"/>
        </w:rPr>
      </w:pPr>
      <w:r>
        <w:rPr>
          <w:rFonts w:hint="eastAsia" w:ascii="宋体" w:hAnsi="宋体"/>
          <w:szCs w:val="21"/>
        </w:rPr>
        <w:t>1.采购人与中标人应当在《中标通知书》</w:t>
      </w:r>
      <w:r>
        <w:rPr>
          <w:rFonts w:ascii="宋体" w:hAnsi="宋体"/>
          <w:szCs w:val="21"/>
        </w:rPr>
        <w:t>发出之日起30日内签订政府采购合同</w:t>
      </w:r>
      <w:r>
        <w:rPr>
          <w:rFonts w:hint="eastAsia" w:ascii="宋体" w:hAnsi="宋体"/>
          <w:szCs w:val="21"/>
        </w:rPr>
        <w:t>。同时，招标代理机构对合同内容进行审查，如发现与投标结果和投标承诺内容不一致的，应予以纠正。</w:t>
      </w:r>
    </w:p>
    <w:p>
      <w:pPr>
        <w:snapToGrid w:val="0"/>
        <w:spacing w:line="400" w:lineRule="exact"/>
        <w:ind w:firstLine="420" w:firstLineChars="200"/>
        <w:rPr>
          <w:rFonts w:ascii="宋体" w:hAnsi="宋体"/>
          <w:szCs w:val="21"/>
        </w:rPr>
      </w:pPr>
      <w:r>
        <w:rPr>
          <w:rFonts w:hint="eastAsia" w:ascii="宋体" w:hAnsi="宋体"/>
          <w:szCs w:val="21"/>
        </w:rPr>
        <w:t>2.中标人拖延、拒签合同的，将被取消中标资格。</w:t>
      </w:r>
    </w:p>
    <w:p>
      <w:pPr>
        <w:snapToGrid w:val="0"/>
        <w:spacing w:line="400" w:lineRule="exact"/>
        <w:ind w:firstLine="420" w:firstLineChars="200"/>
        <w:rPr>
          <w:rFonts w:ascii="宋体" w:hAnsi="宋体"/>
          <w:szCs w:val="21"/>
        </w:rPr>
      </w:pPr>
      <w:r>
        <w:rPr>
          <w:rFonts w:hint="eastAsia" w:ascii="宋体" w:hAnsi="宋体"/>
          <w:szCs w:val="21"/>
        </w:rPr>
        <w:t>3.招标文件、招标文件的修改文件、中标人的投标文件、补充或修改的文件及澄清或承诺文件等，均为双方签订《合同》的组成部分，并与《合同》一并作为本招标文件所列采购项目的互补性法律文件，与《合同》具有同等法律效力。</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（二）履约保证金（如有）</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1.中标人应根据招标文件确定的履约保证金金额，向采购人交纳履约保证金。</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2.签订合同后，如中标人不按双方签订合同约定履约，则没收其全部履约保证金，履约保证金不足以赔偿损失的，按实际损失赔偿。</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（三）合同管理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1.中标供应商与采购人签订合同后，将合同原件交给浙江富昱项目管理有限公司鉴证。</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2.采购人在合同签订后七个工作日内要及时向财政监督管理部门申请备案。</w:t>
      </w:r>
    </w:p>
    <w:p>
      <w:pPr>
        <w:pStyle w:val="4"/>
        <w:spacing w:line="400" w:lineRule="exact"/>
        <w:rPr>
          <w:rFonts w:ascii="宋体" w:hAnsi="宋体"/>
        </w:rPr>
      </w:pPr>
      <w:r>
        <w:rPr>
          <w:rFonts w:hint="eastAsia" w:ascii="宋体" w:hAnsi="宋体"/>
        </w:rPr>
        <w:t>八、电子交易活动的中止</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（一）电子交易活动的中止</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采购过程中出现以下情形，导致电子交易平台无法正常运行，或者无法保证电子交易的公平、公正和安全时，采购机构可中止电子交易活动：</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 xml:space="preserve">1.电子交易平台发生故障而无法登录访问的； </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2.电子交易平台应用或数据库出现错误，不能进行正常操作的；</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3.电子交易平台发现严重安全漏洞，有潜在泄密危险的；</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 xml:space="preserve">4.病毒发作导致不能进行正常操作的； </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5.其他无法保证电子交易的公平、公正和安全的情况。</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w:t>
      </w:r>
      <w:r>
        <w:rPr>
          <w:rFonts w:ascii="宋体" w:hAnsi="宋体"/>
          <w:b/>
          <w:bCs/>
          <w:szCs w:val="21"/>
        </w:rPr>
        <w:t>出现以上情形，不影响采购公平、公正性的，采购组织机构可以待上述情形消除后继续组织电子交易活动，也可以决定某些环节以纸质形式进行；影响或可能影响采购公平、公正性的，应当重新采购。</w:t>
      </w:r>
    </w:p>
    <w:p>
      <w:pPr>
        <w:rPr>
          <w:rFonts w:ascii="宋体" w:hAnsi="宋体"/>
        </w:rPr>
      </w:pPr>
    </w:p>
    <w:p>
      <w:pPr>
        <w:pStyle w:val="4"/>
        <w:ind w:firstLine="602" w:firstLineChars="200"/>
        <w:rPr>
          <w:rFonts w:ascii="宋体" w:hAnsi="宋体"/>
        </w:rPr>
      </w:pPr>
      <w:r>
        <w:rPr>
          <w:rFonts w:hint="eastAsia" w:ascii="宋体" w:hAnsi="宋体"/>
          <w:szCs w:val="21"/>
        </w:rPr>
        <w:br w:type="page"/>
      </w:r>
      <w:bookmarkStart w:id="174" w:name="_Toc89897660"/>
      <w:r>
        <w:rPr>
          <w:rFonts w:hint="eastAsia" w:ascii="宋体" w:hAnsi="宋体"/>
        </w:rPr>
        <w:t>第四章 评标办法及评分标准</w:t>
      </w:r>
      <w:bookmarkEnd w:id="174"/>
    </w:p>
    <w:p>
      <w:pPr>
        <w:ind w:firstLine="420" w:firstLineChars="200"/>
        <w:rPr>
          <w:rFonts w:ascii="宋体" w:hAnsi="宋体"/>
          <w:szCs w:val="21"/>
        </w:rPr>
      </w:pPr>
      <w:bookmarkStart w:id="175" w:name="_Toc19362"/>
      <w:bookmarkEnd w:id="175"/>
      <w:r>
        <w:rPr>
          <w:rFonts w:hint="eastAsia" w:ascii="宋体" w:hAnsi="宋体"/>
          <w:szCs w:val="21"/>
        </w:rPr>
        <w:t>为公正、公平、科学地选择中标人，根据《中华人民共和国政府采购法》等有关法律法规的规定，并结合本项目的实际，制定本办法。</w:t>
      </w:r>
    </w:p>
    <w:p>
      <w:pPr>
        <w:ind w:firstLine="420" w:firstLineChars="200"/>
        <w:rPr>
          <w:rFonts w:ascii="宋体" w:hAnsi="宋体"/>
          <w:szCs w:val="21"/>
        </w:rPr>
      </w:pPr>
      <w:r>
        <w:rPr>
          <w:rFonts w:hint="eastAsia" w:ascii="宋体" w:hAnsi="宋体"/>
          <w:szCs w:val="21"/>
        </w:rPr>
        <w:t>本办法适用于该项目的评标。</w:t>
      </w:r>
    </w:p>
    <w:p>
      <w:pPr>
        <w:ind w:firstLine="422" w:firstLineChars="200"/>
        <w:rPr>
          <w:rFonts w:ascii="宋体" w:hAnsi="宋体"/>
          <w:b/>
          <w:szCs w:val="21"/>
        </w:rPr>
      </w:pPr>
      <w:r>
        <w:rPr>
          <w:rFonts w:hint="eastAsia" w:ascii="宋体" w:hAnsi="宋体"/>
          <w:b/>
          <w:szCs w:val="21"/>
        </w:rPr>
        <w:t>一、总则</w:t>
      </w:r>
    </w:p>
    <w:p>
      <w:pPr>
        <w:ind w:firstLine="420" w:firstLineChars="200"/>
        <w:rPr>
          <w:rFonts w:ascii="宋体" w:hAnsi="宋体"/>
          <w:szCs w:val="21"/>
        </w:rPr>
      </w:pPr>
      <w:r>
        <w:rPr>
          <w:rFonts w:hint="eastAsia" w:ascii="宋体" w:hAnsi="宋体"/>
          <w:szCs w:val="21"/>
        </w:rPr>
        <w:t>本次评标采用综合评分法，总分为100分。合格供应商的评标得分为各项目汇总得分，中标候选资格按评标得分由高到低顺序排列，得分相同的，按投标报价由低到高顺序排列；得分且投标报价相同的，按技术得分由高到低顺序排列，仍不能分出前后的，以先递交投标文件者优先。排名第一的供应商为中标候选人，排名第二的供应商为候补中标候选人，其他供应商中标候选资格依此类推。</w:t>
      </w:r>
      <w:r>
        <w:rPr>
          <w:rFonts w:hint="eastAsia" w:ascii="宋体" w:hAnsi="宋体"/>
          <w:b/>
          <w:szCs w:val="21"/>
        </w:rPr>
        <w:t>中标人拒绝与采购人签订合同的，采购人可以按照评审报告推荐的中标候选人名单顺序，确定下一候选人为中标人，也可以重新开展政府采购活动</w:t>
      </w:r>
      <w:r>
        <w:rPr>
          <w:rFonts w:hint="eastAsia" w:ascii="宋体" w:hAnsi="宋体"/>
          <w:szCs w:val="21"/>
        </w:rPr>
        <w:t>。评分过程中采用四舍五入法，并保留小数2位。</w:t>
      </w:r>
    </w:p>
    <w:p>
      <w:pPr>
        <w:ind w:firstLine="420" w:firstLineChars="200"/>
        <w:rPr>
          <w:rFonts w:ascii="宋体" w:hAnsi="宋体"/>
          <w:szCs w:val="21"/>
        </w:rPr>
      </w:pPr>
      <w:r>
        <w:rPr>
          <w:rFonts w:hint="eastAsia" w:ascii="宋体" w:hAnsi="宋体"/>
          <w:szCs w:val="21"/>
        </w:rPr>
        <w:t>供应商评标综合得分=价格分+技术分+资信、商务及其他分</w:t>
      </w:r>
    </w:p>
    <w:p>
      <w:pPr>
        <w:ind w:firstLine="422" w:firstLineChars="200"/>
        <w:rPr>
          <w:rFonts w:ascii="宋体" w:hAnsi="宋体"/>
          <w:b/>
          <w:szCs w:val="21"/>
        </w:rPr>
      </w:pPr>
      <w:r>
        <w:rPr>
          <w:rFonts w:hint="eastAsia" w:ascii="宋体" w:hAnsi="宋体"/>
          <w:b/>
          <w:szCs w:val="21"/>
        </w:rPr>
        <w:t>二、评标内容及标准</w:t>
      </w:r>
    </w:p>
    <w:p>
      <w:pPr>
        <w:ind w:left="422" w:firstLine="422" w:firstLineChars="200"/>
        <w:rPr>
          <w:rFonts w:hint="eastAsia" w:ascii="宋体" w:hAnsi="宋体"/>
          <w:b/>
          <w:bCs/>
          <w:szCs w:val="21"/>
        </w:rPr>
      </w:pPr>
      <w:r>
        <w:rPr>
          <w:rFonts w:hint="eastAsia" w:ascii="宋体" w:hAnsi="宋体"/>
          <w:b/>
          <w:bCs/>
          <w:szCs w:val="21"/>
        </w:rPr>
        <w:t>（一）</w:t>
      </w:r>
      <w:r>
        <w:rPr>
          <w:rFonts w:ascii="宋体" w:hAnsi="宋体"/>
          <w:b/>
          <w:bCs/>
          <w:szCs w:val="21"/>
        </w:rPr>
        <w:t>价格分</w:t>
      </w:r>
      <w:r>
        <w:rPr>
          <w:rFonts w:hint="eastAsia" w:ascii="宋体" w:hAnsi="宋体"/>
          <w:b/>
          <w:bCs/>
          <w:szCs w:val="21"/>
        </w:rPr>
        <w:t>（</w:t>
      </w:r>
      <w:r>
        <w:rPr>
          <w:rFonts w:ascii="宋体" w:hAnsi="宋体"/>
          <w:b/>
          <w:bCs/>
          <w:szCs w:val="21"/>
        </w:rPr>
        <w:t>20</w:t>
      </w:r>
      <w:r>
        <w:rPr>
          <w:rFonts w:hint="eastAsia" w:ascii="宋体" w:hAnsi="宋体"/>
          <w:b/>
          <w:bCs/>
          <w:szCs w:val="21"/>
        </w:rPr>
        <w:t>分）（适用所有标项）</w:t>
      </w:r>
    </w:p>
    <w:p>
      <w:pPr>
        <w:ind w:firstLine="420" w:firstLineChars="200"/>
        <w:rPr>
          <w:rFonts w:ascii="宋体" w:hAnsi="宋体"/>
          <w:bCs/>
          <w:szCs w:val="21"/>
        </w:rPr>
      </w:pPr>
      <w:r>
        <w:rPr>
          <w:rFonts w:hint="eastAsia" w:ascii="宋体" w:hAnsi="宋体"/>
          <w:bCs/>
          <w:szCs w:val="21"/>
        </w:rPr>
        <w:t>1、价格分采用低价优先法计算，即满足招标文件要求且投标价格最低的投标报价为评标基准价，其他供应商的价格分按照下列公式计算：</w:t>
      </w:r>
    </w:p>
    <w:p>
      <w:pPr>
        <w:ind w:firstLine="420" w:firstLineChars="200"/>
        <w:rPr>
          <w:rFonts w:ascii="宋体" w:hAnsi="宋体"/>
          <w:szCs w:val="21"/>
        </w:rPr>
      </w:pPr>
      <w:r>
        <w:rPr>
          <w:rFonts w:hint="eastAsia" w:ascii="宋体" w:hAnsi="宋体"/>
          <w:szCs w:val="21"/>
        </w:rPr>
        <w:t>价格分=（评标基准价/投标报价）×最大分值</w:t>
      </w:r>
    </w:p>
    <w:p>
      <w:pPr>
        <w:ind w:firstLine="420" w:firstLineChars="200"/>
        <w:rPr>
          <w:rFonts w:ascii="宋体" w:hAnsi="宋体"/>
          <w:bCs/>
          <w:szCs w:val="21"/>
        </w:rPr>
      </w:pPr>
      <w:r>
        <w:rPr>
          <w:rFonts w:hint="eastAsia" w:ascii="宋体" w:hAnsi="宋体"/>
          <w:bCs/>
          <w:szCs w:val="21"/>
        </w:rPr>
        <w:t>2、扶持政策说明：</w:t>
      </w:r>
    </w:p>
    <w:p>
      <w:pPr>
        <w:ind w:firstLine="420" w:firstLineChars="200"/>
        <w:rPr>
          <w:rFonts w:ascii="宋体" w:hAnsi="宋体"/>
          <w:bCs/>
          <w:szCs w:val="21"/>
        </w:rPr>
      </w:pPr>
      <w:r>
        <w:rPr>
          <w:rFonts w:hint="eastAsia" w:ascii="宋体" w:hAnsi="宋体"/>
          <w:bCs/>
          <w:szCs w:val="21"/>
        </w:rPr>
        <w:t>（1）本次采购为专门面向中小企业预留采购份额的采购项目。</w:t>
      </w:r>
    </w:p>
    <w:p>
      <w:pPr>
        <w:ind w:firstLine="420" w:firstLineChars="200"/>
        <w:rPr>
          <w:rFonts w:ascii="宋体" w:hAnsi="宋体"/>
          <w:bCs/>
          <w:szCs w:val="21"/>
        </w:rPr>
      </w:pPr>
      <w:r>
        <w:rPr>
          <w:rFonts w:hint="eastAsia" w:ascii="宋体" w:hAnsi="宋体"/>
          <w:bCs/>
          <w:szCs w:val="21"/>
        </w:rPr>
        <w:t>（2）本项目对应的中小企业划分标准所属行业：其他未列明行业。</w:t>
      </w:r>
    </w:p>
    <w:p>
      <w:pPr>
        <w:ind w:firstLine="420" w:firstLineChars="200"/>
        <w:rPr>
          <w:rFonts w:ascii="宋体" w:hAnsi="宋体"/>
          <w:bCs/>
          <w:szCs w:val="21"/>
        </w:rPr>
      </w:pPr>
      <w:r>
        <w:rPr>
          <w:rFonts w:hint="eastAsia" w:ascii="宋体" w:hAnsi="宋体"/>
          <w:bCs/>
          <w:szCs w:val="21"/>
        </w:rPr>
        <w:t>（3）本采购文件所称中小企业，是指在中华人民共和国境内依法设立，依据国务院批准的中小企业划分标准确定的中型企业、小型企业和微型企业，但与大企业的负责人为同一人，或者与大企业存在直接控股、管理关系的除外。</w:t>
      </w:r>
    </w:p>
    <w:p>
      <w:pPr>
        <w:ind w:firstLine="420" w:firstLineChars="200"/>
        <w:rPr>
          <w:rFonts w:ascii="宋体" w:hAnsi="宋体"/>
          <w:bCs/>
          <w:szCs w:val="21"/>
        </w:rPr>
      </w:pPr>
      <w:r>
        <w:rPr>
          <w:rFonts w:hint="eastAsia" w:ascii="宋体" w:hAnsi="宋体"/>
          <w:bCs/>
          <w:szCs w:val="21"/>
        </w:rPr>
        <w:t>（4）监狱企业和残疾人福利性单位视同小型、微型企业，按《财政部司法部关于政府采购支持监狱企业发展有关问题的通知》（财库〔2014〕68 号）、《财政部  民政部  中国残疾人联合会关于促进残疾人就业政府采购政策的通知》（财库〔2017〕141 号）的规定执行。</w:t>
      </w:r>
    </w:p>
    <w:p>
      <w:pPr>
        <w:ind w:firstLine="420" w:firstLineChars="200"/>
        <w:rPr>
          <w:rFonts w:ascii="宋体" w:hAnsi="宋体"/>
          <w:bCs/>
          <w:szCs w:val="21"/>
        </w:rPr>
      </w:pPr>
      <w:r>
        <w:rPr>
          <w:rFonts w:hint="eastAsia" w:ascii="宋体" w:hAnsi="宋体"/>
          <w:bCs/>
          <w:szCs w:val="21"/>
        </w:rPr>
        <w:t>注：中标、成交供应商为残疾人福利性单位的，采购人或者其委托的采购代理机构应当随中标、成交结果同时公告其《残疾人福利性单位声明函》，接受社会监督。供应商提供的《残疾人福利性单位声明函》与事实不符的，依照《政府采购法》第七十七条第一款的规定追究法律责任。</w:t>
      </w:r>
    </w:p>
    <w:p>
      <w:pPr>
        <w:ind w:firstLine="420" w:firstLineChars="200"/>
        <w:rPr>
          <w:rFonts w:ascii="宋体" w:hAnsi="宋体"/>
          <w:szCs w:val="21"/>
        </w:rPr>
      </w:pPr>
      <w:r>
        <w:rPr>
          <w:rFonts w:ascii="宋体" w:hAnsi="宋体"/>
          <w:bCs/>
          <w:szCs w:val="21"/>
        </w:rPr>
        <w:t>3</w:t>
      </w:r>
      <w:r>
        <w:rPr>
          <w:rFonts w:hint="eastAsia" w:ascii="宋体" w:hAnsi="宋体"/>
          <w:bCs/>
          <w:szCs w:val="21"/>
        </w:rPr>
        <w:t>、供应商的投标报价超过采购人设定的最高限价，将作为无效标。评标委员会认为供应商的报价</w:t>
      </w:r>
      <w:r>
        <w:rPr>
          <w:rFonts w:hint="eastAsia" w:ascii="宋体" w:hAnsi="宋体"/>
          <w:szCs w:val="21"/>
        </w:rPr>
        <w:t>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p>
      <w:pPr>
        <w:ind w:firstLine="420" w:firstLineChars="200"/>
        <w:rPr>
          <w:rFonts w:ascii="宋体" w:hAnsi="宋体"/>
        </w:rPr>
      </w:pPr>
      <w:r>
        <w:rPr>
          <w:rFonts w:ascii="宋体" w:hAnsi="宋体"/>
        </w:rPr>
        <w:br w:type="page"/>
      </w:r>
      <w:r>
        <w:rPr>
          <w:rFonts w:hint="eastAsia" w:ascii="宋体" w:hAnsi="宋体"/>
          <w:b/>
          <w:bCs/>
        </w:rPr>
        <w:t>标项1：</w:t>
      </w:r>
    </w:p>
    <w:p>
      <w:pPr>
        <w:ind w:firstLine="422" w:firstLineChars="200"/>
        <w:rPr>
          <w:rFonts w:ascii="宋体" w:hAnsi="宋体"/>
          <w:b/>
          <w:bCs/>
        </w:rPr>
      </w:pPr>
      <w:r>
        <w:rPr>
          <w:rFonts w:hint="eastAsia" w:ascii="宋体" w:hAnsi="宋体"/>
          <w:b/>
          <w:bCs/>
          <w:szCs w:val="21"/>
        </w:rPr>
        <w:t>（二）</w:t>
      </w:r>
      <w:r>
        <w:rPr>
          <w:rFonts w:hint="eastAsia" w:ascii="宋体" w:hAnsi="宋体"/>
          <w:b/>
          <w:bCs/>
        </w:rPr>
        <w:t>技术分（0</w:t>
      </w:r>
      <w:r>
        <w:rPr>
          <w:rFonts w:ascii="宋体" w:hAnsi="宋体"/>
          <w:b/>
          <w:bCs/>
        </w:rPr>
        <w:t>-74</w:t>
      </w:r>
      <w:r>
        <w:rPr>
          <w:rFonts w:hint="eastAsia" w:ascii="宋体" w:hAnsi="宋体"/>
          <w:b/>
          <w:bCs/>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bookmarkStart w:id="176" w:name="_Hlk143282848"/>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53"/>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vMerge w:val="restart"/>
            <w:noWrap w:val="0"/>
            <w:vAlign w:val="center"/>
          </w:tcPr>
          <w:p>
            <w:pPr>
              <w:spacing w:after="25" w:line="360" w:lineRule="exact"/>
              <w:jc w:val="center"/>
              <w:rPr>
                <w:rFonts w:ascii="宋体" w:hAnsi="宋体" w:cs="仿宋"/>
                <w:szCs w:val="21"/>
              </w:rPr>
            </w:pPr>
            <w:r>
              <w:rPr>
                <w:rFonts w:hint="eastAsia" w:ascii="宋体" w:hAnsi="宋体"/>
                <w:szCs w:val="21"/>
              </w:rPr>
              <w:t>保证措施（1</w:t>
            </w:r>
            <w:r>
              <w:rPr>
                <w:rFonts w:ascii="宋体" w:hAnsi="宋体"/>
                <w:szCs w:val="21"/>
              </w:rPr>
              <w:t>0</w:t>
            </w:r>
            <w:r>
              <w:rPr>
                <w:rFonts w:hint="eastAsia" w:ascii="宋体" w:hAnsi="宋体"/>
                <w:szCs w:val="21"/>
              </w:rPr>
              <w:t>分）</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从质量目标、保证措施等方面进行评审：内容科学、合理、详细有效的得5分；内容较科学、合理、详细有效的得</w:t>
            </w:r>
            <w:r>
              <w:rPr>
                <w:rFonts w:ascii="宋体" w:hAnsi="宋体"/>
                <w:szCs w:val="21"/>
              </w:rPr>
              <w:t>4</w:t>
            </w:r>
            <w:r>
              <w:rPr>
                <w:rFonts w:hint="eastAsia" w:ascii="宋体" w:hAnsi="宋体"/>
                <w:szCs w:val="21"/>
              </w:rPr>
              <w:t>分；内容普通的得3分；</w:t>
            </w:r>
            <w:r>
              <w:rPr>
                <w:rFonts w:hint="eastAsia" w:ascii="宋体" w:hAnsi="宋体" w:cs="宋体"/>
                <w:szCs w:val="21"/>
              </w:rPr>
              <w:t>内容部分存在瑕疵的得</w:t>
            </w:r>
            <w:r>
              <w:rPr>
                <w:rFonts w:ascii="宋体" w:hAnsi="宋体" w:cs="宋体"/>
                <w:szCs w:val="21"/>
              </w:rPr>
              <w:t>2</w:t>
            </w:r>
            <w:r>
              <w:rPr>
                <w:rFonts w:hint="eastAsia" w:ascii="宋体" w:hAnsi="宋体" w:cs="宋体"/>
                <w:szCs w:val="21"/>
              </w:rPr>
              <w:t>分；内容不明确、多处不足的得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提供的台账系统、内控制度，廉政制度等方面进行评审：内容完善、健全、科学的得5分；内容较完善、健全、科学的得</w:t>
            </w:r>
            <w:r>
              <w:rPr>
                <w:rFonts w:ascii="宋体" w:hAnsi="宋体"/>
                <w:szCs w:val="21"/>
              </w:rPr>
              <w:t>4</w:t>
            </w:r>
            <w:r>
              <w:rPr>
                <w:rFonts w:hint="eastAsia" w:ascii="宋体" w:hAnsi="宋体"/>
                <w:szCs w:val="21"/>
              </w:rPr>
              <w:t>分；内容普通的得3分；</w:t>
            </w:r>
            <w:r>
              <w:rPr>
                <w:rFonts w:hint="eastAsia" w:ascii="宋体" w:hAnsi="宋体" w:cs="宋体"/>
                <w:szCs w:val="21"/>
              </w:rPr>
              <w:t>内容部分存在瑕疵的得</w:t>
            </w:r>
            <w:r>
              <w:rPr>
                <w:rFonts w:ascii="宋体" w:hAnsi="宋体" w:cs="宋体"/>
                <w:szCs w:val="21"/>
              </w:rPr>
              <w:t>2</w:t>
            </w:r>
            <w:r>
              <w:rPr>
                <w:rFonts w:hint="eastAsia" w:ascii="宋体" w:hAnsi="宋体" w:cs="宋体"/>
                <w:szCs w:val="21"/>
              </w:rPr>
              <w:t>分；内容不明确、多处不足的得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0</w:t>
            </w:r>
            <w:r>
              <w:rPr>
                <w:rFonts w:ascii="宋体"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等综合打分：方案科学、合理、规范、可操作的得</w:t>
            </w:r>
            <w:r>
              <w:rPr>
                <w:rFonts w:ascii="宋体" w:hAnsi="宋体"/>
                <w:szCs w:val="21"/>
              </w:rPr>
              <w:t>5</w:t>
            </w:r>
            <w:r>
              <w:rPr>
                <w:rFonts w:hint="eastAsia" w:ascii="宋体" w:hAnsi="宋体"/>
                <w:szCs w:val="21"/>
              </w:rPr>
              <w:t>分；方案较科学、合理、规范、可操作的得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进行综合打分：项目进度计划合理、保证措施有效的得5分；项目进度计划较合理、保证措施较有效的得</w:t>
            </w:r>
            <w:r>
              <w:rPr>
                <w:rFonts w:ascii="宋体" w:hAnsi="宋体"/>
                <w:szCs w:val="21"/>
              </w:rPr>
              <w:t>4</w:t>
            </w:r>
            <w:r>
              <w:rPr>
                <w:rFonts w:hint="eastAsia" w:ascii="宋体" w:hAnsi="宋体"/>
                <w:szCs w:val="21"/>
              </w:rPr>
              <w:t>分；项目进度计划、保证措施一般的得</w:t>
            </w:r>
            <w:r>
              <w:rPr>
                <w:rFonts w:ascii="宋体" w:hAnsi="宋体"/>
                <w:szCs w:val="21"/>
              </w:rPr>
              <w:t>3</w:t>
            </w:r>
            <w:r>
              <w:rPr>
                <w:rFonts w:hint="eastAsia" w:ascii="宋体" w:hAnsi="宋体"/>
                <w:szCs w:val="21"/>
              </w:rPr>
              <w:t>分；项目进度计划、保证措施部分存在瑕疵的得</w:t>
            </w:r>
            <w:r>
              <w:rPr>
                <w:rFonts w:ascii="宋体" w:hAnsi="宋体"/>
                <w:szCs w:val="21"/>
              </w:rPr>
              <w:t>2</w:t>
            </w:r>
            <w:r>
              <w:rPr>
                <w:rFonts w:hint="eastAsia" w:ascii="宋体" w:hAnsi="宋体"/>
                <w:szCs w:val="21"/>
              </w:rPr>
              <w:t>分；项目进度计划、保证措施</w:t>
            </w:r>
            <w:r>
              <w:rPr>
                <w:rFonts w:hint="eastAsia" w:ascii="宋体" w:hAnsi="宋体" w:cs="宋体"/>
                <w:szCs w:val="21"/>
              </w:rPr>
              <w:t>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等方面进行综合打分：方案合理、可行、周全的得5分；方案较合理、可行、周全的得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等方面进行综合打分：方案合理、可行、周全的得5分；方案较合理、可行、周全的得4分；方案内容普通的得3分；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供应商针对本项目的突发事件处理方案、应急预案进行综合打分：方案分析到位、解决措施合理、经济的得5分；方案分析较到位、解决措施较合理、经济的得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售后服务</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进行综合打分：有免费备品备件，服务范围明确，制定主要服务内容，解决问题、排除问题速度快的得5分；有免费备品备件，服务范围较明确，制定主要服务内容，解决问题、排除问题速度较快的得</w:t>
            </w:r>
            <w:r>
              <w:rPr>
                <w:rFonts w:ascii="宋体" w:hAnsi="宋体"/>
                <w:szCs w:val="21"/>
              </w:rPr>
              <w:t>4</w:t>
            </w:r>
            <w:r>
              <w:rPr>
                <w:rFonts w:hint="eastAsia" w:ascii="宋体" w:hAnsi="宋体"/>
                <w:szCs w:val="21"/>
              </w:rPr>
              <w:t>分；服务内容普通的得3分；</w:t>
            </w:r>
            <w:r>
              <w:rPr>
                <w:rFonts w:hint="eastAsia" w:ascii="宋体" w:hAnsi="宋体" w:cs="宋体"/>
                <w:szCs w:val="21"/>
              </w:rPr>
              <w:t>服务部分存在瑕疵的得</w:t>
            </w:r>
            <w:r>
              <w:rPr>
                <w:rFonts w:ascii="宋体" w:hAnsi="宋体" w:cs="宋体"/>
                <w:szCs w:val="21"/>
              </w:rPr>
              <w:t>2</w:t>
            </w:r>
            <w:r>
              <w:rPr>
                <w:rFonts w:hint="eastAsia" w:ascii="宋体" w:hAnsi="宋体" w:cs="宋体"/>
                <w:szCs w:val="21"/>
              </w:rPr>
              <w:t>分；服务内容不明确、多处不足的得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4</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供应商拟投入本项目的车辆（车辆必须可用于标线施工，施工车辆须为供应商自有，包括货车及其他工程作业车辆）：</w:t>
            </w:r>
          </w:p>
          <w:p>
            <w:pPr>
              <w:spacing w:after="60" w:afterLines="25" w:line="360" w:lineRule="exact"/>
              <w:rPr>
                <w:rFonts w:ascii="宋体" w:hAnsi="宋体"/>
                <w:szCs w:val="21"/>
              </w:rPr>
            </w:pPr>
            <w:r>
              <w:rPr>
                <w:rFonts w:hint="eastAsia" w:ascii="宋体" w:hAnsi="宋体"/>
                <w:szCs w:val="21"/>
              </w:rPr>
              <w:t>货车及其他工程作业车辆的每个得0.5分，最高得</w:t>
            </w:r>
            <w:r>
              <w:rPr>
                <w:rFonts w:ascii="宋体" w:hAnsi="宋体"/>
                <w:szCs w:val="21"/>
              </w:rPr>
              <w:t>4</w:t>
            </w:r>
            <w:r>
              <w:rPr>
                <w:rFonts w:hint="eastAsia" w:ascii="宋体" w:hAnsi="宋体"/>
                <w:szCs w:val="21"/>
              </w:rPr>
              <w:t>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交通标志标线施划设备齐全，有手推热熔划线机、振荡标线机、双组份划线机、全回收高压水除线设备（均须供应商自有）的，每个得2分；其他相关设备每台得1分，最高得2分，共计最高得10分。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针对本项目的实施人员、专业、岗位配置进行综合打分：配置合理、切实可行、有效的得</w:t>
            </w:r>
            <w:r>
              <w:rPr>
                <w:rFonts w:ascii="宋体" w:hAnsi="宋体"/>
                <w:szCs w:val="21"/>
              </w:rPr>
              <w:t>6</w:t>
            </w:r>
            <w:r>
              <w:rPr>
                <w:rFonts w:hint="eastAsia" w:ascii="宋体" w:hAnsi="宋体"/>
                <w:szCs w:val="21"/>
              </w:rPr>
              <w:t>分；人员、专业、岗位配置一般的得3分；人员、专业、岗位配置存在瑕疵、不全面、不明确的得1分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r>
              <w:rPr>
                <w:rFonts w:hint="eastAsia" w:ascii="宋体" w:hAnsi="宋体"/>
              </w:rPr>
              <w:t>本项目拟投入本项目的仓储场地（室内）进行综合打分：</w:t>
            </w:r>
          </w:p>
          <w:p>
            <w:pPr>
              <w:spacing w:after="60" w:afterLines="25" w:line="360" w:lineRule="exact"/>
              <w:jc w:val="left"/>
              <w:rPr>
                <w:rFonts w:ascii="宋体" w:hAnsi="宋体"/>
              </w:rPr>
            </w:pPr>
            <w:r>
              <w:rPr>
                <w:rFonts w:hint="eastAsia" w:ascii="宋体" w:hAnsi="宋体"/>
              </w:rPr>
              <w:t>提供相关证明材料复印件（如租赁合同、土地使用证等）非常清晰、齐全，且描述一目了然，仓储场地在一处的得</w:t>
            </w:r>
            <w:r>
              <w:rPr>
                <w:rFonts w:ascii="宋体" w:hAnsi="宋体"/>
              </w:rPr>
              <w:t>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w:t>
            </w:r>
            <w:r>
              <w:rPr>
                <w:rFonts w:ascii="宋体" w:hAnsi="宋体"/>
              </w:rPr>
              <w:t>3</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对提供相关证明材料复印件（如租赁合同、土地使用证等）不够清晰、齐全，且描述模糊不清，仓储场地在一处的得1分；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无相关内容或提供的场地与本项目不符或不在一处的得0分。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投标人针对本项目的优惠条件（不得涉及报价）及合理化建议，1条被采纳的得1分，最多得</w:t>
            </w:r>
            <w:r>
              <w:rPr>
                <w:rFonts w:ascii="宋体" w:hAnsi="宋体"/>
              </w:rPr>
              <w:t>3</w:t>
            </w:r>
            <w:r>
              <w:rPr>
                <w:rFonts w:hint="eastAsia" w:ascii="宋体" w:hAnsi="宋体"/>
              </w:rPr>
              <w:t>分。</w:t>
            </w:r>
          </w:p>
        </w:tc>
        <w:tc>
          <w:tcPr>
            <w:tcW w:w="992" w:type="dxa"/>
            <w:noWrap w:val="0"/>
            <w:vAlign w:val="center"/>
          </w:tcPr>
          <w:p>
            <w:pPr>
              <w:pStyle w:val="28"/>
              <w:spacing w:after="25" w:line="360" w:lineRule="exact"/>
              <w:jc w:val="center"/>
              <w:rPr>
                <w:rFonts w:hint="eastAsia" w:hAnsi="宋体"/>
                <w:szCs w:val="21"/>
              </w:rPr>
            </w:pPr>
            <w:r>
              <w:rPr>
                <w:rFonts w:hAnsi="宋体"/>
                <w:szCs w:val="21"/>
              </w:rPr>
              <w:t>0-3</w:t>
            </w:r>
          </w:p>
        </w:tc>
      </w:tr>
      <w:bookmarkEnd w:id="176"/>
    </w:tbl>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-6</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以来（自投标截止日起往前追溯3年，以合同签订时间为准）成功实施的同类（标线类或含标线类施工）项目案例，每个得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诚信分</w:t>
            </w:r>
          </w:p>
        </w:tc>
        <w:tc>
          <w:tcPr>
            <w:tcW w:w="5958" w:type="dxa"/>
            <w:noWrap w:val="0"/>
            <w:vAlign w:val="center"/>
          </w:tcPr>
          <w:p>
            <w:pPr>
              <w:spacing w:after="60" w:afterLines="25" w:line="360" w:lineRule="exact"/>
              <w:rPr>
                <w:rFonts w:hint="eastAsia" w:ascii="宋体" w:hAnsi="宋体" w:cs="宋体"/>
                <w:szCs w:val="21"/>
                <w:lang w:val="zh-CN"/>
              </w:rPr>
            </w:pPr>
            <w:r>
              <w:rPr>
                <w:rFonts w:hint="eastAsia" w:ascii="宋体" w:hAnsi="宋体"/>
                <w:kern w:val="0"/>
                <w:szCs w:val="21"/>
              </w:rPr>
              <w:t>凡在投标截止时间前三年受到行政处罚、行政处理（含通报）或记入不良行为的，此项得分为0；若无处罚、行政处理（含通）报）或记入不良行为的得</w:t>
            </w:r>
            <w:r>
              <w:rPr>
                <w:rFonts w:ascii="宋体" w:hAnsi="宋体"/>
                <w:kern w:val="0"/>
                <w:szCs w:val="21"/>
              </w:rPr>
              <w:t>2</w:t>
            </w:r>
            <w:r>
              <w:rPr>
                <w:rFonts w:hint="eastAsia" w:ascii="宋体" w:hAnsi="宋体"/>
                <w:kern w:val="0"/>
                <w:szCs w:val="21"/>
              </w:rPr>
              <w:t>分（供应商自行提供承诺函，不提供承诺函的得0分，如有不良记录又虚假承诺的，一经发现将取消中标资格并报监管部门依法处理）。</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0</w:t>
            </w:r>
            <w:r>
              <w:rPr>
                <w:rFonts w:ascii="宋体" w:hAnsi="宋体"/>
                <w:szCs w:val="21"/>
              </w:rPr>
              <w:t>-2</w:t>
            </w:r>
          </w:p>
        </w:tc>
      </w:tr>
    </w:tbl>
    <w:p>
      <w:pPr>
        <w:ind w:firstLine="420" w:firstLineChars="200"/>
        <w:rPr>
          <w:rFonts w:ascii="宋体" w:hAnsi="宋体"/>
        </w:rPr>
      </w:pPr>
    </w:p>
    <w:p>
      <w:pPr>
        <w:ind w:firstLine="420" w:firstLineChars="200"/>
        <w:rPr>
          <w:rFonts w:ascii="宋体" w:hAnsi="宋体"/>
          <w:b/>
          <w:bCs/>
          <w:szCs w:val="21"/>
        </w:rPr>
      </w:pPr>
      <w:r>
        <w:rPr>
          <w:rFonts w:ascii="宋体" w:hAnsi="宋体"/>
        </w:rPr>
        <w:br w:type="page"/>
      </w:r>
      <w:r>
        <w:rPr>
          <w:rFonts w:hint="eastAsia" w:ascii="宋体" w:hAnsi="宋体"/>
          <w:b/>
          <w:bCs/>
          <w:szCs w:val="21"/>
        </w:rPr>
        <w:t>标项2：</w:t>
      </w:r>
    </w:p>
    <w:p>
      <w:pPr>
        <w:ind w:firstLine="422" w:firstLineChars="200"/>
        <w:rPr>
          <w:rFonts w:ascii="宋体" w:hAnsi="宋体"/>
          <w:b/>
          <w:bCs/>
          <w:szCs w:val="21"/>
        </w:rPr>
      </w:pPr>
      <w:r>
        <w:rPr>
          <w:rFonts w:hint="eastAsia" w:ascii="宋体" w:hAnsi="宋体"/>
          <w:b/>
          <w:bCs/>
          <w:szCs w:val="21"/>
        </w:rPr>
        <w:t>（二）技术分（0</w:t>
      </w:r>
      <w:r>
        <w:rPr>
          <w:rFonts w:ascii="宋体" w:hAnsi="宋体"/>
          <w:b/>
          <w:bCs/>
          <w:szCs w:val="21"/>
        </w:rPr>
        <w:t>-74</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bookmarkStart w:id="177" w:name="_Hlk143713968"/>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53"/>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noWrap w:val="0"/>
            <w:vAlign w:val="center"/>
          </w:tcPr>
          <w:p>
            <w:pPr>
              <w:spacing w:after="25" w:line="360" w:lineRule="exact"/>
              <w:jc w:val="center"/>
              <w:rPr>
                <w:rFonts w:ascii="宋体" w:hAnsi="宋体" w:cs="仿宋"/>
                <w:szCs w:val="21"/>
              </w:rPr>
            </w:pPr>
            <w:r>
              <w:rPr>
                <w:rFonts w:hint="eastAsia" w:ascii="宋体" w:hAnsi="宋体"/>
                <w:szCs w:val="21"/>
              </w:rPr>
              <w:t>保证措施</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从质量目标、保证措施等方面进行评审：内容科学、合理、详细有效的得5分；内容较科学、合理、详细有效的得</w:t>
            </w:r>
            <w:r>
              <w:rPr>
                <w:rFonts w:ascii="宋体" w:hAnsi="宋体"/>
                <w:szCs w:val="21"/>
              </w:rPr>
              <w:t>4</w:t>
            </w:r>
            <w:r>
              <w:rPr>
                <w:rFonts w:hint="eastAsia" w:ascii="宋体" w:hAnsi="宋体"/>
                <w:szCs w:val="21"/>
              </w:rPr>
              <w:t>分；内容普通的得3分；</w:t>
            </w:r>
            <w:r>
              <w:rPr>
                <w:rFonts w:hint="eastAsia" w:ascii="宋体" w:hAnsi="宋体" w:cs="宋体"/>
                <w:szCs w:val="21"/>
              </w:rPr>
              <w:t>内容部分存在瑕疵的得</w:t>
            </w:r>
            <w:r>
              <w:rPr>
                <w:rFonts w:ascii="宋体" w:hAnsi="宋体" w:cs="宋体"/>
                <w:szCs w:val="21"/>
              </w:rPr>
              <w:t>2</w:t>
            </w:r>
            <w:r>
              <w:rPr>
                <w:rFonts w:hint="eastAsia" w:ascii="宋体" w:hAnsi="宋体" w:cs="宋体"/>
                <w:szCs w:val="21"/>
              </w:rPr>
              <w:t>分；内容不明确、多处不足的得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等综合打分：方案科学、合理、规范、可操作的得</w:t>
            </w:r>
            <w:r>
              <w:rPr>
                <w:rFonts w:ascii="宋体" w:hAnsi="宋体"/>
                <w:szCs w:val="21"/>
              </w:rPr>
              <w:t>5</w:t>
            </w:r>
            <w:r>
              <w:rPr>
                <w:rFonts w:hint="eastAsia" w:ascii="宋体" w:hAnsi="宋体"/>
                <w:szCs w:val="21"/>
              </w:rPr>
              <w:t>分；方案较科学、合理、规范、可操作的得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进行综合打分：项目进度计划合理、保证措施有效的得5分；项目进度计划较合理、保证措施较有效的得</w:t>
            </w:r>
            <w:r>
              <w:rPr>
                <w:rFonts w:ascii="宋体" w:hAnsi="宋体"/>
                <w:szCs w:val="21"/>
              </w:rPr>
              <w:t>4</w:t>
            </w:r>
            <w:r>
              <w:rPr>
                <w:rFonts w:hint="eastAsia" w:ascii="宋体" w:hAnsi="宋体"/>
                <w:szCs w:val="21"/>
              </w:rPr>
              <w:t>分；项目进度计划、保证措施一般的得</w:t>
            </w:r>
            <w:r>
              <w:rPr>
                <w:rFonts w:ascii="宋体" w:hAnsi="宋体"/>
                <w:szCs w:val="21"/>
              </w:rPr>
              <w:t>3</w:t>
            </w:r>
            <w:r>
              <w:rPr>
                <w:rFonts w:hint="eastAsia" w:ascii="宋体" w:hAnsi="宋体"/>
                <w:szCs w:val="21"/>
              </w:rPr>
              <w:t>分；项目进度计划、保证措施部分存在瑕疵的得</w:t>
            </w:r>
            <w:r>
              <w:rPr>
                <w:rFonts w:ascii="宋体" w:hAnsi="宋体"/>
                <w:szCs w:val="21"/>
              </w:rPr>
              <w:t>2</w:t>
            </w:r>
            <w:r>
              <w:rPr>
                <w:rFonts w:hint="eastAsia" w:ascii="宋体" w:hAnsi="宋体"/>
                <w:szCs w:val="21"/>
              </w:rPr>
              <w:t>分；项目进度计划、保证措施</w:t>
            </w:r>
            <w:r>
              <w:rPr>
                <w:rFonts w:hint="eastAsia" w:ascii="宋体" w:hAnsi="宋体" w:cs="宋体"/>
                <w:szCs w:val="21"/>
              </w:rPr>
              <w:t>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等方面进行综合打分：方案合理、可行、周全的得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等方面进行综合打分：方案合理、可行、周全的得4分；方案内容普通的得3分；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供应商针对本项目的突发事件处理方案、应急预案进行综合打分：方案分析到位、解决措施合理、经济的得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售后服务</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供应商承诺的售后服务保障进行综合打分：有免费备品备件，服务范围明确，制定主要服务内容，解决问题、排除问题速度快的得</w:t>
            </w:r>
            <w:r>
              <w:rPr>
                <w:rFonts w:ascii="宋体" w:hAnsi="宋体"/>
                <w:szCs w:val="21"/>
              </w:rPr>
              <w:t>4</w:t>
            </w:r>
            <w:r>
              <w:rPr>
                <w:rFonts w:hint="eastAsia" w:ascii="宋体" w:hAnsi="宋体"/>
                <w:szCs w:val="21"/>
              </w:rPr>
              <w:t>分；服务内容普通的得3分；</w:t>
            </w:r>
            <w:r>
              <w:rPr>
                <w:rFonts w:hint="eastAsia" w:ascii="宋体" w:hAnsi="宋体" w:cs="宋体"/>
                <w:szCs w:val="21"/>
              </w:rPr>
              <w:t>服务部分存在瑕疵的得</w:t>
            </w:r>
            <w:r>
              <w:rPr>
                <w:rFonts w:ascii="宋体" w:hAnsi="宋体" w:cs="宋体"/>
                <w:szCs w:val="21"/>
              </w:rPr>
              <w:t>2</w:t>
            </w:r>
            <w:r>
              <w:rPr>
                <w:rFonts w:hint="eastAsia" w:ascii="宋体" w:hAnsi="宋体" w:cs="宋体"/>
                <w:szCs w:val="21"/>
              </w:rPr>
              <w:t>分；服务内容不明确、多处不足的得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7</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供应商拟投入本项目的车辆（施工车辆须为供应商自有）：</w:t>
            </w:r>
          </w:p>
          <w:p>
            <w:pPr>
              <w:spacing w:after="60" w:afterLines="25" w:line="360" w:lineRule="exact"/>
              <w:rPr>
                <w:rFonts w:hint="eastAsia" w:ascii="宋体" w:hAnsi="宋体"/>
                <w:szCs w:val="21"/>
              </w:rPr>
            </w:pPr>
            <w:r>
              <w:rPr>
                <w:rFonts w:hint="eastAsia" w:ascii="宋体" w:hAnsi="宋体"/>
                <w:szCs w:val="21"/>
              </w:rPr>
              <w:t>有专业登高车（简易改装升降的不得分）的每个得2分、有吊车的每个得2分，有货车及其他工程作业车辆的每个得0.5分，共计最高得7分。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交通标志标线施划设备齐全，有手推热熔划线机、振荡标线机、双组份划线机、全回收高压水除线设备（均须供应商自有）的，每个得2分；其他相关设备每台得1分，最高得2分，共计最高得10分。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针对本项目的实施人员、专业、岗位配置进行综合打分：配置合理、切实可行、有效的得</w:t>
            </w:r>
            <w:r>
              <w:rPr>
                <w:rFonts w:ascii="宋体" w:hAnsi="宋体"/>
                <w:szCs w:val="21"/>
              </w:rPr>
              <w:t>6</w:t>
            </w:r>
            <w:r>
              <w:rPr>
                <w:rFonts w:hint="eastAsia" w:ascii="宋体" w:hAnsi="宋体"/>
                <w:szCs w:val="21"/>
              </w:rPr>
              <w:t>分；人员、专业、岗位配置一般的得3分；人员、专业、岗位配置存在瑕疵、不全面、不明确的得1分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r>
              <w:rPr>
                <w:rFonts w:hint="eastAsia" w:ascii="宋体" w:hAnsi="宋体"/>
              </w:rPr>
              <w:t>本项目拟投入本项目的仓储场地（要求室内面积占总面积20%及以上）进行综合打分：</w:t>
            </w:r>
          </w:p>
          <w:p>
            <w:pPr>
              <w:spacing w:after="60" w:afterLines="25" w:line="360" w:lineRule="exact"/>
              <w:jc w:val="left"/>
              <w:rPr>
                <w:rFonts w:ascii="宋体" w:hAnsi="宋体"/>
              </w:rPr>
            </w:pPr>
            <w:r>
              <w:rPr>
                <w:rFonts w:hint="eastAsia" w:ascii="宋体" w:hAnsi="宋体"/>
              </w:rPr>
              <w:t>对提供相关证明材料复印件（如租赁合同、土地使用证等）非常清晰、齐全，且描述一目了然，仓储场地在一处的得</w:t>
            </w:r>
            <w:r>
              <w:rPr>
                <w:rFonts w:ascii="宋体" w:hAnsi="宋体"/>
              </w:rPr>
              <w:t>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w:t>
            </w:r>
            <w:r>
              <w:rPr>
                <w:rFonts w:ascii="宋体" w:hAnsi="宋体"/>
              </w:rPr>
              <w:t>3</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w:t>
            </w:r>
            <w:r>
              <w:rPr>
                <w:rFonts w:ascii="宋体" w:hAnsi="宋体"/>
              </w:rPr>
              <w:t>1</w:t>
            </w:r>
            <w:r>
              <w:rPr>
                <w:rFonts w:hint="eastAsia" w:ascii="宋体" w:hAnsi="宋体"/>
              </w:rPr>
              <w:t>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无相关内容或提供的场地与本项目不符或不在一处的得0分。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样品分</w:t>
            </w:r>
          </w:p>
          <w:p>
            <w:pPr>
              <w:spacing w:after="25" w:line="360" w:lineRule="exact"/>
              <w:jc w:val="center"/>
              <w:rPr>
                <w:rFonts w:hint="eastAsia" w:ascii="宋体" w:hAnsi="宋体"/>
                <w:szCs w:val="21"/>
              </w:rPr>
            </w:pPr>
            <w:r>
              <w:rPr>
                <w:rFonts w:hint="eastAsia" w:ascii="宋体" w:hAnsi="宋体"/>
                <w:szCs w:val="21"/>
              </w:rPr>
              <w:t>（6分）</w:t>
            </w: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对船桨市政道路护栏机非护栏样品主要技术参数进行综合评议：护栏样品符合技术参数要求的得4分；护栏样品部分不符合技术参数要求或做工粗糙的得</w:t>
            </w:r>
            <w:r>
              <w:rPr>
                <w:rFonts w:ascii="宋体" w:hAnsi="宋体"/>
                <w:szCs w:val="21"/>
              </w:rPr>
              <w:t>2</w:t>
            </w:r>
            <w:r>
              <w:rPr>
                <w:rFonts w:hint="eastAsia" w:ascii="宋体" w:hAnsi="宋体"/>
                <w:szCs w:val="21"/>
              </w:rPr>
              <w:t>分；护栏样品多处不符合技术参数要求或做工粗糙的得</w:t>
            </w:r>
            <w:r>
              <w:rPr>
                <w:rFonts w:ascii="宋体" w:hAnsi="宋体"/>
                <w:szCs w:val="21"/>
              </w:rPr>
              <w:t>1</w:t>
            </w:r>
            <w:r>
              <w:rPr>
                <w:rFonts w:hint="eastAsia" w:ascii="宋体" w:hAnsi="宋体"/>
                <w:szCs w:val="21"/>
              </w:rPr>
              <w:t>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对D13-H80弹性防撞柱样品主要技术参数进行综合评议：防撞柱样品符合技术参数要求的得</w:t>
            </w:r>
            <w:r>
              <w:rPr>
                <w:rFonts w:ascii="宋体" w:hAnsi="宋体"/>
                <w:szCs w:val="21"/>
              </w:rPr>
              <w:t>1</w:t>
            </w:r>
            <w:r>
              <w:rPr>
                <w:rFonts w:hint="eastAsia" w:ascii="宋体" w:hAnsi="宋体"/>
                <w:szCs w:val="21"/>
              </w:rPr>
              <w:t>分；防撞柱样品部分不符合技术参数要求或做工粗糙的得</w:t>
            </w:r>
            <w:r>
              <w:rPr>
                <w:rFonts w:ascii="宋体" w:hAnsi="宋体"/>
                <w:szCs w:val="21"/>
              </w:rPr>
              <w:t>0.5</w:t>
            </w:r>
            <w:r>
              <w:rPr>
                <w:rFonts w:hint="eastAsia" w:ascii="宋体" w:hAnsi="宋体"/>
                <w:szCs w:val="21"/>
              </w:rPr>
              <w:t>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对反光道钉（双面）样品主要技术参数进行综合评议：反光道钉样品符合技术参数要求的得</w:t>
            </w:r>
            <w:r>
              <w:rPr>
                <w:rFonts w:ascii="宋体" w:hAnsi="宋体"/>
                <w:szCs w:val="21"/>
              </w:rPr>
              <w:t>1</w:t>
            </w:r>
            <w:r>
              <w:rPr>
                <w:rFonts w:hint="eastAsia" w:ascii="宋体" w:hAnsi="宋体"/>
                <w:szCs w:val="21"/>
              </w:rPr>
              <w:t>分；反光道钉样品部分不符合技术参数要求或做工粗糙的得</w:t>
            </w:r>
            <w:r>
              <w:rPr>
                <w:rFonts w:ascii="宋体" w:hAnsi="宋体"/>
                <w:szCs w:val="21"/>
              </w:rPr>
              <w:t>0.5</w:t>
            </w:r>
            <w:r>
              <w:rPr>
                <w:rFonts w:hint="eastAsia" w:ascii="宋体" w:hAnsi="宋体"/>
                <w:szCs w:val="21"/>
              </w:rPr>
              <w:t>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2</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投标人针对本项目的优惠条件（不得涉及报价）及合理化建议，1条被采纳的得1分，最多得</w:t>
            </w:r>
            <w:r>
              <w:rPr>
                <w:rFonts w:ascii="宋体" w:hAnsi="宋体"/>
              </w:rPr>
              <w:t>3</w:t>
            </w:r>
            <w:r>
              <w:rPr>
                <w:rFonts w:hint="eastAsia" w:ascii="宋体" w:hAnsi="宋体"/>
              </w:rPr>
              <w:t>分。</w:t>
            </w:r>
          </w:p>
        </w:tc>
        <w:tc>
          <w:tcPr>
            <w:tcW w:w="992" w:type="dxa"/>
            <w:noWrap w:val="0"/>
            <w:vAlign w:val="center"/>
          </w:tcPr>
          <w:p>
            <w:pPr>
              <w:pStyle w:val="28"/>
              <w:spacing w:after="25" w:line="360" w:lineRule="exact"/>
              <w:jc w:val="center"/>
              <w:rPr>
                <w:rFonts w:hint="eastAsia" w:hAnsi="宋体"/>
                <w:szCs w:val="21"/>
              </w:rPr>
            </w:pPr>
            <w:r>
              <w:rPr>
                <w:rFonts w:hAnsi="宋体"/>
                <w:szCs w:val="21"/>
              </w:rPr>
              <w:t>0-3</w:t>
            </w:r>
          </w:p>
        </w:tc>
      </w:tr>
      <w:bookmarkEnd w:id="177"/>
    </w:tbl>
    <w:p>
      <w:pPr>
        <w:pStyle w:val="21"/>
        <w:spacing w:before="120" w:beforeLines="50"/>
        <w:ind w:firstLine="422"/>
        <w:rPr>
          <w:rFonts w:ascii="宋体" w:hAnsi="宋体"/>
          <w:b/>
          <w:bCs/>
          <w:sz w:val="21"/>
          <w:szCs w:val="21"/>
        </w:rPr>
      </w:pPr>
      <w:r>
        <w:rPr>
          <w:rFonts w:hint="eastAsia" w:ascii="宋体" w:hAnsi="宋体" w:cs="宋体"/>
          <w:b/>
          <w:bCs/>
          <w:sz w:val="21"/>
          <w:szCs w:val="21"/>
        </w:rPr>
        <w:t>注：1、提交投标文件的同时，提供船桨市政道路护栏机非护栏、D13-H80弹性防撞柱、反光道</w:t>
      </w:r>
      <w:r>
        <w:rPr>
          <w:rFonts w:hint="eastAsia" w:ascii="宋体" w:hAnsi="宋体"/>
          <w:b/>
          <w:bCs/>
          <w:sz w:val="21"/>
          <w:szCs w:val="21"/>
        </w:rPr>
        <w:t>钉（双面）样品各1套。</w:t>
      </w:r>
    </w:p>
    <w:p>
      <w:pPr>
        <w:pStyle w:val="21"/>
        <w:ind w:firstLine="422"/>
        <w:rPr>
          <w:rFonts w:ascii="宋体" w:hAnsi="宋体"/>
          <w:b/>
          <w:bCs/>
          <w:sz w:val="21"/>
          <w:szCs w:val="21"/>
        </w:rPr>
      </w:pPr>
      <w:r>
        <w:rPr>
          <w:rFonts w:hint="eastAsia" w:ascii="宋体" w:hAnsi="宋体"/>
          <w:b/>
          <w:bCs/>
          <w:sz w:val="21"/>
          <w:szCs w:val="21"/>
        </w:rPr>
        <w:t>（1）样品要求：船桨式镀锌钢静电喷涂护栏样品（包括立柱、底座、反射器等），长度：2.5m,高度：0.8m；颜色：国际灰颜色（灰色RAL7015），1.25m表面涂层处理，1.25m不得表面涂层处理；</w:t>
      </w:r>
    </w:p>
    <w:p>
      <w:pPr>
        <w:pStyle w:val="21"/>
        <w:ind w:firstLine="422"/>
        <w:rPr>
          <w:rFonts w:ascii="宋体" w:hAnsi="宋体"/>
          <w:b/>
          <w:bCs/>
          <w:sz w:val="21"/>
          <w:szCs w:val="21"/>
        </w:rPr>
      </w:pPr>
      <w:r>
        <w:rPr>
          <w:rFonts w:hint="eastAsia" w:ascii="宋体" w:hAnsi="宋体"/>
          <w:b/>
          <w:bCs/>
          <w:sz w:val="21"/>
          <w:szCs w:val="21"/>
        </w:rPr>
        <w:t>（2）送达时间：投标截止时间前需送至嘉兴市公共资源交易中心一楼南侧样品处（嘉兴市广场路350号）。</w:t>
      </w:r>
    </w:p>
    <w:p>
      <w:pPr>
        <w:pStyle w:val="21"/>
        <w:ind w:firstLine="422"/>
        <w:rPr>
          <w:rFonts w:ascii="宋体" w:hAnsi="宋体"/>
          <w:b/>
          <w:bCs/>
          <w:sz w:val="21"/>
          <w:szCs w:val="21"/>
        </w:rPr>
      </w:pPr>
      <w:r>
        <w:rPr>
          <w:rFonts w:hint="eastAsia" w:ascii="宋体" w:hAnsi="宋体"/>
          <w:b/>
          <w:bCs/>
          <w:sz w:val="21"/>
          <w:szCs w:val="21"/>
        </w:rPr>
        <w:t>（3）请将供应商全称及联系方式密封在样品上，密封外侧不得体现供应商相关信息，否则将拒收；</w:t>
      </w:r>
    </w:p>
    <w:p>
      <w:pPr>
        <w:pStyle w:val="21"/>
        <w:ind w:firstLine="422"/>
        <w:rPr>
          <w:rFonts w:hint="eastAsia" w:ascii="宋体" w:hAnsi="宋体"/>
          <w:b/>
          <w:bCs/>
          <w:sz w:val="21"/>
          <w:szCs w:val="21"/>
        </w:rPr>
      </w:pPr>
      <w:r>
        <w:rPr>
          <w:rFonts w:hint="eastAsia" w:ascii="宋体" w:hAnsi="宋体"/>
          <w:b/>
          <w:bCs/>
          <w:sz w:val="21"/>
          <w:szCs w:val="21"/>
        </w:rPr>
        <w:t>（4）样品的退还：中标人所提供的货物样品不予退还，由采购单位封存作为验收依据，未中标单位可在公示结束后2个工作日内取回样品，逾期将由采购人自行处理。</w:t>
      </w:r>
    </w:p>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-6</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bookmarkStart w:id="178" w:name="_Hlk143713890"/>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w:t>
            </w:r>
            <w:r>
              <w:rPr>
                <w:rFonts w:hint="eastAsia" w:ascii="宋体" w:hAnsi="宋体"/>
                <w:color w:val="000000"/>
                <w:kern w:val="0"/>
                <w:szCs w:val="21"/>
                <w:lang w:bidi="ar"/>
              </w:rPr>
              <w:t>（标志、标线、护栏等交安设施）</w:t>
            </w:r>
            <w:r>
              <w:rPr>
                <w:rFonts w:hint="eastAsia" w:ascii="宋体" w:hAnsi="宋体"/>
                <w:kern w:val="0"/>
                <w:szCs w:val="21"/>
              </w:rPr>
              <w:t>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bookmarkEnd w:id="178"/>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诚信分</w:t>
            </w:r>
          </w:p>
        </w:tc>
        <w:tc>
          <w:tcPr>
            <w:tcW w:w="5958" w:type="dxa"/>
            <w:noWrap w:val="0"/>
            <w:vAlign w:val="center"/>
          </w:tcPr>
          <w:p>
            <w:pPr>
              <w:spacing w:after="60" w:afterLines="25" w:line="360" w:lineRule="exact"/>
              <w:rPr>
                <w:rFonts w:hint="eastAsia" w:ascii="宋体" w:hAnsi="宋体" w:cs="宋体"/>
                <w:szCs w:val="21"/>
                <w:lang w:val="zh-CN"/>
              </w:rPr>
            </w:pPr>
            <w:r>
              <w:rPr>
                <w:rFonts w:hint="eastAsia" w:ascii="宋体" w:hAnsi="宋体"/>
                <w:kern w:val="0"/>
                <w:szCs w:val="21"/>
              </w:rPr>
              <w:t>凡在投标截止时间前三年受到行政处罚、行政处理（含通报）或记入不良行为的，此项得分为0；若无处罚、行政处理（含通）报）或记入不良行为的得</w:t>
            </w:r>
            <w:r>
              <w:rPr>
                <w:rFonts w:ascii="宋体" w:hAnsi="宋体"/>
                <w:kern w:val="0"/>
                <w:szCs w:val="21"/>
              </w:rPr>
              <w:t>2</w:t>
            </w:r>
            <w:r>
              <w:rPr>
                <w:rFonts w:hint="eastAsia" w:ascii="宋体" w:hAnsi="宋体"/>
                <w:kern w:val="0"/>
                <w:szCs w:val="21"/>
              </w:rPr>
              <w:t>分（供应商自行提供承诺函，不提供承诺函的得0分，如有不良记录又虚假承诺的，一经发现将取消中标资格并报监管部门依法处理）。</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0</w:t>
            </w:r>
            <w:r>
              <w:rPr>
                <w:rFonts w:ascii="宋体" w:hAnsi="宋体"/>
                <w:szCs w:val="21"/>
              </w:rPr>
              <w:t>-2</w:t>
            </w:r>
          </w:p>
        </w:tc>
      </w:tr>
    </w:tbl>
    <w:p>
      <w:pPr>
        <w:ind w:firstLine="420" w:firstLineChars="200"/>
        <w:rPr>
          <w:rFonts w:ascii="宋体" w:hAnsi="宋体"/>
        </w:rPr>
      </w:pPr>
    </w:p>
    <w:p>
      <w:pPr>
        <w:ind w:firstLine="420" w:firstLineChars="200"/>
        <w:rPr>
          <w:rFonts w:ascii="宋体" w:hAnsi="宋体"/>
          <w:b/>
          <w:bCs/>
          <w:szCs w:val="21"/>
        </w:rPr>
      </w:pPr>
      <w:r>
        <w:rPr>
          <w:rFonts w:ascii="宋体" w:hAnsi="宋体"/>
        </w:rPr>
        <w:br w:type="page"/>
      </w:r>
      <w:r>
        <w:rPr>
          <w:rFonts w:hint="eastAsia" w:ascii="宋体" w:hAnsi="宋体"/>
          <w:b/>
          <w:bCs/>
          <w:szCs w:val="21"/>
        </w:rPr>
        <w:t>标项3：</w:t>
      </w:r>
    </w:p>
    <w:p>
      <w:pPr>
        <w:ind w:firstLine="422" w:firstLineChars="200"/>
        <w:rPr>
          <w:rFonts w:ascii="宋体" w:hAnsi="宋体"/>
          <w:b/>
          <w:bCs/>
          <w:szCs w:val="21"/>
        </w:rPr>
      </w:pPr>
      <w:r>
        <w:rPr>
          <w:rFonts w:hint="eastAsia" w:ascii="宋体" w:hAnsi="宋体"/>
          <w:b/>
          <w:bCs/>
          <w:szCs w:val="21"/>
        </w:rPr>
        <w:t>（二）技术分（0</w:t>
      </w:r>
      <w:r>
        <w:rPr>
          <w:rFonts w:ascii="宋体" w:hAnsi="宋体"/>
          <w:b/>
          <w:bCs/>
          <w:szCs w:val="21"/>
        </w:rPr>
        <w:t>-74</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bookmarkStart w:id="179" w:name="_Hlk143713782"/>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53"/>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noWrap w:val="0"/>
            <w:vAlign w:val="center"/>
          </w:tcPr>
          <w:p>
            <w:pPr>
              <w:spacing w:after="25" w:line="360" w:lineRule="exact"/>
              <w:jc w:val="center"/>
              <w:rPr>
                <w:rFonts w:ascii="宋体" w:hAnsi="宋体" w:cs="仿宋"/>
                <w:szCs w:val="21"/>
              </w:rPr>
            </w:pPr>
            <w:r>
              <w:rPr>
                <w:rFonts w:hint="eastAsia" w:ascii="宋体" w:hAnsi="宋体"/>
                <w:szCs w:val="21"/>
              </w:rPr>
              <w:t>保证措施</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从质量目标、保证措施等方面进行评审：内容科学、合理、详细有效的得5分；内容较科学、合理、详细有效的得</w:t>
            </w:r>
            <w:r>
              <w:rPr>
                <w:rFonts w:ascii="宋体" w:hAnsi="宋体"/>
                <w:szCs w:val="21"/>
              </w:rPr>
              <w:t>4</w:t>
            </w:r>
            <w:r>
              <w:rPr>
                <w:rFonts w:hint="eastAsia" w:ascii="宋体" w:hAnsi="宋体"/>
                <w:szCs w:val="21"/>
              </w:rPr>
              <w:t>分；内容普通的得3分；</w:t>
            </w:r>
            <w:r>
              <w:rPr>
                <w:rFonts w:hint="eastAsia" w:ascii="宋体" w:hAnsi="宋体" w:cs="宋体"/>
                <w:szCs w:val="21"/>
              </w:rPr>
              <w:t>内容部分存在瑕疵的得</w:t>
            </w:r>
            <w:r>
              <w:rPr>
                <w:rFonts w:ascii="宋体" w:hAnsi="宋体" w:cs="宋体"/>
                <w:szCs w:val="21"/>
              </w:rPr>
              <w:t>2</w:t>
            </w:r>
            <w:r>
              <w:rPr>
                <w:rFonts w:hint="eastAsia" w:ascii="宋体" w:hAnsi="宋体" w:cs="宋体"/>
                <w:szCs w:val="21"/>
              </w:rPr>
              <w:t>分；内容不明确、多处不足的得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等综合打分：方案科学、合理、规范、可操作的得</w:t>
            </w:r>
            <w:r>
              <w:rPr>
                <w:rFonts w:ascii="宋体" w:hAnsi="宋体"/>
                <w:szCs w:val="21"/>
              </w:rPr>
              <w:t>5</w:t>
            </w:r>
            <w:r>
              <w:rPr>
                <w:rFonts w:hint="eastAsia" w:ascii="宋体" w:hAnsi="宋体"/>
                <w:szCs w:val="21"/>
              </w:rPr>
              <w:t>分；方案较科学、合理、规范、可操作的得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进行综合打分：项目进度计划合理、保证措施有效的得5分；项目进度计划较合理、保证措施较有效的得</w:t>
            </w:r>
            <w:r>
              <w:rPr>
                <w:rFonts w:ascii="宋体" w:hAnsi="宋体"/>
                <w:szCs w:val="21"/>
              </w:rPr>
              <w:t>4</w:t>
            </w:r>
            <w:r>
              <w:rPr>
                <w:rFonts w:hint="eastAsia" w:ascii="宋体" w:hAnsi="宋体"/>
                <w:szCs w:val="21"/>
              </w:rPr>
              <w:t>分；项目进度计划、保证措施一般的得</w:t>
            </w:r>
            <w:r>
              <w:rPr>
                <w:rFonts w:ascii="宋体" w:hAnsi="宋体"/>
                <w:szCs w:val="21"/>
              </w:rPr>
              <w:t>3</w:t>
            </w:r>
            <w:r>
              <w:rPr>
                <w:rFonts w:hint="eastAsia" w:ascii="宋体" w:hAnsi="宋体"/>
                <w:szCs w:val="21"/>
              </w:rPr>
              <w:t>分；项目进度计划、保证措施部分存在瑕疵的得</w:t>
            </w:r>
            <w:r>
              <w:rPr>
                <w:rFonts w:ascii="宋体" w:hAnsi="宋体"/>
                <w:szCs w:val="21"/>
              </w:rPr>
              <w:t>2</w:t>
            </w:r>
            <w:r>
              <w:rPr>
                <w:rFonts w:hint="eastAsia" w:ascii="宋体" w:hAnsi="宋体"/>
                <w:szCs w:val="21"/>
              </w:rPr>
              <w:t>分；项目进度计划、保证措施</w:t>
            </w:r>
            <w:r>
              <w:rPr>
                <w:rFonts w:hint="eastAsia" w:ascii="宋体" w:hAnsi="宋体" w:cs="宋体"/>
                <w:szCs w:val="21"/>
              </w:rPr>
              <w:t>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等方面进行综合打分：方案合理、可行、周全的得5分；方案较合理、可行、周全的得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等方面进行综合打分：方案合理、可行、周全的得5分；方案较合理、可行、周全的得4分；方案内容普通的得3分；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供应商针对本项目的突发事件处理方案、应急预案进行综合打分：方案分析到位、解决措施合理、经济的得5分；方案分析较到位、解决措施较合理、经济的得</w:t>
            </w:r>
            <w:r>
              <w:rPr>
                <w:rFonts w:ascii="宋体" w:hAnsi="宋体"/>
                <w:szCs w:val="21"/>
              </w:rPr>
              <w:t>4</w:t>
            </w:r>
            <w:r>
              <w:rPr>
                <w:rFonts w:hint="eastAsia" w:ascii="宋体" w:hAnsi="宋体"/>
                <w:szCs w:val="21"/>
              </w:rPr>
              <w:t>分；方案内容普通的得3分；</w:t>
            </w:r>
            <w:r>
              <w:rPr>
                <w:rFonts w:hint="eastAsia" w:ascii="宋体" w:hAnsi="宋体" w:cs="宋体"/>
                <w:szCs w:val="21"/>
              </w:rPr>
              <w:t>方案部分存在瑕疵的得</w:t>
            </w:r>
            <w:r>
              <w:rPr>
                <w:rFonts w:ascii="宋体" w:hAnsi="宋体" w:cs="宋体"/>
                <w:szCs w:val="21"/>
              </w:rPr>
              <w:t>2</w:t>
            </w:r>
            <w:r>
              <w:rPr>
                <w:rFonts w:hint="eastAsia" w:ascii="宋体" w:hAnsi="宋体" w:cs="宋体"/>
                <w:szCs w:val="21"/>
              </w:rPr>
              <w:t>分；方案不明确、多处不足的得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售后服务</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进行综合打分：有免费备品备件，服务范围明确，制定主要服务内容，解决问题、排除问题速度快的得5分；有免费备品备件，服务范围较明确，制定主要服务内容，解决问题、排除问题速度较快的得</w:t>
            </w:r>
            <w:r>
              <w:rPr>
                <w:rFonts w:ascii="宋体" w:hAnsi="宋体"/>
                <w:szCs w:val="21"/>
              </w:rPr>
              <w:t>4</w:t>
            </w:r>
            <w:r>
              <w:rPr>
                <w:rFonts w:hint="eastAsia" w:ascii="宋体" w:hAnsi="宋体"/>
                <w:szCs w:val="21"/>
              </w:rPr>
              <w:t>分；服务内容普通的得3分；</w:t>
            </w:r>
            <w:r>
              <w:rPr>
                <w:rFonts w:hint="eastAsia" w:ascii="宋体" w:hAnsi="宋体" w:cs="宋体"/>
                <w:szCs w:val="21"/>
              </w:rPr>
              <w:t>服务部分存在瑕疵的得</w:t>
            </w:r>
            <w:r>
              <w:rPr>
                <w:rFonts w:ascii="宋体" w:hAnsi="宋体" w:cs="宋体"/>
                <w:szCs w:val="21"/>
              </w:rPr>
              <w:t>2</w:t>
            </w:r>
            <w:r>
              <w:rPr>
                <w:rFonts w:hint="eastAsia" w:ascii="宋体" w:hAnsi="宋体" w:cs="宋体"/>
                <w:szCs w:val="21"/>
              </w:rPr>
              <w:t>分；服务内容不明确、多处不足的得</w:t>
            </w:r>
            <w:r>
              <w:rPr>
                <w:rFonts w:ascii="宋体" w:hAnsi="宋体" w:cs="宋体"/>
                <w:szCs w:val="21"/>
              </w:rPr>
              <w:t>1</w:t>
            </w:r>
            <w:r>
              <w:rPr>
                <w:rFonts w:hint="eastAsia" w:ascii="宋体" w:hAnsi="宋体" w:cs="宋体"/>
                <w:szCs w:val="21"/>
              </w:rPr>
              <w:t>分；未提供得0分。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3</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供应商拟投入本项目的车辆（施工车辆须为供应商自有）：</w:t>
            </w:r>
            <w:r>
              <w:rPr>
                <w:rFonts w:ascii="宋体" w:hAnsi="宋体"/>
                <w:szCs w:val="21"/>
              </w:rPr>
              <w:t xml:space="preserve"> </w:t>
            </w:r>
          </w:p>
          <w:p>
            <w:pPr>
              <w:spacing w:after="60" w:afterLines="25" w:line="360" w:lineRule="exact"/>
              <w:rPr>
                <w:rFonts w:hint="eastAsia" w:ascii="宋体" w:hAnsi="宋体"/>
                <w:szCs w:val="21"/>
              </w:rPr>
            </w:pPr>
            <w:r>
              <w:rPr>
                <w:rFonts w:hint="eastAsia" w:ascii="宋体" w:hAnsi="宋体"/>
                <w:szCs w:val="21"/>
              </w:rPr>
              <w:t>有专业登高车（简易改装升降的不得分）的每个得2分、有吊车的每个得2分，有货车及其他工程作业车辆的每个得0.5分，本项最高得7分。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保证项目实施的主要机械设备及检测仪器，每个得0</w:t>
            </w:r>
            <w:r>
              <w:rPr>
                <w:rFonts w:ascii="宋体" w:hAnsi="宋体"/>
                <w:szCs w:val="21"/>
              </w:rPr>
              <w:t>.5</w:t>
            </w:r>
            <w:r>
              <w:rPr>
                <w:rFonts w:hint="eastAsia" w:ascii="宋体" w:hAnsi="宋体"/>
                <w:szCs w:val="21"/>
              </w:rPr>
              <w:t>分，最高得6分。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针对本项目的实施人员、专业、岗位配置进行综合打分：配置合理、切实可行、有效的得</w:t>
            </w:r>
            <w:r>
              <w:rPr>
                <w:rFonts w:ascii="宋体" w:hAnsi="宋体"/>
                <w:szCs w:val="21"/>
              </w:rPr>
              <w:t>6</w:t>
            </w:r>
            <w:r>
              <w:rPr>
                <w:rFonts w:hint="eastAsia" w:ascii="宋体" w:hAnsi="宋体"/>
                <w:szCs w:val="21"/>
              </w:rPr>
              <w:t>分；人员、专业、岗位配置一般的得3分；人员、专业、岗位配置存在瑕疵、不全面、不明确的得1分</w:t>
            </w:r>
            <w:r>
              <w:rPr>
                <w:rFonts w:hint="eastAsia" w:ascii="宋体" w:hAnsi="宋体" w:cs="宋体"/>
                <w:szCs w:val="21"/>
              </w:rPr>
              <w:t>；未提供得0分。</w:t>
            </w:r>
          </w:p>
        </w:tc>
        <w:tc>
          <w:tcPr>
            <w:tcW w:w="992" w:type="dxa"/>
            <w:noWrap w:val="0"/>
            <w:vAlign w:val="center"/>
          </w:tcPr>
          <w:p>
            <w:pPr>
              <w:pStyle w:val="28"/>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3"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bookmarkStart w:id="180" w:name="_Hlk143713684"/>
            <w:r>
              <w:rPr>
                <w:rFonts w:hint="eastAsia" w:ascii="宋体" w:hAnsi="宋体"/>
              </w:rPr>
              <w:t>本项目拟投入本项目的仓储场地（要求室内面积占总面积20%及以上）进行综合打分：</w:t>
            </w:r>
          </w:p>
          <w:p>
            <w:pPr>
              <w:spacing w:after="60" w:afterLines="25" w:line="360" w:lineRule="exact"/>
              <w:jc w:val="left"/>
              <w:rPr>
                <w:rFonts w:ascii="宋体" w:hAnsi="宋体"/>
              </w:rPr>
            </w:pPr>
            <w:r>
              <w:rPr>
                <w:rFonts w:hint="eastAsia" w:ascii="宋体" w:hAnsi="宋体"/>
              </w:rPr>
              <w:t>对提供相关证明材料复印件（如租赁合同、土地使用证等）非常清晰、齐全，且描述一目了然，仓储场地在一处的得</w:t>
            </w:r>
            <w:r>
              <w:rPr>
                <w:rFonts w:ascii="宋体" w:hAnsi="宋体"/>
              </w:rPr>
              <w:t>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对提供相关证明材料复印件（如租赁合同、土地使用证等）比较清晰、齐全，且描述基本清楚，仓储场地在一处的得3分；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w:t>
            </w:r>
            <w:r>
              <w:rPr>
                <w:rFonts w:ascii="宋体" w:hAnsi="宋体"/>
              </w:rPr>
              <w:t>1</w:t>
            </w:r>
            <w:r>
              <w:rPr>
                <w:rFonts w:hint="eastAsia" w:ascii="宋体" w:hAnsi="宋体"/>
              </w:rPr>
              <w:t>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无相关内容或提供的场地与本项目不符或不在一处的得0分。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bookmarkEnd w:id="180"/>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样品分</w:t>
            </w:r>
          </w:p>
        </w:tc>
        <w:tc>
          <w:tcPr>
            <w:tcW w:w="6028" w:type="dxa"/>
            <w:noWrap w:val="0"/>
            <w:vAlign w:val="center"/>
          </w:tcPr>
          <w:p>
            <w:pPr>
              <w:spacing w:after="60" w:afterLines="25" w:line="360" w:lineRule="exact"/>
              <w:jc w:val="left"/>
              <w:rPr>
                <w:rFonts w:hint="eastAsia" w:ascii="宋体" w:hAnsi="宋体"/>
              </w:rPr>
            </w:pPr>
            <w:bookmarkStart w:id="181" w:name="_Hlk143713650"/>
            <w:r>
              <w:rPr>
                <w:rFonts w:hint="eastAsia" w:ascii="宋体" w:hAnsi="宋体"/>
                <w:szCs w:val="21"/>
              </w:rPr>
              <w:t>对400铝壳单8红绿倒计时样品主要技术参数进行综合评议：红绿倒计时样品符合技术参数要求的得</w:t>
            </w:r>
            <w:r>
              <w:rPr>
                <w:rFonts w:ascii="宋体" w:hAnsi="宋体"/>
                <w:szCs w:val="21"/>
              </w:rPr>
              <w:t>6</w:t>
            </w:r>
            <w:r>
              <w:rPr>
                <w:rFonts w:hint="eastAsia" w:ascii="宋体" w:hAnsi="宋体"/>
                <w:szCs w:val="21"/>
              </w:rPr>
              <w:t>分；红绿倒计时样品部分不符合技术参数要求的得</w:t>
            </w:r>
            <w:r>
              <w:rPr>
                <w:rFonts w:ascii="宋体" w:hAnsi="宋体"/>
                <w:szCs w:val="21"/>
              </w:rPr>
              <w:t>3</w:t>
            </w:r>
            <w:r>
              <w:rPr>
                <w:rFonts w:hint="eastAsia" w:ascii="宋体" w:hAnsi="宋体"/>
                <w:szCs w:val="21"/>
              </w:rPr>
              <w:t>分；红绿倒计时样品多处不符合技术参数要求的得</w:t>
            </w:r>
            <w:r>
              <w:rPr>
                <w:rFonts w:ascii="宋体" w:hAnsi="宋体"/>
                <w:szCs w:val="21"/>
              </w:rPr>
              <w:t>1</w:t>
            </w:r>
            <w:r>
              <w:rPr>
                <w:rFonts w:hint="eastAsia" w:ascii="宋体" w:hAnsi="宋体"/>
                <w:szCs w:val="21"/>
              </w:rPr>
              <w:t>分</w:t>
            </w:r>
            <w:r>
              <w:rPr>
                <w:rFonts w:hint="eastAsia" w:ascii="宋体" w:hAnsi="宋体" w:cs="宋体"/>
                <w:szCs w:val="21"/>
              </w:rPr>
              <w:t>；未提供得0分。</w:t>
            </w:r>
            <w:bookmarkEnd w:id="181"/>
          </w:p>
        </w:tc>
        <w:tc>
          <w:tcPr>
            <w:tcW w:w="992" w:type="dxa"/>
            <w:noWrap w:val="0"/>
            <w:vAlign w:val="center"/>
          </w:tcPr>
          <w:p>
            <w:pPr>
              <w:pStyle w:val="28"/>
              <w:spacing w:after="25" w:line="360" w:lineRule="exact"/>
              <w:jc w:val="center"/>
              <w:rPr>
                <w:rFonts w:hint="eastAsia"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2</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投标人针对本项目的优惠条件（不得涉及报价）及合理化建议，1条被采纳的得1分，最多加</w:t>
            </w:r>
            <w:r>
              <w:rPr>
                <w:rFonts w:ascii="宋体" w:hAnsi="宋体"/>
              </w:rPr>
              <w:t>3</w:t>
            </w:r>
            <w:r>
              <w:rPr>
                <w:rFonts w:hint="eastAsia" w:ascii="宋体" w:hAnsi="宋体"/>
              </w:rPr>
              <w:t>分。</w:t>
            </w:r>
          </w:p>
        </w:tc>
        <w:tc>
          <w:tcPr>
            <w:tcW w:w="992" w:type="dxa"/>
            <w:noWrap w:val="0"/>
            <w:vAlign w:val="center"/>
          </w:tcPr>
          <w:p>
            <w:pPr>
              <w:pStyle w:val="28"/>
              <w:spacing w:after="25" w:line="360" w:lineRule="exact"/>
              <w:jc w:val="center"/>
              <w:rPr>
                <w:rFonts w:hint="eastAsia" w:hAnsi="宋体"/>
                <w:szCs w:val="21"/>
              </w:rPr>
            </w:pPr>
            <w:r>
              <w:rPr>
                <w:rFonts w:hAnsi="宋体"/>
                <w:szCs w:val="21"/>
              </w:rPr>
              <w:t>0-3</w:t>
            </w:r>
          </w:p>
        </w:tc>
      </w:tr>
      <w:bookmarkEnd w:id="179"/>
    </w:tbl>
    <w:p>
      <w:pPr>
        <w:pStyle w:val="21"/>
        <w:spacing w:before="120" w:beforeLines="50"/>
        <w:ind w:firstLine="422"/>
        <w:rPr>
          <w:rFonts w:ascii="宋体" w:hAnsi="宋体" w:cs="宋体"/>
          <w:b/>
          <w:bCs/>
          <w:sz w:val="21"/>
          <w:szCs w:val="21"/>
        </w:rPr>
      </w:pPr>
      <w:r>
        <w:rPr>
          <w:rFonts w:hint="eastAsia" w:ascii="宋体" w:hAnsi="宋体" w:cs="宋体"/>
          <w:b/>
          <w:bCs/>
          <w:sz w:val="21"/>
          <w:szCs w:val="21"/>
        </w:rPr>
        <w:t>注：1、提交投标文件的同时，提供400铝壳单8红绿倒计时样品1套。</w:t>
      </w:r>
    </w:p>
    <w:p>
      <w:pPr>
        <w:pStyle w:val="21"/>
        <w:ind w:firstLine="422"/>
        <w:rPr>
          <w:rFonts w:ascii="宋体" w:hAnsi="宋体"/>
          <w:b/>
          <w:bCs/>
          <w:sz w:val="21"/>
          <w:szCs w:val="21"/>
        </w:rPr>
      </w:pPr>
      <w:r>
        <w:rPr>
          <w:rFonts w:hint="eastAsia" w:ascii="宋体" w:hAnsi="宋体"/>
          <w:b/>
          <w:bCs/>
          <w:sz w:val="21"/>
          <w:szCs w:val="21"/>
        </w:rPr>
        <w:t>（1）送达时间：投标截止时间前需送至嘉兴市公共资源交易中心一楼南侧样品处（嘉兴市广场路350号）。</w:t>
      </w:r>
    </w:p>
    <w:p>
      <w:pPr>
        <w:pStyle w:val="21"/>
        <w:ind w:firstLine="422"/>
        <w:rPr>
          <w:rFonts w:ascii="宋体" w:hAnsi="宋体"/>
          <w:b/>
          <w:bCs/>
          <w:sz w:val="21"/>
          <w:szCs w:val="21"/>
        </w:rPr>
      </w:pPr>
      <w:r>
        <w:rPr>
          <w:rFonts w:hint="eastAsia" w:ascii="宋体" w:hAnsi="宋体"/>
          <w:b/>
          <w:bCs/>
          <w:sz w:val="21"/>
          <w:szCs w:val="21"/>
        </w:rPr>
        <w:t>（</w:t>
      </w:r>
      <w:r>
        <w:rPr>
          <w:rFonts w:ascii="宋体" w:hAnsi="宋体"/>
          <w:b/>
          <w:bCs/>
          <w:sz w:val="21"/>
          <w:szCs w:val="21"/>
        </w:rPr>
        <w:t>2</w:t>
      </w:r>
      <w:r>
        <w:rPr>
          <w:rFonts w:hint="eastAsia" w:ascii="宋体" w:hAnsi="宋体"/>
          <w:b/>
          <w:bCs/>
          <w:sz w:val="21"/>
          <w:szCs w:val="21"/>
        </w:rPr>
        <w:t>）请将供应商全称及联系方式密封在样品上，密封外侧不得体现供应商相关信息，否则将拒收；</w:t>
      </w:r>
    </w:p>
    <w:p>
      <w:pPr>
        <w:pStyle w:val="21"/>
        <w:ind w:firstLine="422"/>
        <w:rPr>
          <w:rFonts w:hint="eastAsia" w:ascii="宋体" w:hAnsi="宋体"/>
          <w:b/>
          <w:bCs/>
          <w:sz w:val="21"/>
          <w:szCs w:val="21"/>
        </w:rPr>
      </w:pPr>
      <w:r>
        <w:rPr>
          <w:rFonts w:hint="eastAsia" w:ascii="宋体" w:hAnsi="宋体"/>
          <w:b/>
          <w:bCs/>
          <w:sz w:val="21"/>
          <w:szCs w:val="21"/>
        </w:rPr>
        <w:t>（</w:t>
      </w:r>
      <w:r>
        <w:rPr>
          <w:rFonts w:ascii="宋体" w:hAnsi="宋体"/>
          <w:b/>
          <w:bCs/>
          <w:sz w:val="21"/>
          <w:szCs w:val="21"/>
        </w:rPr>
        <w:t>3</w:t>
      </w:r>
      <w:r>
        <w:rPr>
          <w:rFonts w:hint="eastAsia" w:ascii="宋体" w:hAnsi="宋体"/>
          <w:b/>
          <w:bCs/>
          <w:sz w:val="21"/>
          <w:szCs w:val="21"/>
        </w:rPr>
        <w:t>）样品的退还：中标人所提供的货物样品不予退还，由采购单位封存作为验收依据，未中标单位可在公示结束后2个工作日内取回样品，逾期将由采购人自行处理。</w:t>
      </w:r>
    </w:p>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-6</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bookmarkStart w:id="182" w:name="_Hlk143713595"/>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w:t>
            </w:r>
            <w:r>
              <w:rPr>
                <w:rFonts w:hint="eastAsia" w:ascii="宋体" w:hAnsi="宋体"/>
                <w:color w:val="000000"/>
                <w:kern w:val="0"/>
                <w:szCs w:val="21"/>
                <w:lang w:bidi="ar"/>
              </w:rPr>
              <w:t>（或包含</w:t>
            </w:r>
            <w:r>
              <w:rPr>
                <w:rFonts w:hint="eastAsia" w:ascii="宋体" w:hAnsi="宋体"/>
              </w:rPr>
              <w:t>交通信号灯</w:t>
            </w:r>
            <w:r>
              <w:rPr>
                <w:rFonts w:hint="eastAsia" w:ascii="宋体" w:hAnsi="宋体"/>
                <w:color w:val="000000"/>
                <w:kern w:val="0"/>
                <w:szCs w:val="21"/>
                <w:lang w:bidi="ar"/>
              </w:rPr>
              <w:t>）</w:t>
            </w:r>
            <w:r>
              <w:rPr>
                <w:rFonts w:hint="eastAsia" w:ascii="宋体" w:hAnsi="宋体"/>
                <w:kern w:val="0"/>
                <w:szCs w:val="21"/>
              </w:rPr>
              <w:t>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bookmarkEnd w:id="182"/>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诚信分</w:t>
            </w:r>
          </w:p>
        </w:tc>
        <w:tc>
          <w:tcPr>
            <w:tcW w:w="5958" w:type="dxa"/>
            <w:noWrap w:val="0"/>
            <w:vAlign w:val="center"/>
          </w:tcPr>
          <w:p>
            <w:pPr>
              <w:spacing w:after="60" w:afterLines="25" w:line="360" w:lineRule="exact"/>
              <w:rPr>
                <w:rFonts w:hint="eastAsia" w:ascii="宋体" w:hAnsi="宋体" w:cs="宋体"/>
                <w:szCs w:val="21"/>
                <w:lang w:val="zh-CN"/>
              </w:rPr>
            </w:pPr>
            <w:r>
              <w:rPr>
                <w:rFonts w:hint="eastAsia" w:ascii="宋体" w:hAnsi="宋体"/>
                <w:kern w:val="0"/>
                <w:szCs w:val="21"/>
              </w:rPr>
              <w:t>凡在投标截止时间前三年受到行政处罚、行政处理（含通报）或记入不良行为的，此项得分为0；若无处罚、行政处理（含通）报）或记入不良行为的得</w:t>
            </w:r>
            <w:r>
              <w:rPr>
                <w:rFonts w:ascii="宋体" w:hAnsi="宋体"/>
                <w:kern w:val="0"/>
                <w:szCs w:val="21"/>
              </w:rPr>
              <w:t>2</w:t>
            </w:r>
            <w:r>
              <w:rPr>
                <w:rFonts w:hint="eastAsia" w:ascii="宋体" w:hAnsi="宋体"/>
                <w:kern w:val="0"/>
                <w:szCs w:val="21"/>
              </w:rPr>
              <w:t>分（供应商自行提供承诺函，不提供承诺函的得0分，如有不良记录又虚假承诺的，一经发现将取消中标资格并报监管部门依法处理）。</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0</w:t>
            </w:r>
            <w:r>
              <w:rPr>
                <w:rFonts w:ascii="宋体" w:hAnsi="宋体"/>
                <w:szCs w:val="21"/>
              </w:rPr>
              <w:t>-2</w:t>
            </w:r>
          </w:p>
        </w:tc>
      </w:tr>
    </w:tbl>
    <w:p>
      <w:pPr>
        <w:pStyle w:val="21"/>
        <w:rPr>
          <w:rFonts w:hint="eastAsia" w:ascii="宋体" w:hAnsi="宋体"/>
        </w:rPr>
      </w:pPr>
    </w:p>
    <w:p>
      <w:pPr>
        <w:pStyle w:val="4"/>
        <w:ind w:firstLine="602" w:firstLineChars="200"/>
        <w:rPr>
          <w:rFonts w:ascii="宋体" w:hAnsi="宋体"/>
        </w:rPr>
      </w:pPr>
      <w:r>
        <w:rPr>
          <w:rFonts w:ascii="宋体" w:hAnsi="宋体"/>
        </w:rPr>
        <w:br w:type="page"/>
      </w:r>
      <w:bookmarkStart w:id="183" w:name="_Toc89897661"/>
      <w:r>
        <w:rPr>
          <w:rFonts w:hint="eastAsia" w:ascii="宋体" w:hAnsi="宋体"/>
        </w:rPr>
        <w:t>第五章 政府采购合同主要条款（指引）</w:t>
      </w:r>
      <w:bookmarkEnd w:id="183"/>
    </w:p>
    <w:p>
      <w:pPr>
        <w:pStyle w:val="4"/>
        <w:ind w:firstLine="602" w:firstLineChars="200"/>
        <w:rPr>
          <w:rFonts w:ascii="宋体" w:hAnsi="宋体"/>
        </w:rPr>
      </w:pPr>
      <w:bookmarkStart w:id="184" w:name="_Toc89897662"/>
      <w:bookmarkStart w:id="185" w:name="_Toc16185637"/>
      <w:bookmarkStart w:id="186" w:name="_Toc50211561"/>
      <w:bookmarkStart w:id="187" w:name="_Toc82881293"/>
      <w:bookmarkStart w:id="188" w:name="_Toc42879257"/>
      <w:bookmarkStart w:id="189" w:name="_Toc3386511"/>
      <w:bookmarkStart w:id="190" w:name="_Toc39655266"/>
      <w:r>
        <w:rPr>
          <w:rFonts w:hint="eastAsia" w:ascii="宋体" w:hAnsi="宋体"/>
        </w:rPr>
        <w:t>一、通用必备条款部分</w:t>
      </w:r>
      <w:bookmarkEnd w:id="184"/>
      <w:bookmarkEnd w:id="185"/>
      <w:bookmarkEnd w:id="186"/>
      <w:bookmarkEnd w:id="187"/>
      <w:bookmarkEnd w:id="188"/>
      <w:bookmarkEnd w:id="189"/>
      <w:bookmarkEnd w:id="190"/>
    </w:p>
    <w:p>
      <w:pPr>
        <w:ind w:firstLine="420" w:firstLineChars="200"/>
        <w:rPr>
          <w:rFonts w:ascii="宋体" w:hAnsi="宋体"/>
        </w:rPr>
      </w:pPr>
      <w:r>
        <w:rPr>
          <w:rFonts w:hint="eastAsia" w:ascii="宋体" w:hAnsi="宋体"/>
        </w:rPr>
        <w:t>项目编号：ZJFY-20230063</w:t>
      </w:r>
    </w:p>
    <w:p>
      <w:pPr>
        <w:ind w:firstLine="420" w:firstLineChars="200"/>
        <w:rPr>
          <w:rFonts w:ascii="宋体" w:hAnsi="宋体"/>
        </w:rPr>
      </w:pPr>
      <w:r>
        <w:rPr>
          <w:rFonts w:hint="eastAsia" w:ascii="宋体" w:hAnsi="宋体"/>
        </w:rPr>
        <w:t>合同编号：</w:t>
      </w:r>
    </w:p>
    <w:p>
      <w:pPr>
        <w:ind w:firstLine="420" w:firstLineChars="200"/>
        <w:rPr>
          <w:rFonts w:ascii="宋体" w:hAnsi="宋体"/>
        </w:rPr>
      </w:pPr>
      <w:r>
        <w:rPr>
          <w:rFonts w:hint="eastAsia" w:ascii="宋体" w:hAnsi="宋体"/>
        </w:rPr>
        <w:t>政府采购计划（预算）确认号：</w:t>
      </w:r>
    </w:p>
    <w:p>
      <w:pPr>
        <w:ind w:firstLine="420" w:firstLineChars="200"/>
        <w:rPr>
          <w:rFonts w:ascii="宋体" w:hAnsi="宋体"/>
        </w:rPr>
      </w:pPr>
      <w:r>
        <w:rPr>
          <w:rFonts w:hint="eastAsia" w:ascii="宋体" w:hAnsi="宋体"/>
        </w:rPr>
        <w:t>采购人（以下称甲方）：嘉兴市公安局交通警察支队</w:t>
      </w:r>
    </w:p>
    <w:p>
      <w:pPr>
        <w:ind w:firstLine="420" w:firstLineChars="200"/>
        <w:rPr>
          <w:rFonts w:ascii="宋体" w:hAnsi="宋体"/>
        </w:rPr>
      </w:pPr>
      <w:r>
        <w:rPr>
          <w:rFonts w:hint="eastAsia" w:ascii="宋体" w:hAnsi="宋体"/>
        </w:rPr>
        <w:t>供应商（以下称乙方）：</w:t>
      </w:r>
    </w:p>
    <w:p>
      <w:pPr>
        <w:ind w:firstLine="420" w:firstLineChars="200"/>
        <w:rPr>
          <w:rFonts w:ascii="宋体" w:hAnsi="宋体"/>
        </w:rPr>
      </w:pPr>
      <w:r>
        <w:rPr>
          <w:rFonts w:hint="eastAsia" w:ascii="宋体" w:hAnsi="宋体"/>
        </w:rPr>
        <w:t>采购代理机构：浙江富昱项目管理有限公司</w:t>
      </w:r>
    </w:p>
    <w:p>
      <w:pPr>
        <w:ind w:firstLine="420" w:firstLineChars="200"/>
        <w:rPr>
          <w:rFonts w:ascii="宋体" w:hAnsi="宋体"/>
        </w:rPr>
      </w:pPr>
      <w:r>
        <w:rPr>
          <w:rFonts w:hint="eastAsia" w:ascii="宋体" w:hAnsi="宋体"/>
        </w:rPr>
        <w:t>采购方式：公开招标</w:t>
      </w:r>
    </w:p>
    <w:p>
      <w:pPr>
        <w:ind w:firstLine="420" w:firstLineChars="200"/>
        <w:rPr>
          <w:rFonts w:ascii="宋体" w:hAnsi="宋体"/>
        </w:rPr>
      </w:pPr>
      <w:r>
        <w:rPr>
          <w:rFonts w:hint="eastAsia" w:ascii="宋体" w:hAnsi="宋体"/>
        </w:rPr>
        <w:t>根据《中华人民共和国政府采购法》、《中华人民共和国民法典》等法律法规的规定，甲乙双方按照</w:t>
      </w:r>
      <w:r>
        <w:rPr>
          <w:rFonts w:hint="eastAsia" w:ascii="宋体" w:hAnsi="宋体"/>
          <w:u w:val="single"/>
        </w:rPr>
        <w:t>2023年度嘉兴市公安局交通警察支队交通设施日常维护、更新项目</w:t>
      </w:r>
      <w:r>
        <w:rPr>
          <w:rFonts w:hint="eastAsia" w:ascii="宋体" w:hAnsi="宋体"/>
        </w:rPr>
        <w:t>采购结果签订本合同。</w:t>
      </w:r>
    </w:p>
    <w:p>
      <w:pPr>
        <w:widowControl/>
        <w:ind w:firstLine="422" w:firstLineChars="200"/>
        <w:jc w:val="left"/>
        <w:rPr>
          <w:rFonts w:ascii="宋体" w:hAnsi="宋体"/>
          <w:b/>
          <w:bCs/>
          <w:kern w:val="0"/>
          <w:szCs w:val="21"/>
        </w:rPr>
      </w:pPr>
      <w:r>
        <w:rPr>
          <w:rFonts w:hint="eastAsia" w:ascii="宋体" w:hAnsi="宋体"/>
          <w:b/>
          <w:bCs/>
          <w:kern w:val="0"/>
          <w:szCs w:val="21"/>
        </w:rPr>
        <w:t>第一条合同组成</w:t>
      </w:r>
    </w:p>
    <w:p>
      <w:pPr>
        <w:widowControl/>
        <w:ind w:firstLine="420" w:firstLineChars="200"/>
        <w:jc w:val="left"/>
        <w:rPr>
          <w:rFonts w:ascii="宋体" w:hAnsi="宋体"/>
          <w:kern w:val="0"/>
          <w:szCs w:val="21"/>
        </w:rPr>
      </w:pPr>
      <w:r>
        <w:rPr>
          <w:rFonts w:hint="eastAsia" w:ascii="宋体" w:hAnsi="宋体"/>
          <w:kern w:val="0"/>
          <w:szCs w:val="21"/>
        </w:rPr>
        <w:t>本次政府采购活动的相关文件为本合同的组成部分，这些文件包括但不限于：</w:t>
      </w:r>
    </w:p>
    <w:p>
      <w:pPr>
        <w:widowControl/>
        <w:ind w:firstLine="420" w:firstLineChars="200"/>
        <w:jc w:val="left"/>
        <w:rPr>
          <w:rFonts w:ascii="宋体" w:hAnsi="宋体"/>
          <w:kern w:val="0"/>
          <w:szCs w:val="21"/>
        </w:rPr>
      </w:pPr>
      <w:r>
        <w:rPr>
          <w:rFonts w:hint="eastAsia" w:ascii="宋体" w:hAnsi="宋体"/>
          <w:kern w:val="0"/>
          <w:szCs w:val="21"/>
        </w:rPr>
        <w:t>（1）本合同文本；</w:t>
      </w:r>
    </w:p>
    <w:p>
      <w:pPr>
        <w:widowControl/>
        <w:ind w:firstLine="420" w:firstLineChars="200"/>
        <w:jc w:val="left"/>
        <w:rPr>
          <w:rFonts w:ascii="宋体" w:hAnsi="宋体"/>
          <w:kern w:val="0"/>
          <w:szCs w:val="21"/>
        </w:rPr>
      </w:pPr>
      <w:r>
        <w:rPr>
          <w:rFonts w:hint="eastAsia" w:ascii="宋体" w:hAnsi="宋体"/>
          <w:kern w:val="0"/>
          <w:szCs w:val="21"/>
        </w:rPr>
        <w:t>（2）采购文件与采购响应文件；</w:t>
      </w:r>
    </w:p>
    <w:p>
      <w:pPr>
        <w:widowControl/>
        <w:ind w:firstLine="420" w:firstLineChars="200"/>
        <w:jc w:val="left"/>
        <w:rPr>
          <w:rFonts w:ascii="宋体" w:hAnsi="宋体"/>
          <w:kern w:val="0"/>
          <w:szCs w:val="21"/>
        </w:rPr>
      </w:pPr>
      <w:r>
        <w:rPr>
          <w:rFonts w:hint="eastAsia" w:ascii="宋体" w:hAnsi="宋体"/>
          <w:kern w:val="0"/>
          <w:szCs w:val="21"/>
        </w:rPr>
        <w:t>（3）中标或成交通知书。</w:t>
      </w:r>
    </w:p>
    <w:p>
      <w:pPr>
        <w:widowControl/>
        <w:ind w:firstLine="420" w:firstLineChars="200"/>
        <w:jc w:val="left"/>
        <w:rPr>
          <w:rFonts w:hint="eastAsia" w:ascii="宋体" w:hAnsi="宋体"/>
          <w:kern w:val="0"/>
          <w:szCs w:val="21"/>
        </w:rPr>
      </w:pPr>
      <w:r>
        <w:rPr>
          <w:rFonts w:hint="eastAsia" w:ascii="宋体" w:hAnsi="宋体"/>
          <w:kern w:val="0"/>
          <w:szCs w:val="21"/>
        </w:rPr>
        <w:t>组成本合同的所有文件必须为书面形式。政府采购合同备案时，须提供以上（1）、（3）两项，如由社会中介机构代理，须提供代理协议，合同如有变更的，须提供变更协议。</w:t>
      </w:r>
    </w:p>
    <w:p>
      <w:pPr>
        <w:tabs>
          <w:tab w:val="left" w:pos="916"/>
          <w:tab w:val="left" w:pos="1832"/>
          <w:tab w:val="left" w:pos="2748"/>
        </w:tabs>
        <w:ind w:firstLine="422" w:firstLineChars="200"/>
        <w:jc w:val="left"/>
        <w:rPr>
          <w:rFonts w:hint="eastAsia" w:ascii="宋体" w:hAnsi="宋体"/>
          <w:b/>
          <w:szCs w:val="21"/>
        </w:rPr>
      </w:pPr>
      <w:r>
        <w:rPr>
          <w:rFonts w:hint="eastAsia" w:ascii="宋体" w:hAnsi="宋体"/>
          <w:b/>
          <w:szCs w:val="21"/>
        </w:rPr>
        <w:t>第二条 合同标的与相关属性</w:t>
      </w:r>
    </w:p>
    <w:p>
      <w:pPr>
        <w:tabs>
          <w:tab w:val="left" w:pos="916"/>
          <w:tab w:val="left" w:pos="1832"/>
          <w:tab w:val="left" w:pos="2748"/>
        </w:tabs>
        <w:ind w:firstLine="420" w:firstLineChars="200"/>
        <w:jc w:val="left"/>
        <w:rPr>
          <w:rFonts w:hint="eastAsia" w:ascii="宋体" w:hAnsi="宋体"/>
          <w:szCs w:val="21"/>
        </w:rPr>
      </w:pPr>
      <w:r>
        <w:rPr>
          <w:rFonts w:hint="eastAsia" w:ascii="宋体" w:hAnsi="宋体"/>
          <w:szCs w:val="21"/>
        </w:rPr>
        <w:t>1、本次采购的是</w:t>
      </w:r>
      <w:r>
        <w:rPr>
          <w:rFonts w:hint="eastAsia" w:ascii="宋体" w:hAnsi="宋体" w:cs="Tahoma"/>
          <w:bCs/>
          <w:kern w:val="36"/>
          <w:u w:val="single"/>
        </w:rPr>
        <w:t xml:space="preserve">                                   </w:t>
      </w:r>
    </w:p>
    <w:p>
      <w:pPr>
        <w:tabs>
          <w:tab w:val="left" w:pos="916"/>
          <w:tab w:val="left" w:pos="1832"/>
          <w:tab w:val="left" w:pos="2748"/>
        </w:tabs>
        <w:ind w:firstLine="420" w:firstLineChars="200"/>
        <w:jc w:val="left"/>
        <w:rPr>
          <w:rFonts w:hint="eastAsia" w:ascii="宋体" w:hAnsi="宋体"/>
          <w:szCs w:val="21"/>
        </w:rPr>
      </w:pPr>
      <w:r>
        <w:rPr>
          <w:rFonts w:hint="eastAsia" w:ascii="宋体" w:hAnsi="宋体"/>
          <w:szCs w:val="21"/>
        </w:rPr>
        <w:t>2、乙方是否属于中小微企业：□是□否</w:t>
      </w:r>
    </w:p>
    <w:p>
      <w:pPr>
        <w:tabs>
          <w:tab w:val="left" w:pos="916"/>
          <w:tab w:val="left" w:pos="1832"/>
          <w:tab w:val="left" w:pos="2748"/>
        </w:tabs>
        <w:ind w:firstLine="420" w:firstLineChars="200"/>
        <w:jc w:val="left"/>
        <w:rPr>
          <w:rFonts w:ascii="宋体" w:hAnsi="宋体"/>
          <w:szCs w:val="21"/>
        </w:rPr>
      </w:pPr>
      <w:r>
        <w:rPr>
          <w:rFonts w:hint="eastAsia" w:ascii="宋体" w:hAnsi="宋体"/>
          <w:szCs w:val="21"/>
        </w:rPr>
        <w:t>3、本合同项下产品属于（可多选）：□环保产品；□节能产品；□进口产品</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529"/>
        <w:gridCol w:w="2268"/>
        <w:gridCol w:w="767"/>
        <w:gridCol w:w="757"/>
        <w:gridCol w:w="170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117" w:hRule="atLeast"/>
          <w:jc w:val="center"/>
        </w:trPr>
        <w:tc>
          <w:tcPr>
            <w:tcW w:w="851"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序号</w:t>
            </w:r>
          </w:p>
        </w:tc>
        <w:tc>
          <w:tcPr>
            <w:tcW w:w="152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品目名称</w:t>
            </w:r>
          </w:p>
          <w:p>
            <w:pPr>
              <w:spacing w:after="60" w:afterLines="25" w:line="360" w:lineRule="exact"/>
              <w:jc w:val="center"/>
              <w:rPr>
                <w:rFonts w:ascii="宋体" w:hAnsi="宋体"/>
                <w:color w:val="000000"/>
                <w:szCs w:val="21"/>
              </w:rPr>
            </w:pPr>
            <w:r>
              <w:rPr>
                <w:rFonts w:hint="eastAsia" w:ascii="宋体" w:hAnsi="宋体"/>
                <w:color w:val="000000"/>
                <w:szCs w:val="21"/>
              </w:rPr>
              <w:t>（服务名称）</w:t>
            </w: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规格型号、技术参数（或服务内容）</w:t>
            </w: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单位</w:t>
            </w: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数量</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预算金额</w:t>
            </w:r>
            <w:r>
              <w:rPr>
                <w:rFonts w:ascii="宋体" w:hAnsi="宋体"/>
                <w:color w:val="000000"/>
                <w:szCs w:val="21"/>
              </w:rPr>
              <w:t>（</w:t>
            </w:r>
            <w:r>
              <w:rPr>
                <w:rFonts w:hint="eastAsia" w:ascii="宋体" w:hAnsi="宋体"/>
                <w:color w:val="000000"/>
                <w:szCs w:val="21"/>
              </w:rPr>
              <w:t>元</w:t>
            </w:r>
            <w:r>
              <w:rPr>
                <w:rFonts w:ascii="宋体" w:hAnsi="宋体"/>
                <w:color w:val="000000"/>
                <w:szCs w:val="21"/>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采购金额</w:t>
            </w:r>
            <w:r>
              <w:rPr>
                <w:rFonts w:ascii="宋体" w:hAnsi="宋体"/>
                <w:color w:val="000000"/>
                <w:szCs w:val="21"/>
              </w:rPr>
              <w:t>（</w:t>
            </w:r>
            <w:r>
              <w:rPr>
                <w:rFonts w:hint="eastAsia" w:ascii="宋体" w:hAnsi="宋体"/>
                <w:color w:val="000000"/>
                <w:szCs w:val="21"/>
              </w:rPr>
              <w:t>元</w:t>
            </w:r>
            <w:r>
              <w:rPr>
                <w:rFonts w:ascii="宋体" w:hAnsi="宋体"/>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44" w:hRule="atLeast"/>
          <w:jc w:val="center"/>
        </w:trPr>
        <w:tc>
          <w:tcPr>
            <w:tcW w:w="2380" w:type="dxa"/>
            <w:gridSpan w:val="2"/>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6" w:hRule="atLeast"/>
          <w:jc w:val="center"/>
        </w:trPr>
        <w:tc>
          <w:tcPr>
            <w:tcW w:w="2380" w:type="dxa"/>
            <w:gridSpan w:val="2"/>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94" w:hRule="atLeast"/>
          <w:jc w:val="center"/>
        </w:trPr>
        <w:tc>
          <w:tcPr>
            <w:tcW w:w="5415" w:type="dxa"/>
            <w:gridSpan w:val="4"/>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合计</w:t>
            </w: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bl>
    <w:p>
      <w:pPr>
        <w:widowControl/>
        <w:spacing w:before="120" w:beforeLines="50"/>
        <w:ind w:firstLine="422" w:firstLineChars="200"/>
        <w:jc w:val="left"/>
        <w:rPr>
          <w:rFonts w:ascii="宋体" w:hAnsi="宋体"/>
          <w:b/>
          <w:bCs/>
          <w:kern w:val="0"/>
          <w:szCs w:val="21"/>
        </w:rPr>
      </w:pPr>
      <w:r>
        <w:rPr>
          <w:rFonts w:hint="eastAsia" w:ascii="宋体" w:hAnsi="宋体"/>
          <w:b/>
          <w:bCs/>
          <w:kern w:val="0"/>
          <w:szCs w:val="21"/>
        </w:rPr>
        <w:t>第三条 合同价款</w:t>
      </w:r>
    </w:p>
    <w:p>
      <w:pPr>
        <w:widowControl/>
        <w:ind w:firstLine="420" w:firstLineChars="200"/>
        <w:jc w:val="left"/>
        <w:rPr>
          <w:rFonts w:ascii="宋体" w:hAnsi="宋体"/>
          <w:kern w:val="0"/>
          <w:szCs w:val="21"/>
        </w:rPr>
      </w:pPr>
      <w:r>
        <w:rPr>
          <w:rFonts w:hint="eastAsia" w:ascii="宋体" w:hAnsi="宋体"/>
          <w:kern w:val="0"/>
          <w:szCs w:val="21"/>
        </w:rPr>
        <w:t>1、本合同项下总价款为</w:t>
      </w:r>
      <w:r>
        <w:rPr>
          <w:rFonts w:hint="eastAsia" w:ascii="宋体" w:hAnsi="宋体"/>
          <w:kern w:val="0"/>
          <w:szCs w:val="21"/>
          <w:u w:val="single"/>
        </w:rPr>
        <w:t xml:space="preserve">￥         </w:t>
      </w:r>
      <w:r>
        <w:rPr>
          <w:rFonts w:hint="eastAsia" w:ascii="宋体" w:hAnsi="宋体"/>
          <w:kern w:val="0"/>
          <w:szCs w:val="21"/>
        </w:rPr>
        <w:t>元（大写）人民币</w:t>
      </w:r>
      <w:r>
        <w:rPr>
          <w:rFonts w:hint="eastAsia" w:ascii="宋体" w:hAnsi="宋体"/>
          <w:kern w:val="0"/>
          <w:szCs w:val="21"/>
          <w:u w:val="single"/>
        </w:rPr>
        <w:t xml:space="preserve">              </w:t>
      </w:r>
      <w:r>
        <w:rPr>
          <w:rFonts w:hint="eastAsia" w:ascii="宋体" w:hAnsi="宋体"/>
          <w:kern w:val="0"/>
          <w:szCs w:val="21"/>
        </w:rPr>
        <w:t>元，分项价款在“投标报价表”中明确。</w:t>
      </w:r>
    </w:p>
    <w:p>
      <w:pPr>
        <w:ind w:firstLine="420" w:firstLineChars="200"/>
        <w:jc w:val="left"/>
        <w:rPr>
          <w:rFonts w:ascii="宋体" w:hAnsi="宋体"/>
          <w:kern w:val="0"/>
          <w:szCs w:val="21"/>
        </w:rPr>
      </w:pPr>
      <w:r>
        <w:rPr>
          <w:rFonts w:hint="eastAsia" w:ascii="宋体" w:hAnsi="宋体"/>
          <w:kern w:val="0"/>
          <w:szCs w:val="21"/>
        </w:rPr>
        <w:t>2、本合同总价款含所有税费（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ind w:firstLine="420" w:firstLineChars="200"/>
        <w:jc w:val="left"/>
        <w:rPr>
          <w:rFonts w:ascii="宋体" w:hAnsi="宋体"/>
          <w:kern w:val="0"/>
          <w:szCs w:val="21"/>
        </w:rPr>
      </w:pPr>
      <w:r>
        <w:rPr>
          <w:rFonts w:hint="eastAsia" w:ascii="宋体" w:hAnsi="宋体"/>
          <w:kern w:val="0"/>
          <w:szCs w:val="21"/>
        </w:rPr>
        <w:t>3、本合同付款方式为以下第</w:t>
      </w:r>
      <w:r>
        <w:rPr>
          <w:rFonts w:hint="eastAsia" w:ascii="宋体" w:hAnsi="宋体"/>
          <w:kern w:val="0"/>
          <w:szCs w:val="21"/>
          <w:u w:val="single"/>
        </w:rPr>
        <w:t xml:space="preserve">        </w:t>
      </w:r>
      <w:r>
        <w:rPr>
          <w:rFonts w:hint="eastAsia" w:ascii="宋体" w:hAnsi="宋体"/>
          <w:kern w:val="0"/>
          <w:szCs w:val="21"/>
        </w:rPr>
        <w:t>项：</w:t>
      </w:r>
    </w:p>
    <w:p>
      <w:pPr>
        <w:widowControl/>
        <w:ind w:firstLine="420" w:firstLineChars="200"/>
        <w:jc w:val="left"/>
        <w:rPr>
          <w:rFonts w:ascii="宋体" w:hAnsi="宋体"/>
          <w:kern w:val="0"/>
          <w:szCs w:val="21"/>
        </w:rPr>
      </w:pPr>
      <w:r>
        <w:rPr>
          <w:rFonts w:hint="eastAsia" w:ascii="宋体" w:hAnsi="宋体"/>
          <w:kern w:val="0"/>
          <w:szCs w:val="21"/>
        </w:rPr>
        <w:t>（1）本合同项下的采购资金系甲方自行支付，付款程序为</w:t>
      </w:r>
      <w:bookmarkStart w:id="191" w:name="OLE_LINK4"/>
      <w:r>
        <w:rPr>
          <w:rFonts w:hint="eastAsia" w:ascii="宋体" w:hAnsi="宋体"/>
          <w:kern w:val="0"/>
          <w:szCs w:val="21"/>
          <w:u w:val="single"/>
        </w:rPr>
        <w:t xml:space="preserve">                     </w:t>
      </w:r>
      <w:r>
        <w:rPr>
          <w:rFonts w:hint="eastAsia" w:ascii="宋体" w:hAnsi="宋体"/>
          <w:kern w:val="0"/>
          <w:szCs w:val="21"/>
        </w:rPr>
        <w:t>；</w:t>
      </w:r>
      <w:bookmarkEnd w:id="191"/>
    </w:p>
    <w:p>
      <w:pPr>
        <w:widowControl/>
        <w:ind w:firstLine="420" w:firstLineChars="200"/>
        <w:jc w:val="left"/>
        <w:rPr>
          <w:rFonts w:ascii="宋体" w:hAnsi="宋体"/>
          <w:kern w:val="0"/>
          <w:szCs w:val="21"/>
        </w:rPr>
      </w:pPr>
      <w:r>
        <w:rPr>
          <w:rFonts w:hint="eastAsia" w:ascii="宋体" w:hAnsi="宋体"/>
          <w:kern w:val="0"/>
          <w:szCs w:val="21"/>
        </w:rPr>
        <w:t>（2）本合同项下的采购资金须财政直接支付，付款程序为：</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（3）其他方式：</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4、本合同项下的采购资金付款进度按招投标文件规定，未规定时按以下第</w:t>
      </w:r>
      <w:r>
        <w:rPr>
          <w:rFonts w:hint="eastAsia" w:ascii="宋体" w:hAnsi="宋体"/>
          <w:kern w:val="0"/>
          <w:szCs w:val="21"/>
          <w:u w:val="single"/>
        </w:rPr>
        <w:t xml:space="preserve">     </w:t>
      </w:r>
      <w:r>
        <w:rPr>
          <w:rFonts w:hint="eastAsia" w:ascii="宋体" w:hAnsi="宋体"/>
          <w:kern w:val="0"/>
          <w:szCs w:val="21"/>
        </w:rPr>
        <w:t>项支付：</w:t>
      </w:r>
    </w:p>
    <w:p>
      <w:pPr>
        <w:widowControl/>
        <w:ind w:firstLine="420" w:firstLineChars="200"/>
        <w:jc w:val="left"/>
        <w:rPr>
          <w:rFonts w:ascii="宋体" w:hAnsi="宋体"/>
          <w:kern w:val="0"/>
          <w:szCs w:val="21"/>
        </w:rPr>
      </w:pPr>
      <w:r>
        <w:rPr>
          <w:rFonts w:hint="eastAsia" w:ascii="宋体" w:hAnsi="宋体"/>
          <w:kern w:val="0"/>
          <w:szCs w:val="21"/>
        </w:rPr>
        <w:t>（1）一次性付款：乙方合同履行达到</w:t>
      </w:r>
      <w:r>
        <w:rPr>
          <w:rFonts w:hint="eastAsia" w:ascii="宋体" w:hAnsi="宋体"/>
          <w:kern w:val="0"/>
          <w:szCs w:val="21"/>
          <w:u w:val="single"/>
        </w:rPr>
        <w:t xml:space="preserve">         </w:t>
      </w:r>
      <w:r>
        <w:rPr>
          <w:rFonts w:hint="eastAsia" w:ascii="宋体" w:hAnsi="宋体"/>
          <w:kern w:val="0"/>
          <w:szCs w:val="21"/>
        </w:rPr>
        <w:t>（条件）时，一次性付款；</w:t>
      </w:r>
    </w:p>
    <w:p>
      <w:pPr>
        <w:widowControl/>
        <w:ind w:firstLine="420" w:firstLineChars="200"/>
        <w:jc w:val="left"/>
        <w:rPr>
          <w:rFonts w:ascii="宋体" w:hAnsi="宋体"/>
          <w:kern w:val="0"/>
          <w:szCs w:val="21"/>
        </w:rPr>
      </w:pPr>
      <w:r>
        <w:rPr>
          <w:rFonts w:hint="eastAsia" w:ascii="宋体" w:hAnsi="宋体"/>
          <w:kern w:val="0"/>
          <w:szCs w:val="21"/>
        </w:rPr>
        <w:t>（2）分期付款：</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若收取了履约保证金，则不应重复设置尾款支付条件。</w:t>
      </w:r>
    </w:p>
    <w:p>
      <w:pPr>
        <w:widowControl/>
        <w:ind w:firstLine="422" w:firstLineChars="200"/>
        <w:jc w:val="left"/>
        <w:rPr>
          <w:rFonts w:ascii="宋体" w:hAnsi="宋体"/>
          <w:b/>
          <w:bCs/>
          <w:kern w:val="0"/>
          <w:szCs w:val="21"/>
        </w:rPr>
      </w:pPr>
      <w:r>
        <w:rPr>
          <w:rFonts w:hint="eastAsia" w:ascii="宋体" w:hAnsi="宋体"/>
          <w:b/>
          <w:bCs/>
          <w:kern w:val="0"/>
          <w:szCs w:val="21"/>
        </w:rPr>
        <w:t>第四条 履约保证金</w:t>
      </w:r>
    </w:p>
    <w:p>
      <w:pPr>
        <w:widowControl/>
        <w:ind w:firstLine="420" w:firstLineChars="200"/>
        <w:jc w:val="left"/>
        <w:rPr>
          <w:rFonts w:ascii="宋体" w:hAnsi="宋体"/>
          <w:kern w:val="0"/>
          <w:szCs w:val="21"/>
        </w:rPr>
      </w:pPr>
      <w:r>
        <w:rPr>
          <w:rFonts w:hint="eastAsia" w:ascii="宋体" w:hAnsi="宋体"/>
          <w:kern w:val="0"/>
          <w:szCs w:val="21"/>
        </w:rPr>
        <w:t>按以下第</w:t>
      </w:r>
      <w:r>
        <w:rPr>
          <w:rFonts w:hint="eastAsia" w:ascii="宋体" w:hAnsi="宋体"/>
          <w:kern w:val="0"/>
          <w:szCs w:val="21"/>
          <w:u w:val="single"/>
        </w:rPr>
        <w:t xml:space="preserve">    </w:t>
      </w:r>
      <w:r>
        <w:rPr>
          <w:rFonts w:hint="eastAsia" w:ascii="宋体" w:hAnsi="宋体"/>
          <w:kern w:val="0"/>
          <w:szCs w:val="21"/>
        </w:rPr>
        <w:t>项处理：</w:t>
      </w:r>
    </w:p>
    <w:p>
      <w:pPr>
        <w:widowControl/>
        <w:ind w:firstLine="420" w:firstLineChars="200"/>
        <w:jc w:val="left"/>
        <w:rPr>
          <w:rFonts w:ascii="宋体" w:hAnsi="宋体"/>
          <w:kern w:val="0"/>
          <w:szCs w:val="21"/>
        </w:rPr>
      </w:pPr>
      <w:r>
        <w:rPr>
          <w:rFonts w:hint="eastAsia" w:ascii="宋体" w:hAnsi="宋体"/>
          <w:szCs w:val="21"/>
        </w:rPr>
        <w:t>1、本项目设置履约保证金，乙方应于</w:t>
      </w:r>
      <w:r>
        <w:rPr>
          <w:rFonts w:hint="eastAsia" w:ascii="宋体" w:hAnsi="宋体"/>
          <w:szCs w:val="21"/>
          <w:u w:val="single"/>
        </w:rPr>
        <w:t xml:space="preserve">         </w:t>
      </w:r>
      <w:r>
        <w:rPr>
          <w:rFonts w:hint="eastAsia" w:ascii="宋体" w:hAnsi="宋体"/>
          <w:szCs w:val="21"/>
        </w:rPr>
        <w:t>（时间）向甲方提交履约保证金</w:t>
      </w:r>
      <w:r>
        <w:rPr>
          <w:rFonts w:hint="eastAsia" w:ascii="宋体" w:hAnsi="宋体"/>
          <w:szCs w:val="21"/>
          <w:u w:val="single"/>
        </w:rPr>
        <w:t xml:space="preserve">          </w:t>
      </w:r>
      <w:r>
        <w:rPr>
          <w:rFonts w:hint="eastAsia" w:ascii="宋体" w:hAnsi="宋体"/>
          <w:szCs w:val="21"/>
        </w:rPr>
        <w:t>元（不得高于本合同金额的</w:t>
      </w:r>
      <w:r>
        <w:rPr>
          <w:rFonts w:ascii="宋体" w:hAnsi="宋体"/>
          <w:szCs w:val="21"/>
        </w:rPr>
        <w:t>1</w:t>
      </w:r>
      <w:r>
        <w:rPr>
          <w:rFonts w:hint="eastAsia" w:ascii="宋体" w:hAnsi="宋体"/>
          <w:szCs w:val="21"/>
        </w:rPr>
        <w:t>%）。履约保证金在</w:t>
      </w:r>
      <w:r>
        <w:rPr>
          <w:rFonts w:hint="eastAsia" w:ascii="宋体" w:hAnsi="宋体"/>
          <w:szCs w:val="21"/>
          <w:u w:val="single"/>
        </w:rPr>
        <w:t xml:space="preserve">         </w:t>
      </w:r>
      <w:r>
        <w:rPr>
          <w:rFonts w:hint="eastAsia" w:ascii="宋体" w:hAnsi="宋体"/>
          <w:szCs w:val="21"/>
        </w:rPr>
        <w:t>（时间）退还乙方。</w:t>
      </w:r>
    </w:p>
    <w:p>
      <w:pPr>
        <w:widowControl/>
        <w:ind w:firstLine="420" w:firstLineChars="200"/>
        <w:jc w:val="left"/>
        <w:rPr>
          <w:rFonts w:ascii="宋体" w:hAnsi="宋体"/>
          <w:kern w:val="0"/>
          <w:szCs w:val="21"/>
        </w:rPr>
      </w:pPr>
      <w:r>
        <w:rPr>
          <w:rFonts w:hint="eastAsia" w:ascii="宋体" w:hAnsi="宋体"/>
          <w:kern w:val="0"/>
          <w:szCs w:val="21"/>
        </w:rPr>
        <w:t>2、本项目不设置履约保证金</w:t>
      </w:r>
    </w:p>
    <w:p>
      <w:pPr>
        <w:widowControl/>
        <w:ind w:firstLine="422" w:firstLineChars="200"/>
        <w:jc w:val="left"/>
        <w:rPr>
          <w:rFonts w:ascii="宋体" w:hAnsi="宋体"/>
          <w:b/>
          <w:bCs/>
          <w:kern w:val="0"/>
          <w:szCs w:val="21"/>
        </w:rPr>
      </w:pPr>
      <w:r>
        <w:rPr>
          <w:rFonts w:hint="eastAsia" w:ascii="宋体" w:hAnsi="宋体"/>
          <w:b/>
          <w:bCs/>
          <w:kern w:val="0"/>
          <w:szCs w:val="21"/>
        </w:rPr>
        <w:t>第五条 合同的变更和终止</w:t>
      </w:r>
    </w:p>
    <w:p>
      <w:pPr>
        <w:widowControl/>
        <w:ind w:firstLine="420" w:firstLineChars="200"/>
        <w:jc w:val="left"/>
        <w:rPr>
          <w:rFonts w:ascii="宋体" w:hAnsi="宋体"/>
          <w:kern w:val="0"/>
          <w:szCs w:val="21"/>
        </w:rPr>
      </w:pPr>
      <w:r>
        <w:rPr>
          <w:rFonts w:hint="eastAsia" w:ascii="宋体" w:hAnsi="宋体"/>
          <w:kern w:val="0"/>
          <w:szCs w:val="21"/>
        </w:rPr>
        <w:t>除《政府采购法》第49条、第50条第二款规定的情形外，本合同一经签订，甲乙双方不得擅自终止合同或对合同实质性条款进行变更。确有特殊情况的，须经同级财政部门备案同意。</w:t>
      </w:r>
    </w:p>
    <w:p>
      <w:pPr>
        <w:widowControl/>
        <w:ind w:firstLine="422" w:firstLineChars="200"/>
        <w:jc w:val="left"/>
        <w:rPr>
          <w:rFonts w:ascii="宋体" w:hAnsi="宋体"/>
          <w:b/>
          <w:bCs/>
          <w:kern w:val="0"/>
          <w:szCs w:val="21"/>
        </w:rPr>
      </w:pPr>
      <w:r>
        <w:rPr>
          <w:rFonts w:hint="eastAsia" w:ascii="宋体" w:hAnsi="宋体"/>
          <w:b/>
          <w:bCs/>
          <w:kern w:val="0"/>
          <w:szCs w:val="21"/>
        </w:rPr>
        <w:t>第六条 合同的转让与分包</w:t>
      </w:r>
    </w:p>
    <w:p>
      <w:pPr>
        <w:snapToGrid w:val="0"/>
        <w:ind w:firstLine="420" w:firstLineChars="200"/>
        <w:rPr>
          <w:rFonts w:hint="eastAsia" w:ascii="宋体" w:hAnsi="宋体"/>
          <w:kern w:val="0"/>
          <w:szCs w:val="21"/>
        </w:rPr>
      </w:pPr>
      <w:r>
        <w:rPr>
          <w:rFonts w:hint="eastAsia" w:ascii="宋体" w:hAnsi="宋体"/>
          <w:kern w:val="0"/>
          <w:szCs w:val="21"/>
        </w:rPr>
        <w:t>1、本项目不允许转包。</w:t>
      </w:r>
    </w:p>
    <w:p>
      <w:pPr>
        <w:widowControl/>
        <w:ind w:firstLine="420" w:firstLineChars="200"/>
        <w:jc w:val="left"/>
        <w:rPr>
          <w:rFonts w:ascii="宋体" w:hAnsi="宋体"/>
          <w:kern w:val="0"/>
          <w:szCs w:val="21"/>
        </w:rPr>
      </w:pPr>
      <w:r>
        <w:rPr>
          <w:rFonts w:hint="eastAsia" w:ascii="宋体" w:hAnsi="宋体"/>
          <w:kern w:val="0"/>
          <w:szCs w:val="21"/>
        </w:rPr>
        <w:t>2、本项目不可以分包。</w:t>
      </w:r>
    </w:p>
    <w:p>
      <w:pPr>
        <w:widowControl/>
        <w:ind w:firstLine="422" w:firstLineChars="200"/>
        <w:jc w:val="left"/>
        <w:rPr>
          <w:rFonts w:ascii="宋体" w:hAnsi="宋体"/>
          <w:b/>
          <w:bCs/>
          <w:kern w:val="0"/>
          <w:szCs w:val="21"/>
        </w:rPr>
      </w:pPr>
      <w:r>
        <w:rPr>
          <w:rFonts w:hint="eastAsia" w:ascii="宋体" w:hAnsi="宋体"/>
          <w:b/>
          <w:bCs/>
          <w:kern w:val="0"/>
          <w:szCs w:val="21"/>
        </w:rPr>
        <w:t>第七条 争议的解决</w:t>
      </w:r>
    </w:p>
    <w:p>
      <w:pPr>
        <w:widowControl/>
        <w:ind w:firstLine="420" w:firstLineChars="200"/>
        <w:jc w:val="left"/>
        <w:rPr>
          <w:rFonts w:ascii="宋体" w:hAnsi="宋体"/>
          <w:kern w:val="0"/>
          <w:szCs w:val="21"/>
        </w:rPr>
      </w:pPr>
      <w:r>
        <w:rPr>
          <w:rFonts w:hint="eastAsia" w:ascii="宋体" w:hAnsi="宋体"/>
          <w:kern w:val="0"/>
          <w:szCs w:val="21"/>
        </w:rPr>
        <w:t>1、因履行本合同引起的或与本合同有关的争议，甲、乙双方应首先通过友好协商解决，如果协商不能解决争议，则采取以下第</w:t>
      </w:r>
      <w:r>
        <w:rPr>
          <w:rFonts w:hint="eastAsia" w:ascii="宋体" w:hAnsi="宋体"/>
          <w:kern w:val="0"/>
          <w:szCs w:val="21"/>
          <w:u w:val="single"/>
        </w:rPr>
        <w:t xml:space="preserve">  （1）  </w:t>
      </w:r>
      <w:r>
        <w:rPr>
          <w:rFonts w:hint="eastAsia" w:ascii="宋体" w:hAnsi="宋体"/>
          <w:kern w:val="0"/>
          <w:szCs w:val="21"/>
        </w:rPr>
        <w:t>种方式解决争议：</w:t>
      </w:r>
    </w:p>
    <w:p>
      <w:pPr>
        <w:widowControl/>
        <w:ind w:firstLine="420" w:firstLineChars="200"/>
        <w:jc w:val="left"/>
        <w:rPr>
          <w:rFonts w:ascii="宋体" w:hAnsi="宋体"/>
          <w:kern w:val="0"/>
          <w:szCs w:val="21"/>
        </w:rPr>
      </w:pPr>
      <w:r>
        <w:rPr>
          <w:rFonts w:hint="eastAsia" w:ascii="宋体" w:hAnsi="宋体"/>
          <w:kern w:val="0"/>
          <w:szCs w:val="21"/>
        </w:rPr>
        <w:t>（1）向甲方所在地有管辖权的人民法院提起诉讼；</w:t>
      </w:r>
    </w:p>
    <w:p>
      <w:pPr>
        <w:widowControl/>
        <w:ind w:firstLine="420" w:firstLineChars="200"/>
        <w:jc w:val="left"/>
        <w:rPr>
          <w:rFonts w:ascii="宋体" w:hAnsi="宋体"/>
          <w:kern w:val="0"/>
          <w:szCs w:val="21"/>
        </w:rPr>
      </w:pPr>
      <w:r>
        <w:rPr>
          <w:rFonts w:hint="eastAsia" w:ascii="宋体" w:hAnsi="宋体"/>
          <w:kern w:val="0"/>
          <w:szCs w:val="21"/>
        </w:rPr>
        <w:t>（2）向</w:t>
      </w:r>
      <w:r>
        <w:rPr>
          <w:rFonts w:hint="eastAsia" w:ascii="宋体" w:hAnsi="宋体"/>
          <w:kern w:val="0"/>
          <w:szCs w:val="21"/>
          <w:u w:val="single"/>
        </w:rPr>
        <w:t xml:space="preserve">         </w:t>
      </w:r>
      <w:r>
        <w:rPr>
          <w:rFonts w:hint="eastAsia" w:ascii="宋体" w:hAnsi="宋体"/>
          <w:kern w:val="0"/>
          <w:szCs w:val="21"/>
        </w:rPr>
        <w:t>仲裁委员申请仲裁。</w:t>
      </w:r>
    </w:p>
    <w:p>
      <w:pPr>
        <w:widowControl/>
        <w:ind w:firstLine="422" w:firstLineChars="200"/>
        <w:jc w:val="left"/>
        <w:rPr>
          <w:rFonts w:ascii="宋体" w:hAnsi="宋体"/>
          <w:b/>
          <w:szCs w:val="21"/>
        </w:rPr>
      </w:pPr>
      <w:r>
        <w:rPr>
          <w:rFonts w:hint="eastAsia" w:ascii="宋体" w:hAnsi="宋体"/>
          <w:b/>
          <w:bCs/>
          <w:kern w:val="0"/>
          <w:szCs w:val="21"/>
        </w:rPr>
        <w:t>第八条合同备案及其他</w:t>
      </w:r>
    </w:p>
    <w:p>
      <w:pPr>
        <w:widowControl/>
        <w:ind w:firstLine="420" w:firstLineChars="200"/>
        <w:jc w:val="left"/>
        <w:rPr>
          <w:rFonts w:ascii="宋体" w:hAnsi="宋体"/>
          <w:szCs w:val="21"/>
        </w:rPr>
      </w:pPr>
      <w:r>
        <w:rPr>
          <w:rFonts w:hint="eastAsia" w:ascii="宋体" w:hAnsi="宋体"/>
          <w:kern w:val="0"/>
          <w:szCs w:val="21"/>
        </w:rPr>
        <w:t>本合同一式</w:t>
      </w:r>
      <w:r>
        <w:rPr>
          <w:rFonts w:ascii="宋体" w:hAnsi="宋体"/>
          <w:kern w:val="0"/>
          <w:szCs w:val="21"/>
          <w:u w:val="single"/>
        </w:rPr>
        <w:t>五</w:t>
      </w:r>
      <w:r>
        <w:rPr>
          <w:rFonts w:hint="eastAsia" w:ascii="宋体" w:hAnsi="宋体"/>
          <w:kern w:val="0"/>
          <w:szCs w:val="21"/>
        </w:rPr>
        <w:t>份，甲乙双方各执</w:t>
      </w:r>
      <w:r>
        <w:rPr>
          <w:rFonts w:ascii="宋体" w:hAnsi="宋体"/>
          <w:kern w:val="0"/>
          <w:szCs w:val="21"/>
          <w:u w:val="single"/>
        </w:rPr>
        <w:t>一</w:t>
      </w:r>
      <w:r>
        <w:rPr>
          <w:rFonts w:hint="eastAsia" w:ascii="宋体" w:hAnsi="宋体"/>
          <w:kern w:val="0"/>
          <w:szCs w:val="21"/>
        </w:rPr>
        <w:t>份，</w:t>
      </w:r>
      <w:r>
        <w:rPr>
          <w:rFonts w:hint="eastAsia" w:ascii="宋体" w:hAnsi="宋体"/>
          <w:kern w:val="0"/>
          <w:szCs w:val="21"/>
          <w:u w:val="single"/>
        </w:rPr>
        <w:t>一</w:t>
      </w:r>
      <w:r>
        <w:rPr>
          <w:rFonts w:hint="eastAsia" w:ascii="宋体" w:hAnsi="宋体"/>
          <w:kern w:val="0"/>
          <w:szCs w:val="21"/>
        </w:rPr>
        <w:t>份报送政府采购监督管理部门备案，</w:t>
      </w:r>
      <w:r>
        <w:rPr>
          <w:rFonts w:ascii="宋体" w:hAnsi="宋体"/>
          <w:kern w:val="0"/>
          <w:szCs w:val="21"/>
          <w:u w:val="single"/>
        </w:rPr>
        <w:t>一</w:t>
      </w:r>
      <w:r>
        <w:rPr>
          <w:rFonts w:hint="eastAsia" w:ascii="宋体" w:hAnsi="宋体"/>
          <w:kern w:val="0"/>
          <w:szCs w:val="21"/>
        </w:rPr>
        <w:t>份留采购代理单位存档备查。</w:t>
      </w:r>
      <w:r>
        <w:rPr>
          <w:rFonts w:hint="eastAsia" w:ascii="宋体" w:hAnsi="宋体"/>
          <w:kern w:val="0"/>
          <w:szCs w:val="21"/>
          <w:u w:val="single"/>
        </w:rPr>
        <w:t>一</w:t>
      </w:r>
      <w:r>
        <w:rPr>
          <w:rFonts w:hint="eastAsia" w:ascii="宋体" w:hAnsi="宋体"/>
          <w:kern w:val="0"/>
          <w:szCs w:val="21"/>
        </w:rPr>
        <w:t>份送</w:t>
      </w:r>
      <w:r>
        <w:rPr>
          <w:rFonts w:hint="eastAsia" w:ascii="宋体" w:hAnsi="宋体"/>
          <w:szCs w:val="21"/>
        </w:rPr>
        <w:t>财政核算支付中心</w:t>
      </w:r>
      <w:r>
        <w:rPr>
          <w:rFonts w:hint="eastAsia" w:ascii="宋体" w:hAnsi="宋体"/>
          <w:kern w:val="0"/>
          <w:szCs w:val="21"/>
        </w:rPr>
        <w:t>。</w:t>
      </w:r>
      <w:r>
        <w:rPr>
          <w:rFonts w:hint="eastAsia" w:ascii="宋体" w:hAnsi="宋体"/>
          <w:b/>
          <w:bCs/>
          <w:kern w:val="0"/>
          <w:szCs w:val="21"/>
          <w:u w:val="single"/>
        </w:rPr>
        <w:t>（若执行“政采贷”，另加二份）</w:t>
      </w:r>
    </w:p>
    <w:p>
      <w:pPr>
        <w:widowControl/>
        <w:ind w:firstLine="420" w:firstLineChars="200"/>
        <w:jc w:val="left"/>
        <w:rPr>
          <w:rFonts w:ascii="宋体" w:hAnsi="宋体"/>
          <w:kern w:val="0"/>
          <w:szCs w:val="21"/>
        </w:rPr>
      </w:pPr>
    </w:p>
    <w:p>
      <w:pPr>
        <w:pStyle w:val="4"/>
        <w:ind w:firstLine="600" w:firstLineChars="200"/>
        <w:rPr>
          <w:rFonts w:ascii="宋体" w:hAnsi="宋体"/>
          <w:sz w:val="32"/>
          <w:szCs w:val="32"/>
        </w:rPr>
      </w:pPr>
      <w:r>
        <w:rPr>
          <w:rFonts w:ascii="宋体" w:hAnsi="宋体"/>
          <w:b w:val="0"/>
        </w:rPr>
        <w:br w:type="page"/>
      </w:r>
      <w:bookmarkStart w:id="192" w:name="_Toc39655267"/>
      <w:bookmarkStart w:id="193" w:name="_Toc50211562"/>
      <w:bookmarkStart w:id="194" w:name="_Toc89897663"/>
      <w:bookmarkStart w:id="195" w:name="_Toc42879258"/>
      <w:bookmarkStart w:id="196" w:name="_Toc3386512"/>
      <w:bookmarkStart w:id="197" w:name="_Toc16185638"/>
      <w:r>
        <w:rPr>
          <w:rFonts w:hint="eastAsia" w:ascii="宋体" w:hAnsi="宋体"/>
        </w:rPr>
        <w:t>二、特殊专用条款部分</w:t>
      </w:r>
      <w:bookmarkEnd w:id="192"/>
      <w:bookmarkEnd w:id="193"/>
      <w:bookmarkEnd w:id="194"/>
      <w:bookmarkEnd w:id="195"/>
      <w:bookmarkEnd w:id="196"/>
      <w:bookmarkEnd w:id="197"/>
    </w:p>
    <w:p>
      <w:pPr>
        <w:snapToGrid w:val="0"/>
        <w:ind w:firstLine="422" w:firstLineChars="200"/>
        <w:rPr>
          <w:rFonts w:hint="eastAsia" w:ascii="宋体" w:hAnsi="宋体"/>
          <w:b/>
          <w:szCs w:val="21"/>
        </w:rPr>
      </w:pPr>
      <w:r>
        <w:rPr>
          <w:rFonts w:hint="eastAsia" w:ascii="宋体" w:hAnsi="宋体"/>
          <w:b/>
          <w:szCs w:val="21"/>
        </w:rPr>
        <w:t>第一条服务或货物内容</w:t>
      </w:r>
    </w:p>
    <w:p>
      <w:pPr>
        <w:snapToGrid w:val="0"/>
        <w:ind w:firstLine="422" w:firstLineChars="200"/>
        <w:rPr>
          <w:rFonts w:hint="eastAsia" w:ascii="宋体" w:hAnsi="宋体"/>
          <w:b/>
          <w:szCs w:val="21"/>
        </w:rPr>
      </w:pPr>
      <w:r>
        <w:rPr>
          <w:rFonts w:hint="eastAsia" w:ascii="宋体" w:hAnsi="宋体"/>
          <w:b/>
          <w:szCs w:val="21"/>
        </w:rPr>
        <w:t>第二条</w:t>
      </w:r>
      <w:r>
        <w:rPr>
          <w:rFonts w:ascii="宋体" w:hAnsi="宋体"/>
          <w:b/>
          <w:szCs w:val="21"/>
        </w:rPr>
        <w:t>合同履行时间、履行方式及履行地点</w:t>
      </w:r>
    </w:p>
    <w:p>
      <w:pPr>
        <w:snapToGrid w:val="0"/>
        <w:ind w:firstLine="420" w:firstLineChars="200"/>
        <w:rPr>
          <w:rFonts w:hint="eastAsia" w:ascii="宋体" w:hAnsi="宋体"/>
          <w:bCs/>
          <w:szCs w:val="21"/>
        </w:rPr>
      </w:pPr>
      <w:r>
        <w:rPr>
          <w:rFonts w:ascii="宋体" w:hAnsi="宋体"/>
          <w:bCs/>
          <w:szCs w:val="21"/>
        </w:rPr>
        <w:t>1</w:t>
      </w:r>
      <w:r>
        <w:rPr>
          <w:rFonts w:hint="eastAsia" w:ascii="宋体" w:hAnsi="宋体"/>
          <w:bCs/>
          <w:szCs w:val="21"/>
        </w:rPr>
        <w:t>、</w:t>
      </w:r>
      <w:r>
        <w:rPr>
          <w:rFonts w:ascii="宋体" w:hAnsi="宋体"/>
          <w:szCs w:val="21"/>
        </w:rPr>
        <w:t>履行时间</w:t>
      </w:r>
      <w:r>
        <w:rPr>
          <w:rFonts w:ascii="宋体" w:hAnsi="宋体"/>
          <w:bCs/>
          <w:szCs w:val="21"/>
        </w:rPr>
        <w:t>：</w:t>
      </w:r>
    </w:p>
    <w:p>
      <w:pPr>
        <w:snapToGrid w:val="0"/>
        <w:ind w:firstLine="420" w:firstLineChars="200"/>
        <w:rPr>
          <w:rFonts w:ascii="宋体" w:hAnsi="宋体"/>
          <w:bCs/>
          <w:szCs w:val="21"/>
        </w:rPr>
      </w:pPr>
      <w:r>
        <w:rPr>
          <w:rFonts w:ascii="宋体" w:hAnsi="宋体"/>
          <w:bCs/>
          <w:szCs w:val="21"/>
        </w:rPr>
        <w:t>2</w:t>
      </w:r>
      <w:r>
        <w:rPr>
          <w:rFonts w:hint="eastAsia" w:ascii="宋体" w:hAnsi="宋体"/>
          <w:bCs/>
          <w:szCs w:val="21"/>
        </w:rPr>
        <w:t>、</w:t>
      </w:r>
      <w:r>
        <w:rPr>
          <w:rFonts w:ascii="宋体" w:hAnsi="宋体"/>
          <w:szCs w:val="21"/>
        </w:rPr>
        <w:t>履行方式</w:t>
      </w:r>
      <w:r>
        <w:rPr>
          <w:rFonts w:ascii="宋体" w:hAnsi="宋体"/>
          <w:bCs/>
          <w:szCs w:val="21"/>
        </w:rPr>
        <w:t>：</w:t>
      </w:r>
    </w:p>
    <w:p>
      <w:pPr>
        <w:snapToGrid w:val="0"/>
        <w:ind w:firstLine="420" w:firstLineChars="200"/>
        <w:rPr>
          <w:rFonts w:hint="eastAsia" w:ascii="宋体" w:hAnsi="宋体"/>
          <w:bCs/>
          <w:szCs w:val="21"/>
        </w:rPr>
      </w:pPr>
      <w:r>
        <w:rPr>
          <w:rFonts w:ascii="宋体" w:hAnsi="宋体"/>
          <w:bCs/>
          <w:szCs w:val="21"/>
        </w:rPr>
        <w:t>3</w:t>
      </w:r>
      <w:r>
        <w:rPr>
          <w:rFonts w:hint="eastAsia" w:ascii="宋体" w:hAnsi="宋体"/>
          <w:bCs/>
          <w:szCs w:val="21"/>
        </w:rPr>
        <w:t>、</w:t>
      </w:r>
      <w:r>
        <w:rPr>
          <w:rFonts w:ascii="宋体" w:hAnsi="宋体"/>
          <w:szCs w:val="21"/>
        </w:rPr>
        <w:t>履行地点</w:t>
      </w:r>
      <w:r>
        <w:rPr>
          <w:rFonts w:ascii="宋体" w:hAnsi="宋体"/>
          <w:bCs/>
          <w:szCs w:val="21"/>
        </w:rPr>
        <w:t>：</w:t>
      </w:r>
    </w:p>
    <w:p>
      <w:pPr>
        <w:snapToGrid w:val="0"/>
        <w:ind w:firstLine="422" w:firstLineChars="200"/>
        <w:rPr>
          <w:rFonts w:hint="eastAsia" w:ascii="宋体" w:hAnsi="宋体"/>
          <w:b/>
          <w:szCs w:val="21"/>
        </w:rPr>
      </w:pPr>
      <w:r>
        <w:rPr>
          <w:rFonts w:hint="eastAsia" w:ascii="宋体" w:hAnsi="宋体"/>
          <w:b/>
          <w:szCs w:val="21"/>
        </w:rPr>
        <w:t>第</w:t>
      </w:r>
      <w:r>
        <w:rPr>
          <w:rFonts w:ascii="宋体" w:hAnsi="宋体"/>
          <w:b/>
          <w:szCs w:val="21"/>
        </w:rPr>
        <w:t>三</w:t>
      </w:r>
      <w:r>
        <w:rPr>
          <w:rFonts w:hint="eastAsia" w:ascii="宋体" w:hAnsi="宋体"/>
          <w:b/>
          <w:szCs w:val="21"/>
        </w:rPr>
        <w:t>条</w:t>
      </w:r>
      <w:r>
        <w:rPr>
          <w:rFonts w:ascii="宋体" w:hAnsi="宋体"/>
          <w:b/>
          <w:szCs w:val="21"/>
        </w:rPr>
        <w:t>技术资料</w:t>
      </w:r>
    </w:p>
    <w:p>
      <w:pPr>
        <w:snapToGrid w:val="0"/>
        <w:ind w:firstLine="420" w:firstLineChars="200"/>
        <w:rPr>
          <w:rFonts w:hint="eastAsia" w:ascii="宋体" w:hAnsi="宋体"/>
          <w:szCs w:val="21"/>
        </w:rPr>
      </w:pPr>
      <w:r>
        <w:rPr>
          <w:rFonts w:ascii="宋体" w:hAnsi="宋体"/>
          <w:szCs w:val="21"/>
        </w:rPr>
        <w:t>1</w:t>
      </w:r>
      <w:r>
        <w:rPr>
          <w:rFonts w:hint="eastAsia" w:ascii="宋体" w:hAnsi="宋体"/>
          <w:szCs w:val="21"/>
        </w:rPr>
        <w:t>、</w:t>
      </w:r>
      <w:r>
        <w:rPr>
          <w:rFonts w:ascii="宋体" w:hAnsi="宋体"/>
          <w:szCs w:val="21"/>
        </w:rPr>
        <w:t>乙方应按招标文件规定的时间向甲方提供有关技术资料。</w:t>
      </w:r>
    </w:p>
    <w:p>
      <w:pPr>
        <w:snapToGrid w:val="0"/>
        <w:ind w:firstLine="420" w:firstLineChars="200"/>
        <w:rPr>
          <w:rFonts w:hint="eastAsia" w:ascii="宋体" w:hAnsi="宋体"/>
          <w:szCs w:val="21"/>
        </w:rPr>
      </w:pPr>
      <w:r>
        <w:rPr>
          <w:rFonts w:ascii="宋体" w:hAnsi="宋体"/>
          <w:szCs w:val="21"/>
        </w:rPr>
        <w:t>2</w:t>
      </w:r>
      <w:r>
        <w:rPr>
          <w:rFonts w:hint="eastAsia" w:ascii="宋体" w:hAnsi="宋体"/>
          <w:szCs w:val="21"/>
        </w:rPr>
        <w:t>、</w:t>
      </w:r>
      <w:r>
        <w:rPr>
          <w:rFonts w:ascii="宋体" w:hAnsi="宋体"/>
          <w:szCs w:val="21"/>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snapToGrid w:val="0"/>
        <w:ind w:firstLine="422" w:firstLineChars="200"/>
        <w:rPr>
          <w:rFonts w:hint="eastAsia" w:ascii="宋体" w:hAnsi="宋体"/>
          <w:b/>
          <w:szCs w:val="21"/>
        </w:rPr>
      </w:pPr>
      <w:r>
        <w:rPr>
          <w:rFonts w:hint="eastAsia" w:ascii="宋体" w:hAnsi="宋体"/>
          <w:b/>
          <w:szCs w:val="21"/>
        </w:rPr>
        <w:t>第</w:t>
      </w:r>
      <w:r>
        <w:rPr>
          <w:rFonts w:ascii="宋体" w:hAnsi="宋体"/>
          <w:b/>
          <w:szCs w:val="21"/>
        </w:rPr>
        <w:t>四</w:t>
      </w:r>
      <w:r>
        <w:rPr>
          <w:rFonts w:hint="eastAsia" w:ascii="宋体" w:hAnsi="宋体"/>
          <w:b/>
          <w:szCs w:val="21"/>
        </w:rPr>
        <w:t>条</w:t>
      </w:r>
      <w:r>
        <w:rPr>
          <w:rFonts w:ascii="宋体" w:hAnsi="宋体"/>
          <w:b/>
          <w:szCs w:val="21"/>
        </w:rPr>
        <w:t>知识产权</w:t>
      </w:r>
    </w:p>
    <w:p>
      <w:pPr>
        <w:snapToGrid w:val="0"/>
        <w:ind w:firstLine="420" w:firstLineChars="200"/>
        <w:rPr>
          <w:rFonts w:hint="eastAsia" w:ascii="宋体" w:hAnsi="宋体"/>
          <w:b/>
          <w:bCs/>
          <w:szCs w:val="21"/>
        </w:rPr>
      </w:pPr>
      <w:r>
        <w:rPr>
          <w:rFonts w:ascii="宋体" w:hAnsi="宋体"/>
          <w:szCs w:val="21"/>
        </w:rPr>
        <w:t>乙方应保证提供服务过程中不会侵犯任何第三方的知识产权</w:t>
      </w:r>
      <w:r>
        <w:rPr>
          <w:rFonts w:ascii="宋体" w:hAnsi="宋体"/>
          <w:bCs/>
          <w:szCs w:val="21"/>
        </w:rPr>
        <w:t>。</w:t>
      </w:r>
    </w:p>
    <w:p>
      <w:pPr>
        <w:snapToGrid w:val="0"/>
        <w:ind w:firstLine="422" w:firstLineChars="200"/>
        <w:rPr>
          <w:rFonts w:hint="eastAsia" w:ascii="宋体" w:hAnsi="宋体"/>
          <w:b/>
          <w:szCs w:val="21"/>
        </w:rPr>
      </w:pPr>
      <w:r>
        <w:rPr>
          <w:rFonts w:hint="eastAsia" w:ascii="宋体" w:hAnsi="宋体"/>
          <w:b/>
          <w:szCs w:val="21"/>
        </w:rPr>
        <w:t>第五条税费</w:t>
      </w:r>
    </w:p>
    <w:p>
      <w:pPr>
        <w:snapToGrid w:val="0"/>
        <w:ind w:firstLine="420" w:firstLineChars="200"/>
        <w:rPr>
          <w:rFonts w:hint="eastAsia" w:ascii="宋体" w:hAnsi="宋体"/>
          <w:szCs w:val="21"/>
        </w:rPr>
      </w:pPr>
      <w:r>
        <w:rPr>
          <w:rFonts w:hint="eastAsia" w:ascii="宋体" w:hAnsi="宋体"/>
          <w:szCs w:val="21"/>
        </w:rPr>
        <w:t>本合同执行中相关的一切税费均由</w:t>
      </w:r>
      <w:r>
        <w:rPr>
          <w:rFonts w:ascii="宋体" w:hAnsi="宋体"/>
          <w:szCs w:val="21"/>
        </w:rPr>
        <w:t>乙</w:t>
      </w:r>
      <w:r>
        <w:rPr>
          <w:rFonts w:hint="eastAsia" w:ascii="宋体" w:hAnsi="宋体"/>
          <w:szCs w:val="21"/>
        </w:rPr>
        <w:t>方负担。</w:t>
      </w:r>
    </w:p>
    <w:p>
      <w:pPr>
        <w:snapToGrid w:val="0"/>
        <w:ind w:firstLine="422" w:firstLineChars="200"/>
        <w:rPr>
          <w:rFonts w:hint="eastAsia" w:ascii="宋体" w:hAnsi="宋体"/>
          <w:b/>
          <w:szCs w:val="21"/>
        </w:rPr>
      </w:pPr>
      <w:r>
        <w:rPr>
          <w:rFonts w:hint="eastAsia" w:ascii="宋体" w:hAnsi="宋体"/>
          <w:b/>
          <w:szCs w:val="21"/>
        </w:rPr>
        <w:t>第六条</w:t>
      </w:r>
      <w:r>
        <w:rPr>
          <w:rFonts w:ascii="宋体" w:hAnsi="宋体"/>
          <w:b/>
          <w:szCs w:val="21"/>
        </w:rPr>
        <w:t>违约责任</w:t>
      </w:r>
    </w:p>
    <w:p>
      <w:pPr>
        <w:snapToGrid w:val="0"/>
        <w:ind w:firstLine="420" w:firstLineChars="200"/>
        <w:rPr>
          <w:rFonts w:hint="eastAsia" w:ascii="宋体" w:hAnsi="宋体"/>
          <w:szCs w:val="21"/>
        </w:rPr>
      </w:pPr>
      <w:r>
        <w:rPr>
          <w:rFonts w:hint="eastAsia" w:ascii="宋体" w:hAnsi="宋体"/>
          <w:szCs w:val="21"/>
        </w:rPr>
        <w:t>1、</w:t>
      </w:r>
      <w:r>
        <w:rPr>
          <w:rFonts w:ascii="宋体" w:hAnsi="宋体"/>
          <w:szCs w:val="21"/>
        </w:rPr>
        <w:t>甲方无正当理由拒收接受服务的，甲方向乙方偿付合同款项百分之五作为违约金。</w:t>
      </w:r>
    </w:p>
    <w:p>
      <w:pPr>
        <w:snapToGrid w:val="0"/>
        <w:ind w:firstLine="420" w:firstLineChars="200"/>
        <w:rPr>
          <w:rFonts w:hint="eastAsia" w:ascii="宋体" w:hAnsi="宋体"/>
          <w:szCs w:val="21"/>
        </w:rPr>
      </w:pPr>
      <w:r>
        <w:rPr>
          <w:rFonts w:hint="eastAsia" w:ascii="宋体" w:hAnsi="宋体"/>
          <w:szCs w:val="21"/>
        </w:rPr>
        <w:t>2、</w:t>
      </w:r>
      <w:r>
        <w:rPr>
          <w:rFonts w:ascii="宋体" w:hAnsi="宋体"/>
          <w:szCs w:val="21"/>
        </w:rPr>
        <w:t>甲方无故逾期验收和办理款项支付手续的，甲方应按逾期付款总额每日万分之五向乙方支付违约金。</w:t>
      </w:r>
    </w:p>
    <w:p>
      <w:pPr>
        <w:snapToGrid w:val="0"/>
        <w:ind w:firstLine="420" w:firstLineChars="200"/>
        <w:rPr>
          <w:rFonts w:ascii="宋体" w:hAnsi="宋体"/>
          <w:szCs w:val="21"/>
        </w:rPr>
      </w:pPr>
      <w:r>
        <w:rPr>
          <w:rFonts w:ascii="宋体" w:hAnsi="宋体"/>
          <w:szCs w:val="21"/>
        </w:rPr>
        <w:t>3</w:t>
      </w:r>
      <w:r>
        <w:rPr>
          <w:rFonts w:hint="eastAsia" w:ascii="宋体" w:hAnsi="宋体"/>
          <w:szCs w:val="21"/>
        </w:rPr>
        <w:t>、</w:t>
      </w:r>
      <w:r>
        <w:rPr>
          <w:rFonts w:ascii="宋体" w:hAnsi="宋体"/>
          <w:szCs w:val="21"/>
        </w:rPr>
        <w:t>乙方</w:t>
      </w:r>
      <w:r>
        <w:rPr>
          <w:rFonts w:hint="eastAsia" w:ascii="宋体" w:hAnsi="宋体"/>
          <w:szCs w:val="21"/>
        </w:rPr>
        <w:t>未能如</w:t>
      </w:r>
      <w:r>
        <w:rPr>
          <w:rFonts w:ascii="宋体" w:hAnsi="宋体"/>
          <w:szCs w:val="21"/>
        </w:rPr>
        <w:t>期提供服务的，每日向甲方支付</w:t>
      </w:r>
      <w:r>
        <w:rPr>
          <w:rFonts w:hint="eastAsia" w:ascii="宋体" w:hAnsi="宋体"/>
          <w:szCs w:val="21"/>
        </w:rPr>
        <w:t>合同款项的</w:t>
      </w:r>
      <w:r>
        <w:rPr>
          <w:rFonts w:ascii="宋体" w:hAnsi="宋体"/>
          <w:szCs w:val="21"/>
        </w:rPr>
        <w:t>千分之六</w:t>
      </w:r>
      <w:r>
        <w:rPr>
          <w:rFonts w:hint="eastAsia" w:ascii="宋体" w:hAnsi="宋体"/>
          <w:szCs w:val="21"/>
        </w:rPr>
        <w:t>作为</w:t>
      </w:r>
      <w:r>
        <w:rPr>
          <w:rFonts w:ascii="宋体" w:hAnsi="宋体"/>
          <w:szCs w:val="21"/>
        </w:rPr>
        <w:t>违约金。乙方超过约定日期10个工作日</w:t>
      </w:r>
      <w:r>
        <w:rPr>
          <w:rFonts w:hint="eastAsia" w:ascii="宋体" w:hAnsi="宋体"/>
          <w:szCs w:val="21"/>
        </w:rPr>
        <w:t>仍</w:t>
      </w:r>
      <w:r>
        <w:rPr>
          <w:rFonts w:ascii="宋体" w:hAnsi="宋体"/>
          <w:szCs w:val="21"/>
        </w:rPr>
        <w:t>不能</w:t>
      </w:r>
      <w:r>
        <w:rPr>
          <w:rFonts w:hint="eastAsia" w:ascii="宋体" w:hAnsi="宋体"/>
          <w:szCs w:val="21"/>
        </w:rPr>
        <w:t>提供服务</w:t>
      </w:r>
      <w:r>
        <w:rPr>
          <w:rFonts w:ascii="宋体" w:hAnsi="宋体"/>
          <w:szCs w:val="21"/>
        </w:rPr>
        <w:t>的，甲方可解除本合同。乙方因</w:t>
      </w:r>
      <w:r>
        <w:rPr>
          <w:rFonts w:hint="eastAsia" w:ascii="宋体" w:hAnsi="宋体"/>
          <w:szCs w:val="21"/>
        </w:rPr>
        <w:t>未能如</w:t>
      </w:r>
      <w:r>
        <w:rPr>
          <w:rFonts w:ascii="宋体" w:hAnsi="宋体"/>
          <w:szCs w:val="21"/>
        </w:rPr>
        <w:t>期提供服务或因其他违约行为导致甲方解除合同的，乙方应向甲方支付合同总值5%的违约金，如造成甲方损失超过违约金的，超出部分由乙方继续承担赔偿责任。</w:t>
      </w:r>
    </w:p>
    <w:p>
      <w:pPr>
        <w:snapToGrid w:val="0"/>
        <w:ind w:firstLine="422" w:firstLineChars="200"/>
        <w:rPr>
          <w:rFonts w:ascii="宋体" w:hAnsi="宋体"/>
          <w:b/>
          <w:szCs w:val="21"/>
        </w:rPr>
      </w:pPr>
      <w:r>
        <w:rPr>
          <w:rFonts w:hint="eastAsia" w:ascii="宋体" w:hAnsi="宋体"/>
          <w:b/>
          <w:szCs w:val="21"/>
        </w:rPr>
        <w:t>第七条</w:t>
      </w:r>
      <w:r>
        <w:rPr>
          <w:rFonts w:ascii="宋体" w:hAnsi="宋体"/>
          <w:b/>
          <w:szCs w:val="21"/>
        </w:rPr>
        <w:t>不可抗力事件处理</w:t>
      </w:r>
    </w:p>
    <w:p>
      <w:pPr>
        <w:snapToGrid w:val="0"/>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在合同有效期内，任何一方因不可抗力事件导致不能履行合同，则合同履行期可延长，其延长期与不可抗力影响期相同。</w:t>
      </w:r>
    </w:p>
    <w:p>
      <w:pPr>
        <w:snapToGrid w:val="0"/>
        <w:ind w:firstLine="420" w:firstLineChars="200"/>
        <w:rPr>
          <w:rFonts w:ascii="宋体" w:hAnsi="宋体"/>
          <w:szCs w:val="21"/>
        </w:rPr>
      </w:pPr>
      <w:r>
        <w:rPr>
          <w:rFonts w:ascii="宋体" w:hAnsi="宋体"/>
          <w:szCs w:val="21"/>
        </w:rPr>
        <w:t>2</w:t>
      </w:r>
      <w:r>
        <w:rPr>
          <w:rFonts w:hint="eastAsia" w:ascii="宋体" w:hAnsi="宋体"/>
          <w:szCs w:val="21"/>
        </w:rPr>
        <w:t>、不</w:t>
      </w:r>
      <w:r>
        <w:rPr>
          <w:rFonts w:ascii="宋体" w:hAnsi="宋体"/>
          <w:szCs w:val="21"/>
        </w:rPr>
        <w:t>可抗力事件发生后，应立即通知对方，并寄送有关权威机构出具的证明。</w:t>
      </w:r>
    </w:p>
    <w:p>
      <w:pPr>
        <w:snapToGrid w:val="0"/>
        <w:ind w:firstLine="420" w:firstLineChars="200"/>
        <w:rPr>
          <w:rFonts w:hint="eastAsia" w:ascii="宋体" w:hAnsi="宋体"/>
          <w:szCs w:val="21"/>
        </w:rPr>
      </w:pPr>
      <w:r>
        <w:rPr>
          <w:rFonts w:ascii="宋体" w:hAnsi="宋体"/>
          <w:szCs w:val="21"/>
        </w:rPr>
        <w:t>3</w:t>
      </w:r>
      <w:r>
        <w:rPr>
          <w:rFonts w:hint="eastAsia" w:ascii="宋体" w:hAnsi="宋体"/>
          <w:szCs w:val="21"/>
        </w:rPr>
        <w:t>、</w:t>
      </w:r>
      <w:r>
        <w:rPr>
          <w:rFonts w:ascii="宋体" w:hAnsi="宋体"/>
          <w:szCs w:val="21"/>
        </w:rPr>
        <w:t>不可抗力事件延续120天以上，双方应通过友好协商，确定是否继续履行合同。</w:t>
      </w:r>
    </w:p>
    <w:p>
      <w:pPr>
        <w:snapToGrid w:val="0"/>
        <w:ind w:firstLine="422" w:firstLineChars="200"/>
        <w:rPr>
          <w:rFonts w:hint="eastAsia" w:ascii="宋体" w:hAnsi="宋体"/>
          <w:b/>
          <w:szCs w:val="21"/>
        </w:rPr>
      </w:pPr>
      <w:r>
        <w:rPr>
          <w:rFonts w:hint="eastAsia" w:ascii="宋体" w:hAnsi="宋体"/>
          <w:b/>
          <w:szCs w:val="21"/>
        </w:rPr>
        <w:t>第八条</w:t>
      </w:r>
      <w:r>
        <w:rPr>
          <w:rFonts w:ascii="宋体" w:hAnsi="宋体"/>
          <w:b/>
          <w:szCs w:val="21"/>
        </w:rPr>
        <w:t>诉讼</w:t>
      </w:r>
    </w:p>
    <w:p>
      <w:pPr>
        <w:snapToGrid w:val="0"/>
        <w:ind w:firstLine="420" w:firstLineChars="200"/>
        <w:rPr>
          <w:rFonts w:hint="eastAsia" w:ascii="宋体" w:hAnsi="宋体"/>
          <w:szCs w:val="21"/>
        </w:rPr>
      </w:pPr>
      <w:r>
        <w:rPr>
          <w:rFonts w:ascii="宋体" w:hAnsi="宋体"/>
          <w:szCs w:val="21"/>
        </w:rPr>
        <w:t>双方在执行合同中所发生的一切争议，应通过协商解决。如协商不成，可向</w:t>
      </w:r>
      <w:r>
        <w:rPr>
          <w:rFonts w:hint="eastAsia" w:ascii="宋体" w:hAnsi="宋体"/>
          <w:szCs w:val="21"/>
        </w:rPr>
        <w:t>甲方所在</w:t>
      </w:r>
      <w:r>
        <w:rPr>
          <w:rFonts w:ascii="宋体" w:hAnsi="宋体"/>
          <w:szCs w:val="21"/>
        </w:rPr>
        <w:t>地法院起诉。</w:t>
      </w:r>
    </w:p>
    <w:p>
      <w:pPr>
        <w:snapToGrid w:val="0"/>
        <w:ind w:firstLine="422" w:firstLineChars="200"/>
        <w:rPr>
          <w:rFonts w:ascii="宋体" w:hAnsi="宋体"/>
          <w:b/>
          <w:szCs w:val="21"/>
        </w:rPr>
      </w:pPr>
      <w:r>
        <w:rPr>
          <w:rFonts w:hint="eastAsia" w:ascii="宋体" w:hAnsi="宋体"/>
          <w:b/>
          <w:szCs w:val="21"/>
        </w:rPr>
        <w:t>第九条</w:t>
      </w:r>
      <w:r>
        <w:rPr>
          <w:rFonts w:ascii="宋体" w:hAnsi="宋体"/>
          <w:b/>
          <w:szCs w:val="21"/>
        </w:rPr>
        <w:t>合同生效及其它</w:t>
      </w:r>
    </w:p>
    <w:p>
      <w:pPr>
        <w:autoSpaceDE w:val="0"/>
        <w:autoSpaceDN w:val="0"/>
        <w:adjustRightInd w:val="0"/>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合同经双方法定代表人或授权委托代理人签字并加盖单位公章后生效。</w:t>
      </w:r>
    </w:p>
    <w:p>
      <w:pPr>
        <w:autoSpaceDE w:val="0"/>
        <w:autoSpaceDN w:val="0"/>
        <w:adjustRightInd w:val="0"/>
        <w:ind w:firstLine="420" w:firstLineChars="200"/>
        <w:rPr>
          <w:rFonts w:ascii="宋体" w:hAnsi="宋体"/>
          <w:szCs w:val="21"/>
        </w:rPr>
      </w:pPr>
      <w:r>
        <w:rPr>
          <w:rFonts w:hint="eastAsia" w:ascii="宋体" w:hAnsi="宋体"/>
          <w:szCs w:val="21"/>
        </w:rPr>
        <w:t>2、</w:t>
      </w:r>
      <w:r>
        <w:rPr>
          <w:rFonts w:ascii="宋体" w:hAnsi="宋体"/>
          <w:szCs w:val="21"/>
        </w:rPr>
        <w:t>本合同未尽事宜，遵照《</w:t>
      </w:r>
      <w:r>
        <w:rPr>
          <w:rFonts w:ascii="宋体" w:hAnsi="宋体"/>
          <w:kern w:val="0"/>
          <w:szCs w:val="21"/>
        </w:rPr>
        <w:t>中华人民共和国</w:t>
      </w:r>
      <w:r>
        <w:rPr>
          <w:rFonts w:hint="eastAsia" w:ascii="宋体" w:hAnsi="宋体"/>
          <w:szCs w:val="21"/>
        </w:rPr>
        <w:t>民法典</w:t>
      </w:r>
      <w:r>
        <w:rPr>
          <w:rFonts w:ascii="宋体" w:hAnsi="宋体"/>
          <w:szCs w:val="21"/>
        </w:rPr>
        <w:t>》有关条文执行。</w:t>
      </w:r>
    </w:p>
    <w:p>
      <w:pPr>
        <w:autoSpaceDE w:val="0"/>
        <w:autoSpaceDN w:val="0"/>
        <w:adjustRightInd w:val="0"/>
        <w:ind w:firstLine="420" w:firstLineChars="200"/>
        <w:rPr>
          <w:rFonts w:ascii="宋体" w:hAnsi="宋体"/>
          <w:szCs w:val="21"/>
        </w:rPr>
      </w:pPr>
      <w:r>
        <w:rPr>
          <w:rFonts w:hint="eastAsia" w:ascii="宋体" w:hAnsi="宋体"/>
          <w:szCs w:val="21"/>
        </w:rPr>
        <w:t xml:space="preserve">甲方：                               乙方： </w:t>
      </w:r>
    </w:p>
    <w:p>
      <w:pPr>
        <w:autoSpaceDE w:val="0"/>
        <w:autoSpaceDN w:val="0"/>
        <w:adjustRightInd w:val="0"/>
        <w:ind w:firstLine="420" w:firstLineChars="200"/>
        <w:rPr>
          <w:rFonts w:ascii="宋体" w:hAnsi="宋体"/>
          <w:szCs w:val="21"/>
        </w:rPr>
      </w:pPr>
      <w:r>
        <w:rPr>
          <w:rFonts w:hint="eastAsia" w:ascii="宋体" w:hAnsi="宋体"/>
          <w:szCs w:val="21"/>
        </w:rPr>
        <w:t xml:space="preserve">地址：                               地址： </w:t>
      </w:r>
    </w:p>
    <w:p>
      <w:pPr>
        <w:autoSpaceDE w:val="0"/>
        <w:autoSpaceDN w:val="0"/>
        <w:adjustRightInd w:val="0"/>
        <w:ind w:firstLine="420" w:firstLineChars="200"/>
        <w:rPr>
          <w:rFonts w:ascii="宋体" w:hAnsi="宋体"/>
          <w:szCs w:val="21"/>
        </w:rPr>
      </w:pPr>
      <w:r>
        <w:rPr>
          <w:rFonts w:hint="eastAsia" w:ascii="宋体" w:hAnsi="宋体"/>
          <w:szCs w:val="21"/>
        </w:rPr>
        <w:t>法定代表人或                         法定代表人或</w:t>
      </w:r>
    </w:p>
    <w:p>
      <w:pPr>
        <w:autoSpaceDE w:val="0"/>
        <w:autoSpaceDN w:val="0"/>
        <w:adjustRightInd w:val="0"/>
        <w:ind w:firstLine="420" w:firstLineChars="200"/>
        <w:rPr>
          <w:rFonts w:ascii="宋体" w:hAnsi="宋体"/>
          <w:szCs w:val="21"/>
        </w:rPr>
      </w:pPr>
      <w:r>
        <w:rPr>
          <w:rFonts w:hint="eastAsia" w:ascii="宋体" w:hAnsi="宋体"/>
          <w:szCs w:val="21"/>
        </w:rPr>
        <w:t>授权委托代理人：（签字）             授权委托代理人：（签字）</w:t>
      </w:r>
    </w:p>
    <w:p>
      <w:pPr>
        <w:autoSpaceDE w:val="0"/>
        <w:autoSpaceDN w:val="0"/>
        <w:adjustRightInd w:val="0"/>
        <w:ind w:firstLine="420" w:firstLineChars="200"/>
        <w:rPr>
          <w:rFonts w:ascii="宋体" w:hAnsi="宋体"/>
          <w:szCs w:val="21"/>
        </w:rPr>
      </w:pPr>
      <w:r>
        <w:rPr>
          <w:rFonts w:hint="eastAsia" w:ascii="宋体" w:hAnsi="宋体"/>
          <w:szCs w:val="21"/>
        </w:rPr>
        <w:t>开户银行：</w:t>
      </w:r>
    </w:p>
    <w:p>
      <w:pPr>
        <w:autoSpaceDE w:val="0"/>
        <w:autoSpaceDN w:val="0"/>
        <w:adjustRightInd w:val="0"/>
        <w:ind w:firstLine="420" w:firstLineChars="200"/>
        <w:rPr>
          <w:rFonts w:ascii="宋体" w:hAnsi="宋体"/>
          <w:szCs w:val="21"/>
        </w:rPr>
      </w:pPr>
      <w:r>
        <w:rPr>
          <w:rFonts w:hint="eastAsia" w:ascii="宋体" w:hAnsi="宋体"/>
          <w:szCs w:val="21"/>
        </w:rPr>
        <w:t>账号：</w:t>
      </w:r>
    </w:p>
    <w:p>
      <w:pPr>
        <w:autoSpaceDE w:val="0"/>
        <w:autoSpaceDN w:val="0"/>
        <w:adjustRightInd w:val="0"/>
        <w:ind w:firstLine="420" w:firstLineChars="200"/>
        <w:rPr>
          <w:rFonts w:ascii="宋体" w:hAnsi="宋体"/>
          <w:szCs w:val="21"/>
        </w:rPr>
      </w:pPr>
    </w:p>
    <w:p>
      <w:pPr>
        <w:ind w:firstLine="420" w:firstLineChars="200"/>
        <w:rPr>
          <w:rFonts w:ascii="宋体" w:hAnsi="宋体"/>
          <w:szCs w:val="21"/>
        </w:rPr>
      </w:pPr>
      <w:r>
        <w:rPr>
          <w:rFonts w:hint="eastAsia" w:ascii="宋体" w:hAnsi="宋体"/>
          <w:szCs w:val="21"/>
        </w:rPr>
        <w:t>合同鉴证单位：浙江富昱项目管理有限公司</w:t>
      </w:r>
    </w:p>
    <w:p>
      <w:pPr>
        <w:ind w:firstLine="420" w:firstLineChars="200"/>
        <w:rPr>
          <w:rFonts w:ascii="宋体" w:hAnsi="宋体"/>
          <w:szCs w:val="21"/>
        </w:rPr>
      </w:pPr>
      <w:r>
        <w:rPr>
          <w:rFonts w:hint="eastAsia" w:ascii="宋体" w:hAnsi="宋体"/>
          <w:szCs w:val="21"/>
        </w:rPr>
        <w:t>法定代表人或经办人：</w:t>
      </w:r>
    </w:p>
    <w:p>
      <w:pPr>
        <w:ind w:firstLine="420" w:firstLineChars="200"/>
        <w:rPr>
          <w:rFonts w:ascii="宋体" w:hAnsi="宋体"/>
          <w:szCs w:val="21"/>
        </w:rPr>
      </w:pPr>
    </w:p>
    <w:p>
      <w:pPr>
        <w:ind w:firstLine="420" w:firstLineChars="200"/>
        <w:rPr>
          <w:rFonts w:ascii="宋体" w:hAnsi="宋体"/>
          <w:szCs w:val="21"/>
        </w:rPr>
      </w:pPr>
      <w:r>
        <w:rPr>
          <w:rFonts w:hint="eastAsia" w:ascii="宋体" w:hAnsi="宋体"/>
          <w:szCs w:val="21"/>
        </w:rPr>
        <w:t>签订地点：</w:t>
      </w:r>
    </w:p>
    <w:p>
      <w:pPr>
        <w:ind w:firstLine="420" w:firstLineChars="200"/>
        <w:rPr>
          <w:rFonts w:ascii="宋体" w:hAnsi="宋体"/>
          <w:szCs w:val="21"/>
        </w:rPr>
      </w:pPr>
      <w:r>
        <w:rPr>
          <w:rFonts w:hint="eastAsia" w:ascii="宋体" w:hAnsi="宋体"/>
          <w:szCs w:val="21"/>
        </w:rPr>
        <w:t>签订日期：   年   月   日</w:t>
      </w:r>
    </w:p>
    <w:p>
      <w:pPr>
        <w:autoSpaceDE w:val="0"/>
        <w:autoSpaceDN w:val="0"/>
        <w:adjustRightInd w:val="0"/>
        <w:ind w:firstLine="420" w:firstLineChars="200"/>
        <w:jc w:val="left"/>
        <w:rPr>
          <w:rFonts w:ascii="宋体" w:hAnsi="宋体"/>
        </w:rPr>
        <w:sectPr>
          <w:footerReference r:id="rId10" w:type="first"/>
          <w:headerReference r:id="rId9" w:type="default"/>
          <w:pgSz w:w="11906" w:h="16838"/>
          <w:pgMar w:top="1247" w:right="1418" w:bottom="1276" w:left="1418" w:header="851" w:footer="483" w:gutter="0"/>
          <w:cols w:space="720" w:num="1"/>
          <w:titlePg/>
          <w:docGrid w:linePitch="312" w:charSpace="0"/>
        </w:sectPr>
      </w:pPr>
    </w:p>
    <w:tbl>
      <w:tblPr>
        <w:tblStyle w:val="53"/>
        <w:tblW w:w="0" w:type="auto"/>
        <w:tblInd w:w="93" w:type="dxa"/>
        <w:tblLayout w:type="fixed"/>
        <w:tblCellMar>
          <w:top w:w="0" w:type="dxa"/>
          <w:left w:w="108" w:type="dxa"/>
          <w:bottom w:w="0" w:type="dxa"/>
          <w:right w:w="108" w:type="dxa"/>
        </w:tblCellMar>
      </w:tblPr>
      <w:tblGrid>
        <w:gridCol w:w="4566"/>
        <w:gridCol w:w="4784"/>
        <w:gridCol w:w="1265"/>
        <w:gridCol w:w="1582"/>
        <w:gridCol w:w="1993"/>
      </w:tblGrid>
      <w:tr>
        <w:tblPrEx>
          <w:tblCellMar>
            <w:top w:w="0" w:type="dxa"/>
            <w:left w:w="108" w:type="dxa"/>
            <w:bottom w:w="0" w:type="dxa"/>
            <w:right w:w="108" w:type="dxa"/>
          </w:tblCellMar>
        </w:tblPrEx>
        <w:trPr>
          <w:wBefore w:w="0" w:type="dxa"/>
          <w:trHeight w:val="447" w:hRule="atLeast"/>
        </w:trPr>
        <w:tc>
          <w:tcPr>
            <w:tcW w:w="14190" w:type="dxa"/>
            <w:gridSpan w:val="5"/>
            <w:tcBorders>
              <w:top w:val="nil"/>
              <w:left w:val="nil"/>
              <w:bottom w:val="nil"/>
              <w:right w:val="nil"/>
            </w:tcBorders>
            <w:noWrap w:val="0"/>
            <w:vAlign w:val="center"/>
          </w:tcPr>
          <w:p>
            <w:pPr>
              <w:widowControl/>
              <w:ind w:firstLine="643" w:firstLineChars="200"/>
              <w:jc w:val="center"/>
              <w:rPr>
                <w:rFonts w:ascii="宋体" w:hAnsi="宋体"/>
                <w:b/>
                <w:bCs/>
                <w:kern w:val="0"/>
                <w:sz w:val="32"/>
                <w:szCs w:val="32"/>
              </w:rPr>
            </w:pPr>
            <w:r>
              <w:rPr>
                <w:rFonts w:hint="eastAsia" w:ascii="宋体" w:hAnsi="宋体"/>
                <w:b/>
                <w:bCs/>
                <w:kern w:val="0"/>
                <w:sz w:val="32"/>
                <w:szCs w:val="32"/>
              </w:rPr>
              <w:t>政府采购项目验收单</w:t>
            </w:r>
          </w:p>
        </w:tc>
      </w:tr>
      <w:tr>
        <w:tblPrEx>
          <w:tblCellMar>
            <w:top w:w="0" w:type="dxa"/>
            <w:left w:w="108" w:type="dxa"/>
            <w:bottom w:w="0" w:type="dxa"/>
            <w:right w:w="108" w:type="dxa"/>
          </w:tblCellMar>
        </w:tblPrEx>
        <w:trPr>
          <w:wBefore w:w="0" w:type="dxa"/>
          <w:trHeight w:val="346" w:hRule="atLeast"/>
        </w:trPr>
        <w:tc>
          <w:tcPr>
            <w:tcW w:w="14190" w:type="dxa"/>
            <w:gridSpan w:val="5"/>
            <w:tcBorders>
              <w:top w:val="nil"/>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按照《政府采购委托汇总确认书》嘉兴市财政局</w:t>
            </w:r>
            <w:r>
              <w:rPr>
                <w:rFonts w:hint="eastAsia" w:ascii="宋体" w:hAnsi="宋体"/>
                <w:kern w:val="0"/>
                <w:szCs w:val="21"/>
                <w:u w:val="single"/>
              </w:rPr>
              <w:t xml:space="preserve"> 临[2023]5434号、临[2023]5452号</w:t>
            </w:r>
            <w:r>
              <w:rPr>
                <w:rFonts w:hint="eastAsia" w:ascii="宋体" w:hAnsi="宋体"/>
                <w:kern w:val="0"/>
                <w:szCs w:val="21"/>
              </w:rPr>
              <w:t>，采购编号：</w:t>
            </w:r>
            <w:r>
              <w:rPr>
                <w:rFonts w:hint="eastAsia" w:ascii="宋体" w:hAnsi="宋体"/>
                <w:kern w:val="0"/>
                <w:szCs w:val="21"/>
                <w:u w:val="single"/>
              </w:rPr>
              <w:t xml:space="preserve">            </w:t>
            </w:r>
            <w:r>
              <w:rPr>
                <w:rFonts w:hint="eastAsia" w:ascii="宋体" w:hAnsi="宋体"/>
                <w:kern w:val="0"/>
                <w:szCs w:val="21"/>
              </w:rPr>
              <w:t>，合同号：</w:t>
            </w:r>
            <w:r>
              <w:rPr>
                <w:rFonts w:hint="eastAsia" w:ascii="宋体" w:hAnsi="宋体"/>
                <w:kern w:val="0"/>
                <w:szCs w:val="21"/>
                <w:u w:val="single"/>
              </w:rPr>
              <w:t xml:space="preserve">               </w:t>
            </w:r>
          </w:p>
        </w:tc>
      </w:tr>
      <w:tr>
        <w:tblPrEx>
          <w:tblCellMar>
            <w:top w:w="0" w:type="dxa"/>
            <w:left w:w="108" w:type="dxa"/>
            <w:bottom w:w="0" w:type="dxa"/>
            <w:right w:w="108" w:type="dxa"/>
          </w:tblCellMar>
        </w:tblPrEx>
        <w:trPr>
          <w:wBefore w:w="0" w:type="dxa"/>
          <w:trHeight w:val="346" w:hRule="atLeast"/>
        </w:trPr>
        <w:tc>
          <w:tcPr>
            <w:tcW w:w="14190" w:type="dxa"/>
            <w:gridSpan w:val="5"/>
            <w:tcBorders>
              <w:top w:val="nil"/>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以下项目已采购到位并验收合格。</w:t>
            </w:r>
          </w:p>
        </w:tc>
      </w:tr>
      <w:tr>
        <w:tblPrEx>
          <w:tblCellMar>
            <w:top w:w="0" w:type="dxa"/>
            <w:left w:w="108" w:type="dxa"/>
            <w:bottom w:w="0" w:type="dxa"/>
            <w:right w:w="108" w:type="dxa"/>
          </w:tblCellMar>
        </w:tblPrEx>
        <w:trPr>
          <w:wBefore w:w="0" w:type="dxa"/>
          <w:trHeight w:val="853" w:hRule="atLeast"/>
        </w:trPr>
        <w:tc>
          <w:tcPr>
            <w:tcW w:w="4566" w:type="dxa"/>
            <w:tcBorders>
              <w:top w:val="single" w:color="auto" w:sz="4" w:space="0"/>
              <w:left w:val="single" w:color="auto" w:sz="4" w:space="0"/>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采购货物（服务，工程）名称</w:t>
            </w:r>
          </w:p>
        </w:tc>
        <w:tc>
          <w:tcPr>
            <w:tcW w:w="4784"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规格、型号</w:t>
            </w:r>
          </w:p>
        </w:tc>
        <w:tc>
          <w:tcPr>
            <w:tcW w:w="1265"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数量</w:t>
            </w:r>
          </w:p>
        </w:tc>
        <w:tc>
          <w:tcPr>
            <w:tcW w:w="1582"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核定总价</w:t>
            </w:r>
          </w:p>
        </w:tc>
        <w:tc>
          <w:tcPr>
            <w:tcW w:w="1993"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采购人验收意见</w:t>
            </w:r>
          </w:p>
        </w:tc>
      </w:tr>
      <w:tr>
        <w:tblPrEx>
          <w:tblCellMar>
            <w:top w:w="0" w:type="dxa"/>
            <w:left w:w="108" w:type="dxa"/>
            <w:bottom w:w="0" w:type="dxa"/>
            <w:right w:w="108" w:type="dxa"/>
          </w:tblCellMar>
        </w:tblPrEx>
        <w:trPr>
          <w:wBefore w:w="0" w:type="dxa"/>
          <w:trHeight w:val="693" w:hRule="atLeast"/>
        </w:trPr>
        <w:tc>
          <w:tcPr>
            <w:tcW w:w="4566" w:type="dxa"/>
            <w:tcBorders>
              <w:top w:val="single" w:color="auto" w:sz="4" w:space="0"/>
              <w:left w:val="single" w:color="auto" w:sz="4" w:space="0"/>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4784"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265"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582"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993" w:type="dxa"/>
            <w:tcBorders>
              <w:top w:val="nil"/>
              <w:left w:val="nil"/>
              <w:bottom w:val="single" w:color="auto" w:sz="4" w:space="0"/>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844" w:hRule="atLeast"/>
        </w:trPr>
        <w:tc>
          <w:tcPr>
            <w:tcW w:w="4566" w:type="dxa"/>
            <w:tcBorders>
              <w:top w:val="nil"/>
              <w:left w:val="single" w:color="auto" w:sz="4" w:space="0"/>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合计总价款（人民币）</w:t>
            </w:r>
          </w:p>
        </w:tc>
        <w:tc>
          <w:tcPr>
            <w:tcW w:w="9624" w:type="dxa"/>
            <w:gridSpan w:val="4"/>
            <w:tcBorders>
              <w:top w:val="nil"/>
              <w:left w:val="nil"/>
              <w:bottom w:val="single" w:color="auto" w:sz="4" w:space="0"/>
              <w:right w:val="single" w:color="000000" w:sz="4" w:space="0"/>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人民币</w:t>
            </w:r>
            <w:r>
              <w:rPr>
                <w:rFonts w:hint="eastAsia" w:ascii="宋体" w:hAnsi="宋体"/>
                <w:kern w:val="0"/>
                <w:szCs w:val="21"/>
                <w:u w:val="single"/>
              </w:rPr>
              <w:t xml:space="preserve">                 </w:t>
            </w:r>
            <w:r>
              <w:rPr>
                <w:rFonts w:hint="eastAsia" w:ascii="宋体" w:hAnsi="宋体"/>
                <w:kern w:val="0"/>
                <w:szCs w:val="21"/>
              </w:rPr>
              <w:t xml:space="preserve">元整。       ￥： </w:t>
            </w:r>
            <w:r>
              <w:rPr>
                <w:rFonts w:hint="eastAsia" w:ascii="宋体" w:hAnsi="宋体"/>
                <w:kern w:val="0"/>
                <w:szCs w:val="21"/>
                <w:u w:val="single"/>
              </w:rPr>
              <w:t xml:space="preserve">             </w:t>
            </w:r>
          </w:p>
        </w:tc>
      </w:tr>
      <w:tr>
        <w:tblPrEx>
          <w:tblCellMar>
            <w:top w:w="0" w:type="dxa"/>
            <w:left w:w="108" w:type="dxa"/>
            <w:bottom w:w="0" w:type="dxa"/>
            <w:right w:w="108" w:type="dxa"/>
          </w:tblCellMar>
        </w:tblPrEx>
        <w:trPr>
          <w:wBefore w:w="0" w:type="dxa"/>
          <w:trHeight w:val="84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xml:space="preserve">供货单位（盖章）：                     </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采购人（盖章）：</w:t>
            </w:r>
          </w:p>
        </w:tc>
        <w:tc>
          <w:tcPr>
            <w:tcW w:w="2847" w:type="dxa"/>
            <w:gridSpan w:val="2"/>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2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经办项目负责人：</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项目验收组组长：</w:t>
            </w:r>
          </w:p>
        </w:tc>
        <w:tc>
          <w:tcPr>
            <w:tcW w:w="2847" w:type="dxa"/>
            <w:gridSpan w:val="2"/>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01"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联系电话：</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联系电话：</w:t>
            </w:r>
          </w:p>
        </w:tc>
        <w:tc>
          <w:tcPr>
            <w:tcW w:w="1265"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582"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1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开户银行：</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项目验收组成员（签名）：</w:t>
            </w:r>
          </w:p>
        </w:tc>
        <w:tc>
          <w:tcPr>
            <w:tcW w:w="1265"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582"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864" w:hRule="atLeast"/>
        </w:trPr>
        <w:tc>
          <w:tcPr>
            <w:tcW w:w="4566" w:type="dxa"/>
            <w:tcBorders>
              <w:top w:val="nil"/>
              <w:left w:val="single" w:color="auto" w:sz="4" w:space="0"/>
              <w:bottom w:val="single" w:color="auto" w:sz="4" w:space="0"/>
              <w:right w:val="nil"/>
            </w:tcBorders>
            <w:noWrap w:val="0"/>
            <w:vAlign w:val="center"/>
          </w:tcPr>
          <w:p>
            <w:pPr>
              <w:widowControl/>
              <w:ind w:firstLine="420" w:firstLineChars="200"/>
              <w:rPr>
                <w:rFonts w:ascii="宋体" w:hAnsi="宋体"/>
                <w:kern w:val="0"/>
                <w:szCs w:val="21"/>
              </w:rPr>
            </w:pPr>
            <w:r>
              <w:rPr>
                <w:rFonts w:hint="eastAsia" w:ascii="宋体" w:hAnsi="宋体"/>
                <w:kern w:val="0"/>
                <w:szCs w:val="21"/>
              </w:rPr>
              <w:t>银行帐号：</w:t>
            </w:r>
          </w:p>
        </w:tc>
        <w:tc>
          <w:tcPr>
            <w:tcW w:w="4784" w:type="dxa"/>
            <w:tcBorders>
              <w:top w:val="nil"/>
              <w:left w:val="nil"/>
              <w:bottom w:val="single" w:color="auto" w:sz="4" w:space="0"/>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c>
          <w:tcPr>
            <w:tcW w:w="4840" w:type="dxa"/>
            <w:gridSpan w:val="3"/>
            <w:tcBorders>
              <w:top w:val="nil"/>
              <w:left w:val="nil"/>
              <w:bottom w:val="single" w:color="auto" w:sz="4" w:space="0"/>
              <w:right w:val="single" w:color="000000" w:sz="4" w:space="0"/>
            </w:tcBorders>
            <w:noWrap w:val="0"/>
            <w:vAlign w:val="center"/>
          </w:tcPr>
          <w:p>
            <w:pPr>
              <w:widowControl/>
              <w:ind w:firstLine="420" w:firstLineChars="200"/>
              <w:rPr>
                <w:rFonts w:ascii="宋体" w:hAnsi="宋体"/>
                <w:kern w:val="0"/>
                <w:szCs w:val="21"/>
              </w:rPr>
            </w:pPr>
            <w:r>
              <w:rPr>
                <w:rFonts w:hint="eastAsia" w:ascii="宋体" w:hAnsi="宋体"/>
                <w:kern w:val="0"/>
                <w:szCs w:val="21"/>
              </w:rPr>
              <w:t>验收时间：       年     月     日</w:t>
            </w:r>
          </w:p>
        </w:tc>
      </w:tr>
      <w:tr>
        <w:tblPrEx>
          <w:tblCellMar>
            <w:top w:w="0" w:type="dxa"/>
            <w:left w:w="108" w:type="dxa"/>
            <w:bottom w:w="0" w:type="dxa"/>
            <w:right w:w="108" w:type="dxa"/>
          </w:tblCellMar>
        </w:tblPrEx>
        <w:trPr>
          <w:wBefore w:w="0" w:type="dxa"/>
          <w:trHeight w:val="210" w:hRule="atLeast"/>
        </w:trPr>
        <w:tc>
          <w:tcPr>
            <w:tcW w:w="14190" w:type="dxa"/>
            <w:gridSpan w:val="5"/>
            <w:tcBorders>
              <w:top w:val="single" w:color="auto" w:sz="4" w:space="0"/>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本单一式四联：第一联采购人留存，第二联作为财政支付凭证，第三联供货单位留存，第四联采购办存档备查。</w:t>
            </w:r>
          </w:p>
        </w:tc>
      </w:tr>
    </w:tbl>
    <w:p>
      <w:pPr>
        <w:autoSpaceDE w:val="0"/>
        <w:autoSpaceDN w:val="0"/>
        <w:adjustRightInd w:val="0"/>
        <w:ind w:right="418" w:firstLine="420" w:firstLineChars="200"/>
        <w:rPr>
          <w:rFonts w:ascii="宋体" w:hAnsi="宋体"/>
          <w:szCs w:val="21"/>
        </w:rPr>
        <w:sectPr>
          <w:footerReference r:id="rId12" w:type="first"/>
          <w:headerReference r:id="rId11" w:type="default"/>
          <w:pgSz w:w="16838" w:h="11906" w:orient="landscape"/>
          <w:pgMar w:top="1418" w:right="1247" w:bottom="1418" w:left="1276" w:header="851" w:footer="483" w:gutter="0"/>
          <w:cols w:space="720" w:num="1"/>
          <w:titlePg/>
          <w:docGrid w:linePitch="312" w:charSpace="0"/>
        </w:sectPr>
      </w:pPr>
    </w:p>
    <w:p>
      <w:pPr>
        <w:pStyle w:val="4"/>
        <w:ind w:firstLine="602" w:firstLineChars="200"/>
        <w:rPr>
          <w:rFonts w:ascii="宋体" w:hAnsi="宋体"/>
        </w:rPr>
      </w:pPr>
      <w:bookmarkStart w:id="198" w:name="_Toc89897664"/>
      <w:r>
        <w:rPr>
          <w:rFonts w:hint="eastAsia" w:ascii="宋体" w:hAnsi="宋体"/>
        </w:rPr>
        <w:t>第六章 投标文件格式</w:t>
      </w:r>
      <w:bookmarkEnd w:id="198"/>
    </w:p>
    <w:p>
      <w:pPr>
        <w:snapToGrid w:val="0"/>
        <w:ind w:firstLine="643" w:firstLineChars="200"/>
        <w:rPr>
          <w:rFonts w:ascii="宋体" w:hAnsi="宋体"/>
          <w:b/>
          <w:bCs/>
          <w:sz w:val="32"/>
        </w:rPr>
      </w:pPr>
    </w:p>
    <w:p>
      <w:pPr>
        <w:snapToGrid w:val="0"/>
        <w:ind w:firstLine="643" w:firstLineChars="200"/>
        <w:jc w:val="center"/>
        <w:rPr>
          <w:rFonts w:ascii="宋体" w:hAnsi="宋体"/>
          <w:b/>
          <w:sz w:val="32"/>
          <w:szCs w:val="22"/>
        </w:rPr>
      </w:pPr>
      <w:r>
        <w:rPr>
          <w:rFonts w:hint="eastAsia" w:ascii="宋体" w:hAnsi="宋体"/>
          <w:b/>
          <w:sz w:val="32"/>
          <w:szCs w:val="22"/>
        </w:rPr>
        <w:t>2023年度嘉兴市公安局交通警察支队交通设施日常维护、更新项目</w:t>
      </w:r>
    </w:p>
    <w:p>
      <w:pPr>
        <w:snapToGrid w:val="0"/>
        <w:ind w:firstLine="643" w:firstLineChars="200"/>
        <w:jc w:val="center"/>
        <w:rPr>
          <w:rFonts w:ascii="宋体" w:hAnsi="宋体"/>
          <w:b/>
          <w:sz w:val="32"/>
          <w:szCs w:val="22"/>
        </w:rPr>
      </w:pPr>
      <w:r>
        <w:rPr>
          <w:rFonts w:hint="eastAsia" w:ascii="宋体" w:hAnsi="宋体"/>
          <w:b/>
          <w:sz w:val="32"/>
          <w:szCs w:val="22"/>
        </w:rPr>
        <w:t>资格文件/商务技术文件/报价文件</w:t>
      </w:r>
    </w:p>
    <w:p>
      <w:pPr>
        <w:snapToGrid w:val="0"/>
        <w:ind w:firstLine="720" w:firstLineChars="200"/>
        <w:jc w:val="center"/>
        <w:rPr>
          <w:rFonts w:ascii="宋体" w:hAnsi="宋体"/>
          <w:bCs/>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r>
        <w:rPr>
          <w:rFonts w:hint="eastAsia" w:ascii="宋体" w:hAnsi="宋体"/>
          <w:sz w:val="36"/>
          <w:szCs w:val="36"/>
        </w:rPr>
        <w:t>投</w:t>
      </w:r>
    </w:p>
    <w:p>
      <w:pPr>
        <w:ind w:firstLine="720" w:firstLineChars="200"/>
        <w:jc w:val="center"/>
        <w:rPr>
          <w:rFonts w:ascii="宋体" w:hAnsi="宋体"/>
          <w:sz w:val="36"/>
          <w:szCs w:val="36"/>
        </w:rPr>
      </w:pPr>
      <w:r>
        <w:rPr>
          <w:rFonts w:hint="eastAsia" w:ascii="宋体" w:hAnsi="宋体"/>
          <w:sz w:val="36"/>
          <w:szCs w:val="36"/>
        </w:rPr>
        <w:t>标</w:t>
      </w:r>
    </w:p>
    <w:p>
      <w:pPr>
        <w:ind w:firstLine="720" w:firstLineChars="200"/>
        <w:jc w:val="center"/>
        <w:rPr>
          <w:rFonts w:ascii="宋体" w:hAnsi="宋体"/>
          <w:sz w:val="36"/>
          <w:szCs w:val="36"/>
        </w:rPr>
      </w:pPr>
      <w:r>
        <w:rPr>
          <w:rFonts w:hint="eastAsia" w:ascii="宋体" w:hAnsi="宋体"/>
          <w:sz w:val="36"/>
          <w:szCs w:val="36"/>
        </w:rPr>
        <w:t>文</w:t>
      </w:r>
    </w:p>
    <w:p>
      <w:pPr>
        <w:ind w:firstLine="720" w:firstLineChars="200"/>
        <w:jc w:val="center"/>
        <w:rPr>
          <w:rFonts w:ascii="宋体" w:hAnsi="宋体"/>
          <w:sz w:val="36"/>
          <w:szCs w:val="36"/>
        </w:rPr>
      </w:pPr>
      <w:r>
        <w:rPr>
          <w:rFonts w:hint="eastAsia" w:ascii="宋体" w:hAnsi="宋体"/>
          <w:sz w:val="36"/>
          <w:szCs w:val="36"/>
        </w:rPr>
        <w:t>件</w:t>
      </w: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snapToGrid w:val="0"/>
        <w:ind w:firstLine="480" w:firstLineChars="200"/>
        <w:rPr>
          <w:rFonts w:ascii="宋体" w:hAnsi="宋体"/>
          <w:bCs/>
          <w:sz w:val="24"/>
        </w:rPr>
      </w:pPr>
      <w:r>
        <w:rPr>
          <w:rFonts w:hint="eastAsia" w:ascii="宋体" w:hAnsi="宋体"/>
          <w:bCs/>
          <w:sz w:val="24"/>
        </w:rPr>
        <w:t>项目名称：</w:t>
      </w:r>
    </w:p>
    <w:p>
      <w:pPr>
        <w:snapToGrid w:val="0"/>
        <w:ind w:firstLine="480" w:firstLineChars="200"/>
        <w:rPr>
          <w:rFonts w:hint="eastAsia" w:ascii="宋体" w:hAnsi="宋体"/>
          <w:bCs/>
          <w:sz w:val="24"/>
        </w:rPr>
      </w:pPr>
      <w:r>
        <w:rPr>
          <w:rFonts w:hint="eastAsia" w:ascii="宋体" w:hAnsi="宋体"/>
          <w:bCs/>
          <w:sz w:val="24"/>
        </w:rPr>
        <w:t>标项：</w:t>
      </w:r>
    </w:p>
    <w:p>
      <w:pPr>
        <w:snapToGrid w:val="0"/>
        <w:ind w:firstLine="480" w:firstLineChars="200"/>
        <w:rPr>
          <w:rFonts w:ascii="宋体" w:hAnsi="宋体"/>
          <w:bCs/>
          <w:sz w:val="24"/>
        </w:rPr>
      </w:pPr>
      <w:r>
        <w:rPr>
          <w:rFonts w:hint="eastAsia" w:ascii="宋体" w:hAnsi="宋体"/>
          <w:bCs/>
          <w:sz w:val="24"/>
        </w:rPr>
        <w:t>项目编号：</w:t>
      </w:r>
    </w:p>
    <w:p>
      <w:pPr>
        <w:snapToGrid w:val="0"/>
        <w:ind w:firstLine="480" w:firstLineChars="200"/>
        <w:rPr>
          <w:rFonts w:ascii="宋体" w:hAnsi="宋体"/>
          <w:bCs/>
          <w:sz w:val="24"/>
          <w:szCs w:val="24"/>
        </w:rPr>
      </w:pPr>
      <w:r>
        <w:rPr>
          <w:rFonts w:hint="eastAsia" w:ascii="宋体" w:hAnsi="宋体"/>
          <w:bCs/>
          <w:sz w:val="24"/>
          <w:szCs w:val="24"/>
        </w:rPr>
        <w:t>供应商名称：</w:t>
      </w:r>
    </w:p>
    <w:p>
      <w:pPr>
        <w:snapToGrid w:val="0"/>
        <w:ind w:firstLine="480" w:firstLineChars="200"/>
        <w:rPr>
          <w:rFonts w:ascii="宋体" w:hAnsi="宋体"/>
          <w:bCs/>
          <w:sz w:val="24"/>
          <w:szCs w:val="24"/>
        </w:rPr>
      </w:pPr>
      <w:r>
        <w:rPr>
          <w:rFonts w:hint="eastAsia" w:ascii="宋体" w:hAnsi="宋体"/>
          <w:bCs/>
          <w:sz w:val="24"/>
          <w:szCs w:val="24"/>
        </w:rPr>
        <w:t>供应商地址：</w:t>
      </w:r>
    </w:p>
    <w:p>
      <w:pPr>
        <w:snapToGrid w:val="0"/>
        <w:ind w:firstLine="480" w:firstLineChars="200"/>
        <w:rPr>
          <w:rFonts w:ascii="宋体" w:hAnsi="宋体"/>
          <w:bCs/>
          <w:sz w:val="24"/>
          <w:szCs w:val="24"/>
        </w:rPr>
      </w:pPr>
      <w:r>
        <w:rPr>
          <w:rFonts w:hint="eastAsia" w:ascii="宋体" w:hAnsi="宋体"/>
          <w:bCs/>
          <w:sz w:val="24"/>
          <w:szCs w:val="24"/>
        </w:rPr>
        <w:t xml:space="preserve">在 </w:t>
      </w:r>
      <w:r>
        <w:rPr>
          <w:rFonts w:ascii="宋体" w:hAnsi="宋体"/>
          <w:bCs/>
          <w:sz w:val="24"/>
          <w:szCs w:val="24"/>
        </w:rPr>
        <w:t xml:space="preserve">  </w:t>
      </w:r>
      <w:r>
        <w:rPr>
          <w:rFonts w:hint="eastAsia" w:ascii="宋体" w:hAnsi="宋体"/>
          <w:bCs/>
          <w:sz w:val="24"/>
          <w:szCs w:val="24"/>
        </w:rPr>
        <w:t xml:space="preserve">年 </w:t>
      </w:r>
      <w:r>
        <w:rPr>
          <w:rFonts w:ascii="宋体" w:hAnsi="宋体"/>
          <w:bCs/>
          <w:sz w:val="24"/>
          <w:szCs w:val="24"/>
        </w:rPr>
        <w:t xml:space="preserve">  </w:t>
      </w:r>
      <w:r>
        <w:rPr>
          <w:rFonts w:hint="eastAsia" w:ascii="宋体" w:hAnsi="宋体"/>
          <w:bCs/>
          <w:sz w:val="24"/>
          <w:szCs w:val="24"/>
        </w:rPr>
        <w:t xml:space="preserve">月 </w:t>
      </w:r>
      <w:r>
        <w:rPr>
          <w:rFonts w:ascii="宋体" w:hAnsi="宋体"/>
          <w:bCs/>
          <w:sz w:val="24"/>
          <w:szCs w:val="24"/>
        </w:rPr>
        <w:t xml:space="preserve">   </w:t>
      </w:r>
      <w:r>
        <w:rPr>
          <w:rFonts w:hint="eastAsia" w:ascii="宋体" w:hAnsi="宋体"/>
          <w:bCs/>
          <w:sz w:val="24"/>
          <w:szCs w:val="24"/>
        </w:rPr>
        <w:t xml:space="preserve">日 </w:t>
      </w:r>
      <w:r>
        <w:rPr>
          <w:rFonts w:ascii="宋体" w:hAnsi="宋体"/>
          <w:bCs/>
          <w:sz w:val="24"/>
          <w:szCs w:val="24"/>
        </w:rPr>
        <w:t xml:space="preserve">   </w:t>
      </w:r>
      <w:r>
        <w:rPr>
          <w:rFonts w:hint="eastAsia" w:ascii="宋体" w:hAnsi="宋体"/>
          <w:bCs/>
          <w:sz w:val="24"/>
          <w:szCs w:val="24"/>
        </w:rPr>
        <w:t xml:space="preserve">时 </w:t>
      </w:r>
      <w:r>
        <w:rPr>
          <w:rFonts w:ascii="宋体" w:hAnsi="宋体"/>
          <w:bCs/>
          <w:sz w:val="24"/>
          <w:szCs w:val="24"/>
        </w:rPr>
        <w:t xml:space="preserve">  </w:t>
      </w:r>
      <w:r>
        <w:rPr>
          <w:rFonts w:hint="eastAsia" w:ascii="宋体" w:hAnsi="宋体"/>
          <w:bCs/>
          <w:sz w:val="24"/>
          <w:szCs w:val="24"/>
        </w:rPr>
        <w:t>分之前不得启封</w:t>
      </w:r>
    </w:p>
    <w:p>
      <w:pPr>
        <w:snapToGrid w:val="0"/>
        <w:ind w:firstLine="480" w:firstLineChars="200"/>
        <w:jc w:val="center"/>
        <w:rPr>
          <w:rFonts w:ascii="宋体" w:hAnsi="宋体"/>
          <w:sz w:val="24"/>
        </w:rPr>
      </w:pPr>
      <w:r>
        <w:rPr>
          <w:rFonts w:hint="eastAsia" w:ascii="宋体" w:hAnsi="宋体"/>
          <w:sz w:val="24"/>
        </w:rPr>
        <w:t xml:space="preserve"> </w:t>
      </w:r>
      <w:r>
        <w:rPr>
          <w:rFonts w:ascii="宋体" w:hAnsi="宋体"/>
          <w:sz w:val="24"/>
        </w:rPr>
        <w:t xml:space="preserve">                                  </w:t>
      </w:r>
      <w:r>
        <w:rPr>
          <w:rFonts w:hint="eastAsia" w:ascii="宋体" w:hAnsi="宋体"/>
          <w:sz w:val="24"/>
        </w:rPr>
        <w:t xml:space="preserve">年 </w:t>
      </w:r>
      <w:r>
        <w:rPr>
          <w:rFonts w:ascii="宋体" w:hAnsi="宋体"/>
          <w:sz w:val="24"/>
        </w:rPr>
        <w:t xml:space="preserve"> </w:t>
      </w:r>
      <w:r>
        <w:rPr>
          <w:rFonts w:hint="eastAsia" w:ascii="宋体" w:hAnsi="宋体"/>
          <w:sz w:val="24"/>
        </w:rPr>
        <w:t xml:space="preserve">月 </w:t>
      </w:r>
      <w:r>
        <w:rPr>
          <w:rFonts w:ascii="宋体" w:hAnsi="宋体"/>
          <w:sz w:val="24"/>
        </w:rPr>
        <w:t xml:space="preserve"> </w:t>
      </w:r>
      <w:r>
        <w:rPr>
          <w:rFonts w:hint="eastAsia" w:ascii="宋体" w:hAnsi="宋体"/>
          <w:sz w:val="24"/>
        </w:rPr>
        <w:t>日</w:t>
      </w:r>
    </w:p>
    <w:p>
      <w:pPr>
        <w:snapToGrid w:val="0"/>
        <w:ind w:firstLine="480" w:firstLineChars="200"/>
        <w:jc w:val="center"/>
        <w:rPr>
          <w:rFonts w:ascii="宋体" w:hAnsi="宋体"/>
          <w:sz w:val="24"/>
        </w:rPr>
      </w:pPr>
    </w:p>
    <w:p>
      <w:pPr>
        <w:jc w:val="left"/>
        <w:rPr>
          <w:rFonts w:ascii="宋体" w:hAnsi="宋体"/>
          <w:b/>
          <w:bCs/>
          <w:szCs w:val="21"/>
        </w:rPr>
      </w:pPr>
      <w:r>
        <w:rPr>
          <w:rFonts w:hint="eastAsia" w:ascii="宋体" w:hAnsi="宋体"/>
          <w:sz w:val="24"/>
        </w:rPr>
        <w:br w:type="page"/>
      </w:r>
      <w:bookmarkStart w:id="199" w:name="OLE_LINK11"/>
      <w:r>
        <w:rPr>
          <w:rFonts w:hint="eastAsia" w:ascii="宋体" w:hAnsi="宋体"/>
          <w:b/>
          <w:bCs/>
          <w:szCs w:val="21"/>
        </w:rPr>
        <w:t>注：本表非投标文件的组成内容，无须在投标文件中提供；</w:t>
      </w:r>
      <w:r>
        <w:rPr>
          <w:rFonts w:hint="eastAsia" w:ascii="宋体" w:hAnsi="宋体"/>
          <w:b/>
          <w:bCs/>
          <w:color w:val="FF0000"/>
          <w:szCs w:val="21"/>
        </w:rPr>
        <w:t>供应商需在投标文件解密完成后填写完毕并将扫描件发送至采购代理机构邮箱594972168@qq.</w:t>
      </w:r>
      <w:r>
        <w:rPr>
          <w:rFonts w:ascii="宋体" w:hAnsi="宋体"/>
          <w:b/>
          <w:bCs/>
          <w:color w:val="FF0000"/>
          <w:szCs w:val="21"/>
        </w:rPr>
        <w:t>com</w:t>
      </w:r>
      <w:r>
        <w:rPr>
          <w:rFonts w:hint="eastAsia" w:ascii="宋体" w:hAnsi="宋体"/>
          <w:b/>
          <w:bCs/>
          <w:color w:val="FF0000"/>
          <w:szCs w:val="21"/>
        </w:rPr>
        <w:t>。</w:t>
      </w:r>
    </w:p>
    <w:p>
      <w:pPr>
        <w:ind w:firstLine="640" w:firstLineChars="200"/>
        <w:jc w:val="center"/>
        <w:rPr>
          <w:rFonts w:ascii="宋体" w:hAnsi="宋体"/>
          <w:sz w:val="32"/>
          <w:szCs w:val="32"/>
        </w:rPr>
      </w:pPr>
      <w:r>
        <w:rPr>
          <w:rFonts w:hint="eastAsia" w:ascii="宋体" w:hAnsi="宋体"/>
          <w:sz w:val="32"/>
          <w:szCs w:val="32"/>
        </w:rPr>
        <w:t>政府采购活动现场确认声明书</w:t>
      </w:r>
    </w:p>
    <w:p>
      <w:pPr>
        <w:ind w:firstLine="640" w:firstLineChars="200"/>
        <w:jc w:val="center"/>
        <w:rPr>
          <w:rFonts w:ascii="宋体" w:hAnsi="宋体"/>
          <w:sz w:val="32"/>
          <w:szCs w:val="32"/>
        </w:rPr>
      </w:pPr>
    </w:p>
    <w:p>
      <w:pPr>
        <w:ind w:firstLine="480" w:firstLineChars="200"/>
        <w:rPr>
          <w:rFonts w:ascii="宋体" w:hAnsi="宋体"/>
          <w:sz w:val="24"/>
          <w:u w:val="single"/>
        </w:rPr>
      </w:pPr>
      <w:r>
        <w:rPr>
          <w:rFonts w:hint="eastAsia" w:ascii="宋体" w:hAnsi="宋体"/>
          <w:sz w:val="24"/>
          <w:u w:val="single"/>
        </w:rPr>
        <w:t>浙江富昱项目管理有限公司</w:t>
      </w:r>
      <w:r>
        <w:rPr>
          <w:rFonts w:hint="eastAsia" w:ascii="宋体" w:hAnsi="宋体"/>
          <w:sz w:val="24"/>
        </w:rPr>
        <w:t>：</w:t>
      </w:r>
    </w:p>
    <w:p>
      <w:pPr>
        <w:ind w:firstLine="480" w:firstLineChars="200"/>
        <w:rPr>
          <w:rFonts w:ascii="宋体" w:hAnsi="宋体"/>
          <w:sz w:val="24"/>
        </w:rPr>
      </w:pPr>
      <w:r>
        <w:rPr>
          <w:rFonts w:hint="eastAsia" w:ascii="宋体" w:hAnsi="宋体"/>
          <w:sz w:val="24"/>
        </w:rPr>
        <w:t>本人</w:t>
      </w:r>
      <w:r>
        <w:rPr>
          <w:rFonts w:hint="eastAsia" w:ascii="宋体" w:hAnsi="宋体"/>
          <w:sz w:val="24"/>
          <w:u w:val="single"/>
        </w:rPr>
        <w:t xml:space="preserve">           </w:t>
      </w:r>
      <w:r>
        <w:rPr>
          <w:rFonts w:hint="eastAsia" w:ascii="宋体" w:hAnsi="宋体"/>
          <w:sz w:val="24"/>
        </w:rPr>
        <w:t>（授权代表姓名）经由</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u w:val="single"/>
        </w:rPr>
        <w:t xml:space="preserve">              </w:t>
      </w:r>
      <w:r>
        <w:rPr>
          <w:rFonts w:hint="eastAsia" w:ascii="宋体" w:hAnsi="宋体"/>
          <w:sz w:val="24"/>
        </w:rPr>
        <w:t>（单位）</w:t>
      </w:r>
      <w:r>
        <w:rPr>
          <w:rFonts w:hint="eastAsia" w:ascii="宋体" w:hAnsi="宋体"/>
          <w:sz w:val="24"/>
          <w:u w:val="single"/>
        </w:rPr>
        <w:t xml:space="preserve">         </w:t>
      </w:r>
      <w:r>
        <w:rPr>
          <w:rFonts w:hint="eastAsia" w:ascii="宋体" w:hAnsi="宋体"/>
          <w:sz w:val="24"/>
        </w:rPr>
        <w:t>（法定代表人姓名）合法授权参加</w:t>
      </w:r>
      <w:r>
        <w:rPr>
          <w:rFonts w:hint="eastAsia" w:ascii="宋体" w:hAnsi="宋体"/>
          <w:sz w:val="24"/>
          <w:u w:val="single"/>
        </w:rPr>
        <w:t>2023年度嘉兴市公安局交通警察支队交通设施日常维护、更新项目</w:t>
      </w:r>
      <w:r>
        <w:rPr>
          <w:rFonts w:hint="eastAsia" w:ascii="宋体" w:hAnsi="宋体"/>
          <w:sz w:val="24"/>
        </w:rPr>
        <w:t>（编号：</w:t>
      </w:r>
      <w:r>
        <w:rPr>
          <w:rFonts w:hint="eastAsia" w:ascii="宋体" w:hAnsi="宋体"/>
          <w:sz w:val="24"/>
          <w:u w:val="single"/>
        </w:rPr>
        <w:t>ZJFY-20230063</w:t>
      </w:r>
      <w:r>
        <w:rPr>
          <w:rFonts w:hint="eastAsia" w:ascii="宋体" w:hAnsi="宋体"/>
          <w:sz w:val="24"/>
        </w:rPr>
        <w:t>）政府采购活动，经与本单位法人代表（负责人）联系确认，现就有关公平竞争事项郑重声明如下：</w:t>
      </w:r>
    </w:p>
    <w:p>
      <w:pPr>
        <w:ind w:firstLine="480" w:firstLineChars="200"/>
        <w:rPr>
          <w:rFonts w:ascii="宋体" w:hAnsi="宋体"/>
          <w:sz w:val="24"/>
        </w:rPr>
      </w:pPr>
      <w:r>
        <w:rPr>
          <w:rFonts w:hint="eastAsia" w:ascii="宋体" w:hAnsi="宋体"/>
          <w:sz w:val="24"/>
        </w:rPr>
        <w:t>一、本单位与采购人之间 □不存在利害关系 □存在下列利害关系</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 xml:space="preserve">A．投资关系     B.行政隶属关系      C.业务指导关系    </w:t>
      </w:r>
    </w:p>
    <w:p>
      <w:pPr>
        <w:ind w:firstLine="480" w:firstLineChars="200"/>
        <w:rPr>
          <w:rFonts w:ascii="宋体" w:hAnsi="宋体"/>
          <w:sz w:val="24"/>
        </w:rPr>
      </w:pPr>
      <w:r>
        <w:rPr>
          <w:rFonts w:hint="eastAsia" w:ascii="宋体" w:hAnsi="宋体"/>
          <w:sz w:val="24"/>
        </w:rPr>
        <w:t>D.其他可能影响采购公正的利害关系</w:t>
      </w:r>
      <w:r>
        <w:rPr>
          <w:rFonts w:hint="eastAsia" w:ascii="宋体" w:hAnsi="宋体"/>
          <w:sz w:val="24"/>
          <w:u w:val="single"/>
        </w:rPr>
        <w:t xml:space="preserve">（如有，请如实说明）       </w:t>
      </w:r>
      <w:r>
        <w:rPr>
          <w:rFonts w:hint="eastAsia" w:ascii="宋体" w:hAnsi="宋体"/>
          <w:sz w:val="24"/>
        </w:rPr>
        <w:t>。</w:t>
      </w:r>
    </w:p>
    <w:p>
      <w:pPr>
        <w:ind w:firstLine="480" w:firstLineChars="200"/>
        <w:rPr>
          <w:rFonts w:ascii="宋体" w:hAnsi="宋体"/>
          <w:sz w:val="24"/>
        </w:rPr>
      </w:pPr>
      <w:r>
        <w:rPr>
          <w:rFonts w:hint="eastAsia" w:ascii="宋体" w:hAnsi="宋体"/>
          <w:sz w:val="24"/>
        </w:rPr>
        <w:t>二、现已清楚知道参加本项目采购活动的其他所有供应商名称，本单位</w:t>
      </w:r>
    </w:p>
    <w:p>
      <w:pPr>
        <w:ind w:firstLine="480" w:firstLineChars="200"/>
        <w:rPr>
          <w:rFonts w:ascii="宋体" w:hAnsi="宋体"/>
          <w:sz w:val="24"/>
        </w:rPr>
      </w:pPr>
      <w:r>
        <w:rPr>
          <w:rFonts w:hint="eastAsia" w:ascii="宋体" w:hAnsi="宋体"/>
          <w:sz w:val="24"/>
        </w:rPr>
        <w:t>□与其他所有供应商之间均不存在利害关系</w:t>
      </w:r>
    </w:p>
    <w:p>
      <w:pPr>
        <w:ind w:firstLine="480" w:firstLineChars="200"/>
        <w:rPr>
          <w:rFonts w:ascii="宋体" w:hAnsi="宋体"/>
          <w:sz w:val="24"/>
        </w:rPr>
      </w:pPr>
      <w:r>
        <w:rPr>
          <w:rFonts w:hint="eastAsia" w:ascii="宋体" w:hAnsi="宋体"/>
          <w:sz w:val="24"/>
        </w:rPr>
        <w:t>□与</w:t>
      </w:r>
      <w:r>
        <w:rPr>
          <w:rFonts w:hint="eastAsia" w:ascii="宋体" w:hAnsi="宋体"/>
          <w:sz w:val="24"/>
          <w:u w:val="single"/>
        </w:rPr>
        <w:t xml:space="preserve">（供应商名称）             </w:t>
      </w:r>
      <w:r>
        <w:rPr>
          <w:rFonts w:hint="eastAsia" w:ascii="宋体" w:hAnsi="宋体"/>
          <w:sz w:val="24"/>
        </w:rPr>
        <w:t xml:space="preserve">之间存在下列利害关系 </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A.法定代表人或负责人或实际控制人是同一人；</w:t>
      </w:r>
    </w:p>
    <w:p>
      <w:pPr>
        <w:ind w:firstLine="480" w:firstLineChars="200"/>
        <w:rPr>
          <w:rFonts w:ascii="宋体" w:hAnsi="宋体"/>
          <w:sz w:val="24"/>
        </w:rPr>
      </w:pPr>
      <w:r>
        <w:rPr>
          <w:rFonts w:hint="eastAsia" w:ascii="宋体" w:hAnsi="宋体"/>
          <w:sz w:val="24"/>
        </w:rPr>
        <w:t>B.法定代表人或负责人或实际控制人是夫妻关系；</w:t>
      </w:r>
    </w:p>
    <w:p>
      <w:pPr>
        <w:ind w:firstLine="480" w:firstLineChars="200"/>
        <w:rPr>
          <w:rFonts w:ascii="宋体" w:hAnsi="宋体"/>
          <w:sz w:val="24"/>
        </w:rPr>
      </w:pPr>
      <w:r>
        <w:rPr>
          <w:rFonts w:hint="eastAsia" w:ascii="宋体" w:hAnsi="宋体"/>
          <w:sz w:val="24"/>
        </w:rPr>
        <w:t>C.法定代表人或负责人或实际控制人是直系血亲关系；</w:t>
      </w:r>
    </w:p>
    <w:p>
      <w:pPr>
        <w:ind w:firstLine="480" w:firstLineChars="200"/>
        <w:rPr>
          <w:rFonts w:ascii="宋体" w:hAnsi="宋体"/>
          <w:sz w:val="24"/>
        </w:rPr>
      </w:pPr>
      <w:r>
        <w:rPr>
          <w:rFonts w:hint="eastAsia" w:ascii="宋体" w:hAnsi="宋体"/>
          <w:sz w:val="24"/>
        </w:rPr>
        <w:t>D.法定代表人或负责人或实际控制人存在三代以内旁系血亲关系；</w:t>
      </w:r>
    </w:p>
    <w:p>
      <w:pPr>
        <w:ind w:firstLine="480" w:firstLineChars="200"/>
        <w:rPr>
          <w:rFonts w:ascii="宋体" w:hAnsi="宋体"/>
          <w:sz w:val="24"/>
        </w:rPr>
      </w:pPr>
      <w:r>
        <w:rPr>
          <w:rFonts w:hint="eastAsia" w:ascii="宋体" w:hAnsi="宋体"/>
          <w:sz w:val="24"/>
        </w:rPr>
        <w:t>E.法定代表人或负责人或实际控制人存在近姻亲关系；</w:t>
      </w:r>
    </w:p>
    <w:p>
      <w:pPr>
        <w:ind w:firstLine="480" w:firstLineChars="200"/>
        <w:rPr>
          <w:rFonts w:ascii="宋体" w:hAnsi="宋体"/>
          <w:sz w:val="24"/>
        </w:rPr>
      </w:pPr>
      <w:r>
        <w:rPr>
          <w:rFonts w:hint="eastAsia" w:ascii="宋体" w:hAnsi="宋体"/>
          <w:sz w:val="24"/>
        </w:rPr>
        <w:t>F.法定代表人或负责人或实际控制人存在股份控制或实际控制关系；</w:t>
      </w:r>
    </w:p>
    <w:p>
      <w:pPr>
        <w:ind w:firstLine="480" w:firstLineChars="200"/>
        <w:rPr>
          <w:rFonts w:ascii="宋体" w:hAnsi="宋体"/>
          <w:sz w:val="24"/>
        </w:rPr>
      </w:pPr>
      <w:r>
        <w:rPr>
          <w:rFonts w:hint="eastAsia" w:ascii="宋体" w:hAnsi="宋体"/>
          <w:sz w:val="24"/>
        </w:rPr>
        <w:t>G.存在共同直接或间接投资设立子公司、联营企业和合营企业情况；</w:t>
      </w:r>
    </w:p>
    <w:p>
      <w:pPr>
        <w:ind w:firstLine="480" w:firstLineChars="200"/>
        <w:rPr>
          <w:rFonts w:ascii="宋体" w:hAnsi="宋体"/>
          <w:sz w:val="24"/>
        </w:rPr>
      </w:pPr>
      <w:r>
        <w:rPr>
          <w:rFonts w:hint="eastAsia" w:ascii="宋体" w:hAnsi="宋体"/>
          <w:sz w:val="24"/>
        </w:rPr>
        <w:t>H.存在分级代理或代销关系、同一生产制造商关系、管理关系、重要业务（占主营业务收入50%以上）或重要财务关系往来（如融资）等其他实质性控制关系；</w:t>
      </w:r>
    </w:p>
    <w:p>
      <w:pPr>
        <w:ind w:firstLine="480" w:firstLineChars="200"/>
        <w:rPr>
          <w:rFonts w:ascii="宋体" w:hAnsi="宋体"/>
          <w:sz w:val="24"/>
        </w:rPr>
      </w:pPr>
      <w:r>
        <w:rPr>
          <w:rFonts w:hint="eastAsia" w:ascii="宋体" w:hAnsi="宋体"/>
          <w:sz w:val="24"/>
        </w:rPr>
        <w:t>I.其他利害关系情况</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三、现已清楚知道并严格遵守政府采购法律法规和现场纪律。</w:t>
      </w:r>
    </w:p>
    <w:p>
      <w:pPr>
        <w:ind w:firstLine="480" w:firstLineChars="200"/>
        <w:rPr>
          <w:rFonts w:ascii="宋体" w:hAnsi="宋体"/>
          <w:sz w:val="24"/>
        </w:rPr>
      </w:pPr>
      <w:r>
        <w:rPr>
          <w:rFonts w:hint="eastAsia" w:ascii="宋体" w:hAnsi="宋体"/>
          <w:sz w:val="24"/>
        </w:rPr>
        <w:t>四、我发现</w:t>
      </w:r>
      <w:r>
        <w:rPr>
          <w:rFonts w:hint="eastAsia" w:ascii="宋体" w:hAnsi="宋体"/>
          <w:sz w:val="24"/>
          <w:u w:val="single"/>
        </w:rPr>
        <w:t xml:space="preserve">       </w:t>
      </w:r>
      <w:r>
        <w:rPr>
          <w:rFonts w:hint="eastAsia" w:ascii="宋体" w:hAnsi="宋体"/>
          <w:sz w:val="24"/>
        </w:rPr>
        <w:t>供应商之间存在或可能存在上述第二条第</w:t>
      </w:r>
      <w:r>
        <w:rPr>
          <w:rFonts w:hint="eastAsia" w:ascii="宋体" w:hAnsi="宋体"/>
          <w:sz w:val="24"/>
          <w:u w:val="single"/>
        </w:rPr>
        <w:t xml:space="preserve">      </w:t>
      </w:r>
      <w:r>
        <w:rPr>
          <w:rFonts w:hint="eastAsia" w:ascii="宋体" w:hAnsi="宋体"/>
          <w:sz w:val="24"/>
        </w:rPr>
        <w:t>项利害关系。</w:t>
      </w:r>
    </w:p>
    <w:p>
      <w:pPr>
        <w:ind w:firstLine="480" w:firstLineChars="200"/>
        <w:rPr>
          <w:rFonts w:ascii="宋体" w:hAnsi="宋体"/>
          <w:sz w:val="24"/>
        </w:rPr>
      </w:pPr>
      <w:r>
        <w:rPr>
          <w:rFonts w:hint="eastAsia" w:ascii="宋体" w:hAnsi="宋体"/>
          <w:sz w:val="24"/>
        </w:rPr>
        <w:t xml:space="preserve">                          （供应商代表签名）</w:t>
      </w:r>
    </w:p>
    <w:p>
      <w:pPr>
        <w:snapToGrid w:val="0"/>
        <w:ind w:firstLine="480" w:firstLineChars="200"/>
        <w:rPr>
          <w:rFonts w:ascii="宋体" w:hAnsi="宋体"/>
          <w:sz w:val="24"/>
        </w:rPr>
      </w:pPr>
      <w:r>
        <w:rPr>
          <w:rFonts w:hint="eastAsia" w:ascii="宋体" w:hAnsi="宋体"/>
          <w:sz w:val="24"/>
        </w:rPr>
        <w:t xml:space="preserve">                                             </w:t>
      </w:r>
      <w:r>
        <w:rPr>
          <w:rFonts w:ascii="宋体" w:hAnsi="宋体"/>
          <w:sz w:val="24"/>
        </w:rPr>
        <w:t xml:space="preserve">  2023年09月20日</w:t>
      </w:r>
    </w:p>
    <w:p>
      <w:pPr>
        <w:snapToGrid w:val="0"/>
        <w:ind w:firstLine="480" w:firstLineChars="200"/>
        <w:rPr>
          <w:rFonts w:ascii="宋体" w:hAnsi="宋体"/>
          <w:sz w:val="24"/>
          <w:szCs w:val="24"/>
        </w:rPr>
      </w:pPr>
      <w:r>
        <w:rPr>
          <w:rFonts w:ascii="宋体" w:hAnsi="宋体"/>
          <w:sz w:val="24"/>
        </w:rPr>
        <w:br w:type="page"/>
      </w:r>
      <w:r>
        <w:rPr>
          <w:rFonts w:hint="eastAsia" w:ascii="宋体" w:hAnsi="宋体"/>
          <w:b/>
          <w:sz w:val="24"/>
          <w:szCs w:val="24"/>
        </w:rPr>
        <w:t>资格文件、商务技术文件、投标报价文件目录</w:t>
      </w:r>
      <w:r>
        <w:rPr>
          <w:rFonts w:hint="eastAsia" w:ascii="宋体" w:hAnsi="宋体"/>
          <w:b/>
          <w:bCs/>
          <w:sz w:val="24"/>
          <w:szCs w:val="24"/>
        </w:rPr>
        <w:t>（请按照“第三章供应商须知，</w:t>
      </w:r>
      <w:r>
        <w:rPr>
          <w:rFonts w:ascii="宋体" w:hAnsi="宋体"/>
          <w:b/>
          <w:bCs/>
          <w:sz w:val="24"/>
          <w:szCs w:val="24"/>
        </w:rPr>
        <w:t>三、投标文件的编制</w:t>
      </w:r>
      <w:r>
        <w:rPr>
          <w:rFonts w:hint="eastAsia" w:ascii="宋体" w:hAnsi="宋体"/>
          <w:b/>
          <w:bCs/>
          <w:sz w:val="24"/>
          <w:szCs w:val="24"/>
        </w:rPr>
        <w:t>”的顺序，结合评标办法自行编制目录）</w:t>
      </w:r>
    </w:p>
    <w:p>
      <w:pPr>
        <w:snapToGrid w:val="0"/>
        <w:ind w:firstLine="482" w:firstLineChars="200"/>
        <w:rPr>
          <w:rFonts w:ascii="宋体" w:hAnsi="宋体"/>
          <w:b/>
          <w:bCs/>
          <w:sz w:val="24"/>
          <w:szCs w:val="24"/>
        </w:rPr>
      </w:pPr>
      <w:r>
        <w:rPr>
          <w:rFonts w:hint="eastAsia" w:ascii="宋体" w:hAnsi="宋体"/>
          <w:b/>
          <w:bCs/>
          <w:sz w:val="24"/>
          <w:szCs w:val="24"/>
        </w:rPr>
        <w:t>例如：</w:t>
      </w:r>
    </w:p>
    <w:p>
      <w:pPr>
        <w:snapToGrid w:val="0"/>
        <w:ind w:firstLine="482" w:firstLineChars="200"/>
        <w:rPr>
          <w:rFonts w:ascii="宋体" w:hAnsi="宋体"/>
          <w:sz w:val="24"/>
          <w:szCs w:val="24"/>
        </w:rPr>
      </w:pPr>
      <w:r>
        <w:rPr>
          <w:rFonts w:hint="eastAsia" w:ascii="宋体" w:hAnsi="宋体"/>
          <w:b/>
          <w:bCs/>
          <w:sz w:val="24"/>
          <w:szCs w:val="24"/>
        </w:rPr>
        <w:t>资信文件：</w:t>
      </w:r>
    </w:p>
    <w:p>
      <w:pPr>
        <w:snapToGrid w:val="0"/>
        <w:ind w:firstLine="480" w:firstLineChars="200"/>
        <w:rPr>
          <w:rFonts w:ascii="宋体" w:hAnsi="宋体"/>
          <w:sz w:val="24"/>
          <w:szCs w:val="24"/>
        </w:rPr>
      </w:pPr>
      <w:r>
        <w:rPr>
          <w:rFonts w:hint="eastAsia" w:ascii="宋体" w:hAnsi="宋体"/>
          <w:sz w:val="24"/>
          <w:szCs w:val="24"/>
        </w:rPr>
        <w:t>（1</w:t>
      </w:r>
      <w:r>
        <w:rPr>
          <w:rFonts w:ascii="宋体" w:hAnsi="宋体"/>
          <w:sz w:val="24"/>
          <w:szCs w:val="24"/>
        </w:rPr>
        <w:t>）</w:t>
      </w:r>
      <w:r>
        <w:rPr>
          <w:rFonts w:hint="eastAsia" w:ascii="宋体" w:hAnsi="宋体"/>
          <w:sz w:val="24"/>
          <w:szCs w:val="24"/>
        </w:rPr>
        <w:t>具有独立承担民事责任的能力————————————————（页码）</w:t>
      </w:r>
    </w:p>
    <w:p>
      <w:pPr>
        <w:snapToGrid w:val="0"/>
        <w:ind w:firstLine="480" w:firstLineChars="200"/>
        <w:jc w:val="left"/>
        <w:rPr>
          <w:rFonts w:ascii="宋体" w:hAnsi="宋体"/>
          <w:sz w:val="24"/>
          <w:szCs w:val="24"/>
        </w:rPr>
      </w:pPr>
      <w:r>
        <w:rPr>
          <w:rFonts w:hint="eastAsia" w:ascii="宋体" w:hAnsi="宋体"/>
          <w:sz w:val="24"/>
          <w:szCs w:val="24"/>
        </w:rPr>
        <w:t>（2</w:t>
      </w:r>
      <w:r>
        <w:rPr>
          <w:rFonts w:ascii="宋体" w:hAnsi="宋体"/>
          <w:sz w:val="24"/>
          <w:szCs w:val="24"/>
        </w:rPr>
        <w:t>）</w:t>
      </w:r>
      <w:r>
        <w:rPr>
          <w:rFonts w:hint="eastAsia" w:ascii="宋体" w:hAnsi="宋体"/>
          <w:sz w:val="24"/>
          <w:szCs w:val="24"/>
        </w:rPr>
        <w:t>供应商书面承诺符合参与政府采购活动资格条件承诺函—————（页码）</w:t>
      </w:r>
    </w:p>
    <w:p>
      <w:pPr>
        <w:snapToGrid w:val="0"/>
        <w:ind w:firstLine="480" w:firstLineChars="200"/>
        <w:jc w:val="left"/>
        <w:rPr>
          <w:rFonts w:ascii="宋体" w:hAnsi="宋体"/>
        </w:rPr>
      </w:pPr>
      <w:r>
        <w:rPr>
          <w:rFonts w:hint="eastAsia" w:ascii="宋体" w:hAnsi="宋体"/>
          <w:sz w:val="24"/>
          <w:szCs w:val="24"/>
        </w:rPr>
        <w:t>（3</w:t>
      </w:r>
      <w:r>
        <w:rPr>
          <w:rFonts w:ascii="宋体" w:hAnsi="宋体"/>
          <w:sz w:val="24"/>
          <w:szCs w:val="24"/>
        </w:rPr>
        <w:t>）</w:t>
      </w:r>
      <w:r>
        <w:rPr>
          <w:rFonts w:hint="eastAsia" w:ascii="宋体" w:hAnsi="宋体"/>
          <w:sz w:val="24"/>
          <w:szCs w:val="24"/>
        </w:rPr>
        <w:t>提供自招标公告发布之日起至投标截止日内任意时间的“信用中国”网站（www.creditchina.gov.cn）（未被信用中国网站列入失信被执行人、重大税收违法案件当事人名单的查询网页截图）、中国政府采购网（www.ccgp.gov.cn）（未被中国政府采购网列入政府采购严重违法失信行为记录名单的查询网页截图）（以开标当日采购单位或由采购单位委托的评标委员会核实的查询结果为准）—————（页码）</w:t>
      </w:r>
    </w:p>
    <w:p>
      <w:pPr>
        <w:ind w:firstLine="420" w:firstLineChars="200"/>
        <w:rPr>
          <w:rFonts w:hint="eastAsia" w:ascii="宋体" w:hAnsi="宋体"/>
        </w:rPr>
      </w:pPr>
    </w:p>
    <w:p>
      <w:pPr>
        <w:snapToGrid w:val="0"/>
        <w:jc w:val="left"/>
        <w:rPr>
          <w:rFonts w:ascii="宋体" w:hAnsi="宋体" w:cs="宋体"/>
          <w:b/>
          <w:sz w:val="24"/>
        </w:rPr>
      </w:pPr>
      <w:r>
        <w:rPr>
          <w:rFonts w:ascii="宋体" w:hAnsi="宋体"/>
          <w:sz w:val="24"/>
        </w:rPr>
        <w:br w:type="page"/>
      </w:r>
      <w:r>
        <w:rPr>
          <w:rFonts w:hint="eastAsia" w:ascii="宋体" w:hAnsi="宋体"/>
          <w:b/>
          <w:sz w:val="24"/>
        </w:rPr>
        <w:t>1、供应商</w:t>
      </w:r>
      <w:r>
        <w:rPr>
          <w:rFonts w:hint="eastAsia" w:ascii="宋体" w:hAnsi="宋体" w:cs="宋体"/>
          <w:b/>
          <w:sz w:val="24"/>
        </w:rPr>
        <w:t>书面承诺符合参与政府采购活动资格条件承诺函：</w:t>
      </w:r>
    </w:p>
    <w:p>
      <w:pPr>
        <w:ind w:firstLine="422" w:firstLineChars="200"/>
        <w:jc w:val="left"/>
        <w:rPr>
          <w:rFonts w:ascii="宋体" w:hAnsi="宋体" w:cs="宋体"/>
          <w:b/>
          <w:szCs w:val="21"/>
        </w:rPr>
      </w:pPr>
    </w:p>
    <w:p>
      <w:pPr>
        <w:snapToGrid w:val="0"/>
        <w:jc w:val="center"/>
        <w:rPr>
          <w:rFonts w:ascii="宋体" w:hAnsi="宋体"/>
          <w:b/>
          <w:sz w:val="24"/>
          <w:szCs w:val="24"/>
        </w:rPr>
      </w:pPr>
      <w:r>
        <w:rPr>
          <w:rFonts w:hint="eastAsia" w:ascii="宋体" w:hAnsi="宋体" w:cs="宋体"/>
          <w:b/>
          <w:sz w:val="24"/>
        </w:rPr>
        <w:t>符合参与政府采购活动资格条件承诺函</w:t>
      </w:r>
    </w:p>
    <w:p>
      <w:pPr>
        <w:ind w:firstLine="482" w:firstLineChars="200"/>
        <w:jc w:val="left"/>
        <w:rPr>
          <w:rFonts w:ascii="宋体" w:hAnsi="宋体"/>
          <w:sz w:val="24"/>
          <w:szCs w:val="24"/>
        </w:rPr>
      </w:pPr>
      <w:r>
        <w:rPr>
          <w:rFonts w:hint="eastAsia" w:ascii="宋体" w:hAnsi="宋体" w:cs="Arial"/>
          <w:b/>
          <w:kern w:val="0"/>
          <w:sz w:val="24"/>
          <w:szCs w:val="24"/>
          <w:u w:val="single"/>
        </w:rPr>
        <w:t>嘉兴市公安局交通警察支队</w:t>
      </w:r>
      <w:r>
        <w:rPr>
          <w:rFonts w:hint="eastAsia" w:ascii="宋体" w:hAnsi="宋体"/>
          <w:sz w:val="24"/>
          <w:szCs w:val="24"/>
        </w:rPr>
        <w:t>：</w:t>
      </w:r>
    </w:p>
    <w:p>
      <w:pPr>
        <w:snapToGrid w:val="0"/>
        <w:ind w:firstLine="480" w:firstLineChars="200"/>
        <w:jc w:val="left"/>
        <w:rPr>
          <w:rFonts w:ascii="宋体" w:hAnsi="宋体"/>
          <w:sz w:val="24"/>
          <w:szCs w:val="24"/>
          <w:shd w:val="clear" w:color="auto" w:fill="FFFFFF"/>
        </w:rPr>
      </w:pPr>
    </w:p>
    <w:p>
      <w:pPr>
        <w:snapToGrid w:val="0"/>
        <w:ind w:firstLine="480" w:firstLineChars="200"/>
        <w:jc w:val="left"/>
        <w:rPr>
          <w:rFonts w:ascii="宋体" w:hAnsi="宋体"/>
          <w:bCs/>
          <w:sz w:val="24"/>
          <w:szCs w:val="24"/>
        </w:rPr>
      </w:pPr>
      <w:r>
        <w:rPr>
          <w:rFonts w:hint="eastAsia" w:ascii="宋体" w:hAnsi="宋体"/>
          <w:bCs/>
          <w:sz w:val="24"/>
          <w:szCs w:val="24"/>
        </w:rPr>
        <w:t>本公司</w:t>
      </w:r>
      <w:r>
        <w:rPr>
          <w:rFonts w:hint="eastAsia" w:ascii="宋体" w:hAnsi="宋体"/>
          <w:bCs/>
          <w:sz w:val="24"/>
          <w:szCs w:val="24"/>
          <w:u w:val="single"/>
        </w:rPr>
        <w:t xml:space="preserve"> </w:t>
      </w:r>
      <w:r>
        <w:rPr>
          <w:rFonts w:ascii="宋体" w:hAnsi="宋体"/>
          <w:bCs/>
          <w:sz w:val="24"/>
          <w:szCs w:val="24"/>
          <w:u w:val="single"/>
        </w:rPr>
        <w:t xml:space="preserve"> </w:t>
      </w:r>
      <w:r>
        <w:rPr>
          <w:rFonts w:hint="eastAsia" w:ascii="宋体" w:hAnsi="宋体"/>
          <w:b/>
          <w:sz w:val="24"/>
          <w:szCs w:val="24"/>
          <w:u w:val="single"/>
        </w:rPr>
        <w:t xml:space="preserve">（公司名称） </w:t>
      </w:r>
      <w:r>
        <w:rPr>
          <w:rFonts w:ascii="宋体" w:hAnsi="宋体"/>
          <w:b/>
          <w:sz w:val="24"/>
          <w:szCs w:val="24"/>
          <w:u w:val="single"/>
        </w:rPr>
        <w:t xml:space="preserve"> </w:t>
      </w:r>
      <w:r>
        <w:rPr>
          <w:rFonts w:hint="eastAsia" w:ascii="宋体" w:hAnsi="宋体"/>
          <w:bCs/>
          <w:sz w:val="24"/>
          <w:szCs w:val="24"/>
        </w:rPr>
        <w:t>参加</w:t>
      </w:r>
      <w:r>
        <w:rPr>
          <w:rFonts w:hint="eastAsia" w:ascii="宋体" w:hAnsi="宋体"/>
          <w:b/>
          <w:sz w:val="24"/>
          <w:szCs w:val="24"/>
        </w:rPr>
        <w:t>2023年度嘉兴市公安局交通警察支队交通设施日常维护、更新项目</w:t>
      </w:r>
      <w:r>
        <w:rPr>
          <w:rFonts w:hint="eastAsia" w:ascii="宋体" w:hAnsi="宋体"/>
          <w:bCs/>
          <w:sz w:val="24"/>
          <w:szCs w:val="24"/>
        </w:rPr>
        <w:t>投标活动，现承诺如下：</w:t>
      </w:r>
    </w:p>
    <w:p>
      <w:pPr>
        <w:ind w:firstLine="480" w:firstLineChars="200"/>
        <w:rPr>
          <w:rFonts w:ascii="宋体" w:hAnsi="宋体"/>
          <w:sz w:val="24"/>
        </w:rPr>
      </w:pPr>
    </w:p>
    <w:p>
      <w:pPr>
        <w:snapToGrid w:val="0"/>
        <w:ind w:firstLine="480" w:firstLineChars="200"/>
        <w:jc w:val="left"/>
        <w:rPr>
          <w:rFonts w:ascii="宋体" w:hAnsi="宋体" w:cs="宋体"/>
          <w:bCs/>
          <w:sz w:val="24"/>
        </w:rPr>
      </w:pPr>
      <w:r>
        <w:rPr>
          <w:rFonts w:hint="eastAsia" w:ascii="宋体" w:hAnsi="宋体" w:cs="宋体"/>
          <w:bCs/>
          <w:sz w:val="24"/>
        </w:rPr>
        <w:t>1、我公司具有良好的商业信誉和健全的财务会计制度；</w:t>
      </w:r>
    </w:p>
    <w:p>
      <w:pPr>
        <w:snapToGrid w:val="0"/>
        <w:ind w:firstLine="480" w:firstLineChars="200"/>
        <w:jc w:val="left"/>
        <w:rPr>
          <w:rFonts w:ascii="宋体" w:hAnsi="宋体" w:cs="宋体"/>
          <w:bCs/>
          <w:sz w:val="24"/>
        </w:rPr>
      </w:pPr>
      <w:r>
        <w:rPr>
          <w:rFonts w:hint="eastAsia" w:ascii="宋体" w:hAnsi="宋体" w:cs="宋体"/>
          <w:bCs/>
          <w:sz w:val="24"/>
        </w:rPr>
        <w:t>2、我公司具有履行合同所需的设备和专业技术能力；</w:t>
      </w:r>
    </w:p>
    <w:p>
      <w:pPr>
        <w:snapToGrid w:val="0"/>
        <w:ind w:firstLine="480" w:firstLineChars="200"/>
        <w:jc w:val="left"/>
        <w:rPr>
          <w:rFonts w:ascii="宋体" w:hAnsi="宋体" w:cs="宋体"/>
          <w:bCs/>
          <w:sz w:val="24"/>
        </w:rPr>
      </w:pPr>
      <w:r>
        <w:rPr>
          <w:rFonts w:hint="eastAsia" w:ascii="宋体" w:hAnsi="宋体" w:cs="宋体"/>
          <w:bCs/>
          <w:sz w:val="24"/>
        </w:rPr>
        <w:t>3、我公司有依法缴纳税收和社会保障资金的良好记录；</w:t>
      </w:r>
    </w:p>
    <w:p>
      <w:pPr>
        <w:snapToGrid w:val="0"/>
        <w:ind w:firstLine="480" w:firstLineChars="200"/>
        <w:jc w:val="left"/>
        <w:rPr>
          <w:rFonts w:ascii="宋体" w:hAnsi="宋体" w:cs="宋体"/>
          <w:bCs/>
          <w:sz w:val="24"/>
        </w:rPr>
      </w:pPr>
      <w:r>
        <w:rPr>
          <w:rFonts w:hint="eastAsia" w:ascii="宋体" w:hAnsi="宋体" w:cs="宋体"/>
          <w:bCs/>
          <w:sz w:val="24"/>
        </w:rPr>
        <w:t>4、</w:t>
      </w:r>
      <w:r>
        <w:rPr>
          <w:rFonts w:hint="eastAsia" w:ascii="宋体" w:hAnsi="宋体" w:cs="宋体"/>
          <w:sz w:val="24"/>
        </w:rPr>
        <w:t>我公司声明截止投标时间近三年以来，在经营活动中没有重大违法记录；也没有因违反《浙江省政府采购供应商注册及诚信管理暂行办法》被列入“黑名单”，正在处罚有效期</w:t>
      </w:r>
      <w:r>
        <w:rPr>
          <w:rFonts w:hint="eastAsia" w:ascii="宋体" w:hAnsi="宋体" w:cs="宋体"/>
          <w:bCs/>
          <w:sz w:val="24"/>
        </w:rPr>
        <w:t>；</w:t>
      </w:r>
    </w:p>
    <w:p>
      <w:pPr>
        <w:snapToGrid w:val="0"/>
        <w:ind w:firstLine="480" w:firstLineChars="200"/>
        <w:jc w:val="left"/>
        <w:rPr>
          <w:rFonts w:ascii="宋体" w:hAnsi="宋体" w:cs="宋体"/>
          <w:bCs/>
          <w:sz w:val="24"/>
        </w:rPr>
      </w:pPr>
      <w:r>
        <w:rPr>
          <w:rFonts w:hint="eastAsia" w:ascii="宋体" w:hAnsi="宋体" w:cs="宋体"/>
          <w:bCs/>
          <w:sz w:val="24"/>
        </w:rPr>
        <w:t>如违反以上承诺，本公司愿承担一切法律责任。</w:t>
      </w:r>
    </w:p>
    <w:p>
      <w:pPr>
        <w:snapToGrid w:val="0"/>
        <w:ind w:firstLine="480" w:firstLineChars="200"/>
        <w:jc w:val="left"/>
        <w:rPr>
          <w:rFonts w:ascii="宋体" w:hAnsi="宋体"/>
          <w:sz w:val="24"/>
          <w:szCs w:val="24"/>
        </w:rPr>
      </w:pPr>
      <w:r>
        <w:rPr>
          <w:rFonts w:hint="eastAsia" w:ascii="宋体" w:hAnsi="宋体" w:cs="宋体"/>
          <w:sz w:val="24"/>
        </w:rPr>
        <w:t>特此承诺。</w:t>
      </w:r>
    </w:p>
    <w:p>
      <w:pPr>
        <w:snapToGrid w:val="0"/>
        <w:ind w:firstLine="480" w:firstLineChars="200"/>
        <w:jc w:val="left"/>
        <w:rPr>
          <w:rFonts w:ascii="宋体" w:hAnsi="宋体"/>
          <w:sz w:val="24"/>
          <w:szCs w:val="24"/>
        </w:rPr>
      </w:pPr>
    </w:p>
    <w:p>
      <w:pPr>
        <w:snapToGrid w:val="0"/>
        <w:ind w:firstLine="480" w:firstLineChars="200"/>
        <w:rPr>
          <w:rFonts w:ascii="宋体" w:hAnsi="宋体"/>
          <w:sz w:val="24"/>
          <w:szCs w:val="24"/>
        </w:rPr>
      </w:pPr>
      <w:r>
        <w:rPr>
          <w:rFonts w:hint="eastAsia" w:ascii="宋体" w:hAnsi="宋体"/>
          <w:sz w:val="24"/>
          <w:szCs w:val="24"/>
        </w:rPr>
        <w:t>被授权人签字（或盖章）：</w:t>
      </w:r>
    </w:p>
    <w:p>
      <w:pPr>
        <w:snapToGrid w:val="0"/>
        <w:ind w:firstLine="480" w:firstLineChars="200"/>
        <w:rPr>
          <w:rFonts w:ascii="宋体" w:hAnsi="宋体"/>
          <w:sz w:val="24"/>
          <w:szCs w:val="24"/>
        </w:rPr>
      </w:pPr>
      <w:r>
        <w:rPr>
          <w:rFonts w:hint="eastAsia" w:ascii="宋体" w:hAnsi="宋体"/>
          <w:sz w:val="24"/>
          <w:szCs w:val="24"/>
        </w:rPr>
        <w:t>供应商公章：</w:t>
      </w:r>
    </w:p>
    <w:p>
      <w:pPr>
        <w:snapToGrid w:val="0"/>
        <w:ind w:firstLine="480" w:firstLineChars="200"/>
        <w:rPr>
          <w:rFonts w:ascii="宋体" w:hAnsi="宋体"/>
          <w:sz w:val="24"/>
          <w:szCs w:val="24"/>
        </w:rPr>
      </w:pPr>
      <w:r>
        <w:rPr>
          <w:rFonts w:hint="eastAsia" w:ascii="宋体" w:hAnsi="宋体"/>
          <w:sz w:val="24"/>
          <w:szCs w:val="24"/>
        </w:rPr>
        <w:t>日期：</w:t>
      </w:r>
    </w:p>
    <w:p>
      <w:pPr>
        <w:ind w:firstLine="360" w:firstLineChars="200"/>
        <w:rPr>
          <w:rFonts w:ascii="宋体" w:hAnsi="宋体"/>
          <w:sz w:val="18"/>
          <w:szCs w:val="18"/>
        </w:rPr>
      </w:pPr>
    </w:p>
    <w:p>
      <w:pPr>
        <w:snapToGrid w:val="0"/>
        <w:rPr>
          <w:rFonts w:ascii="宋体" w:hAnsi="宋体"/>
          <w:b/>
          <w:sz w:val="24"/>
        </w:rPr>
      </w:pPr>
      <w:r>
        <w:rPr>
          <w:rFonts w:ascii="宋体" w:hAnsi="宋体"/>
        </w:rPr>
        <w:br w:type="page"/>
      </w:r>
      <w:r>
        <w:rPr>
          <w:rFonts w:ascii="宋体" w:hAnsi="宋体"/>
          <w:b/>
          <w:sz w:val="24"/>
        </w:rPr>
        <w:t>2</w:t>
      </w:r>
      <w:r>
        <w:rPr>
          <w:rFonts w:hint="eastAsia" w:ascii="宋体" w:hAnsi="宋体"/>
          <w:b/>
          <w:sz w:val="24"/>
        </w:rPr>
        <w:t>、中小企业声明函（格式见附件）、残疾人福利性单位声明函（格式见附件）及其他符合政策性加分条件的承诺函或证明材料</w:t>
      </w:r>
    </w:p>
    <w:p>
      <w:pPr>
        <w:snapToGrid w:val="0"/>
        <w:jc w:val="center"/>
        <w:rPr>
          <w:rFonts w:ascii="宋体" w:hAnsi="宋体"/>
          <w:b/>
          <w:sz w:val="32"/>
          <w:szCs w:val="32"/>
        </w:rPr>
      </w:pPr>
      <w:r>
        <w:rPr>
          <w:rFonts w:ascii="宋体" w:hAnsi="宋体"/>
          <w:b/>
          <w:sz w:val="32"/>
          <w:szCs w:val="32"/>
        </w:rPr>
        <w:t>中小企业声明函（工程、服务）</w:t>
      </w:r>
    </w:p>
    <w:p>
      <w:pPr>
        <w:overflowPunct w:val="0"/>
        <w:ind w:firstLine="420" w:firstLineChars="200"/>
        <w:rPr>
          <w:rFonts w:ascii="宋体" w:hAnsi="宋体"/>
          <w:szCs w:val="21"/>
        </w:rPr>
      </w:pPr>
      <w:r>
        <w:rPr>
          <w:rFonts w:ascii="宋体" w:hAnsi="宋体"/>
          <w:szCs w:val="21"/>
        </w:rPr>
        <w:t>本公司（联合体）郑重声明，根据《政府采购促进中小企业发展管理办法》（财库﹝2020﹞46号）的规定，本公司（联合体）参加</w:t>
      </w:r>
      <w:r>
        <w:rPr>
          <w:rFonts w:ascii="宋体" w:hAnsi="宋体"/>
          <w:szCs w:val="21"/>
          <w:u w:val="single"/>
        </w:rPr>
        <w:t>（单位名称）</w:t>
      </w:r>
      <w:r>
        <w:rPr>
          <w:rFonts w:ascii="宋体" w:hAnsi="宋体"/>
          <w:szCs w:val="21"/>
        </w:rPr>
        <w:t>的</w:t>
      </w:r>
      <w:r>
        <w:rPr>
          <w:rFonts w:ascii="宋体" w:hAnsi="宋体"/>
          <w:szCs w:val="21"/>
          <w:u w:val="single"/>
        </w:rPr>
        <w:t>（项目名称）</w:t>
      </w:r>
      <w:r>
        <w:rPr>
          <w:rFonts w:ascii="宋体" w:hAnsi="宋体"/>
          <w:szCs w:val="21"/>
        </w:rPr>
        <w:t>采购活动，工程的施工单位全部为符合政策要求的中小企业（或者：服务全部由符合政策要求的中小企业承接）。相关企业（含联合体中的中小企业、签订分包意向协议的中小企业）的具体情况如下：</w:t>
      </w:r>
    </w:p>
    <w:p>
      <w:pPr>
        <w:overflowPunct w:val="0"/>
        <w:ind w:firstLine="420" w:firstLineChars="200"/>
        <w:rPr>
          <w:rFonts w:ascii="宋体" w:hAnsi="宋体"/>
          <w:szCs w:val="21"/>
        </w:rPr>
      </w:pPr>
      <w:r>
        <w:rPr>
          <w:rFonts w:ascii="宋体" w:hAnsi="宋体"/>
          <w:szCs w:val="21"/>
        </w:rPr>
        <w:t>1.</w:t>
      </w:r>
      <w:r>
        <w:rPr>
          <w:rFonts w:ascii="宋体" w:hAnsi="宋体"/>
          <w:szCs w:val="21"/>
          <w:u w:val="single"/>
        </w:rPr>
        <w:t>（标的名称）</w:t>
      </w:r>
      <w:r>
        <w:rPr>
          <w:rFonts w:ascii="宋体" w:hAnsi="宋体"/>
          <w:szCs w:val="21"/>
        </w:rPr>
        <w:t>，属于</w:t>
      </w:r>
      <w:r>
        <w:rPr>
          <w:rFonts w:ascii="宋体" w:hAnsi="宋体"/>
          <w:szCs w:val="21"/>
          <w:u w:val="single"/>
        </w:rPr>
        <w:t>（采购文件中明确的所属行业）</w:t>
      </w:r>
      <w:r>
        <w:rPr>
          <w:rFonts w:ascii="宋体" w:hAnsi="宋体"/>
          <w:szCs w:val="21"/>
        </w:rPr>
        <w:t>；承建（承接）企业为</w:t>
      </w:r>
      <w:r>
        <w:rPr>
          <w:rFonts w:ascii="宋体" w:hAnsi="宋体"/>
          <w:szCs w:val="21"/>
          <w:u w:val="single"/>
        </w:rPr>
        <w:t>（企业名称）</w:t>
      </w:r>
      <w:r>
        <w:rPr>
          <w:rFonts w:ascii="宋体" w:hAnsi="宋体"/>
          <w:szCs w:val="21"/>
        </w:rPr>
        <w:t>，从业人员</w:t>
      </w:r>
      <w:r>
        <w:rPr>
          <w:rFonts w:hint="eastAsia" w:ascii="宋体" w:hAnsi="宋体" w:cs="宋体"/>
          <w:szCs w:val="21"/>
          <w:u w:val="single"/>
        </w:rPr>
        <w:t xml:space="preserve">    </w:t>
      </w:r>
      <w:r>
        <w:rPr>
          <w:rFonts w:ascii="宋体" w:hAnsi="宋体"/>
          <w:szCs w:val="21"/>
        </w:rPr>
        <w:t>人，营业收入为</w:t>
      </w:r>
      <w:r>
        <w:rPr>
          <w:rFonts w:hint="eastAsia" w:ascii="宋体" w:hAnsi="宋体" w:cs="宋体"/>
          <w:szCs w:val="21"/>
          <w:u w:val="single"/>
        </w:rPr>
        <w:t xml:space="preserve">    </w:t>
      </w:r>
      <w:r>
        <w:rPr>
          <w:rFonts w:ascii="宋体" w:hAnsi="宋体"/>
          <w:szCs w:val="21"/>
        </w:rPr>
        <w:t>万元，资产总额为</w:t>
      </w:r>
      <w:r>
        <w:rPr>
          <w:rFonts w:hint="eastAsia" w:ascii="宋体" w:hAnsi="宋体" w:cs="宋体"/>
          <w:szCs w:val="21"/>
          <w:u w:val="single"/>
        </w:rPr>
        <w:t xml:space="preserve">    </w:t>
      </w:r>
      <w:r>
        <w:rPr>
          <w:rFonts w:ascii="宋体" w:hAnsi="宋体"/>
          <w:szCs w:val="21"/>
        </w:rPr>
        <w:t>万元</w:t>
      </w:r>
      <w:r>
        <w:rPr>
          <w:rFonts w:ascii="宋体" w:hAnsi="宋体"/>
          <w:szCs w:val="21"/>
          <w:vertAlign w:val="superscript"/>
        </w:rPr>
        <w:footnoteReference w:id="0"/>
      </w:r>
      <w:r>
        <w:rPr>
          <w:rFonts w:ascii="宋体" w:hAnsi="宋体"/>
          <w:szCs w:val="21"/>
        </w:rPr>
        <w:t>，属于</w:t>
      </w:r>
      <w:r>
        <w:rPr>
          <w:rFonts w:ascii="宋体" w:hAnsi="宋体"/>
          <w:szCs w:val="21"/>
          <w:u w:val="single"/>
        </w:rPr>
        <w:t>（中型企业、小型企业、微型企业）</w:t>
      </w:r>
      <w:r>
        <w:rPr>
          <w:rFonts w:ascii="宋体" w:hAnsi="宋体"/>
          <w:szCs w:val="21"/>
        </w:rPr>
        <w:t>；</w:t>
      </w:r>
    </w:p>
    <w:p>
      <w:pPr>
        <w:overflowPunct w:val="0"/>
        <w:ind w:firstLine="420" w:firstLineChars="200"/>
        <w:rPr>
          <w:rFonts w:ascii="宋体" w:hAnsi="宋体"/>
          <w:szCs w:val="21"/>
        </w:rPr>
      </w:pPr>
      <w:r>
        <w:rPr>
          <w:rFonts w:ascii="宋体" w:hAnsi="宋体"/>
          <w:szCs w:val="21"/>
        </w:rPr>
        <w:t>2.</w:t>
      </w:r>
      <w:r>
        <w:rPr>
          <w:rFonts w:ascii="宋体" w:hAnsi="宋体"/>
          <w:szCs w:val="21"/>
          <w:u w:val="single"/>
        </w:rPr>
        <w:t>（标的名称）</w:t>
      </w:r>
      <w:r>
        <w:rPr>
          <w:rFonts w:ascii="宋体" w:hAnsi="宋体"/>
          <w:szCs w:val="21"/>
        </w:rPr>
        <w:t>，属于</w:t>
      </w:r>
      <w:r>
        <w:rPr>
          <w:rFonts w:ascii="宋体" w:hAnsi="宋体"/>
          <w:szCs w:val="21"/>
          <w:u w:val="single"/>
        </w:rPr>
        <w:t>（采购文件中明确的所属行业）</w:t>
      </w:r>
      <w:r>
        <w:rPr>
          <w:rFonts w:ascii="宋体" w:hAnsi="宋体"/>
          <w:szCs w:val="21"/>
        </w:rPr>
        <w:t>；承建（承接）企业为</w:t>
      </w:r>
      <w:r>
        <w:rPr>
          <w:rFonts w:ascii="宋体" w:hAnsi="宋体"/>
          <w:szCs w:val="21"/>
          <w:u w:val="single"/>
        </w:rPr>
        <w:t>（企业名称）</w:t>
      </w:r>
      <w:r>
        <w:rPr>
          <w:rFonts w:ascii="宋体" w:hAnsi="宋体"/>
          <w:szCs w:val="21"/>
        </w:rPr>
        <w:t>，从业人员</w:t>
      </w:r>
      <w:r>
        <w:rPr>
          <w:rFonts w:hint="eastAsia" w:ascii="宋体" w:hAnsi="宋体" w:cs="宋体"/>
          <w:szCs w:val="21"/>
          <w:u w:val="single"/>
        </w:rPr>
        <w:t xml:space="preserve">    </w:t>
      </w:r>
      <w:r>
        <w:rPr>
          <w:rFonts w:ascii="宋体" w:hAnsi="宋体"/>
          <w:szCs w:val="21"/>
        </w:rPr>
        <w:t>人，营业收入为</w:t>
      </w:r>
      <w:r>
        <w:rPr>
          <w:rFonts w:hint="eastAsia" w:ascii="宋体" w:hAnsi="宋体" w:cs="宋体"/>
          <w:szCs w:val="21"/>
          <w:u w:val="single"/>
        </w:rPr>
        <w:t xml:space="preserve">    </w:t>
      </w:r>
      <w:r>
        <w:rPr>
          <w:rFonts w:ascii="宋体" w:hAnsi="宋体"/>
          <w:szCs w:val="21"/>
        </w:rPr>
        <w:t>万元，资产总额为</w:t>
      </w:r>
      <w:r>
        <w:rPr>
          <w:rFonts w:hint="eastAsia" w:ascii="宋体" w:hAnsi="宋体" w:cs="宋体"/>
          <w:szCs w:val="21"/>
          <w:u w:val="single"/>
        </w:rPr>
        <w:t xml:space="preserve">    </w:t>
      </w:r>
      <w:r>
        <w:rPr>
          <w:rFonts w:ascii="宋体" w:hAnsi="宋体"/>
          <w:szCs w:val="21"/>
        </w:rPr>
        <w:t>万元，属于</w:t>
      </w:r>
      <w:r>
        <w:rPr>
          <w:rFonts w:ascii="宋体" w:hAnsi="宋体"/>
          <w:szCs w:val="21"/>
          <w:u w:val="single"/>
        </w:rPr>
        <w:t>（中型企业、小型企业、微型企业）</w:t>
      </w:r>
      <w:r>
        <w:rPr>
          <w:rFonts w:ascii="宋体" w:hAnsi="宋体"/>
          <w:szCs w:val="21"/>
        </w:rPr>
        <w:t>；</w:t>
      </w:r>
    </w:p>
    <w:p>
      <w:pPr>
        <w:overflowPunct w:val="0"/>
        <w:ind w:firstLine="420" w:firstLineChars="200"/>
        <w:rPr>
          <w:rFonts w:ascii="宋体" w:hAnsi="宋体"/>
          <w:szCs w:val="21"/>
        </w:rPr>
      </w:pPr>
      <w:r>
        <w:rPr>
          <w:rFonts w:ascii="宋体" w:hAnsi="宋体"/>
          <w:szCs w:val="21"/>
        </w:rPr>
        <w:t>......</w:t>
      </w:r>
    </w:p>
    <w:p>
      <w:pPr>
        <w:overflowPunct w:val="0"/>
        <w:ind w:firstLine="420" w:firstLineChars="200"/>
        <w:rPr>
          <w:rFonts w:ascii="宋体" w:hAnsi="宋体"/>
          <w:szCs w:val="21"/>
        </w:rPr>
      </w:pPr>
      <w:r>
        <w:rPr>
          <w:rFonts w:ascii="宋体" w:hAnsi="宋体"/>
          <w:szCs w:val="21"/>
        </w:rPr>
        <w:t>以上企业，不属于大企业的分支机构，不存在控股股东为大企业的情形，也不存在与大企业的负责人为同一人的情形。</w:t>
      </w:r>
    </w:p>
    <w:p>
      <w:pPr>
        <w:overflowPunct w:val="0"/>
        <w:ind w:firstLine="420" w:firstLineChars="200"/>
        <w:rPr>
          <w:rFonts w:ascii="宋体" w:hAnsi="宋体"/>
          <w:szCs w:val="21"/>
        </w:rPr>
      </w:pPr>
      <w:r>
        <w:rPr>
          <w:rFonts w:ascii="宋体" w:hAnsi="宋体"/>
          <w:szCs w:val="21"/>
        </w:rPr>
        <w:t>本企业对上述声明内容的真实性负责。如有虚假，将依法承担相应责任。</w:t>
      </w:r>
    </w:p>
    <w:p>
      <w:pPr>
        <w:overflowPunct w:val="0"/>
        <w:ind w:firstLine="5208" w:firstLineChars="2480"/>
        <w:rPr>
          <w:rFonts w:ascii="宋体" w:hAnsi="宋体"/>
          <w:szCs w:val="21"/>
        </w:rPr>
      </w:pPr>
      <w:r>
        <w:rPr>
          <w:rFonts w:ascii="宋体" w:hAnsi="宋体"/>
          <w:szCs w:val="21"/>
        </w:rPr>
        <w:t>企业名称（盖章）：</w:t>
      </w:r>
    </w:p>
    <w:p>
      <w:pPr>
        <w:overflowPunct w:val="0"/>
        <w:ind w:firstLine="5208" w:firstLineChars="2480"/>
        <w:rPr>
          <w:rFonts w:ascii="宋体" w:hAnsi="宋体"/>
          <w:szCs w:val="21"/>
        </w:rPr>
      </w:pPr>
      <w:r>
        <w:rPr>
          <w:rFonts w:ascii="宋体" w:hAnsi="宋体"/>
          <w:szCs w:val="21"/>
        </w:rPr>
        <w:t>日期：</w:t>
      </w:r>
    </w:p>
    <w:p>
      <w:pPr>
        <w:widowControl/>
        <w:overflowPunct w:val="0"/>
        <w:ind w:firstLine="420" w:firstLineChars="200"/>
        <w:jc w:val="left"/>
        <w:rPr>
          <w:rFonts w:ascii="宋体" w:hAnsi="宋体"/>
          <w:szCs w:val="21"/>
        </w:rPr>
      </w:pPr>
      <w:r>
        <w:rPr>
          <w:rFonts w:hint="eastAsia" w:ascii="宋体" w:hAnsi="宋体"/>
          <w:szCs w:val="21"/>
        </w:rPr>
        <w:t>中小企业应当按照《政府采购促进中小企业发展管理办法》规定和《大中小微型企业划分办法（</w:t>
      </w:r>
      <w:r>
        <w:rPr>
          <w:rFonts w:ascii="宋体" w:hAnsi="宋体"/>
          <w:szCs w:val="21"/>
        </w:rPr>
        <w:t>2017</w:t>
      </w:r>
      <w:r>
        <w:rPr>
          <w:rFonts w:hint="eastAsia" w:ascii="宋体" w:hAnsi="宋体"/>
          <w:szCs w:val="21"/>
        </w:rPr>
        <w:t>）》，如实填写并提交《中小企业声明函》。未按要求出具声明函的，投标报价不予扣减。</w:t>
      </w:r>
    </w:p>
    <w:p>
      <w:pPr>
        <w:widowControl/>
        <w:overflowPunct w:val="0"/>
        <w:ind w:firstLine="420" w:firstLineChars="200"/>
        <w:jc w:val="left"/>
        <w:rPr>
          <w:rFonts w:hint="eastAsia" w:ascii="宋体" w:hAnsi="宋体"/>
          <w:szCs w:val="21"/>
        </w:rPr>
      </w:pPr>
      <w:r>
        <w:rPr>
          <w:rFonts w:hint="eastAsia" w:ascii="宋体" w:hAnsi="宋体"/>
          <w:szCs w:val="21"/>
        </w:rPr>
        <w:t>中小企业对其声明内容的真实性负责，声明函内容不实的，属于提供虚假材料谋取中标、成交，依照《中华人民共和国政府采购法》等国家有关规定追究相应责任。</w:t>
      </w:r>
    </w:p>
    <w:p>
      <w:pPr>
        <w:widowControl/>
        <w:overflowPunct w:val="0"/>
        <w:ind w:firstLine="420" w:firstLineChars="200"/>
        <w:jc w:val="left"/>
        <w:rPr>
          <w:rFonts w:ascii="宋体" w:hAnsi="宋体"/>
          <w:szCs w:val="21"/>
        </w:rPr>
      </w:pPr>
      <w:r>
        <w:rPr>
          <w:rFonts w:ascii="宋体" w:hAnsi="宋体"/>
          <w:szCs w:val="21"/>
        </w:rPr>
        <w:t>供应商为监狱企业的证明文件：省级以上监狱管理局、戒毒管理局（含新疆生产建设兵团）出具（如有）</w:t>
      </w:r>
      <w:r>
        <w:rPr>
          <w:rFonts w:hint="eastAsia" w:ascii="宋体" w:hAnsi="宋体"/>
          <w:szCs w:val="21"/>
        </w:rPr>
        <w:t>。</w:t>
      </w:r>
    </w:p>
    <w:p>
      <w:pPr>
        <w:widowControl/>
        <w:overflowPunct w:val="0"/>
        <w:ind w:firstLine="420" w:firstLineChars="200"/>
        <w:jc w:val="left"/>
        <w:rPr>
          <w:rFonts w:hint="eastAsia" w:ascii="宋体" w:hAnsi="宋体"/>
          <w:szCs w:val="21"/>
        </w:rPr>
      </w:pPr>
      <w:r>
        <w:rPr>
          <w:rFonts w:hint="eastAsia" w:ascii="宋体" w:hAnsi="宋体"/>
          <w:szCs w:val="21"/>
        </w:rPr>
        <w:t>本项目所属行业：其他未列明行业。</w:t>
      </w:r>
    </w:p>
    <w:p>
      <w:pPr>
        <w:widowControl/>
        <w:overflowPunct w:val="0"/>
        <w:ind w:firstLine="420" w:firstLineChars="200"/>
        <w:jc w:val="left"/>
        <w:rPr>
          <w:rFonts w:ascii="宋体" w:hAnsi="宋体"/>
          <w:szCs w:val="21"/>
        </w:rPr>
        <w:sectPr>
          <w:footerReference r:id="rId13" w:type="first"/>
          <w:footnotePr>
            <w:numRestart w:val="eachPage"/>
          </w:footnotePr>
          <w:type w:val="continuous"/>
          <w:pgSz w:w="11906" w:h="16838"/>
          <w:pgMar w:top="1247" w:right="1418" w:bottom="1276" w:left="1418" w:header="851" w:footer="483" w:gutter="0"/>
          <w:cols w:space="720" w:num="1"/>
          <w:titlePg/>
          <w:docGrid w:linePitch="312" w:charSpace="0"/>
        </w:sectPr>
      </w:pPr>
    </w:p>
    <w:p>
      <w:pPr>
        <w:snapToGrid w:val="0"/>
        <w:jc w:val="center"/>
        <w:rPr>
          <w:rFonts w:ascii="宋体" w:hAnsi="宋体"/>
          <w:b/>
          <w:sz w:val="32"/>
          <w:szCs w:val="32"/>
        </w:rPr>
      </w:pPr>
      <w:r>
        <w:rPr>
          <w:rFonts w:hint="eastAsia" w:ascii="宋体" w:hAnsi="宋体"/>
          <w:b/>
          <w:sz w:val="32"/>
          <w:szCs w:val="32"/>
        </w:rPr>
        <w:t>残疾人福利性单位声明函（非残疾人福利性单位无需提供）</w:t>
      </w:r>
    </w:p>
    <w:p>
      <w:pPr>
        <w:snapToGrid w:val="0"/>
        <w:ind w:firstLine="643" w:firstLineChars="200"/>
        <w:jc w:val="center"/>
        <w:rPr>
          <w:rFonts w:ascii="宋体" w:hAnsi="宋体"/>
          <w:b/>
          <w:sz w:val="32"/>
          <w:szCs w:val="32"/>
        </w:rPr>
      </w:pPr>
    </w:p>
    <w:p>
      <w:pPr>
        <w:snapToGrid w:val="0"/>
        <w:ind w:firstLine="420" w:firstLineChars="200"/>
        <w:rPr>
          <w:rFonts w:ascii="宋体" w:hAnsi="宋体" w:cs="宋体"/>
          <w:szCs w:val="21"/>
        </w:rPr>
      </w:pPr>
      <w:r>
        <w:rPr>
          <w:rFonts w:hint="eastAsia" w:ascii="宋体" w:hAnsi="宋体" w:cs="宋体"/>
          <w:szCs w:val="21"/>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s="宋体"/>
          <w:szCs w:val="21"/>
          <w:u w:val="single"/>
        </w:rPr>
        <w:t xml:space="preserve">                     </w:t>
      </w:r>
      <w:r>
        <w:rPr>
          <w:rFonts w:hint="eastAsia" w:ascii="宋体" w:hAnsi="宋体" w:cs="宋体"/>
          <w:szCs w:val="21"/>
        </w:rPr>
        <w:t>单位的</w:t>
      </w:r>
      <w:r>
        <w:rPr>
          <w:rFonts w:hint="eastAsia" w:ascii="宋体" w:hAnsi="宋体" w:cs="宋体"/>
          <w:szCs w:val="21"/>
          <w:u w:val="single"/>
        </w:rPr>
        <w:t xml:space="preserve">                        </w:t>
      </w:r>
      <w:r>
        <w:rPr>
          <w:rFonts w:hint="eastAsia" w:ascii="宋体" w:hAnsi="宋体" w:cs="宋体"/>
          <w:szCs w:val="21"/>
        </w:rPr>
        <w:t>项目采购活动提供本单位制造的货物（由本单位承担工程、提供服务），或者提供其他残疾人福利性单位制造的货物（不包括使用非残疾人福利性单位注册商标的货物）。</w:t>
      </w:r>
    </w:p>
    <w:p>
      <w:pPr>
        <w:snapToGrid w:val="0"/>
        <w:ind w:firstLine="420" w:firstLineChars="200"/>
        <w:rPr>
          <w:rFonts w:ascii="宋体" w:hAnsi="宋体"/>
          <w:szCs w:val="21"/>
        </w:rPr>
      </w:pPr>
      <w:r>
        <w:rPr>
          <w:rFonts w:hint="eastAsia" w:ascii="宋体" w:hAnsi="宋体" w:cs="宋体"/>
          <w:szCs w:val="21"/>
        </w:rPr>
        <w:t>本单位对上述声明的真实性负责。如有虚假，将依法承担相应责任。</w:t>
      </w:r>
    </w:p>
    <w:p>
      <w:pPr>
        <w:snapToGrid w:val="0"/>
        <w:ind w:firstLine="420" w:firstLineChars="200"/>
        <w:rPr>
          <w:rFonts w:ascii="宋体" w:hAnsi="宋体"/>
          <w:szCs w:val="21"/>
        </w:rPr>
      </w:pPr>
    </w:p>
    <w:p>
      <w:pPr>
        <w:snapToGrid w:val="0"/>
        <w:ind w:firstLine="420" w:firstLineChars="200"/>
        <w:rPr>
          <w:rFonts w:ascii="宋体" w:hAnsi="宋体"/>
          <w:szCs w:val="21"/>
        </w:rPr>
      </w:pPr>
    </w:p>
    <w:p>
      <w:pPr>
        <w:snapToGrid w:val="0"/>
        <w:ind w:firstLine="420" w:firstLineChars="200"/>
        <w:rPr>
          <w:rFonts w:ascii="宋体" w:hAnsi="宋体"/>
          <w:szCs w:val="21"/>
          <w:u w:val="single"/>
        </w:rPr>
      </w:pPr>
      <w:r>
        <w:rPr>
          <w:rFonts w:hint="eastAsia" w:ascii="宋体" w:hAnsi="宋体"/>
          <w:szCs w:val="21"/>
        </w:rPr>
        <w:t>供应商公章：</w:t>
      </w:r>
    </w:p>
    <w:p>
      <w:pPr>
        <w:snapToGrid w:val="0"/>
        <w:ind w:firstLine="420" w:firstLineChars="200"/>
        <w:rPr>
          <w:rFonts w:ascii="宋体" w:hAnsi="宋体"/>
          <w:szCs w:val="21"/>
        </w:rPr>
      </w:pPr>
      <w:r>
        <w:rPr>
          <w:rFonts w:hint="eastAsia" w:ascii="宋体" w:hAnsi="宋体"/>
          <w:szCs w:val="21"/>
        </w:rPr>
        <w:t>日期：</w:t>
      </w:r>
    </w:p>
    <w:p>
      <w:pPr>
        <w:pStyle w:val="21"/>
        <w:rPr>
          <w:rFonts w:hint="eastAsia" w:ascii="宋体" w:hAnsi="宋体"/>
        </w:rPr>
      </w:pPr>
    </w:p>
    <w:p>
      <w:pPr>
        <w:snapToGrid w:val="0"/>
        <w:jc w:val="center"/>
        <w:rPr>
          <w:rFonts w:ascii="宋体" w:hAnsi="宋体" w:cs="宋体"/>
          <w:b/>
          <w:sz w:val="32"/>
          <w:szCs w:val="32"/>
        </w:rPr>
      </w:pPr>
      <w:r>
        <w:rPr>
          <w:rFonts w:hint="eastAsia" w:ascii="宋体" w:hAnsi="宋体" w:cs="宋体"/>
          <w:b/>
          <w:sz w:val="32"/>
          <w:szCs w:val="32"/>
        </w:rPr>
        <w:t>监狱和戒毒企业证明材料（非监狱和戒毒企业无需填写）</w:t>
      </w:r>
    </w:p>
    <w:tbl>
      <w:tblPr>
        <w:tblStyle w:val="53"/>
        <w:tblW w:w="0" w:type="auto"/>
        <w:tblInd w:w="108" w:type="dxa"/>
        <w:tblBorders>
          <w:top w:val="dotDash" w:color="000000" w:sz="4" w:space="0"/>
          <w:left w:val="dotDash" w:color="000000" w:sz="4" w:space="0"/>
          <w:bottom w:val="dotDash" w:color="000000" w:sz="4" w:space="0"/>
          <w:right w:val="dotDash" w:color="000000" w:sz="4" w:space="0"/>
          <w:insideH w:val="dotDash" w:color="000000" w:sz="4" w:space="0"/>
          <w:insideV w:val="dotDash" w:color="000000" w:sz="4" w:space="0"/>
        </w:tblBorders>
        <w:tblLayout w:type="fixed"/>
        <w:tblCellMar>
          <w:top w:w="0" w:type="dxa"/>
          <w:left w:w="108" w:type="dxa"/>
          <w:bottom w:w="0" w:type="dxa"/>
          <w:right w:w="108" w:type="dxa"/>
        </w:tblCellMar>
      </w:tblPr>
      <w:tblGrid>
        <w:gridCol w:w="8820"/>
      </w:tblGrid>
      <w:tr>
        <w:tblPrEx>
          <w:tblBorders>
            <w:top w:val="dotDash" w:color="000000" w:sz="4" w:space="0"/>
            <w:left w:val="dotDash" w:color="000000" w:sz="4" w:space="0"/>
            <w:bottom w:val="dotDash" w:color="000000" w:sz="4" w:space="0"/>
            <w:right w:val="dotDash" w:color="000000" w:sz="4" w:space="0"/>
            <w:insideH w:val="dotDash" w:color="000000" w:sz="4" w:space="0"/>
            <w:insideV w:val="dotDash" w:color="000000" w:sz="4" w:space="0"/>
          </w:tblBorders>
          <w:tblCellMar>
            <w:top w:w="0" w:type="dxa"/>
            <w:left w:w="108" w:type="dxa"/>
            <w:bottom w:w="0" w:type="dxa"/>
            <w:right w:w="108" w:type="dxa"/>
          </w:tblCellMar>
        </w:tblPrEx>
        <w:trPr>
          <w:trHeight w:val="5920" w:hRule="atLeast"/>
        </w:trPr>
        <w:tc>
          <w:tcPr>
            <w:tcW w:w="8820" w:type="dxa"/>
            <w:noWrap w:val="0"/>
            <w:vAlign w:val="center"/>
          </w:tcPr>
          <w:p>
            <w:pPr>
              <w:contextualSpacing/>
              <w:jc w:val="center"/>
              <w:rPr>
                <w:rFonts w:ascii="宋体" w:hAnsi="宋体"/>
                <w:b/>
                <w:color w:val="000000"/>
                <w:szCs w:val="21"/>
              </w:rPr>
            </w:pPr>
            <w:r>
              <w:rPr>
                <w:rFonts w:hint="eastAsia" w:ascii="宋体" w:hAnsi="宋体"/>
                <w:b/>
                <w:color w:val="000000"/>
                <w:szCs w:val="21"/>
              </w:rPr>
              <w:t>相关部门出具的监狱企业证明文件</w:t>
            </w:r>
          </w:p>
          <w:p>
            <w:pPr>
              <w:contextualSpacing/>
              <w:jc w:val="center"/>
              <w:rPr>
                <w:rFonts w:ascii="宋体" w:hAnsi="宋体" w:cs="Arial"/>
                <w:b/>
                <w:i/>
                <w:color w:val="000000"/>
                <w:kern w:val="0"/>
                <w:szCs w:val="21"/>
              </w:rPr>
            </w:pPr>
            <w:r>
              <w:rPr>
                <w:rFonts w:hint="eastAsia" w:ascii="宋体" w:hAnsi="宋体"/>
                <w:color w:val="000000"/>
                <w:szCs w:val="21"/>
              </w:rPr>
              <w:t>（如是，提供</w:t>
            </w:r>
            <w:r>
              <w:rPr>
                <w:rFonts w:hint="eastAsia" w:ascii="宋体" w:hAnsi="宋体" w:cs="Arial"/>
                <w:color w:val="000000"/>
                <w:kern w:val="0"/>
                <w:szCs w:val="21"/>
              </w:rPr>
              <w:t>复印件加盖投标供应商公章）</w:t>
            </w:r>
          </w:p>
        </w:tc>
      </w:tr>
    </w:tbl>
    <w:p>
      <w:pPr>
        <w:snapToGrid w:val="0"/>
        <w:spacing w:before="120" w:beforeLines="50"/>
        <w:ind w:firstLine="420" w:firstLineChars="200"/>
        <w:rPr>
          <w:rFonts w:ascii="宋体" w:hAnsi="宋体"/>
          <w:szCs w:val="21"/>
        </w:rPr>
      </w:pPr>
      <w:r>
        <w:rPr>
          <w:rFonts w:hint="eastAsia" w:ascii="宋体" w:hAnsi="宋体"/>
          <w:szCs w:val="21"/>
        </w:rPr>
        <w:t>法定代表人或授权代表（签字或盖章）：</w:t>
      </w:r>
    </w:p>
    <w:p>
      <w:pPr>
        <w:snapToGrid w:val="0"/>
        <w:ind w:firstLine="420" w:firstLineChars="200"/>
        <w:rPr>
          <w:rFonts w:ascii="宋体" w:hAnsi="宋体"/>
          <w:szCs w:val="21"/>
        </w:rPr>
      </w:pPr>
      <w:r>
        <w:rPr>
          <w:rFonts w:hint="eastAsia" w:ascii="宋体" w:hAnsi="宋体"/>
          <w:szCs w:val="21"/>
        </w:rPr>
        <w:t>投标人名称（公章）：</w:t>
      </w:r>
    </w:p>
    <w:p>
      <w:pPr>
        <w:snapToGrid w:val="0"/>
        <w:ind w:firstLine="420" w:firstLineChars="200"/>
        <w:rPr>
          <w:rFonts w:ascii="宋体" w:hAnsi="宋体"/>
          <w:szCs w:val="21"/>
        </w:rPr>
      </w:pPr>
      <w:r>
        <w:rPr>
          <w:rFonts w:hint="eastAsia" w:ascii="宋体" w:hAnsi="宋体"/>
          <w:szCs w:val="21"/>
        </w:rPr>
        <w:t>日期：    年   月   日</w:t>
      </w:r>
    </w:p>
    <w:p>
      <w:pPr>
        <w:snapToGrid w:val="0"/>
        <w:jc w:val="left"/>
        <w:rPr>
          <w:rFonts w:ascii="宋体" w:hAnsi="宋体"/>
          <w:b/>
          <w:szCs w:val="21"/>
        </w:rPr>
      </w:pPr>
      <w:r>
        <w:rPr>
          <w:rFonts w:ascii="宋体" w:hAnsi="宋体"/>
          <w:b/>
          <w:szCs w:val="21"/>
        </w:rPr>
        <w:br w:type="page"/>
      </w:r>
      <w:r>
        <w:rPr>
          <w:rFonts w:hint="eastAsia" w:ascii="宋体" w:hAnsi="宋体"/>
          <w:b/>
          <w:szCs w:val="21"/>
        </w:rPr>
        <w:t>附</w:t>
      </w:r>
      <w:r>
        <w:rPr>
          <w:rFonts w:ascii="宋体" w:hAnsi="宋体"/>
          <w:b/>
          <w:szCs w:val="21"/>
        </w:rPr>
        <w:t>件：</w:t>
      </w:r>
    </w:p>
    <w:p>
      <w:pPr>
        <w:snapToGrid w:val="0"/>
        <w:jc w:val="center"/>
        <w:rPr>
          <w:rFonts w:hint="eastAsia" w:ascii="宋体" w:hAnsi="宋体"/>
          <w:b/>
          <w:szCs w:val="21"/>
        </w:rPr>
      </w:pPr>
      <w:r>
        <w:rPr>
          <w:rFonts w:hint="eastAsia" w:ascii="宋体" w:hAnsi="宋体"/>
          <w:b/>
          <w:szCs w:val="21"/>
        </w:rPr>
        <w:t>国家统计局关于印发《统计上大中小微型企业划分办法（</w:t>
      </w:r>
      <w:r>
        <w:rPr>
          <w:rFonts w:ascii="宋体" w:hAnsi="宋体"/>
          <w:b/>
          <w:szCs w:val="21"/>
        </w:rPr>
        <w:t>2017</w:t>
      </w:r>
      <w:r>
        <w:rPr>
          <w:rFonts w:hint="eastAsia" w:ascii="宋体" w:hAnsi="宋体"/>
          <w:b/>
          <w:szCs w:val="21"/>
        </w:rPr>
        <w:t>）》的通知</w:t>
      </w:r>
    </w:p>
    <w:p>
      <w:pPr>
        <w:pStyle w:val="21"/>
        <w:ind w:firstLine="420"/>
        <w:rPr>
          <w:rFonts w:hint="eastAsia" w:ascii="宋体" w:hAnsi="宋体"/>
          <w:sz w:val="21"/>
          <w:szCs w:val="21"/>
        </w:rPr>
      </w:pPr>
    </w:p>
    <w:p>
      <w:pPr>
        <w:snapToGrid w:val="0"/>
        <w:jc w:val="left"/>
        <w:rPr>
          <w:rFonts w:ascii="宋体" w:hAnsi="宋体"/>
          <w:bCs/>
          <w:szCs w:val="21"/>
        </w:rPr>
      </w:pPr>
      <w:r>
        <w:rPr>
          <w:rFonts w:hint="eastAsia" w:ascii="宋体" w:hAnsi="宋体"/>
          <w:bCs/>
          <w:szCs w:val="21"/>
        </w:rPr>
        <w:t>各省、自治区、直辖市统计局，新疆生产建设兵团统计局，国务院各有关部门，国家统计局各调查总队：</w:t>
      </w:r>
    </w:p>
    <w:p>
      <w:pPr>
        <w:snapToGrid w:val="0"/>
        <w:jc w:val="left"/>
        <w:rPr>
          <w:rFonts w:hint="eastAsia" w:ascii="宋体" w:hAnsi="宋体"/>
          <w:bCs/>
          <w:szCs w:val="21"/>
        </w:rPr>
      </w:pPr>
      <w:r>
        <w:rPr>
          <w:rFonts w:ascii="宋体" w:hAnsi="宋体"/>
          <w:bCs/>
          <w:szCs w:val="21"/>
        </w:rPr>
        <w:t> </w:t>
      </w:r>
    </w:p>
    <w:p>
      <w:pPr>
        <w:snapToGrid w:val="0"/>
        <w:ind w:firstLine="420" w:firstLineChars="200"/>
        <w:jc w:val="left"/>
        <w:rPr>
          <w:rFonts w:hint="eastAsia" w:ascii="宋体" w:hAnsi="宋体"/>
          <w:bCs/>
          <w:szCs w:val="21"/>
        </w:rPr>
      </w:pPr>
      <w:r>
        <w:rPr>
          <w:rFonts w:hint="eastAsia" w:ascii="宋体" w:hAnsi="宋体"/>
          <w:bCs/>
          <w:szCs w:val="21"/>
        </w:rPr>
        <w:t>《国民经济行业分类》（</w:t>
      </w:r>
      <w:r>
        <w:rPr>
          <w:rFonts w:ascii="宋体" w:hAnsi="宋体"/>
          <w:bCs/>
          <w:szCs w:val="21"/>
        </w:rPr>
        <w:t>GB/T 4754</w:t>
      </w:r>
      <w:r>
        <w:rPr>
          <w:rFonts w:hint="eastAsia" w:ascii="宋体" w:hAnsi="宋体"/>
          <w:bCs/>
          <w:szCs w:val="21"/>
        </w:rPr>
        <w:t>—</w:t>
      </w:r>
      <w:r>
        <w:rPr>
          <w:rFonts w:ascii="宋体" w:hAnsi="宋体"/>
          <w:bCs/>
          <w:szCs w:val="21"/>
        </w:rPr>
        <w:t>2017</w:t>
      </w:r>
      <w:r>
        <w:rPr>
          <w:rFonts w:hint="eastAsia" w:ascii="宋体" w:hAnsi="宋体"/>
          <w:bCs/>
          <w:szCs w:val="21"/>
        </w:rPr>
        <w:t>）已正式实施，现对</w:t>
      </w:r>
      <w:r>
        <w:rPr>
          <w:rFonts w:ascii="宋体" w:hAnsi="宋体"/>
          <w:bCs/>
          <w:szCs w:val="21"/>
        </w:rPr>
        <w:t>2011</w:t>
      </w:r>
      <w:r>
        <w:rPr>
          <w:rFonts w:hint="eastAsia" w:ascii="宋体" w:hAnsi="宋体"/>
          <w:bCs/>
          <w:szCs w:val="21"/>
        </w:rPr>
        <w:t>年制定的《统计上大中小微型企业划分办法》进行修订。本次修订保持原有的分类原则、方法、结构框架和适用范围，仅将所涉及的行业按照《国民经济行业分类》（</w:t>
      </w:r>
      <w:r>
        <w:rPr>
          <w:rFonts w:ascii="宋体" w:hAnsi="宋体"/>
          <w:bCs/>
          <w:szCs w:val="21"/>
        </w:rPr>
        <w:t>GB/T 4754</w:t>
      </w:r>
      <w:r>
        <w:rPr>
          <w:rFonts w:hint="eastAsia" w:ascii="宋体" w:hAnsi="宋体"/>
          <w:bCs/>
          <w:szCs w:val="21"/>
        </w:rPr>
        <w:t>—</w:t>
      </w:r>
      <w:r>
        <w:rPr>
          <w:rFonts w:ascii="宋体" w:hAnsi="宋体"/>
          <w:bCs/>
          <w:szCs w:val="21"/>
        </w:rPr>
        <w:t>2011</w:t>
      </w:r>
      <w:r>
        <w:rPr>
          <w:rFonts w:hint="eastAsia" w:ascii="宋体" w:hAnsi="宋体"/>
          <w:bCs/>
          <w:szCs w:val="21"/>
        </w:rPr>
        <w:t>）和《国民经济行业分类》（</w:t>
      </w:r>
      <w:r>
        <w:rPr>
          <w:rFonts w:ascii="宋体" w:hAnsi="宋体"/>
          <w:bCs/>
          <w:szCs w:val="21"/>
        </w:rPr>
        <w:t>GB/T 4754</w:t>
      </w:r>
      <w:r>
        <w:rPr>
          <w:rFonts w:hint="eastAsia" w:ascii="宋体" w:hAnsi="宋体"/>
          <w:bCs/>
          <w:szCs w:val="21"/>
        </w:rPr>
        <w:t>—</w:t>
      </w:r>
      <w:r>
        <w:rPr>
          <w:rFonts w:ascii="宋体" w:hAnsi="宋体"/>
          <w:bCs/>
          <w:szCs w:val="21"/>
        </w:rPr>
        <w:t>2017</w:t>
      </w:r>
      <w:r>
        <w:rPr>
          <w:rFonts w:hint="eastAsia" w:ascii="宋体" w:hAnsi="宋体"/>
          <w:bCs/>
          <w:szCs w:val="21"/>
        </w:rPr>
        <w:t>）的对应关系，进行相应调整，形成《统计上大中小微型企业划分办法（</w:t>
      </w:r>
      <w:r>
        <w:rPr>
          <w:rFonts w:ascii="宋体" w:hAnsi="宋体"/>
          <w:bCs/>
          <w:szCs w:val="21"/>
        </w:rPr>
        <w:t>2017</w:t>
      </w:r>
      <w:r>
        <w:rPr>
          <w:rFonts w:hint="eastAsia" w:ascii="宋体" w:hAnsi="宋体"/>
          <w:bCs/>
          <w:szCs w:val="21"/>
        </w:rPr>
        <w:t>）》。现将《统计上大中小微型企业划分办法（</w:t>
      </w:r>
      <w:r>
        <w:rPr>
          <w:rFonts w:ascii="宋体" w:hAnsi="宋体"/>
          <w:bCs/>
          <w:szCs w:val="21"/>
        </w:rPr>
        <w:t>2017</w:t>
      </w:r>
      <w:r>
        <w:rPr>
          <w:rFonts w:hint="eastAsia" w:ascii="宋体" w:hAnsi="宋体"/>
          <w:bCs/>
          <w:szCs w:val="21"/>
        </w:rPr>
        <w:t>）》印发给你们，请在统计工作中认真贯彻执行。</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附件：《统计上大中小微型企业划分办法（</w:t>
      </w:r>
      <w:r>
        <w:rPr>
          <w:rFonts w:ascii="宋体" w:hAnsi="宋体"/>
          <w:bCs/>
          <w:szCs w:val="21"/>
        </w:rPr>
        <w:t>2017</w:t>
      </w:r>
      <w:r>
        <w:rPr>
          <w:rFonts w:hint="eastAsia" w:ascii="宋体" w:hAnsi="宋体"/>
          <w:bCs/>
          <w:szCs w:val="21"/>
        </w:rPr>
        <w:t>）》修订说明</w:t>
      </w:r>
    </w:p>
    <w:p>
      <w:pPr>
        <w:snapToGrid w:val="0"/>
        <w:jc w:val="right"/>
        <w:rPr>
          <w:rFonts w:ascii="宋体" w:hAnsi="宋体"/>
          <w:bCs/>
          <w:szCs w:val="21"/>
        </w:rPr>
      </w:pPr>
      <w:r>
        <w:rPr>
          <w:rFonts w:hint="eastAsia" w:ascii="宋体" w:hAnsi="宋体"/>
          <w:bCs/>
          <w:szCs w:val="21"/>
        </w:rPr>
        <w:t>国家统计局</w:t>
      </w:r>
    </w:p>
    <w:p>
      <w:pPr>
        <w:snapToGrid w:val="0"/>
        <w:jc w:val="right"/>
        <w:rPr>
          <w:rFonts w:ascii="宋体" w:hAnsi="宋体"/>
          <w:bCs/>
          <w:szCs w:val="21"/>
        </w:rPr>
      </w:pPr>
      <w:r>
        <w:rPr>
          <w:rFonts w:ascii="宋体" w:hAnsi="宋体"/>
          <w:bCs/>
          <w:szCs w:val="21"/>
        </w:rPr>
        <w:t>2017</w:t>
      </w:r>
      <w:r>
        <w:rPr>
          <w:rFonts w:hint="eastAsia" w:ascii="宋体" w:hAnsi="宋体"/>
          <w:bCs/>
          <w:szCs w:val="21"/>
        </w:rPr>
        <w:t>年</w:t>
      </w:r>
      <w:r>
        <w:rPr>
          <w:rFonts w:ascii="宋体" w:hAnsi="宋体"/>
          <w:bCs/>
          <w:szCs w:val="21"/>
        </w:rPr>
        <w:t>12</w:t>
      </w:r>
      <w:r>
        <w:rPr>
          <w:rFonts w:hint="eastAsia" w:ascii="宋体" w:hAnsi="宋体"/>
          <w:bCs/>
          <w:szCs w:val="21"/>
        </w:rPr>
        <w:t>月</w:t>
      </w:r>
      <w:r>
        <w:rPr>
          <w:rFonts w:ascii="宋体" w:hAnsi="宋体"/>
          <w:bCs/>
          <w:szCs w:val="21"/>
        </w:rPr>
        <w:t>28</w:t>
      </w:r>
      <w:r>
        <w:rPr>
          <w:rFonts w:hint="eastAsia" w:ascii="宋体" w:hAnsi="宋体"/>
          <w:bCs/>
          <w:szCs w:val="21"/>
        </w:rPr>
        <w:t>日</w:t>
      </w:r>
    </w:p>
    <w:p>
      <w:pPr>
        <w:snapToGrid w:val="0"/>
        <w:jc w:val="left"/>
        <w:rPr>
          <w:rFonts w:ascii="宋体" w:hAnsi="宋体"/>
          <w:bCs/>
          <w:szCs w:val="21"/>
        </w:rPr>
      </w:pPr>
      <w:r>
        <w:rPr>
          <w:rFonts w:hint="eastAsia" w:ascii="宋体" w:hAnsi="宋体"/>
          <w:bCs/>
          <w:szCs w:val="21"/>
        </w:rPr>
        <w:t>附件</w:t>
      </w:r>
    </w:p>
    <w:p>
      <w:pPr>
        <w:spacing w:line="600" w:lineRule="exact"/>
        <w:jc w:val="center"/>
        <w:rPr>
          <w:rFonts w:ascii="宋体" w:hAnsi="宋体"/>
          <w:b/>
          <w:szCs w:val="21"/>
        </w:rPr>
      </w:pPr>
      <w:r>
        <w:rPr>
          <w:rFonts w:hint="eastAsia" w:ascii="宋体" w:hAnsi="宋体"/>
          <w:b/>
          <w:szCs w:val="21"/>
        </w:rPr>
        <w:t>《统计上大中小微型企业划分办法（</w:t>
      </w:r>
      <w:r>
        <w:rPr>
          <w:rFonts w:ascii="宋体" w:hAnsi="宋体"/>
          <w:b/>
          <w:szCs w:val="21"/>
        </w:rPr>
        <w:t>2017</w:t>
      </w:r>
      <w:r>
        <w:rPr>
          <w:rFonts w:hint="eastAsia" w:ascii="宋体" w:hAnsi="宋体"/>
          <w:b/>
          <w:szCs w:val="21"/>
        </w:rPr>
        <w:t>）》修订说明</w:t>
      </w:r>
    </w:p>
    <w:p>
      <w:pPr>
        <w:snapToGrid w:val="0"/>
        <w:ind w:firstLine="420" w:firstLineChars="200"/>
        <w:jc w:val="left"/>
        <w:rPr>
          <w:rFonts w:ascii="宋体" w:hAnsi="宋体"/>
          <w:bCs/>
          <w:szCs w:val="21"/>
        </w:rPr>
      </w:pPr>
      <w:r>
        <w:rPr>
          <w:rFonts w:hint="eastAsia" w:ascii="宋体" w:hAnsi="宋体"/>
          <w:bCs/>
          <w:szCs w:val="21"/>
        </w:rPr>
        <w:t>一、修订背景</w:t>
      </w:r>
    </w:p>
    <w:p>
      <w:pPr>
        <w:snapToGrid w:val="0"/>
        <w:ind w:firstLine="420" w:firstLineChars="200"/>
        <w:jc w:val="left"/>
        <w:rPr>
          <w:rFonts w:ascii="宋体" w:hAnsi="宋体"/>
          <w:bCs/>
          <w:szCs w:val="21"/>
        </w:rPr>
      </w:pPr>
      <w:r>
        <w:rPr>
          <w:rFonts w:hint="eastAsia" w:ascii="宋体" w:hAnsi="宋体"/>
          <w:bCs/>
          <w:szCs w:val="21"/>
        </w:rPr>
        <w:t>目前执行的《统计上大中小微型企业划分办法》是2011年国家统计局根据工业和信息化部、国家统计局、国家发展改革委、财政部《关于印发中小企业划型标准规定的通知》（工信部联企业〔2011〕300号），同时依据《国民经济行业分类》（GB/T 4754—2011），制定并颁布的。</w:t>
      </w:r>
    </w:p>
    <w:p>
      <w:pPr>
        <w:snapToGrid w:val="0"/>
        <w:ind w:firstLine="420" w:firstLineChars="200"/>
        <w:jc w:val="left"/>
        <w:rPr>
          <w:rFonts w:ascii="宋体" w:hAnsi="宋体"/>
          <w:bCs/>
          <w:szCs w:val="21"/>
        </w:rPr>
      </w:pPr>
      <w:r>
        <w:rPr>
          <w:rFonts w:hint="eastAsia" w:ascii="宋体" w:hAnsi="宋体"/>
          <w:bCs/>
          <w:szCs w:val="21"/>
        </w:rPr>
        <w:t>2017年6月30日，《国民经济行业分类》（GB/T 4754—2017）正式颁布。8月29日，国家统计局印发《关于执行新国民经济行业分类国家标准的通知》（国统字〔2017〕142号），规定从2017年统计年报和2018年定期统计报表起统一使用新分类标准。为此，我们对2011年印发的《统计上大中小微型企业划分办法》进行修订。</w:t>
      </w:r>
    </w:p>
    <w:p>
      <w:pPr>
        <w:snapToGrid w:val="0"/>
        <w:ind w:firstLine="420" w:firstLineChars="200"/>
        <w:jc w:val="left"/>
        <w:rPr>
          <w:rFonts w:ascii="宋体" w:hAnsi="宋体"/>
          <w:bCs/>
          <w:szCs w:val="21"/>
        </w:rPr>
      </w:pPr>
      <w:r>
        <w:rPr>
          <w:rFonts w:hint="eastAsia" w:ascii="宋体" w:hAnsi="宋体"/>
          <w:bCs/>
          <w:szCs w:val="21"/>
        </w:rPr>
        <w:t>二、修订主要内容</w:t>
      </w:r>
    </w:p>
    <w:p>
      <w:pPr>
        <w:snapToGrid w:val="0"/>
        <w:ind w:firstLine="420" w:firstLineChars="200"/>
        <w:jc w:val="left"/>
        <w:rPr>
          <w:rFonts w:ascii="宋体" w:hAnsi="宋体"/>
          <w:bCs/>
          <w:szCs w:val="21"/>
        </w:rPr>
      </w:pPr>
      <w:r>
        <w:rPr>
          <w:rFonts w:hint="eastAsia" w:ascii="宋体" w:hAnsi="宋体"/>
          <w:bCs/>
          <w:szCs w:val="21"/>
        </w:rPr>
        <w:t>本次修订是在2011年《统计上大中小微型企业划分办法》基础上进行的，修订延续原有的分类原则、方法和结构框架，在保持适用范围不变的情况下,依据标准由《国民经济行业分类》（GB/T 4754—2011）修改为《国民经济行业分类》（GB/T 4754—2017），并根据新旧国民经济行业的对应关系，进行了行业所包含类别的对应调整。</w:t>
      </w:r>
    </w:p>
    <w:p>
      <w:pPr>
        <w:snapToGrid w:val="0"/>
        <w:ind w:firstLine="420" w:firstLineChars="200"/>
        <w:jc w:val="left"/>
        <w:rPr>
          <w:rFonts w:ascii="宋体" w:hAnsi="宋体"/>
          <w:bCs/>
          <w:szCs w:val="21"/>
        </w:rPr>
      </w:pPr>
      <w:r>
        <w:rPr>
          <w:rFonts w:hint="eastAsia" w:ascii="宋体" w:hAnsi="宋体"/>
          <w:bCs/>
          <w:szCs w:val="21"/>
        </w:rPr>
        <w:t>将交通运输业中包括的“装卸搬运和运输代理业”修改为“多式联运和运输代理业、装卸搬运”。</w:t>
      </w:r>
    </w:p>
    <w:p>
      <w:pPr>
        <w:snapToGrid w:val="0"/>
        <w:ind w:firstLine="420" w:firstLineChars="200"/>
        <w:jc w:val="left"/>
        <w:rPr>
          <w:rFonts w:hint="eastAsia" w:ascii="宋体" w:hAnsi="宋体"/>
        </w:rPr>
      </w:pPr>
      <w:r>
        <w:rPr>
          <w:rFonts w:hint="eastAsia" w:ascii="宋体" w:hAnsi="宋体"/>
          <w:bCs/>
          <w:szCs w:val="21"/>
        </w:rPr>
        <w:t>仓储业所包括的行业中类，根据《国民经济行业分类》（GB/T 4754—2017）调整为“通用仓储，低温仓储，危险品仓储，谷物、棉花等农产品仓储，中药材仓储和其他仓储业”。</w:t>
      </w:r>
    </w:p>
    <w:p>
      <w:pPr>
        <w:snapToGrid w:val="0"/>
        <w:jc w:val="center"/>
        <w:rPr>
          <w:rFonts w:ascii="宋体" w:hAnsi="宋体"/>
          <w:b/>
          <w:szCs w:val="21"/>
        </w:rPr>
      </w:pPr>
      <w:r>
        <w:rPr>
          <w:rFonts w:ascii="宋体" w:hAnsi="宋体"/>
          <w:b/>
          <w:szCs w:val="21"/>
        </w:rPr>
        <w:br w:type="page"/>
      </w:r>
      <w:r>
        <w:rPr>
          <w:rFonts w:hint="eastAsia" w:ascii="宋体" w:hAnsi="宋体"/>
          <w:b/>
          <w:szCs w:val="21"/>
        </w:rPr>
        <w:t>统计上大中小微型企业划分办法（</w:t>
      </w:r>
      <w:r>
        <w:rPr>
          <w:rFonts w:ascii="宋体" w:hAnsi="宋体"/>
          <w:b/>
          <w:szCs w:val="21"/>
        </w:rPr>
        <w:t>2017</w:t>
      </w:r>
      <w:r>
        <w:rPr>
          <w:rFonts w:hint="eastAsia" w:ascii="宋体" w:hAnsi="宋体"/>
          <w:b/>
          <w:szCs w:val="21"/>
        </w:rPr>
        <w:t>）</w:t>
      </w:r>
    </w:p>
    <w:p>
      <w:pPr>
        <w:snapToGrid w:val="0"/>
        <w:jc w:val="left"/>
        <w:rPr>
          <w:rFonts w:ascii="宋体" w:hAnsi="宋体"/>
          <w:bCs/>
          <w:szCs w:val="21"/>
        </w:rPr>
      </w:pPr>
    </w:p>
    <w:p>
      <w:pPr>
        <w:snapToGrid w:val="0"/>
        <w:ind w:firstLine="420" w:firstLineChars="200"/>
        <w:jc w:val="left"/>
        <w:rPr>
          <w:rFonts w:ascii="宋体" w:hAnsi="宋体"/>
          <w:bCs/>
          <w:szCs w:val="21"/>
        </w:rPr>
      </w:pPr>
      <w:r>
        <w:rPr>
          <w:rFonts w:hint="eastAsia" w:ascii="宋体" w:hAnsi="宋体"/>
          <w:bCs/>
          <w:szCs w:val="21"/>
        </w:rPr>
        <w:t>一、根据工业和信息化部、国家统计局、国家发展改革委、财政部《关于印发中小企业划型标准规定的通知》（工信部联企业〔</w:t>
      </w:r>
      <w:r>
        <w:rPr>
          <w:rFonts w:ascii="宋体" w:hAnsi="宋体"/>
          <w:bCs/>
          <w:szCs w:val="21"/>
        </w:rPr>
        <w:t>2011</w:t>
      </w:r>
      <w:r>
        <w:rPr>
          <w:rFonts w:hint="eastAsia" w:ascii="宋体" w:hAnsi="宋体"/>
          <w:bCs/>
          <w:szCs w:val="21"/>
        </w:rPr>
        <w:t>〕</w:t>
      </w:r>
      <w:r>
        <w:rPr>
          <w:rFonts w:ascii="宋体" w:hAnsi="宋体"/>
          <w:bCs/>
          <w:szCs w:val="21"/>
        </w:rPr>
        <w:t>300</w:t>
      </w:r>
      <w:r>
        <w:rPr>
          <w:rFonts w:hint="eastAsia" w:ascii="宋体" w:hAnsi="宋体"/>
          <w:bCs/>
          <w:szCs w:val="21"/>
        </w:rPr>
        <w:t>号），以《国民经济行业分类》（</w:t>
      </w:r>
      <w:r>
        <w:rPr>
          <w:rFonts w:ascii="宋体" w:hAnsi="宋体"/>
          <w:bCs/>
          <w:szCs w:val="21"/>
        </w:rPr>
        <w:t>GB/T4754-2017</w:t>
      </w:r>
      <w:r>
        <w:rPr>
          <w:rFonts w:hint="eastAsia" w:ascii="宋体" w:hAnsi="宋体"/>
          <w:bCs/>
          <w:szCs w:val="21"/>
        </w:rPr>
        <w:t>）为基础，结合统计工作的实际情况，制定本办法。</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二、本办法适用对象为在中华人民共和国境内依法设立的各种组织形式的法人企业或单位。个体工商户参照本办法进行划分。</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三、本办法适用范围包括：农、林、牧、渔业，采矿业，制造业，电力、热力、燃气及水生产和供应业，建筑业，批发和零售业，交通运输、仓储和邮政业，住宿和餐饮业，信息传输、软件和信息技术服务业，房地产业，租赁和商务服务业，科学研究和技术服务业，水利、环境和公共设施管理业，居民服务、修理和其他服务业，文化、体育和娱乐业等</w:t>
      </w:r>
      <w:r>
        <w:rPr>
          <w:rFonts w:ascii="宋体" w:hAnsi="宋体"/>
          <w:bCs/>
          <w:szCs w:val="21"/>
        </w:rPr>
        <w:t>15</w:t>
      </w:r>
      <w:r>
        <w:rPr>
          <w:rFonts w:hint="eastAsia" w:ascii="宋体" w:hAnsi="宋体"/>
          <w:bCs/>
          <w:szCs w:val="21"/>
        </w:rPr>
        <w:t>个行业门类以及社会工作行业大类。</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四、本办法按照行业门类、大类、中类和组合类别，依据从业人员、营业收入、资产总额等指标或替代指标，将我国的企业划分为大型、中型、小型、微型等四种类型。具体划分标准见附表。</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五、企业划分由政府综合统计部门根据统计年报每年确定一次，定报统计原则上不进行调整。</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六、本办法自印发之日起执行，国家统计局</w:t>
      </w:r>
      <w:r>
        <w:rPr>
          <w:rFonts w:ascii="宋体" w:hAnsi="宋体"/>
          <w:bCs/>
          <w:szCs w:val="21"/>
        </w:rPr>
        <w:t>2011</w:t>
      </w:r>
      <w:r>
        <w:rPr>
          <w:rFonts w:hint="eastAsia" w:ascii="宋体" w:hAnsi="宋体"/>
          <w:bCs/>
          <w:szCs w:val="21"/>
        </w:rPr>
        <w:t>年印发的《统计上大中小微型企业划分办法》（国统字〔</w:t>
      </w:r>
      <w:r>
        <w:rPr>
          <w:rFonts w:ascii="宋体" w:hAnsi="宋体"/>
          <w:bCs/>
          <w:szCs w:val="21"/>
        </w:rPr>
        <w:t>2011</w:t>
      </w:r>
      <w:r>
        <w:rPr>
          <w:rFonts w:hint="eastAsia" w:ascii="宋体" w:hAnsi="宋体"/>
          <w:bCs/>
          <w:szCs w:val="21"/>
        </w:rPr>
        <w:t>〕</w:t>
      </w:r>
      <w:r>
        <w:rPr>
          <w:rFonts w:ascii="宋体" w:hAnsi="宋体"/>
          <w:bCs/>
          <w:szCs w:val="21"/>
        </w:rPr>
        <w:t>75</w:t>
      </w:r>
      <w:r>
        <w:rPr>
          <w:rFonts w:hint="eastAsia" w:ascii="宋体" w:hAnsi="宋体"/>
          <w:bCs/>
          <w:szCs w:val="21"/>
        </w:rPr>
        <w:t>号）同时废止。</w:t>
      </w:r>
    </w:p>
    <w:p>
      <w:pPr>
        <w:snapToGrid w:val="0"/>
        <w:ind w:firstLine="420" w:firstLineChars="200"/>
        <w:jc w:val="left"/>
        <w:rPr>
          <w:rFonts w:hint="eastAsia" w:ascii="宋体" w:hAnsi="宋体"/>
          <w:bCs/>
          <w:szCs w:val="21"/>
        </w:rPr>
      </w:pPr>
    </w:p>
    <w:p>
      <w:pPr>
        <w:snapToGrid w:val="0"/>
        <w:ind w:firstLine="420" w:firstLineChars="200"/>
        <w:jc w:val="left"/>
        <w:rPr>
          <w:rFonts w:ascii="宋体" w:hAnsi="宋体"/>
          <w:bCs/>
          <w:szCs w:val="21"/>
        </w:rPr>
      </w:pPr>
      <w:r>
        <w:rPr>
          <w:rFonts w:hint="eastAsia" w:ascii="宋体" w:hAnsi="宋体"/>
          <w:bCs/>
          <w:szCs w:val="21"/>
        </w:rPr>
        <w:t>附表：统计上大中小微型企业划分标准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3"/>
        <w:gridCol w:w="1443"/>
        <w:gridCol w:w="709"/>
        <w:gridCol w:w="1237"/>
        <w:gridCol w:w="1899"/>
        <w:gridCol w:w="1587"/>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exact"/>
          <w:jc w:val="center"/>
        </w:trPr>
        <w:tc>
          <w:tcPr>
            <w:tcW w:w="1543"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行业名称</w:t>
            </w:r>
          </w:p>
        </w:tc>
        <w:tc>
          <w:tcPr>
            <w:tcW w:w="1443"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指标名称</w:t>
            </w:r>
          </w:p>
        </w:tc>
        <w:tc>
          <w:tcPr>
            <w:tcW w:w="709"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计量</w:t>
            </w:r>
          </w:p>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单位</w:t>
            </w:r>
          </w:p>
        </w:tc>
        <w:tc>
          <w:tcPr>
            <w:tcW w:w="1237"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大型</w:t>
            </w:r>
          </w:p>
        </w:tc>
        <w:tc>
          <w:tcPr>
            <w:tcW w:w="1899"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中型</w:t>
            </w:r>
          </w:p>
        </w:tc>
        <w:tc>
          <w:tcPr>
            <w:tcW w:w="1587"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小型</w:t>
            </w:r>
          </w:p>
        </w:tc>
        <w:tc>
          <w:tcPr>
            <w:tcW w:w="992"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微型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exact"/>
          <w:jc w:val="center"/>
        </w:trPr>
        <w:tc>
          <w:tcPr>
            <w:tcW w:w="1543" w:type="dxa"/>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农、林、牧、渔业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500≤Y＜20000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50≤Y＜500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工业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spacing w:after="60" w:afterLines="25" w:line="360" w:lineRule="exact"/>
              <w:contextualSpacing/>
              <w:jc w:val="left"/>
              <w:rPr>
                <w:rFonts w:ascii="宋体" w:hAnsi="宋体" w:cs="宋体"/>
                <w:color w:val="00000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Y≥40000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2000≤Y＜40000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建筑业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Y≥80000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6000≤Y＜80000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300≤Y＜6000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Z≥80000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5000≤Z＜80000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300≤Z＜5000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Z＜300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批发业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20≤X＜200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5≤X＜20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Y≥40000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5000≤Y＜40000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1000≤Y＜5000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零售业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50≤X＜300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10≤X＜50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500≤Y＜20000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100≤Y＜500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交通运输业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200≤Y＜3000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仓储业*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100≤X＜200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邮政业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住宿业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2000≤Y＜10000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餐饮业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2000≤Y＜10000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信息传输业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100≤X＜2000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1000≤Y＜100000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spacing w:val="-12"/>
                <w:kern w:val="0"/>
                <w:szCs w:val="21"/>
              </w:rPr>
              <w:t>软件和信息技术服</w:t>
            </w:r>
            <w:r>
              <w:rPr>
                <w:rFonts w:hint="eastAsia" w:ascii="宋体" w:hAnsi="宋体" w:cs="宋体"/>
                <w:color w:val="000000"/>
                <w:kern w:val="0"/>
                <w:szCs w:val="21"/>
              </w:rPr>
              <w:t>务业</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1000≤Y＜10000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房地产开发经营</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Y≥200000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1000≤Y＜200000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5000≤Z＜10000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2000≤Z＜5000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物业管理</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1000≤Y＜5000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租赁和商务服务业</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Z≥120000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8000≤Z＜120000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100≤Z＜8000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exact"/>
          <w:jc w:val="center"/>
        </w:trPr>
        <w:tc>
          <w:tcPr>
            <w:tcW w:w="15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其他未列明行业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bl>
    <w:p>
      <w:pPr>
        <w:snapToGrid w:val="0"/>
        <w:spacing w:before="120" w:beforeLines="50"/>
        <w:jc w:val="left"/>
        <w:rPr>
          <w:rFonts w:ascii="宋体" w:hAnsi="宋体"/>
          <w:bCs/>
          <w:szCs w:val="21"/>
        </w:rPr>
      </w:pPr>
      <w:r>
        <w:rPr>
          <w:rFonts w:hint="eastAsia" w:ascii="宋体" w:hAnsi="宋体"/>
          <w:bCs/>
          <w:szCs w:val="21"/>
        </w:rPr>
        <w:t>说明：</w:t>
      </w:r>
    </w:p>
    <w:p>
      <w:pPr>
        <w:snapToGrid w:val="0"/>
        <w:ind w:firstLine="420" w:firstLineChars="200"/>
        <w:jc w:val="left"/>
        <w:rPr>
          <w:rFonts w:ascii="宋体" w:hAnsi="宋体"/>
          <w:bCs/>
          <w:szCs w:val="21"/>
        </w:rPr>
      </w:pPr>
      <w:r>
        <w:rPr>
          <w:rFonts w:hint="eastAsia" w:ascii="宋体" w:hAnsi="宋体"/>
          <w:bCs/>
          <w:szCs w:val="21"/>
        </w:rPr>
        <w:t>1.大型、中型和小型企业须同时满足所列指标的下限，否则下划一档；微型企业只须满足所列指标中的一项即可。</w:t>
      </w:r>
    </w:p>
    <w:p>
      <w:pPr>
        <w:snapToGrid w:val="0"/>
        <w:ind w:firstLine="420" w:firstLineChars="200"/>
        <w:jc w:val="left"/>
        <w:rPr>
          <w:rFonts w:ascii="宋体" w:hAnsi="宋体"/>
          <w:bCs/>
          <w:szCs w:val="21"/>
        </w:rPr>
      </w:pPr>
      <w:r>
        <w:rPr>
          <w:rFonts w:hint="eastAsia" w:ascii="宋体" w:hAnsi="宋体"/>
          <w:bCs/>
          <w:szCs w:val="21"/>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pPr>
        <w:snapToGrid w:val="0"/>
        <w:ind w:firstLine="420" w:firstLineChars="200"/>
        <w:jc w:val="left"/>
        <w:rPr>
          <w:rFonts w:ascii="宋体" w:hAnsi="宋体"/>
          <w:bCs/>
          <w:szCs w:val="21"/>
        </w:rPr>
      </w:pPr>
      <w:r>
        <w:rPr>
          <w:rFonts w:hint="eastAsia" w:ascii="宋体" w:hAnsi="宋体"/>
          <w:bCs/>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pPr>
        <w:snapToGrid w:val="0"/>
        <w:rPr>
          <w:rFonts w:ascii="宋体" w:hAnsi="宋体"/>
          <w:b/>
          <w:sz w:val="24"/>
        </w:rPr>
      </w:pPr>
      <w:r>
        <w:rPr>
          <w:rFonts w:ascii="宋体" w:hAnsi="宋体"/>
        </w:rPr>
        <w:br w:type="page"/>
      </w:r>
      <w:r>
        <w:rPr>
          <w:rFonts w:ascii="宋体" w:hAnsi="宋体"/>
          <w:b/>
          <w:sz w:val="24"/>
        </w:rPr>
        <w:t>3</w:t>
      </w:r>
      <w:r>
        <w:rPr>
          <w:rFonts w:hint="eastAsia" w:ascii="宋体" w:hAnsi="宋体"/>
          <w:b/>
          <w:sz w:val="24"/>
        </w:rPr>
        <w:t>、法定代表人资格证明书或法定代表人授权委托书格式：</w:t>
      </w:r>
    </w:p>
    <w:p>
      <w:pPr>
        <w:snapToGrid w:val="0"/>
        <w:jc w:val="center"/>
        <w:rPr>
          <w:rFonts w:ascii="宋体" w:hAnsi="宋体"/>
          <w:b/>
          <w:sz w:val="32"/>
          <w:szCs w:val="32"/>
        </w:rPr>
      </w:pPr>
      <w:r>
        <w:rPr>
          <w:rFonts w:hint="eastAsia" w:ascii="宋体" w:hAnsi="宋体"/>
          <w:b/>
          <w:sz w:val="32"/>
          <w:szCs w:val="32"/>
        </w:rPr>
        <w:t>法定代表人资格证明书</w:t>
      </w:r>
    </w:p>
    <w:p>
      <w:pPr>
        <w:ind w:firstLine="480" w:firstLineChars="200"/>
        <w:rPr>
          <w:rFonts w:ascii="宋体" w:hAnsi="宋体"/>
          <w:sz w:val="24"/>
          <w:szCs w:val="24"/>
          <w:u w:val="single"/>
        </w:rPr>
      </w:pPr>
      <w:r>
        <w:rPr>
          <w:rFonts w:hint="eastAsia" w:ascii="宋体" w:hAnsi="宋体"/>
          <w:sz w:val="24"/>
          <w:szCs w:val="24"/>
        </w:rPr>
        <w:t>单位名称：</w:t>
      </w:r>
      <w:r>
        <w:rPr>
          <w:rFonts w:hint="eastAsia" w:ascii="宋体" w:hAnsi="宋体"/>
          <w:sz w:val="24"/>
          <w:szCs w:val="24"/>
          <w:u w:val="single"/>
        </w:rPr>
        <w:t xml:space="preserve">                    </w:t>
      </w:r>
    </w:p>
    <w:p>
      <w:pPr>
        <w:ind w:firstLine="480" w:firstLineChars="200"/>
        <w:rPr>
          <w:rFonts w:ascii="宋体" w:hAnsi="宋体"/>
          <w:sz w:val="24"/>
          <w:szCs w:val="24"/>
          <w:u w:val="single"/>
        </w:rPr>
      </w:pPr>
      <w:r>
        <w:rPr>
          <w:rFonts w:hint="eastAsia" w:ascii="宋体" w:hAnsi="宋体"/>
          <w:sz w:val="24"/>
          <w:szCs w:val="24"/>
        </w:rPr>
        <w:t>地址：</w:t>
      </w:r>
      <w:r>
        <w:rPr>
          <w:rFonts w:hint="eastAsia" w:ascii="宋体" w:hAnsi="宋体"/>
          <w:sz w:val="24"/>
          <w:szCs w:val="24"/>
          <w:u w:val="single"/>
        </w:rPr>
        <w:t xml:space="preserve">                        </w:t>
      </w:r>
    </w:p>
    <w:p>
      <w:pPr>
        <w:ind w:firstLine="480" w:firstLineChars="200"/>
        <w:rPr>
          <w:rFonts w:ascii="宋体" w:hAnsi="宋体"/>
          <w:sz w:val="24"/>
          <w:szCs w:val="24"/>
          <w:u w:val="single"/>
        </w:rPr>
      </w:pPr>
      <w:r>
        <w:rPr>
          <w:rFonts w:hint="eastAsia" w:ascii="宋体" w:hAnsi="宋体"/>
          <w:sz w:val="24"/>
          <w:szCs w:val="24"/>
        </w:rPr>
        <w:t>姓名：</w:t>
      </w:r>
      <w:r>
        <w:rPr>
          <w:rFonts w:hint="eastAsia" w:ascii="宋体" w:hAnsi="宋体"/>
          <w:sz w:val="24"/>
          <w:szCs w:val="24"/>
          <w:u w:val="single"/>
        </w:rPr>
        <w:t xml:space="preserve">           </w:t>
      </w:r>
      <w:r>
        <w:rPr>
          <w:rFonts w:hint="eastAsia" w:ascii="宋体" w:hAnsi="宋体"/>
          <w:sz w:val="24"/>
          <w:szCs w:val="24"/>
        </w:rPr>
        <w:t xml:space="preserve"> 性别：</w:t>
      </w:r>
      <w:r>
        <w:rPr>
          <w:rFonts w:hint="eastAsia" w:ascii="宋体" w:hAnsi="宋体"/>
          <w:sz w:val="24"/>
          <w:szCs w:val="24"/>
          <w:u w:val="single"/>
        </w:rPr>
        <w:t xml:space="preserve">      </w:t>
      </w:r>
      <w:r>
        <w:rPr>
          <w:rFonts w:hint="eastAsia" w:ascii="宋体" w:hAnsi="宋体"/>
          <w:sz w:val="24"/>
          <w:szCs w:val="24"/>
        </w:rPr>
        <w:t>年龄：</w:t>
      </w:r>
      <w:r>
        <w:rPr>
          <w:rFonts w:hint="eastAsia" w:ascii="宋体" w:hAnsi="宋体"/>
          <w:sz w:val="24"/>
          <w:szCs w:val="24"/>
          <w:u w:val="single"/>
        </w:rPr>
        <w:t xml:space="preserve">      </w:t>
      </w:r>
      <w:r>
        <w:rPr>
          <w:rFonts w:hint="eastAsia" w:ascii="宋体" w:hAnsi="宋体"/>
          <w:sz w:val="24"/>
          <w:szCs w:val="24"/>
        </w:rPr>
        <w:t>职务：</w:t>
      </w:r>
      <w:r>
        <w:rPr>
          <w:rFonts w:hint="eastAsia" w:ascii="宋体" w:hAnsi="宋体"/>
          <w:sz w:val="24"/>
          <w:szCs w:val="24"/>
          <w:u w:val="single"/>
        </w:rPr>
        <w:t xml:space="preserve">             </w:t>
      </w:r>
    </w:p>
    <w:p>
      <w:pPr>
        <w:ind w:firstLine="480" w:firstLineChars="200"/>
        <w:rPr>
          <w:rFonts w:ascii="宋体" w:hAnsi="宋体"/>
          <w:sz w:val="24"/>
          <w:szCs w:val="24"/>
        </w:rPr>
      </w:pPr>
      <w:r>
        <w:rPr>
          <w:rFonts w:hint="eastAsia" w:ascii="宋体" w:hAnsi="宋体"/>
          <w:sz w:val="24"/>
          <w:szCs w:val="24"/>
        </w:rPr>
        <w:t>系</w:t>
      </w:r>
      <w:r>
        <w:rPr>
          <w:rFonts w:hint="eastAsia" w:ascii="宋体" w:hAnsi="宋体"/>
          <w:sz w:val="24"/>
          <w:szCs w:val="24"/>
          <w:u w:val="single"/>
        </w:rPr>
        <w:t xml:space="preserve">                                 </w:t>
      </w:r>
      <w:r>
        <w:rPr>
          <w:rFonts w:hint="eastAsia" w:ascii="宋体" w:hAnsi="宋体"/>
          <w:sz w:val="24"/>
          <w:szCs w:val="24"/>
        </w:rPr>
        <w:t>的法定代表人。为委托本项目签署</w:t>
      </w:r>
      <w:r>
        <w:rPr>
          <w:rFonts w:hint="eastAsia" w:ascii="宋体" w:hAnsi="宋体"/>
          <w:kern w:val="0"/>
          <w:sz w:val="24"/>
          <w:szCs w:val="24"/>
          <w:lang w:val="zh-CN"/>
        </w:rPr>
        <w:t>招标</w:t>
      </w:r>
      <w:r>
        <w:rPr>
          <w:rFonts w:hint="eastAsia" w:ascii="宋体" w:hAnsi="宋体"/>
          <w:sz w:val="24"/>
          <w:szCs w:val="24"/>
        </w:rPr>
        <w:t>文件，进行签署合同和处理与之有关的一切事务。</w:t>
      </w:r>
    </w:p>
    <w:p>
      <w:pPr>
        <w:ind w:firstLine="480" w:firstLineChars="200"/>
        <w:rPr>
          <w:rFonts w:ascii="宋体" w:hAnsi="宋体"/>
          <w:sz w:val="24"/>
          <w:szCs w:val="24"/>
        </w:rPr>
      </w:pPr>
      <w:r>
        <w:rPr>
          <w:rFonts w:hint="eastAsia" w:ascii="宋体" w:hAnsi="宋体"/>
          <w:sz w:val="24"/>
          <w:szCs w:val="24"/>
        </w:rPr>
        <w:t>特此证明。</w:t>
      </w:r>
    </w:p>
    <w:p>
      <w:pPr>
        <w:ind w:firstLine="480" w:firstLineChars="200"/>
        <w:rPr>
          <w:rFonts w:ascii="宋体" w:hAnsi="宋体"/>
          <w:sz w:val="24"/>
          <w:szCs w:val="24"/>
        </w:rPr>
      </w:pPr>
    </w:p>
    <w:p>
      <w:pPr>
        <w:ind w:firstLine="480" w:firstLineChars="200"/>
        <w:rPr>
          <w:rFonts w:ascii="宋体" w:hAnsi="宋体"/>
          <w:sz w:val="24"/>
          <w:szCs w:val="24"/>
          <w:u w:val="single"/>
        </w:rPr>
      </w:pPr>
      <w:r>
        <w:rPr>
          <w:rFonts w:hint="eastAsia" w:ascii="宋体" w:hAnsi="宋体"/>
          <w:kern w:val="0"/>
          <w:sz w:val="24"/>
          <w:szCs w:val="24"/>
          <w:lang w:val="zh-CN"/>
        </w:rPr>
        <w:t>供应商公章</w:t>
      </w:r>
      <w:r>
        <w:rPr>
          <w:rFonts w:hint="eastAsia" w:ascii="宋体" w:hAnsi="宋体"/>
          <w:sz w:val="24"/>
          <w:szCs w:val="24"/>
        </w:rPr>
        <w:t>：</w:t>
      </w:r>
    </w:p>
    <w:p>
      <w:pPr>
        <w:snapToGrid w:val="0"/>
        <w:ind w:firstLine="480" w:firstLineChars="200"/>
        <w:rPr>
          <w:rFonts w:ascii="宋体" w:hAnsi="宋体"/>
          <w:sz w:val="24"/>
          <w:szCs w:val="24"/>
        </w:rPr>
      </w:pPr>
      <w:r>
        <w:rPr>
          <w:rFonts w:hint="eastAsia" w:ascii="宋体" w:hAnsi="宋体"/>
          <w:sz w:val="24"/>
          <w:szCs w:val="24"/>
        </w:rPr>
        <w:t xml:space="preserve">日 </w:t>
      </w:r>
      <w:r>
        <w:rPr>
          <w:rFonts w:ascii="宋体" w:hAnsi="宋体"/>
          <w:sz w:val="24"/>
          <w:szCs w:val="24"/>
        </w:rPr>
        <w:t xml:space="preserve">     </w:t>
      </w:r>
      <w:r>
        <w:rPr>
          <w:rFonts w:hint="eastAsia" w:ascii="宋体" w:hAnsi="宋体"/>
          <w:sz w:val="24"/>
          <w:szCs w:val="24"/>
        </w:rPr>
        <w:t xml:space="preserve">期： </w:t>
      </w:r>
      <w:r>
        <w:rPr>
          <w:rFonts w:ascii="宋体" w:hAnsi="宋体"/>
          <w:sz w:val="24"/>
          <w:szCs w:val="24"/>
        </w:rPr>
        <w:t xml:space="preserve">  </w:t>
      </w:r>
      <w:r>
        <w:rPr>
          <w:rFonts w:hint="eastAsia" w:ascii="宋体" w:hAnsi="宋体"/>
          <w:sz w:val="24"/>
          <w:szCs w:val="24"/>
        </w:rPr>
        <w:t xml:space="preserve">年 </w:t>
      </w:r>
      <w:r>
        <w:rPr>
          <w:rFonts w:ascii="宋体" w:hAnsi="宋体"/>
          <w:sz w:val="24"/>
          <w:szCs w:val="24"/>
        </w:rPr>
        <w:t xml:space="preserve"> </w:t>
      </w:r>
      <w:r>
        <w:rPr>
          <w:rFonts w:hint="eastAsia" w:ascii="宋体" w:hAnsi="宋体"/>
          <w:sz w:val="24"/>
          <w:szCs w:val="24"/>
        </w:rPr>
        <w:t xml:space="preserve">月 </w:t>
      </w:r>
      <w:r>
        <w:rPr>
          <w:rFonts w:ascii="宋体" w:hAnsi="宋体"/>
          <w:sz w:val="24"/>
          <w:szCs w:val="24"/>
        </w:rPr>
        <w:t xml:space="preserve"> </w:t>
      </w:r>
      <w:r>
        <w:rPr>
          <w:rFonts w:hint="eastAsia" w:ascii="宋体" w:hAnsi="宋体"/>
          <w:sz w:val="24"/>
          <w:szCs w:val="24"/>
        </w:rPr>
        <w:t>日</w:t>
      </w:r>
    </w:p>
    <w:p>
      <w:pPr>
        <w:pStyle w:val="21"/>
        <w:ind w:firstLine="420"/>
        <w:rPr>
          <w:rFonts w:ascii="宋体" w:hAnsi="宋体"/>
          <w:sz w:val="21"/>
          <w:szCs w:val="21"/>
        </w:rPr>
      </w:pPr>
    </w:p>
    <w:p>
      <w:pPr>
        <w:snapToGrid w:val="0"/>
        <w:jc w:val="center"/>
        <w:rPr>
          <w:rFonts w:ascii="宋体" w:hAnsi="宋体"/>
          <w:b/>
          <w:sz w:val="32"/>
          <w:szCs w:val="32"/>
        </w:rPr>
      </w:pPr>
      <w:r>
        <w:rPr>
          <w:rFonts w:hint="eastAsia" w:ascii="宋体" w:hAnsi="宋体"/>
          <w:b/>
          <w:sz w:val="32"/>
          <w:szCs w:val="32"/>
        </w:rPr>
        <w:t>法定代表人授权委托书</w:t>
      </w:r>
    </w:p>
    <w:p>
      <w:pPr>
        <w:snapToGrid w:val="0"/>
        <w:ind w:firstLine="480" w:firstLineChars="200"/>
        <w:rPr>
          <w:rFonts w:ascii="宋体" w:hAnsi="宋体"/>
          <w:b/>
          <w:bCs/>
          <w:sz w:val="24"/>
        </w:rPr>
      </w:pPr>
      <w:r>
        <w:rPr>
          <w:rFonts w:hint="eastAsia" w:ascii="宋体" w:hAnsi="宋体"/>
          <w:bCs/>
          <w:sz w:val="24"/>
        </w:rPr>
        <w:t>致：</w:t>
      </w:r>
      <w:r>
        <w:rPr>
          <w:rFonts w:hint="eastAsia" w:ascii="宋体" w:hAnsi="宋体"/>
          <w:bCs/>
          <w:sz w:val="24"/>
          <w:u w:val="single"/>
        </w:rPr>
        <w:t xml:space="preserve">               </w:t>
      </w:r>
      <w:r>
        <w:rPr>
          <w:rFonts w:hint="eastAsia" w:ascii="宋体" w:hAnsi="宋体"/>
          <w:sz w:val="24"/>
        </w:rPr>
        <w:t>（采购单位名称）：</w:t>
      </w:r>
    </w:p>
    <w:p>
      <w:pPr>
        <w:snapToGrid w:val="0"/>
        <w:ind w:firstLine="480" w:firstLineChars="200"/>
        <w:rPr>
          <w:rFonts w:ascii="宋体" w:hAnsi="宋体"/>
          <w:sz w:val="24"/>
        </w:rPr>
      </w:pPr>
      <w:r>
        <w:rPr>
          <w:rFonts w:hint="eastAsia" w:ascii="宋体" w:hAnsi="宋体"/>
          <w:sz w:val="24"/>
        </w:rPr>
        <w:t>我</w:t>
      </w:r>
      <w:r>
        <w:rPr>
          <w:rFonts w:hint="eastAsia" w:ascii="宋体" w:hAnsi="宋体"/>
          <w:sz w:val="24"/>
          <w:u w:val="single"/>
        </w:rPr>
        <w:t xml:space="preserve">           </w:t>
      </w:r>
      <w:r>
        <w:rPr>
          <w:rFonts w:hint="eastAsia" w:ascii="宋体" w:hAnsi="宋体"/>
          <w:sz w:val="24"/>
        </w:rPr>
        <w:t>（姓名）系</w:t>
      </w:r>
      <w:r>
        <w:rPr>
          <w:rFonts w:hint="eastAsia" w:ascii="宋体" w:hAnsi="宋体"/>
          <w:sz w:val="24"/>
          <w:u w:val="single"/>
        </w:rPr>
        <w:t xml:space="preserve">        </w:t>
      </w:r>
      <w:r>
        <w:rPr>
          <w:rFonts w:hint="eastAsia" w:ascii="宋体" w:hAnsi="宋体"/>
          <w:sz w:val="24"/>
        </w:rPr>
        <w:t xml:space="preserve">（供应商名称）的法定代表人，现授权委托本单位在职职工 </w:t>
      </w:r>
      <w:r>
        <w:rPr>
          <w:rFonts w:hint="eastAsia" w:ascii="宋体" w:hAnsi="宋体"/>
          <w:sz w:val="24"/>
          <w:u w:val="single"/>
        </w:rPr>
        <w:t xml:space="preserve">         </w:t>
      </w:r>
      <w:r>
        <w:rPr>
          <w:rFonts w:hint="eastAsia" w:ascii="宋体" w:hAnsi="宋体"/>
          <w:sz w:val="24"/>
        </w:rPr>
        <w:t>（姓名）以我方的名义参加</w:t>
      </w:r>
      <w:r>
        <w:rPr>
          <w:rFonts w:hint="eastAsia" w:ascii="宋体" w:hAnsi="宋体"/>
          <w:sz w:val="24"/>
          <w:u w:val="single"/>
        </w:rPr>
        <w:t xml:space="preserve">             </w:t>
      </w:r>
      <w:r>
        <w:rPr>
          <w:rFonts w:hint="eastAsia" w:ascii="宋体" w:hAnsi="宋体"/>
          <w:sz w:val="24"/>
        </w:rPr>
        <w:t>项目标项</w:t>
      </w:r>
      <w:r>
        <w:rPr>
          <w:rFonts w:hint="eastAsia" w:ascii="宋体" w:hAnsi="宋体"/>
          <w:sz w:val="24"/>
          <w:u w:val="single"/>
        </w:rPr>
        <w:t xml:space="preserve">      </w:t>
      </w:r>
      <w:r>
        <w:rPr>
          <w:rFonts w:hint="eastAsia" w:ascii="宋体" w:hAnsi="宋体"/>
          <w:sz w:val="24"/>
        </w:rPr>
        <w:t>的投标活动，并代表我方全权办理针对上述项目的投标、开标、评标、签约等具体事务和签署相关文件。</w:t>
      </w:r>
    </w:p>
    <w:p>
      <w:pPr>
        <w:snapToGrid w:val="0"/>
        <w:ind w:firstLine="480" w:firstLineChars="200"/>
        <w:rPr>
          <w:rFonts w:ascii="宋体" w:hAnsi="宋体"/>
          <w:sz w:val="24"/>
        </w:rPr>
      </w:pPr>
      <w:r>
        <w:rPr>
          <w:rFonts w:hint="eastAsia" w:ascii="宋体" w:hAnsi="宋体"/>
          <w:sz w:val="24"/>
        </w:rPr>
        <w:t>我方对被授权人的签名事项负全部责任。</w:t>
      </w:r>
    </w:p>
    <w:p>
      <w:pPr>
        <w:snapToGrid w:val="0"/>
        <w:ind w:firstLine="480" w:firstLineChars="200"/>
        <w:rPr>
          <w:rFonts w:ascii="宋体" w:hAnsi="宋体"/>
          <w:sz w:val="24"/>
        </w:rPr>
      </w:pPr>
      <w:r>
        <w:rPr>
          <w:rFonts w:hint="eastAsia" w:ascii="宋体" w:hAnsi="宋体"/>
          <w:sz w:val="24"/>
          <w:u w:val="single"/>
        </w:rPr>
        <w:t>在撤销授权的书面通知以前，本授权书一直有效。</w:t>
      </w:r>
      <w:r>
        <w:rPr>
          <w:rFonts w:hint="eastAsia" w:ascii="宋体" w:hAnsi="宋体"/>
          <w:sz w:val="24"/>
        </w:rPr>
        <w:t>被授权人在授权书有效期内签署的所有文件不因授权的撤销而失效。</w:t>
      </w:r>
    </w:p>
    <w:p>
      <w:pPr>
        <w:snapToGrid w:val="0"/>
        <w:ind w:firstLine="480" w:firstLineChars="200"/>
        <w:rPr>
          <w:rFonts w:ascii="宋体" w:hAnsi="宋体"/>
          <w:sz w:val="24"/>
        </w:rPr>
      </w:pPr>
      <w:r>
        <w:rPr>
          <w:rFonts w:hint="eastAsia" w:ascii="宋体" w:hAnsi="宋体"/>
          <w:sz w:val="24"/>
        </w:rPr>
        <w:t>被授权人无转委托权，特此委托。</w:t>
      </w:r>
    </w:p>
    <w:p>
      <w:pPr>
        <w:snapToGrid w:val="0"/>
        <w:ind w:firstLine="480" w:firstLineChars="200"/>
        <w:rPr>
          <w:rFonts w:ascii="宋体" w:hAnsi="宋体"/>
          <w:sz w:val="24"/>
        </w:rPr>
      </w:pPr>
    </w:p>
    <w:p>
      <w:pPr>
        <w:snapToGrid w:val="0"/>
        <w:ind w:firstLine="480" w:firstLineChars="200"/>
        <w:rPr>
          <w:rFonts w:ascii="宋体" w:hAnsi="宋体"/>
          <w:sz w:val="24"/>
          <w:u w:val="single"/>
        </w:rPr>
      </w:pPr>
      <w:r>
        <w:rPr>
          <w:rFonts w:hint="eastAsia" w:ascii="宋体" w:hAnsi="宋体"/>
          <w:sz w:val="24"/>
        </w:rPr>
        <w:t>被授权人签名：</w:t>
      </w:r>
      <w:r>
        <w:rPr>
          <w:rFonts w:hint="eastAsia" w:ascii="宋体" w:hAnsi="宋体"/>
          <w:sz w:val="24"/>
          <w:u w:val="single"/>
        </w:rPr>
        <w:t xml:space="preserve">          </w:t>
      </w:r>
      <w:r>
        <w:rPr>
          <w:rFonts w:hint="eastAsia" w:ascii="宋体" w:hAnsi="宋体"/>
          <w:sz w:val="24"/>
        </w:rPr>
        <w:t xml:space="preserve">               法定代表人签名：</w:t>
      </w:r>
      <w:r>
        <w:rPr>
          <w:rFonts w:hint="eastAsia" w:ascii="宋体" w:hAnsi="宋体"/>
          <w:sz w:val="24"/>
          <w:u w:val="single"/>
        </w:rPr>
        <w:t xml:space="preserve">          </w:t>
      </w:r>
    </w:p>
    <w:p>
      <w:pPr>
        <w:snapToGrid w:val="0"/>
        <w:ind w:firstLine="480" w:firstLineChars="200"/>
        <w:rPr>
          <w:rFonts w:ascii="宋体" w:hAnsi="宋体"/>
          <w:sz w:val="24"/>
        </w:rPr>
      </w:pPr>
      <w:r>
        <w:rPr>
          <w:rFonts w:hint="eastAsia" w:ascii="宋体" w:hAnsi="宋体"/>
          <w:sz w:val="24"/>
        </w:rPr>
        <w:t>职务：</w:t>
      </w:r>
      <w:r>
        <w:rPr>
          <w:rFonts w:hint="eastAsia" w:ascii="宋体" w:hAnsi="宋体"/>
          <w:sz w:val="24"/>
          <w:u w:val="single"/>
        </w:rPr>
        <w:t xml:space="preserve">           </w:t>
      </w:r>
      <w:r>
        <w:rPr>
          <w:rFonts w:hint="eastAsia" w:ascii="宋体" w:hAnsi="宋体"/>
          <w:sz w:val="24"/>
        </w:rPr>
        <w:t xml:space="preserve">                      职务：</w:t>
      </w:r>
      <w:r>
        <w:rPr>
          <w:rFonts w:hint="eastAsia" w:ascii="宋体" w:hAnsi="宋体"/>
          <w:sz w:val="24"/>
          <w:u w:val="single"/>
        </w:rPr>
        <w:t xml:space="preserve">           </w:t>
      </w:r>
    </w:p>
    <w:p>
      <w:pPr>
        <w:snapToGrid w:val="0"/>
        <w:ind w:firstLine="480" w:firstLineChars="200"/>
        <w:rPr>
          <w:rFonts w:ascii="宋体" w:hAnsi="宋体"/>
          <w:sz w:val="24"/>
        </w:rPr>
      </w:pPr>
      <w:r>
        <w:rPr>
          <w:rFonts w:hint="eastAsia" w:ascii="宋体" w:hAnsi="宋体"/>
          <w:sz w:val="24"/>
        </w:rPr>
        <w:t>被授权人身份证号码：</w:t>
      </w:r>
      <w:r>
        <w:rPr>
          <w:rFonts w:hint="eastAsia" w:ascii="宋体" w:hAnsi="宋体"/>
          <w:sz w:val="24"/>
          <w:u w:val="single"/>
        </w:rPr>
        <w:t xml:space="preserve">                             </w:t>
      </w:r>
      <w:r>
        <w:rPr>
          <w:rFonts w:hint="eastAsia" w:ascii="宋体" w:hAnsi="宋体"/>
          <w:sz w:val="24"/>
        </w:rPr>
        <w:t xml:space="preserve"> </w:t>
      </w:r>
    </w:p>
    <w:p>
      <w:pPr>
        <w:snapToGrid w:val="0"/>
        <w:ind w:firstLine="480" w:firstLineChars="200"/>
        <w:rPr>
          <w:rFonts w:ascii="宋体" w:hAnsi="宋体"/>
          <w:sz w:val="24"/>
        </w:rPr>
      </w:pPr>
      <w:r>
        <w:rPr>
          <w:rFonts w:hint="eastAsia" w:ascii="宋体" w:hAnsi="宋体"/>
          <w:sz w:val="24"/>
        </w:rPr>
        <w:t>被授权人身份证粘贴处（正反面）         法定代表人身份证粘贴处（正反面）</w:t>
      </w:r>
    </w:p>
    <w:p>
      <w:pPr>
        <w:snapToGrid w:val="0"/>
        <w:ind w:firstLine="480" w:firstLineChars="200"/>
        <w:rPr>
          <w:rFonts w:ascii="宋体" w:hAnsi="宋体"/>
          <w:sz w:val="24"/>
        </w:rPr>
      </w:pPr>
      <w:r>
        <w:rPr>
          <w:rFonts w:hint="eastAsia" w:ascii="宋体" w:hAnsi="宋体"/>
          <w:sz w:val="24"/>
        </w:rPr>
        <w:t xml:space="preserve">                                     供应商公章：</w:t>
      </w:r>
    </w:p>
    <w:p>
      <w:pPr>
        <w:ind w:firstLine="480" w:firstLineChars="200"/>
        <w:rPr>
          <w:rFonts w:ascii="宋体" w:hAnsi="宋体"/>
          <w:sz w:val="24"/>
        </w:rPr>
      </w:pPr>
      <w:r>
        <w:rPr>
          <w:rFonts w:hint="eastAsia" w:ascii="宋体" w:hAnsi="宋体"/>
          <w:sz w:val="24"/>
        </w:rPr>
        <w:t xml:space="preserve">                                        年    月    日</w:t>
      </w:r>
    </w:p>
    <w:p>
      <w:pPr>
        <w:snapToGrid w:val="0"/>
        <w:jc w:val="left"/>
        <w:rPr>
          <w:rFonts w:ascii="宋体" w:hAnsi="宋体"/>
          <w:b/>
          <w:sz w:val="24"/>
        </w:rPr>
      </w:pPr>
    </w:p>
    <w:p>
      <w:pPr>
        <w:snapToGrid w:val="0"/>
        <w:rPr>
          <w:rFonts w:ascii="宋体" w:hAnsi="宋体"/>
          <w:b/>
          <w:sz w:val="24"/>
        </w:rPr>
      </w:pPr>
      <w:r>
        <w:rPr>
          <w:rFonts w:ascii="宋体" w:hAnsi="宋体"/>
          <w:b/>
        </w:rPr>
        <w:br w:type="page"/>
      </w:r>
      <w:r>
        <w:rPr>
          <w:rFonts w:ascii="宋体" w:hAnsi="宋体"/>
          <w:b/>
          <w:sz w:val="24"/>
        </w:rPr>
        <w:t>4</w:t>
      </w:r>
      <w:r>
        <w:rPr>
          <w:rFonts w:hint="eastAsia" w:ascii="宋体" w:hAnsi="宋体"/>
          <w:b/>
          <w:sz w:val="24"/>
        </w:rPr>
        <w:t>、投标声明书格式：</w:t>
      </w:r>
    </w:p>
    <w:bookmarkEnd w:id="199"/>
    <w:p>
      <w:pPr>
        <w:snapToGrid w:val="0"/>
        <w:jc w:val="center"/>
        <w:rPr>
          <w:rFonts w:ascii="宋体" w:hAnsi="宋体"/>
          <w:b/>
          <w:bCs/>
          <w:sz w:val="32"/>
          <w:szCs w:val="32"/>
        </w:rPr>
      </w:pPr>
      <w:bookmarkStart w:id="200" w:name="OLE_LINK12"/>
      <w:r>
        <w:rPr>
          <w:rFonts w:hint="eastAsia" w:ascii="宋体" w:hAnsi="宋体"/>
          <w:b/>
          <w:bCs/>
          <w:sz w:val="32"/>
          <w:szCs w:val="32"/>
        </w:rPr>
        <w:t>投标声明书</w:t>
      </w:r>
    </w:p>
    <w:p>
      <w:pPr>
        <w:snapToGrid w:val="0"/>
        <w:ind w:firstLine="480" w:firstLineChars="200"/>
        <w:rPr>
          <w:rFonts w:ascii="宋体" w:hAnsi="宋体"/>
          <w:sz w:val="24"/>
        </w:rPr>
      </w:pPr>
      <w:r>
        <w:rPr>
          <w:rFonts w:hint="eastAsia" w:ascii="宋体" w:hAnsi="宋体"/>
          <w:sz w:val="24"/>
        </w:rPr>
        <w:t>致：</w:t>
      </w:r>
      <w:r>
        <w:rPr>
          <w:rFonts w:hint="eastAsia" w:ascii="宋体" w:hAnsi="宋体"/>
          <w:sz w:val="24"/>
          <w:u w:val="single"/>
        </w:rPr>
        <w:t xml:space="preserve">               </w:t>
      </w:r>
      <w:r>
        <w:rPr>
          <w:rFonts w:hint="eastAsia" w:ascii="宋体" w:hAnsi="宋体"/>
          <w:sz w:val="24"/>
        </w:rPr>
        <w:t>（采购单位名称）：</w:t>
      </w:r>
    </w:p>
    <w:p>
      <w:pPr>
        <w:snapToGrid w:val="0"/>
        <w:ind w:firstLine="480" w:firstLineChars="200"/>
        <w:rPr>
          <w:rFonts w:ascii="宋体" w:hAnsi="宋体"/>
          <w:sz w:val="24"/>
        </w:rPr>
      </w:pPr>
      <w:r>
        <w:rPr>
          <w:rFonts w:hint="eastAsia" w:ascii="宋体" w:hAnsi="宋体"/>
          <w:sz w:val="24"/>
          <w:u w:val="single"/>
        </w:rPr>
        <w:t xml:space="preserve">                        </w:t>
      </w:r>
      <w:r>
        <w:rPr>
          <w:rFonts w:hint="eastAsia" w:ascii="宋体" w:hAnsi="宋体"/>
          <w:sz w:val="24"/>
        </w:rPr>
        <w:t>（供应商名称）系中华人民共和国合法企业，经营地址</w:t>
      </w:r>
      <w:r>
        <w:rPr>
          <w:rFonts w:hint="eastAsia" w:ascii="宋体" w:hAnsi="宋体"/>
          <w:sz w:val="24"/>
          <w:u w:val="single"/>
        </w:rPr>
        <w:t xml:space="preserve">                               </w:t>
      </w:r>
      <w:r>
        <w:rPr>
          <w:rFonts w:hint="eastAsia" w:ascii="宋体" w:hAnsi="宋体"/>
          <w:sz w:val="24"/>
        </w:rPr>
        <w:t>。</w:t>
      </w:r>
    </w:p>
    <w:p>
      <w:pPr>
        <w:snapToGrid w:val="0"/>
        <w:ind w:firstLine="480" w:firstLineChars="200"/>
        <w:rPr>
          <w:rFonts w:ascii="宋体" w:hAnsi="宋体"/>
          <w:sz w:val="24"/>
        </w:rPr>
      </w:pPr>
      <w:r>
        <w:rPr>
          <w:rFonts w:hint="eastAsia" w:ascii="宋体" w:hAnsi="宋体"/>
          <w:sz w:val="24"/>
        </w:rPr>
        <w:t>我</w:t>
      </w:r>
      <w:r>
        <w:rPr>
          <w:rFonts w:hint="eastAsia" w:ascii="宋体" w:hAnsi="宋体"/>
          <w:sz w:val="24"/>
          <w:u w:val="single"/>
        </w:rPr>
        <w:t xml:space="preserve">         </w:t>
      </w:r>
      <w:r>
        <w:rPr>
          <w:rFonts w:hint="eastAsia" w:ascii="宋体" w:hAnsi="宋体"/>
          <w:sz w:val="24"/>
        </w:rPr>
        <w:t>（姓名）系</w:t>
      </w:r>
      <w:r>
        <w:rPr>
          <w:rFonts w:hint="eastAsia" w:ascii="宋体" w:hAnsi="宋体"/>
          <w:sz w:val="24"/>
          <w:u w:val="single"/>
        </w:rPr>
        <w:t xml:space="preserve">          </w:t>
      </w:r>
      <w:r>
        <w:rPr>
          <w:rFonts w:hint="eastAsia" w:ascii="宋体" w:hAnsi="宋体"/>
          <w:sz w:val="24"/>
        </w:rPr>
        <w:t>（供应商名称）的法定代表人，我方愿意参加贵方组织的</w:t>
      </w:r>
      <w:r>
        <w:rPr>
          <w:rFonts w:hint="eastAsia" w:ascii="宋体" w:hAnsi="宋体"/>
          <w:sz w:val="24"/>
          <w:u w:val="single"/>
        </w:rPr>
        <w:t xml:space="preserve">                       </w:t>
      </w:r>
      <w:r>
        <w:rPr>
          <w:rFonts w:hint="eastAsia" w:ascii="宋体" w:hAnsi="宋体"/>
          <w:sz w:val="24"/>
        </w:rPr>
        <w:t>项目标项</w:t>
      </w:r>
      <w:r>
        <w:rPr>
          <w:rFonts w:hint="eastAsia" w:ascii="宋体" w:hAnsi="宋体"/>
          <w:sz w:val="24"/>
          <w:u w:val="single"/>
        </w:rPr>
        <w:t xml:space="preserve">     </w:t>
      </w:r>
      <w:r>
        <w:rPr>
          <w:rFonts w:hint="eastAsia" w:ascii="宋体" w:hAnsi="宋体"/>
          <w:sz w:val="24"/>
        </w:rPr>
        <w:t>的投标，为便于贵方公正、择优地确定中标人及服务，我方就本次投标有关事项郑重声明如下：</w:t>
      </w:r>
    </w:p>
    <w:p>
      <w:pPr>
        <w:snapToGrid w:val="0"/>
        <w:ind w:firstLine="480" w:firstLineChars="200"/>
        <w:rPr>
          <w:rFonts w:ascii="宋体" w:hAnsi="宋体"/>
          <w:sz w:val="24"/>
        </w:rPr>
      </w:pPr>
      <w:r>
        <w:rPr>
          <w:rFonts w:hint="eastAsia" w:ascii="宋体" w:hAnsi="宋体"/>
          <w:sz w:val="24"/>
        </w:rPr>
        <w:t>1.我方向贵方提交的所有投标文件、资料都是准确的和真实的。</w:t>
      </w:r>
    </w:p>
    <w:p>
      <w:pPr>
        <w:snapToGrid w:val="0"/>
        <w:ind w:firstLine="480" w:firstLineChars="200"/>
        <w:rPr>
          <w:rFonts w:ascii="宋体" w:hAnsi="宋体"/>
          <w:sz w:val="24"/>
        </w:rPr>
      </w:pPr>
      <w:r>
        <w:rPr>
          <w:rFonts w:hint="eastAsia" w:ascii="宋体" w:hAnsi="宋体"/>
          <w:sz w:val="24"/>
        </w:rPr>
        <w:t>2.我方不是供应商的附属机构；在获知本项目投标信息后，与采购人聘请的为此项目提供招标代理公司及其附属机构没有任何联系。</w:t>
      </w:r>
    </w:p>
    <w:p>
      <w:pPr>
        <w:snapToGrid w:val="0"/>
        <w:ind w:firstLine="480" w:firstLineChars="200"/>
        <w:rPr>
          <w:rFonts w:ascii="宋体" w:hAnsi="宋体"/>
          <w:sz w:val="24"/>
        </w:rPr>
      </w:pPr>
      <w:r>
        <w:rPr>
          <w:rFonts w:hint="eastAsia" w:ascii="宋体" w:hAnsi="宋体"/>
          <w:sz w:val="24"/>
        </w:rPr>
        <w:t>3.我方及由本人担任法定代表人的其他机构最近三年内被通报或者被处罚的违法行为有：</w:t>
      </w:r>
      <w:r>
        <w:rPr>
          <w:rFonts w:hint="eastAsia" w:ascii="宋体" w:hAnsi="宋体"/>
          <w:b/>
          <w:bCs/>
          <w:sz w:val="24"/>
        </w:rPr>
        <w:t>（若有，请如实填写；若无，请作出“参加政府采购活动前三年内，在经营活动中没有重大违法记录”的承诺）</w:t>
      </w:r>
      <w:r>
        <w:rPr>
          <w:rFonts w:hint="eastAsia" w:ascii="宋体" w:hAnsi="宋体"/>
          <w:sz w:val="24"/>
          <w:u w:val="single"/>
        </w:rPr>
        <w:t xml:space="preserve">                              </w:t>
      </w:r>
      <w:r>
        <w:rPr>
          <w:rFonts w:hint="eastAsia" w:ascii="宋体" w:hAnsi="宋体"/>
          <w:sz w:val="24"/>
        </w:rPr>
        <w:t>。</w:t>
      </w:r>
    </w:p>
    <w:p>
      <w:pPr>
        <w:snapToGrid w:val="0"/>
        <w:ind w:firstLine="480" w:firstLineChars="200"/>
        <w:rPr>
          <w:rFonts w:ascii="宋体" w:hAnsi="宋体"/>
          <w:sz w:val="24"/>
        </w:rPr>
      </w:pPr>
      <w:r>
        <w:rPr>
          <w:rFonts w:hint="eastAsia" w:ascii="宋体" w:hAnsi="宋体"/>
          <w:sz w:val="24"/>
        </w:rPr>
        <w:t>4.以上事项如有虚假或隐瞒，我方愿意承担一切后果，并不再寻求任何旨在减轻或免除法律责任的辩解。</w:t>
      </w:r>
    </w:p>
    <w:p>
      <w:pPr>
        <w:pStyle w:val="23"/>
        <w:tabs>
          <w:tab w:val="left" w:pos="939"/>
        </w:tabs>
        <w:snapToGrid w:val="0"/>
        <w:ind w:left="315" w:leftChars="150" w:firstLine="480" w:firstLineChars="200"/>
        <w:rPr>
          <w:rFonts w:ascii="宋体" w:hAnsi="宋体"/>
          <w:sz w:val="24"/>
        </w:rPr>
      </w:pPr>
    </w:p>
    <w:p>
      <w:pPr>
        <w:snapToGrid w:val="0"/>
        <w:ind w:firstLine="480" w:firstLineChars="200"/>
        <w:rPr>
          <w:rFonts w:ascii="宋体" w:hAnsi="宋体"/>
          <w:sz w:val="24"/>
          <w:u w:val="single"/>
        </w:rPr>
      </w:pPr>
      <w:r>
        <w:rPr>
          <w:rFonts w:hint="eastAsia" w:ascii="宋体" w:hAnsi="宋体"/>
          <w:sz w:val="24"/>
        </w:rPr>
        <w:t>法定代表人（签字或盖章）：</w:t>
      </w:r>
      <w:r>
        <w:rPr>
          <w:rFonts w:hint="eastAsia" w:ascii="宋体" w:hAnsi="宋体"/>
          <w:sz w:val="24"/>
          <w:u w:val="single"/>
        </w:rPr>
        <w:t xml:space="preserve">             </w:t>
      </w:r>
    </w:p>
    <w:p>
      <w:pPr>
        <w:widowControl/>
        <w:ind w:firstLine="480" w:firstLineChars="200"/>
        <w:jc w:val="left"/>
        <w:rPr>
          <w:rFonts w:ascii="宋体" w:hAnsi="宋体"/>
          <w:sz w:val="24"/>
        </w:rPr>
      </w:pPr>
      <w:r>
        <w:rPr>
          <w:rFonts w:hint="eastAsia" w:ascii="宋体" w:hAnsi="宋体"/>
          <w:sz w:val="24"/>
        </w:rPr>
        <w:t>供应商公章：</w:t>
      </w:r>
      <w:r>
        <w:rPr>
          <w:rFonts w:hint="eastAsia" w:ascii="宋体" w:hAnsi="宋体"/>
          <w:sz w:val="24"/>
          <w:u w:val="single"/>
        </w:rPr>
        <w:t xml:space="preserve">               </w:t>
      </w:r>
    </w:p>
    <w:p>
      <w:pPr>
        <w:widowControl/>
        <w:ind w:firstLine="480" w:firstLineChars="200"/>
        <w:jc w:val="left"/>
        <w:rPr>
          <w:rFonts w:ascii="宋体" w:hAnsi="宋体"/>
          <w:sz w:val="24"/>
        </w:rPr>
      </w:pPr>
      <w:r>
        <w:rPr>
          <w:rFonts w:hint="eastAsia" w:ascii="宋体" w:hAnsi="宋体"/>
          <w:sz w:val="24"/>
        </w:rPr>
        <w:t xml:space="preserve">        年    月    日</w:t>
      </w:r>
    </w:p>
    <w:bookmarkEnd w:id="200"/>
    <w:p>
      <w:pPr>
        <w:snapToGrid w:val="0"/>
        <w:jc w:val="left"/>
        <w:rPr>
          <w:rFonts w:ascii="宋体" w:hAnsi="宋体"/>
          <w:b/>
          <w:sz w:val="24"/>
        </w:rPr>
      </w:pPr>
      <w:r>
        <w:rPr>
          <w:rFonts w:hint="eastAsia" w:ascii="宋体" w:hAnsi="宋体"/>
          <w:sz w:val="24"/>
        </w:rPr>
        <w:br w:type="page"/>
      </w:r>
      <w:bookmarkStart w:id="201" w:name="OLE_LINK16"/>
      <w:r>
        <w:rPr>
          <w:rFonts w:ascii="宋体" w:hAnsi="宋体"/>
          <w:b/>
          <w:sz w:val="24"/>
        </w:rPr>
        <w:t>5</w:t>
      </w:r>
      <w:r>
        <w:rPr>
          <w:rFonts w:hint="eastAsia" w:ascii="宋体" w:hAnsi="宋体"/>
          <w:b/>
          <w:sz w:val="24"/>
        </w:rPr>
        <w:t>、类似案例成功的业绩</w:t>
      </w:r>
    </w:p>
    <w:p>
      <w:pPr>
        <w:pStyle w:val="672"/>
        <w:jc w:val="center"/>
        <w:rPr>
          <w:rFonts w:ascii="宋体" w:hAnsi="宋体"/>
          <w:b/>
          <w:sz w:val="32"/>
          <w:szCs w:val="32"/>
        </w:rPr>
      </w:pPr>
      <w:r>
        <w:rPr>
          <w:rFonts w:hint="eastAsia" w:ascii="宋体" w:hAnsi="宋体"/>
          <w:b/>
          <w:sz w:val="32"/>
          <w:szCs w:val="32"/>
        </w:rPr>
        <w:t>成功案例业绩一览表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330"/>
        <w:gridCol w:w="1511"/>
        <w:gridCol w:w="1259"/>
        <w:gridCol w:w="943"/>
        <w:gridCol w:w="818"/>
        <w:gridCol w:w="1331"/>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641" w:type="dxa"/>
            <w:noWrap w:val="0"/>
            <w:vAlign w:val="center"/>
          </w:tcPr>
          <w:p>
            <w:pPr>
              <w:jc w:val="center"/>
              <w:rPr>
                <w:rFonts w:ascii="宋体" w:hAnsi="宋体"/>
                <w:b/>
                <w:sz w:val="24"/>
                <w:szCs w:val="24"/>
              </w:rPr>
            </w:pPr>
            <w:r>
              <w:rPr>
                <w:rFonts w:hint="eastAsia" w:ascii="宋体" w:hAnsi="宋体"/>
                <w:b/>
                <w:sz w:val="24"/>
                <w:szCs w:val="24"/>
              </w:rPr>
              <w:t>序号</w:t>
            </w:r>
          </w:p>
        </w:tc>
        <w:tc>
          <w:tcPr>
            <w:tcW w:w="1330" w:type="dxa"/>
            <w:noWrap w:val="0"/>
            <w:vAlign w:val="center"/>
          </w:tcPr>
          <w:p>
            <w:pPr>
              <w:jc w:val="center"/>
              <w:rPr>
                <w:rFonts w:ascii="宋体" w:hAnsi="宋体"/>
                <w:b/>
                <w:sz w:val="24"/>
                <w:szCs w:val="24"/>
              </w:rPr>
            </w:pPr>
            <w:r>
              <w:rPr>
                <w:rFonts w:hint="eastAsia" w:ascii="宋体" w:hAnsi="宋体"/>
                <w:b/>
                <w:sz w:val="24"/>
                <w:szCs w:val="24"/>
              </w:rPr>
              <w:t>采购人</w:t>
            </w:r>
            <w:r>
              <w:rPr>
                <w:rFonts w:hint="eastAsia" w:ascii="宋体" w:hAnsi="宋体"/>
                <w:b/>
                <w:sz w:val="24"/>
                <w:szCs w:val="24"/>
              </w:rPr>
              <w:br w:type="textWrapping"/>
            </w:r>
            <w:r>
              <w:rPr>
                <w:rFonts w:hint="eastAsia" w:ascii="宋体" w:hAnsi="宋体"/>
                <w:b/>
                <w:sz w:val="24"/>
                <w:szCs w:val="24"/>
              </w:rPr>
              <w:t>名称</w:t>
            </w:r>
          </w:p>
        </w:tc>
        <w:tc>
          <w:tcPr>
            <w:tcW w:w="1511" w:type="dxa"/>
            <w:noWrap w:val="0"/>
            <w:vAlign w:val="center"/>
          </w:tcPr>
          <w:p>
            <w:pPr>
              <w:tabs>
                <w:tab w:val="left" w:pos="6252"/>
              </w:tabs>
              <w:jc w:val="center"/>
              <w:rPr>
                <w:rFonts w:ascii="宋体" w:hAnsi="宋体"/>
                <w:b/>
                <w:sz w:val="24"/>
                <w:szCs w:val="24"/>
              </w:rPr>
            </w:pPr>
            <w:r>
              <w:rPr>
                <w:rFonts w:hint="eastAsia" w:ascii="宋体" w:hAnsi="宋体"/>
                <w:b/>
                <w:sz w:val="24"/>
                <w:szCs w:val="24"/>
              </w:rPr>
              <w:t>项目起止时间</w:t>
            </w:r>
          </w:p>
        </w:tc>
        <w:tc>
          <w:tcPr>
            <w:tcW w:w="1259" w:type="dxa"/>
            <w:noWrap w:val="0"/>
            <w:vAlign w:val="center"/>
          </w:tcPr>
          <w:p>
            <w:pPr>
              <w:tabs>
                <w:tab w:val="left" w:pos="6252"/>
              </w:tabs>
              <w:jc w:val="center"/>
              <w:rPr>
                <w:rFonts w:ascii="宋体" w:hAnsi="宋体"/>
                <w:b/>
                <w:sz w:val="24"/>
                <w:szCs w:val="24"/>
              </w:rPr>
            </w:pPr>
            <w:r>
              <w:rPr>
                <w:rFonts w:hint="eastAsia" w:ascii="宋体" w:hAnsi="宋体"/>
                <w:b/>
                <w:sz w:val="24"/>
                <w:szCs w:val="24"/>
              </w:rPr>
              <w:t>设备或项目名称</w:t>
            </w:r>
          </w:p>
        </w:tc>
        <w:tc>
          <w:tcPr>
            <w:tcW w:w="943" w:type="dxa"/>
            <w:noWrap w:val="0"/>
            <w:vAlign w:val="center"/>
          </w:tcPr>
          <w:p>
            <w:pPr>
              <w:tabs>
                <w:tab w:val="left" w:pos="6252"/>
              </w:tabs>
              <w:jc w:val="center"/>
              <w:rPr>
                <w:rFonts w:ascii="宋体" w:hAnsi="宋体"/>
                <w:b/>
                <w:sz w:val="24"/>
                <w:szCs w:val="24"/>
              </w:rPr>
            </w:pPr>
            <w:r>
              <w:rPr>
                <w:rFonts w:hint="eastAsia" w:ascii="宋体" w:hAnsi="宋体"/>
                <w:b/>
                <w:sz w:val="24"/>
                <w:szCs w:val="24"/>
              </w:rPr>
              <w:t>采购</w:t>
            </w:r>
          </w:p>
          <w:p>
            <w:pPr>
              <w:tabs>
                <w:tab w:val="left" w:pos="6252"/>
              </w:tabs>
              <w:jc w:val="center"/>
              <w:rPr>
                <w:rFonts w:ascii="宋体" w:hAnsi="宋体"/>
                <w:b/>
                <w:sz w:val="24"/>
                <w:szCs w:val="24"/>
              </w:rPr>
            </w:pPr>
            <w:r>
              <w:rPr>
                <w:rFonts w:hint="eastAsia" w:ascii="宋体" w:hAnsi="宋体"/>
                <w:b/>
                <w:sz w:val="24"/>
                <w:szCs w:val="24"/>
              </w:rPr>
              <w:t>数量</w:t>
            </w:r>
          </w:p>
        </w:tc>
        <w:tc>
          <w:tcPr>
            <w:tcW w:w="818" w:type="dxa"/>
            <w:noWrap w:val="0"/>
            <w:vAlign w:val="center"/>
          </w:tcPr>
          <w:p>
            <w:pPr>
              <w:tabs>
                <w:tab w:val="left" w:pos="6252"/>
              </w:tabs>
              <w:jc w:val="center"/>
              <w:rPr>
                <w:rFonts w:ascii="宋体" w:hAnsi="宋体"/>
                <w:b/>
                <w:sz w:val="24"/>
                <w:szCs w:val="24"/>
              </w:rPr>
            </w:pPr>
            <w:r>
              <w:rPr>
                <w:rFonts w:hint="eastAsia" w:ascii="宋体" w:hAnsi="宋体"/>
                <w:b/>
                <w:sz w:val="24"/>
                <w:szCs w:val="24"/>
              </w:rPr>
              <w:t>单价</w:t>
            </w:r>
          </w:p>
        </w:tc>
        <w:tc>
          <w:tcPr>
            <w:tcW w:w="1331" w:type="dxa"/>
            <w:noWrap w:val="0"/>
            <w:vAlign w:val="center"/>
          </w:tcPr>
          <w:p>
            <w:pPr>
              <w:tabs>
                <w:tab w:val="left" w:pos="6252"/>
              </w:tabs>
              <w:jc w:val="center"/>
              <w:rPr>
                <w:rFonts w:ascii="宋体" w:hAnsi="宋体"/>
                <w:b/>
                <w:sz w:val="24"/>
                <w:szCs w:val="24"/>
              </w:rPr>
            </w:pPr>
            <w:r>
              <w:rPr>
                <w:rFonts w:hint="eastAsia" w:ascii="宋体" w:hAnsi="宋体"/>
                <w:b/>
                <w:sz w:val="24"/>
                <w:szCs w:val="24"/>
              </w:rPr>
              <w:t>合同金额</w:t>
            </w:r>
          </w:p>
          <w:p>
            <w:pPr>
              <w:tabs>
                <w:tab w:val="left" w:pos="6252"/>
              </w:tabs>
              <w:jc w:val="center"/>
              <w:rPr>
                <w:rFonts w:ascii="宋体" w:hAnsi="宋体"/>
                <w:b/>
                <w:sz w:val="24"/>
                <w:szCs w:val="24"/>
              </w:rPr>
            </w:pPr>
            <w:r>
              <w:rPr>
                <w:rFonts w:hint="eastAsia" w:ascii="宋体" w:hAnsi="宋体"/>
                <w:b/>
                <w:sz w:val="24"/>
                <w:szCs w:val="24"/>
              </w:rPr>
              <w:t>（万元）</w:t>
            </w:r>
          </w:p>
        </w:tc>
        <w:tc>
          <w:tcPr>
            <w:tcW w:w="1850" w:type="dxa"/>
            <w:noWrap w:val="0"/>
            <w:vAlign w:val="center"/>
          </w:tcPr>
          <w:p>
            <w:pPr>
              <w:tabs>
                <w:tab w:val="left" w:pos="6252"/>
              </w:tabs>
              <w:jc w:val="center"/>
              <w:rPr>
                <w:rFonts w:ascii="宋体" w:hAnsi="宋体"/>
                <w:b/>
                <w:sz w:val="24"/>
                <w:szCs w:val="24"/>
              </w:rPr>
            </w:pPr>
            <w:r>
              <w:rPr>
                <w:rFonts w:hint="eastAsia" w:ascii="宋体" w:hAnsi="宋体"/>
                <w:b/>
                <w:sz w:val="24"/>
                <w:szCs w:val="24"/>
              </w:rPr>
              <w:t>采购人联系人及联系电话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1</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4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2</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3</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4"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bl>
    <w:p>
      <w:pPr>
        <w:snapToGrid w:val="0"/>
        <w:ind w:firstLine="200"/>
        <w:rPr>
          <w:rFonts w:ascii="宋体" w:hAnsi="宋体"/>
          <w:b/>
          <w:sz w:val="24"/>
          <w:szCs w:val="24"/>
        </w:rPr>
      </w:pPr>
      <w:r>
        <w:rPr>
          <w:rFonts w:hint="eastAsia" w:ascii="宋体" w:hAnsi="宋体"/>
          <w:b/>
          <w:sz w:val="24"/>
          <w:szCs w:val="24"/>
        </w:rPr>
        <w:t>注：1.此表不提供，视为无业绩。</w:t>
      </w:r>
    </w:p>
    <w:p>
      <w:pPr>
        <w:snapToGrid w:val="0"/>
        <w:ind w:firstLine="704" w:firstLineChars="292"/>
        <w:rPr>
          <w:rFonts w:ascii="宋体" w:hAnsi="宋体"/>
          <w:b/>
          <w:sz w:val="24"/>
          <w:szCs w:val="24"/>
        </w:rPr>
      </w:pPr>
      <w:r>
        <w:rPr>
          <w:rFonts w:hint="eastAsia" w:ascii="宋体" w:hAnsi="宋体"/>
          <w:b/>
          <w:sz w:val="24"/>
          <w:szCs w:val="24"/>
        </w:rPr>
        <w:t>2.此表仅提供了格式，表格不够可自行增加。</w:t>
      </w:r>
    </w:p>
    <w:p>
      <w:pPr>
        <w:snapToGrid w:val="0"/>
        <w:ind w:firstLine="704" w:firstLineChars="292"/>
        <w:rPr>
          <w:rFonts w:ascii="宋体" w:hAnsi="宋体"/>
          <w:b/>
          <w:sz w:val="24"/>
          <w:szCs w:val="24"/>
        </w:rPr>
      </w:pPr>
      <w:r>
        <w:rPr>
          <w:rFonts w:hint="eastAsia" w:ascii="宋体" w:hAnsi="宋体"/>
          <w:b/>
          <w:sz w:val="24"/>
          <w:szCs w:val="24"/>
        </w:rPr>
        <w:t>3.后附所需的证明材料要求详见评标办法。</w:t>
      </w:r>
    </w:p>
    <w:p>
      <w:pPr>
        <w:snapToGrid w:val="0"/>
        <w:ind w:firstLine="701" w:firstLineChars="291"/>
        <w:rPr>
          <w:rFonts w:ascii="宋体" w:hAnsi="宋体"/>
          <w:b/>
          <w:sz w:val="24"/>
          <w:szCs w:val="24"/>
        </w:rPr>
      </w:pPr>
      <w:r>
        <w:rPr>
          <w:rFonts w:hint="eastAsia" w:ascii="宋体" w:hAnsi="宋体"/>
          <w:b/>
          <w:sz w:val="24"/>
          <w:szCs w:val="24"/>
        </w:rPr>
        <w:t>4.如本表格不适合供应商的实际情况，可自行制表填写。</w:t>
      </w:r>
    </w:p>
    <w:p>
      <w:pPr>
        <w:snapToGrid w:val="0"/>
        <w:ind w:firstLine="200"/>
        <w:rPr>
          <w:rFonts w:ascii="宋体" w:hAnsi="宋体"/>
          <w:sz w:val="24"/>
          <w:szCs w:val="24"/>
          <w:u w:val="single"/>
        </w:rPr>
      </w:pPr>
      <w:r>
        <w:rPr>
          <w:rFonts w:hint="eastAsia" w:ascii="宋体" w:hAnsi="宋体"/>
          <w:sz w:val="24"/>
          <w:szCs w:val="24"/>
        </w:rPr>
        <w:t>被授权人签字（或盖章）：</w:t>
      </w:r>
    </w:p>
    <w:p>
      <w:pPr>
        <w:snapToGrid w:val="0"/>
        <w:ind w:firstLine="240" w:firstLineChars="100"/>
        <w:rPr>
          <w:rFonts w:ascii="宋体" w:hAnsi="宋体"/>
          <w:sz w:val="24"/>
          <w:szCs w:val="24"/>
        </w:rPr>
      </w:pPr>
      <w:r>
        <w:rPr>
          <w:rFonts w:hint="eastAsia" w:ascii="宋体" w:hAnsi="宋体"/>
          <w:sz w:val="24"/>
          <w:szCs w:val="24"/>
        </w:rPr>
        <w:t>投标人公章：</w:t>
      </w:r>
    </w:p>
    <w:p>
      <w:pPr>
        <w:pStyle w:val="672"/>
        <w:jc w:val="right"/>
        <w:rPr>
          <w:rFonts w:hint="eastAsia" w:ascii="宋体" w:hAnsi="宋体"/>
          <w:sz w:val="24"/>
        </w:rPr>
      </w:pPr>
      <w:r>
        <w:rPr>
          <w:rFonts w:hint="eastAsia" w:ascii="宋体" w:hAnsi="宋体"/>
          <w:sz w:val="24"/>
        </w:rPr>
        <w:t xml:space="preserve">年 </w:t>
      </w:r>
      <w:r>
        <w:rPr>
          <w:rFonts w:ascii="宋体" w:hAnsi="宋体"/>
          <w:sz w:val="24"/>
        </w:rPr>
        <w:t xml:space="preserve">   </w:t>
      </w:r>
      <w:r>
        <w:rPr>
          <w:rFonts w:hint="eastAsia" w:ascii="宋体" w:hAnsi="宋体"/>
          <w:sz w:val="24"/>
        </w:rPr>
        <w:t xml:space="preserve">月 </w:t>
      </w:r>
      <w:r>
        <w:rPr>
          <w:rFonts w:ascii="宋体" w:hAnsi="宋体"/>
          <w:sz w:val="24"/>
        </w:rPr>
        <w:t xml:space="preserve">  </w:t>
      </w:r>
      <w:r>
        <w:rPr>
          <w:rFonts w:hint="eastAsia" w:ascii="宋体" w:hAnsi="宋体"/>
          <w:sz w:val="24"/>
        </w:rPr>
        <w:t>日</w:t>
      </w:r>
    </w:p>
    <w:p>
      <w:pPr>
        <w:snapToGrid w:val="0"/>
        <w:jc w:val="left"/>
        <w:rPr>
          <w:rFonts w:ascii="宋体" w:hAnsi="宋体"/>
          <w:b/>
          <w:sz w:val="24"/>
        </w:rPr>
      </w:pPr>
      <w:r>
        <w:rPr>
          <w:rFonts w:ascii="宋体" w:hAnsi="宋体"/>
          <w:sz w:val="24"/>
          <w:szCs w:val="24"/>
        </w:rPr>
        <w:br w:type="page"/>
      </w:r>
      <w:r>
        <w:rPr>
          <w:rFonts w:ascii="宋体" w:hAnsi="宋体"/>
          <w:b/>
          <w:sz w:val="24"/>
        </w:rPr>
        <w:t>6</w:t>
      </w:r>
      <w:r>
        <w:rPr>
          <w:rFonts w:hint="eastAsia" w:ascii="宋体" w:hAnsi="宋体"/>
          <w:b/>
          <w:sz w:val="24"/>
        </w:rPr>
        <w:t>、供应商情况介绍</w:t>
      </w:r>
    </w:p>
    <w:p>
      <w:pPr>
        <w:ind w:right="6"/>
        <w:jc w:val="center"/>
        <w:rPr>
          <w:rFonts w:ascii="宋体" w:hAnsi="宋体"/>
          <w:b/>
          <w:sz w:val="32"/>
          <w:szCs w:val="32"/>
        </w:rPr>
      </w:pPr>
      <w:r>
        <w:rPr>
          <w:rFonts w:hint="eastAsia" w:ascii="宋体" w:hAnsi="宋体"/>
          <w:b/>
          <w:sz w:val="32"/>
          <w:szCs w:val="32"/>
        </w:rPr>
        <w:t>供应商基本情况表</w:t>
      </w:r>
    </w:p>
    <w:tbl>
      <w:tblPr>
        <w:tblStyle w:val="53"/>
        <w:tblW w:w="0" w:type="auto"/>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800"/>
        <w:gridCol w:w="2119"/>
        <w:gridCol w:w="1920"/>
        <w:gridCol w:w="2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99" w:hRule="atLeast"/>
        </w:trPr>
        <w:tc>
          <w:tcPr>
            <w:tcW w:w="645" w:type="dxa"/>
            <w:vMerge w:val="restart"/>
            <w:noWrap w:val="0"/>
            <w:vAlign w:val="center"/>
          </w:tcPr>
          <w:p>
            <w:pPr>
              <w:spacing w:line="240" w:lineRule="auto"/>
              <w:jc w:val="center"/>
              <w:rPr>
                <w:rFonts w:ascii="宋体" w:hAnsi="宋体"/>
                <w:sz w:val="24"/>
                <w:szCs w:val="24"/>
              </w:rPr>
            </w:pPr>
            <w:r>
              <w:rPr>
                <w:rFonts w:hint="eastAsia" w:ascii="宋体" w:hAnsi="宋体"/>
                <w:sz w:val="24"/>
                <w:szCs w:val="24"/>
              </w:rPr>
              <w:t>投</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标</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人</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概</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况</w:t>
            </w: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公司名称</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65"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地址</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7"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经营范围</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1"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成立时间</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经济性质</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60"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法定代表人</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联系电话</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3"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注册资金</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技术人员数</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3"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资产总额</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净资产</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617"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工商登记号</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税务登记号</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624"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是否依法纳税</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是否参加社保</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1071"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近三年公司</w:t>
            </w:r>
          </w:p>
          <w:p>
            <w:pPr>
              <w:spacing w:line="240" w:lineRule="auto"/>
              <w:jc w:val="center"/>
              <w:rPr>
                <w:rFonts w:ascii="宋体" w:hAnsi="宋体"/>
                <w:sz w:val="24"/>
                <w:szCs w:val="24"/>
              </w:rPr>
            </w:pPr>
            <w:r>
              <w:rPr>
                <w:rFonts w:hint="eastAsia" w:ascii="宋体" w:hAnsi="宋体"/>
                <w:sz w:val="24"/>
                <w:szCs w:val="24"/>
              </w:rPr>
              <w:t>业绩、信誉</w:t>
            </w:r>
          </w:p>
        </w:tc>
        <w:tc>
          <w:tcPr>
            <w:tcW w:w="6795" w:type="dxa"/>
            <w:gridSpan w:val="3"/>
            <w:noWrap w:val="0"/>
            <w:vAlign w:val="center"/>
          </w:tcPr>
          <w:p>
            <w:pPr>
              <w:spacing w:line="240" w:lineRule="auto"/>
              <w:rPr>
                <w:rFonts w:ascii="宋体" w:hAnsi="宋体"/>
                <w:sz w:val="24"/>
                <w:szCs w:val="24"/>
              </w:rPr>
            </w:pPr>
            <w:r>
              <w:rPr>
                <w:rFonts w:hint="eastAsia" w:ascii="宋体" w:hAnsi="宋体"/>
                <w:sz w:val="24"/>
                <w:szCs w:val="24"/>
              </w:rPr>
              <w:t>合同总额：万元，合同履行情况：</w:t>
            </w:r>
          </w:p>
          <w:p>
            <w:pPr>
              <w:spacing w:line="240" w:lineRule="auto"/>
              <w:jc w:val="center"/>
              <w:rPr>
                <w:rFonts w:ascii="宋体" w:hAnsi="宋体"/>
                <w:sz w:val="24"/>
                <w:szCs w:val="24"/>
              </w:rPr>
            </w:pPr>
          </w:p>
          <w:p>
            <w:pPr>
              <w:spacing w:line="240" w:lineRule="auto"/>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3726" w:hRule="atLeast"/>
        </w:trPr>
        <w:tc>
          <w:tcPr>
            <w:tcW w:w="645" w:type="dxa"/>
            <w:vMerge w:val="continue"/>
            <w:noWrap w:val="0"/>
            <w:vAlign w:val="center"/>
          </w:tcPr>
          <w:p>
            <w:pPr>
              <w:spacing w:line="240" w:lineRule="auto"/>
              <w:jc w:val="center"/>
              <w:rPr>
                <w:rFonts w:ascii="宋体" w:hAnsi="宋体"/>
                <w:sz w:val="24"/>
                <w:szCs w:val="24"/>
              </w:rPr>
            </w:pPr>
          </w:p>
        </w:tc>
        <w:tc>
          <w:tcPr>
            <w:tcW w:w="8595" w:type="dxa"/>
            <w:gridSpan w:val="4"/>
            <w:noWrap w:val="0"/>
            <w:vAlign w:val="top"/>
          </w:tcPr>
          <w:p>
            <w:pPr>
              <w:spacing w:line="240" w:lineRule="auto"/>
              <w:rPr>
                <w:rFonts w:ascii="宋体" w:hAnsi="宋体"/>
                <w:sz w:val="24"/>
                <w:szCs w:val="24"/>
              </w:rPr>
            </w:pPr>
            <w:r>
              <w:rPr>
                <w:rFonts w:hint="eastAsia" w:ascii="宋体" w:hAnsi="宋体"/>
                <w:sz w:val="24"/>
                <w:szCs w:val="24"/>
              </w:rPr>
              <w:t>单位优势及特点：</w:t>
            </w:r>
          </w:p>
        </w:tc>
      </w:tr>
    </w:tbl>
    <w:p>
      <w:pPr>
        <w:rPr>
          <w:rFonts w:ascii="宋体" w:hAnsi="宋体"/>
          <w:snapToGrid w:val="0"/>
        </w:rPr>
      </w:pPr>
      <w:r>
        <w:rPr>
          <w:rFonts w:hint="eastAsia" w:ascii="宋体" w:hAnsi="宋体"/>
          <w:snapToGrid w:val="0"/>
        </w:rPr>
        <w:t>说明：本表后应附有单位简介。</w:t>
      </w:r>
    </w:p>
    <w:p>
      <w:pPr>
        <w:snapToGrid w:val="0"/>
        <w:ind w:firstLine="480" w:firstLineChars="200"/>
        <w:rPr>
          <w:rFonts w:ascii="宋体" w:hAnsi="宋体"/>
          <w:sz w:val="24"/>
          <w:szCs w:val="24"/>
        </w:rPr>
      </w:pPr>
    </w:p>
    <w:p>
      <w:pPr>
        <w:snapToGrid w:val="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snapToGrid w:val="0"/>
        <w:ind w:firstLine="360" w:firstLineChars="200"/>
        <w:jc w:val="left"/>
        <w:rPr>
          <w:rFonts w:ascii="宋体" w:hAnsi="宋体"/>
          <w:sz w:val="18"/>
          <w:szCs w:val="18"/>
        </w:rPr>
      </w:pPr>
    </w:p>
    <w:p>
      <w:pPr>
        <w:snapToGrid w:val="0"/>
        <w:jc w:val="left"/>
        <w:rPr>
          <w:rFonts w:ascii="宋体" w:hAnsi="宋体"/>
          <w:b/>
          <w:sz w:val="24"/>
        </w:rPr>
      </w:pPr>
      <w:r>
        <w:rPr>
          <w:rFonts w:ascii="宋体" w:hAnsi="宋体"/>
        </w:rPr>
        <w:br w:type="page"/>
      </w:r>
      <w:r>
        <w:rPr>
          <w:rFonts w:ascii="宋体" w:hAnsi="宋体"/>
          <w:b/>
          <w:sz w:val="24"/>
        </w:rPr>
        <w:t>7</w:t>
      </w:r>
      <w:r>
        <w:rPr>
          <w:rFonts w:hint="eastAsia" w:ascii="宋体" w:hAnsi="宋体"/>
          <w:b/>
          <w:sz w:val="24"/>
        </w:rPr>
        <w:t>、商务响应表</w:t>
      </w:r>
    </w:p>
    <w:p>
      <w:pPr>
        <w:snapToGrid w:val="0"/>
        <w:jc w:val="center"/>
        <w:rPr>
          <w:rFonts w:ascii="宋体" w:hAnsi="宋体"/>
          <w:b/>
          <w:bCs/>
          <w:sz w:val="28"/>
          <w:szCs w:val="28"/>
          <w:u w:val="single"/>
        </w:rPr>
      </w:pPr>
      <w:r>
        <w:rPr>
          <w:rFonts w:hint="eastAsia" w:ascii="宋体" w:hAnsi="宋体"/>
          <w:b/>
          <w:bCs/>
          <w:sz w:val="28"/>
          <w:szCs w:val="28"/>
        </w:rPr>
        <w:t>商务响应表</w:t>
      </w:r>
    </w:p>
    <w:tbl>
      <w:tblPr>
        <w:tblStyle w:val="53"/>
        <w:tblW w:w="0" w:type="auto"/>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3086"/>
        <w:gridCol w:w="3086"/>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jc w:val="center"/>
              <w:rPr>
                <w:rFonts w:ascii="宋体" w:hAnsi="宋体"/>
                <w:sz w:val="24"/>
                <w:szCs w:val="24"/>
              </w:rPr>
            </w:pPr>
            <w:r>
              <w:rPr>
                <w:rFonts w:hint="eastAsia" w:ascii="宋体" w:hAnsi="宋体"/>
                <w:sz w:val="24"/>
                <w:szCs w:val="24"/>
              </w:rPr>
              <w:t>序号</w:t>
            </w:r>
          </w:p>
        </w:tc>
        <w:tc>
          <w:tcPr>
            <w:tcW w:w="3086" w:type="dxa"/>
            <w:noWrap w:val="0"/>
            <w:vAlign w:val="top"/>
          </w:tcPr>
          <w:p>
            <w:pPr>
              <w:spacing w:before="240" w:after="240"/>
              <w:jc w:val="center"/>
              <w:rPr>
                <w:rFonts w:ascii="宋体" w:hAnsi="宋体"/>
                <w:sz w:val="24"/>
                <w:szCs w:val="24"/>
              </w:rPr>
            </w:pPr>
            <w:r>
              <w:rPr>
                <w:rFonts w:hint="eastAsia" w:ascii="宋体" w:hAnsi="宋体"/>
                <w:sz w:val="24"/>
                <w:szCs w:val="24"/>
              </w:rPr>
              <w:t>招标文件的规定</w:t>
            </w:r>
          </w:p>
        </w:tc>
        <w:tc>
          <w:tcPr>
            <w:tcW w:w="3086" w:type="dxa"/>
            <w:noWrap w:val="0"/>
            <w:vAlign w:val="top"/>
          </w:tcPr>
          <w:p>
            <w:pPr>
              <w:spacing w:before="240" w:after="240"/>
              <w:jc w:val="center"/>
              <w:rPr>
                <w:rFonts w:ascii="宋体" w:hAnsi="宋体"/>
                <w:sz w:val="24"/>
                <w:szCs w:val="24"/>
              </w:rPr>
            </w:pPr>
            <w:r>
              <w:rPr>
                <w:rFonts w:hint="eastAsia" w:ascii="宋体" w:hAnsi="宋体"/>
                <w:sz w:val="24"/>
                <w:szCs w:val="24"/>
              </w:rPr>
              <w:t>投标文件的相应</w:t>
            </w:r>
          </w:p>
        </w:tc>
        <w:tc>
          <w:tcPr>
            <w:tcW w:w="1965" w:type="dxa"/>
            <w:noWrap w:val="0"/>
            <w:vAlign w:val="top"/>
          </w:tcPr>
          <w:p>
            <w:pPr>
              <w:spacing w:before="240" w:after="240"/>
              <w:jc w:val="center"/>
              <w:rPr>
                <w:rFonts w:ascii="宋体" w:hAnsi="宋体"/>
                <w:sz w:val="24"/>
                <w:szCs w:val="24"/>
              </w:rPr>
            </w:pPr>
            <w:r>
              <w:rPr>
                <w:rFonts w:hint="eastAsia" w:ascii="宋体" w:hAnsi="宋体"/>
                <w:sz w:val="24"/>
                <w:szCs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bookmarkEnd w:id="201"/>
    </w:tbl>
    <w:p>
      <w:pPr>
        <w:pStyle w:val="20"/>
        <w:spacing w:line="360" w:lineRule="auto"/>
        <w:ind w:left="143" w:leftChars="68"/>
        <w:jc w:val="left"/>
        <w:rPr>
          <w:sz w:val="21"/>
          <w:szCs w:val="21"/>
        </w:rPr>
      </w:pPr>
      <w:r>
        <w:rPr>
          <w:rFonts w:hint="eastAsia"/>
          <w:sz w:val="24"/>
          <w:szCs w:val="24"/>
        </w:rPr>
        <w:t>注：供应商的投标文件（除技术规格部分）与招标文件之规定存在偏离的，应在此表中如实说明。未在上表中说明的，将被认为完全响应招标文件的规定。</w:t>
      </w:r>
    </w:p>
    <w:p>
      <w:pPr>
        <w:pStyle w:val="20"/>
        <w:spacing w:line="360" w:lineRule="auto"/>
        <w:ind w:left="702" w:firstLine="422" w:firstLineChars="200"/>
        <w:rPr>
          <w:sz w:val="21"/>
          <w:szCs w:val="21"/>
        </w:rPr>
      </w:pPr>
    </w:p>
    <w:p>
      <w:pPr>
        <w:snapToGrid w:val="0"/>
        <w:rPr>
          <w:rFonts w:ascii="宋体" w:hAnsi="宋体"/>
          <w:spacing w:val="20"/>
          <w:sz w:val="24"/>
          <w:u w:val="single"/>
        </w:rPr>
      </w:pPr>
      <w:r>
        <w:rPr>
          <w:rFonts w:hint="eastAsia" w:ascii="宋体" w:hAnsi="宋体"/>
          <w:sz w:val="24"/>
        </w:rPr>
        <w:t>被授权人签字（或盖章）</w:t>
      </w:r>
      <w:r>
        <w:rPr>
          <w:rFonts w:hint="eastAsia" w:ascii="宋体" w:hAnsi="宋体"/>
          <w:spacing w:val="20"/>
          <w:sz w:val="24"/>
        </w:rPr>
        <w:t>：</w:t>
      </w:r>
      <w:r>
        <w:rPr>
          <w:rFonts w:hint="eastAsia" w:ascii="宋体" w:hAnsi="宋体"/>
          <w:spacing w:val="20"/>
          <w:sz w:val="24"/>
          <w:u w:val="single"/>
        </w:rPr>
        <w:t xml:space="preserve">        </w:t>
      </w:r>
    </w:p>
    <w:p>
      <w:pPr>
        <w:snapToGrid w:val="0"/>
        <w:jc w:val="left"/>
        <w:rPr>
          <w:rFonts w:ascii="宋体" w:hAnsi="宋体"/>
          <w:sz w:val="24"/>
        </w:rPr>
      </w:pPr>
      <w:r>
        <w:rPr>
          <w:rFonts w:hint="eastAsia" w:ascii="宋体" w:hAnsi="宋体"/>
          <w:sz w:val="24"/>
        </w:rPr>
        <w:t>供应商公章：                                   年    月    日</w:t>
      </w:r>
    </w:p>
    <w:p>
      <w:pPr>
        <w:snapToGrid w:val="0"/>
        <w:jc w:val="left"/>
        <w:rPr>
          <w:rFonts w:ascii="宋体" w:hAnsi="宋体"/>
          <w:b/>
          <w:sz w:val="24"/>
        </w:rPr>
      </w:pPr>
      <w:r>
        <w:rPr>
          <w:rFonts w:hint="eastAsia" w:ascii="宋体" w:hAnsi="宋体"/>
          <w:szCs w:val="21"/>
        </w:rPr>
        <w:br w:type="page"/>
      </w:r>
      <w:r>
        <w:rPr>
          <w:rFonts w:ascii="宋体" w:hAnsi="宋体"/>
          <w:b/>
          <w:sz w:val="24"/>
        </w:rPr>
        <w:t>8</w:t>
      </w:r>
      <w:r>
        <w:rPr>
          <w:rFonts w:hint="eastAsia" w:ascii="宋体" w:hAnsi="宋体"/>
          <w:b/>
          <w:sz w:val="24"/>
        </w:rPr>
        <w:t>、投标产品详细清单（不含报价）</w:t>
      </w:r>
    </w:p>
    <w:p>
      <w:pPr>
        <w:snapToGrid w:val="0"/>
        <w:jc w:val="center"/>
        <w:rPr>
          <w:rFonts w:ascii="宋体" w:hAnsi="宋体"/>
          <w:b/>
          <w:bCs/>
          <w:sz w:val="28"/>
          <w:szCs w:val="28"/>
        </w:rPr>
      </w:pPr>
      <w:r>
        <w:rPr>
          <w:rFonts w:hint="eastAsia" w:ascii="宋体" w:hAnsi="宋体"/>
          <w:b/>
          <w:bCs/>
          <w:sz w:val="28"/>
          <w:szCs w:val="28"/>
        </w:rPr>
        <w:t>投标产品详细清单</w:t>
      </w:r>
    </w:p>
    <w:p>
      <w:pPr>
        <w:ind w:firstLine="420" w:firstLineChars="200"/>
        <w:rPr>
          <w:rFonts w:ascii="宋体" w:hAnsi="宋体"/>
          <w:szCs w:val="21"/>
        </w:rPr>
      </w:pPr>
      <w:r>
        <w:rPr>
          <w:rFonts w:hint="eastAsia" w:ascii="宋体" w:hAnsi="宋体"/>
          <w:szCs w:val="21"/>
        </w:rPr>
        <w:t>填表说明：详细列明所投项目主要设备清单，完整配置方案及技术指标，项目的核心产品必须明确所投品牌、规格型号及具体技术指标。任何含糊不清的表述对评标结果的影响将是供应商的责任，可附具体的介绍图文资料。★以下内容不得含有报价。</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801"/>
        <w:gridCol w:w="900"/>
        <w:gridCol w:w="1080"/>
        <w:gridCol w:w="1260"/>
        <w:gridCol w:w="1620"/>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801" w:type="dxa"/>
            <w:noWrap w:val="0"/>
            <w:vAlign w:val="center"/>
          </w:tcPr>
          <w:p>
            <w:pPr>
              <w:spacing w:after="60" w:afterLines="25" w:line="360" w:lineRule="exact"/>
              <w:jc w:val="center"/>
              <w:rPr>
                <w:rFonts w:ascii="宋体" w:hAnsi="宋体"/>
                <w:szCs w:val="21"/>
              </w:rPr>
            </w:pPr>
            <w:r>
              <w:rPr>
                <w:rFonts w:hint="eastAsia" w:ascii="宋体" w:hAnsi="宋体"/>
                <w:szCs w:val="21"/>
              </w:rPr>
              <w:t>设备名称</w:t>
            </w:r>
          </w:p>
        </w:tc>
        <w:tc>
          <w:tcPr>
            <w:tcW w:w="900" w:type="dxa"/>
            <w:noWrap w:val="0"/>
            <w:vAlign w:val="center"/>
          </w:tcPr>
          <w:p>
            <w:pPr>
              <w:spacing w:after="60" w:afterLines="25" w:line="360" w:lineRule="exact"/>
              <w:jc w:val="center"/>
              <w:rPr>
                <w:rFonts w:ascii="宋体" w:hAnsi="宋体"/>
                <w:szCs w:val="21"/>
              </w:rPr>
            </w:pPr>
            <w:r>
              <w:rPr>
                <w:rFonts w:hint="eastAsia" w:ascii="宋体" w:hAnsi="宋体"/>
                <w:szCs w:val="21"/>
              </w:rPr>
              <w:t>数量</w:t>
            </w:r>
          </w:p>
        </w:tc>
        <w:tc>
          <w:tcPr>
            <w:tcW w:w="1080" w:type="dxa"/>
            <w:noWrap w:val="0"/>
            <w:vAlign w:val="center"/>
          </w:tcPr>
          <w:p>
            <w:pPr>
              <w:spacing w:after="60" w:afterLines="25" w:line="360" w:lineRule="exact"/>
              <w:jc w:val="center"/>
              <w:rPr>
                <w:rFonts w:ascii="宋体" w:hAnsi="宋体"/>
                <w:szCs w:val="21"/>
              </w:rPr>
            </w:pPr>
            <w:r>
              <w:rPr>
                <w:rFonts w:hint="eastAsia" w:ascii="宋体" w:hAnsi="宋体"/>
                <w:szCs w:val="21"/>
              </w:rPr>
              <w:t>品牌</w:t>
            </w:r>
          </w:p>
        </w:tc>
        <w:tc>
          <w:tcPr>
            <w:tcW w:w="1260" w:type="dxa"/>
            <w:noWrap w:val="0"/>
            <w:vAlign w:val="center"/>
          </w:tcPr>
          <w:p>
            <w:pPr>
              <w:spacing w:after="60" w:afterLines="25" w:line="360" w:lineRule="exact"/>
              <w:jc w:val="center"/>
              <w:rPr>
                <w:rFonts w:ascii="宋体" w:hAnsi="宋体"/>
                <w:szCs w:val="21"/>
              </w:rPr>
            </w:pPr>
            <w:r>
              <w:rPr>
                <w:rFonts w:hint="eastAsia" w:ascii="宋体" w:hAnsi="宋体"/>
                <w:szCs w:val="21"/>
              </w:rPr>
              <w:t>规格型号</w:t>
            </w:r>
          </w:p>
        </w:tc>
        <w:tc>
          <w:tcPr>
            <w:tcW w:w="1620" w:type="dxa"/>
            <w:noWrap w:val="0"/>
            <w:vAlign w:val="center"/>
          </w:tcPr>
          <w:p>
            <w:pPr>
              <w:spacing w:after="60" w:afterLines="25" w:line="360" w:lineRule="exact"/>
              <w:jc w:val="center"/>
              <w:rPr>
                <w:rFonts w:ascii="宋体" w:hAnsi="宋体"/>
                <w:szCs w:val="21"/>
              </w:rPr>
            </w:pPr>
            <w:r>
              <w:rPr>
                <w:rFonts w:hint="eastAsia" w:ascii="宋体" w:hAnsi="宋体"/>
                <w:szCs w:val="21"/>
              </w:rPr>
              <w:t>性能及指标</w:t>
            </w:r>
          </w:p>
        </w:tc>
        <w:tc>
          <w:tcPr>
            <w:tcW w:w="1199" w:type="dxa"/>
            <w:noWrap w:val="0"/>
            <w:vAlign w:val="center"/>
          </w:tcPr>
          <w:p>
            <w:pPr>
              <w:spacing w:after="60" w:afterLines="25" w:line="360" w:lineRule="exact"/>
              <w:jc w:val="center"/>
              <w:rPr>
                <w:rFonts w:ascii="宋体" w:hAnsi="宋体"/>
                <w:szCs w:val="21"/>
              </w:rPr>
            </w:pPr>
            <w:r>
              <w:rPr>
                <w:rFonts w:hint="eastAsia" w:ascii="宋体" w:hAnsi="宋体"/>
                <w:szCs w:val="21"/>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1</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2</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3</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816" w:type="dxa"/>
            <w:noWrap w:val="0"/>
            <w:vAlign w:val="center"/>
          </w:tcPr>
          <w:p>
            <w:pPr>
              <w:spacing w:after="60" w:afterLines="25" w:line="360" w:lineRule="exact"/>
              <w:jc w:val="center"/>
              <w:rPr>
                <w:rFonts w:ascii="宋体" w:hAnsi="宋体"/>
                <w:szCs w:val="21"/>
              </w:rPr>
            </w:pPr>
            <w:r>
              <w:rPr>
                <w:rFonts w:ascii="宋体" w:hAnsi="宋体"/>
                <w:szCs w:val="21"/>
              </w:rPr>
              <w:t>…</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r>
              <w:rPr>
                <w:rFonts w:ascii="宋体" w:hAnsi="宋体"/>
                <w:szCs w:val="21"/>
              </w:rPr>
              <w:t>…</w:t>
            </w:r>
          </w:p>
        </w:tc>
      </w:tr>
    </w:tbl>
    <w:p>
      <w:pPr>
        <w:spacing w:before="120" w:beforeLines="50"/>
        <w:ind w:firstLine="420" w:firstLineChars="200"/>
        <w:rPr>
          <w:rFonts w:ascii="宋体" w:hAnsi="宋体"/>
          <w:szCs w:val="21"/>
        </w:rPr>
      </w:pPr>
      <w:r>
        <w:rPr>
          <w:rFonts w:hint="eastAsia" w:ascii="宋体" w:hAnsi="宋体"/>
          <w:szCs w:val="21"/>
        </w:rPr>
        <w:t>注：响应文件中必须明确主要设备的品牌、规格型号、性能指标等内容。</w:t>
      </w:r>
    </w:p>
    <w:p>
      <w:pPr>
        <w:snapToGrid w:val="0"/>
        <w:ind w:firstLine="420" w:firstLineChars="200"/>
        <w:jc w:val="left"/>
        <w:rPr>
          <w:rFonts w:ascii="宋体" w:hAnsi="宋体"/>
          <w:szCs w:val="21"/>
        </w:rPr>
      </w:pPr>
      <w:r>
        <w:rPr>
          <w:rFonts w:hint="eastAsia" w:ascii="宋体" w:hAnsi="宋体"/>
          <w:szCs w:val="21"/>
        </w:rPr>
        <w:t>供应商代表（签名）：                         供应商公章：</w:t>
      </w:r>
    </w:p>
    <w:p>
      <w:pPr>
        <w:snapToGrid w:val="0"/>
        <w:ind w:firstLine="420" w:firstLineChars="200"/>
        <w:jc w:val="left"/>
        <w:rPr>
          <w:rFonts w:ascii="宋体" w:hAnsi="宋体"/>
          <w:szCs w:val="21"/>
        </w:rPr>
      </w:pPr>
      <w:r>
        <w:rPr>
          <w:rFonts w:hint="eastAsia" w:ascii="宋体" w:hAnsi="宋体"/>
          <w:szCs w:val="21"/>
        </w:rPr>
        <w:t>日期：    年   月   日</w:t>
      </w:r>
    </w:p>
    <w:p>
      <w:pPr>
        <w:snapToGrid w:val="0"/>
        <w:jc w:val="left"/>
        <w:rPr>
          <w:rFonts w:ascii="宋体" w:hAnsi="宋体"/>
          <w:sz w:val="24"/>
        </w:rPr>
      </w:pPr>
      <w:r>
        <w:rPr>
          <w:rFonts w:hint="eastAsia" w:ascii="宋体" w:hAnsi="宋体"/>
          <w:b/>
          <w:bCs/>
          <w:sz w:val="24"/>
        </w:rPr>
        <w:t>技术响应表格式：</w:t>
      </w:r>
    </w:p>
    <w:p>
      <w:pPr>
        <w:pStyle w:val="236"/>
        <w:tabs>
          <w:tab w:val="clear" w:pos="1247"/>
        </w:tabs>
        <w:adjustRightInd w:val="0"/>
        <w:ind w:left="0"/>
        <w:jc w:val="center"/>
        <w:textAlignment w:val="baseline"/>
        <w:rPr>
          <w:rFonts w:ascii="宋体" w:hAnsi="宋体"/>
          <w:b/>
          <w:sz w:val="28"/>
          <w:szCs w:val="28"/>
        </w:rPr>
      </w:pPr>
      <w:r>
        <w:rPr>
          <w:rFonts w:hint="eastAsia" w:ascii="宋体" w:hAnsi="宋体"/>
          <w:b/>
          <w:sz w:val="28"/>
          <w:szCs w:val="28"/>
        </w:rPr>
        <w:t>技术响应表</w:t>
      </w:r>
    </w:p>
    <w:tbl>
      <w:tblPr>
        <w:tblStyle w:val="53"/>
        <w:tblW w:w="0" w:type="auto"/>
        <w:tblInd w:w="14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48"/>
        <w:gridCol w:w="1959"/>
        <w:gridCol w:w="1583"/>
        <w:gridCol w:w="2070"/>
        <w:gridCol w:w="157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15" w:hRule="atLeast"/>
        </w:trPr>
        <w:tc>
          <w:tcPr>
            <w:tcW w:w="3907" w:type="dxa"/>
            <w:gridSpan w:val="2"/>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02" w:name="_Toc402963095"/>
            <w:bookmarkStart w:id="203" w:name="_Toc377028057"/>
            <w:bookmarkStart w:id="204" w:name="_Toc401570314"/>
            <w:bookmarkStart w:id="205" w:name="_Toc382928118"/>
            <w:bookmarkStart w:id="206" w:name="_Toc385854156"/>
            <w:bookmarkStart w:id="207" w:name="_Toc377653976"/>
            <w:bookmarkStart w:id="208" w:name="_Toc382928236"/>
            <w:bookmarkStart w:id="209" w:name="_Toc377028119"/>
            <w:bookmarkStart w:id="210" w:name="_Toc381081903"/>
            <w:bookmarkStart w:id="211" w:name="_Toc385854110"/>
            <w:bookmarkStart w:id="212" w:name="_Toc406402957"/>
            <w:bookmarkStart w:id="213" w:name="_Toc406403001"/>
            <w:bookmarkStart w:id="214" w:name="_Toc401570290"/>
            <w:bookmarkStart w:id="215" w:name="_Toc402963128"/>
            <w:r>
              <w:rPr>
                <w:rFonts w:hint="eastAsia" w:ascii="宋体" w:hAnsi="宋体"/>
              </w:rPr>
              <w:t>招标文件要求</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tc>
        <w:tc>
          <w:tcPr>
            <w:tcW w:w="3653" w:type="dxa"/>
            <w:gridSpan w:val="2"/>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16" w:name="_Toc377028058"/>
            <w:bookmarkStart w:id="217" w:name="_Toc381081904"/>
            <w:bookmarkStart w:id="218" w:name="_Toc385854111"/>
            <w:bookmarkStart w:id="219" w:name="_Toc377028120"/>
            <w:bookmarkStart w:id="220" w:name="_Toc406403002"/>
            <w:bookmarkStart w:id="221" w:name="_Toc377653977"/>
            <w:bookmarkStart w:id="222" w:name="_Toc385854157"/>
            <w:bookmarkStart w:id="223" w:name="_Toc382928119"/>
            <w:bookmarkStart w:id="224" w:name="_Toc401570291"/>
            <w:bookmarkStart w:id="225" w:name="_Toc402963129"/>
            <w:bookmarkStart w:id="226" w:name="_Toc406402958"/>
            <w:bookmarkStart w:id="227" w:name="_Toc402963096"/>
            <w:bookmarkStart w:id="228" w:name="_Toc401570315"/>
            <w:bookmarkStart w:id="229" w:name="_Toc382928237"/>
            <w:r>
              <w:rPr>
                <w:rFonts w:hint="eastAsia" w:ascii="宋体" w:hAnsi="宋体"/>
              </w:rPr>
              <w:t>投标文件响应</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tc>
        <w:tc>
          <w:tcPr>
            <w:tcW w:w="1575"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30" w:name="_Toc406402959"/>
            <w:bookmarkStart w:id="231" w:name="_Toc381081905"/>
            <w:bookmarkStart w:id="232" w:name="_Toc406403003"/>
            <w:bookmarkStart w:id="233" w:name="_Toc401570316"/>
            <w:bookmarkStart w:id="234" w:name="_Toc385854112"/>
            <w:bookmarkStart w:id="235" w:name="_Toc377653978"/>
            <w:bookmarkStart w:id="236" w:name="_Toc377028059"/>
            <w:bookmarkStart w:id="237" w:name="_Toc382928238"/>
            <w:bookmarkStart w:id="238" w:name="_Toc382928120"/>
            <w:bookmarkStart w:id="239" w:name="_Toc402963130"/>
            <w:bookmarkStart w:id="240" w:name="_Toc377028121"/>
            <w:bookmarkStart w:id="241" w:name="_Toc402963097"/>
            <w:bookmarkStart w:id="242" w:name="_Toc385854158"/>
            <w:bookmarkStart w:id="243" w:name="_Toc401570292"/>
            <w:r>
              <w:rPr>
                <w:rFonts w:hint="eastAsia" w:ascii="宋体" w:hAnsi="宋体"/>
              </w:rPr>
              <w:t>偏离</w:t>
            </w:r>
          </w:p>
          <w:p>
            <w:pPr>
              <w:spacing w:line="320" w:lineRule="exact"/>
              <w:jc w:val="center"/>
              <w:rPr>
                <w:rFonts w:ascii="宋体" w:hAnsi="宋体"/>
              </w:rPr>
            </w:pPr>
            <w:r>
              <w:rPr>
                <w:rFonts w:hint="eastAsia" w:ascii="宋体" w:hAnsi="宋体"/>
              </w:rPr>
              <w:t>情况</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698"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44" w:name="_Toc401570317"/>
            <w:bookmarkStart w:id="245" w:name="_Toc382928239"/>
            <w:bookmarkStart w:id="246" w:name="_Toc401570293"/>
            <w:bookmarkStart w:id="247" w:name="_Toc385854159"/>
            <w:bookmarkStart w:id="248" w:name="_Toc381081906"/>
            <w:bookmarkStart w:id="249" w:name="_Toc377028060"/>
            <w:bookmarkStart w:id="250" w:name="_Toc377028122"/>
            <w:bookmarkStart w:id="251" w:name="_Toc402963131"/>
            <w:bookmarkStart w:id="252" w:name="_Toc377653979"/>
            <w:bookmarkStart w:id="253" w:name="_Toc402963098"/>
            <w:bookmarkStart w:id="254" w:name="_Toc406403004"/>
            <w:bookmarkStart w:id="255" w:name="_Toc406402960"/>
            <w:bookmarkStart w:id="256" w:name="_Toc385854113"/>
            <w:bookmarkStart w:id="257" w:name="_Toc382928121"/>
            <w:r>
              <w:rPr>
                <w:rFonts w:hint="eastAsia" w:ascii="宋体" w:hAnsi="宋体"/>
              </w:rPr>
              <w:t>项目</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58" w:name="_Toc377028123"/>
            <w:bookmarkStart w:id="259" w:name="_Toc385854160"/>
            <w:bookmarkStart w:id="260" w:name="_Toc385854114"/>
            <w:bookmarkStart w:id="261" w:name="_Toc382928122"/>
            <w:bookmarkStart w:id="262" w:name="_Toc401570294"/>
            <w:bookmarkStart w:id="263" w:name="_Toc382928240"/>
            <w:bookmarkStart w:id="264" w:name="_Toc377028061"/>
            <w:bookmarkStart w:id="265" w:name="_Toc377653980"/>
            <w:bookmarkStart w:id="266" w:name="_Toc401570318"/>
            <w:bookmarkStart w:id="267" w:name="_Toc402963132"/>
            <w:bookmarkStart w:id="268" w:name="_Toc402963099"/>
            <w:bookmarkStart w:id="269" w:name="_Toc381081907"/>
            <w:bookmarkStart w:id="270" w:name="_Toc406402961"/>
            <w:bookmarkStart w:id="271" w:name="_Toc406403005"/>
            <w:r>
              <w:rPr>
                <w:rFonts w:hint="eastAsia" w:ascii="宋体" w:hAnsi="宋体"/>
              </w:rPr>
              <w:t>要求</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72" w:name="_Toc385854161"/>
            <w:bookmarkStart w:id="273" w:name="_Toc401570295"/>
            <w:bookmarkStart w:id="274" w:name="_Toc381081908"/>
            <w:bookmarkStart w:id="275" w:name="_Toc401570319"/>
            <w:bookmarkStart w:id="276" w:name="_Toc406402962"/>
            <w:bookmarkStart w:id="277" w:name="_Toc382928123"/>
            <w:bookmarkStart w:id="278" w:name="_Toc377028062"/>
            <w:bookmarkStart w:id="279" w:name="_Toc377653981"/>
            <w:bookmarkStart w:id="280" w:name="_Toc402963100"/>
            <w:bookmarkStart w:id="281" w:name="_Toc382928241"/>
            <w:bookmarkStart w:id="282" w:name="_Toc402963133"/>
            <w:bookmarkStart w:id="283" w:name="_Toc377028124"/>
            <w:bookmarkStart w:id="284" w:name="_Toc406403006"/>
            <w:bookmarkStart w:id="285" w:name="_Toc385854115"/>
            <w:r>
              <w:rPr>
                <w:rFonts w:hint="eastAsia" w:ascii="宋体" w:hAnsi="宋体"/>
              </w:rPr>
              <w:t>设备名称</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86" w:name="_Toc381081909"/>
            <w:bookmarkStart w:id="287" w:name="_Toc382928242"/>
            <w:bookmarkStart w:id="288" w:name="_Toc406403007"/>
            <w:bookmarkStart w:id="289" w:name="_Toc377028063"/>
            <w:bookmarkStart w:id="290" w:name="_Toc382928124"/>
            <w:bookmarkStart w:id="291" w:name="_Toc401570296"/>
            <w:bookmarkStart w:id="292" w:name="_Toc385854116"/>
            <w:bookmarkStart w:id="293" w:name="_Toc401570320"/>
            <w:bookmarkStart w:id="294" w:name="_Toc406402963"/>
            <w:bookmarkStart w:id="295" w:name="_Toc377653982"/>
            <w:bookmarkStart w:id="296" w:name="_Toc385854162"/>
            <w:bookmarkStart w:id="297" w:name="_Toc377028125"/>
            <w:bookmarkStart w:id="298" w:name="_Toc402963101"/>
            <w:bookmarkStart w:id="299" w:name="_Toc402963134"/>
            <w:r>
              <w:rPr>
                <w:rFonts w:hint="eastAsia" w:ascii="宋体" w:hAnsi="宋体"/>
              </w:rPr>
              <w:t>性能及指标</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tc>
        <w:tc>
          <w:tcPr>
            <w:tcW w:w="157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r>
              <w:rPr>
                <w:rFonts w:ascii="宋体" w:hAnsi="宋体"/>
                <w:szCs w:val="21"/>
              </w:rPr>
              <w:t>…</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bl>
    <w:p>
      <w:pPr>
        <w:pStyle w:val="20"/>
        <w:spacing w:line="360" w:lineRule="auto"/>
        <w:ind w:firstLine="422" w:firstLineChars="200"/>
        <w:jc w:val="left"/>
        <w:rPr>
          <w:sz w:val="21"/>
          <w:szCs w:val="21"/>
        </w:rPr>
      </w:pPr>
      <w:r>
        <w:rPr>
          <w:rFonts w:hint="eastAsia"/>
          <w:sz w:val="21"/>
          <w:szCs w:val="21"/>
        </w:rPr>
        <w:t>注：1、供应商应根据投标产品的性能指标、对照招标文件要求在“偏离情况”栏注明“正偏离”、“负偏离”或“无偏离”。 未在上表中说明的，将被视为无偏离。</w:t>
      </w:r>
    </w:p>
    <w:p>
      <w:pPr>
        <w:pStyle w:val="20"/>
        <w:spacing w:line="360" w:lineRule="auto"/>
        <w:ind w:firstLine="422" w:firstLineChars="200"/>
        <w:jc w:val="left"/>
        <w:rPr>
          <w:rFonts w:hint="eastAsia"/>
          <w:sz w:val="21"/>
          <w:szCs w:val="21"/>
        </w:rPr>
      </w:pPr>
      <w:r>
        <w:rPr>
          <w:rFonts w:hint="eastAsia"/>
          <w:sz w:val="21"/>
          <w:szCs w:val="21"/>
        </w:rPr>
        <w:t>2、供应商需对上述偏离情况负责，不得虚假应标。</w:t>
      </w:r>
    </w:p>
    <w:p>
      <w:pPr>
        <w:snapToGrid w:val="0"/>
        <w:ind w:firstLine="420" w:firstLineChars="200"/>
        <w:rPr>
          <w:rFonts w:ascii="宋体" w:hAnsi="宋体"/>
          <w:spacing w:val="20"/>
          <w:szCs w:val="16"/>
          <w:u w:val="single"/>
        </w:rPr>
      </w:pPr>
      <w:r>
        <w:rPr>
          <w:rFonts w:hint="eastAsia" w:ascii="宋体" w:hAnsi="宋体"/>
          <w:szCs w:val="16"/>
        </w:rPr>
        <w:t>被授权人签字（或盖章）</w:t>
      </w:r>
      <w:r>
        <w:rPr>
          <w:rFonts w:hint="eastAsia" w:ascii="宋体" w:hAnsi="宋体"/>
          <w:spacing w:val="20"/>
          <w:szCs w:val="16"/>
        </w:rPr>
        <w:t>：</w:t>
      </w:r>
      <w:r>
        <w:rPr>
          <w:rFonts w:hint="eastAsia" w:ascii="宋体" w:hAnsi="宋体"/>
          <w:spacing w:val="20"/>
          <w:szCs w:val="16"/>
          <w:u w:val="single"/>
        </w:rPr>
        <w:t xml:space="preserve">        </w:t>
      </w:r>
    </w:p>
    <w:p>
      <w:pPr>
        <w:snapToGrid w:val="0"/>
        <w:ind w:firstLine="420" w:firstLineChars="200"/>
        <w:jc w:val="left"/>
        <w:rPr>
          <w:rFonts w:ascii="宋体" w:hAnsi="宋体"/>
          <w:szCs w:val="16"/>
        </w:rPr>
      </w:pPr>
      <w:r>
        <w:rPr>
          <w:rFonts w:hint="eastAsia" w:ascii="宋体" w:hAnsi="宋体"/>
          <w:szCs w:val="16"/>
        </w:rPr>
        <w:t>供应商公章：                                   年    月    日</w:t>
      </w:r>
    </w:p>
    <w:p>
      <w:pPr>
        <w:snapToGrid w:val="0"/>
        <w:jc w:val="left"/>
        <w:rPr>
          <w:rFonts w:ascii="宋体" w:hAnsi="宋体"/>
          <w:b/>
          <w:sz w:val="24"/>
        </w:rPr>
      </w:pPr>
      <w:r>
        <w:rPr>
          <w:rFonts w:ascii="宋体" w:hAnsi="宋体"/>
          <w:b/>
          <w:sz w:val="24"/>
        </w:rPr>
        <w:br w:type="page"/>
      </w:r>
      <w:r>
        <w:rPr>
          <w:rFonts w:ascii="宋体" w:hAnsi="宋体"/>
          <w:b/>
          <w:sz w:val="24"/>
        </w:rPr>
        <w:t>9</w:t>
      </w:r>
      <w:r>
        <w:rPr>
          <w:rFonts w:hint="eastAsia" w:ascii="宋体" w:hAnsi="宋体"/>
          <w:b/>
          <w:sz w:val="24"/>
        </w:rPr>
        <w:t>、项目实施人员</w:t>
      </w:r>
    </w:p>
    <w:p>
      <w:pPr>
        <w:pStyle w:val="236"/>
        <w:tabs>
          <w:tab w:val="clear" w:pos="1247"/>
        </w:tabs>
        <w:adjustRightInd w:val="0"/>
        <w:ind w:left="0"/>
        <w:jc w:val="center"/>
        <w:textAlignment w:val="baseline"/>
        <w:rPr>
          <w:rFonts w:ascii="宋体" w:hAnsi="宋体"/>
          <w:b/>
          <w:sz w:val="28"/>
          <w:szCs w:val="28"/>
          <w:lang w:eastAsia="zh-CN"/>
        </w:rPr>
      </w:pPr>
      <w:r>
        <w:rPr>
          <w:rFonts w:hint="eastAsia" w:ascii="宋体" w:hAnsi="宋体"/>
          <w:b/>
          <w:sz w:val="28"/>
          <w:szCs w:val="28"/>
          <w:lang w:eastAsia="zh-CN"/>
        </w:rPr>
        <w:t>项目实施人员一览表</w:t>
      </w:r>
    </w:p>
    <w:tbl>
      <w:tblPr>
        <w:tblStyle w:val="53"/>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20"/>
        <w:gridCol w:w="1342"/>
        <w:gridCol w:w="915"/>
        <w:gridCol w:w="928"/>
        <w:gridCol w:w="1134"/>
        <w:gridCol w:w="1134"/>
        <w:gridCol w:w="976"/>
        <w:gridCol w:w="172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851"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序号</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项目组所任职务</w:t>
            </w: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姓名</w:t>
            </w: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性别</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年龄</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学历</w:t>
            </w: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专业</w:t>
            </w: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从事本工作时间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1</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2</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3</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4</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5</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r>
              <w:rPr>
                <w:rFonts w:hint="eastAsia" w:ascii="宋体" w:hAnsi="宋体" w:cs="宋体"/>
                <w:sz w:val="21"/>
                <w:szCs w:val="21"/>
              </w:rPr>
              <w:t>6</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2"/>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bl>
    <w:p>
      <w:pPr>
        <w:rPr>
          <w:rFonts w:ascii="宋体" w:hAnsi="宋体"/>
          <w:b/>
          <w:szCs w:val="21"/>
        </w:rPr>
      </w:pPr>
      <w:r>
        <w:rPr>
          <w:rFonts w:hint="eastAsia" w:ascii="宋体" w:hAnsi="宋体"/>
          <w:b/>
          <w:szCs w:val="21"/>
        </w:rPr>
        <w:t>注：1、“项目实施人员”指供应商针对该项目实施所配备的人员。</w:t>
      </w:r>
    </w:p>
    <w:p>
      <w:pPr>
        <w:ind w:firstLine="422" w:firstLineChars="200"/>
        <w:rPr>
          <w:rFonts w:ascii="宋体" w:hAnsi="宋体"/>
          <w:b/>
          <w:szCs w:val="21"/>
        </w:rPr>
      </w:pPr>
      <w:r>
        <w:rPr>
          <w:rFonts w:hint="eastAsia" w:ascii="宋体" w:hAnsi="宋体"/>
          <w:b/>
          <w:szCs w:val="21"/>
        </w:rPr>
        <w:t>2、</w:t>
      </w:r>
      <w:r>
        <w:rPr>
          <w:rFonts w:hint="eastAsia" w:ascii="宋体" w:hAnsi="宋体" w:cs="宋体"/>
          <w:b/>
          <w:szCs w:val="21"/>
        </w:rPr>
        <w:t>后附</w:t>
      </w:r>
      <w:r>
        <w:rPr>
          <w:rFonts w:hint="eastAsia" w:ascii="宋体" w:hAnsi="宋体" w:cs="宋体"/>
          <w:b/>
        </w:rPr>
        <w:t>相关证明材料，所需的证明材料要求详见评标办法</w:t>
      </w:r>
      <w:r>
        <w:rPr>
          <w:rFonts w:hint="eastAsia" w:ascii="宋体" w:hAnsi="宋体" w:cs="宋体"/>
          <w:b/>
          <w:szCs w:val="21"/>
        </w:rPr>
        <w:t>。</w:t>
      </w:r>
    </w:p>
    <w:p>
      <w:pPr>
        <w:ind w:firstLine="422" w:firstLineChars="200"/>
        <w:rPr>
          <w:rFonts w:ascii="宋体" w:hAnsi="宋体"/>
          <w:b/>
          <w:szCs w:val="21"/>
        </w:rPr>
      </w:pPr>
      <w:r>
        <w:rPr>
          <w:rFonts w:hint="eastAsia" w:ascii="宋体" w:hAnsi="宋体"/>
          <w:b/>
          <w:szCs w:val="21"/>
        </w:rPr>
        <w:t>3、表格不够填写可添加。如本表格不适合供应商的实际情况，可自行制表填写。</w:t>
      </w:r>
    </w:p>
    <w:p>
      <w:pPr>
        <w:ind w:firstLine="422" w:firstLineChars="200"/>
        <w:rPr>
          <w:rFonts w:ascii="宋体" w:hAnsi="宋体"/>
          <w:b/>
          <w:szCs w:val="21"/>
        </w:rPr>
      </w:pPr>
    </w:p>
    <w:p>
      <w:pPr>
        <w:snapToGrid w:val="0"/>
        <w:rPr>
          <w:rFonts w:ascii="宋体" w:hAnsi="宋体"/>
          <w:spacing w:val="20"/>
          <w:szCs w:val="21"/>
          <w:u w:val="single"/>
        </w:rPr>
      </w:pPr>
      <w:r>
        <w:rPr>
          <w:rFonts w:hint="eastAsia" w:ascii="宋体" w:hAnsi="宋体"/>
          <w:szCs w:val="21"/>
        </w:rPr>
        <w:t>被授权人签字（或盖章）</w:t>
      </w:r>
      <w:r>
        <w:rPr>
          <w:rFonts w:hint="eastAsia" w:ascii="宋体" w:hAnsi="宋体"/>
          <w:spacing w:val="20"/>
          <w:szCs w:val="21"/>
        </w:rPr>
        <w:t>：</w:t>
      </w:r>
      <w:r>
        <w:rPr>
          <w:rFonts w:hint="eastAsia" w:ascii="宋体" w:hAnsi="宋体"/>
          <w:spacing w:val="20"/>
          <w:szCs w:val="21"/>
          <w:u w:val="single"/>
        </w:rPr>
        <w:t xml:space="preserve">        </w:t>
      </w:r>
    </w:p>
    <w:p>
      <w:pPr>
        <w:snapToGrid w:val="0"/>
        <w:rPr>
          <w:rFonts w:ascii="宋体" w:hAnsi="宋体"/>
          <w:szCs w:val="21"/>
        </w:rPr>
      </w:pPr>
      <w:r>
        <w:rPr>
          <w:rFonts w:hint="eastAsia" w:ascii="宋体" w:hAnsi="宋体"/>
          <w:szCs w:val="21"/>
        </w:rPr>
        <w:t>供应商公章：                                 年    月    日</w:t>
      </w:r>
    </w:p>
    <w:p>
      <w:pPr>
        <w:ind w:firstLine="420" w:firstLineChars="200"/>
        <w:rPr>
          <w:rFonts w:ascii="宋体" w:hAnsi="宋体"/>
        </w:rPr>
      </w:pPr>
    </w:p>
    <w:p>
      <w:pPr>
        <w:jc w:val="center"/>
        <w:rPr>
          <w:rFonts w:ascii="宋体" w:hAnsi="宋体"/>
          <w:b/>
        </w:rPr>
      </w:pPr>
      <w:r>
        <w:rPr>
          <w:rFonts w:hint="eastAsia" w:ascii="宋体" w:hAnsi="宋体"/>
        </w:rPr>
        <w:br w:type="page"/>
      </w:r>
      <w:r>
        <w:rPr>
          <w:rFonts w:hint="eastAsia" w:ascii="宋体" w:hAnsi="宋体"/>
          <w:b/>
          <w:sz w:val="28"/>
          <w:szCs w:val="28"/>
        </w:rPr>
        <w:t>项目负责人简历表</w:t>
      </w:r>
    </w:p>
    <w:p>
      <w:pPr>
        <w:jc w:val="center"/>
        <w:rPr>
          <w:rFonts w:ascii="宋体" w:hAnsi="宋体"/>
          <w:b/>
          <w:snapToGrid w:val="0"/>
        </w:rPr>
      </w:pPr>
    </w:p>
    <w:tbl>
      <w:tblPr>
        <w:tblStyle w:val="5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57" w:type="dxa"/>
          <w:left w:w="57" w:type="dxa"/>
          <w:bottom w:w="57" w:type="dxa"/>
          <w:right w:w="57" w:type="dxa"/>
        </w:tblCellMar>
      </w:tblPr>
      <w:tblGrid>
        <w:gridCol w:w="2018"/>
        <w:gridCol w:w="205"/>
        <w:gridCol w:w="1951"/>
        <w:gridCol w:w="730"/>
        <w:gridCol w:w="424"/>
        <w:gridCol w:w="296"/>
        <w:gridCol w:w="602"/>
        <w:gridCol w:w="118"/>
        <w:gridCol w:w="180"/>
        <w:gridCol w:w="616"/>
        <w:gridCol w:w="433"/>
        <w:gridCol w:w="31"/>
        <w:gridCol w:w="150"/>
        <w:gridCol w:w="11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743" w:hRule="atLeast"/>
          <w:jc w:val="center"/>
        </w:trPr>
        <w:tc>
          <w:tcPr>
            <w:tcW w:w="2018" w:type="dxa"/>
            <w:noWrap w:val="0"/>
            <w:vAlign w:val="center"/>
          </w:tcPr>
          <w:p>
            <w:pPr>
              <w:jc w:val="distribute"/>
              <w:rPr>
                <w:rFonts w:ascii="宋体" w:hAnsi="宋体"/>
              </w:rPr>
            </w:pPr>
            <w:r>
              <w:rPr>
                <w:rFonts w:hint="eastAsia" w:ascii="宋体" w:hAnsi="宋体"/>
              </w:rPr>
              <w:t>项目负责</w:t>
            </w:r>
          </w:p>
          <w:p>
            <w:pPr>
              <w:jc w:val="distribute"/>
              <w:rPr>
                <w:rFonts w:ascii="宋体" w:hAnsi="宋体"/>
              </w:rPr>
            </w:pPr>
            <w:r>
              <w:rPr>
                <w:rFonts w:hint="eastAsia" w:ascii="宋体" w:hAnsi="宋体"/>
              </w:rPr>
              <w:t>人姓名</w:t>
            </w:r>
          </w:p>
        </w:tc>
        <w:tc>
          <w:tcPr>
            <w:tcW w:w="2156" w:type="dxa"/>
            <w:gridSpan w:val="2"/>
            <w:noWrap w:val="0"/>
            <w:vAlign w:val="center"/>
          </w:tcPr>
          <w:p>
            <w:pPr>
              <w:jc w:val="center"/>
              <w:rPr>
                <w:rFonts w:ascii="宋体" w:hAnsi="宋体"/>
              </w:rPr>
            </w:pPr>
          </w:p>
        </w:tc>
        <w:tc>
          <w:tcPr>
            <w:tcW w:w="730" w:type="dxa"/>
            <w:noWrap w:val="0"/>
            <w:vAlign w:val="center"/>
          </w:tcPr>
          <w:p>
            <w:pPr>
              <w:jc w:val="center"/>
              <w:rPr>
                <w:rFonts w:ascii="宋体" w:hAnsi="宋体"/>
              </w:rPr>
            </w:pPr>
            <w:r>
              <w:rPr>
                <w:rFonts w:hint="eastAsia" w:ascii="宋体" w:hAnsi="宋体"/>
              </w:rPr>
              <w:t>性</w:t>
            </w:r>
          </w:p>
          <w:p>
            <w:pPr>
              <w:jc w:val="center"/>
              <w:rPr>
                <w:rFonts w:ascii="宋体" w:hAnsi="宋体"/>
              </w:rPr>
            </w:pPr>
            <w:r>
              <w:rPr>
                <w:rFonts w:hint="eastAsia" w:ascii="宋体" w:hAnsi="宋体"/>
              </w:rPr>
              <w:t>别</w:t>
            </w:r>
          </w:p>
        </w:tc>
        <w:tc>
          <w:tcPr>
            <w:tcW w:w="720" w:type="dxa"/>
            <w:gridSpan w:val="2"/>
            <w:noWrap w:val="0"/>
            <w:vAlign w:val="center"/>
          </w:tcPr>
          <w:p>
            <w:pPr>
              <w:jc w:val="center"/>
              <w:rPr>
                <w:rFonts w:ascii="宋体" w:hAnsi="宋体"/>
              </w:rPr>
            </w:pPr>
          </w:p>
        </w:tc>
        <w:tc>
          <w:tcPr>
            <w:tcW w:w="720" w:type="dxa"/>
            <w:gridSpan w:val="2"/>
            <w:noWrap w:val="0"/>
            <w:vAlign w:val="center"/>
          </w:tcPr>
          <w:p>
            <w:pPr>
              <w:jc w:val="center"/>
              <w:rPr>
                <w:rFonts w:ascii="宋体" w:hAnsi="宋体"/>
              </w:rPr>
            </w:pPr>
            <w:r>
              <w:rPr>
                <w:rFonts w:hint="eastAsia" w:ascii="宋体" w:hAnsi="宋体"/>
              </w:rPr>
              <w:t>年</w:t>
            </w:r>
          </w:p>
          <w:p>
            <w:pPr>
              <w:jc w:val="center"/>
              <w:rPr>
                <w:rFonts w:ascii="宋体" w:hAnsi="宋体"/>
              </w:rPr>
            </w:pPr>
            <w:r>
              <w:rPr>
                <w:rFonts w:hint="eastAsia" w:ascii="宋体" w:hAnsi="宋体"/>
              </w:rPr>
              <w:t>龄</w:t>
            </w:r>
          </w:p>
        </w:tc>
        <w:tc>
          <w:tcPr>
            <w:tcW w:w="796" w:type="dxa"/>
            <w:gridSpan w:val="2"/>
            <w:noWrap w:val="0"/>
            <w:vAlign w:val="center"/>
          </w:tcPr>
          <w:p>
            <w:pPr>
              <w:jc w:val="center"/>
              <w:rPr>
                <w:rFonts w:ascii="宋体" w:hAnsi="宋体"/>
              </w:rPr>
            </w:pPr>
          </w:p>
        </w:tc>
        <w:tc>
          <w:tcPr>
            <w:tcW w:w="614" w:type="dxa"/>
            <w:gridSpan w:val="3"/>
            <w:noWrap w:val="0"/>
            <w:vAlign w:val="center"/>
          </w:tcPr>
          <w:p>
            <w:pPr>
              <w:jc w:val="center"/>
              <w:rPr>
                <w:rFonts w:ascii="宋体" w:hAnsi="宋体"/>
              </w:rPr>
            </w:pPr>
            <w:r>
              <w:rPr>
                <w:rFonts w:hint="eastAsia" w:ascii="宋体" w:hAnsi="宋体"/>
              </w:rPr>
              <w:t>学</w:t>
            </w:r>
          </w:p>
          <w:p>
            <w:pPr>
              <w:jc w:val="center"/>
              <w:rPr>
                <w:rFonts w:ascii="宋体" w:hAnsi="宋体"/>
              </w:rPr>
            </w:pPr>
            <w:r>
              <w:rPr>
                <w:rFonts w:hint="eastAsia" w:ascii="宋体" w:hAnsi="宋体"/>
              </w:rPr>
              <w:t>历</w:t>
            </w:r>
          </w:p>
        </w:tc>
        <w:tc>
          <w:tcPr>
            <w:tcW w:w="1165" w:type="dxa"/>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90" w:hRule="atLeast"/>
          <w:jc w:val="center"/>
        </w:trPr>
        <w:tc>
          <w:tcPr>
            <w:tcW w:w="2018" w:type="dxa"/>
            <w:noWrap w:val="0"/>
            <w:vAlign w:val="center"/>
          </w:tcPr>
          <w:p>
            <w:pPr>
              <w:jc w:val="distribute"/>
              <w:rPr>
                <w:rFonts w:ascii="宋体" w:hAnsi="宋体"/>
              </w:rPr>
            </w:pPr>
            <w:r>
              <w:rPr>
                <w:rFonts w:hint="eastAsia" w:ascii="宋体" w:hAnsi="宋体"/>
              </w:rPr>
              <w:t>行政职务</w:t>
            </w:r>
          </w:p>
        </w:tc>
        <w:tc>
          <w:tcPr>
            <w:tcW w:w="2156" w:type="dxa"/>
            <w:gridSpan w:val="2"/>
            <w:noWrap w:val="0"/>
            <w:vAlign w:val="center"/>
          </w:tcPr>
          <w:p>
            <w:pPr>
              <w:jc w:val="center"/>
              <w:rPr>
                <w:rFonts w:ascii="宋体" w:hAnsi="宋体"/>
              </w:rPr>
            </w:pPr>
          </w:p>
        </w:tc>
        <w:tc>
          <w:tcPr>
            <w:tcW w:w="730" w:type="dxa"/>
            <w:noWrap w:val="0"/>
            <w:vAlign w:val="center"/>
          </w:tcPr>
          <w:p>
            <w:pPr>
              <w:jc w:val="center"/>
              <w:rPr>
                <w:rFonts w:ascii="宋体" w:hAnsi="宋体"/>
              </w:rPr>
            </w:pPr>
            <w:r>
              <w:rPr>
                <w:rFonts w:hint="eastAsia" w:ascii="宋体" w:hAnsi="宋体"/>
              </w:rPr>
              <w:t>专业职称</w:t>
            </w:r>
          </w:p>
        </w:tc>
        <w:tc>
          <w:tcPr>
            <w:tcW w:w="1322" w:type="dxa"/>
            <w:gridSpan w:val="3"/>
            <w:noWrap w:val="0"/>
            <w:vAlign w:val="center"/>
          </w:tcPr>
          <w:p>
            <w:pPr>
              <w:jc w:val="center"/>
              <w:rPr>
                <w:rFonts w:ascii="宋体" w:hAnsi="宋体"/>
              </w:rPr>
            </w:pPr>
          </w:p>
        </w:tc>
        <w:tc>
          <w:tcPr>
            <w:tcW w:w="1378" w:type="dxa"/>
            <w:gridSpan w:val="5"/>
            <w:noWrap w:val="0"/>
            <w:vAlign w:val="center"/>
          </w:tcPr>
          <w:p>
            <w:pPr>
              <w:jc w:val="center"/>
              <w:rPr>
                <w:rFonts w:ascii="宋体" w:hAnsi="宋体"/>
              </w:rPr>
            </w:pPr>
            <w:r>
              <w:rPr>
                <w:rFonts w:hint="eastAsia" w:ascii="宋体" w:hAnsi="宋体"/>
              </w:rPr>
              <w:t>专业年限</w:t>
            </w:r>
          </w:p>
        </w:tc>
        <w:tc>
          <w:tcPr>
            <w:tcW w:w="1315" w:type="dxa"/>
            <w:gridSpan w:val="2"/>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69" w:hRule="atLeast"/>
          <w:jc w:val="center"/>
        </w:trPr>
        <w:tc>
          <w:tcPr>
            <w:tcW w:w="2018" w:type="dxa"/>
            <w:noWrap w:val="0"/>
            <w:vAlign w:val="center"/>
          </w:tcPr>
          <w:p>
            <w:pPr>
              <w:jc w:val="center"/>
              <w:rPr>
                <w:rFonts w:ascii="宋体" w:hAnsi="宋体"/>
              </w:rPr>
            </w:pPr>
            <w:r>
              <w:rPr>
                <w:rFonts w:hint="eastAsia" w:ascii="宋体" w:hAnsi="宋体"/>
              </w:rPr>
              <w:t>工作单位</w:t>
            </w:r>
          </w:p>
        </w:tc>
        <w:tc>
          <w:tcPr>
            <w:tcW w:w="4208" w:type="dxa"/>
            <w:gridSpan w:val="6"/>
            <w:noWrap w:val="0"/>
            <w:vAlign w:val="center"/>
          </w:tcPr>
          <w:p>
            <w:pPr>
              <w:jc w:val="center"/>
              <w:rPr>
                <w:rFonts w:ascii="宋体" w:hAnsi="宋体"/>
              </w:rPr>
            </w:pPr>
          </w:p>
        </w:tc>
        <w:tc>
          <w:tcPr>
            <w:tcW w:w="1347" w:type="dxa"/>
            <w:gridSpan w:val="4"/>
            <w:noWrap w:val="0"/>
            <w:vAlign w:val="center"/>
          </w:tcPr>
          <w:p>
            <w:pPr>
              <w:jc w:val="center"/>
              <w:rPr>
                <w:rFonts w:ascii="宋体" w:hAnsi="宋体"/>
              </w:rPr>
            </w:pPr>
            <w:r>
              <w:rPr>
                <w:rFonts w:hint="eastAsia" w:ascii="宋体" w:hAnsi="宋体"/>
              </w:rPr>
              <w:t>电话</w:t>
            </w:r>
          </w:p>
        </w:tc>
        <w:tc>
          <w:tcPr>
            <w:tcW w:w="1346" w:type="dxa"/>
            <w:gridSpan w:val="3"/>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69" w:hRule="atLeast"/>
          <w:jc w:val="center"/>
        </w:trPr>
        <w:tc>
          <w:tcPr>
            <w:tcW w:w="2018" w:type="dxa"/>
            <w:noWrap w:val="0"/>
            <w:vAlign w:val="center"/>
          </w:tcPr>
          <w:p>
            <w:pPr>
              <w:jc w:val="distribute"/>
              <w:rPr>
                <w:rFonts w:ascii="宋体" w:hAnsi="宋体"/>
              </w:rPr>
            </w:pPr>
            <w:r>
              <w:rPr>
                <w:rFonts w:hint="eastAsia" w:ascii="宋体" w:hAnsi="宋体"/>
              </w:rPr>
              <w:t>通讯地址</w:t>
            </w:r>
          </w:p>
        </w:tc>
        <w:tc>
          <w:tcPr>
            <w:tcW w:w="4208" w:type="dxa"/>
            <w:gridSpan w:val="6"/>
            <w:noWrap w:val="0"/>
            <w:vAlign w:val="center"/>
          </w:tcPr>
          <w:p>
            <w:pPr>
              <w:jc w:val="center"/>
              <w:rPr>
                <w:rFonts w:ascii="宋体" w:hAnsi="宋体"/>
              </w:rPr>
            </w:pPr>
          </w:p>
        </w:tc>
        <w:tc>
          <w:tcPr>
            <w:tcW w:w="1347" w:type="dxa"/>
            <w:gridSpan w:val="4"/>
            <w:noWrap w:val="0"/>
            <w:vAlign w:val="center"/>
          </w:tcPr>
          <w:p>
            <w:pPr>
              <w:jc w:val="center"/>
              <w:rPr>
                <w:rFonts w:ascii="宋体" w:hAnsi="宋体"/>
              </w:rPr>
            </w:pPr>
            <w:r>
              <w:rPr>
                <w:rFonts w:hint="eastAsia" w:ascii="宋体" w:hAnsi="宋体"/>
              </w:rPr>
              <w:t>邮编</w:t>
            </w:r>
          </w:p>
        </w:tc>
        <w:tc>
          <w:tcPr>
            <w:tcW w:w="1346" w:type="dxa"/>
            <w:gridSpan w:val="3"/>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551" w:hRule="atLeast"/>
          <w:jc w:val="center"/>
        </w:trPr>
        <w:tc>
          <w:tcPr>
            <w:tcW w:w="8919" w:type="dxa"/>
            <w:gridSpan w:val="14"/>
            <w:noWrap w:val="0"/>
            <w:vAlign w:val="center"/>
          </w:tcPr>
          <w:p>
            <w:pPr>
              <w:jc w:val="center"/>
              <w:rPr>
                <w:rFonts w:ascii="宋体" w:hAnsi="宋体"/>
              </w:rPr>
            </w:pPr>
            <w:r>
              <w:rPr>
                <w:rFonts w:hint="eastAsia" w:ascii="宋体" w:hAnsi="宋体"/>
              </w:rPr>
              <w:t>类似项目工作经验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795" w:hRule="atLeast"/>
          <w:jc w:val="center"/>
        </w:trPr>
        <w:tc>
          <w:tcPr>
            <w:tcW w:w="2223" w:type="dxa"/>
            <w:gridSpan w:val="2"/>
            <w:noWrap w:val="0"/>
            <w:vAlign w:val="center"/>
          </w:tcPr>
          <w:p>
            <w:pPr>
              <w:jc w:val="center"/>
              <w:rPr>
                <w:rFonts w:ascii="宋体" w:hAnsi="宋体"/>
              </w:rPr>
            </w:pPr>
            <w:r>
              <w:rPr>
                <w:rFonts w:hint="eastAsia" w:ascii="宋体" w:hAnsi="宋体"/>
              </w:rPr>
              <w:t>时间</w:t>
            </w:r>
          </w:p>
        </w:tc>
        <w:tc>
          <w:tcPr>
            <w:tcW w:w="3105" w:type="dxa"/>
            <w:gridSpan w:val="3"/>
            <w:noWrap w:val="0"/>
            <w:vAlign w:val="center"/>
          </w:tcPr>
          <w:p>
            <w:pPr>
              <w:jc w:val="center"/>
              <w:rPr>
                <w:rFonts w:ascii="宋体" w:hAnsi="宋体"/>
              </w:rPr>
            </w:pPr>
            <w:r>
              <w:rPr>
                <w:rFonts w:hint="eastAsia" w:ascii="宋体" w:hAnsi="宋体"/>
              </w:rPr>
              <w:t>参加过的类似项目</w:t>
            </w:r>
          </w:p>
        </w:tc>
        <w:tc>
          <w:tcPr>
            <w:tcW w:w="1196" w:type="dxa"/>
            <w:gridSpan w:val="4"/>
            <w:noWrap w:val="0"/>
            <w:vAlign w:val="center"/>
          </w:tcPr>
          <w:p>
            <w:pPr>
              <w:jc w:val="center"/>
              <w:rPr>
                <w:rFonts w:ascii="宋体" w:hAnsi="宋体"/>
              </w:rPr>
            </w:pPr>
            <w:r>
              <w:rPr>
                <w:rFonts w:hint="eastAsia" w:ascii="宋体" w:hAnsi="宋体"/>
              </w:rPr>
              <w:t>担任职务</w:t>
            </w:r>
          </w:p>
        </w:tc>
        <w:tc>
          <w:tcPr>
            <w:tcW w:w="2395" w:type="dxa"/>
            <w:gridSpan w:val="5"/>
            <w:noWrap w:val="0"/>
            <w:vAlign w:val="center"/>
          </w:tcPr>
          <w:p>
            <w:pPr>
              <w:rPr>
                <w:rFonts w:ascii="宋体" w:hAnsi="宋体"/>
              </w:rPr>
            </w:pPr>
            <w:r>
              <w:rPr>
                <w:rFonts w:hint="eastAsia" w:ascii="宋体" w:hAnsi="宋体"/>
              </w:rPr>
              <w:t>发包人及联系电话</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639" w:hRule="atLeast"/>
          <w:jc w:val="center"/>
        </w:trPr>
        <w:tc>
          <w:tcPr>
            <w:tcW w:w="2223" w:type="dxa"/>
            <w:gridSpan w:val="2"/>
            <w:noWrap w:val="0"/>
            <w:vAlign w:val="center"/>
          </w:tcPr>
          <w:p>
            <w:pPr>
              <w:jc w:val="center"/>
              <w:rPr>
                <w:rFonts w:ascii="宋体" w:hAnsi="宋体"/>
              </w:rPr>
            </w:pPr>
          </w:p>
          <w:p>
            <w:pPr>
              <w:jc w:val="center"/>
              <w:rPr>
                <w:rFonts w:ascii="宋体" w:hAnsi="宋体"/>
              </w:rPr>
            </w:pPr>
          </w:p>
        </w:tc>
        <w:tc>
          <w:tcPr>
            <w:tcW w:w="3105" w:type="dxa"/>
            <w:gridSpan w:val="3"/>
            <w:noWrap w:val="0"/>
            <w:vAlign w:val="center"/>
          </w:tcPr>
          <w:p>
            <w:pPr>
              <w:jc w:val="center"/>
              <w:rPr>
                <w:rFonts w:ascii="宋体" w:hAnsi="宋体"/>
              </w:rPr>
            </w:pPr>
          </w:p>
        </w:tc>
        <w:tc>
          <w:tcPr>
            <w:tcW w:w="1196" w:type="dxa"/>
            <w:gridSpan w:val="4"/>
            <w:noWrap w:val="0"/>
            <w:vAlign w:val="center"/>
          </w:tcPr>
          <w:p>
            <w:pPr>
              <w:jc w:val="center"/>
              <w:rPr>
                <w:rFonts w:ascii="宋体" w:hAnsi="宋体"/>
              </w:rPr>
            </w:pPr>
          </w:p>
        </w:tc>
        <w:tc>
          <w:tcPr>
            <w:tcW w:w="2395" w:type="dxa"/>
            <w:gridSpan w:val="5"/>
            <w:noWrap w:val="0"/>
            <w:vAlign w:val="center"/>
          </w:tcPr>
          <w:p>
            <w:pPr>
              <w:jc w:val="center"/>
              <w:rPr>
                <w:rFonts w:ascii="宋体" w:hAnsi="宋体"/>
              </w:rPr>
            </w:pPr>
          </w:p>
        </w:tc>
      </w:tr>
    </w:tbl>
    <w:p>
      <w:pPr>
        <w:rPr>
          <w:rFonts w:ascii="宋体" w:hAnsi="宋体"/>
          <w:b/>
          <w:szCs w:val="21"/>
        </w:rPr>
      </w:pPr>
      <w:r>
        <w:rPr>
          <w:rFonts w:hint="eastAsia" w:ascii="宋体" w:hAnsi="宋体"/>
          <w:b/>
          <w:szCs w:val="21"/>
        </w:rPr>
        <w:t>注：后附</w:t>
      </w:r>
      <w:r>
        <w:rPr>
          <w:rFonts w:hint="eastAsia" w:ascii="宋体" w:hAnsi="宋体" w:cs="宋体"/>
          <w:b/>
        </w:rPr>
        <w:t>相关证明材料，所需的证明材料要求详见评标办法</w:t>
      </w:r>
      <w:r>
        <w:rPr>
          <w:rFonts w:hint="eastAsia" w:ascii="宋体" w:hAnsi="宋体" w:cs="宋体"/>
          <w:b/>
          <w:szCs w:val="21"/>
        </w:rPr>
        <w:t>。</w:t>
      </w:r>
    </w:p>
    <w:p>
      <w:pPr>
        <w:rPr>
          <w:rFonts w:hint="eastAsia" w:ascii="宋体" w:hAnsi="宋体"/>
          <w:b/>
          <w:sz w:val="24"/>
        </w:rPr>
      </w:pPr>
    </w:p>
    <w:p>
      <w:pPr>
        <w:rPr>
          <w:rFonts w:hint="eastAsia" w:ascii="宋体" w:hAnsi="宋体"/>
          <w:b/>
          <w:sz w:val="24"/>
        </w:rPr>
      </w:pPr>
    </w:p>
    <w:p>
      <w:pPr>
        <w:snapToGrid w:val="0"/>
        <w:rPr>
          <w:rFonts w:ascii="宋体" w:hAnsi="宋体"/>
          <w:spacing w:val="20"/>
          <w:szCs w:val="21"/>
          <w:u w:val="single"/>
        </w:rPr>
      </w:pPr>
      <w:r>
        <w:rPr>
          <w:rFonts w:hint="eastAsia" w:ascii="宋体" w:hAnsi="宋体"/>
          <w:szCs w:val="21"/>
        </w:rPr>
        <w:t>被授权人签字（或盖章）</w:t>
      </w:r>
      <w:r>
        <w:rPr>
          <w:rFonts w:hint="eastAsia" w:ascii="宋体" w:hAnsi="宋体"/>
          <w:spacing w:val="20"/>
          <w:szCs w:val="21"/>
        </w:rPr>
        <w:t>：</w:t>
      </w:r>
      <w:r>
        <w:rPr>
          <w:rFonts w:hint="eastAsia" w:ascii="宋体" w:hAnsi="宋体"/>
          <w:spacing w:val="20"/>
          <w:szCs w:val="21"/>
          <w:u w:val="single"/>
        </w:rPr>
        <w:t xml:space="preserve">        </w:t>
      </w:r>
    </w:p>
    <w:p>
      <w:pPr>
        <w:snapToGrid w:val="0"/>
        <w:rPr>
          <w:rFonts w:ascii="宋体" w:hAnsi="宋体"/>
          <w:szCs w:val="21"/>
        </w:rPr>
      </w:pPr>
      <w:r>
        <w:rPr>
          <w:rFonts w:hint="eastAsia" w:ascii="宋体" w:hAnsi="宋体"/>
          <w:szCs w:val="21"/>
        </w:rPr>
        <w:t>供应商公章：                                 年    月    日</w:t>
      </w:r>
    </w:p>
    <w:p>
      <w:pPr>
        <w:snapToGrid w:val="0"/>
        <w:jc w:val="left"/>
        <w:rPr>
          <w:rFonts w:ascii="宋体" w:hAnsi="宋体"/>
          <w:b/>
          <w:sz w:val="24"/>
        </w:rPr>
      </w:pPr>
      <w:r>
        <w:rPr>
          <w:rFonts w:ascii="宋体" w:hAnsi="宋体"/>
          <w:sz w:val="24"/>
        </w:rPr>
        <w:br w:type="page"/>
      </w:r>
      <w:r>
        <w:rPr>
          <w:rFonts w:ascii="宋体" w:hAnsi="宋体"/>
          <w:b/>
          <w:sz w:val="24"/>
        </w:rPr>
        <w:t>10</w:t>
      </w:r>
      <w:r>
        <w:rPr>
          <w:rFonts w:hint="eastAsia" w:ascii="宋体" w:hAnsi="宋体"/>
          <w:b/>
          <w:sz w:val="24"/>
        </w:rPr>
        <w:t>、投入本项目的设备一览表</w:t>
      </w:r>
    </w:p>
    <w:p>
      <w:pPr>
        <w:pStyle w:val="236"/>
        <w:tabs>
          <w:tab w:val="clear" w:pos="1247"/>
        </w:tabs>
        <w:adjustRightInd w:val="0"/>
        <w:ind w:left="0"/>
        <w:jc w:val="center"/>
        <w:textAlignment w:val="baseline"/>
        <w:rPr>
          <w:rFonts w:ascii="宋体" w:hAnsi="宋体"/>
          <w:b/>
          <w:sz w:val="28"/>
          <w:szCs w:val="28"/>
        </w:rPr>
      </w:pPr>
      <w:r>
        <w:rPr>
          <w:rFonts w:hint="eastAsia" w:ascii="宋体" w:hAnsi="宋体"/>
          <w:b/>
          <w:sz w:val="28"/>
          <w:szCs w:val="28"/>
        </w:rPr>
        <w:t>投入设备一览表</w:t>
      </w:r>
    </w:p>
    <w:tbl>
      <w:tblPr>
        <w:tblStyle w:val="5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2"/>
        <w:gridCol w:w="1816"/>
        <w:gridCol w:w="1211"/>
        <w:gridCol w:w="1342"/>
        <w:gridCol w:w="803"/>
        <w:gridCol w:w="912"/>
        <w:gridCol w:w="24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r>
              <w:rPr>
                <w:rFonts w:hint="eastAsia" w:hAnsi="宋体" w:eastAsia="宋体"/>
                <w:sz w:val="24"/>
                <w:szCs w:val="24"/>
              </w:rPr>
              <w:t>序号</w:t>
            </w:r>
          </w:p>
        </w:tc>
        <w:tc>
          <w:tcPr>
            <w:tcW w:w="1816" w:type="dxa"/>
            <w:noWrap w:val="0"/>
            <w:vAlign w:val="center"/>
          </w:tcPr>
          <w:p>
            <w:pPr>
              <w:pStyle w:val="648"/>
              <w:jc w:val="center"/>
              <w:rPr>
                <w:rFonts w:hAnsi="宋体" w:eastAsia="宋体"/>
                <w:sz w:val="24"/>
                <w:szCs w:val="24"/>
              </w:rPr>
            </w:pPr>
            <w:r>
              <w:rPr>
                <w:rFonts w:hint="eastAsia" w:hAnsi="宋体" w:eastAsia="宋体"/>
                <w:sz w:val="24"/>
                <w:szCs w:val="24"/>
              </w:rPr>
              <w:t>名称</w:t>
            </w:r>
          </w:p>
        </w:tc>
        <w:tc>
          <w:tcPr>
            <w:tcW w:w="1211" w:type="dxa"/>
            <w:noWrap w:val="0"/>
            <w:vAlign w:val="center"/>
          </w:tcPr>
          <w:p>
            <w:pPr>
              <w:pStyle w:val="648"/>
              <w:jc w:val="center"/>
              <w:rPr>
                <w:rFonts w:hAnsi="宋体" w:eastAsia="宋体"/>
                <w:sz w:val="24"/>
                <w:szCs w:val="24"/>
              </w:rPr>
            </w:pPr>
            <w:r>
              <w:rPr>
                <w:rFonts w:hint="eastAsia" w:hAnsi="宋体" w:eastAsia="宋体"/>
                <w:sz w:val="24"/>
                <w:szCs w:val="24"/>
              </w:rPr>
              <w:t>品牌</w:t>
            </w:r>
          </w:p>
        </w:tc>
        <w:tc>
          <w:tcPr>
            <w:tcW w:w="1342" w:type="dxa"/>
            <w:tcBorders>
              <w:bottom w:val="single" w:color="auto" w:sz="4" w:space="0"/>
            </w:tcBorders>
            <w:noWrap w:val="0"/>
            <w:vAlign w:val="center"/>
          </w:tcPr>
          <w:p>
            <w:pPr>
              <w:pStyle w:val="648"/>
              <w:jc w:val="center"/>
              <w:rPr>
                <w:rFonts w:hAnsi="宋体" w:eastAsia="宋体"/>
                <w:sz w:val="24"/>
                <w:szCs w:val="24"/>
              </w:rPr>
            </w:pPr>
            <w:r>
              <w:rPr>
                <w:rFonts w:hint="eastAsia" w:hAnsi="宋体" w:eastAsia="宋体"/>
                <w:sz w:val="24"/>
                <w:szCs w:val="24"/>
              </w:rPr>
              <w:t>型号、规格</w:t>
            </w:r>
          </w:p>
        </w:tc>
        <w:tc>
          <w:tcPr>
            <w:tcW w:w="803" w:type="dxa"/>
            <w:tcBorders>
              <w:right w:val="single" w:color="auto" w:sz="4" w:space="0"/>
            </w:tcBorders>
            <w:noWrap w:val="0"/>
            <w:vAlign w:val="center"/>
          </w:tcPr>
          <w:p>
            <w:pPr>
              <w:pStyle w:val="648"/>
              <w:jc w:val="center"/>
              <w:rPr>
                <w:rFonts w:hAnsi="宋体" w:eastAsia="宋体"/>
                <w:sz w:val="24"/>
                <w:szCs w:val="24"/>
              </w:rPr>
            </w:pPr>
            <w:r>
              <w:rPr>
                <w:rFonts w:hint="eastAsia" w:hAnsi="宋体" w:eastAsia="宋体"/>
                <w:sz w:val="24"/>
                <w:szCs w:val="24"/>
              </w:rPr>
              <w:t>单位</w:t>
            </w:r>
          </w:p>
        </w:tc>
        <w:tc>
          <w:tcPr>
            <w:tcW w:w="912" w:type="dxa"/>
            <w:tcBorders>
              <w:left w:val="single" w:color="auto" w:sz="4" w:space="0"/>
            </w:tcBorders>
            <w:noWrap w:val="0"/>
            <w:vAlign w:val="center"/>
          </w:tcPr>
          <w:p>
            <w:pPr>
              <w:pStyle w:val="648"/>
              <w:jc w:val="center"/>
              <w:rPr>
                <w:rFonts w:hAnsi="宋体" w:eastAsia="宋体"/>
                <w:sz w:val="24"/>
                <w:szCs w:val="24"/>
              </w:rPr>
            </w:pPr>
            <w:r>
              <w:rPr>
                <w:rFonts w:hint="eastAsia" w:hAnsi="宋体" w:eastAsia="宋体"/>
                <w:sz w:val="24"/>
                <w:szCs w:val="24"/>
              </w:rPr>
              <w:t>数量</w:t>
            </w:r>
          </w:p>
        </w:tc>
        <w:tc>
          <w:tcPr>
            <w:tcW w:w="2400" w:type="dxa"/>
            <w:noWrap w:val="0"/>
            <w:vAlign w:val="center"/>
          </w:tcPr>
          <w:p>
            <w:pPr>
              <w:pStyle w:val="648"/>
              <w:jc w:val="center"/>
              <w:rPr>
                <w:rFonts w:hAnsi="宋体" w:eastAsia="宋体"/>
                <w:sz w:val="24"/>
                <w:szCs w:val="24"/>
              </w:rPr>
            </w:pPr>
            <w:r>
              <w:rPr>
                <w:rFonts w:hint="eastAsia" w:hAnsi="宋体" w:eastAsia="宋体"/>
                <w:sz w:val="24"/>
                <w:szCs w:val="24"/>
              </w:rPr>
              <w:t>设备性质（自有/租赁）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p>
        </w:tc>
        <w:tc>
          <w:tcPr>
            <w:tcW w:w="1816" w:type="dxa"/>
            <w:noWrap w:val="0"/>
            <w:vAlign w:val="center"/>
          </w:tcPr>
          <w:p>
            <w:pPr>
              <w:pStyle w:val="648"/>
              <w:jc w:val="center"/>
              <w:rPr>
                <w:rFonts w:hAnsi="宋体" w:eastAsia="宋体"/>
                <w:sz w:val="24"/>
                <w:szCs w:val="24"/>
              </w:rPr>
            </w:pPr>
          </w:p>
        </w:tc>
        <w:tc>
          <w:tcPr>
            <w:tcW w:w="1211" w:type="dxa"/>
            <w:noWrap w:val="0"/>
            <w:vAlign w:val="top"/>
          </w:tcPr>
          <w:p>
            <w:pPr>
              <w:pStyle w:val="648"/>
              <w:jc w:val="center"/>
              <w:rPr>
                <w:rFonts w:hAnsi="宋体" w:eastAsia="宋体"/>
                <w:sz w:val="24"/>
                <w:szCs w:val="24"/>
              </w:rPr>
            </w:pPr>
          </w:p>
        </w:tc>
        <w:tc>
          <w:tcPr>
            <w:tcW w:w="1342" w:type="dxa"/>
            <w:tcBorders>
              <w:top w:val="single" w:color="auto" w:sz="4" w:space="0"/>
            </w:tcBorders>
            <w:noWrap w:val="0"/>
            <w:vAlign w:val="center"/>
          </w:tcPr>
          <w:p>
            <w:pPr>
              <w:pStyle w:val="648"/>
              <w:jc w:val="center"/>
              <w:rPr>
                <w:rFonts w:hAnsi="宋体" w:eastAsia="宋体"/>
                <w:sz w:val="24"/>
                <w:szCs w:val="24"/>
              </w:rPr>
            </w:pPr>
          </w:p>
        </w:tc>
        <w:tc>
          <w:tcPr>
            <w:tcW w:w="803" w:type="dxa"/>
            <w:tcBorders>
              <w:right w:val="single" w:color="auto" w:sz="4" w:space="0"/>
            </w:tcBorders>
            <w:noWrap w:val="0"/>
            <w:vAlign w:val="center"/>
          </w:tcPr>
          <w:p>
            <w:pPr>
              <w:pStyle w:val="648"/>
              <w:jc w:val="center"/>
              <w:rPr>
                <w:rFonts w:hAnsi="宋体" w:eastAsia="宋体"/>
                <w:sz w:val="24"/>
                <w:szCs w:val="24"/>
              </w:rPr>
            </w:pPr>
          </w:p>
        </w:tc>
        <w:tc>
          <w:tcPr>
            <w:tcW w:w="912" w:type="dxa"/>
            <w:tcBorders>
              <w:left w:val="single" w:color="auto" w:sz="4" w:space="0"/>
            </w:tcBorders>
            <w:noWrap w:val="0"/>
            <w:vAlign w:val="center"/>
          </w:tcPr>
          <w:p>
            <w:pPr>
              <w:pStyle w:val="648"/>
              <w:jc w:val="center"/>
              <w:rPr>
                <w:rFonts w:hAnsi="宋体" w:eastAsia="宋体"/>
                <w:sz w:val="24"/>
                <w:szCs w:val="24"/>
              </w:rPr>
            </w:pPr>
          </w:p>
        </w:tc>
        <w:tc>
          <w:tcPr>
            <w:tcW w:w="2400" w:type="dxa"/>
            <w:noWrap w:val="0"/>
            <w:vAlign w:val="center"/>
          </w:tcPr>
          <w:p>
            <w:pPr>
              <w:pStyle w:val="648"/>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p>
        </w:tc>
        <w:tc>
          <w:tcPr>
            <w:tcW w:w="1816" w:type="dxa"/>
            <w:noWrap w:val="0"/>
            <w:vAlign w:val="center"/>
          </w:tcPr>
          <w:p>
            <w:pPr>
              <w:pStyle w:val="648"/>
              <w:jc w:val="center"/>
              <w:rPr>
                <w:rFonts w:hAnsi="宋体" w:eastAsia="宋体"/>
                <w:sz w:val="24"/>
                <w:szCs w:val="24"/>
              </w:rPr>
            </w:pPr>
          </w:p>
        </w:tc>
        <w:tc>
          <w:tcPr>
            <w:tcW w:w="1211" w:type="dxa"/>
            <w:noWrap w:val="0"/>
            <w:vAlign w:val="top"/>
          </w:tcPr>
          <w:p>
            <w:pPr>
              <w:pStyle w:val="648"/>
              <w:jc w:val="center"/>
              <w:rPr>
                <w:rFonts w:hAnsi="宋体" w:eastAsia="宋体"/>
                <w:sz w:val="24"/>
                <w:szCs w:val="24"/>
              </w:rPr>
            </w:pPr>
          </w:p>
        </w:tc>
        <w:tc>
          <w:tcPr>
            <w:tcW w:w="1342" w:type="dxa"/>
            <w:noWrap w:val="0"/>
            <w:vAlign w:val="center"/>
          </w:tcPr>
          <w:p>
            <w:pPr>
              <w:pStyle w:val="648"/>
              <w:jc w:val="center"/>
              <w:rPr>
                <w:rFonts w:hAnsi="宋体" w:eastAsia="宋体"/>
                <w:sz w:val="24"/>
                <w:szCs w:val="24"/>
              </w:rPr>
            </w:pPr>
          </w:p>
        </w:tc>
        <w:tc>
          <w:tcPr>
            <w:tcW w:w="803" w:type="dxa"/>
            <w:tcBorders>
              <w:right w:val="single" w:color="auto" w:sz="4" w:space="0"/>
            </w:tcBorders>
            <w:noWrap w:val="0"/>
            <w:vAlign w:val="center"/>
          </w:tcPr>
          <w:p>
            <w:pPr>
              <w:pStyle w:val="648"/>
              <w:jc w:val="center"/>
              <w:rPr>
                <w:rFonts w:hAnsi="宋体" w:eastAsia="宋体"/>
                <w:sz w:val="24"/>
                <w:szCs w:val="24"/>
              </w:rPr>
            </w:pPr>
          </w:p>
        </w:tc>
        <w:tc>
          <w:tcPr>
            <w:tcW w:w="912" w:type="dxa"/>
            <w:tcBorders>
              <w:left w:val="single" w:color="auto" w:sz="4" w:space="0"/>
            </w:tcBorders>
            <w:noWrap w:val="0"/>
            <w:vAlign w:val="center"/>
          </w:tcPr>
          <w:p>
            <w:pPr>
              <w:pStyle w:val="648"/>
              <w:jc w:val="center"/>
              <w:rPr>
                <w:rFonts w:hAnsi="宋体" w:eastAsia="宋体"/>
                <w:sz w:val="24"/>
                <w:szCs w:val="24"/>
              </w:rPr>
            </w:pPr>
          </w:p>
        </w:tc>
        <w:tc>
          <w:tcPr>
            <w:tcW w:w="2400" w:type="dxa"/>
            <w:noWrap w:val="0"/>
            <w:vAlign w:val="center"/>
          </w:tcPr>
          <w:p>
            <w:pPr>
              <w:pStyle w:val="648"/>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p>
        </w:tc>
        <w:tc>
          <w:tcPr>
            <w:tcW w:w="1816" w:type="dxa"/>
            <w:noWrap w:val="0"/>
            <w:vAlign w:val="center"/>
          </w:tcPr>
          <w:p>
            <w:pPr>
              <w:pStyle w:val="648"/>
              <w:jc w:val="center"/>
              <w:rPr>
                <w:rFonts w:hAnsi="宋体" w:eastAsia="宋体"/>
                <w:sz w:val="24"/>
                <w:szCs w:val="24"/>
              </w:rPr>
            </w:pPr>
          </w:p>
        </w:tc>
        <w:tc>
          <w:tcPr>
            <w:tcW w:w="1211" w:type="dxa"/>
            <w:noWrap w:val="0"/>
            <w:vAlign w:val="top"/>
          </w:tcPr>
          <w:p>
            <w:pPr>
              <w:pStyle w:val="648"/>
              <w:jc w:val="center"/>
              <w:rPr>
                <w:rFonts w:hAnsi="宋体" w:eastAsia="宋体"/>
                <w:sz w:val="24"/>
                <w:szCs w:val="24"/>
              </w:rPr>
            </w:pPr>
          </w:p>
        </w:tc>
        <w:tc>
          <w:tcPr>
            <w:tcW w:w="1342" w:type="dxa"/>
            <w:noWrap w:val="0"/>
            <w:vAlign w:val="center"/>
          </w:tcPr>
          <w:p>
            <w:pPr>
              <w:pStyle w:val="648"/>
              <w:jc w:val="center"/>
              <w:rPr>
                <w:rFonts w:hAnsi="宋体" w:eastAsia="宋体"/>
                <w:sz w:val="24"/>
                <w:szCs w:val="24"/>
              </w:rPr>
            </w:pPr>
          </w:p>
        </w:tc>
        <w:tc>
          <w:tcPr>
            <w:tcW w:w="803" w:type="dxa"/>
            <w:tcBorders>
              <w:right w:val="single" w:color="auto" w:sz="4" w:space="0"/>
            </w:tcBorders>
            <w:noWrap w:val="0"/>
            <w:vAlign w:val="center"/>
          </w:tcPr>
          <w:p>
            <w:pPr>
              <w:pStyle w:val="648"/>
              <w:jc w:val="center"/>
              <w:rPr>
                <w:rFonts w:hAnsi="宋体" w:eastAsia="宋体"/>
                <w:sz w:val="24"/>
                <w:szCs w:val="24"/>
              </w:rPr>
            </w:pPr>
          </w:p>
        </w:tc>
        <w:tc>
          <w:tcPr>
            <w:tcW w:w="912" w:type="dxa"/>
            <w:tcBorders>
              <w:left w:val="single" w:color="auto" w:sz="4" w:space="0"/>
            </w:tcBorders>
            <w:noWrap w:val="0"/>
            <w:vAlign w:val="center"/>
          </w:tcPr>
          <w:p>
            <w:pPr>
              <w:pStyle w:val="648"/>
              <w:jc w:val="center"/>
              <w:rPr>
                <w:rFonts w:hAnsi="宋体" w:eastAsia="宋体"/>
                <w:sz w:val="24"/>
                <w:szCs w:val="24"/>
              </w:rPr>
            </w:pPr>
          </w:p>
        </w:tc>
        <w:tc>
          <w:tcPr>
            <w:tcW w:w="2400" w:type="dxa"/>
            <w:noWrap w:val="0"/>
            <w:vAlign w:val="center"/>
          </w:tcPr>
          <w:p>
            <w:pPr>
              <w:pStyle w:val="648"/>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p>
        </w:tc>
        <w:tc>
          <w:tcPr>
            <w:tcW w:w="1816" w:type="dxa"/>
            <w:noWrap w:val="0"/>
            <w:vAlign w:val="center"/>
          </w:tcPr>
          <w:p>
            <w:pPr>
              <w:pStyle w:val="648"/>
              <w:jc w:val="center"/>
              <w:rPr>
                <w:rFonts w:hAnsi="宋体" w:eastAsia="宋体"/>
                <w:sz w:val="24"/>
                <w:szCs w:val="24"/>
              </w:rPr>
            </w:pPr>
          </w:p>
        </w:tc>
        <w:tc>
          <w:tcPr>
            <w:tcW w:w="1211" w:type="dxa"/>
            <w:noWrap w:val="0"/>
            <w:vAlign w:val="top"/>
          </w:tcPr>
          <w:p>
            <w:pPr>
              <w:pStyle w:val="648"/>
              <w:jc w:val="center"/>
              <w:rPr>
                <w:rFonts w:hAnsi="宋体" w:eastAsia="宋体"/>
                <w:sz w:val="24"/>
                <w:szCs w:val="24"/>
              </w:rPr>
            </w:pPr>
          </w:p>
        </w:tc>
        <w:tc>
          <w:tcPr>
            <w:tcW w:w="1342" w:type="dxa"/>
            <w:noWrap w:val="0"/>
            <w:vAlign w:val="center"/>
          </w:tcPr>
          <w:p>
            <w:pPr>
              <w:pStyle w:val="648"/>
              <w:jc w:val="center"/>
              <w:rPr>
                <w:rFonts w:hAnsi="宋体" w:eastAsia="宋体"/>
                <w:sz w:val="24"/>
                <w:szCs w:val="24"/>
              </w:rPr>
            </w:pPr>
          </w:p>
        </w:tc>
        <w:tc>
          <w:tcPr>
            <w:tcW w:w="803" w:type="dxa"/>
            <w:tcBorders>
              <w:right w:val="single" w:color="auto" w:sz="4" w:space="0"/>
            </w:tcBorders>
            <w:noWrap w:val="0"/>
            <w:vAlign w:val="center"/>
          </w:tcPr>
          <w:p>
            <w:pPr>
              <w:pStyle w:val="648"/>
              <w:jc w:val="center"/>
              <w:rPr>
                <w:rFonts w:hAnsi="宋体" w:eastAsia="宋体"/>
                <w:sz w:val="24"/>
                <w:szCs w:val="24"/>
              </w:rPr>
            </w:pPr>
          </w:p>
        </w:tc>
        <w:tc>
          <w:tcPr>
            <w:tcW w:w="912" w:type="dxa"/>
            <w:tcBorders>
              <w:left w:val="single" w:color="auto" w:sz="4" w:space="0"/>
            </w:tcBorders>
            <w:noWrap w:val="0"/>
            <w:vAlign w:val="center"/>
          </w:tcPr>
          <w:p>
            <w:pPr>
              <w:pStyle w:val="648"/>
              <w:jc w:val="center"/>
              <w:rPr>
                <w:rFonts w:hAnsi="宋体" w:eastAsia="宋体"/>
                <w:sz w:val="24"/>
                <w:szCs w:val="24"/>
              </w:rPr>
            </w:pPr>
          </w:p>
        </w:tc>
        <w:tc>
          <w:tcPr>
            <w:tcW w:w="2400" w:type="dxa"/>
            <w:noWrap w:val="0"/>
            <w:vAlign w:val="center"/>
          </w:tcPr>
          <w:p>
            <w:pPr>
              <w:pStyle w:val="648"/>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48"/>
              <w:jc w:val="center"/>
              <w:rPr>
                <w:rFonts w:hAnsi="宋体" w:eastAsia="宋体"/>
                <w:sz w:val="24"/>
                <w:szCs w:val="24"/>
              </w:rPr>
            </w:pPr>
          </w:p>
        </w:tc>
        <w:tc>
          <w:tcPr>
            <w:tcW w:w="1816" w:type="dxa"/>
            <w:noWrap w:val="0"/>
            <w:vAlign w:val="center"/>
          </w:tcPr>
          <w:p>
            <w:pPr>
              <w:pStyle w:val="648"/>
              <w:jc w:val="center"/>
              <w:rPr>
                <w:rFonts w:hAnsi="宋体" w:eastAsia="宋体"/>
                <w:sz w:val="24"/>
                <w:szCs w:val="24"/>
              </w:rPr>
            </w:pPr>
          </w:p>
        </w:tc>
        <w:tc>
          <w:tcPr>
            <w:tcW w:w="1211" w:type="dxa"/>
            <w:noWrap w:val="0"/>
            <w:vAlign w:val="top"/>
          </w:tcPr>
          <w:p>
            <w:pPr>
              <w:pStyle w:val="648"/>
              <w:jc w:val="center"/>
              <w:rPr>
                <w:rFonts w:hAnsi="宋体" w:eastAsia="宋体"/>
                <w:sz w:val="24"/>
                <w:szCs w:val="24"/>
              </w:rPr>
            </w:pPr>
          </w:p>
        </w:tc>
        <w:tc>
          <w:tcPr>
            <w:tcW w:w="1342" w:type="dxa"/>
            <w:noWrap w:val="0"/>
            <w:vAlign w:val="center"/>
          </w:tcPr>
          <w:p>
            <w:pPr>
              <w:pStyle w:val="648"/>
              <w:jc w:val="center"/>
              <w:rPr>
                <w:rFonts w:hAnsi="宋体" w:eastAsia="宋体"/>
                <w:sz w:val="24"/>
                <w:szCs w:val="24"/>
              </w:rPr>
            </w:pPr>
          </w:p>
        </w:tc>
        <w:tc>
          <w:tcPr>
            <w:tcW w:w="803" w:type="dxa"/>
            <w:tcBorders>
              <w:right w:val="single" w:color="auto" w:sz="4" w:space="0"/>
            </w:tcBorders>
            <w:noWrap w:val="0"/>
            <w:vAlign w:val="center"/>
          </w:tcPr>
          <w:p>
            <w:pPr>
              <w:pStyle w:val="648"/>
              <w:jc w:val="center"/>
              <w:rPr>
                <w:rFonts w:hAnsi="宋体" w:eastAsia="宋体"/>
                <w:sz w:val="24"/>
                <w:szCs w:val="24"/>
              </w:rPr>
            </w:pPr>
          </w:p>
        </w:tc>
        <w:tc>
          <w:tcPr>
            <w:tcW w:w="912" w:type="dxa"/>
            <w:tcBorders>
              <w:left w:val="single" w:color="auto" w:sz="4" w:space="0"/>
            </w:tcBorders>
            <w:noWrap w:val="0"/>
            <w:vAlign w:val="center"/>
          </w:tcPr>
          <w:p>
            <w:pPr>
              <w:pStyle w:val="648"/>
              <w:jc w:val="center"/>
              <w:rPr>
                <w:rFonts w:hAnsi="宋体" w:eastAsia="宋体"/>
                <w:sz w:val="24"/>
                <w:szCs w:val="24"/>
              </w:rPr>
            </w:pPr>
          </w:p>
        </w:tc>
        <w:tc>
          <w:tcPr>
            <w:tcW w:w="2400" w:type="dxa"/>
            <w:noWrap w:val="0"/>
            <w:vAlign w:val="center"/>
          </w:tcPr>
          <w:p>
            <w:pPr>
              <w:pStyle w:val="648"/>
              <w:jc w:val="center"/>
              <w:rPr>
                <w:rFonts w:hAnsi="宋体" w:eastAsia="宋体"/>
                <w:sz w:val="24"/>
                <w:szCs w:val="24"/>
              </w:rPr>
            </w:pPr>
          </w:p>
        </w:tc>
      </w:tr>
    </w:tbl>
    <w:p>
      <w:pPr>
        <w:rPr>
          <w:rFonts w:hint="eastAsia" w:ascii="宋体" w:hAnsi="宋体" w:cs="宋体"/>
          <w:b/>
          <w:szCs w:val="21"/>
        </w:rPr>
      </w:pPr>
      <w:r>
        <w:rPr>
          <w:rFonts w:hint="eastAsia" w:ascii="宋体" w:hAnsi="宋体" w:cs="宋体"/>
          <w:b/>
          <w:szCs w:val="21"/>
        </w:rPr>
        <w:t>注：后附</w:t>
      </w:r>
      <w:r>
        <w:rPr>
          <w:rFonts w:hint="eastAsia" w:ascii="宋体" w:hAnsi="宋体" w:cs="宋体"/>
          <w:b/>
        </w:rPr>
        <w:t>相关证明材料，所需的证明材料要求详见评标办法</w:t>
      </w:r>
      <w:r>
        <w:rPr>
          <w:rFonts w:hint="eastAsia" w:ascii="宋体" w:hAnsi="宋体" w:cs="宋体"/>
          <w:b/>
          <w:szCs w:val="21"/>
        </w:rPr>
        <w:t>。</w:t>
      </w:r>
    </w:p>
    <w:p>
      <w:pPr>
        <w:snapToGrid w:val="0"/>
        <w:spacing w:before="120" w:beforeLines="5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rPr>
          <w:rFonts w:hint="eastAsia" w:ascii="宋体" w:hAnsi="宋体"/>
          <w:sz w:val="24"/>
          <w:szCs w:val="24"/>
        </w:rPr>
      </w:pPr>
    </w:p>
    <w:p>
      <w:pPr>
        <w:rPr>
          <w:rFonts w:hint="eastAsia" w:ascii="宋体" w:hAnsi="宋体"/>
        </w:rPr>
      </w:pPr>
    </w:p>
    <w:p>
      <w:pPr>
        <w:snapToGrid w:val="0"/>
        <w:jc w:val="left"/>
        <w:rPr>
          <w:rFonts w:ascii="宋体" w:hAnsi="宋体"/>
          <w:b/>
          <w:sz w:val="24"/>
        </w:rPr>
      </w:pPr>
      <w:r>
        <w:rPr>
          <w:rFonts w:hint="eastAsia" w:ascii="宋体" w:hAnsi="宋体"/>
          <w:b/>
          <w:sz w:val="24"/>
        </w:rPr>
        <w:t>1</w:t>
      </w:r>
      <w:r>
        <w:rPr>
          <w:rFonts w:ascii="宋体" w:hAnsi="宋体"/>
          <w:b/>
          <w:sz w:val="24"/>
        </w:rPr>
        <w:t>1</w:t>
      </w:r>
      <w:r>
        <w:rPr>
          <w:rFonts w:hint="eastAsia" w:ascii="宋体" w:hAnsi="宋体"/>
          <w:b/>
          <w:sz w:val="24"/>
        </w:rPr>
        <w:t>、选配件、专用耗材、售后服务优惠表（没有可不填）</w:t>
      </w:r>
    </w:p>
    <w:p>
      <w:pPr>
        <w:pStyle w:val="236"/>
        <w:tabs>
          <w:tab w:val="clear" w:pos="1247"/>
        </w:tabs>
        <w:adjustRightInd w:val="0"/>
        <w:ind w:left="0"/>
        <w:jc w:val="center"/>
        <w:textAlignment w:val="baseline"/>
        <w:rPr>
          <w:rFonts w:ascii="宋体" w:hAnsi="宋体"/>
          <w:b/>
          <w:sz w:val="28"/>
          <w:szCs w:val="28"/>
          <w:lang w:eastAsia="zh-CN"/>
        </w:rPr>
      </w:pPr>
      <w:r>
        <w:rPr>
          <w:rFonts w:hint="eastAsia" w:ascii="宋体" w:hAnsi="宋体"/>
          <w:b/>
          <w:sz w:val="28"/>
          <w:szCs w:val="28"/>
          <w:lang w:eastAsia="zh-CN"/>
        </w:rPr>
        <w:t>选配件、专用耗材、售后服务优惠表</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118"/>
        <w:gridCol w:w="1984"/>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5" w:hRule="atLeast"/>
        </w:trPr>
        <w:tc>
          <w:tcPr>
            <w:tcW w:w="1101"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序号</w:t>
            </w:r>
          </w:p>
        </w:tc>
        <w:tc>
          <w:tcPr>
            <w:tcW w:w="3118"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优惠内容</w:t>
            </w:r>
          </w:p>
        </w:tc>
        <w:tc>
          <w:tcPr>
            <w:tcW w:w="1984"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单价</w:t>
            </w:r>
          </w:p>
        </w:tc>
        <w:tc>
          <w:tcPr>
            <w:tcW w:w="2835"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比投标报价优惠率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1"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r>
              <w:rPr>
                <w:rFonts w:hint="eastAsia" w:ascii="宋体" w:hAnsi="宋体"/>
                <w:spacing w:val="20"/>
                <w:sz w:val="24"/>
                <w:szCs w:val="24"/>
                <w:u w:val="single"/>
              </w:rPr>
              <w:t xml:space="preserve"> </w:t>
            </w:r>
            <w:r>
              <w:rPr>
                <w:rFonts w:ascii="宋体" w:hAnsi="宋体"/>
                <w:spacing w:val="20"/>
                <w:sz w:val="24"/>
                <w:szCs w:val="24"/>
                <w:u w:val="single"/>
              </w:rPr>
              <w:t xml:space="preserve">     </w:t>
            </w:r>
            <w:r>
              <w:rPr>
                <w:rFonts w:hint="eastAsia" w:ascii="宋体" w:hAnsi="宋体"/>
                <w:spacing w:val="20"/>
                <w:sz w:val="24"/>
                <w:szCs w:val="24"/>
                <w:u w:val="single"/>
              </w:rPr>
              <w:t xml:space="preserve">   </w:t>
            </w:r>
            <w:r>
              <w:rPr>
                <w:rFonts w:hint="eastAsia"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5"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0"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72"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bl>
    <w:p>
      <w:pPr>
        <w:snapToGrid w:val="0"/>
        <w:spacing w:before="120" w:beforeLines="5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snapToGrid w:val="0"/>
        <w:jc w:val="left"/>
        <w:rPr>
          <w:rFonts w:ascii="宋体" w:hAnsi="宋体"/>
          <w:b/>
          <w:kern w:val="0"/>
          <w:sz w:val="24"/>
          <w:szCs w:val="24"/>
        </w:rPr>
      </w:pPr>
      <w:r>
        <w:rPr>
          <w:rFonts w:ascii="宋体" w:hAnsi="宋体"/>
          <w:sz w:val="24"/>
          <w:szCs w:val="24"/>
        </w:rPr>
        <w:br w:type="page"/>
      </w:r>
      <w:r>
        <w:rPr>
          <w:rFonts w:ascii="宋体" w:hAnsi="宋体"/>
          <w:b/>
          <w:kern w:val="0"/>
          <w:sz w:val="24"/>
          <w:szCs w:val="24"/>
        </w:rPr>
        <w:t>12</w:t>
      </w:r>
      <w:r>
        <w:rPr>
          <w:rFonts w:hint="eastAsia" w:ascii="宋体" w:hAnsi="宋体"/>
          <w:b/>
          <w:kern w:val="0"/>
          <w:sz w:val="24"/>
          <w:szCs w:val="24"/>
        </w:rPr>
        <w:t>、投标函格式：</w:t>
      </w:r>
    </w:p>
    <w:p>
      <w:pPr>
        <w:adjustRightInd w:val="0"/>
        <w:jc w:val="center"/>
        <w:rPr>
          <w:rFonts w:ascii="宋体" w:hAnsi="宋体"/>
          <w:b/>
          <w:sz w:val="28"/>
          <w:szCs w:val="28"/>
        </w:rPr>
      </w:pPr>
      <w:r>
        <w:rPr>
          <w:rFonts w:hint="eastAsia" w:ascii="宋体" w:hAnsi="宋体"/>
          <w:b/>
          <w:sz w:val="30"/>
          <w:szCs w:val="30"/>
        </w:rPr>
        <w:t>投标函</w:t>
      </w:r>
    </w:p>
    <w:p>
      <w:pPr>
        <w:adjustRightInd w:val="0"/>
        <w:jc w:val="center"/>
        <w:rPr>
          <w:rFonts w:ascii="宋体" w:hAnsi="宋体"/>
          <w:b/>
          <w:sz w:val="28"/>
          <w:szCs w:val="28"/>
        </w:rPr>
      </w:pPr>
    </w:p>
    <w:p>
      <w:pPr>
        <w:snapToGrid w:val="0"/>
        <w:rPr>
          <w:rFonts w:ascii="宋体" w:hAnsi="宋体"/>
          <w:sz w:val="24"/>
          <w:szCs w:val="24"/>
        </w:rPr>
      </w:pPr>
      <w:r>
        <w:rPr>
          <w:rFonts w:hint="eastAsia" w:ascii="宋体" w:hAnsi="宋体"/>
          <w:sz w:val="24"/>
          <w:szCs w:val="24"/>
        </w:rPr>
        <w:t>致：</w:t>
      </w:r>
      <w:r>
        <w:rPr>
          <w:rFonts w:hint="eastAsia" w:ascii="宋体" w:hAnsi="宋体"/>
          <w:sz w:val="24"/>
          <w:szCs w:val="24"/>
          <w:u w:val="single"/>
        </w:rPr>
        <w:t xml:space="preserve">                </w:t>
      </w:r>
      <w:r>
        <w:rPr>
          <w:rFonts w:hint="eastAsia" w:ascii="宋体" w:hAnsi="宋体"/>
          <w:sz w:val="24"/>
          <w:szCs w:val="24"/>
        </w:rPr>
        <w:t>（采购单位名称）：</w:t>
      </w:r>
    </w:p>
    <w:p>
      <w:pPr>
        <w:snapToGrid w:val="0"/>
        <w:rPr>
          <w:rFonts w:ascii="宋体" w:hAnsi="宋体"/>
          <w:sz w:val="24"/>
          <w:szCs w:val="24"/>
        </w:rPr>
      </w:pPr>
      <w:r>
        <w:rPr>
          <w:rFonts w:hint="eastAsia" w:ascii="宋体" w:hAnsi="宋体"/>
          <w:sz w:val="24"/>
          <w:szCs w:val="24"/>
        </w:rPr>
        <w:t xml:space="preserve">  根据贵方</w:t>
      </w:r>
      <w:r>
        <w:rPr>
          <w:rFonts w:hint="eastAsia" w:ascii="宋体" w:hAnsi="宋体"/>
          <w:sz w:val="24"/>
          <w:szCs w:val="24"/>
          <w:u w:val="single"/>
        </w:rPr>
        <w:t xml:space="preserve">                     </w:t>
      </w:r>
      <w:r>
        <w:rPr>
          <w:rFonts w:hint="eastAsia" w:ascii="宋体" w:hAnsi="宋体"/>
          <w:sz w:val="24"/>
          <w:szCs w:val="24"/>
        </w:rPr>
        <w:t>项目的招标公告（项目编号：</w:t>
      </w:r>
      <w:r>
        <w:rPr>
          <w:rFonts w:hint="eastAsia" w:ascii="宋体" w:hAnsi="宋体"/>
          <w:sz w:val="24"/>
          <w:szCs w:val="24"/>
          <w:u w:val="single"/>
        </w:rPr>
        <w:t xml:space="preserve">            </w:t>
      </w:r>
      <w:r>
        <w:rPr>
          <w:rFonts w:hint="eastAsia" w:ascii="宋体" w:hAnsi="宋体"/>
          <w:sz w:val="24"/>
          <w:szCs w:val="24"/>
        </w:rPr>
        <w:t>），经仔细阅读并研究，我方决定参加投标。签字代表</w:t>
      </w:r>
      <w:r>
        <w:rPr>
          <w:rFonts w:hint="eastAsia" w:ascii="宋体" w:hAnsi="宋体"/>
          <w:sz w:val="24"/>
          <w:szCs w:val="24"/>
          <w:u w:val="single"/>
        </w:rPr>
        <w:t xml:space="preserve">            </w:t>
      </w:r>
      <w:r>
        <w:rPr>
          <w:rFonts w:hint="eastAsia" w:ascii="宋体" w:hAnsi="宋体"/>
          <w:sz w:val="24"/>
          <w:szCs w:val="24"/>
        </w:rPr>
        <w:t>（全名）经正式授权并代表投标人</w:t>
      </w:r>
      <w:r>
        <w:rPr>
          <w:rFonts w:hint="eastAsia" w:ascii="宋体" w:hAnsi="宋体"/>
          <w:sz w:val="24"/>
          <w:szCs w:val="24"/>
          <w:u w:val="single"/>
        </w:rPr>
        <w:t xml:space="preserve">               </w:t>
      </w:r>
      <w:r>
        <w:rPr>
          <w:rFonts w:hint="eastAsia" w:ascii="宋体" w:hAnsi="宋体"/>
          <w:sz w:val="24"/>
          <w:szCs w:val="24"/>
        </w:rPr>
        <w:t>（投标人名称）提交资格文件、商务技术文件、报价文件的电子投标文件各一份。</w:t>
      </w:r>
    </w:p>
    <w:p>
      <w:pPr>
        <w:snapToGrid w:val="0"/>
        <w:ind w:firstLine="480" w:firstLineChars="200"/>
        <w:rPr>
          <w:rFonts w:ascii="宋体" w:hAnsi="宋体"/>
          <w:sz w:val="24"/>
          <w:szCs w:val="24"/>
        </w:rPr>
      </w:pPr>
      <w:r>
        <w:rPr>
          <w:rFonts w:hint="eastAsia" w:ascii="宋体" w:hAnsi="宋体"/>
          <w:sz w:val="24"/>
          <w:szCs w:val="24"/>
        </w:rPr>
        <w:t>据此函，签字代表宣布同意如下：</w:t>
      </w:r>
    </w:p>
    <w:p>
      <w:pPr>
        <w:pStyle w:val="21"/>
        <w:ind w:right="-91" w:firstLine="460" w:firstLineChars="192"/>
        <w:rPr>
          <w:rFonts w:ascii="宋体" w:hAnsi="宋体"/>
          <w:sz w:val="24"/>
        </w:rPr>
      </w:pPr>
      <w:r>
        <w:rPr>
          <w:rFonts w:hint="eastAsia" w:ascii="宋体" w:hAnsi="宋体"/>
          <w:sz w:val="24"/>
        </w:rPr>
        <w:t>1、我方已详细审查了采购文件的全部内容及其相关补充文件</w:t>
      </w:r>
      <w:r>
        <w:rPr>
          <w:rFonts w:hint="eastAsia" w:ascii="宋体" w:hAnsi="宋体"/>
          <w:b/>
          <w:sz w:val="24"/>
        </w:rPr>
        <w:t>（若有）</w:t>
      </w:r>
      <w:r>
        <w:rPr>
          <w:rFonts w:hint="eastAsia" w:ascii="宋体" w:hAnsi="宋体"/>
          <w:sz w:val="24"/>
        </w:rPr>
        <w:t>，并完全清晰理解全部内容及相关的补充文件</w:t>
      </w:r>
      <w:r>
        <w:rPr>
          <w:rFonts w:hint="eastAsia" w:ascii="宋体" w:hAnsi="宋体"/>
          <w:b/>
          <w:sz w:val="24"/>
        </w:rPr>
        <w:t>（若有）</w:t>
      </w:r>
      <w:r>
        <w:rPr>
          <w:rFonts w:hint="eastAsia" w:ascii="宋体" w:hAnsi="宋体"/>
          <w:sz w:val="24"/>
        </w:rPr>
        <w:t>，不存在任何误解之处，同意放弃提出异议和质疑的权利。</w:t>
      </w:r>
    </w:p>
    <w:p>
      <w:pPr>
        <w:ind w:right="-89" w:firstLine="464" w:firstLineChars="200"/>
        <w:jc w:val="left"/>
        <w:rPr>
          <w:rFonts w:ascii="宋体" w:hAnsi="宋体"/>
          <w:spacing w:val="-4"/>
          <w:sz w:val="24"/>
          <w:szCs w:val="24"/>
        </w:rPr>
      </w:pPr>
      <w:r>
        <w:rPr>
          <w:rFonts w:hint="eastAsia" w:ascii="宋体" w:hAnsi="宋体"/>
          <w:spacing w:val="-4"/>
          <w:sz w:val="24"/>
          <w:szCs w:val="24"/>
        </w:rPr>
        <w:t>2、我方遵守《中华人民共和国政府采购法》及相关法律法规的规定。同意采购文件中所提到的无效标条款，并服从有关开标现场的会议纪律。否则，同意被废除投标资格。</w:t>
      </w:r>
    </w:p>
    <w:p>
      <w:pPr>
        <w:ind w:firstLine="464" w:firstLineChars="200"/>
        <w:rPr>
          <w:rFonts w:ascii="宋体" w:hAnsi="宋体"/>
          <w:spacing w:val="-4"/>
          <w:sz w:val="24"/>
          <w:szCs w:val="24"/>
        </w:rPr>
      </w:pPr>
      <w:r>
        <w:rPr>
          <w:rFonts w:hint="eastAsia" w:ascii="宋体" w:hAnsi="宋体"/>
          <w:spacing w:val="-4"/>
          <w:sz w:val="24"/>
          <w:szCs w:val="24"/>
        </w:rPr>
        <w:t>3、我方承诺所提供的一切投标文件经已认真严格审核，内容均为全面真实、准确有效且毫无保留，绝无任何遗漏、虚假、伪造和夸大的成份，若出现违背诚实信用和无如实告知之处，同意被废除投标资格和相关的处罚。</w:t>
      </w:r>
    </w:p>
    <w:p>
      <w:pPr>
        <w:ind w:firstLine="464" w:firstLineChars="200"/>
        <w:rPr>
          <w:rFonts w:ascii="宋体" w:hAnsi="宋体"/>
          <w:spacing w:val="-4"/>
          <w:sz w:val="24"/>
          <w:szCs w:val="24"/>
        </w:rPr>
      </w:pPr>
      <w:r>
        <w:rPr>
          <w:rFonts w:hint="eastAsia" w:ascii="宋体" w:hAnsi="宋体"/>
          <w:spacing w:val="-4"/>
          <w:sz w:val="24"/>
          <w:szCs w:val="24"/>
        </w:rPr>
        <w:t>4、我方所提供的一次性投标产品报价均具充分的合理性和准确性，保证不存在低于成本的恶意报价行为，同时清楚理解到报价最低并非意味着必定获得合同授予资格。</w:t>
      </w:r>
    </w:p>
    <w:p>
      <w:pPr>
        <w:ind w:firstLine="464" w:firstLineChars="200"/>
        <w:rPr>
          <w:rFonts w:ascii="宋体" w:hAnsi="宋体"/>
          <w:spacing w:val="-4"/>
          <w:sz w:val="24"/>
          <w:szCs w:val="24"/>
        </w:rPr>
      </w:pPr>
      <w:r>
        <w:rPr>
          <w:rFonts w:hint="eastAsia" w:ascii="宋体" w:hAnsi="宋体"/>
          <w:spacing w:val="-4"/>
          <w:sz w:val="24"/>
          <w:szCs w:val="24"/>
        </w:rPr>
        <w:t>5、投标有效期为自开标之日起</w:t>
      </w:r>
      <w:r>
        <w:rPr>
          <w:rFonts w:hint="eastAsia" w:ascii="宋体" w:hAnsi="宋体"/>
          <w:spacing w:val="-4"/>
          <w:sz w:val="24"/>
          <w:szCs w:val="24"/>
          <w:u w:val="single"/>
        </w:rPr>
        <w:t>90</w:t>
      </w:r>
      <w:r>
        <w:rPr>
          <w:rFonts w:hint="eastAsia" w:ascii="宋体" w:hAnsi="宋体"/>
          <w:spacing w:val="-4"/>
          <w:sz w:val="24"/>
          <w:szCs w:val="24"/>
        </w:rPr>
        <w:t>天内，如在投标有效期内撤回投标，我方同意被废除投标资格。</w:t>
      </w:r>
    </w:p>
    <w:p>
      <w:pPr>
        <w:ind w:firstLine="464" w:firstLineChars="200"/>
        <w:rPr>
          <w:rFonts w:ascii="宋体" w:hAnsi="宋体"/>
          <w:sz w:val="24"/>
          <w:szCs w:val="24"/>
        </w:rPr>
      </w:pPr>
      <w:r>
        <w:rPr>
          <w:rFonts w:hint="eastAsia" w:ascii="宋体" w:hAnsi="宋体"/>
          <w:spacing w:val="-4"/>
          <w:sz w:val="24"/>
          <w:szCs w:val="24"/>
        </w:rPr>
        <w:t>6、</w:t>
      </w:r>
      <w:r>
        <w:rPr>
          <w:rFonts w:hint="eastAsia" w:ascii="宋体" w:hAnsi="宋体"/>
          <w:sz w:val="24"/>
          <w:szCs w:val="24"/>
        </w:rPr>
        <w:t>若我方中标，则直至合同履行完毕为止，本投标文件有效。</w:t>
      </w:r>
    </w:p>
    <w:p>
      <w:pPr>
        <w:snapToGrid w:val="0"/>
        <w:ind w:firstLine="480" w:firstLineChars="200"/>
        <w:rPr>
          <w:rFonts w:ascii="宋体" w:hAnsi="宋体"/>
          <w:sz w:val="24"/>
          <w:szCs w:val="24"/>
        </w:rPr>
      </w:pPr>
      <w:r>
        <w:rPr>
          <w:rFonts w:hint="eastAsia" w:ascii="宋体" w:hAnsi="宋体"/>
          <w:sz w:val="24"/>
          <w:szCs w:val="24"/>
        </w:rPr>
        <w:t>7、与本投标有关的一切正式往来信函请寄：</w:t>
      </w:r>
    </w:p>
    <w:p>
      <w:pPr>
        <w:snapToGrid w:val="0"/>
        <w:rPr>
          <w:rFonts w:ascii="宋体" w:hAnsi="宋体"/>
          <w:sz w:val="24"/>
        </w:rPr>
      </w:pPr>
      <w:r>
        <w:rPr>
          <w:rFonts w:hint="eastAsia" w:ascii="宋体" w:hAnsi="宋体"/>
          <w:sz w:val="24"/>
        </w:rPr>
        <w:t>地址：</w:t>
      </w:r>
      <w:r>
        <w:rPr>
          <w:rFonts w:hint="eastAsia" w:ascii="宋体" w:hAnsi="宋体"/>
          <w:sz w:val="24"/>
          <w:u w:val="single"/>
        </w:rPr>
        <w:t xml:space="preserve">                       </w:t>
      </w:r>
      <w:r>
        <w:rPr>
          <w:rFonts w:hint="eastAsia" w:ascii="宋体" w:hAnsi="宋体"/>
          <w:sz w:val="24"/>
        </w:rPr>
        <w:t>邮编：__________   电话：______________</w:t>
      </w:r>
    </w:p>
    <w:p>
      <w:pPr>
        <w:snapToGrid w:val="0"/>
        <w:rPr>
          <w:rFonts w:ascii="宋体" w:hAnsi="宋体"/>
          <w:sz w:val="24"/>
        </w:rPr>
      </w:pPr>
      <w:r>
        <w:rPr>
          <w:rFonts w:hint="eastAsia" w:ascii="宋体" w:hAnsi="宋体"/>
          <w:sz w:val="24"/>
        </w:rPr>
        <w:t>传真：______________投标人代表姓名： ___________  职务：</w:t>
      </w:r>
      <w:r>
        <w:rPr>
          <w:rFonts w:hint="eastAsia" w:ascii="宋体" w:hAnsi="宋体"/>
          <w:sz w:val="24"/>
          <w:u w:val="single"/>
        </w:rPr>
        <w:t xml:space="preserve">              </w:t>
      </w:r>
    </w:p>
    <w:p>
      <w:pPr>
        <w:snapToGrid w:val="0"/>
        <w:rPr>
          <w:rFonts w:ascii="宋体" w:hAnsi="宋体"/>
          <w:sz w:val="24"/>
        </w:rPr>
      </w:pPr>
      <w:r>
        <w:rPr>
          <w:rFonts w:hint="eastAsia" w:ascii="宋体" w:hAnsi="宋体"/>
          <w:sz w:val="24"/>
        </w:rPr>
        <w:t>投标人名称(公章)：___________________</w:t>
      </w:r>
    </w:p>
    <w:p>
      <w:pPr>
        <w:snapToGrid w:val="0"/>
        <w:rPr>
          <w:rFonts w:ascii="宋体" w:hAnsi="宋体"/>
          <w:sz w:val="24"/>
        </w:rPr>
      </w:pPr>
      <w:r>
        <w:rPr>
          <w:rFonts w:hint="eastAsia" w:ascii="宋体" w:hAnsi="宋体"/>
          <w:sz w:val="24"/>
        </w:rPr>
        <w:t>开户银行：</w:t>
      </w:r>
      <w:r>
        <w:rPr>
          <w:rFonts w:hint="eastAsia" w:ascii="宋体" w:hAnsi="宋体"/>
          <w:sz w:val="24"/>
          <w:u w:val="single"/>
        </w:rPr>
        <w:t xml:space="preserve">                      </w:t>
      </w:r>
      <w:r>
        <w:rPr>
          <w:rFonts w:hint="eastAsia" w:ascii="宋体" w:hAnsi="宋体"/>
          <w:sz w:val="24"/>
        </w:rPr>
        <w:t xml:space="preserve">   银行帐号：</w:t>
      </w:r>
      <w:r>
        <w:rPr>
          <w:rFonts w:hint="eastAsia" w:ascii="宋体" w:hAnsi="宋体"/>
          <w:sz w:val="24"/>
          <w:u w:val="single"/>
        </w:rPr>
        <w:t xml:space="preserve">                    </w:t>
      </w:r>
      <w:r>
        <w:rPr>
          <w:rFonts w:hint="eastAsia" w:ascii="宋体" w:hAnsi="宋体"/>
          <w:sz w:val="24"/>
        </w:rPr>
        <w:t xml:space="preserve"> </w:t>
      </w:r>
    </w:p>
    <w:p>
      <w:pPr>
        <w:snapToGrid w:val="0"/>
        <w:rPr>
          <w:rFonts w:ascii="宋体" w:hAnsi="宋体"/>
          <w:sz w:val="24"/>
        </w:rPr>
      </w:pPr>
      <w:r>
        <w:rPr>
          <w:rFonts w:hint="eastAsia" w:ascii="宋体" w:hAnsi="宋体"/>
          <w:sz w:val="24"/>
        </w:rPr>
        <w:t>法定代表人签字：___________                      日期：_____年___月___日</w:t>
      </w:r>
    </w:p>
    <w:p>
      <w:pPr>
        <w:snapToGrid w:val="0"/>
        <w:jc w:val="left"/>
        <w:rPr>
          <w:rFonts w:ascii="宋体" w:hAnsi="宋体"/>
          <w:b/>
          <w:sz w:val="24"/>
        </w:rPr>
      </w:pPr>
      <w:bookmarkStart w:id="300" w:name="_Toc45506741"/>
      <w:bookmarkStart w:id="301" w:name="_Toc15805947"/>
      <w:bookmarkStart w:id="302" w:name="_Toc15813264"/>
      <w:bookmarkStart w:id="303" w:name="_Toc47756042"/>
      <w:r>
        <w:rPr>
          <w:rFonts w:hint="eastAsia" w:ascii="宋体" w:hAnsi="宋体"/>
          <w:sz w:val="24"/>
        </w:rPr>
        <w:br w:type="page"/>
      </w:r>
      <w:bookmarkEnd w:id="300"/>
      <w:bookmarkEnd w:id="301"/>
      <w:bookmarkEnd w:id="302"/>
      <w:bookmarkEnd w:id="303"/>
      <w:r>
        <w:rPr>
          <w:rFonts w:ascii="宋体" w:hAnsi="宋体"/>
          <w:b/>
          <w:sz w:val="24"/>
        </w:rPr>
        <w:t>13</w:t>
      </w:r>
      <w:r>
        <w:rPr>
          <w:rFonts w:hint="eastAsia" w:ascii="宋体" w:hAnsi="宋体"/>
          <w:b/>
          <w:sz w:val="24"/>
        </w:rPr>
        <w:t>、开标一览表格式</w:t>
      </w:r>
    </w:p>
    <w:p>
      <w:pPr>
        <w:jc w:val="center"/>
        <w:rPr>
          <w:rFonts w:ascii="宋体" w:hAnsi="宋体"/>
          <w:b/>
          <w:sz w:val="30"/>
          <w:szCs w:val="30"/>
        </w:rPr>
      </w:pPr>
      <w:r>
        <w:rPr>
          <w:rFonts w:hint="eastAsia" w:ascii="宋体" w:hAnsi="宋体"/>
          <w:b/>
          <w:sz w:val="30"/>
          <w:szCs w:val="30"/>
        </w:rPr>
        <w:t>开标一览表</w:t>
      </w:r>
    </w:p>
    <w:p>
      <w:pPr>
        <w:jc w:val="center"/>
        <w:rPr>
          <w:rFonts w:ascii="宋体" w:hAnsi="宋体"/>
          <w:b/>
          <w:sz w:val="30"/>
          <w:szCs w:val="30"/>
        </w:rPr>
      </w:pPr>
    </w:p>
    <w:p>
      <w:pPr>
        <w:rPr>
          <w:rFonts w:ascii="宋体" w:hAnsi="宋体"/>
          <w:sz w:val="24"/>
          <w:szCs w:val="24"/>
        </w:rPr>
      </w:pPr>
      <w:r>
        <w:rPr>
          <w:rFonts w:hint="eastAsia" w:ascii="宋体" w:hAnsi="宋体"/>
          <w:sz w:val="24"/>
          <w:szCs w:val="24"/>
        </w:rPr>
        <w:t>项目名称：2023年度嘉兴市公安局交通警察支队交通设施日常维护、更新项目</w:t>
      </w:r>
    </w:p>
    <w:p>
      <w:pPr>
        <w:rPr>
          <w:rFonts w:ascii="宋体" w:hAnsi="宋体"/>
          <w:sz w:val="24"/>
          <w:szCs w:val="24"/>
        </w:rPr>
      </w:pPr>
      <w:r>
        <w:rPr>
          <w:rFonts w:hint="eastAsia" w:ascii="宋体" w:hAnsi="宋体"/>
          <w:sz w:val="24"/>
          <w:szCs w:val="24"/>
        </w:rPr>
        <w:t xml:space="preserve">项目编号： </w:t>
      </w:r>
      <w:r>
        <w:rPr>
          <w:rFonts w:ascii="宋体" w:hAnsi="宋体"/>
          <w:sz w:val="24"/>
          <w:szCs w:val="24"/>
        </w:rPr>
        <w:t xml:space="preserve">                         </w:t>
      </w:r>
      <w:r>
        <w:rPr>
          <w:rFonts w:hint="eastAsia" w:ascii="宋体" w:hAnsi="宋体"/>
          <w:sz w:val="24"/>
          <w:szCs w:val="24"/>
        </w:rPr>
        <w:t>供应商名称：</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3402"/>
        <w:gridCol w:w="708"/>
        <w:gridCol w:w="709"/>
        <w:gridCol w:w="2268"/>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标项</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标项名称</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数量</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单位</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工程质量要求</w:t>
            </w:r>
          </w:p>
        </w:tc>
        <w:tc>
          <w:tcPr>
            <w:tcW w:w="1418" w:type="dxa"/>
            <w:noWrap w:val="0"/>
            <w:vAlign w:val="center"/>
          </w:tcPr>
          <w:p>
            <w:pPr>
              <w:spacing w:after="60" w:afterLines="25" w:line="360" w:lineRule="exact"/>
              <w:jc w:val="center"/>
              <w:rPr>
                <w:rFonts w:ascii="宋体" w:hAnsi="宋体"/>
                <w:sz w:val="24"/>
                <w:szCs w:val="24"/>
              </w:rPr>
            </w:pPr>
            <w:r>
              <w:rPr>
                <w:rFonts w:hint="eastAsia" w:ascii="宋体" w:hAnsi="宋体"/>
                <w:sz w:val="24"/>
                <w:szCs w:val="24"/>
              </w:rPr>
              <w:t>投标折扣率</w:t>
            </w:r>
          </w:p>
          <w:p>
            <w:pPr>
              <w:spacing w:after="60" w:afterLines="25" w:line="360" w:lineRule="exact"/>
              <w:jc w:val="center"/>
              <w:rPr>
                <w:rFonts w:hint="eastAsia" w:ascii="宋体" w:hAnsi="宋体"/>
                <w:sz w:val="24"/>
                <w:szCs w:val="24"/>
              </w:rPr>
            </w:pPr>
            <w:r>
              <w:rPr>
                <w:rFonts w:hint="eastAsia" w:ascii="宋体" w:hAnsi="宋体"/>
                <w:sz w:val="24"/>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嘉兴市区交通标线复划项目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2</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嘉兴市区交通标志、标线、护栏等更新、新增项目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3</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嘉兴市区交通信号灯的更新维护项目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bl>
    <w:p>
      <w:pPr>
        <w:pStyle w:val="28"/>
        <w:snapToGrid w:val="0"/>
        <w:spacing w:before="120" w:beforeLines="50"/>
        <w:rPr>
          <w:rFonts w:hAnsi="宋体"/>
          <w:sz w:val="24"/>
          <w:szCs w:val="24"/>
        </w:rPr>
      </w:pPr>
      <w:r>
        <w:rPr>
          <w:rFonts w:hint="eastAsia" w:hAnsi="宋体"/>
          <w:b/>
          <w:bCs/>
          <w:sz w:val="24"/>
          <w:szCs w:val="24"/>
        </w:rPr>
        <w:t>注</w:t>
      </w:r>
      <w:r>
        <w:rPr>
          <w:rFonts w:hint="eastAsia" w:hAnsi="宋体"/>
          <w:sz w:val="24"/>
          <w:szCs w:val="24"/>
        </w:rPr>
        <w:t>：</w:t>
      </w:r>
      <w:r>
        <w:rPr>
          <w:rFonts w:hAnsi="宋体"/>
          <w:sz w:val="24"/>
          <w:szCs w:val="24"/>
        </w:rPr>
        <w:t>1</w:t>
      </w:r>
      <w:r>
        <w:rPr>
          <w:rFonts w:hint="eastAsia" w:hAnsi="宋体"/>
          <w:sz w:val="24"/>
          <w:szCs w:val="24"/>
        </w:rPr>
        <w:t>、报价一经涂改，应在涂改处加盖单位公章或者由法定代表人或授权委托人签字或盖章，否则其投标作无效标处理。</w:t>
      </w:r>
    </w:p>
    <w:p>
      <w:pPr>
        <w:pStyle w:val="28"/>
        <w:snapToGrid w:val="0"/>
        <w:ind w:firstLine="480" w:firstLineChars="200"/>
        <w:rPr>
          <w:rFonts w:hAnsi="宋体"/>
          <w:sz w:val="24"/>
          <w:szCs w:val="24"/>
        </w:rPr>
      </w:pPr>
      <w:r>
        <w:rPr>
          <w:rFonts w:hint="eastAsia" w:hAnsi="宋体"/>
          <w:sz w:val="24"/>
          <w:szCs w:val="24"/>
        </w:rPr>
        <w:t>2、投标报价按固定单价折扣率报价，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ind w:firstLine="480" w:firstLineChars="200"/>
        <w:rPr>
          <w:rFonts w:ascii="宋体" w:hAnsi="宋体"/>
          <w:sz w:val="24"/>
          <w:szCs w:val="24"/>
        </w:rPr>
      </w:pPr>
      <w:r>
        <w:rPr>
          <w:rFonts w:hint="eastAsia" w:ascii="宋体" w:hAnsi="宋体"/>
          <w:sz w:val="24"/>
          <w:szCs w:val="24"/>
        </w:rPr>
        <w:t>▲</w:t>
      </w:r>
      <w:r>
        <w:rPr>
          <w:rFonts w:ascii="宋体" w:hAnsi="宋体"/>
          <w:sz w:val="24"/>
          <w:szCs w:val="24"/>
        </w:rPr>
        <w:t>3</w:t>
      </w:r>
      <w:r>
        <w:rPr>
          <w:rFonts w:hint="eastAsia" w:ascii="宋体" w:hAnsi="宋体"/>
          <w:sz w:val="24"/>
          <w:szCs w:val="24"/>
        </w:rPr>
        <w:t>、以上任一项报价不得超过上限价【系指第二章招标需求采购清单中的各子项固定单价</w:t>
      </w:r>
      <w:bookmarkStart w:id="304" w:name="_Hlk143939541"/>
      <w:r>
        <w:rPr>
          <w:rFonts w:hint="eastAsia" w:ascii="宋体" w:hAnsi="宋体"/>
          <w:sz w:val="24"/>
          <w:szCs w:val="24"/>
        </w:rPr>
        <w:t>100%</w:t>
      </w:r>
      <w:bookmarkEnd w:id="304"/>
      <w:r>
        <w:rPr>
          <w:rFonts w:hint="eastAsia" w:ascii="宋体" w:hAnsi="宋体"/>
          <w:sz w:val="24"/>
          <w:szCs w:val="24"/>
        </w:rPr>
        <w:t>】，任何超过上限价的报价均导致投标被否决。本项目以</w:t>
      </w:r>
      <w:r>
        <w:rPr>
          <w:rFonts w:hint="eastAsia" w:ascii="宋体" w:hAnsi="宋体"/>
          <w:b/>
          <w:bCs/>
          <w:sz w:val="24"/>
          <w:szCs w:val="24"/>
        </w:rPr>
        <w:t>总体投标折扣率</w:t>
      </w:r>
      <w:r>
        <w:rPr>
          <w:rFonts w:hint="eastAsia" w:ascii="宋体" w:hAnsi="宋体"/>
          <w:sz w:val="24"/>
          <w:szCs w:val="24"/>
        </w:rPr>
        <w:t>进行报价，实际费用以固定单价×中标折扣率×实际采购数量据实结算。</w:t>
      </w:r>
    </w:p>
    <w:p>
      <w:pPr>
        <w:adjustRightInd w:val="0"/>
        <w:ind w:firstLine="482" w:firstLineChars="200"/>
        <w:rPr>
          <w:rFonts w:ascii="宋体" w:hAnsi="宋体"/>
          <w:b/>
          <w:bCs/>
          <w:sz w:val="24"/>
          <w:szCs w:val="24"/>
        </w:rPr>
      </w:pPr>
      <w:r>
        <w:rPr>
          <w:rFonts w:ascii="宋体" w:hAnsi="宋体"/>
          <w:b/>
          <w:bCs/>
          <w:sz w:val="24"/>
          <w:szCs w:val="24"/>
        </w:rPr>
        <w:t>4</w:t>
      </w:r>
      <w:r>
        <w:rPr>
          <w:rFonts w:hint="eastAsia" w:ascii="宋体" w:hAnsi="宋体"/>
          <w:b/>
          <w:bCs/>
          <w:sz w:val="24"/>
          <w:szCs w:val="24"/>
        </w:rPr>
        <w:t>、本文所表述的“折扣率”均表示为固定单价的百分比。如折扣率为80%，即固定单价×80%。</w:t>
      </w:r>
    </w:p>
    <w:p>
      <w:pPr>
        <w:snapToGrid w:val="0"/>
        <w:ind w:left="-151" w:leftChars="-72" w:right="-817" w:rightChars="-389" w:firstLine="480" w:firstLineChars="200"/>
        <w:rPr>
          <w:rFonts w:ascii="宋体" w:hAnsi="宋体"/>
          <w:sz w:val="24"/>
          <w:szCs w:val="24"/>
        </w:rPr>
      </w:pPr>
    </w:p>
    <w:p>
      <w:pPr>
        <w:snapToGrid w:val="0"/>
        <w:ind w:right="-817" w:rightChars="-389"/>
        <w:rPr>
          <w:rFonts w:ascii="宋体" w:hAnsi="宋体"/>
          <w:sz w:val="24"/>
          <w:szCs w:val="24"/>
        </w:rPr>
      </w:pPr>
      <w:r>
        <w:rPr>
          <w:rFonts w:hint="eastAsia" w:ascii="宋体" w:hAnsi="宋体"/>
          <w:sz w:val="24"/>
          <w:szCs w:val="24"/>
        </w:rPr>
        <w:t>法定代表人或授权代表（签字或盖章）：</w:t>
      </w:r>
    </w:p>
    <w:p>
      <w:pPr>
        <w:snapToGrid w:val="0"/>
        <w:ind w:right="-817" w:rightChars="-389"/>
        <w:rPr>
          <w:rFonts w:ascii="宋体" w:hAnsi="宋体"/>
          <w:sz w:val="24"/>
          <w:szCs w:val="24"/>
        </w:rPr>
      </w:pPr>
      <w:r>
        <w:rPr>
          <w:rFonts w:hint="eastAsia" w:ascii="宋体" w:hAnsi="宋体"/>
          <w:sz w:val="24"/>
          <w:szCs w:val="24"/>
        </w:rPr>
        <w:t>供应商名称（公章）：</w:t>
      </w:r>
    </w:p>
    <w:p>
      <w:pPr>
        <w:snapToGrid w:val="0"/>
        <w:ind w:right="-817" w:rightChars="-389"/>
        <w:rPr>
          <w:rFonts w:hint="eastAsia" w:ascii="宋体" w:hAnsi="宋体"/>
          <w:szCs w:val="21"/>
        </w:rPr>
      </w:pPr>
      <w:r>
        <w:rPr>
          <w:rFonts w:hint="eastAsia" w:ascii="宋体" w:hAnsi="宋体"/>
          <w:sz w:val="24"/>
          <w:szCs w:val="24"/>
        </w:rPr>
        <w:t>日期：    年   月   日</w:t>
      </w:r>
    </w:p>
    <w:sectPr>
      <w:footerReference r:id="rId14" w:type="first"/>
      <w:pgSz w:w="11906" w:h="16838"/>
      <w:pgMar w:top="1247" w:right="1418" w:bottom="1276" w:left="1418" w:header="851" w:footer="525" w:gutter="0"/>
      <w:cols w:space="720" w:num="1"/>
      <w:titlePg/>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楷体_GB2312">
    <w:altName w:val="楷体"/>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Calibri Light">
    <w:panose1 w:val="020F0302020204030204"/>
    <w:charset w:val="00"/>
    <w:family w:val="swiss"/>
    <w:pitch w:val="default"/>
    <w:sig w:usb0="E4002EFF" w:usb1="C200247B" w:usb2="00000009" w:usb3="00000000" w:csb0="200001FF" w:csb1="00000000"/>
  </w:font>
  <w:font w:name="仿宋_GB2312">
    <w:altName w:val="仿宋"/>
    <w:panose1 w:val="00000000000000000000"/>
    <w:charset w:val="00"/>
    <w:family w:val="auto"/>
    <w:pitch w:val="default"/>
    <w:sig w:usb0="00000000" w:usb1="00000000" w:usb2="00000000"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Tahoma">
    <w:panose1 w:val="020B0604030504040204"/>
    <w:charset w:val="00"/>
    <w:family w:val="swiss"/>
    <w:pitch w:val="default"/>
    <w:sig w:usb0="E1002EFF" w:usb1="C000605B" w:usb2="00000029" w:usb3="00000000" w:csb0="200101FF" w:csb1="20280000"/>
  </w:font>
  <w:font w:name="仿宋GB2312">
    <w:altName w:val="宋体"/>
    <w:panose1 w:val="00000000000000000000"/>
    <w:charset w:val="00"/>
    <w:family w:val="roman"/>
    <w:pitch w:val="default"/>
    <w:sig w:usb0="00000000" w:usb1="00000000" w:usb2="00000000" w:usb3="00000000" w:csb0="00040001" w:csb1="00000000"/>
  </w:font>
  <w:font w:name="Helvetica">
    <w:altName w:val="Arial"/>
    <w:panose1 w:val="020B0604020202020204"/>
    <w:charset w:val="00"/>
    <w:family w:val="swiss"/>
    <w:pitch w:val="default"/>
    <w:sig w:usb0="E0002EFF" w:usb1="C000785B" w:usb2="00000009" w:usb3="00000000" w:csb0="000001FF" w:csb1="00000000"/>
  </w:font>
  <w:font w:name="MS UI Gothic">
    <w:panose1 w:val="020B0600070205080204"/>
    <w:charset w:val="80"/>
    <w:family w:val="swiss"/>
    <w:pitch w:val="default"/>
    <w:sig w:usb0="E00002FF" w:usb1="6AC7FDFB" w:usb2="08000012" w:usb3="00000000" w:csb0="4002009F" w:csb1="DFD70000"/>
  </w:font>
  <w:font w:name="Verdana">
    <w:panose1 w:val="020B0604030504040204"/>
    <w:charset w:val="00"/>
    <w:family w:val="swiss"/>
    <w:pitch w:val="default"/>
    <w:sig w:usb0="A00006FF" w:usb1="4000205B" w:usb2="00000010" w:usb3="00000000" w:csb0="2000019F" w:csb1="00000000"/>
  </w:font>
  <w:font w:name="等线 Light">
    <w:panose1 w:val="02010600030101010101"/>
    <w:charset w:val="86"/>
    <w:family w:val="auto"/>
    <w:pitch w:val="default"/>
    <w:sig w:usb0="A00002BF" w:usb1="38CF7CFA" w:usb2="00000016" w:usb3="00000000" w:csb0="0004000F" w:csb1="00000000"/>
  </w:font>
  <w:font w:name="Mangal">
    <w:altName w:val="Segoe Print"/>
    <w:panose1 w:val="00000400000000000000"/>
    <w:charset w:val="01"/>
    <w:family w:val="roman"/>
    <w:pitch w:val="default"/>
    <w:sig w:usb0="00002000" w:usb1="00000000" w:usb2="00000000" w:usb3="00000000" w:csb0="0000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14</w:t>
    </w:r>
    <w:r>
      <w:rPr>
        <w:lang w:val="zh-CN"/>
      </w:rPr>
      <w:fldChar w:fldCharType="end"/>
    </w: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rPr>
        <w:rStyle w:val="129"/>
      </w:rPr>
    </w:pPr>
    <w:r>
      <w:fldChar w:fldCharType="begin"/>
    </w:r>
    <w:r>
      <w:rPr>
        <w:rStyle w:val="129"/>
      </w:rPr>
      <w:instrText xml:space="preserve">PAGE  </w:instrText>
    </w:r>
    <w:r>
      <w:fldChar w:fldCharType="separate"/>
    </w:r>
    <w:r>
      <w:rPr>
        <w:rStyle w:val="129"/>
        <w:lang/>
      </w:rPr>
      <w:t>66</w:t>
    </w:r>
    <w:r>
      <w:fldChar w:fldCharType="end"/>
    </w:r>
  </w:p>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rPr>
      <w:t>12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29</w:t>
    </w:r>
    <w:r>
      <w:rPr>
        <w:lang w:val="zh-CN"/>
      </w:rPr>
      <w:fldChar w:fldCharType="end"/>
    </w: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lang w:val="zh-CN"/>
      </w:rPr>
    </w:pPr>
    <w:r>
      <w:rPr>
        <w:lang w:val="zh-CN"/>
      </w:rPr>
      <w:fldChar w:fldCharType="begin"/>
    </w:r>
    <w:r>
      <w:rPr>
        <w:lang w:val="zh-CN"/>
      </w:rPr>
      <w:instrText xml:space="preserve">PAGE   \* MERGEFORMAT</w:instrText>
    </w:r>
    <w:r>
      <w:rPr>
        <w:lang w:val="zh-CN"/>
      </w:rPr>
      <w:fldChar w:fldCharType="separate"/>
    </w:r>
    <w:r>
      <w:rPr>
        <w:lang w:val="zh-CN"/>
      </w:rPr>
      <w:t>88</w:t>
    </w:r>
    <w:r>
      <w:rPr>
        <w:lang w:val="zh-CN"/>
      </w:rPr>
      <w:fldChar w:fldCharType="end"/>
    </w:r>
  </w:p>
  <w:p>
    <w:pPr>
      <w:rPr>
        <w:lang w:val="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sz w:val="18"/>
        <w:szCs w:val="16"/>
        <w:lang w:val="zh-CN"/>
      </w:rPr>
    </w:pPr>
    <w:r>
      <w:rPr>
        <w:sz w:val="18"/>
        <w:szCs w:val="16"/>
        <w:lang w:val="zh-CN"/>
      </w:rPr>
      <w:fldChar w:fldCharType="begin"/>
    </w:r>
    <w:r>
      <w:rPr>
        <w:sz w:val="18"/>
        <w:szCs w:val="16"/>
        <w:lang w:val="zh-CN"/>
      </w:rPr>
      <w:instrText xml:space="preserve">PAGE   \* MERGEFORMAT</w:instrText>
    </w:r>
    <w:r>
      <w:rPr>
        <w:sz w:val="18"/>
        <w:szCs w:val="16"/>
        <w:lang w:val="zh-CN"/>
      </w:rPr>
      <w:fldChar w:fldCharType="separate"/>
    </w:r>
    <w:r>
      <w:rPr>
        <w:sz w:val="18"/>
        <w:szCs w:val="16"/>
        <w:lang w:val="zh-CN"/>
      </w:rPr>
      <w:t>89</w:t>
    </w:r>
    <w:r>
      <w:rPr>
        <w:sz w:val="18"/>
        <w:szCs w:val="16"/>
        <w:lang w:val="zh-CN"/>
      </w:rPr>
      <w:fldChar w:fldCharType="end"/>
    </w:r>
  </w:p>
  <w:p>
    <w:pPr>
      <w:rPr>
        <w:lang w:val="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94</w:t>
    </w:r>
    <w:r>
      <w:rPr>
        <w:lang w:val="zh-CN"/>
      </w:rPr>
      <w:fldChar w:fldCharType="end"/>
    </w:r>
  </w:p>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pPr>
      <w:r>
        <w:separator/>
      </w:r>
    </w:p>
  </w:footnote>
  <w:footnote w:type="continuationSeparator" w:id="3">
    <w:p>
      <w:pPr>
        <w:spacing w:line="360" w:lineRule="auto"/>
      </w:pPr>
      <w:r>
        <w:continuationSeparator/>
      </w:r>
    </w:p>
  </w:footnote>
  <w:footnote w:id="0">
    <w:p>
      <w:pPr>
        <w:rPr>
          <w:rFonts w:ascii="宋体" w:hAnsi="宋体" w:cs="Courier New"/>
          <w:sz w:val="19"/>
          <w:szCs w:val="19"/>
        </w:rPr>
      </w:pPr>
      <w:r>
        <w:rPr>
          <w:rFonts w:cs="Courier New"/>
          <w:sz w:val="19"/>
          <w:szCs w:val="19"/>
        </w:rPr>
        <w:footnoteRef/>
      </w:r>
      <w:r>
        <w:rPr>
          <w:rFonts w:hint="eastAsia" w:ascii="宋体" w:hAnsi="宋体" w:cs="Courier New"/>
          <w:sz w:val="19"/>
          <w:szCs w:val="19"/>
        </w:rPr>
        <w:t>.</w:t>
      </w:r>
      <w:r>
        <w:rPr>
          <w:rFonts w:ascii="宋体" w:hAnsi="宋体" w:cs="Courier New"/>
          <w:sz w:val="19"/>
          <w:szCs w:val="19"/>
        </w:rPr>
        <w:t>从业人员、营业收入、资产总额填报上一年度数据，无上一年度数据的新成立企业可不填报。</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760F1C"/>
    <w:multiLevelType w:val="multilevel"/>
    <w:tmpl w:val="0A760F1C"/>
    <w:lvl w:ilvl="0" w:tentative="0">
      <w:start w:val="1"/>
      <w:numFmt w:val="decimal"/>
      <w:pStyle w:val="289"/>
      <w:suff w:val="space"/>
      <w:lvlText w:val="第%1章"/>
      <w:lvlJc w:val="center"/>
      <w:pPr>
        <w:ind w:left="3257" w:firstLine="288"/>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decimal"/>
      <w:pStyle w:val="315"/>
      <w:suff w:val="space"/>
      <w:lvlText w:val="%1.%2"/>
      <w:lvlJc w:val="left"/>
      <w:pPr>
        <w:ind w:left="1843" w:firstLine="0"/>
      </w:pPr>
      <w:rPr>
        <w:rFonts w:hint="eastAsia" w:ascii="黑体" w:hAnsi="黑体" w:eastAsia="黑体"/>
        <w:sz w:val="32"/>
        <w:szCs w:val="32"/>
      </w:rPr>
    </w:lvl>
    <w:lvl w:ilvl="2" w:tentative="0">
      <w:start w:val="1"/>
      <w:numFmt w:val="decimal"/>
      <w:pStyle w:val="468"/>
      <w:suff w:val="space"/>
      <w:lvlText w:val="%1.%2.%3"/>
      <w:lvlJc w:val="left"/>
      <w:pPr>
        <w:ind w:left="1843" w:firstLine="0"/>
      </w:pPr>
      <w:rPr>
        <w:rFonts w:hint="eastAsia" w:ascii="黑体" w:hAnsi="黑体" w:eastAsia="黑体"/>
        <w:sz w:val="28"/>
      </w:rPr>
    </w:lvl>
    <w:lvl w:ilvl="3" w:tentative="0">
      <w:start w:val="1"/>
      <w:numFmt w:val="decimal"/>
      <w:pStyle w:val="285"/>
      <w:suff w:val="space"/>
      <w:lvlText w:val="%1.%2.%3.%4"/>
      <w:lvlJc w:val="left"/>
      <w:pPr>
        <w:ind w:left="1843" w:firstLine="0"/>
      </w:pPr>
      <w:rPr>
        <w:rFonts w:hint="eastAsia" w:ascii="黑体" w:hAnsi="黑体" w:eastAsia="黑体"/>
        <w:sz w:val="24"/>
      </w:rPr>
    </w:lvl>
    <w:lvl w:ilvl="4" w:tentative="0">
      <w:start w:val="1"/>
      <w:numFmt w:val="decimal"/>
      <w:lvlText w:val="%1.%2.%3.%4.%5"/>
      <w:lvlJc w:val="left"/>
      <w:pPr>
        <w:ind w:left="1843" w:firstLine="0"/>
      </w:pPr>
      <w:rPr>
        <w:rFonts w:hint="eastAsia"/>
      </w:rPr>
    </w:lvl>
    <w:lvl w:ilvl="5" w:tentative="0">
      <w:start w:val="1"/>
      <w:numFmt w:val="decimal"/>
      <w:lvlText w:val="%1.%2.%3.%4.%5.%6"/>
      <w:lvlJc w:val="left"/>
      <w:pPr>
        <w:ind w:left="1843" w:firstLine="0"/>
      </w:pPr>
      <w:rPr>
        <w:rFonts w:hint="eastAsia"/>
      </w:rPr>
    </w:lvl>
    <w:lvl w:ilvl="6" w:tentative="0">
      <w:start w:val="1"/>
      <w:numFmt w:val="decimal"/>
      <w:lvlText w:val="%1.%2.%3.%4.%5.%6.%7"/>
      <w:lvlJc w:val="left"/>
      <w:pPr>
        <w:ind w:left="1843" w:firstLine="0"/>
      </w:pPr>
      <w:rPr>
        <w:rFonts w:hint="eastAsia"/>
      </w:rPr>
    </w:lvl>
    <w:lvl w:ilvl="7" w:tentative="0">
      <w:start w:val="1"/>
      <w:numFmt w:val="decimal"/>
      <w:lvlText w:val="%1.%2.%3.%4.%5.%6.%7.%8"/>
      <w:lvlJc w:val="left"/>
      <w:pPr>
        <w:ind w:left="1843" w:firstLine="0"/>
      </w:pPr>
      <w:rPr>
        <w:rFonts w:hint="eastAsia"/>
      </w:rPr>
    </w:lvl>
    <w:lvl w:ilvl="8" w:tentative="0">
      <w:start w:val="1"/>
      <w:numFmt w:val="decimal"/>
      <w:lvlText w:val="%1.%2.%3.%4.%5.%6.%7.%8.%9"/>
      <w:lvlJc w:val="left"/>
      <w:pPr>
        <w:ind w:left="1843" w:firstLine="0"/>
      </w:pPr>
      <w:rPr>
        <w:rFonts w:hint="eastAsia"/>
      </w:rPr>
    </w:lvl>
  </w:abstractNum>
  <w:abstractNum w:abstractNumId="1">
    <w:nsid w:val="13DD3CF9"/>
    <w:multiLevelType w:val="multilevel"/>
    <w:tmpl w:val="13DD3CF9"/>
    <w:lvl w:ilvl="0" w:tentative="0">
      <w:start w:val="1"/>
      <w:numFmt w:val="decimal"/>
      <w:lvlText w:val="%1"/>
      <w:lvlJc w:val="center"/>
      <w:pPr>
        <w:ind w:left="1008" w:hanging="440"/>
      </w:pPr>
      <w:rPr>
        <w:rFonts w:hint="eastAsia" w:ascii="宋体" w:hAnsi="宋体"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19D23FDE"/>
    <w:multiLevelType w:val="multilevel"/>
    <w:tmpl w:val="19D23FDE"/>
    <w:lvl w:ilvl="0" w:tentative="0">
      <w:start w:val="1"/>
      <w:numFmt w:val="decimal"/>
      <w:lvlText w:val="%1"/>
      <w:lvlJc w:val="righ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38346888"/>
    <w:multiLevelType w:val="multilevel"/>
    <w:tmpl w:val="38346888"/>
    <w:lvl w:ilvl="0" w:tentative="0">
      <w:start w:val="1"/>
      <w:numFmt w:val="decimal"/>
      <w:pStyle w:val="584"/>
      <w:lvlText w:val="（%1）"/>
      <w:lvlJc w:val="left"/>
      <w:pPr>
        <w:tabs>
          <w:tab w:val="left" w:pos="1365"/>
        </w:tabs>
        <w:ind w:left="1365" w:hanging="735"/>
      </w:pPr>
      <w:rPr>
        <w:rFonts w:hint="eastAsia"/>
      </w:rPr>
    </w:lvl>
    <w:lvl w:ilvl="1" w:tentative="0">
      <w:start w:val="1"/>
      <w:numFmt w:val="lowerLetter"/>
      <w:lvlText w:val="%2)"/>
      <w:lvlJc w:val="left"/>
      <w:pPr>
        <w:tabs>
          <w:tab w:val="left" w:pos="1470"/>
        </w:tabs>
        <w:ind w:left="1470" w:hanging="420"/>
      </w:pPr>
    </w:lvl>
    <w:lvl w:ilvl="2" w:tentative="0">
      <w:start w:val="1"/>
      <w:numFmt w:val="lowerRoman"/>
      <w:lvlText w:val="%3."/>
      <w:lvlJc w:val="right"/>
      <w:pPr>
        <w:tabs>
          <w:tab w:val="left" w:pos="1890"/>
        </w:tabs>
        <w:ind w:left="1890" w:hanging="420"/>
      </w:pPr>
    </w:lvl>
    <w:lvl w:ilvl="3" w:tentative="0">
      <w:start w:val="1"/>
      <w:numFmt w:val="decimal"/>
      <w:lvlText w:val="%4."/>
      <w:lvlJc w:val="left"/>
      <w:pPr>
        <w:tabs>
          <w:tab w:val="left" w:pos="2310"/>
        </w:tabs>
        <w:ind w:left="2310" w:hanging="420"/>
      </w:pPr>
    </w:lvl>
    <w:lvl w:ilvl="4" w:tentative="0">
      <w:start w:val="1"/>
      <w:numFmt w:val="lowerLetter"/>
      <w:lvlText w:val="%5)"/>
      <w:lvlJc w:val="left"/>
      <w:pPr>
        <w:tabs>
          <w:tab w:val="left" w:pos="2730"/>
        </w:tabs>
        <w:ind w:left="2730" w:hanging="420"/>
      </w:pPr>
    </w:lvl>
    <w:lvl w:ilvl="5" w:tentative="0">
      <w:start w:val="1"/>
      <w:numFmt w:val="lowerRoman"/>
      <w:lvlText w:val="%6."/>
      <w:lvlJc w:val="right"/>
      <w:pPr>
        <w:tabs>
          <w:tab w:val="left" w:pos="3150"/>
        </w:tabs>
        <w:ind w:left="3150" w:hanging="420"/>
      </w:pPr>
    </w:lvl>
    <w:lvl w:ilvl="6" w:tentative="0">
      <w:start w:val="1"/>
      <w:numFmt w:val="decimal"/>
      <w:lvlText w:val="%7."/>
      <w:lvlJc w:val="left"/>
      <w:pPr>
        <w:tabs>
          <w:tab w:val="left" w:pos="3570"/>
        </w:tabs>
        <w:ind w:left="3570" w:hanging="420"/>
      </w:pPr>
    </w:lvl>
    <w:lvl w:ilvl="7" w:tentative="0">
      <w:start w:val="1"/>
      <w:numFmt w:val="lowerLetter"/>
      <w:lvlText w:val="%8)"/>
      <w:lvlJc w:val="left"/>
      <w:pPr>
        <w:tabs>
          <w:tab w:val="left" w:pos="3990"/>
        </w:tabs>
        <w:ind w:left="3990" w:hanging="420"/>
      </w:pPr>
    </w:lvl>
    <w:lvl w:ilvl="8" w:tentative="0">
      <w:start w:val="1"/>
      <w:numFmt w:val="lowerRoman"/>
      <w:lvlText w:val="%9."/>
      <w:lvlJc w:val="right"/>
      <w:pPr>
        <w:tabs>
          <w:tab w:val="left" w:pos="4410"/>
        </w:tabs>
        <w:ind w:left="4410" w:hanging="420"/>
      </w:pPr>
    </w:lvl>
  </w:abstractNum>
  <w:abstractNum w:abstractNumId="4">
    <w:nsid w:val="43740B8A"/>
    <w:multiLevelType w:val="multilevel"/>
    <w:tmpl w:val="43740B8A"/>
    <w:lvl w:ilvl="0" w:tentative="0">
      <w:start w:val="1"/>
      <w:numFmt w:val="chineseCountingThousand"/>
      <w:suff w:val="space"/>
      <w:lvlText w:val="第%1章"/>
      <w:lvlJc w:val="left"/>
      <w:pPr>
        <w:ind w:left="0" w:firstLine="0"/>
      </w:pPr>
      <w:rPr>
        <w:rFonts w:hint="default" w:ascii="Times New Roman" w:hAnsi="Times New Roman" w:eastAsia="宋体"/>
        <w:b/>
        <w:i w:val="0"/>
        <w:sz w:val="36"/>
      </w:rPr>
    </w:lvl>
    <w:lvl w:ilvl="1" w:tentative="0">
      <w:start w:val="1"/>
      <w:numFmt w:val="decimal"/>
      <w:isLgl/>
      <w:suff w:val="space"/>
      <w:lvlText w:val="%1.%2."/>
      <w:lvlJc w:val="left"/>
      <w:pPr>
        <w:ind w:left="0" w:firstLine="0"/>
      </w:pPr>
      <w:rPr>
        <w:rFonts w:hint="default" w:ascii="Times New Roman" w:hAnsi="Times New Roman" w:eastAsia="宋体"/>
        <w:b/>
        <w:i w:val="0"/>
        <w:sz w:val="28"/>
      </w:rPr>
    </w:lvl>
    <w:lvl w:ilvl="2" w:tentative="0">
      <w:start w:val="1"/>
      <w:numFmt w:val="decimal"/>
      <w:isLgl/>
      <w:suff w:val="space"/>
      <w:lvlText w:val="%1.%2.%3."/>
      <w:lvlJc w:val="left"/>
      <w:pPr>
        <w:ind w:left="0" w:firstLine="0"/>
      </w:pPr>
      <w:rPr>
        <w:rFonts w:hint="default" w:ascii="Times New Roman" w:hAnsi="Times New Roman" w:eastAsia="宋体"/>
        <w:b/>
        <w:i w:val="0"/>
        <w:sz w:val="28"/>
      </w:rPr>
    </w:lvl>
    <w:lvl w:ilvl="3" w:tentative="0">
      <w:start w:val="1"/>
      <w:numFmt w:val="decimal"/>
      <w:isLgl/>
      <w:suff w:val="space"/>
      <w:lvlText w:val="%1.%2.%3.%4."/>
      <w:lvlJc w:val="left"/>
      <w:pPr>
        <w:ind w:left="0" w:firstLine="0"/>
      </w:pPr>
      <w:rPr>
        <w:rFonts w:hint="default" w:ascii="Times New Roman" w:hAnsi="Times New Roman" w:eastAsia="宋体"/>
        <w:b/>
        <w:i w:val="0"/>
        <w:sz w:val="24"/>
      </w:rPr>
    </w:lvl>
    <w:lvl w:ilvl="4" w:tentative="0">
      <w:start w:val="1"/>
      <w:numFmt w:val="decimal"/>
      <w:isLgl/>
      <w:suff w:val="space"/>
      <w:lvlText w:val="%1.%2.%3.%4.%5."/>
      <w:lvlJc w:val="left"/>
      <w:pPr>
        <w:ind w:left="0" w:firstLine="0"/>
      </w:pPr>
      <w:rPr>
        <w:rFonts w:hint="default" w:ascii="Times New Roman" w:hAnsi="Times New Roman" w:eastAsia="宋体"/>
        <w:b/>
        <w:i w:val="0"/>
        <w:sz w:val="24"/>
      </w:rPr>
    </w:lvl>
    <w:lvl w:ilvl="5" w:tentative="0">
      <w:start w:val="1"/>
      <w:numFmt w:val="decimal"/>
      <w:isLgl/>
      <w:suff w:val="space"/>
      <w:lvlText w:val="%1.%2.%3.%4.%5.%6."/>
      <w:lvlJc w:val="left"/>
      <w:pPr>
        <w:ind w:left="0" w:firstLine="0"/>
      </w:pPr>
      <w:rPr>
        <w:rFonts w:hint="default" w:ascii="Times New Roman" w:hAnsi="Times New Roman" w:eastAsia="宋体"/>
        <w:b/>
        <w:i w:val="0"/>
        <w:sz w:val="24"/>
      </w:rPr>
    </w:lvl>
    <w:lvl w:ilvl="6" w:tentative="0">
      <w:start w:val="1"/>
      <w:numFmt w:val="decimal"/>
      <w:isLgl/>
      <w:suff w:val="space"/>
      <w:lvlText w:val="%1.%2.%3.%4.%5.%6.%7."/>
      <w:lvlJc w:val="left"/>
      <w:pPr>
        <w:ind w:left="0" w:firstLine="0"/>
      </w:pPr>
      <w:rPr>
        <w:rFonts w:hint="default" w:ascii="Times New Roman" w:hAnsi="Times New Roman" w:eastAsia="宋体"/>
        <w:b/>
        <w:i w:val="0"/>
        <w:sz w:val="24"/>
      </w:rPr>
    </w:lvl>
    <w:lvl w:ilvl="7" w:tentative="0">
      <w:start w:val="1"/>
      <w:numFmt w:val="decimal"/>
      <w:isLgl/>
      <w:suff w:val="space"/>
      <w:lvlText w:val="%1.%2.%3.%4.%5.%6.%7.%8."/>
      <w:lvlJc w:val="left"/>
      <w:pPr>
        <w:ind w:left="0" w:firstLine="0"/>
      </w:pPr>
      <w:rPr>
        <w:rFonts w:hint="default" w:ascii="Times New Roman" w:hAnsi="Times New Roman" w:eastAsia="宋体"/>
        <w:b/>
        <w:i w:val="0"/>
        <w:sz w:val="24"/>
      </w:rPr>
    </w:lvl>
    <w:lvl w:ilvl="8" w:tentative="0">
      <w:start w:val="1"/>
      <w:numFmt w:val="decimal"/>
      <w:isLgl/>
      <w:suff w:val="space"/>
      <w:lvlText w:val="%1.%2.%3.%4.%5.%6.%7.%8.%9."/>
      <w:lvlJc w:val="left"/>
      <w:pPr>
        <w:ind w:left="0" w:firstLine="0"/>
      </w:pPr>
      <w:rPr>
        <w:rFonts w:hint="default" w:ascii="Times New Roman" w:hAnsi="Times New Roman" w:eastAsia="宋体"/>
        <w:b/>
        <w:i w:val="0"/>
        <w:sz w:val="24"/>
      </w:rPr>
    </w:lvl>
  </w:abstractNum>
  <w:abstractNum w:abstractNumId="5">
    <w:nsid w:val="56D20E58"/>
    <w:multiLevelType w:val="multilevel"/>
    <w:tmpl w:val="56D20E58"/>
    <w:lvl w:ilvl="0" w:tentative="0">
      <w:start w:val="1"/>
      <w:numFmt w:val="decimal"/>
      <w:lvlText w:val="%1"/>
      <w:lvlJc w:val="center"/>
      <w:pPr>
        <w:ind w:left="440" w:hanging="440"/>
      </w:pPr>
      <w:rPr>
        <w:rFonts w:hint="eastAsia" w:ascii="宋体" w:hAnsi="宋体"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57629FD0"/>
    <w:multiLevelType w:val="multilevel"/>
    <w:tmpl w:val="57629FD0"/>
    <w:lvl w:ilvl="0" w:tentative="0">
      <w:start w:val="1"/>
      <w:numFmt w:val="decimal"/>
      <w:pStyle w:val="593"/>
      <w:lvlText w:val="2.6.2.%1"/>
      <w:lvlJc w:val="left"/>
      <w:pPr>
        <w:ind w:left="420" w:hanging="420"/>
      </w:pPr>
      <w:rPr>
        <w:rFonts w:hint="default" w:ascii="宋体" w:hAnsi="宋体" w:eastAsia="宋体"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pStyle w:val="728"/>
      <w:lvlText w:val="%8)"/>
      <w:lvlJc w:val="left"/>
      <w:pPr>
        <w:ind w:left="3360" w:hanging="420"/>
      </w:pPr>
    </w:lvl>
    <w:lvl w:ilvl="8" w:tentative="0">
      <w:start w:val="1"/>
      <w:numFmt w:val="lowerRoman"/>
      <w:lvlText w:val="%9."/>
      <w:lvlJc w:val="right"/>
      <w:pPr>
        <w:ind w:left="3780" w:hanging="420"/>
      </w:pPr>
    </w:lvl>
  </w:abstractNum>
  <w:abstractNum w:abstractNumId="7">
    <w:nsid w:val="61182205"/>
    <w:multiLevelType w:val="multilevel"/>
    <w:tmpl w:val="61182205"/>
    <w:lvl w:ilvl="0" w:tentative="0">
      <w:start w:val="1"/>
      <w:numFmt w:val="chineseCountingThousand"/>
      <w:suff w:val="space"/>
      <w:lvlText w:val="第%1章."/>
      <w:lvlJc w:val="left"/>
      <w:pPr>
        <w:ind w:left="113" w:firstLine="0"/>
      </w:pPr>
      <w:rPr>
        <w:rFonts w:hint="default" w:ascii="Times New Roman" w:hAnsi="Times New Roman" w:eastAsia="新宋体"/>
        <w:b/>
        <w:i w:val="0"/>
        <w:sz w:val="44"/>
      </w:rPr>
    </w:lvl>
    <w:lvl w:ilvl="1" w:tentative="0">
      <w:start w:val="1"/>
      <w:numFmt w:val="decimal"/>
      <w:isLgl/>
      <w:suff w:val="space"/>
      <w:lvlText w:val="%1.%2."/>
      <w:lvlJc w:val="left"/>
      <w:pPr>
        <w:ind w:left="226" w:firstLine="0"/>
      </w:pPr>
      <w:rPr>
        <w:rFonts w:hint="default" w:ascii="Times New Roman" w:hAnsi="Times New Roman" w:eastAsia="新宋体"/>
        <w:b/>
        <w:i w:val="0"/>
        <w:sz w:val="36"/>
      </w:rPr>
    </w:lvl>
    <w:lvl w:ilvl="2" w:tentative="0">
      <w:start w:val="1"/>
      <w:numFmt w:val="decimal"/>
      <w:isLgl/>
      <w:suff w:val="space"/>
      <w:lvlText w:val="%1.%2.%3."/>
      <w:lvlJc w:val="left"/>
      <w:pPr>
        <w:ind w:left="339" w:firstLine="0"/>
      </w:pPr>
      <w:rPr>
        <w:rFonts w:hint="default" w:ascii="Times New Roman" w:hAnsi="Times New Roman" w:eastAsia="新宋体"/>
        <w:b/>
        <w:i w:val="0"/>
        <w:sz w:val="32"/>
      </w:rPr>
    </w:lvl>
    <w:lvl w:ilvl="3" w:tentative="0">
      <w:start w:val="1"/>
      <w:numFmt w:val="decimal"/>
      <w:pStyle w:val="568"/>
      <w:isLgl/>
      <w:suff w:val="space"/>
      <w:lvlText w:val="%1.%2.%3.%4."/>
      <w:lvlJc w:val="left"/>
      <w:pPr>
        <w:ind w:left="452" w:firstLine="0"/>
      </w:pPr>
      <w:rPr>
        <w:b w:val="0"/>
        <w:bCs w:val="0"/>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isLgl/>
      <w:suff w:val="space"/>
      <w:lvlText w:val="%1.%2.%3.%4.%5."/>
      <w:lvlJc w:val="left"/>
      <w:pPr>
        <w:ind w:left="565" w:firstLine="0"/>
      </w:pPr>
      <w:rPr>
        <w:rFonts w:hint="default" w:ascii="Times New Roman" w:hAnsi="Times New Roman" w:eastAsia="新宋体"/>
        <w:b/>
        <w:i w:val="0"/>
        <w:sz w:val="28"/>
      </w:rPr>
    </w:lvl>
    <w:lvl w:ilvl="5" w:tentative="0">
      <w:start w:val="1"/>
      <w:numFmt w:val="decimal"/>
      <w:isLgl/>
      <w:suff w:val="space"/>
      <w:lvlText w:val="%1.%2.%3.%4.%5.%6."/>
      <w:lvlJc w:val="left"/>
      <w:pPr>
        <w:ind w:left="678" w:firstLine="0"/>
      </w:pPr>
      <w:rPr>
        <w:rFonts w:hint="default" w:ascii="Times New Roman" w:hAnsi="Times New Roman" w:eastAsia="新宋体"/>
        <w:b/>
        <w:i w:val="0"/>
        <w:sz w:val="24"/>
      </w:rPr>
    </w:lvl>
    <w:lvl w:ilvl="6" w:tentative="0">
      <w:start w:val="1"/>
      <w:numFmt w:val="decimal"/>
      <w:isLgl/>
      <w:suff w:val="space"/>
      <w:lvlText w:val="%1.%2.%3.%4.%5.%6.%7."/>
      <w:lvlJc w:val="left"/>
      <w:pPr>
        <w:ind w:left="791" w:firstLine="0"/>
      </w:pPr>
      <w:rPr>
        <w:rFonts w:hint="default" w:ascii="Times New Roman" w:hAnsi="Times New Roman" w:eastAsia="新宋体"/>
        <w:b/>
        <w:i w:val="0"/>
        <w:sz w:val="24"/>
      </w:rPr>
    </w:lvl>
    <w:lvl w:ilvl="7" w:tentative="0">
      <w:start w:val="1"/>
      <w:numFmt w:val="decimal"/>
      <w:lvlText w:val="%1.%2.%3.%4.%5.%6.%7.%8."/>
      <w:lvlJc w:val="left"/>
      <w:pPr>
        <w:tabs>
          <w:tab w:val="left" w:pos="1074"/>
        </w:tabs>
        <w:ind w:left="904" w:firstLine="0"/>
      </w:pPr>
      <w:rPr>
        <w:rFonts w:hint="eastAsia"/>
      </w:rPr>
    </w:lvl>
    <w:lvl w:ilvl="8" w:tentative="0">
      <w:start w:val="1"/>
      <w:numFmt w:val="decimal"/>
      <w:lvlText w:val="%1.%2.%3.%4.%5.%6.%7.%8.%9."/>
      <w:lvlJc w:val="left"/>
      <w:pPr>
        <w:tabs>
          <w:tab w:val="left" w:pos="1187"/>
        </w:tabs>
        <w:ind w:left="1017" w:firstLine="0"/>
      </w:pPr>
      <w:rPr>
        <w:rFonts w:hint="eastAsia"/>
      </w:rPr>
    </w:lvl>
  </w:abstractNum>
  <w:abstractNum w:abstractNumId="8">
    <w:nsid w:val="7FFE776B"/>
    <w:multiLevelType w:val="multilevel"/>
    <w:tmpl w:val="7FFE776B"/>
    <w:lvl w:ilvl="0" w:tentative="0">
      <w:start w:val="1"/>
      <w:numFmt w:val="decimal"/>
      <w:lvlText w:val="%1"/>
      <w:lvlJc w:val="center"/>
      <w:pPr>
        <w:ind w:left="440" w:hanging="440"/>
      </w:pPr>
      <w:rPr>
        <w:rFonts w:hint="eastAsia" w:ascii="宋体" w:hAnsi="宋体"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 w:numId="2">
    <w:abstractNumId w:val="7"/>
  </w:num>
  <w:num w:numId="3">
    <w:abstractNumId w:val="3"/>
  </w:num>
  <w:num w:numId="4">
    <w:abstractNumId w:val="6"/>
  </w:num>
  <w:num w:numId="5">
    <w:abstractNumId w:val="4"/>
    <w:lvlOverride w:ilvl="0">
      <w:lvl w:ilvl="0" w:tentative="1">
        <w:start w:val="1"/>
        <w:numFmt w:val="chineseCountingThousand"/>
        <w:suff w:val="space"/>
        <w:lvlText w:val="第%1章"/>
        <w:lvlJc w:val="left"/>
        <w:pPr>
          <w:ind w:left="0" w:firstLine="0"/>
        </w:pPr>
        <w:rPr>
          <w:rFonts w:hint="default" w:ascii="Times New Roman" w:hAnsi="Times New Roman" w:eastAsia="宋体"/>
          <w:b/>
          <w:i w:val="0"/>
          <w:sz w:val="36"/>
        </w:rPr>
      </w:lvl>
    </w:lvlOverride>
    <w:lvlOverride w:ilvl="1">
      <w:lvl w:ilvl="1" w:tentative="1">
        <w:start w:val="1"/>
        <w:numFmt w:val="decimal"/>
        <w:isLgl/>
        <w:suff w:val="space"/>
        <w:lvlText w:val="%1.%2."/>
        <w:lvlJc w:val="left"/>
        <w:pPr>
          <w:ind w:left="0" w:firstLine="0"/>
        </w:pPr>
      </w:lvl>
    </w:lvlOverride>
    <w:lvlOverride w:ilvl="2">
      <w:lvl w:ilvl="2" w:tentative="1">
        <w:start w:val="1"/>
        <w:numFmt w:val="decimal"/>
        <w:isLgl/>
        <w:suff w:val="space"/>
        <w:lvlText w:val="%1.%2.%3."/>
        <w:lvlJc w:val="left"/>
        <w:pPr>
          <w:ind w:left="0" w:firstLine="0"/>
        </w:pPr>
        <w:rPr>
          <w:rFonts w:hint="default" w:ascii="Times New Roman" w:hAnsi="Times New Roman" w:eastAsia="宋体"/>
          <w:b/>
          <w:i w:val="0"/>
          <w:sz w:val="28"/>
        </w:rPr>
      </w:lvl>
    </w:lvlOverride>
    <w:lvlOverride w:ilvl="3">
      <w:lvl w:ilvl="3" w:tentative="1">
        <w:start w:val="1"/>
        <w:numFmt w:val="decimal"/>
        <w:isLgl/>
        <w:suff w:val="space"/>
        <w:lvlText w:val="%1.%2.%3.%4."/>
        <w:lvlJc w:val="left"/>
        <w:pPr>
          <w:ind w:left="0" w:firstLine="0"/>
        </w:pPr>
        <w:rPr>
          <w:rFonts w:hint="default" w:ascii="Times New Roman" w:hAnsi="Times New Roman" w:eastAsia="宋体"/>
          <w:b/>
          <w:i w:val="0"/>
          <w:sz w:val="24"/>
        </w:rPr>
      </w:lvl>
    </w:lvlOverride>
    <w:lvlOverride w:ilvl="4">
      <w:lvl w:ilvl="4" w:tentative="1">
        <w:start w:val="1"/>
        <w:numFmt w:val="decimal"/>
        <w:isLgl/>
        <w:suff w:val="space"/>
        <w:lvlText w:val="%1.%2.%3.%4.%5."/>
        <w:lvlJc w:val="left"/>
        <w:pPr>
          <w:ind w:left="0" w:firstLine="0"/>
        </w:pPr>
        <w:rPr>
          <w:rFonts w:hint="default" w:ascii="Times New Roman" w:hAnsi="Times New Roman" w:eastAsia="宋体"/>
          <w:b/>
          <w:i w:val="0"/>
          <w:sz w:val="24"/>
        </w:rPr>
      </w:lvl>
    </w:lvlOverride>
    <w:lvlOverride w:ilvl="5">
      <w:lvl w:ilvl="5" w:tentative="1">
        <w:start w:val="1"/>
        <w:numFmt w:val="decimal"/>
        <w:isLgl/>
        <w:suff w:val="space"/>
        <w:lvlText w:val="%1.%2.%3.%4.%5.%6."/>
        <w:lvlJc w:val="left"/>
        <w:pPr>
          <w:ind w:left="0" w:firstLine="0"/>
        </w:pPr>
        <w:rPr>
          <w:rFonts w:hint="default" w:ascii="Times New Roman" w:hAnsi="Times New Roman" w:eastAsia="宋体"/>
          <w:b/>
          <w:i w:val="0"/>
          <w:sz w:val="24"/>
        </w:rPr>
      </w:lvl>
    </w:lvlOverride>
    <w:lvlOverride w:ilvl="6">
      <w:lvl w:ilvl="6" w:tentative="1">
        <w:start w:val="1"/>
        <w:numFmt w:val="decimal"/>
        <w:isLgl/>
        <w:suff w:val="space"/>
        <w:lvlText w:val="%1.%2.%3.%4.%5.%6.%7."/>
        <w:lvlJc w:val="left"/>
        <w:pPr>
          <w:ind w:left="0" w:firstLine="0"/>
        </w:pPr>
        <w:rPr>
          <w:rFonts w:hint="default" w:ascii="Times New Roman" w:hAnsi="Times New Roman" w:eastAsia="宋体"/>
          <w:b/>
          <w:i w:val="0"/>
          <w:sz w:val="24"/>
        </w:rPr>
      </w:lvl>
    </w:lvlOverride>
    <w:lvlOverride w:ilvl="7">
      <w:lvl w:ilvl="7" w:tentative="1">
        <w:start w:val="1"/>
        <w:numFmt w:val="decimal"/>
        <w:isLgl/>
        <w:suff w:val="space"/>
        <w:lvlText w:val="%1.%2.%3.%4.%5.%6.%7.%8."/>
        <w:lvlJc w:val="left"/>
        <w:pPr>
          <w:ind w:left="0" w:firstLine="0"/>
        </w:pPr>
        <w:rPr>
          <w:rFonts w:hint="default" w:ascii="Times New Roman" w:hAnsi="Times New Roman" w:eastAsia="宋体"/>
          <w:b/>
          <w:i w:val="0"/>
          <w:sz w:val="24"/>
        </w:rPr>
      </w:lvl>
    </w:lvlOverride>
    <w:lvlOverride w:ilvl="8">
      <w:lvl w:ilvl="8" w:tentative="1">
        <w:start w:val="1"/>
        <w:numFmt w:val="decimal"/>
        <w:pStyle w:val="667"/>
        <w:isLgl/>
        <w:suff w:val="space"/>
        <w:lvlText w:val="%1.%2.%3.%4.%5.%6.%7.%8.%9."/>
        <w:lvlJc w:val="left"/>
        <w:pPr>
          <w:ind w:left="0" w:firstLine="0"/>
        </w:pPr>
        <w:rPr>
          <w:rFonts w:hint="default" w:ascii="Times New Roman" w:hAnsi="Times New Roman" w:eastAsia="宋体"/>
          <w:b/>
          <w:i w:val="0"/>
          <w:sz w:val="24"/>
        </w:rPr>
      </w:lvl>
    </w:lvlOverride>
  </w:num>
  <w:num w:numId="6">
    <w:abstractNumId w:val="5"/>
  </w:num>
  <w:num w:numId="7">
    <w:abstractNumId w:val="8"/>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isplayHorizontalDrawingGridEvery w:val="1"/>
  <w:displayVerticalDrawingGridEvery w:val="1"/>
  <w:noPunctuationKerning w:val="1"/>
  <w:characterSpacingControl w:val="doNotCompress"/>
  <w:footnotePr>
    <w:footnote w:id="2"/>
    <w:footnote w:id="3"/>
  </w:footnotePr>
  <w:endnotePr>
    <w:endnote w:id="0"/>
    <w:endnote w:id="1"/>
  </w:endnotePr>
  <w:compat>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4F37"/>
    <w:rsid w:val="00001D25"/>
    <w:rsid w:val="00002A6C"/>
    <w:rsid w:val="00002FD9"/>
    <w:rsid w:val="00003072"/>
    <w:rsid w:val="000030BA"/>
    <w:rsid w:val="00003918"/>
    <w:rsid w:val="0000447E"/>
    <w:rsid w:val="000052FF"/>
    <w:rsid w:val="00007128"/>
    <w:rsid w:val="00007488"/>
    <w:rsid w:val="00007EC9"/>
    <w:rsid w:val="00010086"/>
    <w:rsid w:val="000100BF"/>
    <w:rsid w:val="00010430"/>
    <w:rsid w:val="00010AD3"/>
    <w:rsid w:val="00011363"/>
    <w:rsid w:val="00012019"/>
    <w:rsid w:val="00013110"/>
    <w:rsid w:val="00013825"/>
    <w:rsid w:val="0001391E"/>
    <w:rsid w:val="00013B33"/>
    <w:rsid w:val="00013F5F"/>
    <w:rsid w:val="00013F8E"/>
    <w:rsid w:val="00014253"/>
    <w:rsid w:val="00015C8D"/>
    <w:rsid w:val="00016294"/>
    <w:rsid w:val="000169A5"/>
    <w:rsid w:val="00017045"/>
    <w:rsid w:val="000174D5"/>
    <w:rsid w:val="00017618"/>
    <w:rsid w:val="000179F6"/>
    <w:rsid w:val="00017CBE"/>
    <w:rsid w:val="00017FB7"/>
    <w:rsid w:val="000207BA"/>
    <w:rsid w:val="00020CF6"/>
    <w:rsid w:val="00021C16"/>
    <w:rsid w:val="000228FD"/>
    <w:rsid w:val="00022E89"/>
    <w:rsid w:val="00023900"/>
    <w:rsid w:val="00023FEF"/>
    <w:rsid w:val="000246A2"/>
    <w:rsid w:val="00025142"/>
    <w:rsid w:val="00025A12"/>
    <w:rsid w:val="00025FDB"/>
    <w:rsid w:val="000260E6"/>
    <w:rsid w:val="00026981"/>
    <w:rsid w:val="00026D36"/>
    <w:rsid w:val="00027561"/>
    <w:rsid w:val="000275BA"/>
    <w:rsid w:val="00027920"/>
    <w:rsid w:val="000279D0"/>
    <w:rsid w:val="00027B4E"/>
    <w:rsid w:val="00030264"/>
    <w:rsid w:val="000304DB"/>
    <w:rsid w:val="00030B39"/>
    <w:rsid w:val="00030F91"/>
    <w:rsid w:val="00031BA2"/>
    <w:rsid w:val="00033194"/>
    <w:rsid w:val="00033223"/>
    <w:rsid w:val="00033232"/>
    <w:rsid w:val="000335D3"/>
    <w:rsid w:val="0003413D"/>
    <w:rsid w:val="000347C9"/>
    <w:rsid w:val="000348C9"/>
    <w:rsid w:val="00035D1D"/>
    <w:rsid w:val="00035F65"/>
    <w:rsid w:val="000362F5"/>
    <w:rsid w:val="000367B8"/>
    <w:rsid w:val="00036C33"/>
    <w:rsid w:val="00036CDD"/>
    <w:rsid w:val="00036DF5"/>
    <w:rsid w:val="00037017"/>
    <w:rsid w:val="00040FE3"/>
    <w:rsid w:val="00041065"/>
    <w:rsid w:val="000410E1"/>
    <w:rsid w:val="00041243"/>
    <w:rsid w:val="00041BF0"/>
    <w:rsid w:val="00041E88"/>
    <w:rsid w:val="00042254"/>
    <w:rsid w:val="000424BF"/>
    <w:rsid w:val="000443F9"/>
    <w:rsid w:val="000454BD"/>
    <w:rsid w:val="0004638B"/>
    <w:rsid w:val="00047693"/>
    <w:rsid w:val="00050943"/>
    <w:rsid w:val="00051CC5"/>
    <w:rsid w:val="0005237A"/>
    <w:rsid w:val="000536C7"/>
    <w:rsid w:val="00053B63"/>
    <w:rsid w:val="00053D68"/>
    <w:rsid w:val="00054F56"/>
    <w:rsid w:val="00055D37"/>
    <w:rsid w:val="0005683D"/>
    <w:rsid w:val="00057097"/>
    <w:rsid w:val="00060AFF"/>
    <w:rsid w:val="00061EB3"/>
    <w:rsid w:val="00061EFF"/>
    <w:rsid w:val="000632F8"/>
    <w:rsid w:val="0006362A"/>
    <w:rsid w:val="00064422"/>
    <w:rsid w:val="00064776"/>
    <w:rsid w:val="000649F4"/>
    <w:rsid w:val="00066470"/>
    <w:rsid w:val="00066488"/>
    <w:rsid w:val="00067ABF"/>
    <w:rsid w:val="0007231B"/>
    <w:rsid w:val="000726CC"/>
    <w:rsid w:val="000729EE"/>
    <w:rsid w:val="00073523"/>
    <w:rsid w:val="00074CEB"/>
    <w:rsid w:val="00074F8C"/>
    <w:rsid w:val="0007528C"/>
    <w:rsid w:val="00075B9A"/>
    <w:rsid w:val="00075D0C"/>
    <w:rsid w:val="000761BD"/>
    <w:rsid w:val="000762A9"/>
    <w:rsid w:val="00076A3B"/>
    <w:rsid w:val="000819D8"/>
    <w:rsid w:val="00082494"/>
    <w:rsid w:val="00082FF7"/>
    <w:rsid w:val="0008374F"/>
    <w:rsid w:val="000842DD"/>
    <w:rsid w:val="00084B63"/>
    <w:rsid w:val="00084B83"/>
    <w:rsid w:val="000852E1"/>
    <w:rsid w:val="000861EE"/>
    <w:rsid w:val="00086B31"/>
    <w:rsid w:val="000874E9"/>
    <w:rsid w:val="00087834"/>
    <w:rsid w:val="00087BB7"/>
    <w:rsid w:val="000909C9"/>
    <w:rsid w:val="00090C3D"/>
    <w:rsid w:val="00090FC3"/>
    <w:rsid w:val="00092349"/>
    <w:rsid w:val="000924EF"/>
    <w:rsid w:val="00092BCF"/>
    <w:rsid w:val="0009368D"/>
    <w:rsid w:val="00094032"/>
    <w:rsid w:val="000941F7"/>
    <w:rsid w:val="000977FD"/>
    <w:rsid w:val="00097AF8"/>
    <w:rsid w:val="000A03FE"/>
    <w:rsid w:val="000A1DC7"/>
    <w:rsid w:val="000A2DC4"/>
    <w:rsid w:val="000A3EEE"/>
    <w:rsid w:val="000B0631"/>
    <w:rsid w:val="000B0A45"/>
    <w:rsid w:val="000B2493"/>
    <w:rsid w:val="000B2B26"/>
    <w:rsid w:val="000B3165"/>
    <w:rsid w:val="000B45CE"/>
    <w:rsid w:val="000B64C6"/>
    <w:rsid w:val="000B68FA"/>
    <w:rsid w:val="000B6A90"/>
    <w:rsid w:val="000B6FCC"/>
    <w:rsid w:val="000B74E0"/>
    <w:rsid w:val="000B792E"/>
    <w:rsid w:val="000C01D2"/>
    <w:rsid w:val="000C01E3"/>
    <w:rsid w:val="000C03BF"/>
    <w:rsid w:val="000C0403"/>
    <w:rsid w:val="000C05DC"/>
    <w:rsid w:val="000C115B"/>
    <w:rsid w:val="000C19B0"/>
    <w:rsid w:val="000C1E10"/>
    <w:rsid w:val="000C1F88"/>
    <w:rsid w:val="000C25C5"/>
    <w:rsid w:val="000C34B2"/>
    <w:rsid w:val="000C3EA4"/>
    <w:rsid w:val="000C444D"/>
    <w:rsid w:val="000C4E2D"/>
    <w:rsid w:val="000C4EA1"/>
    <w:rsid w:val="000C517D"/>
    <w:rsid w:val="000C64BE"/>
    <w:rsid w:val="000C6EBA"/>
    <w:rsid w:val="000C6F3E"/>
    <w:rsid w:val="000C6F70"/>
    <w:rsid w:val="000C707E"/>
    <w:rsid w:val="000C7C95"/>
    <w:rsid w:val="000D01BE"/>
    <w:rsid w:val="000D0BEB"/>
    <w:rsid w:val="000D0FC7"/>
    <w:rsid w:val="000D15FD"/>
    <w:rsid w:val="000D20BB"/>
    <w:rsid w:val="000D4194"/>
    <w:rsid w:val="000D4FDC"/>
    <w:rsid w:val="000D5230"/>
    <w:rsid w:val="000D6403"/>
    <w:rsid w:val="000D7632"/>
    <w:rsid w:val="000D798B"/>
    <w:rsid w:val="000D7F0C"/>
    <w:rsid w:val="000E0067"/>
    <w:rsid w:val="000E08EC"/>
    <w:rsid w:val="000E0EC6"/>
    <w:rsid w:val="000E1130"/>
    <w:rsid w:val="000E2058"/>
    <w:rsid w:val="000E368C"/>
    <w:rsid w:val="000E39D5"/>
    <w:rsid w:val="000E4662"/>
    <w:rsid w:val="000E49FE"/>
    <w:rsid w:val="000E5B52"/>
    <w:rsid w:val="000E5B8A"/>
    <w:rsid w:val="000E64EF"/>
    <w:rsid w:val="000E6755"/>
    <w:rsid w:val="000E6F91"/>
    <w:rsid w:val="000E7289"/>
    <w:rsid w:val="000F010B"/>
    <w:rsid w:val="000F3120"/>
    <w:rsid w:val="000F3626"/>
    <w:rsid w:val="000F6BD3"/>
    <w:rsid w:val="000F7D1A"/>
    <w:rsid w:val="000F7DE5"/>
    <w:rsid w:val="0010042B"/>
    <w:rsid w:val="001019E6"/>
    <w:rsid w:val="00101B1C"/>
    <w:rsid w:val="00101CAB"/>
    <w:rsid w:val="001022EA"/>
    <w:rsid w:val="00102ABE"/>
    <w:rsid w:val="00103686"/>
    <w:rsid w:val="00103CEF"/>
    <w:rsid w:val="00104410"/>
    <w:rsid w:val="001049BD"/>
    <w:rsid w:val="001057D9"/>
    <w:rsid w:val="001069F6"/>
    <w:rsid w:val="001078AD"/>
    <w:rsid w:val="001102BC"/>
    <w:rsid w:val="001118A9"/>
    <w:rsid w:val="001125FB"/>
    <w:rsid w:val="00112EB3"/>
    <w:rsid w:val="00116ACB"/>
    <w:rsid w:val="0011764C"/>
    <w:rsid w:val="001176AE"/>
    <w:rsid w:val="00117B5F"/>
    <w:rsid w:val="00117EBD"/>
    <w:rsid w:val="001203EF"/>
    <w:rsid w:val="0012043A"/>
    <w:rsid w:val="0012117F"/>
    <w:rsid w:val="00121237"/>
    <w:rsid w:val="0012188B"/>
    <w:rsid w:val="0012282B"/>
    <w:rsid w:val="001233F9"/>
    <w:rsid w:val="001237CB"/>
    <w:rsid w:val="00123D79"/>
    <w:rsid w:val="00124474"/>
    <w:rsid w:val="00125103"/>
    <w:rsid w:val="00125334"/>
    <w:rsid w:val="0012533B"/>
    <w:rsid w:val="0012583D"/>
    <w:rsid w:val="00127811"/>
    <w:rsid w:val="00127B72"/>
    <w:rsid w:val="00127F98"/>
    <w:rsid w:val="00130071"/>
    <w:rsid w:val="001300AB"/>
    <w:rsid w:val="00131629"/>
    <w:rsid w:val="00131933"/>
    <w:rsid w:val="00133FB0"/>
    <w:rsid w:val="0013415C"/>
    <w:rsid w:val="001347F8"/>
    <w:rsid w:val="00134B8A"/>
    <w:rsid w:val="001361F2"/>
    <w:rsid w:val="0013628F"/>
    <w:rsid w:val="001372F0"/>
    <w:rsid w:val="00137A5F"/>
    <w:rsid w:val="00137EDF"/>
    <w:rsid w:val="001407C6"/>
    <w:rsid w:val="00141CB9"/>
    <w:rsid w:val="0014275A"/>
    <w:rsid w:val="00142A99"/>
    <w:rsid w:val="00142BC5"/>
    <w:rsid w:val="001430F3"/>
    <w:rsid w:val="00143853"/>
    <w:rsid w:val="001444EA"/>
    <w:rsid w:val="00145D3B"/>
    <w:rsid w:val="00146A2E"/>
    <w:rsid w:val="00147B4C"/>
    <w:rsid w:val="00150BE1"/>
    <w:rsid w:val="001512BF"/>
    <w:rsid w:val="00151D9A"/>
    <w:rsid w:val="00151EC0"/>
    <w:rsid w:val="001528CF"/>
    <w:rsid w:val="00152D84"/>
    <w:rsid w:val="001533E7"/>
    <w:rsid w:val="0015384E"/>
    <w:rsid w:val="00153A04"/>
    <w:rsid w:val="00153ABD"/>
    <w:rsid w:val="00155305"/>
    <w:rsid w:val="00156858"/>
    <w:rsid w:val="00156D7F"/>
    <w:rsid w:val="001614F0"/>
    <w:rsid w:val="00164076"/>
    <w:rsid w:val="00164D39"/>
    <w:rsid w:val="00170444"/>
    <w:rsid w:val="001712E9"/>
    <w:rsid w:val="0017130C"/>
    <w:rsid w:val="00171677"/>
    <w:rsid w:val="00172085"/>
    <w:rsid w:val="0017381E"/>
    <w:rsid w:val="00173871"/>
    <w:rsid w:val="00173FC2"/>
    <w:rsid w:val="001744BC"/>
    <w:rsid w:val="001747D3"/>
    <w:rsid w:val="00174EBA"/>
    <w:rsid w:val="00175097"/>
    <w:rsid w:val="00175108"/>
    <w:rsid w:val="0017536E"/>
    <w:rsid w:val="00175652"/>
    <w:rsid w:val="00175932"/>
    <w:rsid w:val="00176469"/>
    <w:rsid w:val="00176FA5"/>
    <w:rsid w:val="00177711"/>
    <w:rsid w:val="0017786B"/>
    <w:rsid w:val="0018036A"/>
    <w:rsid w:val="00180FBB"/>
    <w:rsid w:val="00181BA3"/>
    <w:rsid w:val="00182CD4"/>
    <w:rsid w:val="00183159"/>
    <w:rsid w:val="001840BE"/>
    <w:rsid w:val="00184E01"/>
    <w:rsid w:val="001864AE"/>
    <w:rsid w:val="001873C1"/>
    <w:rsid w:val="00187AF4"/>
    <w:rsid w:val="00187CC1"/>
    <w:rsid w:val="0019083D"/>
    <w:rsid w:val="001909E6"/>
    <w:rsid w:val="00190F51"/>
    <w:rsid w:val="00191436"/>
    <w:rsid w:val="001917F1"/>
    <w:rsid w:val="00191E22"/>
    <w:rsid w:val="00192398"/>
    <w:rsid w:val="001925CF"/>
    <w:rsid w:val="0019316F"/>
    <w:rsid w:val="00193AC2"/>
    <w:rsid w:val="00194718"/>
    <w:rsid w:val="00195960"/>
    <w:rsid w:val="001965F0"/>
    <w:rsid w:val="001A0251"/>
    <w:rsid w:val="001A1970"/>
    <w:rsid w:val="001A1C13"/>
    <w:rsid w:val="001A1C76"/>
    <w:rsid w:val="001A2469"/>
    <w:rsid w:val="001A2E7C"/>
    <w:rsid w:val="001A33CB"/>
    <w:rsid w:val="001A33FF"/>
    <w:rsid w:val="001A390A"/>
    <w:rsid w:val="001A3F93"/>
    <w:rsid w:val="001A63D7"/>
    <w:rsid w:val="001A6BB4"/>
    <w:rsid w:val="001A70FD"/>
    <w:rsid w:val="001B081F"/>
    <w:rsid w:val="001B2975"/>
    <w:rsid w:val="001B2D71"/>
    <w:rsid w:val="001B318C"/>
    <w:rsid w:val="001B3941"/>
    <w:rsid w:val="001B3ED5"/>
    <w:rsid w:val="001B4009"/>
    <w:rsid w:val="001B59D5"/>
    <w:rsid w:val="001B5FC0"/>
    <w:rsid w:val="001B61D5"/>
    <w:rsid w:val="001B7B65"/>
    <w:rsid w:val="001C10AC"/>
    <w:rsid w:val="001C26E5"/>
    <w:rsid w:val="001C2BA0"/>
    <w:rsid w:val="001C33B7"/>
    <w:rsid w:val="001C3572"/>
    <w:rsid w:val="001C3BF4"/>
    <w:rsid w:val="001C51B9"/>
    <w:rsid w:val="001C5381"/>
    <w:rsid w:val="001C55DC"/>
    <w:rsid w:val="001C58FC"/>
    <w:rsid w:val="001C64EC"/>
    <w:rsid w:val="001C6532"/>
    <w:rsid w:val="001C6DAA"/>
    <w:rsid w:val="001C70F2"/>
    <w:rsid w:val="001C7106"/>
    <w:rsid w:val="001D0025"/>
    <w:rsid w:val="001D0B15"/>
    <w:rsid w:val="001D1532"/>
    <w:rsid w:val="001D2183"/>
    <w:rsid w:val="001D29EA"/>
    <w:rsid w:val="001D2D29"/>
    <w:rsid w:val="001D4D86"/>
    <w:rsid w:val="001D564A"/>
    <w:rsid w:val="001D5F1B"/>
    <w:rsid w:val="001D5FBC"/>
    <w:rsid w:val="001E04D0"/>
    <w:rsid w:val="001E09A9"/>
    <w:rsid w:val="001E0D6D"/>
    <w:rsid w:val="001E2B1D"/>
    <w:rsid w:val="001E2BAB"/>
    <w:rsid w:val="001E2CBF"/>
    <w:rsid w:val="001E3159"/>
    <w:rsid w:val="001E3B3C"/>
    <w:rsid w:val="001E3FD6"/>
    <w:rsid w:val="001E46C2"/>
    <w:rsid w:val="001F17BF"/>
    <w:rsid w:val="001F17DA"/>
    <w:rsid w:val="001F1C44"/>
    <w:rsid w:val="001F1ECB"/>
    <w:rsid w:val="001F1F86"/>
    <w:rsid w:val="001F1FB3"/>
    <w:rsid w:val="001F27DC"/>
    <w:rsid w:val="001F3760"/>
    <w:rsid w:val="001F3E32"/>
    <w:rsid w:val="001F3FE6"/>
    <w:rsid w:val="001F41AB"/>
    <w:rsid w:val="001F49A5"/>
    <w:rsid w:val="001F4A5F"/>
    <w:rsid w:val="001F4ED9"/>
    <w:rsid w:val="001F6FD5"/>
    <w:rsid w:val="001F75F6"/>
    <w:rsid w:val="00201063"/>
    <w:rsid w:val="00201A2D"/>
    <w:rsid w:val="00201EED"/>
    <w:rsid w:val="0020347F"/>
    <w:rsid w:val="00204177"/>
    <w:rsid w:val="002044AC"/>
    <w:rsid w:val="002044FD"/>
    <w:rsid w:val="00204FBE"/>
    <w:rsid w:val="0020503B"/>
    <w:rsid w:val="002053E5"/>
    <w:rsid w:val="00205790"/>
    <w:rsid w:val="00205F4E"/>
    <w:rsid w:val="00206440"/>
    <w:rsid w:val="00206D26"/>
    <w:rsid w:val="002076B7"/>
    <w:rsid w:val="00207E31"/>
    <w:rsid w:val="00210351"/>
    <w:rsid w:val="0021049A"/>
    <w:rsid w:val="00210680"/>
    <w:rsid w:val="00210A4D"/>
    <w:rsid w:val="002122F0"/>
    <w:rsid w:val="00212512"/>
    <w:rsid w:val="002125A3"/>
    <w:rsid w:val="0021319D"/>
    <w:rsid w:val="00213AC1"/>
    <w:rsid w:val="00215BC1"/>
    <w:rsid w:val="002166DC"/>
    <w:rsid w:val="0021697E"/>
    <w:rsid w:val="00216B68"/>
    <w:rsid w:val="002170B0"/>
    <w:rsid w:val="002177BD"/>
    <w:rsid w:val="00217D6A"/>
    <w:rsid w:val="00221394"/>
    <w:rsid w:val="00221BF1"/>
    <w:rsid w:val="002225D9"/>
    <w:rsid w:val="002226C2"/>
    <w:rsid w:val="00223215"/>
    <w:rsid w:val="00223A51"/>
    <w:rsid w:val="00224646"/>
    <w:rsid w:val="002247C6"/>
    <w:rsid w:val="00224802"/>
    <w:rsid w:val="00224D49"/>
    <w:rsid w:val="0022573A"/>
    <w:rsid w:val="002258A8"/>
    <w:rsid w:val="00225DBA"/>
    <w:rsid w:val="00226489"/>
    <w:rsid w:val="002275AE"/>
    <w:rsid w:val="00227C29"/>
    <w:rsid w:val="00230AD4"/>
    <w:rsid w:val="002319E3"/>
    <w:rsid w:val="00232F0B"/>
    <w:rsid w:val="00232FE1"/>
    <w:rsid w:val="0023399B"/>
    <w:rsid w:val="00234528"/>
    <w:rsid w:val="00234C0C"/>
    <w:rsid w:val="00235FFB"/>
    <w:rsid w:val="00237320"/>
    <w:rsid w:val="00237AEE"/>
    <w:rsid w:val="00240EB4"/>
    <w:rsid w:val="00241526"/>
    <w:rsid w:val="002434BB"/>
    <w:rsid w:val="00243B41"/>
    <w:rsid w:val="00243CE4"/>
    <w:rsid w:val="00243FE4"/>
    <w:rsid w:val="00244344"/>
    <w:rsid w:val="0024496D"/>
    <w:rsid w:val="00244C4E"/>
    <w:rsid w:val="00244CCC"/>
    <w:rsid w:val="00245711"/>
    <w:rsid w:val="00245CA2"/>
    <w:rsid w:val="00245FF2"/>
    <w:rsid w:val="00246FF9"/>
    <w:rsid w:val="002476FB"/>
    <w:rsid w:val="00247C89"/>
    <w:rsid w:val="00250D64"/>
    <w:rsid w:val="00250E4D"/>
    <w:rsid w:val="002518DB"/>
    <w:rsid w:val="00251964"/>
    <w:rsid w:val="00252FF8"/>
    <w:rsid w:val="00253020"/>
    <w:rsid w:val="002543EF"/>
    <w:rsid w:val="00254609"/>
    <w:rsid w:val="002547E1"/>
    <w:rsid w:val="00256712"/>
    <w:rsid w:val="00257053"/>
    <w:rsid w:val="00257D68"/>
    <w:rsid w:val="00257F55"/>
    <w:rsid w:val="00260BB0"/>
    <w:rsid w:val="00261E7B"/>
    <w:rsid w:val="00262597"/>
    <w:rsid w:val="0026309B"/>
    <w:rsid w:val="00263EC6"/>
    <w:rsid w:val="002652A4"/>
    <w:rsid w:val="00265947"/>
    <w:rsid w:val="00265C2E"/>
    <w:rsid w:val="002672E1"/>
    <w:rsid w:val="0026733F"/>
    <w:rsid w:val="002673E6"/>
    <w:rsid w:val="00270FFE"/>
    <w:rsid w:val="00271DE4"/>
    <w:rsid w:val="002732F7"/>
    <w:rsid w:val="00273EAD"/>
    <w:rsid w:val="0027459C"/>
    <w:rsid w:val="0027478F"/>
    <w:rsid w:val="00274A24"/>
    <w:rsid w:val="00274A84"/>
    <w:rsid w:val="0027570E"/>
    <w:rsid w:val="00276147"/>
    <w:rsid w:val="0027631E"/>
    <w:rsid w:val="00276913"/>
    <w:rsid w:val="002808F2"/>
    <w:rsid w:val="00280B7B"/>
    <w:rsid w:val="00281D27"/>
    <w:rsid w:val="002828C9"/>
    <w:rsid w:val="00282B28"/>
    <w:rsid w:val="00282DB5"/>
    <w:rsid w:val="0028348B"/>
    <w:rsid w:val="00283904"/>
    <w:rsid w:val="00283CE2"/>
    <w:rsid w:val="00283CF8"/>
    <w:rsid w:val="00284687"/>
    <w:rsid w:val="00284CAB"/>
    <w:rsid w:val="002850AD"/>
    <w:rsid w:val="00285A62"/>
    <w:rsid w:val="0028621C"/>
    <w:rsid w:val="002863BB"/>
    <w:rsid w:val="00286A53"/>
    <w:rsid w:val="00286E77"/>
    <w:rsid w:val="002877F1"/>
    <w:rsid w:val="0029024B"/>
    <w:rsid w:val="00290317"/>
    <w:rsid w:val="002907C2"/>
    <w:rsid w:val="00290FC7"/>
    <w:rsid w:val="00291979"/>
    <w:rsid w:val="00291E58"/>
    <w:rsid w:val="00291E7D"/>
    <w:rsid w:val="00292565"/>
    <w:rsid w:val="002925DE"/>
    <w:rsid w:val="002926D1"/>
    <w:rsid w:val="00292CB9"/>
    <w:rsid w:val="002932A6"/>
    <w:rsid w:val="00293316"/>
    <w:rsid w:val="00294653"/>
    <w:rsid w:val="00294FB7"/>
    <w:rsid w:val="0029540C"/>
    <w:rsid w:val="00295D54"/>
    <w:rsid w:val="00295F69"/>
    <w:rsid w:val="002967D5"/>
    <w:rsid w:val="00297778"/>
    <w:rsid w:val="002A03C4"/>
    <w:rsid w:val="002A2396"/>
    <w:rsid w:val="002A4304"/>
    <w:rsid w:val="002A55EB"/>
    <w:rsid w:val="002A567C"/>
    <w:rsid w:val="002A5C40"/>
    <w:rsid w:val="002A6A69"/>
    <w:rsid w:val="002A6C92"/>
    <w:rsid w:val="002A7179"/>
    <w:rsid w:val="002B0961"/>
    <w:rsid w:val="002B12CF"/>
    <w:rsid w:val="002B1A2B"/>
    <w:rsid w:val="002B43D0"/>
    <w:rsid w:val="002B4994"/>
    <w:rsid w:val="002B56EC"/>
    <w:rsid w:val="002B5F84"/>
    <w:rsid w:val="002B6B5E"/>
    <w:rsid w:val="002B7117"/>
    <w:rsid w:val="002C00A2"/>
    <w:rsid w:val="002C07F6"/>
    <w:rsid w:val="002C09AA"/>
    <w:rsid w:val="002C1262"/>
    <w:rsid w:val="002C1404"/>
    <w:rsid w:val="002C176B"/>
    <w:rsid w:val="002C203B"/>
    <w:rsid w:val="002C2F68"/>
    <w:rsid w:val="002C3974"/>
    <w:rsid w:val="002C42AB"/>
    <w:rsid w:val="002C558A"/>
    <w:rsid w:val="002C588F"/>
    <w:rsid w:val="002C59AA"/>
    <w:rsid w:val="002C6272"/>
    <w:rsid w:val="002C7B6C"/>
    <w:rsid w:val="002C7F00"/>
    <w:rsid w:val="002D0EBC"/>
    <w:rsid w:val="002D120A"/>
    <w:rsid w:val="002D2775"/>
    <w:rsid w:val="002D2DB5"/>
    <w:rsid w:val="002D3216"/>
    <w:rsid w:val="002D37BA"/>
    <w:rsid w:val="002D3961"/>
    <w:rsid w:val="002D3ED9"/>
    <w:rsid w:val="002D4FB9"/>
    <w:rsid w:val="002D5097"/>
    <w:rsid w:val="002D55FB"/>
    <w:rsid w:val="002D586E"/>
    <w:rsid w:val="002D5EE0"/>
    <w:rsid w:val="002D6729"/>
    <w:rsid w:val="002D79AC"/>
    <w:rsid w:val="002E1089"/>
    <w:rsid w:val="002E155C"/>
    <w:rsid w:val="002E1E54"/>
    <w:rsid w:val="002E2670"/>
    <w:rsid w:val="002E3A7C"/>
    <w:rsid w:val="002E3B6F"/>
    <w:rsid w:val="002E44D0"/>
    <w:rsid w:val="002E4831"/>
    <w:rsid w:val="002E4BFD"/>
    <w:rsid w:val="002E5AF1"/>
    <w:rsid w:val="002E688A"/>
    <w:rsid w:val="002E75F5"/>
    <w:rsid w:val="002F0D87"/>
    <w:rsid w:val="002F2FF9"/>
    <w:rsid w:val="002F30DA"/>
    <w:rsid w:val="002F3E03"/>
    <w:rsid w:val="002F4A19"/>
    <w:rsid w:val="002F4C88"/>
    <w:rsid w:val="002F5514"/>
    <w:rsid w:val="002F5FC0"/>
    <w:rsid w:val="002F6874"/>
    <w:rsid w:val="002F73DA"/>
    <w:rsid w:val="002F7800"/>
    <w:rsid w:val="002F7A96"/>
    <w:rsid w:val="00301C83"/>
    <w:rsid w:val="00303699"/>
    <w:rsid w:val="003045BB"/>
    <w:rsid w:val="00304D36"/>
    <w:rsid w:val="00305A53"/>
    <w:rsid w:val="00305B57"/>
    <w:rsid w:val="003079FE"/>
    <w:rsid w:val="00310D00"/>
    <w:rsid w:val="00311507"/>
    <w:rsid w:val="00311A02"/>
    <w:rsid w:val="00311CBC"/>
    <w:rsid w:val="00312C31"/>
    <w:rsid w:val="00313B1A"/>
    <w:rsid w:val="00313BD1"/>
    <w:rsid w:val="003142BE"/>
    <w:rsid w:val="00314C50"/>
    <w:rsid w:val="003151E8"/>
    <w:rsid w:val="003152DF"/>
    <w:rsid w:val="00316725"/>
    <w:rsid w:val="003168B9"/>
    <w:rsid w:val="00317517"/>
    <w:rsid w:val="00320B93"/>
    <w:rsid w:val="003213EB"/>
    <w:rsid w:val="0032157C"/>
    <w:rsid w:val="0032164B"/>
    <w:rsid w:val="00322690"/>
    <w:rsid w:val="00323130"/>
    <w:rsid w:val="00323C50"/>
    <w:rsid w:val="00325A6B"/>
    <w:rsid w:val="00325B91"/>
    <w:rsid w:val="00326074"/>
    <w:rsid w:val="003275F5"/>
    <w:rsid w:val="003300BA"/>
    <w:rsid w:val="003301DE"/>
    <w:rsid w:val="003302C7"/>
    <w:rsid w:val="00330399"/>
    <w:rsid w:val="003304C0"/>
    <w:rsid w:val="00330D44"/>
    <w:rsid w:val="003317DF"/>
    <w:rsid w:val="0033210A"/>
    <w:rsid w:val="003325A1"/>
    <w:rsid w:val="00332EFB"/>
    <w:rsid w:val="00333421"/>
    <w:rsid w:val="003342A2"/>
    <w:rsid w:val="0033458B"/>
    <w:rsid w:val="00334E68"/>
    <w:rsid w:val="003353E8"/>
    <w:rsid w:val="003361B1"/>
    <w:rsid w:val="00336FDB"/>
    <w:rsid w:val="003379D6"/>
    <w:rsid w:val="00340A22"/>
    <w:rsid w:val="00340AF4"/>
    <w:rsid w:val="0034102A"/>
    <w:rsid w:val="00341A24"/>
    <w:rsid w:val="00341EA0"/>
    <w:rsid w:val="00342041"/>
    <w:rsid w:val="003423FB"/>
    <w:rsid w:val="003429AB"/>
    <w:rsid w:val="00343010"/>
    <w:rsid w:val="00343078"/>
    <w:rsid w:val="00343149"/>
    <w:rsid w:val="003443D3"/>
    <w:rsid w:val="00344DF6"/>
    <w:rsid w:val="00346059"/>
    <w:rsid w:val="00346B03"/>
    <w:rsid w:val="003505DC"/>
    <w:rsid w:val="0035195E"/>
    <w:rsid w:val="0035221C"/>
    <w:rsid w:val="00352748"/>
    <w:rsid w:val="00352E71"/>
    <w:rsid w:val="00353155"/>
    <w:rsid w:val="003531BB"/>
    <w:rsid w:val="00353B3B"/>
    <w:rsid w:val="00353E4D"/>
    <w:rsid w:val="003564B5"/>
    <w:rsid w:val="00356792"/>
    <w:rsid w:val="00357FEA"/>
    <w:rsid w:val="00360347"/>
    <w:rsid w:val="0036165B"/>
    <w:rsid w:val="00361A66"/>
    <w:rsid w:val="0036211E"/>
    <w:rsid w:val="00362198"/>
    <w:rsid w:val="00363047"/>
    <w:rsid w:val="003633B2"/>
    <w:rsid w:val="003642BC"/>
    <w:rsid w:val="0036432B"/>
    <w:rsid w:val="00367957"/>
    <w:rsid w:val="00367C58"/>
    <w:rsid w:val="00367DB8"/>
    <w:rsid w:val="003701C8"/>
    <w:rsid w:val="003715ED"/>
    <w:rsid w:val="00372144"/>
    <w:rsid w:val="00372D20"/>
    <w:rsid w:val="00372F34"/>
    <w:rsid w:val="00373515"/>
    <w:rsid w:val="003740EC"/>
    <w:rsid w:val="00374197"/>
    <w:rsid w:val="0037429B"/>
    <w:rsid w:val="00374976"/>
    <w:rsid w:val="0037504F"/>
    <w:rsid w:val="003751DD"/>
    <w:rsid w:val="003752BC"/>
    <w:rsid w:val="0037559B"/>
    <w:rsid w:val="003758E9"/>
    <w:rsid w:val="0037624A"/>
    <w:rsid w:val="00376685"/>
    <w:rsid w:val="00376BCE"/>
    <w:rsid w:val="00377530"/>
    <w:rsid w:val="00377653"/>
    <w:rsid w:val="00377F67"/>
    <w:rsid w:val="0038027C"/>
    <w:rsid w:val="00381D0E"/>
    <w:rsid w:val="00381DDF"/>
    <w:rsid w:val="00382B75"/>
    <w:rsid w:val="00383DDE"/>
    <w:rsid w:val="003848C2"/>
    <w:rsid w:val="00386036"/>
    <w:rsid w:val="0038661E"/>
    <w:rsid w:val="00386F00"/>
    <w:rsid w:val="003872B0"/>
    <w:rsid w:val="0038767A"/>
    <w:rsid w:val="003879C0"/>
    <w:rsid w:val="00390100"/>
    <w:rsid w:val="0039015B"/>
    <w:rsid w:val="00390350"/>
    <w:rsid w:val="003906A9"/>
    <w:rsid w:val="003906CF"/>
    <w:rsid w:val="00390D54"/>
    <w:rsid w:val="003923C4"/>
    <w:rsid w:val="003928E2"/>
    <w:rsid w:val="00394078"/>
    <w:rsid w:val="003955AB"/>
    <w:rsid w:val="00396145"/>
    <w:rsid w:val="00396171"/>
    <w:rsid w:val="00396F33"/>
    <w:rsid w:val="00397897"/>
    <w:rsid w:val="00397AC5"/>
    <w:rsid w:val="003A169F"/>
    <w:rsid w:val="003A1D61"/>
    <w:rsid w:val="003A1D79"/>
    <w:rsid w:val="003A1E8A"/>
    <w:rsid w:val="003A346B"/>
    <w:rsid w:val="003A3884"/>
    <w:rsid w:val="003A39F5"/>
    <w:rsid w:val="003A3DF7"/>
    <w:rsid w:val="003A4295"/>
    <w:rsid w:val="003A4C26"/>
    <w:rsid w:val="003A596A"/>
    <w:rsid w:val="003A6391"/>
    <w:rsid w:val="003A7625"/>
    <w:rsid w:val="003A7D62"/>
    <w:rsid w:val="003B0704"/>
    <w:rsid w:val="003B0F95"/>
    <w:rsid w:val="003B289B"/>
    <w:rsid w:val="003B2D0E"/>
    <w:rsid w:val="003B3A3D"/>
    <w:rsid w:val="003B3EC8"/>
    <w:rsid w:val="003B4439"/>
    <w:rsid w:val="003B4A22"/>
    <w:rsid w:val="003B5798"/>
    <w:rsid w:val="003B5E17"/>
    <w:rsid w:val="003B6963"/>
    <w:rsid w:val="003B7A01"/>
    <w:rsid w:val="003C02CB"/>
    <w:rsid w:val="003C0FB9"/>
    <w:rsid w:val="003C1E03"/>
    <w:rsid w:val="003C1FDC"/>
    <w:rsid w:val="003C2743"/>
    <w:rsid w:val="003C3665"/>
    <w:rsid w:val="003C4198"/>
    <w:rsid w:val="003C547D"/>
    <w:rsid w:val="003C71A5"/>
    <w:rsid w:val="003C764E"/>
    <w:rsid w:val="003C767D"/>
    <w:rsid w:val="003D10A0"/>
    <w:rsid w:val="003D1228"/>
    <w:rsid w:val="003D16AE"/>
    <w:rsid w:val="003D1F37"/>
    <w:rsid w:val="003D2E47"/>
    <w:rsid w:val="003D2E9D"/>
    <w:rsid w:val="003D30D4"/>
    <w:rsid w:val="003D3A24"/>
    <w:rsid w:val="003D3D92"/>
    <w:rsid w:val="003D65EE"/>
    <w:rsid w:val="003D79DF"/>
    <w:rsid w:val="003D7AF3"/>
    <w:rsid w:val="003E051D"/>
    <w:rsid w:val="003E09FD"/>
    <w:rsid w:val="003E0C6A"/>
    <w:rsid w:val="003E0D91"/>
    <w:rsid w:val="003E1063"/>
    <w:rsid w:val="003E10FB"/>
    <w:rsid w:val="003E2144"/>
    <w:rsid w:val="003E279C"/>
    <w:rsid w:val="003E2AD8"/>
    <w:rsid w:val="003E3542"/>
    <w:rsid w:val="003E452F"/>
    <w:rsid w:val="003E476B"/>
    <w:rsid w:val="003E47CB"/>
    <w:rsid w:val="003E59D1"/>
    <w:rsid w:val="003E6598"/>
    <w:rsid w:val="003E6DC1"/>
    <w:rsid w:val="003E73C2"/>
    <w:rsid w:val="003E7A9D"/>
    <w:rsid w:val="003E7D8A"/>
    <w:rsid w:val="003F2209"/>
    <w:rsid w:val="003F2513"/>
    <w:rsid w:val="003F2AB8"/>
    <w:rsid w:val="003F30D6"/>
    <w:rsid w:val="003F4211"/>
    <w:rsid w:val="003F4D5B"/>
    <w:rsid w:val="003F4F5B"/>
    <w:rsid w:val="003F584C"/>
    <w:rsid w:val="003F5903"/>
    <w:rsid w:val="003F5AAA"/>
    <w:rsid w:val="003F5EF0"/>
    <w:rsid w:val="003F6985"/>
    <w:rsid w:val="003F6F03"/>
    <w:rsid w:val="003F761A"/>
    <w:rsid w:val="0040059D"/>
    <w:rsid w:val="00400A93"/>
    <w:rsid w:val="00401742"/>
    <w:rsid w:val="00402473"/>
    <w:rsid w:val="00402539"/>
    <w:rsid w:val="00403EF0"/>
    <w:rsid w:val="0040608C"/>
    <w:rsid w:val="004063B2"/>
    <w:rsid w:val="004066D7"/>
    <w:rsid w:val="00406BD6"/>
    <w:rsid w:val="00406DDF"/>
    <w:rsid w:val="0041021B"/>
    <w:rsid w:val="0041060F"/>
    <w:rsid w:val="00410B7F"/>
    <w:rsid w:val="004126BC"/>
    <w:rsid w:val="00412C6D"/>
    <w:rsid w:val="004139F3"/>
    <w:rsid w:val="00413F7E"/>
    <w:rsid w:val="00414769"/>
    <w:rsid w:val="0041572F"/>
    <w:rsid w:val="00415E2F"/>
    <w:rsid w:val="00416282"/>
    <w:rsid w:val="004163A9"/>
    <w:rsid w:val="004173C7"/>
    <w:rsid w:val="00420582"/>
    <w:rsid w:val="00420586"/>
    <w:rsid w:val="0042099D"/>
    <w:rsid w:val="00420B9F"/>
    <w:rsid w:val="00421D56"/>
    <w:rsid w:val="00422A34"/>
    <w:rsid w:val="00423618"/>
    <w:rsid w:val="00424DCD"/>
    <w:rsid w:val="0042691C"/>
    <w:rsid w:val="00427465"/>
    <w:rsid w:val="00427B5D"/>
    <w:rsid w:val="0043081A"/>
    <w:rsid w:val="0043231C"/>
    <w:rsid w:val="0043274B"/>
    <w:rsid w:val="004329C7"/>
    <w:rsid w:val="00432B08"/>
    <w:rsid w:val="00432BA9"/>
    <w:rsid w:val="00432F01"/>
    <w:rsid w:val="00434A9D"/>
    <w:rsid w:val="00434B1C"/>
    <w:rsid w:val="00435B09"/>
    <w:rsid w:val="00436D4B"/>
    <w:rsid w:val="004374C4"/>
    <w:rsid w:val="0043767B"/>
    <w:rsid w:val="00437F17"/>
    <w:rsid w:val="00440CDC"/>
    <w:rsid w:val="00441F1E"/>
    <w:rsid w:val="004429A3"/>
    <w:rsid w:val="004430B6"/>
    <w:rsid w:val="00443AAC"/>
    <w:rsid w:val="004443A6"/>
    <w:rsid w:val="00444927"/>
    <w:rsid w:val="004449FA"/>
    <w:rsid w:val="00445511"/>
    <w:rsid w:val="00446148"/>
    <w:rsid w:val="0044671A"/>
    <w:rsid w:val="004468F0"/>
    <w:rsid w:val="00446C8F"/>
    <w:rsid w:val="0044755D"/>
    <w:rsid w:val="004478B6"/>
    <w:rsid w:val="004479BC"/>
    <w:rsid w:val="00447EA4"/>
    <w:rsid w:val="00451687"/>
    <w:rsid w:val="00451B18"/>
    <w:rsid w:val="00453983"/>
    <w:rsid w:val="004539E5"/>
    <w:rsid w:val="0045400D"/>
    <w:rsid w:val="0045459E"/>
    <w:rsid w:val="00454B55"/>
    <w:rsid w:val="00454B6A"/>
    <w:rsid w:val="0045510B"/>
    <w:rsid w:val="00455EE1"/>
    <w:rsid w:val="00456062"/>
    <w:rsid w:val="0045636A"/>
    <w:rsid w:val="0045767E"/>
    <w:rsid w:val="004608FE"/>
    <w:rsid w:val="00461CFB"/>
    <w:rsid w:val="00462ACD"/>
    <w:rsid w:val="00463AD3"/>
    <w:rsid w:val="004644CD"/>
    <w:rsid w:val="00464F82"/>
    <w:rsid w:val="00465345"/>
    <w:rsid w:val="00465BDB"/>
    <w:rsid w:val="0046644A"/>
    <w:rsid w:val="00466F1C"/>
    <w:rsid w:val="004705CD"/>
    <w:rsid w:val="00473822"/>
    <w:rsid w:val="00473C6C"/>
    <w:rsid w:val="004749AD"/>
    <w:rsid w:val="00475162"/>
    <w:rsid w:val="00475BCB"/>
    <w:rsid w:val="00475D32"/>
    <w:rsid w:val="00475F7D"/>
    <w:rsid w:val="004768FE"/>
    <w:rsid w:val="0047690D"/>
    <w:rsid w:val="00476B42"/>
    <w:rsid w:val="004776C4"/>
    <w:rsid w:val="0048061E"/>
    <w:rsid w:val="004814C1"/>
    <w:rsid w:val="00481AE3"/>
    <w:rsid w:val="00481C75"/>
    <w:rsid w:val="00481CA3"/>
    <w:rsid w:val="004837EA"/>
    <w:rsid w:val="00484EEF"/>
    <w:rsid w:val="00485B02"/>
    <w:rsid w:val="00485DCF"/>
    <w:rsid w:val="004860DF"/>
    <w:rsid w:val="00486AAF"/>
    <w:rsid w:val="00487038"/>
    <w:rsid w:val="00487CD1"/>
    <w:rsid w:val="00487CD2"/>
    <w:rsid w:val="00490568"/>
    <w:rsid w:val="00492030"/>
    <w:rsid w:val="00492919"/>
    <w:rsid w:val="00492A22"/>
    <w:rsid w:val="00492B9E"/>
    <w:rsid w:val="0049312E"/>
    <w:rsid w:val="00493692"/>
    <w:rsid w:val="004944D1"/>
    <w:rsid w:val="0049451D"/>
    <w:rsid w:val="004949E9"/>
    <w:rsid w:val="00495053"/>
    <w:rsid w:val="00496255"/>
    <w:rsid w:val="004962FF"/>
    <w:rsid w:val="004971F1"/>
    <w:rsid w:val="004A0BB5"/>
    <w:rsid w:val="004A233E"/>
    <w:rsid w:val="004A2D27"/>
    <w:rsid w:val="004A37CF"/>
    <w:rsid w:val="004A38DD"/>
    <w:rsid w:val="004A4615"/>
    <w:rsid w:val="004A46F7"/>
    <w:rsid w:val="004A57C7"/>
    <w:rsid w:val="004A5EBF"/>
    <w:rsid w:val="004A6C25"/>
    <w:rsid w:val="004A75DF"/>
    <w:rsid w:val="004B1814"/>
    <w:rsid w:val="004B260F"/>
    <w:rsid w:val="004B2897"/>
    <w:rsid w:val="004B293D"/>
    <w:rsid w:val="004B2E7A"/>
    <w:rsid w:val="004B2F11"/>
    <w:rsid w:val="004B36FB"/>
    <w:rsid w:val="004B4302"/>
    <w:rsid w:val="004B4E4D"/>
    <w:rsid w:val="004B519A"/>
    <w:rsid w:val="004B51FB"/>
    <w:rsid w:val="004B551B"/>
    <w:rsid w:val="004B574F"/>
    <w:rsid w:val="004B57AF"/>
    <w:rsid w:val="004B780F"/>
    <w:rsid w:val="004B7C23"/>
    <w:rsid w:val="004B7F85"/>
    <w:rsid w:val="004C0460"/>
    <w:rsid w:val="004C05FC"/>
    <w:rsid w:val="004C071C"/>
    <w:rsid w:val="004C26E1"/>
    <w:rsid w:val="004C27E3"/>
    <w:rsid w:val="004C2881"/>
    <w:rsid w:val="004C2B66"/>
    <w:rsid w:val="004C2B99"/>
    <w:rsid w:val="004C30CD"/>
    <w:rsid w:val="004C5039"/>
    <w:rsid w:val="004C5D30"/>
    <w:rsid w:val="004C6EFA"/>
    <w:rsid w:val="004C7216"/>
    <w:rsid w:val="004C7E63"/>
    <w:rsid w:val="004D12ED"/>
    <w:rsid w:val="004D1717"/>
    <w:rsid w:val="004D2A64"/>
    <w:rsid w:val="004D2CE6"/>
    <w:rsid w:val="004D397E"/>
    <w:rsid w:val="004D4384"/>
    <w:rsid w:val="004D470B"/>
    <w:rsid w:val="004D5195"/>
    <w:rsid w:val="004D555F"/>
    <w:rsid w:val="004D5946"/>
    <w:rsid w:val="004D6807"/>
    <w:rsid w:val="004D6CD8"/>
    <w:rsid w:val="004D7EDF"/>
    <w:rsid w:val="004D7F60"/>
    <w:rsid w:val="004E0003"/>
    <w:rsid w:val="004E051B"/>
    <w:rsid w:val="004E092E"/>
    <w:rsid w:val="004E21BB"/>
    <w:rsid w:val="004E23E9"/>
    <w:rsid w:val="004E310C"/>
    <w:rsid w:val="004E3448"/>
    <w:rsid w:val="004E3F5F"/>
    <w:rsid w:val="004E42C1"/>
    <w:rsid w:val="004E4678"/>
    <w:rsid w:val="004E4BCF"/>
    <w:rsid w:val="004E4C2A"/>
    <w:rsid w:val="004E5294"/>
    <w:rsid w:val="004E5979"/>
    <w:rsid w:val="004E666A"/>
    <w:rsid w:val="004E69E7"/>
    <w:rsid w:val="004E6DB9"/>
    <w:rsid w:val="004E7974"/>
    <w:rsid w:val="004E7B48"/>
    <w:rsid w:val="004F0916"/>
    <w:rsid w:val="004F0A79"/>
    <w:rsid w:val="004F0B48"/>
    <w:rsid w:val="004F0EBD"/>
    <w:rsid w:val="004F0F0A"/>
    <w:rsid w:val="004F1067"/>
    <w:rsid w:val="004F17DF"/>
    <w:rsid w:val="004F2742"/>
    <w:rsid w:val="004F295C"/>
    <w:rsid w:val="004F375A"/>
    <w:rsid w:val="004F4EDC"/>
    <w:rsid w:val="004F5950"/>
    <w:rsid w:val="004F5BBA"/>
    <w:rsid w:val="004F5EE9"/>
    <w:rsid w:val="004F67D5"/>
    <w:rsid w:val="004F777E"/>
    <w:rsid w:val="005001B7"/>
    <w:rsid w:val="0050053A"/>
    <w:rsid w:val="0050083D"/>
    <w:rsid w:val="00501C4E"/>
    <w:rsid w:val="00502350"/>
    <w:rsid w:val="00502C28"/>
    <w:rsid w:val="00502C95"/>
    <w:rsid w:val="00502F00"/>
    <w:rsid w:val="00505352"/>
    <w:rsid w:val="0050537E"/>
    <w:rsid w:val="00505BF8"/>
    <w:rsid w:val="005061FB"/>
    <w:rsid w:val="005068D6"/>
    <w:rsid w:val="00506B70"/>
    <w:rsid w:val="005073AC"/>
    <w:rsid w:val="00510D81"/>
    <w:rsid w:val="0051135A"/>
    <w:rsid w:val="00512514"/>
    <w:rsid w:val="0051292C"/>
    <w:rsid w:val="00514F7E"/>
    <w:rsid w:val="00515D10"/>
    <w:rsid w:val="00515D1E"/>
    <w:rsid w:val="00515F8F"/>
    <w:rsid w:val="00516EA1"/>
    <w:rsid w:val="00516FB6"/>
    <w:rsid w:val="005176F6"/>
    <w:rsid w:val="00517A62"/>
    <w:rsid w:val="0052176B"/>
    <w:rsid w:val="005227F6"/>
    <w:rsid w:val="00522C38"/>
    <w:rsid w:val="005238F4"/>
    <w:rsid w:val="00523B6F"/>
    <w:rsid w:val="005243D7"/>
    <w:rsid w:val="00524D8E"/>
    <w:rsid w:val="00526373"/>
    <w:rsid w:val="005278C6"/>
    <w:rsid w:val="005303C4"/>
    <w:rsid w:val="00530489"/>
    <w:rsid w:val="0053130E"/>
    <w:rsid w:val="0053146D"/>
    <w:rsid w:val="00531BED"/>
    <w:rsid w:val="005327C9"/>
    <w:rsid w:val="00533323"/>
    <w:rsid w:val="00533679"/>
    <w:rsid w:val="00533C83"/>
    <w:rsid w:val="00533CB0"/>
    <w:rsid w:val="0053444C"/>
    <w:rsid w:val="0053581C"/>
    <w:rsid w:val="00535C63"/>
    <w:rsid w:val="00536C38"/>
    <w:rsid w:val="00537E14"/>
    <w:rsid w:val="00540279"/>
    <w:rsid w:val="005408C0"/>
    <w:rsid w:val="00540D96"/>
    <w:rsid w:val="00540E32"/>
    <w:rsid w:val="00540F5C"/>
    <w:rsid w:val="00541591"/>
    <w:rsid w:val="005421D1"/>
    <w:rsid w:val="005423BF"/>
    <w:rsid w:val="00542B03"/>
    <w:rsid w:val="00544C40"/>
    <w:rsid w:val="00545ABB"/>
    <w:rsid w:val="00545E76"/>
    <w:rsid w:val="00545F7A"/>
    <w:rsid w:val="005460F9"/>
    <w:rsid w:val="005473DB"/>
    <w:rsid w:val="00547D69"/>
    <w:rsid w:val="0055095F"/>
    <w:rsid w:val="00551402"/>
    <w:rsid w:val="0055395B"/>
    <w:rsid w:val="00553EB2"/>
    <w:rsid w:val="005554A9"/>
    <w:rsid w:val="00555FB7"/>
    <w:rsid w:val="0055672B"/>
    <w:rsid w:val="005569D7"/>
    <w:rsid w:val="00556C79"/>
    <w:rsid w:val="00557923"/>
    <w:rsid w:val="005603F1"/>
    <w:rsid w:val="0056103D"/>
    <w:rsid w:val="0056108C"/>
    <w:rsid w:val="005615E5"/>
    <w:rsid w:val="00561611"/>
    <w:rsid w:val="005618B4"/>
    <w:rsid w:val="00561C41"/>
    <w:rsid w:val="005620A3"/>
    <w:rsid w:val="005626BD"/>
    <w:rsid w:val="005631DE"/>
    <w:rsid w:val="00563590"/>
    <w:rsid w:val="00563805"/>
    <w:rsid w:val="005639AE"/>
    <w:rsid w:val="00565907"/>
    <w:rsid w:val="0056682C"/>
    <w:rsid w:val="0056711B"/>
    <w:rsid w:val="005672C4"/>
    <w:rsid w:val="00570206"/>
    <w:rsid w:val="00570898"/>
    <w:rsid w:val="0057260F"/>
    <w:rsid w:val="00572918"/>
    <w:rsid w:val="00573E28"/>
    <w:rsid w:val="005744B9"/>
    <w:rsid w:val="0057479D"/>
    <w:rsid w:val="00575077"/>
    <w:rsid w:val="00575092"/>
    <w:rsid w:val="005762EB"/>
    <w:rsid w:val="005767DD"/>
    <w:rsid w:val="00576E8D"/>
    <w:rsid w:val="00577492"/>
    <w:rsid w:val="00577D67"/>
    <w:rsid w:val="00580D87"/>
    <w:rsid w:val="00581F7F"/>
    <w:rsid w:val="0058237A"/>
    <w:rsid w:val="00582555"/>
    <w:rsid w:val="00582DD8"/>
    <w:rsid w:val="0058338C"/>
    <w:rsid w:val="005842FA"/>
    <w:rsid w:val="00584477"/>
    <w:rsid w:val="0058458C"/>
    <w:rsid w:val="00584EB5"/>
    <w:rsid w:val="005852BE"/>
    <w:rsid w:val="00585452"/>
    <w:rsid w:val="005866A4"/>
    <w:rsid w:val="00590922"/>
    <w:rsid w:val="005924DA"/>
    <w:rsid w:val="00592AAF"/>
    <w:rsid w:val="00592F05"/>
    <w:rsid w:val="00593830"/>
    <w:rsid w:val="005951EB"/>
    <w:rsid w:val="00595E80"/>
    <w:rsid w:val="00597DAF"/>
    <w:rsid w:val="005A022B"/>
    <w:rsid w:val="005A02EB"/>
    <w:rsid w:val="005A0FC2"/>
    <w:rsid w:val="005A22D9"/>
    <w:rsid w:val="005A41E7"/>
    <w:rsid w:val="005A479B"/>
    <w:rsid w:val="005A47D6"/>
    <w:rsid w:val="005A538C"/>
    <w:rsid w:val="005A5C36"/>
    <w:rsid w:val="005A5E2A"/>
    <w:rsid w:val="005A7D45"/>
    <w:rsid w:val="005B1027"/>
    <w:rsid w:val="005B14E0"/>
    <w:rsid w:val="005B1990"/>
    <w:rsid w:val="005B1A62"/>
    <w:rsid w:val="005B23DD"/>
    <w:rsid w:val="005B26ED"/>
    <w:rsid w:val="005B3ACC"/>
    <w:rsid w:val="005B3D5B"/>
    <w:rsid w:val="005B54E2"/>
    <w:rsid w:val="005B5646"/>
    <w:rsid w:val="005B587C"/>
    <w:rsid w:val="005B6CBF"/>
    <w:rsid w:val="005B6F86"/>
    <w:rsid w:val="005B731C"/>
    <w:rsid w:val="005B7B6A"/>
    <w:rsid w:val="005C026E"/>
    <w:rsid w:val="005C1E3D"/>
    <w:rsid w:val="005C2CD6"/>
    <w:rsid w:val="005C3CD1"/>
    <w:rsid w:val="005C4FF8"/>
    <w:rsid w:val="005C667E"/>
    <w:rsid w:val="005C69B8"/>
    <w:rsid w:val="005C6A7B"/>
    <w:rsid w:val="005D0137"/>
    <w:rsid w:val="005D06C4"/>
    <w:rsid w:val="005D25EE"/>
    <w:rsid w:val="005D29A6"/>
    <w:rsid w:val="005D29E4"/>
    <w:rsid w:val="005D2A89"/>
    <w:rsid w:val="005D37AA"/>
    <w:rsid w:val="005D3EB3"/>
    <w:rsid w:val="005D60B8"/>
    <w:rsid w:val="005D62BE"/>
    <w:rsid w:val="005D63E6"/>
    <w:rsid w:val="005D6417"/>
    <w:rsid w:val="005D6609"/>
    <w:rsid w:val="005D6719"/>
    <w:rsid w:val="005D6931"/>
    <w:rsid w:val="005D71C6"/>
    <w:rsid w:val="005E0A0F"/>
    <w:rsid w:val="005E0F6B"/>
    <w:rsid w:val="005E1BD1"/>
    <w:rsid w:val="005E24E9"/>
    <w:rsid w:val="005E2CDE"/>
    <w:rsid w:val="005E3FFD"/>
    <w:rsid w:val="005E4264"/>
    <w:rsid w:val="005E448A"/>
    <w:rsid w:val="005E4BF2"/>
    <w:rsid w:val="005E4C79"/>
    <w:rsid w:val="005E4DCC"/>
    <w:rsid w:val="005E6CB6"/>
    <w:rsid w:val="005E6CEB"/>
    <w:rsid w:val="005E71FF"/>
    <w:rsid w:val="005E76C0"/>
    <w:rsid w:val="005E7FDF"/>
    <w:rsid w:val="005E7FFD"/>
    <w:rsid w:val="005F0D75"/>
    <w:rsid w:val="005F16A1"/>
    <w:rsid w:val="005F1789"/>
    <w:rsid w:val="005F2B86"/>
    <w:rsid w:val="005F3851"/>
    <w:rsid w:val="005F3956"/>
    <w:rsid w:val="005F3D05"/>
    <w:rsid w:val="005F3E00"/>
    <w:rsid w:val="005F4E8E"/>
    <w:rsid w:val="005F5154"/>
    <w:rsid w:val="005F64DE"/>
    <w:rsid w:val="005F73BD"/>
    <w:rsid w:val="005F7749"/>
    <w:rsid w:val="00600001"/>
    <w:rsid w:val="006001F7"/>
    <w:rsid w:val="00600635"/>
    <w:rsid w:val="0060064C"/>
    <w:rsid w:val="00600CFC"/>
    <w:rsid w:val="00601091"/>
    <w:rsid w:val="006018B9"/>
    <w:rsid w:val="006030D3"/>
    <w:rsid w:val="006031C4"/>
    <w:rsid w:val="00603406"/>
    <w:rsid w:val="00603615"/>
    <w:rsid w:val="00604BD4"/>
    <w:rsid w:val="00605285"/>
    <w:rsid w:val="006062FE"/>
    <w:rsid w:val="0060650C"/>
    <w:rsid w:val="00606972"/>
    <w:rsid w:val="00606E93"/>
    <w:rsid w:val="00606FE2"/>
    <w:rsid w:val="00607053"/>
    <w:rsid w:val="00607119"/>
    <w:rsid w:val="006074B0"/>
    <w:rsid w:val="00610012"/>
    <w:rsid w:val="00610239"/>
    <w:rsid w:val="00610560"/>
    <w:rsid w:val="006105CF"/>
    <w:rsid w:val="00610A20"/>
    <w:rsid w:val="00611600"/>
    <w:rsid w:val="00611977"/>
    <w:rsid w:val="0061298D"/>
    <w:rsid w:val="00613038"/>
    <w:rsid w:val="006136D6"/>
    <w:rsid w:val="0061722B"/>
    <w:rsid w:val="00617AED"/>
    <w:rsid w:val="00620BC5"/>
    <w:rsid w:val="00620E37"/>
    <w:rsid w:val="006226A9"/>
    <w:rsid w:val="006227ED"/>
    <w:rsid w:val="00622C35"/>
    <w:rsid w:val="006235BF"/>
    <w:rsid w:val="00623875"/>
    <w:rsid w:val="00623DE1"/>
    <w:rsid w:val="00624413"/>
    <w:rsid w:val="0062681B"/>
    <w:rsid w:val="0062726A"/>
    <w:rsid w:val="0062729F"/>
    <w:rsid w:val="006302D5"/>
    <w:rsid w:val="00630C15"/>
    <w:rsid w:val="00631D57"/>
    <w:rsid w:val="00631F5D"/>
    <w:rsid w:val="006320E4"/>
    <w:rsid w:val="00632F65"/>
    <w:rsid w:val="00633EE1"/>
    <w:rsid w:val="00634BAE"/>
    <w:rsid w:val="00634D7D"/>
    <w:rsid w:val="00635BC5"/>
    <w:rsid w:val="00635C2A"/>
    <w:rsid w:val="00636A12"/>
    <w:rsid w:val="00637E82"/>
    <w:rsid w:val="00640801"/>
    <w:rsid w:val="00640A51"/>
    <w:rsid w:val="006411DE"/>
    <w:rsid w:val="006424D8"/>
    <w:rsid w:val="00642FB6"/>
    <w:rsid w:val="00643217"/>
    <w:rsid w:val="00643B9A"/>
    <w:rsid w:val="006443A7"/>
    <w:rsid w:val="0064477E"/>
    <w:rsid w:val="006454B9"/>
    <w:rsid w:val="006461A5"/>
    <w:rsid w:val="0064689E"/>
    <w:rsid w:val="006468AF"/>
    <w:rsid w:val="006469E4"/>
    <w:rsid w:val="006473C3"/>
    <w:rsid w:val="006474CE"/>
    <w:rsid w:val="00647EE3"/>
    <w:rsid w:val="00647FC0"/>
    <w:rsid w:val="0065034E"/>
    <w:rsid w:val="00650847"/>
    <w:rsid w:val="00650BD7"/>
    <w:rsid w:val="006516E3"/>
    <w:rsid w:val="006519CF"/>
    <w:rsid w:val="00652520"/>
    <w:rsid w:val="0065278F"/>
    <w:rsid w:val="00653FF8"/>
    <w:rsid w:val="006543AC"/>
    <w:rsid w:val="00655C40"/>
    <w:rsid w:val="00655FDD"/>
    <w:rsid w:val="00656407"/>
    <w:rsid w:val="00656508"/>
    <w:rsid w:val="0065668F"/>
    <w:rsid w:val="00656BC4"/>
    <w:rsid w:val="00657B87"/>
    <w:rsid w:val="00660369"/>
    <w:rsid w:val="00660FE9"/>
    <w:rsid w:val="00661FCE"/>
    <w:rsid w:val="006624BC"/>
    <w:rsid w:val="006624C7"/>
    <w:rsid w:val="006627D3"/>
    <w:rsid w:val="006638C2"/>
    <w:rsid w:val="00664791"/>
    <w:rsid w:val="0066616E"/>
    <w:rsid w:val="00666305"/>
    <w:rsid w:val="006664EB"/>
    <w:rsid w:val="006669F3"/>
    <w:rsid w:val="00666B55"/>
    <w:rsid w:val="00667877"/>
    <w:rsid w:val="00667934"/>
    <w:rsid w:val="00667CD5"/>
    <w:rsid w:val="0067031B"/>
    <w:rsid w:val="00670638"/>
    <w:rsid w:val="006719F0"/>
    <w:rsid w:val="0067235D"/>
    <w:rsid w:val="00674A7E"/>
    <w:rsid w:val="0067562E"/>
    <w:rsid w:val="0067573C"/>
    <w:rsid w:val="00675ACD"/>
    <w:rsid w:val="0068003D"/>
    <w:rsid w:val="00680A1A"/>
    <w:rsid w:val="00682D85"/>
    <w:rsid w:val="00684671"/>
    <w:rsid w:val="00684D07"/>
    <w:rsid w:val="00684DFE"/>
    <w:rsid w:val="00685049"/>
    <w:rsid w:val="006851B0"/>
    <w:rsid w:val="00685E96"/>
    <w:rsid w:val="00686EA1"/>
    <w:rsid w:val="00690B55"/>
    <w:rsid w:val="006913B5"/>
    <w:rsid w:val="00693C50"/>
    <w:rsid w:val="00694E19"/>
    <w:rsid w:val="0069571D"/>
    <w:rsid w:val="006962FB"/>
    <w:rsid w:val="00696CB2"/>
    <w:rsid w:val="00696FBA"/>
    <w:rsid w:val="00697B4C"/>
    <w:rsid w:val="00697CE6"/>
    <w:rsid w:val="00697E74"/>
    <w:rsid w:val="006A0638"/>
    <w:rsid w:val="006A0808"/>
    <w:rsid w:val="006A080D"/>
    <w:rsid w:val="006A178A"/>
    <w:rsid w:val="006A39DD"/>
    <w:rsid w:val="006A3E35"/>
    <w:rsid w:val="006A42FB"/>
    <w:rsid w:val="006A4BA4"/>
    <w:rsid w:val="006A4D65"/>
    <w:rsid w:val="006A53B9"/>
    <w:rsid w:val="006A5677"/>
    <w:rsid w:val="006A663A"/>
    <w:rsid w:val="006A675F"/>
    <w:rsid w:val="006A7A94"/>
    <w:rsid w:val="006B0467"/>
    <w:rsid w:val="006B050C"/>
    <w:rsid w:val="006B07F5"/>
    <w:rsid w:val="006B0FC2"/>
    <w:rsid w:val="006B142D"/>
    <w:rsid w:val="006B2277"/>
    <w:rsid w:val="006B264F"/>
    <w:rsid w:val="006B2C5A"/>
    <w:rsid w:val="006B2ED0"/>
    <w:rsid w:val="006B3480"/>
    <w:rsid w:val="006B38FC"/>
    <w:rsid w:val="006B4173"/>
    <w:rsid w:val="006B4C27"/>
    <w:rsid w:val="006B5450"/>
    <w:rsid w:val="006B559E"/>
    <w:rsid w:val="006B5CFC"/>
    <w:rsid w:val="006B621A"/>
    <w:rsid w:val="006B6426"/>
    <w:rsid w:val="006B6DA8"/>
    <w:rsid w:val="006C196E"/>
    <w:rsid w:val="006C1A42"/>
    <w:rsid w:val="006C1F5B"/>
    <w:rsid w:val="006C2789"/>
    <w:rsid w:val="006C2CE5"/>
    <w:rsid w:val="006C3157"/>
    <w:rsid w:val="006C7716"/>
    <w:rsid w:val="006C7854"/>
    <w:rsid w:val="006C78F9"/>
    <w:rsid w:val="006C7D49"/>
    <w:rsid w:val="006C7EA0"/>
    <w:rsid w:val="006D084F"/>
    <w:rsid w:val="006D13CC"/>
    <w:rsid w:val="006D232E"/>
    <w:rsid w:val="006D266C"/>
    <w:rsid w:val="006D4278"/>
    <w:rsid w:val="006D522B"/>
    <w:rsid w:val="006D5633"/>
    <w:rsid w:val="006D5707"/>
    <w:rsid w:val="006D5BB6"/>
    <w:rsid w:val="006D636E"/>
    <w:rsid w:val="006D6DB8"/>
    <w:rsid w:val="006D76DC"/>
    <w:rsid w:val="006E05C5"/>
    <w:rsid w:val="006E1581"/>
    <w:rsid w:val="006E3CDA"/>
    <w:rsid w:val="006E5117"/>
    <w:rsid w:val="006E5600"/>
    <w:rsid w:val="006E62CA"/>
    <w:rsid w:val="006E7F3B"/>
    <w:rsid w:val="006E7F8E"/>
    <w:rsid w:val="006F03C9"/>
    <w:rsid w:val="006F0B0C"/>
    <w:rsid w:val="006F182A"/>
    <w:rsid w:val="006F2AAB"/>
    <w:rsid w:val="006F2F48"/>
    <w:rsid w:val="006F3A3C"/>
    <w:rsid w:val="006F3D1C"/>
    <w:rsid w:val="006F423B"/>
    <w:rsid w:val="006F4AE0"/>
    <w:rsid w:val="006F4F37"/>
    <w:rsid w:val="006F6263"/>
    <w:rsid w:val="006F68D8"/>
    <w:rsid w:val="006F6DCE"/>
    <w:rsid w:val="00700E67"/>
    <w:rsid w:val="00701F24"/>
    <w:rsid w:val="00701FD7"/>
    <w:rsid w:val="00701FF5"/>
    <w:rsid w:val="00702674"/>
    <w:rsid w:val="007026F1"/>
    <w:rsid w:val="00703137"/>
    <w:rsid w:val="007044CA"/>
    <w:rsid w:val="00704996"/>
    <w:rsid w:val="007055D3"/>
    <w:rsid w:val="007057C9"/>
    <w:rsid w:val="007076EF"/>
    <w:rsid w:val="00707A94"/>
    <w:rsid w:val="00707AEC"/>
    <w:rsid w:val="007126AC"/>
    <w:rsid w:val="00712DCB"/>
    <w:rsid w:val="0071342B"/>
    <w:rsid w:val="00714491"/>
    <w:rsid w:val="007158BF"/>
    <w:rsid w:val="00715FCD"/>
    <w:rsid w:val="00716484"/>
    <w:rsid w:val="0071683B"/>
    <w:rsid w:val="007169FF"/>
    <w:rsid w:val="00720066"/>
    <w:rsid w:val="007211E6"/>
    <w:rsid w:val="0072176D"/>
    <w:rsid w:val="007218A8"/>
    <w:rsid w:val="00724CC8"/>
    <w:rsid w:val="00725042"/>
    <w:rsid w:val="0072547C"/>
    <w:rsid w:val="0072572D"/>
    <w:rsid w:val="00726845"/>
    <w:rsid w:val="00726EE8"/>
    <w:rsid w:val="00726F5C"/>
    <w:rsid w:val="0072727E"/>
    <w:rsid w:val="00727C3A"/>
    <w:rsid w:val="007310C1"/>
    <w:rsid w:val="0073285F"/>
    <w:rsid w:val="00732F5E"/>
    <w:rsid w:val="007330B1"/>
    <w:rsid w:val="007336D6"/>
    <w:rsid w:val="00733D91"/>
    <w:rsid w:val="007341CF"/>
    <w:rsid w:val="00734607"/>
    <w:rsid w:val="0073485E"/>
    <w:rsid w:val="00734DE9"/>
    <w:rsid w:val="00736A62"/>
    <w:rsid w:val="00736E22"/>
    <w:rsid w:val="007371E7"/>
    <w:rsid w:val="00737335"/>
    <w:rsid w:val="0073772B"/>
    <w:rsid w:val="00737E0B"/>
    <w:rsid w:val="00737F33"/>
    <w:rsid w:val="00740923"/>
    <w:rsid w:val="00740BFE"/>
    <w:rsid w:val="00741378"/>
    <w:rsid w:val="007419B0"/>
    <w:rsid w:val="00742F6A"/>
    <w:rsid w:val="007434DA"/>
    <w:rsid w:val="0074401D"/>
    <w:rsid w:val="00744916"/>
    <w:rsid w:val="00744E1C"/>
    <w:rsid w:val="007461CF"/>
    <w:rsid w:val="0074695B"/>
    <w:rsid w:val="00746C41"/>
    <w:rsid w:val="00747EC2"/>
    <w:rsid w:val="00750779"/>
    <w:rsid w:val="00750978"/>
    <w:rsid w:val="00750BCC"/>
    <w:rsid w:val="007512D4"/>
    <w:rsid w:val="00752B11"/>
    <w:rsid w:val="00752DB2"/>
    <w:rsid w:val="00753B19"/>
    <w:rsid w:val="007549DF"/>
    <w:rsid w:val="00755B51"/>
    <w:rsid w:val="00755ED5"/>
    <w:rsid w:val="007575FC"/>
    <w:rsid w:val="00757A69"/>
    <w:rsid w:val="00762D0A"/>
    <w:rsid w:val="00762EEA"/>
    <w:rsid w:val="007637D5"/>
    <w:rsid w:val="00763EB2"/>
    <w:rsid w:val="007642C9"/>
    <w:rsid w:val="00764BB7"/>
    <w:rsid w:val="00764D3E"/>
    <w:rsid w:val="00765681"/>
    <w:rsid w:val="007659F7"/>
    <w:rsid w:val="00767200"/>
    <w:rsid w:val="00767418"/>
    <w:rsid w:val="00771A4E"/>
    <w:rsid w:val="00772568"/>
    <w:rsid w:val="00772A69"/>
    <w:rsid w:val="00773F4F"/>
    <w:rsid w:val="007743F9"/>
    <w:rsid w:val="0077454A"/>
    <w:rsid w:val="00774A49"/>
    <w:rsid w:val="00774A85"/>
    <w:rsid w:val="007752AC"/>
    <w:rsid w:val="00775463"/>
    <w:rsid w:val="00775A3A"/>
    <w:rsid w:val="00775FD6"/>
    <w:rsid w:val="0077647D"/>
    <w:rsid w:val="00776A71"/>
    <w:rsid w:val="00776CDB"/>
    <w:rsid w:val="00776F4E"/>
    <w:rsid w:val="00777043"/>
    <w:rsid w:val="0077712A"/>
    <w:rsid w:val="00777401"/>
    <w:rsid w:val="00777D37"/>
    <w:rsid w:val="00780986"/>
    <w:rsid w:val="00780FF3"/>
    <w:rsid w:val="0078111B"/>
    <w:rsid w:val="0078169A"/>
    <w:rsid w:val="00781888"/>
    <w:rsid w:val="00781C37"/>
    <w:rsid w:val="007829A3"/>
    <w:rsid w:val="00785E15"/>
    <w:rsid w:val="00786087"/>
    <w:rsid w:val="007863F7"/>
    <w:rsid w:val="00786D40"/>
    <w:rsid w:val="00786E41"/>
    <w:rsid w:val="007875A2"/>
    <w:rsid w:val="0078778D"/>
    <w:rsid w:val="00787A29"/>
    <w:rsid w:val="007918BE"/>
    <w:rsid w:val="00791A46"/>
    <w:rsid w:val="007922CA"/>
    <w:rsid w:val="00792641"/>
    <w:rsid w:val="007926FF"/>
    <w:rsid w:val="00793A7D"/>
    <w:rsid w:val="00794520"/>
    <w:rsid w:val="007949EC"/>
    <w:rsid w:val="00794F26"/>
    <w:rsid w:val="0079512A"/>
    <w:rsid w:val="007954BA"/>
    <w:rsid w:val="007957F6"/>
    <w:rsid w:val="00795E53"/>
    <w:rsid w:val="00795F51"/>
    <w:rsid w:val="007965A8"/>
    <w:rsid w:val="00796830"/>
    <w:rsid w:val="007968BD"/>
    <w:rsid w:val="00796B80"/>
    <w:rsid w:val="007A0E06"/>
    <w:rsid w:val="007A2FD4"/>
    <w:rsid w:val="007A3AF5"/>
    <w:rsid w:val="007A43BD"/>
    <w:rsid w:val="007A4CCE"/>
    <w:rsid w:val="007A4D11"/>
    <w:rsid w:val="007A58EF"/>
    <w:rsid w:val="007A6B35"/>
    <w:rsid w:val="007A6EDC"/>
    <w:rsid w:val="007A6F14"/>
    <w:rsid w:val="007A74D4"/>
    <w:rsid w:val="007B00B8"/>
    <w:rsid w:val="007B0500"/>
    <w:rsid w:val="007B0FB0"/>
    <w:rsid w:val="007B13D5"/>
    <w:rsid w:val="007B2AC7"/>
    <w:rsid w:val="007B3735"/>
    <w:rsid w:val="007B4CB6"/>
    <w:rsid w:val="007B4E3E"/>
    <w:rsid w:val="007B4EAE"/>
    <w:rsid w:val="007B53B2"/>
    <w:rsid w:val="007B563E"/>
    <w:rsid w:val="007B56A6"/>
    <w:rsid w:val="007B57D5"/>
    <w:rsid w:val="007B5BFC"/>
    <w:rsid w:val="007B5F22"/>
    <w:rsid w:val="007B631F"/>
    <w:rsid w:val="007B6490"/>
    <w:rsid w:val="007B6F48"/>
    <w:rsid w:val="007B7163"/>
    <w:rsid w:val="007B794D"/>
    <w:rsid w:val="007B7DE3"/>
    <w:rsid w:val="007C0818"/>
    <w:rsid w:val="007C1571"/>
    <w:rsid w:val="007C38FA"/>
    <w:rsid w:val="007C3AAC"/>
    <w:rsid w:val="007C40CC"/>
    <w:rsid w:val="007C5486"/>
    <w:rsid w:val="007C6CF0"/>
    <w:rsid w:val="007D0672"/>
    <w:rsid w:val="007D06FF"/>
    <w:rsid w:val="007D16F9"/>
    <w:rsid w:val="007D3F7F"/>
    <w:rsid w:val="007D40F5"/>
    <w:rsid w:val="007D4851"/>
    <w:rsid w:val="007D4E7D"/>
    <w:rsid w:val="007D5796"/>
    <w:rsid w:val="007D62EF"/>
    <w:rsid w:val="007D6D3F"/>
    <w:rsid w:val="007D71D0"/>
    <w:rsid w:val="007D71E9"/>
    <w:rsid w:val="007D7385"/>
    <w:rsid w:val="007D760B"/>
    <w:rsid w:val="007E0189"/>
    <w:rsid w:val="007E0745"/>
    <w:rsid w:val="007E080F"/>
    <w:rsid w:val="007E0978"/>
    <w:rsid w:val="007E0A70"/>
    <w:rsid w:val="007E0BD4"/>
    <w:rsid w:val="007E179D"/>
    <w:rsid w:val="007E1ADD"/>
    <w:rsid w:val="007E252A"/>
    <w:rsid w:val="007E32AA"/>
    <w:rsid w:val="007E3F67"/>
    <w:rsid w:val="007E4AD6"/>
    <w:rsid w:val="007E50C1"/>
    <w:rsid w:val="007E6503"/>
    <w:rsid w:val="007E70AB"/>
    <w:rsid w:val="007E71C6"/>
    <w:rsid w:val="007F06B6"/>
    <w:rsid w:val="007F0782"/>
    <w:rsid w:val="007F08EA"/>
    <w:rsid w:val="007F0A1C"/>
    <w:rsid w:val="007F1036"/>
    <w:rsid w:val="007F1C86"/>
    <w:rsid w:val="007F25E5"/>
    <w:rsid w:val="007F2D04"/>
    <w:rsid w:val="007F39F7"/>
    <w:rsid w:val="007F3E51"/>
    <w:rsid w:val="007F3F43"/>
    <w:rsid w:val="007F4342"/>
    <w:rsid w:val="007F4521"/>
    <w:rsid w:val="007F47AA"/>
    <w:rsid w:val="007F4C34"/>
    <w:rsid w:val="007F51A6"/>
    <w:rsid w:val="007F5DBF"/>
    <w:rsid w:val="007F6D0B"/>
    <w:rsid w:val="007F70D7"/>
    <w:rsid w:val="007F7BE9"/>
    <w:rsid w:val="00800A6B"/>
    <w:rsid w:val="00803B32"/>
    <w:rsid w:val="00803BF7"/>
    <w:rsid w:val="00804522"/>
    <w:rsid w:val="0080546C"/>
    <w:rsid w:val="00805556"/>
    <w:rsid w:val="0080658A"/>
    <w:rsid w:val="008066FA"/>
    <w:rsid w:val="00806F89"/>
    <w:rsid w:val="00807F57"/>
    <w:rsid w:val="00810D2F"/>
    <w:rsid w:val="008123B2"/>
    <w:rsid w:val="00813080"/>
    <w:rsid w:val="008135B6"/>
    <w:rsid w:val="00813C91"/>
    <w:rsid w:val="00813F97"/>
    <w:rsid w:val="00815AEF"/>
    <w:rsid w:val="00815D71"/>
    <w:rsid w:val="008161D9"/>
    <w:rsid w:val="008165E6"/>
    <w:rsid w:val="00816E85"/>
    <w:rsid w:val="0081754D"/>
    <w:rsid w:val="008177A4"/>
    <w:rsid w:val="00817CD9"/>
    <w:rsid w:val="00817D6C"/>
    <w:rsid w:val="00817E0C"/>
    <w:rsid w:val="0082018B"/>
    <w:rsid w:val="008209A4"/>
    <w:rsid w:val="00821B1E"/>
    <w:rsid w:val="0082231B"/>
    <w:rsid w:val="008234EC"/>
    <w:rsid w:val="008235DB"/>
    <w:rsid w:val="00823866"/>
    <w:rsid w:val="00823ED2"/>
    <w:rsid w:val="00824075"/>
    <w:rsid w:val="008245ED"/>
    <w:rsid w:val="00824F11"/>
    <w:rsid w:val="00825329"/>
    <w:rsid w:val="008254D2"/>
    <w:rsid w:val="0082555E"/>
    <w:rsid w:val="00825C63"/>
    <w:rsid w:val="008264B6"/>
    <w:rsid w:val="0082683B"/>
    <w:rsid w:val="00826B0C"/>
    <w:rsid w:val="008272EB"/>
    <w:rsid w:val="008309B5"/>
    <w:rsid w:val="00830A3A"/>
    <w:rsid w:val="0083110F"/>
    <w:rsid w:val="00832DBB"/>
    <w:rsid w:val="00833195"/>
    <w:rsid w:val="00833D7F"/>
    <w:rsid w:val="008344DB"/>
    <w:rsid w:val="008350B2"/>
    <w:rsid w:val="00835227"/>
    <w:rsid w:val="00837527"/>
    <w:rsid w:val="00837B2A"/>
    <w:rsid w:val="00837DA0"/>
    <w:rsid w:val="00840B95"/>
    <w:rsid w:val="00840FE0"/>
    <w:rsid w:val="008416C3"/>
    <w:rsid w:val="00841ECB"/>
    <w:rsid w:val="008422DC"/>
    <w:rsid w:val="008429A1"/>
    <w:rsid w:val="00842A97"/>
    <w:rsid w:val="00844AA9"/>
    <w:rsid w:val="00845608"/>
    <w:rsid w:val="008458FE"/>
    <w:rsid w:val="00846062"/>
    <w:rsid w:val="0084684F"/>
    <w:rsid w:val="0084761D"/>
    <w:rsid w:val="00847C35"/>
    <w:rsid w:val="00850228"/>
    <w:rsid w:val="00850754"/>
    <w:rsid w:val="008518D3"/>
    <w:rsid w:val="008518DE"/>
    <w:rsid w:val="00851E24"/>
    <w:rsid w:val="008526CD"/>
    <w:rsid w:val="008530C7"/>
    <w:rsid w:val="008536F0"/>
    <w:rsid w:val="00853844"/>
    <w:rsid w:val="008541F9"/>
    <w:rsid w:val="00854327"/>
    <w:rsid w:val="00855A50"/>
    <w:rsid w:val="00855A5D"/>
    <w:rsid w:val="0085727A"/>
    <w:rsid w:val="008578F6"/>
    <w:rsid w:val="00860A0C"/>
    <w:rsid w:val="00861094"/>
    <w:rsid w:val="008622C2"/>
    <w:rsid w:val="00863E8F"/>
    <w:rsid w:val="00865279"/>
    <w:rsid w:val="008661CE"/>
    <w:rsid w:val="00866D9A"/>
    <w:rsid w:val="008675C4"/>
    <w:rsid w:val="00870FF9"/>
    <w:rsid w:val="0087129E"/>
    <w:rsid w:val="008717DC"/>
    <w:rsid w:val="00871C2A"/>
    <w:rsid w:val="0087325A"/>
    <w:rsid w:val="00873CCA"/>
    <w:rsid w:val="00874F35"/>
    <w:rsid w:val="00875C68"/>
    <w:rsid w:val="00875D20"/>
    <w:rsid w:val="00876176"/>
    <w:rsid w:val="0087711F"/>
    <w:rsid w:val="00877D8C"/>
    <w:rsid w:val="00880372"/>
    <w:rsid w:val="00880474"/>
    <w:rsid w:val="00880CD2"/>
    <w:rsid w:val="008811CF"/>
    <w:rsid w:val="00881B21"/>
    <w:rsid w:val="0088206B"/>
    <w:rsid w:val="0088232A"/>
    <w:rsid w:val="00882F68"/>
    <w:rsid w:val="00883C47"/>
    <w:rsid w:val="00883F4E"/>
    <w:rsid w:val="0088420B"/>
    <w:rsid w:val="00884435"/>
    <w:rsid w:val="008844BA"/>
    <w:rsid w:val="00885629"/>
    <w:rsid w:val="00885FCD"/>
    <w:rsid w:val="00886577"/>
    <w:rsid w:val="00887D8D"/>
    <w:rsid w:val="00887E39"/>
    <w:rsid w:val="00887F02"/>
    <w:rsid w:val="008901C5"/>
    <w:rsid w:val="00890990"/>
    <w:rsid w:val="00890A08"/>
    <w:rsid w:val="00890FDF"/>
    <w:rsid w:val="0089127E"/>
    <w:rsid w:val="0089150D"/>
    <w:rsid w:val="008917CB"/>
    <w:rsid w:val="008919B8"/>
    <w:rsid w:val="00891E83"/>
    <w:rsid w:val="008922C9"/>
    <w:rsid w:val="00893581"/>
    <w:rsid w:val="0089398B"/>
    <w:rsid w:val="00894DE1"/>
    <w:rsid w:val="00895AE5"/>
    <w:rsid w:val="00895AF5"/>
    <w:rsid w:val="00895C53"/>
    <w:rsid w:val="00895EA1"/>
    <w:rsid w:val="008A0074"/>
    <w:rsid w:val="008A0173"/>
    <w:rsid w:val="008A0399"/>
    <w:rsid w:val="008A0452"/>
    <w:rsid w:val="008A09E5"/>
    <w:rsid w:val="008A1819"/>
    <w:rsid w:val="008A26F8"/>
    <w:rsid w:val="008A33F3"/>
    <w:rsid w:val="008A78EE"/>
    <w:rsid w:val="008A7B3D"/>
    <w:rsid w:val="008B03F4"/>
    <w:rsid w:val="008B1424"/>
    <w:rsid w:val="008B1D11"/>
    <w:rsid w:val="008B1D63"/>
    <w:rsid w:val="008B3C80"/>
    <w:rsid w:val="008B3CB5"/>
    <w:rsid w:val="008B4D16"/>
    <w:rsid w:val="008B4EAF"/>
    <w:rsid w:val="008B622D"/>
    <w:rsid w:val="008B6CFC"/>
    <w:rsid w:val="008B7B3C"/>
    <w:rsid w:val="008C02F3"/>
    <w:rsid w:val="008C0548"/>
    <w:rsid w:val="008C068F"/>
    <w:rsid w:val="008C0A71"/>
    <w:rsid w:val="008C1567"/>
    <w:rsid w:val="008C198E"/>
    <w:rsid w:val="008C20DC"/>
    <w:rsid w:val="008C249A"/>
    <w:rsid w:val="008C26E0"/>
    <w:rsid w:val="008C2B91"/>
    <w:rsid w:val="008C45C1"/>
    <w:rsid w:val="008C5AAE"/>
    <w:rsid w:val="008C6177"/>
    <w:rsid w:val="008C63BF"/>
    <w:rsid w:val="008C6AF9"/>
    <w:rsid w:val="008C6FB0"/>
    <w:rsid w:val="008C7217"/>
    <w:rsid w:val="008C7D50"/>
    <w:rsid w:val="008D1F96"/>
    <w:rsid w:val="008D2A86"/>
    <w:rsid w:val="008D2B6A"/>
    <w:rsid w:val="008D331F"/>
    <w:rsid w:val="008D43A7"/>
    <w:rsid w:val="008D4507"/>
    <w:rsid w:val="008D464E"/>
    <w:rsid w:val="008D47BF"/>
    <w:rsid w:val="008D4B6C"/>
    <w:rsid w:val="008D5300"/>
    <w:rsid w:val="008D5F23"/>
    <w:rsid w:val="008D627B"/>
    <w:rsid w:val="008D6463"/>
    <w:rsid w:val="008D6EA8"/>
    <w:rsid w:val="008D7EA2"/>
    <w:rsid w:val="008E1190"/>
    <w:rsid w:val="008E21A5"/>
    <w:rsid w:val="008E223A"/>
    <w:rsid w:val="008E256A"/>
    <w:rsid w:val="008E2B3E"/>
    <w:rsid w:val="008E2FF7"/>
    <w:rsid w:val="008E4114"/>
    <w:rsid w:val="008E5127"/>
    <w:rsid w:val="008E5507"/>
    <w:rsid w:val="008E5B93"/>
    <w:rsid w:val="008E5BA0"/>
    <w:rsid w:val="008E66B4"/>
    <w:rsid w:val="008E687B"/>
    <w:rsid w:val="008E6A98"/>
    <w:rsid w:val="008E759C"/>
    <w:rsid w:val="008E77F8"/>
    <w:rsid w:val="008E7EA5"/>
    <w:rsid w:val="008F04BE"/>
    <w:rsid w:val="008F1AF9"/>
    <w:rsid w:val="008F2453"/>
    <w:rsid w:val="008F299B"/>
    <w:rsid w:val="008F3CCA"/>
    <w:rsid w:val="008F5A96"/>
    <w:rsid w:val="008F5BAE"/>
    <w:rsid w:val="008F5E47"/>
    <w:rsid w:val="008F649E"/>
    <w:rsid w:val="008F715E"/>
    <w:rsid w:val="008F7179"/>
    <w:rsid w:val="008F72C9"/>
    <w:rsid w:val="008F7756"/>
    <w:rsid w:val="00900041"/>
    <w:rsid w:val="00900D8E"/>
    <w:rsid w:val="00900F65"/>
    <w:rsid w:val="00900FD4"/>
    <w:rsid w:val="00901033"/>
    <w:rsid w:val="00903C2A"/>
    <w:rsid w:val="00904522"/>
    <w:rsid w:val="00905D55"/>
    <w:rsid w:val="00905E2D"/>
    <w:rsid w:val="0090729E"/>
    <w:rsid w:val="0090754E"/>
    <w:rsid w:val="009075D6"/>
    <w:rsid w:val="00907D77"/>
    <w:rsid w:val="00907ECC"/>
    <w:rsid w:val="00912409"/>
    <w:rsid w:val="009128D5"/>
    <w:rsid w:val="00913519"/>
    <w:rsid w:val="00913A55"/>
    <w:rsid w:val="00913C86"/>
    <w:rsid w:val="009149B4"/>
    <w:rsid w:val="00914F67"/>
    <w:rsid w:val="00915314"/>
    <w:rsid w:val="00915769"/>
    <w:rsid w:val="00915A53"/>
    <w:rsid w:val="009161DA"/>
    <w:rsid w:val="009161FE"/>
    <w:rsid w:val="00916C11"/>
    <w:rsid w:val="009200DB"/>
    <w:rsid w:val="009217CC"/>
    <w:rsid w:val="00925065"/>
    <w:rsid w:val="00925169"/>
    <w:rsid w:val="0092545C"/>
    <w:rsid w:val="00925DCF"/>
    <w:rsid w:val="00926925"/>
    <w:rsid w:val="00926D42"/>
    <w:rsid w:val="00927470"/>
    <w:rsid w:val="00927585"/>
    <w:rsid w:val="0092795C"/>
    <w:rsid w:val="00930063"/>
    <w:rsid w:val="009308EF"/>
    <w:rsid w:val="00930ED1"/>
    <w:rsid w:val="00931437"/>
    <w:rsid w:val="0093198B"/>
    <w:rsid w:val="00931AEF"/>
    <w:rsid w:val="00931EC3"/>
    <w:rsid w:val="00932C21"/>
    <w:rsid w:val="009336DB"/>
    <w:rsid w:val="009348BC"/>
    <w:rsid w:val="0093536A"/>
    <w:rsid w:val="00935404"/>
    <w:rsid w:val="00936164"/>
    <w:rsid w:val="00937CE3"/>
    <w:rsid w:val="00937F02"/>
    <w:rsid w:val="009414AA"/>
    <w:rsid w:val="0094341C"/>
    <w:rsid w:val="009441EA"/>
    <w:rsid w:val="00944823"/>
    <w:rsid w:val="00944DD5"/>
    <w:rsid w:val="0094657F"/>
    <w:rsid w:val="0094750D"/>
    <w:rsid w:val="009502E7"/>
    <w:rsid w:val="0095184E"/>
    <w:rsid w:val="0095199B"/>
    <w:rsid w:val="00951DB6"/>
    <w:rsid w:val="0095201F"/>
    <w:rsid w:val="00953241"/>
    <w:rsid w:val="00953669"/>
    <w:rsid w:val="00953F09"/>
    <w:rsid w:val="00954356"/>
    <w:rsid w:val="00954463"/>
    <w:rsid w:val="00954476"/>
    <w:rsid w:val="009544BB"/>
    <w:rsid w:val="0095536D"/>
    <w:rsid w:val="00955984"/>
    <w:rsid w:val="00956CD9"/>
    <w:rsid w:val="00956CE8"/>
    <w:rsid w:val="00956D80"/>
    <w:rsid w:val="00960650"/>
    <w:rsid w:val="0096109D"/>
    <w:rsid w:val="00961D6B"/>
    <w:rsid w:val="009623E4"/>
    <w:rsid w:val="00962898"/>
    <w:rsid w:val="00963850"/>
    <w:rsid w:val="00963F55"/>
    <w:rsid w:val="00964EE5"/>
    <w:rsid w:val="0096517A"/>
    <w:rsid w:val="009658D8"/>
    <w:rsid w:val="009661B6"/>
    <w:rsid w:val="009704C0"/>
    <w:rsid w:val="00970FB6"/>
    <w:rsid w:val="00971DB7"/>
    <w:rsid w:val="009721D4"/>
    <w:rsid w:val="00972936"/>
    <w:rsid w:val="00972C73"/>
    <w:rsid w:val="00972ED9"/>
    <w:rsid w:val="00972FFA"/>
    <w:rsid w:val="00973AC6"/>
    <w:rsid w:val="0097454B"/>
    <w:rsid w:val="0097480A"/>
    <w:rsid w:val="00974A0D"/>
    <w:rsid w:val="00974A94"/>
    <w:rsid w:val="00975162"/>
    <w:rsid w:val="009751F2"/>
    <w:rsid w:val="009756C3"/>
    <w:rsid w:val="00976A7D"/>
    <w:rsid w:val="00976B30"/>
    <w:rsid w:val="00976E86"/>
    <w:rsid w:val="009772A9"/>
    <w:rsid w:val="00977B4C"/>
    <w:rsid w:val="00977D0F"/>
    <w:rsid w:val="0098010B"/>
    <w:rsid w:val="009804F9"/>
    <w:rsid w:val="00982071"/>
    <w:rsid w:val="00982535"/>
    <w:rsid w:val="00983D34"/>
    <w:rsid w:val="009848C3"/>
    <w:rsid w:val="009849AD"/>
    <w:rsid w:val="00984B9F"/>
    <w:rsid w:val="00984FB3"/>
    <w:rsid w:val="0098527E"/>
    <w:rsid w:val="00985FF1"/>
    <w:rsid w:val="0098642D"/>
    <w:rsid w:val="009865A7"/>
    <w:rsid w:val="0098707A"/>
    <w:rsid w:val="0099033E"/>
    <w:rsid w:val="009928E3"/>
    <w:rsid w:val="00992C11"/>
    <w:rsid w:val="00993A46"/>
    <w:rsid w:val="00994060"/>
    <w:rsid w:val="0099480B"/>
    <w:rsid w:val="00994F8D"/>
    <w:rsid w:val="009955A1"/>
    <w:rsid w:val="00996576"/>
    <w:rsid w:val="009A0004"/>
    <w:rsid w:val="009A03E2"/>
    <w:rsid w:val="009A2F3B"/>
    <w:rsid w:val="009A3C6F"/>
    <w:rsid w:val="009A4276"/>
    <w:rsid w:val="009A4641"/>
    <w:rsid w:val="009A4A8B"/>
    <w:rsid w:val="009A521B"/>
    <w:rsid w:val="009A7DDE"/>
    <w:rsid w:val="009B002B"/>
    <w:rsid w:val="009B0944"/>
    <w:rsid w:val="009B1CFB"/>
    <w:rsid w:val="009B2F17"/>
    <w:rsid w:val="009B4262"/>
    <w:rsid w:val="009B4490"/>
    <w:rsid w:val="009B4953"/>
    <w:rsid w:val="009B499C"/>
    <w:rsid w:val="009B62D1"/>
    <w:rsid w:val="009B6668"/>
    <w:rsid w:val="009B66D8"/>
    <w:rsid w:val="009B6D7E"/>
    <w:rsid w:val="009B78E9"/>
    <w:rsid w:val="009B7D59"/>
    <w:rsid w:val="009C01C9"/>
    <w:rsid w:val="009C08E6"/>
    <w:rsid w:val="009C0FE0"/>
    <w:rsid w:val="009C1045"/>
    <w:rsid w:val="009C158D"/>
    <w:rsid w:val="009C16B5"/>
    <w:rsid w:val="009C1BB4"/>
    <w:rsid w:val="009C1F8B"/>
    <w:rsid w:val="009C222F"/>
    <w:rsid w:val="009C2F09"/>
    <w:rsid w:val="009C3786"/>
    <w:rsid w:val="009C3D86"/>
    <w:rsid w:val="009C4BEA"/>
    <w:rsid w:val="009C5000"/>
    <w:rsid w:val="009C56CF"/>
    <w:rsid w:val="009C5781"/>
    <w:rsid w:val="009C5A48"/>
    <w:rsid w:val="009C6443"/>
    <w:rsid w:val="009C6766"/>
    <w:rsid w:val="009C6E3D"/>
    <w:rsid w:val="009C722E"/>
    <w:rsid w:val="009D02FB"/>
    <w:rsid w:val="009D1042"/>
    <w:rsid w:val="009D1BB1"/>
    <w:rsid w:val="009D3036"/>
    <w:rsid w:val="009D37D1"/>
    <w:rsid w:val="009D425F"/>
    <w:rsid w:val="009D4EDB"/>
    <w:rsid w:val="009D55DD"/>
    <w:rsid w:val="009D5833"/>
    <w:rsid w:val="009D5AAB"/>
    <w:rsid w:val="009D5E53"/>
    <w:rsid w:val="009D692F"/>
    <w:rsid w:val="009E046E"/>
    <w:rsid w:val="009E062E"/>
    <w:rsid w:val="009E06C9"/>
    <w:rsid w:val="009E1803"/>
    <w:rsid w:val="009E1C64"/>
    <w:rsid w:val="009E2541"/>
    <w:rsid w:val="009E2DE6"/>
    <w:rsid w:val="009E575D"/>
    <w:rsid w:val="009E768C"/>
    <w:rsid w:val="009E7BEA"/>
    <w:rsid w:val="009E7D43"/>
    <w:rsid w:val="009E7ED1"/>
    <w:rsid w:val="009F000A"/>
    <w:rsid w:val="009F0123"/>
    <w:rsid w:val="009F12AF"/>
    <w:rsid w:val="009F137B"/>
    <w:rsid w:val="009F3D9B"/>
    <w:rsid w:val="009F4412"/>
    <w:rsid w:val="009F5011"/>
    <w:rsid w:val="009F5ED2"/>
    <w:rsid w:val="009F7D31"/>
    <w:rsid w:val="009F7E5D"/>
    <w:rsid w:val="00A002A7"/>
    <w:rsid w:val="00A0119C"/>
    <w:rsid w:val="00A0138E"/>
    <w:rsid w:val="00A01502"/>
    <w:rsid w:val="00A01854"/>
    <w:rsid w:val="00A01CA9"/>
    <w:rsid w:val="00A026B5"/>
    <w:rsid w:val="00A02751"/>
    <w:rsid w:val="00A034B5"/>
    <w:rsid w:val="00A0490E"/>
    <w:rsid w:val="00A04DCF"/>
    <w:rsid w:val="00A050F0"/>
    <w:rsid w:val="00A0582A"/>
    <w:rsid w:val="00A059AA"/>
    <w:rsid w:val="00A05FD8"/>
    <w:rsid w:val="00A06C88"/>
    <w:rsid w:val="00A06FFA"/>
    <w:rsid w:val="00A075AC"/>
    <w:rsid w:val="00A076F1"/>
    <w:rsid w:val="00A07D3C"/>
    <w:rsid w:val="00A10CA8"/>
    <w:rsid w:val="00A110A1"/>
    <w:rsid w:val="00A11863"/>
    <w:rsid w:val="00A11B03"/>
    <w:rsid w:val="00A11EEF"/>
    <w:rsid w:val="00A120E4"/>
    <w:rsid w:val="00A12720"/>
    <w:rsid w:val="00A12E23"/>
    <w:rsid w:val="00A13BDF"/>
    <w:rsid w:val="00A14EC7"/>
    <w:rsid w:val="00A15181"/>
    <w:rsid w:val="00A17869"/>
    <w:rsid w:val="00A20224"/>
    <w:rsid w:val="00A202A7"/>
    <w:rsid w:val="00A2090F"/>
    <w:rsid w:val="00A21963"/>
    <w:rsid w:val="00A21A77"/>
    <w:rsid w:val="00A21DAE"/>
    <w:rsid w:val="00A220E9"/>
    <w:rsid w:val="00A2353D"/>
    <w:rsid w:val="00A237F3"/>
    <w:rsid w:val="00A24AD9"/>
    <w:rsid w:val="00A256BE"/>
    <w:rsid w:val="00A256D7"/>
    <w:rsid w:val="00A2583A"/>
    <w:rsid w:val="00A25856"/>
    <w:rsid w:val="00A25AFC"/>
    <w:rsid w:val="00A2619F"/>
    <w:rsid w:val="00A26ED9"/>
    <w:rsid w:val="00A2716D"/>
    <w:rsid w:val="00A27BDC"/>
    <w:rsid w:val="00A27D42"/>
    <w:rsid w:val="00A3072C"/>
    <w:rsid w:val="00A308FC"/>
    <w:rsid w:val="00A30BF8"/>
    <w:rsid w:val="00A310B2"/>
    <w:rsid w:val="00A314DF"/>
    <w:rsid w:val="00A3182F"/>
    <w:rsid w:val="00A31919"/>
    <w:rsid w:val="00A3372C"/>
    <w:rsid w:val="00A3451F"/>
    <w:rsid w:val="00A35152"/>
    <w:rsid w:val="00A353B7"/>
    <w:rsid w:val="00A3590E"/>
    <w:rsid w:val="00A36777"/>
    <w:rsid w:val="00A36EF1"/>
    <w:rsid w:val="00A375E4"/>
    <w:rsid w:val="00A4012A"/>
    <w:rsid w:val="00A41703"/>
    <w:rsid w:val="00A41793"/>
    <w:rsid w:val="00A417EF"/>
    <w:rsid w:val="00A42205"/>
    <w:rsid w:val="00A43C8C"/>
    <w:rsid w:val="00A4525F"/>
    <w:rsid w:val="00A45315"/>
    <w:rsid w:val="00A454A9"/>
    <w:rsid w:val="00A45A06"/>
    <w:rsid w:val="00A46119"/>
    <w:rsid w:val="00A464AE"/>
    <w:rsid w:val="00A468FC"/>
    <w:rsid w:val="00A473A7"/>
    <w:rsid w:val="00A47748"/>
    <w:rsid w:val="00A47935"/>
    <w:rsid w:val="00A506A5"/>
    <w:rsid w:val="00A50995"/>
    <w:rsid w:val="00A50E1C"/>
    <w:rsid w:val="00A517E5"/>
    <w:rsid w:val="00A524FE"/>
    <w:rsid w:val="00A52546"/>
    <w:rsid w:val="00A5263D"/>
    <w:rsid w:val="00A52A1A"/>
    <w:rsid w:val="00A52FFD"/>
    <w:rsid w:val="00A53A38"/>
    <w:rsid w:val="00A54257"/>
    <w:rsid w:val="00A54457"/>
    <w:rsid w:val="00A54E98"/>
    <w:rsid w:val="00A55756"/>
    <w:rsid w:val="00A55C11"/>
    <w:rsid w:val="00A5689C"/>
    <w:rsid w:val="00A569A3"/>
    <w:rsid w:val="00A573EB"/>
    <w:rsid w:val="00A608F3"/>
    <w:rsid w:val="00A6330D"/>
    <w:rsid w:val="00A636A3"/>
    <w:rsid w:val="00A64E95"/>
    <w:rsid w:val="00A64EF3"/>
    <w:rsid w:val="00A663E3"/>
    <w:rsid w:val="00A666AB"/>
    <w:rsid w:val="00A66B45"/>
    <w:rsid w:val="00A71788"/>
    <w:rsid w:val="00A719A4"/>
    <w:rsid w:val="00A7290E"/>
    <w:rsid w:val="00A73105"/>
    <w:rsid w:val="00A7460A"/>
    <w:rsid w:val="00A7475D"/>
    <w:rsid w:val="00A74E83"/>
    <w:rsid w:val="00A7505C"/>
    <w:rsid w:val="00A75370"/>
    <w:rsid w:val="00A76B9F"/>
    <w:rsid w:val="00A80279"/>
    <w:rsid w:val="00A805B0"/>
    <w:rsid w:val="00A80AEA"/>
    <w:rsid w:val="00A80EFF"/>
    <w:rsid w:val="00A81335"/>
    <w:rsid w:val="00A81A2A"/>
    <w:rsid w:val="00A8212E"/>
    <w:rsid w:val="00A8223A"/>
    <w:rsid w:val="00A823F3"/>
    <w:rsid w:val="00A82A21"/>
    <w:rsid w:val="00A83900"/>
    <w:rsid w:val="00A84953"/>
    <w:rsid w:val="00A849C5"/>
    <w:rsid w:val="00A84FCC"/>
    <w:rsid w:val="00A85561"/>
    <w:rsid w:val="00A85727"/>
    <w:rsid w:val="00A87171"/>
    <w:rsid w:val="00A87872"/>
    <w:rsid w:val="00A87B3D"/>
    <w:rsid w:val="00A901C5"/>
    <w:rsid w:val="00A9060C"/>
    <w:rsid w:val="00A923BC"/>
    <w:rsid w:val="00A92610"/>
    <w:rsid w:val="00A9364D"/>
    <w:rsid w:val="00A944CB"/>
    <w:rsid w:val="00A9501D"/>
    <w:rsid w:val="00A954DF"/>
    <w:rsid w:val="00A969AB"/>
    <w:rsid w:val="00A96E54"/>
    <w:rsid w:val="00A97235"/>
    <w:rsid w:val="00AA0AE2"/>
    <w:rsid w:val="00AA1AF8"/>
    <w:rsid w:val="00AA2504"/>
    <w:rsid w:val="00AA2A4A"/>
    <w:rsid w:val="00AA2C14"/>
    <w:rsid w:val="00AA3AE1"/>
    <w:rsid w:val="00AA3CE1"/>
    <w:rsid w:val="00AA4826"/>
    <w:rsid w:val="00AA4B4F"/>
    <w:rsid w:val="00AA54E0"/>
    <w:rsid w:val="00AA5DE2"/>
    <w:rsid w:val="00AA5FB1"/>
    <w:rsid w:val="00AA6C3B"/>
    <w:rsid w:val="00AA6E47"/>
    <w:rsid w:val="00AA7C6B"/>
    <w:rsid w:val="00AA7FC3"/>
    <w:rsid w:val="00AB08CE"/>
    <w:rsid w:val="00AB1909"/>
    <w:rsid w:val="00AB1B3C"/>
    <w:rsid w:val="00AB58A2"/>
    <w:rsid w:val="00AB67B7"/>
    <w:rsid w:val="00AB70F4"/>
    <w:rsid w:val="00AC0BA4"/>
    <w:rsid w:val="00AC2C46"/>
    <w:rsid w:val="00AC2F44"/>
    <w:rsid w:val="00AC3050"/>
    <w:rsid w:val="00AC3295"/>
    <w:rsid w:val="00AC34A7"/>
    <w:rsid w:val="00AC462F"/>
    <w:rsid w:val="00AC4C55"/>
    <w:rsid w:val="00AC51F7"/>
    <w:rsid w:val="00AC65D7"/>
    <w:rsid w:val="00AC675E"/>
    <w:rsid w:val="00AC6B07"/>
    <w:rsid w:val="00AC7017"/>
    <w:rsid w:val="00AC72F6"/>
    <w:rsid w:val="00AD11B7"/>
    <w:rsid w:val="00AD1CDE"/>
    <w:rsid w:val="00AD3B26"/>
    <w:rsid w:val="00AD4E53"/>
    <w:rsid w:val="00AD565F"/>
    <w:rsid w:val="00AD5F10"/>
    <w:rsid w:val="00AD6055"/>
    <w:rsid w:val="00AD619C"/>
    <w:rsid w:val="00AD651D"/>
    <w:rsid w:val="00AD699A"/>
    <w:rsid w:val="00AE00A8"/>
    <w:rsid w:val="00AE033C"/>
    <w:rsid w:val="00AE373C"/>
    <w:rsid w:val="00AE3DDD"/>
    <w:rsid w:val="00AE400C"/>
    <w:rsid w:val="00AE4E29"/>
    <w:rsid w:val="00AE4E93"/>
    <w:rsid w:val="00AE50DF"/>
    <w:rsid w:val="00AE5228"/>
    <w:rsid w:val="00AE5703"/>
    <w:rsid w:val="00AE5FA2"/>
    <w:rsid w:val="00AE62E6"/>
    <w:rsid w:val="00AE714F"/>
    <w:rsid w:val="00AF0574"/>
    <w:rsid w:val="00AF0822"/>
    <w:rsid w:val="00AF1448"/>
    <w:rsid w:val="00AF1EC3"/>
    <w:rsid w:val="00AF2A2C"/>
    <w:rsid w:val="00AF4026"/>
    <w:rsid w:val="00AF430B"/>
    <w:rsid w:val="00AF4559"/>
    <w:rsid w:val="00AF47C0"/>
    <w:rsid w:val="00AF5187"/>
    <w:rsid w:val="00AF61B3"/>
    <w:rsid w:val="00AF633F"/>
    <w:rsid w:val="00AF6D2C"/>
    <w:rsid w:val="00B0159D"/>
    <w:rsid w:val="00B017C1"/>
    <w:rsid w:val="00B0257C"/>
    <w:rsid w:val="00B02D70"/>
    <w:rsid w:val="00B04313"/>
    <w:rsid w:val="00B04C1B"/>
    <w:rsid w:val="00B050FF"/>
    <w:rsid w:val="00B0515B"/>
    <w:rsid w:val="00B05958"/>
    <w:rsid w:val="00B05B08"/>
    <w:rsid w:val="00B065C7"/>
    <w:rsid w:val="00B06698"/>
    <w:rsid w:val="00B07540"/>
    <w:rsid w:val="00B11690"/>
    <w:rsid w:val="00B11C7A"/>
    <w:rsid w:val="00B11CFF"/>
    <w:rsid w:val="00B12145"/>
    <w:rsid w:val="00B124C4"/>
    <w:rsid w:val="00B12A18"/>
    <w:rsid w:val="00B12B94"/>
    <w:rsid w:val="00B12F04"/>
    <w:rsid w:val="00B1336E"/>
    <w:rsid w:val="00B139C1"/>
    <w:rsid w:val="00B14167"/>
    <w:rsid w:val="00B1527D"/>
    <w:rsid w:val="00B16715"/>
    <w:rsid w:val="00B17264"/>
    <w:rsid w:val="00B17337"/>
    <w:rsid w:val="00B17545"/>
    <w:rsid w:val="00B21129"/>
    <w:rsid w:val="00B218BD"/>
    <w:rsid w:val="00B22C0F"/>
    <w:rsid w:val="00B23F1F"/>
    <w:rsid w:val="00B2433B"/>
    <w:rsid w:val="00B25072"/>
    <w:rsid w:val="00B25941"/>
    <w:rsid w:val="00B25C7F"/>
    <w:rsid w:val="00B26404"/>
    <w:rsid w:val="00B26C74"/>
    <w:rsid w:val="00B26D44"/>
    <w:rsid w:val="00B27122"/>
    <w:rsid w:val="00B2763B"/>
    <w:rsid w:val="00B308B6"/>
    <w:rsid w:val="00B30BFA"/>
    <w:rsid w:val="00B30DB4"/>
    <w:rsid w:val="00B30EE5"/>
    <w:rsid w:val="00B31F00"/>
    <w:rsid w:val="00B33803"/>
    <w:rsid w:val="00B342C9"/>
    <w:rsid w:val="00B34748"/>
    <w:rsid w:val="00B34A24"/>
    <w:rsid w:val="00B34CE8"/>
    <w:rsid w:val="00B36ABD"/>
    <w:rsid w:val="00B36E23"/>
    <w:rsid w:val="00B406B4"/>
    <w:rsid w:val="00B4147F"/>
    <w:rsid w:val="00B41BD4"/>
    <w:rsid w:val="00B41EBA"/>
    <w:rsid w:val="00B424C6"/>
    <w:rsid w:val="00B42E54"/>
    <w:rsid w:val="00B42F82"/>
    <w:rsid w:val="00B44599"/>
    <w:rsid w:val="00B4504C"/>
    <w:rsid w:val="00B46839"/>
    <w:rsid w:val="00B46976"/>
    <w:rsid w:val="00B47FB0"/>
    <w:rsid w:val="00B50486"/>
    <w:rsid w:val="00B5051B"/>
    <w:rsid w:val="00B50E0A"/>
    <w:rsid w:val="00B50F1F"/>
    <w:rsid w:val="00B51413"/>
    <w:rsid w:val="00B51F15"/>
    <w:rsid w:val="00B51F79"/>
    <w:rsid w:val="00B524F2"/>
    <w:rsid w:val="00B52800"/>
    <w:rsid w:val="00B52A04"/>
    <w:rsid w:val="00B52C29"/>
    <w:rsid w:val="00B5520B"/>
    <w:rsid w:val="00B57874"/>
    <w:rsid w:val="00B6004F"/>
    <w:rsid w:val="00B60C25"/>
    <w:rsid w:val="00B624A5"/>
    <w:rsid w:val="00B62E92"/>
    <w:rsid w:val="00B632BE"/>
    <w:rsid w:val="00B632E2"/>
    <w:rsid w:val="00B64407"/>
    <w:rsid w:val="00B64588"/>
    <w:rsid w:val="00B65004"/>
    <w:rsid w:val="00B65D92"/>
    <w:rsid w:val="00B66BB3"/>
    <w:rsid w:val="00B66E0B"/>
    <w:rsid w:val="00B67AD9"/>
    <w:rsid w:val="00B67F02"/>
    <w:rsid w:val="00B7010A"/>
    <w:rsid w:val="00B70B38"/>
    <w:rsid w:val="00B7170F"/>
    <w:rsid w:val="00B7171A"/>
    <w:rsid w:val="00B7210B"/>
    <w:rsid w:val="00B73017"/>
    <w:rsid w:val="00B7317D"/>
    <w:rsid w:val="00B73847"/>
    <w:rsid w:val="00B73D2C"/>
    <w:rsid w:val="00B74252"/>
    <w:rsid w:val="00B7459B"/>
    <w:rsid w:val="00B7538C"/>
    <w:rsid w:val="00B76248"/>
    <w:rsid w:val="00B77749"/>
    <w:rsid w:val="00B7790C"/>
    <w:rsid w:val="00B77E81"/>
    <w:rsid w:val="00B80079"/>
    <w:rsid w:val="00B807EF"/>
    <w:rsid w:val="00B80A9F"/>
    <w:rsid w:val="00B80C5A"/>
    <w:rsid w:val="00B80F67"/>
    <w:rsid w:val="00B811DA"/>
    <w:rsid w:val="00B825B3"/>
    <w:rsid w:val="00B832F2"/>
    <w:rsid w:val="00B8386A"/>
    <w:rsid w:val="00B83CB0"/>
    <w:rsid w:val="00B83E6B"/>
    <w:rsid w:val="00B83FD4"/>
    <w:rsid w:val="00B84D86"/>
    <w:rsid w:val="00B857FB"/>
    <w:rsid w:val="00B859DE"/>
    <w:rsid w:val="00B8618E"/>
    <w:rsid w:val="00B86BB5"/>
    <w:rsid w:val="00B871B4"/>
    <w:rsid w:val="00B87793"/>
    <w:rsid w:val="00B90450"/>
    <w:rsid w:val="00B906B7"/>
    <w:rsid w:val="00B915FC"/>
    <w:rsid w:val="00B92737"/>
    <w:rsid w:val="00B9307E"/>
    <w:rsid w:val="00B935D8"/>
    <w:rsid w:val="00B9451C"/>
    <w:rsid w:val="00B94E52"/>
    <w:rsid w:val="00B95FB6"/>
    <w:rsid w:val="00B96CEB"/>
    <w:rsid w:val="00B96F1C"/>
    <w:rsid w:val="00B96F1F"/>
    <w:rsid w:val="00B970CE"/>
    <w:rsid w:val="00B9737C"/>
    <w:rsid w:val="00B97A34"/>
    <w:rsid w:val="00BA07DB"/>
    <w:rsid w:val="00BA0EC6"/>
    <w:rsid w:val="00BA1B64"/>
    <w:rsid w:val="00BA20E4"/>
    <w:rsid w:val="00BA2306"/>
    <w:rsid w:val="00BA33AC"/>
    <w:rsid w:val="00BA3497"/>
    <w:rsid w:val="00BA4E8D"/>
    <w:rsid w:val="00BA4FEA"/>
    <w:rsid w:val="00BA5CE6"/>
    <w:rsid w:val="00BA624A"/>
    <w:rsid w:val="00BA6ACA"/>
    <w:rsid w:val="00BB0A42"/>
    <w:rsid w:val="00BB1FE6"/>
    <w:rsid w:val="00BB25F8"/>
    <w:rsid w:val="00BB31A0"/>
    <w:rsid w:val="00BB4A25"/>
    <w:rsid w:val="00BB57CA"/>
    <w:rsid w:val="00BB6AEA"/>
    <w:rsid w:val="00BB75B7"/>
    <w:rsid w:val="00BB797C"/>
    <w:rsid w:val="00BC125F"/>
    <w:rsid w:val="00BC17BD"/>
    <w:rsid w:val="00BC2E1C"/>
    <w:rsid w:val="00BC2F67"/>
    <w:rsid w:val="00BC3790"/>
    <w:rsid w:val="00BC380C"/>
    <w:rsid w:val="00BC4002"/>
    <w:rsid w:val="00BC4109"/>
    <w:rsid w:val="00BC4627"/>
    <w:rsid w:val="00BC49DF"/>
    <w:rsid w:val="00BC4E78"/>
    <w:rsid w:val="00BC5257"/>
    <w:rsid w:val="00BC71FB"/>
    <w:rsid w:val="00BC7DDD"/>
    <w:rsid w:val="00BC7F28"/>
    <w:rsid w:val="00BD13D4"/>
    <w:rsid w:val="00BD224C"/>
    <w:rsid w:val="00BD2B6F"/>
    <w:rsid w:val="00BD3169"/>
    <w:rsid w:val="00BD3AED"/>
    <w:rsid w:val="00BD4144"/>
    <w:rsid w:val="00BD77C8"/>
    <w:rsid w:val="00BD7879"/>
    <w:rsid w:val="00BD7A88"/>
    <w:rsid w:val="00BD7DAB"/>
    <w:rsid w:val="00BE02EE"/>
    <w:rsid w:val="00BE0429"/>
    <w:rsid w:val="00BE0478"/>
    <w:rsid w:val="00BE0DD5"/>
    <w:rsid w:val="00BE1B9F"/>
    <w:rsid w:val="00BE1F47"/>
    <w:rsid w:val="00BE2B2B"/>
    <w:rsid w:val="00BE2BFA"/>
    <w:rsid w:val="00BE2CAC"/>
    <w:rsid w:val="00BE317B"/>
    <w:rsid w:val="00BE40AC"/>
    <w:rsid w:val="00BE433F"/>
    <w:rsid w:val="00BE46EF"/>
    <w:rsid w:val="00BE532C"/>
    <w:rsid w:val="00BE630D"/>
    <w:rsid w:val="00BE6AB5"/>
    <w:rsid w:val="00BE6AFA"/>
    <w:rsid w:val="00BE734C"/>
    <w:rsid w:val="00BE7363"/>
    <w:rsid w:val="00BF0D49"/>
    <w:rsid w:val="00BF10CA"/>
    <w:rsid w:val="00BF1BD5"/>
    <w:rsid w:val="00BF1E30"/>
    <w:rsid w:val="00BF1FB2"/>
    <w:rsid w:val="00BF259F"/>
    <w:rsid w:val="00BF3DAD"/>
    <w:rsid w:val="00BF5268"/>
    <w:rsid w:val="00BF541B"/>
    <w:rsid w:val="00BF5F7F"/>
    <w:rsid w:val="00BF627A"/>
    <w:rsid w:val="00BF670B"/>
    <w:rsid w:val="00BF69D3"/>
    <w:rsid w:val="00BF6ABB"/>
    <w:rsid w:val="00C0050B"/>
    <w:rsid w:val="00C00989"/>
    <w:rsid w:val="00C01395"/>
    <w:rsid w:val="00C016C2"/>
    <w:rsid w:val="00C0359C"/>
    <w:rsid w:val="00C03874"/>
    <w:rsid w:val="00C04885"/>
    <w:rsid w:val="00C04F36"/>
    <w:rsid w:val="00C051FF"/>
    <w:rsid w:val="00C066D2"/>
    <w:rsid w:val="00C0713A"/>
    <w:rsid w:val="00C07895"/>
    <w:rsid w:val="00C07EEF"/>
    <w:rsid w:val="00C109D0"/>
    <w:rsid w:val="00C1179A"/>
    <w:rsid w:val="00C13BC8"/>
    <w:rsid w:val="00C144D4"/>
    <w:rsid w:val="00C164BA"/>
    <w:rsid w:val="00C1667B"/>
    <w:rsid w:val="00C1727E"/>
    <w:rsid w:val="00C172D8"/>
    <w:rsid w:val="00C20136"/>
    <w:rsid w:val="00C2045C"/>
    <w:rsid w:val="00C21519"/>
    <w:rsid w:val="00C22823"/>
    <w:rsid w:val="00C22F05"/>
    <w:rsid w:val="00C23B82"/>
    <w:rsid w:val="00C24207"/>
    <w:rsid w:val="00C2490A"/>
    <w:rsid w:val="00C26116"/>
    <w:rsid w:val="00C3011A"/>
    <w:rsid w:val="00C30BB8"/>
    <w:rsid w:val="00C31ABD"/>
    <w:rsid w:val="00C3297C"/>
    <w:rsid w:val="00C3303B"/>
    <w:rsid w:val="00C34089"/>
    <w:rsid w:val="00C348B4"/>
    <w:rsid w:val="00C34B05"/>
    <w:rsid w:val="00C34DDF"/>
    <w:rsid w:val="00C350CA"/>
    <w:rsid w:val="00C35DD1"/>
    <w:rsid w:val="00C373D6"/>
    <w:rsid w:val="00C40265"/>
    <w:rsid w:val="00C41DDB"/>
    <w:rsid w:val="00C44786"/>
    <w:rsid w:val="00C45006"/>
    <w:rsid w:val="00C46A6E"/>
    <w:rsid w:val="00C50735"/>
    <w:rsid w:val="00C52872"/>
    <w:rsid w:val="00C5365C"/>
    <w:rsid w:val="00C54351"/>
    <w:rsid w:val="00C55021"/>
    <w:rsid w:val="00C56AAD"/>
    <w:rsid w:val="00C602C2"/>
    <w:rsid w:val="00C60A87"/>
    <w:rsid w:val="00C616FA"/>
    <w:rsid w:val="00C6207B"/>
    <w:rsid w:val="00C620E7"/>
    <w:rsid w:val="00C62457"/>
    <w:rsid w:val="00C6266B"/>
    <w:rsid w:val="00C62F71"/>
    <w:rsid w:val="00C63CA7"/>
    <w:rsid w:val="00C64254"/>
    <w:rsid w:val="00C64514"/>
    <w:rsid w:val="00C65114"/>
    <w:rsid w:val="00C6548F"/>
    <w:rsid w:val="00C6558D"/>
    <w:rsid w:val="00C65A63"/>
    <w:rsid w:val="00C65E9F"/>
    <w:rsid w:val="00C6617D"/>
    <w:rsid w:val="00C6674A"/>
    <w:rsid w:val="00C66F78"/>
    <w:rsid w:val="00C67B55"/>
    <w:rsid w:val="00C70F89"/>
    <w:rsid w:val="00C71248"/>
    <w:rsid w:val="00C7228C"/>
    <w:rsid w:val="00C72C0A"/>
    <w:rsid w:val="00C72D08"/>
    <w:rsid w:val="00C740ED"/>
    <w:rsid w:val="00C74984"/>
    <w:rsid w:val="00C74BF2"/>
    <w:rsid w:val="00C74C14"/>
    <w:rsid w:val="00C771EF"/>
    <w:rsid w:val="00C772F6"/>
    <w:rsid w:val="00C77EF5"/>
    <w:rsid w:val="00C80FAC"/>
    <w:rsid w:val="00C8150F"/>
    <w:rsid w:val="00C82827"/>
    <w:rsid w:val="00C8379C"/>
    <w:rsid w:val="00C83BC0"/>
    <w:rsid w:val="00C83D74"/>
    <w:rsid w:val="00C84A2B"/>
    <w:rsid w:val="00C84BCD"/>
    <w:rsid w:val="00C8517A"/>
    <w:rsid w:val="00C857EB"/>
    <w:rsid w:val="00C85EA9"/>
    <w:rsid w:val="00C86A81"/>
    <w:rsid w:val="00C872EB"/>
    <w:rsid w:val="00C87696"/>
    <w:rsid w:val="00C90089"/>
    <w:rsid w:val="00C90346"/>
    <w:rsid w:val="00C90922"/>
    <w:rsid w:val="00C9094A"/>
    <w:rsid w:val="00C90B24"/>
    <w:rsid w:val="00C91187"/>
    <w:rsid w:val="00C944BE"/>
    <w:rsid w:val="00C9465A"/>
    <w:rsid w:val="00C954AF"/>
    <w:rsid w:val="00C95FF2"/>
    <w:rsid w:val="00C962A9"/>
    <w:rsid w:val="00C96AEB"/>
    <w:rsid w:val="00C97257"/>
    <w:rsid w:val="00C973D3"/>
    <w:rsid w:val="00C973DF"/>
    <w:rsid w:val="00C97D6F"/>
    <w:rsid w:val="00CA2546"/>
    <w:rsid w:val="00CA5722"/>
    <w:rsid w:val="00CA5979"/>
    <w:rsid w:val="00CA715E"/>
    <w:rsid w:val="00CB1A0A"/>
    <w:rsid w:val="00CB1E11"/>
    <w:rsid w:val="00CB1F76"/>
    <w:rsid w:val="00CB2435"/>
    <w:rsid w:val="00CB2755"/>
    <w:rsid w:val="00CB41AE"/>
    <w:rsid w:val="00CB4842"/>
    <w:rsid w:val="00CB5623"/>
    <w:rsid w:val="00CB67DF"/>
    <w:rsid w:val="00CB7837"/>
    <w:rsid w:val="00CC0033"/>
    <w:rsid w:val="00CC2094"/>
    <w:rsid w:val="00CC2A88"/>
    <w:rsid w:val="00CC327A"/>
    <w:rsid w:val="00CC3641"/>
    <w:rsid w:val="00CC37E2"/>
    <w:rsid w:val="00CC4C76"/>
    <w:rsid w:val="00CC5940"/>
    <w:rsid w:val="00CC5BF0"/>
    <w:rsid w:val="00CC705D"/>
    <w:rsid w:val="00CD037E"/>
    <w:rsid w:val="00CD0936"/>
    <w:rsid w:val="00CD0B98"/>
    <w:rsid w:val="00CD1CB4"/>
    <w:rsid w:val="00CD2B92"/>
    <w:rsid w:val="00CD380B"/>
    <w:rsid w:val="00CD3D3F"/>
    <w:rsid w:val="00CD410A"/>
    <w:rsid w:val="00CD575A"/>
    <w:rsid w:val="00CD5EE4"/>
    <w:rsid w:val="00CE0072"/>
    <w:rsid w:val="00CE02D0"/>
    <w:rsid w:val="00CE0490"/>
    <w:rsid w:val="00CE1533"/>
    <w:rsid w:val="00CE1D39"/>
    <w:rsid w:val="00CE24DC"/>
    <w:rsid w:val="00CE275E"/>
    <w:rsid w:val="00CE3BC6"/>
    <w:rsid w:val="00CE44AD"/>
    <w:rsid w:val="00CE44D1"/>
    <w:rsid w:val="00CE46A5"/>
    <w:rsid w:val="00CE4A76"/>
    <w:rsid w:val="00CE4DEF"/>
    <w:rsid w:val="00CE4F7E"/>
    <w:rsid w:val="00CE5BED"/>
    <w:rsid w:val="00CE6448"/>
    <w:rsid w:val="00CE6B7B"/>
    <w:rsid w:val="00CE6BB4"/>
    <w:rsid w:val="00CE6DAC"/>
    <w:rsid w:val="00CE726B"/>
    <w:rsid w:val="00CF0FDD"/>
    <w:rsid w:val="00CF4179"/>
    <w:rsid w:val="00CF46B1"/>
    <w:rsid w:val="00CF4AFE"/>
    <w:rsid w:val="00CF4B0C"/>
    <w:rsid w:val="00CF525E"/>
    <w:rsid w:val="00CF52A5"/>
    <w:rsid w:val="00CF5AC7"/>
    <w:rsid w:val="00CF5BCD"/>
    <w:rsid w:val="00CF6951"/>
    <w:rsid w:val="00CF6AC2"/>
    <w:rsid w:val="00CF6C88"/>
    <w:rsid w:val="00CF7B56"/>
    <w:rsid w:val="00CF7FA4"/>
    <w:rsid w:val="00D004B3"/>
    <w:rsid w:val="00D01534"/>
    <w:rsid w:val="00D01665"/>
    <w:rsid w:val="00D020EC"/>
    <w:rsid w:val="00D0345B"/>
    <w:rsid w:val="00D039BC"/>
    <w:rsid w:val="00D04D93"/>
    <w:rsid w:val="00D051A6"/>
    <w:rsid w:val="00D05A04"/>
    <w:rsid w:val="00D0608B"/>
    <w:rsid w:val="00D06ECE"/>
    <w:rsid w:val="00D074BF"/>
    <w:rsid w:val="00D10583"/>
    <w:rsid w:val="00D106F2"/>
    <w:rsid w:val="00D107B0"/>
    <w:rsid w:val="00D10A88"/>
    <w:rsid w:val="00D10ADA"/>
    <w:rsid w:val="00D11C71"/>
    <w:rsid w:val="00D122CF"/>
    <w:rsid w:val="00D13B47"/>
    <w:rsid w:val="00D16268"/>
    <w:rsid w:val="00D1633A"/>
    <w:rsid w:val="00D17560"/>
    <w:rsid w:val="00D2003D"/>
    <w:rsid w:val="00D200B1"/>
    <w:rsid w:val="00D20153"/>
    <w:rsid w:val="00D23362"/>
    <w:rsid w:val="00D23A65"/>
    <w:rsid w:val="00D249AB"/>
    <w:rsid w:val="00D24A00"/>
    <w:rsid w:val="00D24D81"/>
    <w:rsid w:val="00D25404"/>
    <w:rsid w:val="00D259EB"/>
    <w:rsid w:val="00D25E62"/>
    <w:rsid w:val="00D2620A"/>
    <w:rsid w:val="00D27148"/>
    <w:rsid w:val="00D27294"/>
    <w:rsid w:val="00D272B2"/>
    <w:rsid w:val="00D2740D"/>
    <w:rsid w:val="00D27B3C"/>
    <w:rsid w:val="00D27BD9"/>
    <w:rsid w:val="00D3013D"/>
    <w:rsid w:val="00D30306"/>
    <w:rsid w:val="00D303AB"/>
    <w:rsid w:val="00D30463"/>
    <w:rsid w:val="00D305FF"/>
    <w:rsid w:val="00D318FE"/>
    <w:rsid w:val="00D32654"/>
    <w:rsid w:val="00D32954"/>
    <w:rsid w:val="00D32BBB"/>
    <w:rsid w:val="00D3310B"/>
    <w:rsid w:val="00D331D0"/>
    <w:rsid w:val="00D3406B"/>
    <w:rsid w:val="00D34450"/>
    <w:rsid w:val="00D36A9B"/>
    <w:rsid w:val="00D375FD"/>
    <w:rsid w:val="00D37E4C"/>
    <w:rsid w:val="00D40992"/>
    <w:rsid w:val="00D41158"/>
    <w:rsid w:val="00D41B95"/>
    <w:rsid w:val="00D41F4B"/>
    <w:rsid w:val="00D42AC3"/>
    <w:rsid w:val="00D437C6"/>
    <w:rsid w:val="00D444CE"/>
    <w:rsid w:val="00D45D2F"/>
    <w:rsid w:val="00D4674D"/>
    <w:rsid w:val="00D47551"/>
    <w:rsid w:val="00D476E0"/>
    <w:rsid w:val="00D4794A"/>
    <w:rsid w:val="00D47A7B"/>
    <w:rsid w:val="00D47B56"/>
    <w:rsid w:val="00D50A9F"/>
    <w:rsid w:val="00D50DB0"/>
    <w:rsid w:val="00D52FC1"/>
    <w:rsid w:val="00D5312A"/>
    <w:rsid w:val="00D53993"/>
    <w:rsid w:val="00D53BC1"/>
    <w:rsid w:val="00D54317"/>
    <w:rsid w:val="00D555E2"/>
    <w:rsid w:val="00D570D3"/>
    <w:rsid w:val="00D5744E"/>
    <w:rsid w:val="00D57D68"/>
    <w:rsid w:val="00D60642"/>
    <w:rsid w:val="00D609E5"/>
    <w:rsid w:val="00D61656"/>
    <w:rsid w:val="00D617BE"/>
    <w:rsid w:val="00D61F63"/>
    <w:rsid w:val="00D6242B"/>
    <w:rsid w:val="00D62CD4"/>
    <w:rsid w:val="00D6328D"/>
    <w:rsid w:val="00D6330A"/>
    <w:rsid w:val="00D637CB"/>
    <w:rsid w:val="00D641CA"/>
    <w:rsid w:val="00D64CCF"/>
    <w:rsid w:val="00D661FA"/>
    <w:rsid w:val="00D70410"/>
    <w:rsid w:val="00D7058A"/>
    <w:rsid w:val="00D70C77"/>
    <w:rsid w:val="00D70E74"/>
    <w:rsid w:val="00D714EB"/>
    <w:rsid w:val="00D719F5"/>
    <w:rsid w:val="00D7342D"/>
    <w:rsid w:val="00D75D8C"/>
    <w:rsid w:val="00D76138"/>
    <w:rsid w:val="00D76A50"/>
    <w:rsid w:val="00D76C87"/>
    <w:rsid w:val="00D76CE4"/>
    <w:rsid w:val="00D76FBB"/>
    <w:rsid w:val="00D77264"/>
    <w:rsid w:val="00D774FB"/>
    <w:rsid w:val="00D77DD4"/>
    <w:rsid w:val="00D77ED2"/>
    <w:rsid w:val="00D80127"/>
    <w:rsid w:val="00D80EDD"/>
    <w:rsid w:val="00D810F8"/>
    <w:rsid w:val="00D81D3C"/>
    <w:rsid w:val="00D820C1"/>
    <w:rsid w:val="00D82287"/>
    <w:rsid w:val="00D829AE"/>
    <w:rsid w:val="00D83509"/>
    <w:rsid w:val="00D84567"/>
    <w:rsid w:val="00D84830"/>
    <w:rsid w:val="00D84963"/>
    <w:rsid w:val="00D85378"/>
    <w:rsid w:val="00D85515"/>
    <w:rsid w:val="00D85605"/>
    <w:rsid w:val="00D85BE5"/>
    <w:rsid w:val="00D8714D"/>
    <w:rsid w:val="00D87D2D"/>
    <w:rsid w:val="00D87E93"/>
    <w:rsid w:val="00D90026"/>
    <w:rsid w:val="00D907C6"/>
    <w:rsid w:val="00D90A44"/>
    <w:rsid w:val="00D9148B"/>
    <w:rsid w:val="00D91ECD"/>
    <w:rsid w:val="00D9215D"/>
    <w:rsid w:val="00D928A8"/>
    <w:rsid w:val="00D92B52"/>
    <w:rsid w:val="00D92CD0"/>
    <w:rsid w:val="00D94208"/>
    <w:rsid w:val="00D94A13"/>
    <w:rsid w:val="00D94BE5"/>
    <w:rsid w:val="00D97372"/>
    <w:rsid w:val="00DA0F61"/>
    <w:rsid w:val="00DA194D"/>
    <w:rsid w:val="00DA3603"/>
    <w:rsid w:val="00DA397C"/>
    <w:rsid w:val="00DA3A07"/>
    <w:rsid w:val="00DA3E7C"/>
    <w:rsid w:val="00DA40E0"/>
    <w:rsid w:val="00DA606F"/>
    <w:rsid w:val="00DA71FA"/>
    <w:rsid w:val="00DA755D"/>
    <w:rsid w:val="00DA79E0"/>
    <w:rsid w:val="00DB04E8"/>
    <w:rsid w:val="00DB0894"/>
    <w:rsid w:val="00DB11FB"/>
    <w:rsid w:val="00DB2298"/>
    <w:rsid w:val="00DB2612"/>
    <w:rsid w:val="00DB2F2A"/>
    <w:rsid w:val="00DB3AFF"/>
    <w:rsid w:val="00DB424A"/>
    <w:rsid w:val="00DB5180"/>
    <w:rsid w:val="00DB5E5D"/>
    <w:rsid w:val="00DB67CA"/>
    <w:rsid w:val="00DB68A4"/>
    <w:rsid w:val="00DB7B89"/>
    <w:rsid w:val="00DC021C"/>
    <w:rsid w:val="00DC0E10"/>
    <w:rsid w:val="00DC1933"/>
    <w:rsid w:val="00DC2AB0"/>
    <w:rsid w:val="00DC3187"/>
    <w:rsid w:val="00DC4C88"/>
    <w:rsid w:val="00DC5B13"/>
    <w:rsid w:val="00DC64BE"/>
    <w:rsid w:val="00DC73E6"/>
    <w:rsid w:val="00DC787A"/>
    <w:rsid w:val="00DC7B24"/>
    <w:rsid w:val="00DC7D8D"/>
    <w:rsid w:val="00DD09B4"/>
    <w:rsid w:val="00DD1837"/>
    <w:rsid w:val="00DD25DD"/>
    <w:rsid w:val="00DD4D76"/>
    <w:rsid w:val="00DD538B"/>
    <w:rsid w:val="00DD5910"/>
    <w:rsid w:val="00DD59F5"/>
    <w:rsid w:val="00DD6918"/>
    <w:rsid w:val="00DD7D4F"/>
    <w:rsid w:val="00DE2863"/>
    <w:rsid w:val="00DE2BD8"/>
    <w:rsid w:val="00DE3636"/>
    <w:rsid w:val="00DE4132"/>
    <w:rsid w:val="00DE4A11"/>
    <w:rsid w:val="00DE5AC9"/>
    <w:rsid w:val="00DE5DD5"/>
    <w:rsid w:val="00DE663A"/>
    <w:rsid w:val="00DE68F4"/>
    <w:rsid w:val="00DE6C2E"/>
    <w:rsid w:val="00DE6F54"/>
    <w:rsid w:val="00DE7F1F"/>
    <w:rsid w:val="00DF020C"/>
    <w:rsid w:val="00DF1722"/>
    <w:rsid w:val="00DF261D"/>
    <w:rsid w:val="00DF2CA0"/>
    <w:rsid w:val="00DF378F"/>
    <w:rsid w:val="00DF416B"/>
    <w:rsid w:val="00DF6889"/>
    <w:rsid w:val="00E00704"/>
    <w:rsid w:val="00E00BFC"/>
    <w:rsid w:val="00E00E58"/>
    <w:rsid w:val="00E01122"/>
    <w:rsid w:val="00E01B0C"/>
    <w:rsid w:val="00E02087"/>
    <w:rsid w:val="00E020C8"/>
    <w:rsid w:val="00E02A14"/>
    <w:rsid w:val="00E03F60"/>
    <w:rsid w:val="00E04C1C"/>
    <w:rsid w:val="00E05EC5"/>
    <w:rsid w:val="00E05F54"/>
    <w:rsid w:val="00E06E39"/>
    <w:rsid w:val="00E07757"/>
    <w:rsid w:val="00E07A05"/>
    <w:rsid w:val="00E10419"/>
    <w:rsid w:val="00E10660"/>
    <w:rsid w:val="00E10ABC"/>
    <w:rsid w:val="00E12934"/>
    <w:rsid w:val="00E12C4A"/>
    <w:rsid w:val="00E13580"/>
    <w:rsid w:val="00E142C6"/>
    <w:rsid w:val="00E146AE"/>
    <w:rsid w:val="00E1477B"/>
    <w:rsid w:val="00E147D0"/>
    <w:rsid w:val="00E14B1F"/>
    <w:rsid w:val="00E14B3C"/>
    <w:rsid w:val="00E14E64"/>
    <w:rsid w:val="00E15960"/>
    <w:rsid w:val="00E15E61"/>
    <w:rsid w:val="00E160B0"/>
    <w:rsid w:val="00E16E3E"/>
    <w:rsid w:val="00E2001E"/>
    <w:rsid w:val="00E210EE"/>
    <w:rsid w:val="00E2177B"/>
    <w:rsid w:val="00E21CE2"/>
    <w:rsid w:val="00E21FD5"/>
    <w:rsid w:val="00E2345F"/>
    <w:rsid w:val="00E23C97"/>
    <w:rsid w:val="00E250FF"/>
    <w:rsid w:val="00E253CE"/>
    <w:rsid w:val="00E25B01"/>
    <w:rsid w:val="00E25BAD"/>
    <w:rsid w:val="00E26652"/>
    <w:rsid w:val="00E26848"/>
    <w:rsid w:val="00E27FF3"/>
    <w:rsid w:val="00E31666"/>
    <w:rsid w:val="00E31E4F"/>
    <w:rsid w:val="00E324F9"/>
    <w:rsid w:val="00E340DD"/>
    <w:rsid w:val="00E34B20"/>
    <w:rsid w:val="00E361A4"/>
    <w:rsid w:val="00E37F93"/>
    <w:rsid w:val="00E40AC9"/>
    <w:rsid w:val="00E4102B"/>
    <w:rsid w:val="00E41367"/>
    <w:rsid w:val="00E419F9"/>
    <w:rsid w:val="00E429A0"/>
    <w:rsid w:val="00E4319D"/>
    <w:rsid w:val="00E44103"/>
    <w:rsid w:val="00E4459E"/>
    <w:rsid w:val="00E44CFD"/>
    <w:rsid w:val="00E451E6"/>
    <w:rsid w:val="00E46784"/>
    <w:rsid w:val="00E46B20"/>
    <w:rsid w:val="00E46F6C"/>
    <w:rsid w:val="00E50031"/>
    <w:rsid w:val="00E50A26"/>
    <w:rsid w:val="00E51618"/>
    <w:rsid w:val="00E52125"/>
    <w:rsid w:val="00E52C2B"/>
    <w:rsid w:val="00E52E24"/>
    <w:rsid w:val="00E535D9"/>
    <w:rsid w:val="00E5480C"/>
    <w:rsid w:val="00E551AB"/>
    <w:rsid w:val="00E55499"/>
    <w:rsid w:val="00E55ECC"/>
    <w:rsid w:val="00E5657F"/>
    <w:rsid w:val="00E56689"/>
    <w:rsid w:val="00E60249"/>
    <w:rsid w:val="00E61476"/>
    <w:rsid w:val="00E61731"/>
    <w:rsid w:val="00E61FAC"/>
    <w:rsid w:val="00E62154"/>
    <w:rsid w:val="00E62B2B"/>
    <w:rsid w:val="00E6333F"/>
    <w:rsid w:val="00E645CE"/>
    <w:rsid w:val="00E64992"/>
    <w:rsid w:val="00E6523C"/>
    <w:rsid w:val="00E65B18"/>
    <w:rsid w:val="00E673BB"/>
    <w:rsid w:val="00E70015"/>
    <w:rsid w:val="00E702A3"/>
    <w:rsid w:val="00E7063B"/>
    <w:rsid w:val="00E706FC"/>
    <w:rsid w:val="00E709B6"/>
    <w:rsid w:val="00E712E2"/>
    <w:rsid w:val="00E71D91"/>
    <w:rsid w:val="00E72C5E"/>
    <w:rsid w:val="00E72DCE"/>
    <w:rsid w:val="00E73796"/>
    <w:rsid w:val="00E7592A"/>
    <w:rsid w:val="00E76059"/>
    <w:rsid w:val="00E80824"/>
    <w:rsid w:val="00E81255"/>
    <w:rsid w:val="00E819AC"/>
    <w:rsid w:val="00E81DB8"/>
    <w:rsid w:val="00E823D5"/>
    <w:rsid w:val="00E827F2"/>
    <w:rsid w:val="00E83CB3"/>
    <w:rsid w:val="00E84C19"/>
    <w:rsid w:val="00E869D1"/>
    <w:rsid w:val="00E875AE"/>
    <w:rsid w:val="00E90104"/>
    <w:rsid w:val="00E90E3E"/>
    <w:rsid w:val="00E91A15"/>
    <w:rsid w:val="00E92819"/>
    <w:rsid w:val="00E92AC9"/>
    <w:rsid w:val="00E9403B"/>
    <w:rsid w:val="00E94158"/>
    <w:rsid w:val="00E94C21"/>
    <w:rsid w:val="00E94CF7"/>
    <w:rsid w:val="00E960D2"/>
    <w:rsid w:val="00E969D4"/>
    <w:rsid w:val="00EA033E"/>
    <w:rsid w:val="00EA05B2"/>
    <w:rsid w:val="00EA06B4"/>
    <w:rsid w:val="00EA07AE"/>
    <w:rsid w:val="00EA110B"/>
    <w:rsid w:val="00EA1A6F"/>
    <w:rsid w:val="00EA1BD4"/>
    <w:rsid w:val="00EA1D90"/>
    <w:rsid w:val="00EA3D6D"/>
    <w:rsid w:val="00EA3FC4"/>
    <w:rsid w:val="00EA4940"/>
    <w:rsid w:val="00EA502E"/>
    <w:rsid w:val="00EA5274"/>
    <w:rsid w:val="00EA584C"/>
    <w:rsid w:val="00EA70CB"/>
    <w:rsid w:val="00EA7299"/>
    <w:rsid w:val="00EA770C"/>
    <w:rsid w:val="00EA7E76"/>
    <w:rsid w:val="00EB1283"/>
    <w:rsid w:val="00EB1EAB"/>
    <w:rsid w:val="00EB2A5E"/>
    <w:rsid w:val="00EB35BB"/>
    <w:rsid w:val="00EB587B"/>
    <w:rsid w:val="00EB5AF0"/>
    <w:rsid w:val="00EB5D84"/>
    <w:rsid w:val="00EB6080"/>
    <w:rsid w:val="00EB614F"/>
    <w:rsid w:val="00EB6E3F"/>
    <w:rsid w:val="00EB7D33"/>
    <w:rsid w:val="00EC03B2"/>
    <w:rsid w:val="00EC06A7"/>
    <w:rsid w:val="00EC101E"/>
    <w:rsid w:val="00EC1EB7"/>
    <w:rsid w:val="00EC20CD"/>
    <w:rsid w:val="00EC27DE"/>
    <w:rsid w:val="00EC2FBF"/>
    <w:rsid w:val="00EC3B89"/>
    <w:rsid w:val="00EC4384"/>
    <w:rsid w:val="00EC4823"/>
    <w:rsid w:val="00EC4EF8"/>
    <w:rsid w:val="00EC5656"/>
    <w:rsid w:val="00EC5E9F"/>
    <w:rsid w:val="00ED05FE"/>
    <w:rsid w:val="00ED09F0"/>
    <w:rsid w:val="00ED1927"/>
    <w:rsid w:val="00ED3641"/>
    <w:rsid w:val="00ED3A50"/>
    <w:rsid w:val="00ED3BA5"/>
    <w:rsid w:val="00ED4D29"/>
    <w:rsid w:val="00ED506F"/>
    <w:rsid w:val="00ED5664"/>
    <w:rsid w:val="00ED5C0B"/>
    <w:rsid w:val="00ED5DB3"/>
    <w:rsid w:val="00ED6456"/>
    <w:rsid w:val="00ED67F4"/>
    <w:rsid w:val="00ED6C54"/>
    <w:rsid w:val="00ED6D07"/>
    <w:rsid w:val="00ED7D57"/>
    <w:rsid w:val="00EE0278"/>
    <w:rsid w:val="00EE02C3"/>
    <w:rsid w:val="00EE062E"/>
    <w:rsid w:val="00EE13B9"/>
    <w:rsid w:val="00EE1817"/>
    <w:rsid w:val="00EE2549"/>
    <w:rsid w:val="00EE255C"/>
    <w:rsid w:val="00EE396E"/>
    <w:rsid w:val="00EE3BF0"/>
    <w:rsid w:val="00EE4FB8"/>
    <w:rsid w:val="00EE519A"/>
    <w:rsid w:val="00EE5C8B"/>
    <w:rsid w:val="00EE69A9"/>
    <w:rsid w:val="00EE7BE5"/>
    <w:rsid w:val="00EF0006"/>
    <w:rsid w:val="00EF1A8E"/>
    <w:rsid w:val="00EF30ED"/>
    <w:rsid w:val="00EF3379"/>
    <w:rsid w:val="00EF3911"/>
    <w:rsid w:val="00EF3C13"/>
    <w:rsid w:val="00EF4693"/>
    <w:rsid w:val="00EF486B"/>
    <w:rsid w:val="00EF59E9"/>
    <w:rsid w:val="00EF5F79"/>
    <w:rsid w:val="00EF6100"/>
    <w:rsid w:val="00EF66E6"/>
    <w:rsid w:val="00EF691E"/>
    <w:rsid w:val="00EF6F08"/>
    <w:rsid w:val="00EF766C"/>
    <w:rsid w:val="00F0080D"/>
    <w:rsid w:val="00F00A19"/>
    <w:rsid w:val="00F00BB6"/>
    <w:rsid w:val="00F00C64"/>
    <w:rsid w:val="00F017AA"/>
    <w:rsid w:val="00F01AFD"/>
    <w:rsid w:val="00F02150"/>
    <w:rsid w:val="00F0228F"/>
    <w:rsid w:val="00F037B6"/>
    <w:rsid w:val="00F060A6"/>
    <w:rsid w:val="00F06EEA"/>
    <w:rsid w:val="00F075FC"/>
    <w:rsid w:val="00F10464"/>
    <w:rsid w:val="00F1058E"/>
    <w:rsid w:val="00F10D18"/>
    <w:rsid w:val="00F1113F"/>
    <w:rsid w:val="00F13DC9"/>
    <w:rsid w:val="00F14ED7"/>
    <w:rsid w:val="00F15AFB"/>
    <w:rsid w:val="00F20A51"/>
    <w:rsid w:val="00F20F0C"/>
    <w:rsid w:val="00F21C34"/>
    <w:rsid w:val="00F21F21"/>
    <w:rsid w:val="00F225E8"/>
    <w:rsid w:val="00F238AC"/>
    <w:rsid w:val="00F252D0"/>
    <w:rsid w:val="00F259E9"/>
    <w:rsid w:val="00F26638"/>
    <w:rsid w:val="00F274D4"/>
    <w:rsid w:val="00F27690"/>
    <w:rsid w:val="00F2771D"/>
    <w:rsid w:val="00F27DC0"/>
    <w:rsid w:val="00F305C2"/>
    <w:rsid w:val="00F30792"/>
    <w:rsid w:val="00F307C1"/>
    <w:rsid w:val="00F30846"/>
    <w:rsid w:val="00F3153C"/>
    <w:rsid w:val="00F3367D"/>
    <w:rsid w:val="00F337AA"/>
    <w:rsid w:val="00F3463F"/>
    <w:rsid w:val="00F34D07"/>
    <w:rsid w:val="00F35264"/>
    <w:rsid w:val="00F3567B"/>
    <w:rsid w:val="00F35DAC"/>
    <w:rsid w:val="00F3659C"/>
    <w:rsid w:val="00F36B07"/>
    <w:rsid w:val="00F37237"/>
    <w:rsid w:val="00F37D2F"/>
    <w:rsid w:val="00F40099"/>
    <w:rsid w:val="00F41D36"/>
    <w:rsid w:val="00F420C5"/>
    <w:rsid w:val="00F423C5"/>
    <w:rsid w:val="00F427C4"/>
    <w:rsid w:val="00F42B88"/>
    <w:rsid w:val="00F433EC"/>
    <w:rsid w:val="00F439B9"/>
    <w:rsid w:val="00F43E00"/>
    <w:rsid w:val="00F446A5"/>
    <w:rsid w:val="00F4493C"/>
    <w:rsid w:val="00F449AC"/>
    <w:rsid w:val="00F453F5"/>
    <w:rsid w:val="00F45740"/>
    <w:rsid w:val="00F47F4F"/>
    <w:rsid w:val="00F5042B"/>
    <w:rsid w:val="00F50BB9"/>
    <w:rsid w:val="00F52186"/>
    <w:rsid w:val="00F52777"/>
    <w:rsid w:val="00F551A8"/>
    <w:rsid w:val="00F5601F"/>
    <w:rsid w:val="00F60471"/>
    <w:rsid w:val="00F61E71"/>
    <w:rsid w:val="00F62B54"/>
    <w:rsid w:val="00F63581"/>
    <w:rsid w:val="00F63C62"/>
    <w:rsid w:val="00F63F64"/>
    <w:rsid w:val="00F654E7"/>
    <w:rsid w:val="00F672B3"/>
    <w:rsid w:val="00F67A90"/>
    <w:rsid w:val="00F67AC1"/>
    <w:rsid w:val="00F67E35"/>
    <w:rsid w:val="00F7000C"/>
    <w:rsid w:val="00F706BD"/>
    <w:rsid w:val="00F70956"/>
    <w:rsid w:val="00F71C00"/>
    <w:rsid w:val="00F7235F"/>
    <w:rsid w:val="00F728B1"/>
    <w:rsid w:val="00F728B7"/>
    <w:rsid w:val="00F73508"/>
    <w:rsid w:val="00F743BB"/>
    <w:rsid w:val="00F75CBD"/>
    <w:rsid w:val="00F763CB"/>
    <w:rsid w:val="00F778C6"/>
    <w:rsid w:val="00F77A0C"/>
    <w:rsid w:val="00F818B9"/>
    <w:rsid w:val="00F81C20"/>
    <w:rsid w:val="00F822A8"/>
    <w:rsid w:val="00F82DB2"/>
    <w:rsid w:val="00F8334E"/>
    <w:rsid w:val="00F83DE1"/>
    <w:rsid w:val="00F83DFC"/>
    <w:rsid w:val="00F845BC"/>
    <w:rsid w:val="00F84D34"/>
    <w:rsid w:val="00F84DB4"/>
    <w:rsid w:val="00F86834"/>
    <w:rsid w:val="00F875FF"/>
    <w:rsid w:val="00F90BF8"/>
    <w:rsid w:val="00F915C4"/>
    <w:rsid w:val="00F9229C"/>
    <w:rsid w:val="00F923AB"/>
    <w:rsid w:val="00F92B47"/>
    <w:rsid w:val="00F92EFD"/>
    <w:rsid w:val="00F93AE6"/>
    <w:rsid w:val="00F941C1"/>
    <w:rsid w:val="00F9494C"/>
    <w:rsid w:val="00F954AB"/>
    <w:rsid w:val="00F95FC0"/>
    <w:rsid w:val="00F9606F"/>
    <w:rsid w:val="00F96ED6"/>
    <w:rsid w:val="00F9768C"/>
    <w:rsid w:val="00FA00A5"/>
    <w:rsid w:val="00FA0583"/>
    <w:rsid w:val="00FA0DE2"/>
    <w:rsid w:val="00FA1691"/>
    <w:rsid w:val="00FA2939"/>
    <w:rsid w:val="00FA2ED1"/>
    <w:rsid w:val="00FA3C87"/>
    <w:rsid w:val="00FA3ED5"/>
    <w:rsid w:val="00FA3F0B"/>
    <w:rsid w:val="00FA4AD2"/>
    <w:rsid w:val="00FA53F8"/>
    <w:rsid w:val="00FA6C07"/>
    <w:rsid w:val="00FA6FE3"/>
    <w:rsid w:val="00FA7C5A"/>
    <w:rsid w:val="00FA7D5A"/>
    <w:rsid w:val="00FB19E8"/>
    <w:rsid w:val="00FB2625"/>
    <w:rsid w:val="00FB28E7"/>
    <w:rsid w:val="00FB35B5"/>
    <w:rsid w:val="00FB5347"/>
    <w:rsid w:val="00FB534C"/>
    <w:rsid w:val="00FB53CE"/>
    <w:rsid w:val="00FB550E"/>
    <w:rsid w:val="00FB6148"/>
    <w:rsid w:val="00FB6788"/>
    <w:rsid w:val="00FB693B"/>
    <w:rsid w:val="00FB6C9B"/>
    <w:rsid w:val="00FB71D0"/>
    <w:rsid w:val="00FB7CE4"/>
    <w:rsid w:val="00FC01F2"/>
    <w:rsid w:val="00FC025E"/>
    <w:rsid w:val="00FC03C8"/>
    <w:rsid w:val="00FC0545"/>
    <w:rsid w:val="00FC0EE4"/>
    <w:rsid w:val="00FC19C8"/>
    <w:rsid w:val="00FC2A36"/>
    <w:rsid w:val="00FC2A40"/>
    <w:rsid w:val="00FC2B70"/>
    <w:rsid w:val="00FC2F57"/>
    <w:rsid w:val="00FC4E95"/>
    <w:rsid w:val="00FC4F89"/>
    <w:rsid w:val="00FC530F"/>
    <w:rsid w:val="00FC6091"/>
    <w:rsid w:val="00FC67F5"/>
    <w:rsid w:val="00FC6C64"/>
    <w:rsid w:val="00FC72FC"/>
    <w:rsid w:val="00FC745B"/>
    <w:rsid w:val="00FC7D57"/>
    <w:rsid w:val="00FD0A8A"/>
    <w:rsid w:val="00FD1D23"/>
    <w:rsid w:val="00FD1F01"/>
    <w:rsid w:val="00FD208A"/>
    <w:rsid w:val="00FD2667"/>
    <w:rsid w:val="00FD3D8C"/>
    <w:rsid w:val="00FD3E70"/>
    <w:rsid w:val="00FD4E16"/>
    <w:rsid w:val="00FD4FB5"/>
    <w:rsid w:val="00FD55B5"/>
    <w:rsid w:val="00FD6C51"/>
    <w:rsid w:val="00FE04CB"/>
    <w:rsid w:val="00FE0F57"/>
    <w:rsid w:val="00FE1779"/>
    <w:rsid w:val="00FE1AFD"/>
    <w:rsid w:val="00FE2ECF"/>
    <w:rsid w:val="00FE37D4"/>
    <w:rsid w:val="00FE4164"/>
    <w:rsid w:val="00FE56C7"/>
    <w:rsid w:val="00FE6C95"/>
    <w:rsid w:val="00FE7C7B"/>
    <w:rsid w:val="00FF05B2"/>
    <w:rsid w:val="00FF09D6"/>
    <w:rsid w:val="00FF0A45"/>
    <w:rsid w:val="00FF0C26"/>
    <w:rsid w:val="00FF2086"/>
    <w:rsid w:val="00FF264C"/>
    <w:rsid w:val="00FF37F8"/>
    <w:rsid w:val="00FF3C50"/>
    <w:rsid w:val="00FF4796"/>
    <w:rsid w:val="00FF48C8"/>
    <w:rsid w:val="00FF49CE"/>
    <w:rsid w:val="00FF4BB5"/>
    <w:rsid w:val="00FF4DE4"/>
    <w:rsid w:val="00FF4F75"/>
    <w:rsid w:val="00FF5296"/>
    <w:rsid w:val="00FF5563"/>
    <w:rsid w:val="00FF65A9"/>
    <w:rsid w:val="00FF6F01"/>
    <w:rsid w:val="00FF7013"/>
    <w:rsid w:val="00FF7379"/>
    <w:rsid w:val="00FF76B0"/>
    <w:rsid w:val="00FF7CF5"/>
    <w:rsid w:val="02700D42"/>
    <w:rsid w:val="02FC1AFC"/>
    <w:rsid w:val="02FF7A7B"/>
    <w:rsid w:val="03296D51"/>
    <w:rsid w:val="032F648F"/>
    <w:rsid w:val="04DD3789"/>
    <w:rsid w:val="055D2B7C"/>
    <w:rsid w:val="055E085F"/>
    <w:rsid w:val="05754150"/>
    <w:rsid w:val="05ED35C6"/>
    <w:rsid w:val="061D0BB7"/>
    <w:rsid w:val="06C84A9D"/>
    <w:rsid w:val="070D6983"/>
    <w:rsid w:val="073161DB"/>
    <w:rsid w:val="07EA354E"/>
    <w:rsid w:val="07F6721E"/>
    <w:rsid w:val="088B6AFC"/>
    <w:rsid w:val="09532246"/>
    <w:rsid w:val="0A0211AF"/>
    <w:rsid w:val="0A9D7C40"/>
    <w:rsid w:val="0B382FBD"/>
    <w:rsid w:val="0BBE4F5D"/>
    <w:rsid w:val="0D7264E6"/>
    <w:rsid w:val="0DFB528D"/>
    <w:rsid w:val="0E371688"/>
    <w:rsid w:val="0EA56D12"/>
    <w:rsid w:val="0FA7028E"/>
    <w:rsid w:val="0FCD487B"/>
    <w:rsid w:val="0FDF6B6C"/>
    <w:rsid w:val="113D1458"/>
    <w:rsid w:val="11774690"/>
    <w:rsid w:val="12DC66BE"/>
    <w:rsid w:val="14AE78FC"/>
    <w:rsid w:val="153642EA"/>
    <w:rsid w:val="15565CB3"/>
    <w:rsid w:val="168138A6"/>
    <w:rsid w:val="16ED5F4A"/>
    <w:rsid w:val="17AD2240"/>
    <w:rsid w:val="181E605E"/>
    <w:rsid w:val="18A111BF"/>
    <w:rsid w:val="196520C9"/>
    <w:rsid w:val="197874D5"/>
    <w:rsid w:val="1A6D1674"/>
    <w:rsid w:val="1AD31D10"/>
    <w:rsid w:val="1B096CF5"/>
    <w:rsid w:val="1CFD0BFF"/>
    <w:rsid w:val="1DCD54A7"/>
    <w:rsid w:val="1E4F3327"/>
    <w:rsid w:val="1E996BC3"/>
    <w:rsid w:val="1F4B179E"/>
    <w:rsid w:val="1F5C2DFA"/>
    <w:rsid w:val="21DD349D"/>
    <w:rsid w:val="22715D97"/>
    <w:rsid w:val="228D3726"/>
    <w:rsid w:val="235342FD"/>
    <w:rsid w:val="23DE3296"/>
    <w:rsid w:val="251E0237"/>
    <w:rsid w:val="25314578"/>
    <w:rsid w:val="254C7941"/>
    <w:rsid w:val="2781405D"/>
    <w:rsid w:val="2811783B"/>
    <w:rsid w:val="28725ED2"/>
    <w:rsid w:val="29407877"/>
    <w:rsid w:val="29F47288"/>
    <w:rsid w:val="2A3D79CC"/>
    <w:rsid w:val="2B226300"/>
    <w:rsid w:val="2B613EBE"/>
    <w:rsid w:val="2B8D453C"/>
    <w:rsid w:val="2CF83EA4"/>
    <w:rsid w:val="2D69575C"/>
    <w:rsid w:val="2DB1610E"/>
    <w:rsid w:val="2E7541D1"/>
    <w:rsid w:val="2E8A57EA"/>
    <w:rsid w:val="2E9778C4"/>
    <w:rsid w:val="2EEE0D4D"/>
    <w:rsid w:val="2F3E0162"/>
    <w:rsid w:val="30336A9F"/>
    <w:rsid w:val="30504C52"/>
    <w:rsid w:val="313D2A7E"/>
    <w:rsid w:val="31592FEC"/>
    <w:rsid w:val="323A7698"/>
    <w:rsid w:val="32FB2ECE"/>
    <w:rsid w:val="34031F48"/>
    <w:rsid w:val="34A03470"/>
    <w:rsid w:val="371762D9"/>
    <w:rsid w:val="37630BA0"/>
    <w:rsid w:val="3997661B"/>
    <w:rsid w:val="39AF3524"/>
    <w:rsid w:val="3B4D4259"/>
    <w:rsid w:val="3BAB0B58"/>
    <w:rsid w:val="3C195A73"/>
    <w:rsid w:val="3CA118F6"/>
    <w:rsid w:val="3CC15DF1"/>
    <w:rsid w:val="3DAD4CBD"/>
    <w:rsid w:val="3E7263CB"/>
    <w:rsid w:val="3F5704BE"/>
    <w:rsid w:val="400953F5"/>
    <w:rsid w:val="418C2E69"/>
    <w:rsid w:val="420C0B91"/>
    <w:rsid w:val="434F79FC"/>
    <w:rsid w:val="4489402F"/>
    <w:rsid w:val="4971375E"/>
    <w:rsid w:val="497C6E74"/>
    <w:rsid w:val="4AA71688"/>
    <w:rsid w:val="4BB32A0D"/>
    <w:rsid w:val="4C2365F6"/>
    <w:rsid w:val="4C477794"/>
    <w:rsid w:val="4C8A1665"/>
    <w:rsid w:val="4D1B2411"/>
    <w:rsid w:val="4DB55E03"/>
    <w:rsid w:val="4EF121AF"/>
    <w:rsid w:val="50B3757D"/>
    <w:rsid w:val="51763D8A"/>
    <w:rsid w:val="51B374E1"/>
    <w:rsid w:val="51F2387E"/>
    <w:rsid w:val="529B370B"/>
    <w:rsid w:val="53301399"/>
    <w:rsid w:val="549B192F"/>
    <w:rsid w:val="553A7FB9"/>
    <w:rsid w:val="554B00FD"/>
    <w:rsid w:val="556B321E"/>
    <w:rsid w:val="57540152"/>
    <w:rsid w:val="57E16E3D"/>
    <w:rsid w:val="58021570"/>
    <w:rsid w:val="58836646"/>
    <w:rsid w:val="588653B6"/>
    <w:rsid w:val="5A066539"/>
    <w:rsid w:val="5A202058"/>
    <w:rsid w:val="5C561855"/>
    <w:rsid w:val="5C6A6D99"/>
    <w:rsid w:val="5D8D07C6"/>
    <w:rsid w:val="5E2E5C98"/>
    <w:rsid w:val="5E49378B"/>
    <w:rsid w:val="5EE20FF0"/>
    <w:rsid w:val="5EFE4C88"/>
    <w:rsid w:val="60171B90"/>
    <w:rsid w:val="60FF47C7"/>
    <w:rsid w:val="6235408F"/>
    <w:rsid w:val="62D27BAF"/>
    <w:rsid w:val="631B0E96"/>
    <w:rsid w:val="63E76A35"/>
    <w:rsid w:val="64641879"/>
    <w:rsid w:val="64D92155"/>
    <w:rsid w:val="653370EE"/>
    <w:rsid w:val="65FF4B48"/>
    <w:rsid w:val="67177753"/>
    <w:rsid w:val="675B728E"/>
    <w:rsid w:val="67C81D1C"/>
    <w:rsid w:val="67D15A64"/>
    <w:rsid w:val="696239BC"/>
    <w:rsid w:val="6985092D"/>
    <w:rsid w:val="6AC23593"/>
    <w:rsid w:val="6C386326"/>
    <w:rsid w:val="6DA170E8"/>
    <w:rsid w:val="6E4C1DD0"/>
    <w:rsid w:val="6F500DF1"/>
    <w:rsid w:val="70444D29"/>
    <w:rsid w:val="70E06CD2"/>
    <w:rsid w:val="7154385A"/>
    <w:rsid w:val="7269114A"/>
    <w:rsid w:val="72917C5B"/>
    <w:rsid w:val="73707BF4"/>
    <w:rsid w:val="74160439"/>
    <w:rsid w:val="74491AD5"/>
    <w:rsid w:val="74A47132"/>
    <w:rsid w:val="7527352B"/>
    <w:rsid w:val="76FF6B4B"/>
    <w:rsid w:val="77181A29"/>
    <w:rsid w:val="79423203"/>
    <w:rsid w:val="79D762F4"/>
    <w:rsid w:val="7A9C5C4E"/>
    <w:rsid w:val="7ABE0618"/>
    <w:rsid w:val="7B32014C"/>
    <w:rsid w:val="7B683207"/>
    <w:rsid w:val="7BD40338"/>
    <w:rsid w:val="7C00467F"/>
    <w:rsid w:val="7C0046F0"/>
    <w:rsid w:val="7C80486C"/>
    <w:rsid w:val="7DAE0A1A"/>
    <w:rsid w:val="7E20467A"/>
    <w:rsid w:val="7E626168"/>
    <w:rsid w:val="7E765088"/>
    <w:rsid w:val="7EEC7C69"/>
    <w:rsid w:val="7F9314A0"/>
    <w:rsid w:val="BAEFCDDA"/>
    <w:rsid w:val="BEFFA8BB"/>
    <w:rsid w:val="FB76678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iPriority="0" w:name="table of figures"/>
    <w:lsdException w:uiPriority="0" w:name="envelope address"/>
    <w:lsdException w:uiPriority="0" w:name="envelope return"/>
    <w:lsdException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semiHidden="0" w:name="List Bullet"/>
    <w:lsdException w:qFormat="1" w:unhideWhenUsed="0" w:uiPriority="0" w:semiHidden="0" w:name="List Number"/>
    <w:lsdException w:qFormat="1" w:unhideWhenUsed="0" w:uiPriority="0" w:semiHidden="0" w:name="List 2"/>
    <w:lsdException w:uiPriority="0" w:name="List 3"/>
    <w:lsdException w:unhideWhenUsed="0" w:uiPriority="0" w:semiHidden="0" w:name="List 4"/>
    <w:lsdException w:uiPriority="0" w:name="List 5"/>
    <w:lsdException w:unhideWhenUsed="0" w:uiPriority="0" w:semiHidden="0" w:name="List Bullet 2"/>
    <w:lsdException w:uiPriority="0" w:name="List Bullet 3"/>
    <w:lsdException w:uiPriority="0" w:name="List Bullet 4"/>
    <w:lsdException w:uiPriority="0" w:name="List Bullet 5"/>
    <w:lsdException w:uiPriority="0" w:name="List Number 2"/>
    <w:lsdException w:qFormat="1" w:unhideWhenUsed="0" w:uiPriority="0" w:semiHidden="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uiPriority="0" w:name="Salutation"/>
    <w:lsdException w:qFormat="1" w:unhideWhenUsed="0" w:uiPriority="99" w:semiHidden="0" w:name="Date"/>
    <w:lsdException w:qFormat="1" w:unhideWhenUsed="0" w:uiPriority="99" w:semiHidden="0" w:name="Body Text First Indent"/>
    <w:lsdException w:unhideWhenUsed="0" w:uiPriority="0" w:semiHidden="0" w:name="Body Text First Indent 2"/>
    <w:lsdException w:uiPriority="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nhideWhenUsed="0" w:uiPriority="0" w:semiHidden="0" w:name="HTML Cite"/>
    <w:lsdException w:uiPriority="0" w:name="HTML Code"/>
    <w:lsdException w:uiPriority="0" w:name="HTML Definition"/>
    <w:lsdException w:uiPriority="0" w:name="HTML Keyboard"/>
    <w:lsdException w:qFormat="1" w:unhideWhenUsed="0" w:uiPriority="0" w:semiHidden="0" w:name="HTML Preformatted"/>
    <w:lsdException w:uiPriority="99" w:semiHidden="0" w:name="HTML Sample"/>
    <w:lsdException w:uiPriority="0" w:name="HTML Typewriter"/>
    <w:lsdException w:uiPriority="0" w:name="HTML Variable"/>
    <w:lsdException w:uiPriority="99" w:semiHidden="0"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nhideWhenUsed="0" w:uiPriority="0" w:semiHidden="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uiPriority="99" w:semiHidden="0" w:name=""/>
    <w:lsdException w:qFormat="1" w:unhideWhenUsed="0" w:uiPriority="34" w:semiHidden="0" w:name="List Paragraph"/>
    <w:lsdException w:qFormat="1" w:unhideWhenUsed="0" w:uiPriority="29" w:semiHidden="0" w:name="Quote"/>
    <w:lsdException w:qFormat="1" w:unhideWhenUsed="0" w:uiPriority="30" w:semiHidden="0" w:name="Intense Quote"/>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atentStyles>
  <w:style w:type="paragraph" w:default="1" w:styleId="1">
    <w:name w:val="Normal"/>
    <w:next w:val="2"/>
    <w:qFormat/>
    <w:uiPriority w:val="0"/>
    <w:pPr>
      <w:widowControl w:val="0"/>
      <w:spacing w:line="360" w:lineRule="auto"/>
      <w:jc w:val="both"/>
    </w:pPr>
    <w:rPr>
      <w:kern w:val="2"/>
      <w:sz w:val="21"/>
      <w:lang w:val="en-US" w:eastAsia="zh-CN" w:bidi="ar-SA"/>
    </w:rPr>
  </w:style>
  <w:style w:type="paragraph" w:styleId="4">
    <w:name w:val="heading 1"/>
    <w:basedOn w:val="1"/>
    <w:link w:val="129"/>
    <w:qFormat/>
    <w:uiPriority w:val="0"/>
    <w:pPr>
      <w:adjustRightInd w:val="0"/>
      <w:jc w:val="center"/>
      <w:textAlignment w:val="baseline"/>
      <w:outlineLvl w:val="0"/>
    </w:pPr>
    <w:rPr>
      <w:b/>
      <w:kern w:val="0"/>
      <w:sz w:val="30"/>
    </w:rPr>
  </w:style>
  <w:style w:type="paragraph" w:styleId="5">
    <w:name w:val="heading 2"/>
    <w:basedOn w:val="1"/>
    <w:next w:val="1"/>
    <w:link w:val="105"/>
    <w:qFormat/>
    <w:uiPriority w:val="0"/>
    <w:pPr>
      <w:tabs>
        <w:tab w:val="left" w:pos="1260"/>
        <w:tab w:val="left" w:pos="1575"/>
      </w:tabs>
      <w:jc w:val="left"/>
      <w:outlineLvl w:val="1"/>
    </w:pPr>
    <w:rPr>
      <w:b/>
    </w:rPr>
  </w:style>
  <w:style w:type="paragraph" w:styleId="6">
    <w:name w:val="heading 3"/>
    <w:basedOn w:val="1"/>
    <w:next w:val="1"/>
    <w:link w:val="108"/>
    <w:qFormat/>
    <w:uiPriority w:val="0"/>
    <w:pPr>
      <w:keepNext/>
      <w:keepLines/>
      <w:spacing w:before="260" w:after="260" w:line="416" w:lineRule="auto"/>
      <w:outlineLvl w:val="2"/>
    </w:pPr>
    <w:rPr>
      <w:b/>
      <w:bCs/>
      <w:sz w:val="32"/>
      <w:szCs w:val="32"/>
    </w:rPr>
  </w:style>
  <w:style w:type="paragraph" w:styleId="7">
    <w:name w:val="heading 4"/>
    <w:basedOn w:val="6"/>
    <w:link w:val="131"/>
    <w:qFormat/>
    <w:uiPriority w:val="0"/>
    <w:pPr>
      <w:keepNext w:val="0"/>
      <w:keepLines w:val="0"/>
      <w:tabs>
        <w:tab w:val="left" w:pos="1575"/>
        <w:tab w:val="left" w:pos="1680"/>
        <w:tab w:val="left" w:pos="1771"/>
        <w:tab w:val="left" w:pos="1995"/>
        <w:tab w:val="left" w:pos="2100"/>
      </w:tabs>
      <w:adjustRightInd w:val="0"/>
      <w:spacing w:before="0" w:after="0" w:line="400" w:lineRule="exact"/>
      <w:textAlignment w:val="baseline"/>
      <w:outlineLvl w:val="3"/>
    </w:pPr>
    <w:rPr>
      <w:b w:val="0"/>
      <w:bCs w:val="0"/>
      <w:kern w:val="0"/>
      <w:sz w:val="24"/>
      <w:szCs w:val="20"/>
    </w:rPr>
  </w:style>
  <w:style w:type="paragraph" w:styleId="8">
    <w:name w:val="heading 5"/>
    <w:basedOn w:val="7"/>
    <w:link w:val="88"/>
    <w:qFormat/>
    <w:uiPriority w:val="0"/>
    <w:pPr>
      <w:tabs>
        <w:tab w:val="left" w:pos="2520"/>
        <w:tab w:val="clear" w:pos="1575"/>
        <w:tab w:val="clear" w:pos="1680"/>
        <w:tab w:val="clear" w:pos="1771"/>
        <w:tab w:val="clear" w:pos="1995"/>
        <w:tab w:val="clear" w:pos="2100"/>
      </w:tabs>
      <w:outlineLvl w:val="4"/>
    </w:pPr>
  </w:style>
  <w:style w:type="paragraph" w:styleId="9">
    <w:name w:val="heading 6"/>
    <w:basedOn w:val="8"/>
    <w:link w:val="111"/>
    <w:qFormat/>
    <w:uiPriority w:val="0"/>
    <w:pPr>
      <w:tabs>
        <w:tab w:val="left" w:pos="2940"/>
        <w:tab w:val="clear" w:pos="2520"/>
      </w:tabs>
      <w:outlineLvl w:val="5"/>
    </w:pPr>
  </w:style>
  <w:style w:type="paragraph" w:styleId="10">
    <w:name w:val="heading 7"/>
    <w:basedOn w:val="9"/>
    <w:link w:val="109"/>
    <w:qFormat/>
    <w:uiPriority w:val="99"/>
    <w:pPr>
      <w:tabs>
        <w:tab w:val="left" w:pos="3360"/>
        <w:tab w:val="clear" w:pos="2940"/>
      </w:tabs>
      <w:outlineLvl w:val="6"/>
    </w:pPr>
  </w:style>
  <w:style w:type="paragraph" w:styleId="11">
    <w:name w:val="heading 8"/>
    <w:basedOn w:val="10"/>
    <w:link w:val="118"/>
    <w:qFormat/>
    <w:uiPriority w:val="99"/>
    <w:pPr>
      <w:tabs>
        <w:tab w:val="left" w:pos="3780"/>
        <w:tab w:val="clear" w:pos="3360"/>
      </w:tabs>
      <w:outlineLvl w:val="7"/>
    </w:pPr>
  </w:style>
  <w:style w:type="paragraph" w:styleId="12">
    <w:name w:val="heading 9"/>
    <w:basedOn w:val="11"/>
    <w:link w:val="114"/>
    <w:qFormat/>
    <w:uiPriority w:val="99"/>
    <w:pPr>
      <w:tabs>
        <w:tab w:val="left" w:pos="480"/>
        <w:tab w:val="left" w:pos="4200"/>
        <w:tab w:val="clear" w:pos="3780"/>
      </w:tabs>
      <w:outlineLvl w:val="8"/>
    </w:pPr>
  </w:style>
  <w:style w:type="character" w:default="1" w:styleId="56">
    <w:name w:val="Default Paragraph Font"/>
    <w:unhideWhenUsed/>
    <w:uiPriority w:val="1"/>
  </w:style>
  <w:style w:type="table" w:default="1" w:styleId="53">
    <w:name w:val="Normal Table"/>
    <w:unhideWhenUsed/>
    <w:uiPriority w:val="99"/>
    <w:tblPr>
      <w:tblStyle w:val="53"/>
      <w:tblCellMar>
        <w:top w:w="0" w:type="dxa"/>
        <w:left w:w="108" w:type="dxa"/>
        <w:bottom w:w="0" w:type="dxa"/>
        <w:right w:w="108" w:type="dxa"/>
      </w:tblCellMar>
    </w:tblPr>
  </w:style>
  <w:style w:type="paragraph" w:styleId="2">
    <w:name w:val="Body Text"/>
    <w:basedOn w:val="1"/>
    <w:next w:val="3"/>
    <w:link w:val="107"/>
    <w:qFormat/>
    <w:uiPriority w:val="0"/>
    <w:pPr>
      <w:adjustRightInd w:val="0"/>
      <w:textAlignment w:val="baseline"/>
    </w:pPr>
    <w:rPr>
      <w:rFonts w:ascii="宋体" w:hAnsi="宋体"/>
      <w:sz w:val="32"/>
    </w:rPr>
  </w:style>
  <w:style w:type="paragraph" w:styleId="3">
    <w:name w:val="Body Text First Indent"/>
    <w:basedOn w:val="2"/>
    <w:link w:val="127"/>
    <w:qFormat/>
    <w:uiPriority w:val="99"/>
    <w:pPr>
      <w:adjustRightInd/>
      <w:spacing w:after="120" w:line="240" w:lineRule="auto"/>
      <w:ind w:firstLine="420" w:firstLineChars="100"/>
      <w:textAlignment w:val="auto"/>
    </w:pPr>
    <w:rPr>
      <w:sz w:val="21"/>
    </w:rPr>
  </w:style>
  <w:style w:type="paragraph" w:styleId="13">
    <w:name w:val="toc 7"/>
    <w:basedOn w:val="1"/>
    <w:next w:val="1"/>
    <w:unhideWhenUsed/>
    <w:qFormat/>
    <w:uiPriority w:val="39"/>
    <w:pPr>
      <w:spacing w:line="240" w:lineRule="auto"/>
      <w:ind w:left="1260"/>
      <w:jc w:val="left"/>
    </w:pPr>
    <w:rPr>
      <w:rFonts w:ascii="等线" w:hAnsi="等线" w:eastAsia="等线"/>
      <w:sz w:val="18"/>
      <w:szCs w:val="18"/>
    </w:rPr>
  </w:style>
  <w:style w:type="paragraph" w:styleId="14">
    <w:name w:val="List Number"/>
    <w:basedOn w:val="1"/>
    <w:qFormat/>
    <w:uiPriority w:val="0"/>
    <w:pPr>
      <w:tabs>
        <w:tab w:val="left" w:pos="360"/>
      </w:tabs>
      <w:ind w:left="360" w:hanging="360"/>
    </w:pPr>
  </w:style>
  <w:style w:type="paragraph" w:styleId="15">
    <w:name w:val="Normal Indent"/>
    <w:basedOn w:val="1"/>
    <w:link w:val="90"/>
    <w:qFormat/>
    <w:uiPriority w:val="0"/>
    <w:pPr>
      <w:widowControl/>
      <w:adjustRightInd w:val="0"/>
      <w:snapToGrid w:val="0"/>
      <w:spacing w:line="480" w:lineRule="exact"/>
      <w:ind w:firstLine="567"/>
    </w:pPr>
    <w:rPr>
      <w:rFonts w:ascii="宋体"/>
      <w:snapToGrid w:val="0"/>
      <w:color w:val="000000"/>
      <w:kern w:val="28"/>
      <w:sz w:val="28"/>
    </w:rPr>
  </w:style>
  <w:style w:type="paragraph" w:styleId="16">
    <w:name w:val="caption"/>
    <w:basedOn w:val="1"/>
    <w:next w:val="1"/>
    <w:link w:val="102"/>
    <w:qFormat/>
    <w:uiPriority w:val="0"/>
    <w:pPr>
      <w:spacing w:before="152" w:after="160"/>
    </w:pPr>
    <w:rPr>
      <w:rFonts w:ascii="Arial" w:hAnsi="Arial" w:eastAsia="黑体"/>
      <w:sz w:val="20"/>
    </w:rPr>
  </w:style>
  <w:style w:type="paragraph" w:styleId="17">
    <w:name w:val="List Bullet"/>
    <w:basedOn w:val="1"/>
    <w:unhideWhenUsed/>
    <w:uiPriority w:val="0"/>
    <w:pPr>
      <w:tabs>
        <w:tab w:val="left" w:pos="360"/>
      </w:tabs>
      <w:spacing w:line="240" w:lineRule="auto"/>
      <w:ind w:left="360" w:hanging="360" w:hangingChars="200"/>
      <w:contextualSpacing/>
    </w:pPr>
    <w:rPr>
      <w:rFonts w:ascii="Times New Roman" w:hAnsi="Times New Roman"/>
      <w:sz w:val="52"/>
      <w:szCs w:val="24"/>
    </w:rPr>
  </w:style>
  <w:style w:type="paragraph" w:styleId="18">
    <w:name w:val="Document Map"/>
    <w:basedOn w:val="1"/>
    <w:link w:val="96"/>
    <w:qFormat/>
    <w:uiPriority w:val="99"/>
    <w:pPr>
      <w:spacing w:line="240" w:lineRule="auto"/>
    </w:pPr>
    <w:rPr>
      <w:rFonts w:ascii="宋体"/>
      <w:sz w:val="18"/>
      <w:szCs w:val="18"/>
    </w:rPr>
  </w:style>
  <w:style w:type="paragraph" w:styleId="19">
    <w:name w:val="annotation text"/>
    <w:basedOn w:val="1"/>
    <w:link w:val="132"/>
    <w:qFormat/>
    <w:uiPriority w:val="99"/>
    <w:pPr>
      <w:jc w:val="left"/>
    </w:pPr>
    <w:rPr>
      <w:szCs w:val="24"/>
    </w:rPr>
  </w:style>
  <w:style w:type="paragraph" w:styleId="20">
    <w:name w:val="Body Text 3"/>
    <w:basedOn w:val="1"/>
    <w:link w:val="125"/>
    <w:qFormat/>
    <w:uiPriority w:val="99"/>
    <w:pPr>
      <w:spacing w:line="500" w:lineRule="exact"/>
      <w:jc w:val="center"/>
    </w:pPr>
    <w:rPr>
      <w:rFonts w:ascii="宋体" w:hAnsi="宋体"/>
      <w:b/>
      <w:bCs/>
      <w:sz w:val="36"/>
      <w:szCs w:val="32"/>
    </w:rPr>
  </w:style>
  <w:style w:type="paragraph" w:styleId="21">
    <w:name w:val="Body Text Indent"/>
    <w:basedOn w:val="1"/>
    <w:next w:val="1"/>
    <w:link w:val="133"/>
    <w:qFormat/>
    <w:uiPriority w:val="0"/>
    <w:pPr>
      <w:ind w:firstLine="560" w:firstLineChars="200"/>
    </w:pPr>
    <w:rPr>
      <w:sz w:val="28"/>
      <w:szCs w:val="24"/>
    </w:rPr>
  </w:style>
  <w:style w:type="paragraph" w:styleId="22">
    <w:name w:val="List Number 3"/>
    <w:basedOn w:val="1"/>
    <w:qFormat/>
    <w:uiPriority w:val="0"/>
    <w:pPr>
      <w:tabs>
        <w:tab w:val="left" w:pos="1200"/>
      </w:tabs>
      <w:ind w:left="1200" w:hanging="360"/>
    </w:pPr>
    <w:rPr>
      <w:szCs w:val="24"/>
    </w:rPr>
  </w:style>
  <w:style w:type="paragraph" w:styleId="23">
    <w:name w:val="List 2"/>
    <w:basedOn w:val="1"/>
    <w:qFormat/>
    <w:uiPriority w:val="0"/>
    <w:pPr>
      <w:ind w:left="100" w:leftChars="200" w:hanging="200" w:hangingChars="200"/>
    </w:pPr>
  </w:style>
  <w:style w:type="paragraph" w:styleId="24">
    <w:name w:val="Block Text"/>
    <w:basedOn w:val="1"/>
    <w:qFormat/>
    <w:uiPriority w:val="0"/>
    <w:pPr>
      <w:adjustRightInd w:val="0"/>
      <w:snapToGrid w:val="0"/>
      <w:spacing w:line="300" w:lineRule="auto"/>
      <w:ind w:left="958" w:right="-120" w:rightChars="-120"/>
      <w:jc w:val="left"/>
    </w:pPr>
    <w:rPr>
      <w:rFonts w:hint="eastAsia" w:ascii="宋体" w:hAnsi="宋体"/>
      <w:sz w:val="28"/>
    </w:rPr>
  </w:style>
  <w:style w:type="paragraph" w:styleId="25">
    <w:name w:val="List Bullet 2"/>
    <w:basedOn w:val="1"/>
    <w:uiPriority w:val="0"/>
    <w:pPr>
      <w:tabs>
        <w:tab w:val="left" w:pos="960"/>
      </w:tabs>
      <w:spacing w:line="240" w:lineRule="auto"/>
      <w:ind w:left="960" w:hanging="420"/>
      <w:outlineLvl w:val="0"/>
    </w:pPr>
    <w:rPr>
      <w:rFonts w:ascii="Times New Roman" w:hAnsi="Times New Roman"/>
      <w:color w:val="0000FF"/>
      <w:sz w:val="24"/>
    </w:rPr>
  </w:style>
  <w:style w:type="paragraph" w:styleId="26">
    <w:name w:val="toc 5"/>
    <w:basedOn w:val="1"/>
    <w:next w:val="1"/>
    <w:unhideWhenUsed/>
    <w:qFormat/>
    <w:uiPriority w:val="39"/>
    <w:pPr>
      <w:spacing w:line="240" w:lineRule="auto"/>
      <w:ind w:left="840"/>
      <w:jc w:val="left"/>
    </w:pPr>
    <w:rPr>
      <w:rFonts w:ascii="等线" w:hAnsi="等线" w:eastAsia="等线"/>
      <w:sz w:val="18"/>
      <w:szCs w:val="18"/>
    </w:rPr>
  </w:style>
  <w:style w:type="paragraph" w:styleId="27">
    <w:name w:val="toc 3"/>
    <w:basedOn w:val="1"/>
    <w:next w:val="1"/>
    <w:qFormat/>
    <w:uiPriority w:val="39"/>
    <w:pPr>
      <w:ind w:left="840" w:leftChars="400"/>
    </w:pPr>
  </w:style>
  <w:style w:type="paragraph" w:styleId="28">
    <w:name w:val="Plain Text"/>
    <w:basedOn w:val="1"/>
    <w:link w:val="93"/>
    <w:qFormat/>
    <w:uiPriority w:val="0"/>
    <w:rPr>
      <w:rFonts w:ascii="宋体" w:hAnsi="Courier New"/>
    </w:rPr>
  </w:style>
  <w:style w:type="paragraph" w:styleId="29">
    <w:name w:val="toc 8"/>
    <w:basedOn w:val="1"/>
    <w:next w:val="1"/>
    <w:unhideWhenUsed/>
    <w:qFormat/>
    <w:uiPriority w:val="39"/>
    <w:pPr>
      <w:spacing w:line="240" w:lineRule="auto"/>
      <w:ind w:left="1470"/>
      <w:jc w:val="left"/>
    </w:pPr>
    <w:rPr>
      <w:rFonts w:ascii="等线" w:hAnsi="等线" w:eastAsia="等线"/>
      <w:sz w:val="18"/>
      <w:szCs w:val="18"/>
    </w:rPr>
  </w:style>
  <w:style w:type="paragraph" w:styleId="30">
    <w:name w:val="Date"/>
    <w:basedOn w:val="1"/>
    <w:next w:val="1"/>
    <w:link w:val="134"/>
    <w:qFormat/>
    <w:uiPriority w:val="99"/>
    <w:pPr>
      <w:ind w:left="2500" w:leftChars="2500"/>
    </w:pPr>
    <w:rPr>
      <w:rFonts w:eastAsia="楷体_GB2312"/>
      <w:sz w:val="32"/>
    </w:rPr>
  </w:style>
  <w:style w:type="paragraph" w:styleId="31">
    <w:name w:val="Body Text Indent 2"/>
    <w:basedOn w:val="1"/>
    <w:link w:val="135"/>
    <w:qFormat/>
    <w:uiPriority w:val="99"/>
    <w:pPr>
      <w:ind w:left="916" w:hanging="916" w:hangingChars="333"/>
    </w:pPr>
    <w:rPr>
      <w:rFonts w:eastAsia="黑体"/>
      <w:b/>
      <w:bCs/>
      <w:sz w:val="28"/>
    </w:rPr>
  </w:style>
  <w:style w:type="paragraph" w:styleId="32">
    <w:name w:val="Balloon Text"/>
    <w:basedOn w:val="1"/>
    <w:link w:val="113"/>
    <w:qFormat/>
    <w:uiPriority w:val="0"/>
    <w:rPr>
      <w:sz w:val="18"/>
      <w:szCs w:val="18"/>
    </w:rPr>
  </w:style>
  <w:style w:type="paragraph" w:styleId="33">
    <w:name w:val="footer"/>
    <w:basedOn w:val="1"/>
    <w:link w:val="119"/>
    <w:qFormat/>
    <w:uiPriority w:val="0"/>
    <w:pPr>
      <w:tabs>
        <w:tab w:val="center" w:pos="4153"/>
        <w:tab w:val="right" w:pos="8306"/>
      </w:tabs>
      <w:snapToGrid w:val="0"/>
      <w:jc w:val="left"/>
    </w:pPr>
    <w:rPr>
      <w:sz w:val="18"/>
      <w:szCs w:val="18"/>
    </w:rPr>
  </w:style>
  <w:style w:type="paragraph" w:styleId="34">
    <w:name w:val="header"/>
    <w:basedOn w:val="1"/>
    <w:link w:val="97"/>
    <w:qFormat/>
    <w:uiPriority w:val="0"/>
    <w:pPr>
      <w:tabs>
        <w:tab w:val="center" w:pos="4153"/>
        <w:tab w:val="right" w:pos="8306"/>
      </w:tabs>
      <w:snapToGrid w:val="0"/>
      <w:jc w:val="center"/>
    </w:pPr>
    <w:rPr>
      <w:sz w:val="18"/>
    </w:rPr>
  </w:style>
  <w:style w:type="paragraph" w:styleId="35">
    <w:name w:val="toc 1"/>
    <w:basedOn w:val="1"/>
    <w:next w:val="1"/>
    <w:qFormat/>
    <w:uiPriority w:val="39"/>
    <w:rPr>
      <w:szCs w:val="24"/>
    </w:rPr>
  </w:style>
  <w:style w:type="paragraph" w:styleId="36">
    <w:name w:val="toc 4"/>
    <w:basedOn w:val="1"/>
    <w:next w:val="1"/>
    <w:qFormat/>
    <w:uiPriority w:val="39"/>
    <w:pPr>
      <w:ind w:left="1260" w:leftChars="600"/>
    </w:pPr>
  </w:style>
  <w:style w:type="paragraph" w:styleId="37">
    <w:name w:val="index heading"/>
    <w:basedOn w:val="1"/>
    <w:next w:val="38"/>
    <w:uiPriority w:val="0"/>
    <w:pPr>
      <w:spacing w:line="240" w:lineRule="auto"/>
    </w:pPr>
    <w:rPr>
      <w:rFonts w:ascii="Times New Roman" w:hAnsi="Times New Roman"/>
    </w:rPr>
  </w:style>
  <w:style w:type="paragraph" w:styleId="38">
    <w:name w:val="index 1"/>
    <w:basedOn w:val="1"/>
    <w:next w:val="1"/>
    <w:unhideWhenUsed/>
    <w:uiPriority w:val="0"/>
    <w:pPr>
      <w:spacing w:line="240" w:lineRule="auto"/>
    </w:pPr>
    <w:rPr>
      <w:rFonts w:ascii="Times New Roman" w:hAnsi="Times New Roman"/>
      <w:szCs w:val="24"/>
    </w:rPr>
  </w:style>
  <w:style w:type="paragraph" w:styleId="39">
    <w:name w:val="Subtitle"/>
    <w:basedOn w:val="1"/>
    <w:next w:val="1"/>
    <w:link w:val="91"/>
    <w:qFormat/>
    <w:uiPriority w:val="99"/>
    <w:pPr>
      <w:widowControl/>
      <w:spacing w:before="240" w:after="60" w:line="312" w:lineRule="auto"/>
      <w:jc w:val="center"/>
      <w:outlineLvl w:val="1"/>
    </w:pPr>
    <w:rPr>
      <w:rFonts w:ascii="Cambria" w:hAnsi="Cambria"/>
      <w:b/>
      <w:bCs/>
      <w:kern w:val="28"/>
      <w:sz w:val="32"/>
      <w:szCs w:val="32"/>
    </w:rPr>
  </w:style>
  <w:style w:type="paragraph" w:styleId="40">
    <w:name w:val="List"/>
    <w:basedOn w:val="1"/>
    <w:link w:val="115"/>
    <w:qFormat/>
    <w:uiPriority w:val="0"/>
    <w:pPr>
      <w:ind w:left="200" w:hanging="200"/>
    </w:pPr>
  </w:style>
  <w:style w:type="paragraph" w:styleId="41">
    <w:name w:val="footnote text"/>
    <w:basedOn w:val="1"/>
    <w:link w:val="99"/>
    <w:uiPriority w:val="0"/>
    <w:pPr>
      <w:snapToGrid w:val="0"/>
      <w:spacing w:line="240" w:lineRule="auto"/>
      <w:jc w:val="left"/>
    </w:pPr>
    <w:rPr>
      <w:sz w:val="18"/>
      <w:szCs w:val="18"/>
    </w:rPr>
  </w:style>
  <w:style w:type="paragraph" w:styleId="42">
    <w:name w:val="toc 6"/>
    <w:basedOn w:val="1"/>
    <w:next w:val="1"/>
    <w:unhideWhenUsed/>
    <w:qFormat/>
    <w:uiPriority w:val="39"/>
    <w:pPr>
      <w:spacing w:line="240" w:lineRule="auto"/>
      <w:ind w:left="1050"/>
      <w:jc w:val="left"/>
    </w:pPr>
    <w:rPr>
      <w:rFonts w:ascii="等线" w:hAnsi="等线" w:eastAsia="等线"/>
      <w:sz w:val="18"/>
      <w:szCs w:val="18"/>
    </w:rPr>
  </w:style>
  <w:style w:type="paragraph" w:styleId="43">
    <w:name w:val="Body Text Indent 3"/>
    <w:basedOn w:val="1"/>
    <w:link w:val="112"/>
    <w:qFormat/>
    <w:uiPriority w:val="99"/>
    <w:pPr>
      <w:adjustRightInd w:val="0"/>
      <w:ind w:left="638" w:leftChars="304"/>
    </w:pPr>
    <w:rPr>
      <w:sz w:val="32"/>
    </w:rPr>
  </w:style>
  <w:style w:type="paragraph" w:styleId="44">
    <w:name w:val="toc 2"/>
    <w:basedOn w:val="1"/>
    <w:next w:val="1"/>
    <w:qFormat/>
    <w:uiPriority w:val="0"/>
    <w:pPr>
      <w:ind w:left="420" w:leftChars="200"/>
    </w:pPr>
  </w:style>
  <w:style w:type="paragraph" w:styleId="45">
    <w:name w:val="toc 9"/>
    <w:basedOn w:val="1"/>
    <w:next w:val="1"/>
    <w:unhideWhenUsed/>
    <w:qFormat/>
    <w:uiPriority w:val="39"/>
    <w:pPr>
      <w:spacing w:line="240" w:lineRule="auto"/>
      <w:ind w:left="1680"/>
      <w:jc w:val="left"/>
    </w:pPr>
    <w:rPr>
      <w:rFonts w:ascii="等线" w:hAnsi="等线" w:eastAsia="等线"/>
      <w:sz w:val="18"/>
      <w:szCs w:val="18"/>
    </w:rPr>
  </w:style>
  <w:style w:type="paragraph" w:styleId="46">
    <w:name w:val="Body Text 2"/>
    <w:basedOn w:val="1"/>
    <w:link w:val="100"/>
    <w:qFormat/>
    <w:uiPriority w:val="99"/>
    <w:pPr>
      <w:jc w:val="center"/>
    </w:pPr>
    <w:rPr>
      <w:b/>
      <w:sz w:val="72"/>
    </w:rPr>
  </w:style>
  <w:style w:type="paragraph" w:styleId="47">
    <w:name w:val="List 4"/>
    <w:basedOn w:val="1"/>
    <w:uiPriority w:val="0"/>
    <w:pPr>
      <w:spacing w:line="240" w:lineRule="auto"/>
      <w:ind w:left="100" w:leftChars="600" w:hanging="200" w:hangingChars="200"/>
    </w:pPr>
    <w:rPr>
      <w:rFonts w:ascii="Times New Roman" w:hAnsi="Times New Roman" w:cs="Times New Roman"/>
    </w:rPr>
  </w:style>
  <w:style w:type="paragraph" w:styleId="48">
    <w:name w:val="HTML Preformatted"/>
    <w:basedOn w:val="1"/>
    <w:link w:val="13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Courier New"/>
    </w:rPr>
  </w:style>
  <w:style w:type="paragraph" w:styleId="49">
    <w:name w:val="Normal (Web)"/>
    <w:basedOn w:val="1"/>
    <w:link w:val="124"/>
    <w:qFormat/>
    <w:uiPriority w:val="99"/>
    <w:pPr>
      <w:widowControl/>
      <w:spacing w:before="100" w:beforeAutospacing="1" w:after="100" w:afterAutospacing="1"/>
      <w:jc w:val="left"/>
    </w:pPr>
    <w:rPr>
      <w:rFonts w:ascii="宋体" w:hAnsi="宋体"/>
      <w:kern w:val="0"/>
      <w:sz w:val="24"/>
      <w:szCs w:val="24"/>
    </w:rPr>
  </w:style>
  <w:style w:type="paragraph" w:styleId="50">
    <w:name w:val="Title"/>
    <w:basedOn w:val="1"/>
    <w:next w:val="1"/>
    <w:link w:val="98"/>
    <w:qFormat/>
    <w:uiPriority w:val="99"/>
    <w:pPr>
      <w:spacing w:before="240" w:after="60"/>
      <w:jc w:val="center"/>
      <w:outlineLvl w:val="0"/>
    </w:pPr>
    <w:rPr>
      <w:rFonts w:ascii="Cambria" w:hAnsi="Cambria"/>
      <w:b/>
      <w:bCs/>
      <w:sz w:val="32"/>
      <w:szCs w:val="32"/>
    </w:rPr>
  </w:style>
  <w:style w:type="paragraph" w:styleId="51">
    <w:name w:val="annotation subject"/>
    <w:basedOn w:val="19"/>
    <w:next w:val="19"/>
    <w:link w:val="95"/>
    <w:qFormat/>
    <w:uiPriority w:val="99"/>
    <w:rPr>
      <w:b/>
      <w:bCs/>
      <w:szCs w:val="20"/>
    </w:rPr>
  </w:style>
  <w:style w:type="paragraph" w:styleId="52">
    <w:name w:val="Body Text First Indent 2"/>
    <w:basedOn w:val="21"/>
    <w:link w:val="92"/>
    <w:uiPriority w:val="0"/>
    <w:pPr>
      <w:spacing w:after="120" w:line="240" w:lineRule="auto"/>
      <w:ind w:left="420" w:leftChars="200" w:firstLine="420"/>
    </w:pPr>
    <w:rPr>
      <w:rFonts w:ascii="宋体" w:hAnsi="Courier New"/>
      <w:spacing w:val="-4"/>
      <w:sz w:val="21"/>
    </w:rPr>
  </w:style>
  <w:style w:type="table" w:styleId="54">
    <w:name w:val="Table Grid"/>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Grid 8"/>
    <w:basedOn w:val="53"/>
    <w:uiPriority w:val="0"/>
    <w:rPr>
      <w:rFonts w:ascii="Times New Roman" w:hAnsi="Times New Roman" w:cs="Times New Roman"/>
    </w:rPr>
    <w:tblPr>
      <w:tblStyle w:val="53"/>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blStyle w:val="53"/>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blStyle w:val="53"/>
      </w:tblPr>
      <w:tcPr>
        <w:tcBorders>
          <w:top w:val="nil"/>
          <w:left w:val="nil"/>
          <w:bottom w:val="nil"/>
          <w:right w:val="nil"/>
          <w:insideH w:val="nil"/>
          <w:insideV w:val="nil"/>
          <w:tl2br w:val="nil"/>
          <w:tr2bl w:val="nil"/>
        </w:tcBorders>
      </w:tcPr>
    </w:tblStylePr>
    <w:tblStylePr w:type="lastCol">
      <w:rPr>
        <w:b/>
        <w:bCs/>
        <w:color w:val="auto"/>
      </w:rPr>
      <w:tblPr>
        <w:tblStyle w:val="53"/>
      </w:tblPr>
      <w:tcPr>
        <w:tcBorders>
          <w:top w:val="nil"/>
          <w:left w:val="nil"/>
          <w:bottom w:val="nil"/>
          <w:right w:val="nil"/>
          <w:insideH w:val="nil"/>
          <w:insideV w:val="nil"/>
          <w:tl2br w:val="nil"/>
          <w:tr2bl w:val="nil"/>
        </w:tcBorders>
      </w:tcPr>
    </w:tblStylePr>
  </w:style>
  <w:style w:type="character" w:styleId="57">
    <w:name w:val="Strong"/>
    <w:qFormat/>
    <w:uiPriority w:val="0"/>
    <w:rPr>
      <w:b/>
      <w:bCs/>
    </w:rPr>
  </w:style>
  <w:style w:type="character" w:styleId="58">
    <w:name w:val="page number"/>
    <w:qFormat/>
    <w:uiPriority w:val="0"/>
  </w:style>
  <w:style w:type="character" w:styleId="59">
    <w:name w:val="FollowedHyperlink"/>
    <w:qFormat/>
    <w:uiPriority w:val="99"/>
    <w:rPr>
      <w:color w:val="800080"/>
      <w:u w:val="single"/>
    </w:rPr>
  </w:style>
  <w:style w:type="character" w:styleId="60">
    <w:name w:val="Emphasis"/>
    <w:qFormat/>
    <w:uiPriority w:val="20"/>
    <w:rPr>
      <w:i/>
      <w:iCs/>
    </w:rPr>
  </w:style>
  <w:style w:type="character" w:styleId="61">
    <w:name w:val="Hyperlink"/>
    <w:qFormat/>
    <w:uiPriority w:val="99"/>
    <w:rPr>
      <w:color w:val="0000FF"/>
      <w:u w:val="single"/>
    </w:rPr>
  </w:style>
  <w:style w:type="character" w:styleId="62">
    <w:name w:val="annotation reference"/>
    <w:qFormat/>
    <w:uiPriority w:val="0"/>
    <w:rPr>
      <w:sz w:val="21"/>
      <w:szCs w:val="21"/>
    </w:rPr>
  </w:style>
  <w:style w:type="character" w:styleId="63">
    <w:name w:val="HTML Cite"/>
    <w:uiPriority w:val="0"/>
    <w:rPr>
      <w:color w:val="008000"/>
    </w:rPr>
  </w:style>
  <w:style w:type="character" w:styleId="64">
    <w:name w:val="footnote reference"/>
    <w:unhideWhenUsed/>
    <w:uiPriority w:val="0"/>
    <w:rPr>
      <w:vertAlign w:val="superscript"/>
    </w:rPr>
  </w:style>
  <w:style w:type="character" w:styleId="65">
    <w:name w:val="HTML Sample"/>
    <w:unhideWhenUsed/>
    <w:uiPriority w:val="99"/>
    <w:rPr>
      <w:rFonts w:ascii="宋体" w:hAnsi="宋体" w:eastAsia="宋体" w:cs="宋体"/>
    </w:rPr>
  </w:style>
  <w:style w:type="character" w:customStyle="1" w:styleId="66">
    <w:name w:val="批注文字 Char1"/>
    <w:qFormat/>
    <w:uiPriority w:val="0"/>
    <w:rPr>
      <w:kern w:val="2"/>
      <w:sz w:val="21"/>
    </w:rPr>
  </w:style>
  <w:style w:type="character" w:customStyle="1" w:styleId="67">
    <w:name w:val="内容文本 Char"/>
    <w:link w:val="68"/>
    <w:uiPriority w:val="0"/>
    <w:rPr>
      <w:rFonts w:ascii="宋体" w:hAnsi="宋体"/>
      <w:sz w:val="21"/>
      <w:szCs w:val="24"/>
      <w:lang w:eastAsia="en-US" w:bidi="en-US"/>
    </w:rPr>
  </w:style>
  <w:style w:type="paragraph" w:customStyle="1" w:styleId="68">
    <w:name w:val="内容文本"/>
    <w:basedOn w:val="69"/>
    <w:link w:val="67"/>
    <w:qFormat/>
    <w:uiPriority w:val="0"/>
    <w:pPr>
      <w:ind w:firstLine="200"/>
      <w:contextualSpacing/>
      <w:jc w:val="left"/>
    </w:pPr>
    <w:rPr>
      <w:rFonts w:ascii="宋体" w:hAnsi="宋体"/>
      <w:kern w:val="0"/>
      <w:szCs w:val="24"/>
      <w:lang w:eastAsia="en-US" w:bidi="en-US"/>
    </w:rPr>
  </w:style>
  <w:style w:type="paragraph" w:styleId="69">
    <w:name w:val="List Paragraph"/>
    <w:basedOn w:val="1"/>
    <w:link w:val="73"/>
    <w:qFormat/>
    <w:uiPriority w:val="34"/>
    <w:pPr>
      <w:ind w:firstLine="420" w:firstLineChars="200"/>
    </w:pPr>
    <w:rPr>
      <w:rFonts w:ascii="Calibri" w:hAnsi="Calibri"/>
    </w:rPr>
  </w:style>
  <w:style w:type="character" w:customStyle="1" w:styleId="70">
    <w:name w:val="标题 1 字符"/>
    <w:qFormat/>
    <w:uiPriority w:val="0"/>
    <w:rPr>
      <w:b/>
      <w:sz w:val="30"/>
    </w:rPr>
  </w:style>
  <w:style w:type="character" w:customStyle="1" w:styleId="71">
    <w:name w:val="批注主题 Char2"/>
    <w:qFormat/>
    <w:uiPriority w:val="0"/>
    <w:rPr>
      <w:rFonts w:ascii="Times New Roman" w:hAnsi="Times New Roman"/>
      <w:b/>
      <w:bCs/>
      <w:kern w:val="2"/>
      <w:sz w:val="21"/>
      <w:szCs w:val="24"/>
    </w:rPr>
  </w:style>
  <w:style w:type="character" w:customStyle="1" w:styleId="72">
    <w:name w:val="样式3 Char Char"/>
    <w:uiPriority w:val="0"/>
    <w:rPr>
      <w:rFonts w:ascii="Calibri" w:hAnsi="Calibri" w:eastAsia="微软雅黑" w:cs="黑体"/>
      <w:color w:val="808080"/>
    </w:rPr>
  </w:style>
  <w:style w:type="character" w:customStyle="1" w:styleId="73">
    <w:name w:val="列表段落 字符1"/>
    <w:link w:val="69"/>
    <w:qFormat/>
    <w:uiPriority w:val="34"/>
    <w:rPr>
      <w:rFonts w:ascii="Calibri" w:hAnsi="Calibri"/>
      <w:kern w:val="2"/>
      <w:sz w:val="21"/>
    </w:rPr>
  </w:style>
  <w:style w:type="character" w:customStyle="1" w:styleId="74">
    <w:name w:val="正文文本 字符"/>
    <w:qFormat/>
    <w:uiPriority w:val="0"/>
    <w:rPr>
      <w:rFonts w:ascii="宋体" w:hAnsi="宋体" w:eastAsia="宋体"/>
      <w:kern w:val="2"/>
      <w:sz w:val="32"/>
      <w:lang w:val="en-US" w:eastAsia="zh-CN" w:bidi="ar-SA"/>
    </w:rPr>
  </w:style>
  <w:style w:type="character" w:customStyle="1" w:styleId="75">
    <w:name w:val="Char Char9"/>
    <w:qFormat/>
    <w:uiPriority w:val="0"/>
    <w:rPr>
      <w:rFonts w:ascii="Arial" w:hAnsi="Arial" w:eastAsia="黑体" w:cs="Arial"/>
      <w:b/>
      <w:bCs/>
      <w:kern w:val="1"/>
      <w:sz w:val="32"/>
      <w:szCs w:val="32"/>
      <w:lang w:val="en-US" w:eastAsia="ar-SA" w:bidi="ar-SA"/>
    </w:rPr>
  </w:style>
  <w:style w:type="character" w:customStyle="1" w:styleId="76">
    <w:name w:val="标题 3 字符"/>
    <w:qFormat/>
    <w:uiPriority w:val="9"/>
    <w:rPr>
      <w:b/>
      <w:bCs/>
      <w:kern w:val="2"/>
      <w:sz w:val="32"/>
      <w:szCs w:val="32"/>
    </w:rPr>
  </w:style>
  <w:style w:type="character" w:customStyle="1" w:styleId="77">
    <w:name w:val="WW8Num2z3"/>
    <w:qFormat/>
    <w:uiPriority w:val="0"/>
  </w:style>
  <w:style w:type="character" w:customStyle="1" w:styleId="78">
    <w:name w:val="标题 8 Char"/>
    <w:aliases w:val="tt Char,tt1 Char,Figure Char,heading 8 Char,No num/gap Char"/>
    <w:uiPriority w:val="0"/>
    <w:rPr>
      <w:rFonts w:ascii="Arial" w:hAnsi="Arial" w:eastAsia="楷体_GB2312" w:cs="Times New Roman"/>
      <w:i/>
      <w:kern w:val="0"/>
      <w:sz w:val="20"/>
      <w:szCs w:val="20"/>
      <w:lang w:val="en-US" w:eastAsia="zh-CN"/>
    </w:rPr>
  </w:style>
  <w:style w:type="character" w:customStyle="1" w:styleId="79">
    <w:name w:val="副标题 Char1"/>
    <w:uiPriority w:val="11"/>
    <w:rPr>
      <w:rFonts w:ascii="Cambria" w:hAnsi="Cambria" w:eastAsia="宋体" w:cs="Times New Roman"/>
      <w:b/>
      <w:bCs/>
      <w:kern w:val="28"/>
      <w:sz w:val="32"/>
      <w:szCs w:val="32"/>
    </w:rPr>
  </w:style>
  <w:style w:type="character" w:styleId="80">
    <w:name w:val=""/>
    <w:qFormat/>
    <w:uiPriority w:val="32"/>
    <w:rPr>
      <w:b/>
      <w:bCs/>
      <w:smallCaps/>
      <w:color w:val="C0504D"/>
      <w:spacing w:val="5"/>
      <w:u w:val="single"/>
    </w:rPr>
  </w:style>
  <w:style w:type="character" w:customStyle="1" w:styleId="81">
    <w:name w:val="列出段落 Char"/>
    <w:link w:val="82"/>
    <w:qFormat/>
    <w:uiPriority w:val="0"/>
    <w:rPr>
      <w:rFonts w:ascii="Times New Roman" w:hAnsi="Times New Roman" w:eastAsia="楷体_GB2312" w:cs="黑体"/>
      <w:kern w:val="2"/>
      <w:sz w:val="24"/>
    </w:rPr>
  </w:style>
  <w:style w:type="paragraph" w:customStyle="1" w:styleId="82">
    <w:name w:val="列表段落1"/>
    <w:basedOn w:val="1"/>
    <w:link w:val="81"/>
    <w:qFormat/>
    <w:uiPriority w:val="0"/>
    <w:pPr>
      <w:spacing w:line="240" w:lineRule="auto"/>
      <w:ind w:firstLine="420" w:firstLineChars="200"/>
    </w:pPr>
    <w:rPr>
      <w:rFonts w:eastAsia="楷体_GB2312"/>
      <w:sz w:val="24"/>
    </w:rPr>
  </w:style>
  <w:style w:type="character" w:styleId="83">
    <w:name w:val=""/>
    <w:qFormat/>
    <w:uiPriority w:val="33"/>
    <w:rPr>
      <w:b/>
      <w:bCs/>
      <w:smallCaps/>
      <w:spacing w:val="5"/>
    </w:rPr>
  </w:style>
  <w:style w:type="character" w:customStyle="1" w:styleId="84">
    <w:name w:val="WW8Num12z7"/>
    <w:qFormat/>
    <w:uiPriority w:val="0"/>
  </w:style>
  <w:style w:type="character" w:customStyle="1" w:styleId="85">
    <w:name w:val="表格正文 Char"/>
    <w:link w:val="86"/>
    <w:uiPriority w:val="0"/>
    <w:rPr>
      <w:kern w:val="2"/>
      <w:sz w:val="21"/>
      <w:szCs w:val="24"/>
    </w:rPr>
  </w:style>
  <w:style w:type="paragraph" w:customStyle="1" w:styleId="86">
    <w:name w:val="表格正文"/>
    <w:basedOn w:val="1"/>
    <w:link w:val="85"/>
    <w:qFormat/>
    <w:uiPriority w:val="0"/>
    <w:pPr>
      <w:spacing w:line="240" w:lineRule="auto"/>
    </w:pPr>
    <w:rPr>
      <w:szCs w:val="24"/>
    </w:rPr>
  </w:style>
  <w:style w:type="character" w:customStyle="1" w:styleId="87">
    <w:name w:val="正文文本 Char3"/>
    <w:uiPriority w:val="0"/>
    <w:rPr>
      <w:rFonts w:eastAsia="宋体"/>
      <w:kern w:val="2"/>
      <w:sz w:val="28"/>
      <w:szCs w:val="24"/>
      <w:lang w:val="en-US" w:eastAsia="zh-CN" w:bidi="ar-SA"/>
    </w:rPr>
  </w:style>
  <w:style w:type="character" w:customStyle="1" w:styleId="88">
    <w:name w:val="标题 5 字符2"/>
    <w:link w:val="8"/>
    <w:qFormat/>
    <w:uiPriority w:val="0"/>
    <w:rPr>
      <w:sz w:val="24"/>
    </w:rPr>
  </w:style>
  <w:style w:type="character" w:customStyle="1" w:styleId="89">
    <w:name w:val="页眉 Char"/>
    <w:aliases w:val="h Char,Ò³Ã¼ Char,Header Char"/>
    <w:qFormat/>
    <w:uiPriority w:val="0"/>
    <w:rPr>
      <w:sz w:val="18"/>
      <w:szCs w:val="18"/>
    </w:rPr>
  </w:style>
  <w:style w:type="character" w:customStyle="1" w:styleId="90">
    <w:name w:val="正文缩进 字符2"/>
    <w:link w:val="15"/>
    <w:qFormat/>
    <w:uiPriority w:val="0"/>
    <w:rPr>
      <w:rFonts w:ascii="宋体"/>
      <w:snapToGrid w:val="0"/>
      <w:color w:val="000000"/>
      <w:kern w:val="28"/>
      <w:sz w:val="28"/>
    </w:rPr>
  </w:style>
  <w:style w:type="character" w:customStyle="1" w:styleId="91">
    <w:name w:val="副标题 字符1"/>
    <w:link w:val="39"/>
    <w:qFormat/>
    <w:uiPriority w:val="99"/>
    <w:rPr>
      <w:rFonts w:ascii="Cambria" w:hAnsi="Cambria"/>
      <w:b/>
      <w:bCs/>
      <w:kern w:val="28"/>
      <w:sz w:val="32"/>
      <w:szCs w:val="32"/>
    </w:rPr>
  </w:style>
  <w:style w:type="character" w:customStyle="1" w:styleId="92">
    <w:name w:val="正文文本首行缩进 2 字符"/>
    <w:link w:val="52"/>
    <w:uiPriority w:val="0"/>
    <w:rPr>
      <w:rFonts w:ascii="宋体" w:hAnsi="Courier New"/>
      <w:spacing w:val="-4"/>
      <w:kern w:val="2"/>
      <w:sz w:val="21"/>
      <w:szCs w:val="24"/>
    </w:rPr>
  </w:style>
  <w:style w:type="character" w:customStyle="1" w:styleId="93">
    <w:name w:val="纯文本 字符4"/>
    <w:link w:val="28"/>
    <w:qFormat/>
    <w:uiPriority w:val="0"/>
    <w:rPr>
      <w:rFonts w:ascii="宋体" w:hAnsi="Courier New" w:eastAsia="宋体"/>
      <w:kern w:val="2"/>
      <w:sz w:val="21"/>
      <w:lang w:val="en-US" w:eastAsia="zh-CN" w:bidi="ar-SA"/>
    </w:rPr>
  </w:style>
  <w:style w:type="character" w:customStyle="1" w:styleId="94">
    <w:name w:val="WW8Num6z1"/>
    <w:qFormat/>
    <w:uiPriority w:val="0"/>
  </w:style>
  <w:style w:type="character" w:customStyle="1" w:styleId="95">
    <w:name w:val="批注主题 字符3"/>
    <w:link w:val="51"/>
    <w:qFormat/>
    <w:uiPriority w:val="99"/>
    <w:rPr>
      <w:b/>
      <w:bCs/>
      <w:kern w:val="2"/>
      <w:sz w:val="21"/>
    </w:rPr>
  </w:style>
  <w:style w:type="character" w:customStyle="1" w:styleId="96">
    <w:name w:val="文档结构图 字符2"/>
    <w:link w:val="18"/>
    <w:qFormat/>
    <w:uiPriority w:val="99"/>
    <w:rPr>
      <w:rFonts w:ascii="宋体"/>
      <w:kern w:val="2"/>
      <w:sz w:val="18"/>
      <w:szCs w:val="18"/>
    </w:rPr>
  </w:style>
  <w:style w:type="character" w:customStyle="1" w:styleId="97">
    <w:name w:val="页眉 字符2"/>
    <w:link w:val="34"/>
    <w:qFormat/>
    <w:uiPriority w:val="0"/>
    <w:rPr>
      <w:kern w:val="2"/>
      <w:sz w:val="18"/>
    </w:rPr>
  </w:style>
  <w:style w:type="character" w:customStyle="1" w:styleId="98">
    <w:name w:val="标题 字符2"/>
    <w:link w:val="50"/>
    <w:qFormat/>
    <w:uiPriority w:val="99"/>
    <w:rPr>
      <w:rFonts w:ascii="Cambria" w:hAnsi="Cambria" w:cs="Times New Roman"/>
      <w:b/>
      <w:bCs/>
      <w:kern w:val="2"/>
      <w:sz w:val="32"/>
      <w:szCs w:val="32"/>
    </w:rPr>
  </w:style>
  <w:style w:type="character" w:customStyle="1" w:styleId="99">
    <w:name w:val="脚注文本 字符1"/>
    <w:link w:val="41"/>
    <w:uiPriority w:val="0"/>
    <w:rPr>
      <w:kern w:val="2"/>
      <w:sz w:val="18"/>
      <w:szCs w:val="18"/>
    </w:rPr>
  </w:style>
  <w:style w:type="character" w:customStyle="1" w:styleId="100">
    <w:name w:val="正文文本 2 字符1"/>
    <w:link w:val="46"/>
    <w:qFormat/>
    <w:uiPriority w:val="99"/>
    <w:rPr>
      <w:b/>
      <w:kern w:val="2"/>
      <w:sz w:val="72"/>
    </w:rPr>
  </w:style>
  <w:style w:type="character" w:customStyle="1" w:styleId="101">
    <w:name w:val="Char Char7"/>
    <w:qFormat/>
    <w:uiPriority w:val="0"/>
    <w:rPr>
      <w:rFonts w:ascii="Calibri Light" w:hAnsi="Calibri Light" w:eastAsia="宋体" w:cs="Calibri Light"/>
      <w:b/>
      <w:bCs/>
      <w:kern w:val="1"/>
      <w:sz w:val="28"/>
      <w:szCs w:val="28"/>
      <w:lang w:val="en-US" w:eastAsia="ar-SA" w:bidi="ar-SA"/>
    </w:rPr>
  </w:style>
  <w:style w:type="character" w:customStyle="1" w:styleId="102">
    <w:name w:val="题注 字符"/>
    <w:link w:val="16"/>
    <w:uiPriority w:val="0"/>
    <w:rPr>
      <w:rFonts w:ascii="Arial" w:hAnsi="Arial" w:eastAsia="黑体" w:cs="Arial"/>
      <w:kern w:val="2"/>
    </w:rPr>
  </w:style>
  <w:style w:type="character" w:customStyle="1" w:styleId="103">
    <w:name w:val="headst1"/>
    <w:uiPriority w:val="0"/>
    <w:rPr>
      <w:color w:val="526BAD"/>
    </w:rPr>
  </w:style>
  <w:style w:type="character" w:customStyle="1" w:styleId="104">
    <w:name w:val="WW8Num9z1"/>
    <w:qFormat/>
    <w:uiPriority w:val="0"/>
  </w:style>
  <w:style w:type="character" w:customStyle="1" w:styleId="105">
    <w:name w:val="标题 2 字符2"/>
    <w:link w:val="5"/>
    <w:qFormat/>
    <w:uiPriority w:val="0"/>
    <w:rPr>
      <w:b/>
      <w:kern w:val="2"/>
      <w:sz w:val="21"/>
    </w:rPr>
  </w:style>
  <w:style w:type="character" w:customStyle="1" w:styleId="106">
    <w:name w:val="标题 3 字符1"/>
    <w:qFormat/>
    <w:uiPriority w:val="9"/>
    <w:rPr>
      <w:rFonts w:ascii="仿宋_GB2312" w:eastAsia="仿宋_GB2312"/>
      <w:b/>
      <w:bCs/>
      <w:kern w:val="2"/>
      <w:sz w:val="30"/>
    </w:rPr>
  </w:style>
  <w:style w:type="character" w:customStyle="1" w:styleId="107">
    <w:name w:val="正文文本 字符2"/>
    <w:link w:val="2"/>
    <w:qFormat/>
    <w:uiPriority w:val="0"/>
    <w:rPr>
      <w:rFonts w:ascii="宋体" w:hAnsi="宋体" w:eastAsia="宋体"/>
      <w:kern w:val="2"/>
      <w:sz w:val="32"/>
      <w:lang w:val="en-US" w:eastAsia="zh-CN" w:bidi="ar-SA"/>
    </w:rPr>
  </w:style>
  <w:style w:type="character" w:customStyle="1" w:styleId="108">
    <w:name w:val="标题 3 字符2"/>
    <w:link w:val="6"/>
    <w:qFormat/>
    <w:uiPriority w:val="0"/>
    <w:rPr>
      <w:b/>
      <w:bCs/>
      <w:kern w:val="2"/>
      <w:sz w:val="32"/>
      <w:szCs w:val="32"/>
    </w:rPr>
  </w:style>
  <w:style w:type="character" w:customStyle="1" w:styleId="109">
    <w:name w:val="标题 7 字符2"/>
    <w:link w:val="10"/>
    <w:qFormat/>
    <w:uiPriority w:val="99"/>
    <w:rPr>
      <w:sz w:val="24"/>
    </w:rPr>
  </w:style>
  <w:style w:type="character" w:customStyle="1" w:styleId="110">
    <w:name w:val="标题 4 字符1"/>
    <w:qFormat/>
    <w:uiPriority w:val="9"/>
    <w:rPr>
      <w:rFonts w:ascii="Arial" w:hAnsi="Arial" w:eastAsia="黑体"/>
      <w:b/>
      <w:bCs/>
      <w:kern w:val="2"/>
      <w:sz w:val="28"/>
      <w:szCs w:val="28"/>
      <w:lang w:val="en-US" w:eastAsia="zh-CN" w:bidi="ar-SA"/>
    </w:rPr>
  </w:style>
  <w:style w:type="character" w:customStyle="1" w:styleId="111">
    <w:name w:val="标题 6 字符2"/>
    <w:link w:val="9"/>
    <w:qFormat/>
    <w:uiPriority w:val="0"/>
    <w:rPr>
      <w:sz w:val="24"/>
    </w:rPr>
  </w:style>
  <w:style w:type="character" w:customStyle="1" w:styleId="112">
    <w:name w:val="正文文本缩进 3 字符1"/>
    <w:link w:val="43"/>
    <w:qFormat/>
    <w:uiPriority w:val="99"/>
    <w:rPr>
      <w:kern w:val="2"/>
      <w:sz w:val="32"/>
    </w:rPr>
  </w:style>
  <w:style w:type="character" w:customStyle="1" w:styleId="113">
    <w:name w:val="批注框文本 字符2"/>
    <w:link w:val="32"/>
    <w:qFormat/>
    <w:uiPriority w:val="0"/>
    <w:rPr>
      <w:kern w:val="2"/>
      <w:sz w:val="18"/>
      <w:szCs w:val="18"/>
    </w:rPr>
  </w:style>
  <w:style w:type="character" w:customStyle="1" w:styleId="114">
    <w:name w:val="标题 9 字符2"/>
    <w:link w:val="12"/>
    <w:qFormat/>
    <w:uiPriority w:val="99"/>
    <w:rPr>
      <w:sz w:val="24"/>
    </w:rPr>
  </w:style>
  <w:style w:type="character" w:customStyle="1" w:styleId="115">
    <w:name w:val="列表 字符"/>
    <w:link w:val="40"/>
    <w:uiPriority w:val="0"/>
    <w:rPr>
      <w:kern w:val="2"/>
      <w:sz w:val="21"/>
    </w:rPr>
  </w:style>
  <w:style w:type="character" w:customStyle="1" w:styleId="116">
    <w:name w:val="表格内容 Char"/>
    <w:link w:val="117"/>
    <w:qFormat/>
    <w:uiPriority w:val="0"/>
    <w:rPr>
      <w:rFonts w:ascii="宋体" w:hAnsi="宋体"/>
      <w:kern w:val="1"/>
      <w:sz w:val="21"/>
      <w:lang w:eastAsia="ar-SA"/>
    </w:rPr>
  </w:style>
  <w:style w:type="paragraph" w:customStyle="1" w:styleId="117">
    <w:name w:val="表格内容"/>
    <w:basedOn w:val="2"/>
    <w:link w:val="116"/>
    <w:qFormat/>
    <w:uiPriority w:val="0"/>
    <w:pPr>
      <w:suppressLineNumbers/>
      <w:suppressAutoHyphens/>
    </w:pPr>
    <w:rPr>
      <w:kern w:val="1"/>
      <w:sz w:val="21"/>
      <w:lang w:eastAsia="ar-SA"/>
    </w:rPr>
  </w:style>
  <w:style w:type="character" w:customStyle="1" w:styleId="118">
    <w:name w:val="标题 8 字符2"/>
    <w:link w:val="11"/>
    <w:qFormat/>
    <w:uiPriority w:val="99"/>
    <w:rPr>
      <w:sz w:val="24"/>
    </w:rPr>
  </w:style>
  <w:style w:type="character" w:customStyle="1" w:styleId="119">
    <w:name w:val="页脚 字符2"/>
    <w:link w:val="33"/>
    <w:qFormat/>
    <w:uiPriority w:val="0"/>
    <w:rPr>
      <w:kern w:val="2"/>
      <w:sz w:val="18"/>
      <w:szCs w:val="18"/>
    </w:rPr>
  </w:style>
  <w:style w:type="character" w:customStyle="1" w:styleId="120">
    <w:name w:val="正文文本缩进 字符1"/>
    <w:qFormat/>
    <w:uiPriority w:val="0"/>
    <w:rPr>
      <w:rFonts w:eastAsia="宋体"/>
      <w:kern w:val="2"/>
      <w:sz w:val="28"/>
      <w:szCs w:val="24"/>
      <w:lang w:val="en-US" w:eastAsia="zh-CN" w:bidi="ar-SA"/>
    </w:rPr>
  </w:style>
  <w:style w:type="character" w:customStyle="1" w:styleId="121">
    <w:name w:val="纯文本 字符1"/>
    <w:aliases w:val="纯文本 Char1 Char Char 字符,纯文本 Char Char Char Char 字符,纯文本 Char Char1 字符,纯文本 Char1 Char 字符,纯文本 Char Char Char 字符,纯文本 Char Char Char Char Char 字符,纯文本 Char Cha 字符,纯文本 Char Cha Char 字符,纯文本 Char Char Char Char Char Char 字符,普通文字 Char Char Char Char 字符"/>
    <w:qFormat/>
    <w:uiPriority w:val="0"/>
    <w:rPr>
      <w:rFonts w:ascii="宋体" w:hAnsi="Courier New" w:eastAsia="宋体"/>
      <w:kern w:val="2"/>
      <w:sz w:val="24"/>
      <w:szCs w:val="24"/>
      <w:lang w:val="en-US" w:eastAsia="zh-CN" w:bidi="ar-SA"/>
    </w:rPr>
  </w:style>
  <w:style w:type="character" w:customStyle="1" w:styleId="122">
    <w:name w:val="large1"/>
    <w:uiPriority w:val="0"/>
    <w:rPr>
      <w:rFonts w:hint="eastAsia" w:ascii="宋体" w:hAnsi="宋体" w:eastAsia="宋体"/>
      <w:sz w:val="21"/>
      <w:szCs w:val="21"/>
    </w:rPr>
  </w:style>
  <w:style w:type="character" w:customStyle="1" w:styleId="123">
    <w:name w:val="op_dict3_lineone_result_tip"/>
    <w:uiPriority w:val="0"/>
  </w:style>
  <w:style w:type="character" w:customStyle="1" w:styleId="124">
    <w:name w:val="普通(网站) 字符"/>
    <w:link w:val="49"/>
    <w:qFormat/>
    <w:locked/>
    <w:uiPriority w:val="99"/>
    <w:rPr>
      <w:rFonts w:ascii="宋体" w:hAnsi="宋体"/>
      <w:sz w:val="24"/>
      <w:szCs w:val="24"/>
    </w:rPr>
  </w:style>
  <w:style w:type="character" w:customStyle="1" w:styleId="125">
    <w:name w:val="正文文本 3 字符2"/>
    <w:link w:val="20"/>
    <w:qFormat/>
    <w:uiPriority w:val="99"/>
    <w:rPr>
      <w:rFonts w:ascii="宋体" w:hAnsi="宋体"/>
      <w:b/>
      <w:bCs/>
      <w:kern w:val="2"/>
      <w:sz w:val="36"/>
      <w:szCs w:val="32"/>
    </w:rPr>
  </w:style>
  <w:style w:type="character" w:customStyle="1" w:styleId="126">
    <w:name w:val="文档结构图 Char1"/>
    <w:qFormat/>
    <w:uiPriority w:val="0"/>
    <w:rPr>
      <w:rFonts w:ascii="宋体"/>
      <w:kern w:val="2"/>
      <w:sz w:val="18"/>
      <w:szCs w:val="18"/>
    </w:rPr>
  </w:style>
  <w:style w:type="character" w:customStyle="1" w:styleId="127">
    <w:name w:val="正文文本首行缩进 字符1"/>
    <w:link w:val="3"/>
    <w:qFormat/>
    <w:uiPriority w:val="99"/>
    <w:rPr>
      <w:rFonts w:ascii="宋体" w:hAnsi="宋体" w:eastAsia="宋体"/>
      <w:kern w:val="2"/>
      <w:sz w:val="21"/>
      <w:lang w:val="en-US" w:eastAsia="zh-CN" w:bidi="ar-SA"/>
    </w:rPr>
  </w:style>
  <w:style w:type="character" w:customStyle="1" w:styleId="128">
    <w:name w:val="批注主题 字符1"/>
    <w:qFormat/>
    <w:uiPriority w:val="0"/>
    <w:rPr>
      <w:b/>
      <w:bCs/>
      <w:kern w:val="2"/>
      <w:sz w:val="21"/>
    </w:rPr>
  </w:style>
  <w:style w:type="character" w:customStyle="1" w:styleId="129">
    <w:name w:val="标题 1 字符2"/>
    <w:link w:val="4"/>
    <w:qFormat/>
    <w:uiPriority w:val="0"/>
    <w:rPr>
      <w:b/>
      <w:sz w:val="30"/>
    </w:rPr>
  </w:style>
  <w:style w:type="character" w:customStyle="1" w:styleId="130">
    <w:name w:val="WW8Num4z7"/>
    <w:qFormat/>
    <w:uiPriority w:val="0"/>
  </w:style>
  <w:style w:type="character" w:customStyle="1" w:styleId="131">
    <w:name w:val="标题 4 字符2"/>
    <w:link w:val="7"/>
    <w:qFormat/>
    <w:uiPriority w:val="0"/>
    <w:rPr>
      <w:sz w:val="24"/>
    </w:rPr>
  </w:style>
  <w:style w:type="character" w:customStyle="1" w:styleId="132">
    <w:name w:val="批注文字 字符3"/>
    <w:link w:val="19"/>
    <w:qFormat/>
    <w:uiPriority w:val="99"/>
    <w:rPr>
      <w:kern w:val="2"/>
      <w:sz w:val="21"/>
      <w:szCs w:val="24"/>
    </w:rPr>
  </w:style>
  <w:style w:type="character" w:customStyle="1" w:styleId="133">
    <w:name w:val="正文文本缩进 字符3"/>
    <w:link w:val="21"/>
    <w:qFormat/>
    <w:uiPriority w:val="0"/>
    <w:rPr>
      <w:rFonts w:eastAsia="宋体"/>
      <w:kern w:val="2"/>
      <w:sz w:val="28"/>
      <w:szCs w:val="24"/>
      <w:lang w:val="en-US" w:eastAsia="zh-CN" w:bidi="ar-SA"/>
    </w:rPr>
  </w:style>
  <w:style w:type="character" w:customStyle="1" w:styleId="134">
    <w:name w:val="日期 字符1"/>
    <w:link w:val="30"/>
    <w:qFormat/>
    <w:uiPriority w:val="99"/>
    <w:rPr>
      <w:rFonts w:eastAsia="楷体_GB2312"/>
      <w:kern w:val="2"/>
      <w:sz w:val="32"/>
    </w:rPr>
  </w:style>
  <w:style w:type="character" w:customStyle="1" w:styleId="135">
    <w:name w:val="正文文本缩进 2 字符1"/>
    <w:link w:val="31"/>
    <w:uiPriority w:val="99"/>
    <w:rPr>
      <w:rFonts w:eastAsia="黑体"/>
      <w:b/>
      <w:bCs/>
      <w:kern w:val="2"/>
      <w:sz w:val="28"/>
    </w:rPr>
  </w:style>
  <w:style w:type="character" w:customStyle="1" w:styleId="136">
    <w:name w:val="WW8Num13z2"/>
    <w:qFormat/>
    <w:uiPriority w:val="0"/>
  </w:style>
  <w:style w:type="character" w:customStyle="1" w:styleId="137">
    <w:name w:val="HTML 预设格式 字符1"/>
    <w:link w:val="48"/>
    <w:qFormat/>
    <w:uiPriority w:val="0"/>
    <w:rPr>
      <w:rFonts w:ascii="宋体" w:hAnsi="Courier New"/>
      <w:kern w:val="2"/>
      <w:sz w:val="21"/>
    </w:rPr>
  </w:style>
  <w:style w:type="character" w:customStyle="1" w:styleId="138">
    <w:name w:val="正文文本缩进 Char1"/>
    <w:semiHidden/>
    <w:uiPriority w:val="99"/>
    <w:rPr>
      <w:rFonts w:ascii="Times New Roman" w:hAnsi="Times New Roman"/>
      <w:kern w:val="2"/>
      <w:sz w:val="21"/>
      <w:szCs w:val="24"/>
    </w:rPr>
  </w:style>
  <w:style w:type="character" w:customStyle="1" w:styleId="139">
    <w:name w:val="font51"/>
    <w:qFormat/>
    <w:uiPriority w:val="0"/>
    <w:rPr>
      <w:rFonts w:hint="eastAsia" w:ascii="宋体" w:hAnsi="宋体" w:eastAsia="宋体" w:cs="宋体"/>
      <w:color w:val="000000"/>
      <w:sz w:val="18"/>
      <w:szCs w:val="18"/>
      <w:u w:val="none"/>
    </w:rPr>
  </w:style>
  <w:style w:type="character" w:customStyle="1" w:styleId="140">
    <w:name w:val="批注框文本 Char1"/>
    <w:qFormat/>
    <w:locked/>
    <w:uiPriority w:val="0"/>
    <w:rPr>
      <w:kern w:val="2"/>
      <w:sz w:val="18"/>
      <w:szCs w:val="18"/>
    </w:rPr>
  </w:style>
  <w:style w:type="character" w:customStyle="1" w:styleId="141">
    <w:name w:val="WW8Num4z0"/>
    <w:qFormat/>
    <w:uiPriority w:val="0"/>
    <w:rPr>
      <w:rFonts w:hint="default"/>
    </w:rPr>
  </w:style>
  <w:style w:type="character" w:customStyle="1" w:styleId="142">
    <w:name w:val="Char Char10"/>
    <w:qFormat/>
    <w:uiPriority w:val="0"/>
    <w:rPr>
      <w:rFonts w:eastAsia="宋体"/>
      <w:b/>
      <w:bCs/>
      <w:kern w:val="1"/>
      <w:sz w:val="44"/>
      <w:szCs w:val="44"/>
      <w:lang w:val="en-US" w:eastAsia="ar-SA" w:bidi="ar-SA"/>
    </w:rPr>
  </w:style>
  <w:style w:type="character" w:customStyle="1" w:styleId="143">
    <w:name w:val="WW8Num13z0"/>
    <w:qFormat/>
    <w:uiPriority w:val="0"/>
    <w:rPr>
      <w:rFonts w:hint="eastAsia" w:ascii="宋体" w:hAnsi="宋体" w:cs="宋体"/>
      <w:szCs w:val="21"/>
    </w:rPr>
  </w:style>
  <w:style w:type="character" w:customStyle="1" w:styleId="144">
    <w:name w:val="style11"/>
    <w:uiPriority w:val="0"/>
    <w:rPr>
      <w:rFonts w:hint="default" w:ascii="Arial" w:hAnsi="Arial" w:cs="Arial"/>
      <w:b/>
      <w:bCs/>
      <w:sz w:val="27"/>
      <w:szCs w:val="27"/>
    </w:rPr>
  </w:style>
  <w:style w:type="character" w:customStyle="1" w:styleId="145">
    <w:name w:val="Char Char41"/>
    <w:qFormat/>
    <w:uiPriority w:val="0"/>
    <w:rPr>
      <w:rFonts w:ascii="Calibri" w:hAnsi="Calibri" w:eastAsia="宋体" w:cs="Calibri"/>
      <w:b/>
      <w:bCs/>
      <w:kern w:val="1"/>
      <w:sz w:val="24"/>
      <w:szCs w:val="24"/>
      <w:lang w:val="en-US" w:eastAsia="ar-SA" w:bidi="ar-SA"/>
    </w:rPr>
  </w:style>
  <w:style w:type="character" w:customStyle="1" w:styleId="146">
    <w:name w:val="WW8Num9z3"/>
    <w:qFormat/>
    <w:uiPriority w:val="0"/>
  </w:style>
  <w:style w:type="character" w:customStyle="1" w:styleId="147">
    <w:name w:val="WW8Num2z2"/>
    <w:qFormat/>
    <w:uiPriority w:val="0"/>
  </w:style>
  <w:style w:type="character" w:customStyle="1" w:styleId="148">
    <w:name w:val="标题 5 Char"/>
    <w:aliases w:val="H5 Char,h5 Char,l5 Char,hm Char,Table label Char,mh2 Char,Module heading 2 Char,Head 5 Char,list 5 Char,IS41 Heading 5 Char,h51 Char,heading 5 Char,Heading5 Char,PIM 5 Char,ITT t5 Char,PA Pico Section Char,H5-Heading 5 Char,heading5 Char"/>
    <w:uiPriority w:val="0"/>
    <w:rPr>
      <w:rFonts w:ascii="Times New Roman" w:hAnsi="Times New Roman" w:eastAsia="楷体_GB2312" w:cs="黑体"/>
      <w:sz w:val="22"/>
    </w:rPr>
  </w:style>
  <w:style w:type="character" w:customStyle="1" w:styleId="149">
    <w:name w:val="WW8Num15z0"/>
    <w:qFormat/>
    <w:uiPriority w:val="0"/>
    <w:rPr>
      <w:rFonts w:hint="default" w:ascii="Wingdings" w:hAnsi="Wingdings" w:cs="Wingdings"/>
    </w:rPr>
  </w:style>
  <w:style w:type="character" w:customStyle="1" w:styleId="150">
    <w:name w:val="txt1"/>
    <w:uiPriority w:val="0"/>
    <w:rPr>
      <w:rFonts w:hint="default" w:ascii="ˎ̥" w:hAnsi="ˎ̥"/>
      <w:sz w:val="18"/>
      <w:szCs w:val="18"/>
    </w:rPr>
  </w:style>
  <w:style w:type="character" w:customStyle="1" w:styleId="151">
    <w:name w:val="font11"/>
    <w:qFormat/>
    <w:uiPriority w:val="0"/>
    <w:rPr>
      <w:rFonts w:hint="eastAsia" w:ascii="宋体" w:hAnsi="宋体" w:eastAsia="宋体" w:cs="宋体"/>
      <w:color w:val="000000"/>
      <w:sz w:val="20"/>
      <w:szCs w:val="20"/>
      <w:u w:val="none"/>
    </w:rPr>
  </w:style>
  <w:style w:type="character" w:customStyle="1" w:styleId="152">
    <w:name w:val="WW8Num2z1"/>
    <w:qFormat/>
    <w:uiPriority w:val="0"/>
  </w:style>
  <w:style w:type="character" w:customStyle="1" w:styleId="153">
    <w:name w:val="正式正文样式 Char"/>
    <w:link w:val="154"/>
    <w:locked/>
    <w:uiPriority w:val="0"/>
    <w:rPr>
      <w:rFonts w:ascii="Times New Roman" w:hAnsi="Times New Roman"/>
      <w:kern w:val="2"/>
      <w:sz w:val="21"/>
      <w:szCs w:val="24"/>
    </w:rPr>
  </w:style>
  <w:style w:type="paragraph" w:customStyle="1" w:styleId="154">
    <w:name w:val="正式正文样式"/>
    <w:basedOn w:val="1"/>
    <w:link w:val="153"/>
    <w:uiPriority w:val="0"/>
    <w:pPr>
      <w:widowControl/>
      <w:ind w:firstLine="480" w:firstLineChars="200"/>
      <w:jc w:val="left"/>
    </w:pPr>
    <w:rPr>
      <w:szCs w:val="24"/>
    </w:rPr>
  </w:style>
  <w:style w:type="character" w:customStyle="1" w:styleId="155">
    <w:name w:val="WW8Num10z0"/>
    <w:qFormat/>
    <w:uiPriority w:val="0"/>
    <w:rPr>
      <w:rFonts w:hint="default" w:ascii="Wingdings" w:hAnsi="Wingdings" w:cs="Wingdings"/>
    </w:rPr>
  </w:style>
  <w:style w:type="character" w:customStyle="1" w:styleId="156">
    <w:name w:val="WW8Num16z5"/>
    <w:qFormat/>
    <w:uiPriority w:val="0"/>
  </w:style>
  <w:style w:type="character" w:customStyle="1" w:styleId="157">
    <w:name w:val="style41"/>
    <w:uiPriority w:val="0"/>
    <w:rPr>
      <w:color w:val="666666"/>
    </w:rPr>
  </w:style>
  <w:style w:type="character" w:customStyle="1" w:styleId="158">
    <w:name w:val="WW8Num5z4"/>
    <w:qFormat/>
    <w:uiPriority w:val="0"/>
  </w:style>
  <w:style w:type="character" w:customStyle="1" w:styleId="159">
    <w:name w:val="WW8Num6z4"/>
    <w:qFormat/>
    <w:uiPriority w:val="0"/>
  </w:style>
  <w:style w:type="character" w:customStyle="1" w:styleId="160">
    <w:name w:val="btn-lnk-alignl2"/>
    <w:uiPriority w:val="0"/>
  </w:style>
  <w:style w:type="character" w:customStyle="1" w:styleId="161">
    <w:name w:val="正文文本 Char2"/>
    <w:uiPriority w:val="0"/>
    <w:rPr>
      <w:rFonts w:cs="Times New Roman"/>
      <w:kern w:val="2"/>
      <w:sz w:val="24"/>
      <w:szCs w:val="24"/>
    </w:rPr>
  </w:style>
  <w:style w:type="character" w:styleId="162">
    <w:name w:val=""/>
    <w:qFormat/>
    <w:uiPriority w:val="21"/>
    <w:rPr>
      <w:b/>
      <w:bCs/>
      <w:i/>
      <w:iCs/>
      <w:color w:val="4F81BD"/>
    </w:rPr>
  </w:style>
  <w:style w:type="character" w:customStyle="1" w:styleId="163">
    <w:name w:val="访问过的超链接2"/>
    <w:qFormat/>
    <w:uiPriority w:val="99"/>
    <w:rPr>
      <w:color w:val="800080"/>
      <w:u w:val="single"/>
    </w:rPr>
  </w:style>
  <w:style w:type="character" w:customStyle="1" w:styleId="164">
    <w:name w:val="纯文本 字符3"/>
    <w:qFormat/>
    <w:uiPriority w:val="0"/>
    <w:rPr>
      <w:rFonts w:ascii="宋体" w:hAnsi="Courier New" w:eastAsia="宋体"/>
      <w:kern w:val="2"/>
      <w:sz w:val="21"/>
      <w:lang w:val="en-US" w:eastAsia="zh-CN" w:bidi="ar-SA"/>
    </w:rPr>
  </w:style>
  <w:style w:type="character" w:customStyle="1" w:styleId="165">
    <w:name w:val="WW8Num16z2"/>
    <w:qFormat/>
    <w:uiPriority w:val="0"/>
  </w:style>
  <w:style w:type="character" w:customStyle="1" w:styleId="166">
    <w:name w:val="WW8Num11z5"/>
    <w:qFormat/>
    <w:uiPriority w:val="0"/>
  </w:style>
  <w:style w:type="character" w:customStyle="1" w:styleId="167">
    <w:name w:val="grame"/>
    <w:uiPriority w:val="0"/>
  </w:style>
  <w:style w:type="character" w:customStyle="1" w:styleId="168">
    <w:name w:val="Char Char71"/>
    <w:qFormat/>
    <w:uiPriority w:val="0"/>
    <w:rPr>
      <w:rFonts w:ascii="Calibri Light" w:hAnsi="Calibri Light" w:eastAsia="宋体" w:cs="Calibri Light"/>
      <w:b/>
      <w:bCs/>
      <w:kern w:val="1"/>
      <w:sz w:val="28"/>
      <w:szCs w:val="28"/>
      <w:lang w:val="en-US" w:eastAsia="ar-SA" w:bidi="ar-SA"/>
    </w:rPr>
  </w:style>
  <w:style w:type="character" w:customStyle="1" w:styleId="169">
    <w:name w:val="WW8Num5z8"/>
    <w:qFormat/>
    <w:uiPriority w:val="0"/>
  </w:style>
  <w:style w:type="character" w:customStyle="1" w:styleId="170">
    <w:name w:val="批注文字 字符2"/>
    <w:qFormat/>
    <w:uiPriority w:val="0"/>
    <w:rPr>
      <w:rFonts w:eastAsia="宋体"/>
      <w:kern w:val="2"/>
      <w:sz w:val="21"/>
      <w:szCs w:val="24"/>
      <w:lang w:val="en-US" w:eastAsia="zh-CN" w:bidi="ar-SA"/>
    </w:rPr>
  </w:style>
  <w:style w:type="character" w:customStyle="1" w:styleId="171">
    <w:name w:val="标题 2 Char"/>
    <w:aliases w:val="二级 Char,H2 Char,Heading 2 Hidden Char,Heading 2 CCBS Char,heading 2 Char,2nd level Char,h2 Char,Header 2 Char,l2 Char,Titre2 Char,Head 2 Char,Underrubrik1 Char,prop2 Char,heading 2+ Indent: Left 0.25 in Char,H21 Char,Level 2 Topic Heading Char"/>
    <w:qFormat/>
    <w:uiPriority w:val="9"/>
    <w:rPr>
      <w:rFonts w:ascii="Times New Roman" w:hAnsi="Times New Roman" w:eastAsia="楷体_GB2312" w:cs="Times New Roman"/>
      <w:sz w:val="24"/>
    </w:rPr>
  </w:style>
  <w:style w:type="character" w:customStyle="1" w:styleId="172">
    <w:name w:val="图片 Char"/>
    <w:link w:val="173"/>
    <w:qFormat/>
    <w:uiPriority w:val="0"/>
    <w:rPr>
      <w:rFonts w:ascii="仿宋" w:hAnsi="宋体" w:cs="Times New Roman"/>
      <w:kern w:val="2"/>
      <w:sz w:val="24"/>
      <w:szCs w:val="24"/>
    </w:rPr>
  </w:style>
  <w:style w:type="paragraph" w:customStyle="1" w:styleId="173">
    <w:name w:val="图片"/>
    <w:basedOn w:val="1"/>
    <w:link w:val="172"/>
    <w:qFormat/>
    <w:uiPriority w:val="0"/>
    <w:pPr>
      <w:jc w:val="center"/>
    </w:pPr>
    <w:rPr>
      <w:rFonts w:ascii="仿宋" w:hAnsi="宋体"/>
      <w:sz w:val="24"/>
      <w:szCs w:val="24"/>
    </w:rPr>
  </w:style>
  <w:style w:type="character" w:customStyle="1" w:styleId="174">
    <w:name w:val="WW8Num16z4"/>
    <w:qFormat/>
    <w:uiPriority w:val="0"/>
  </w:style>
  <w:style w:type="character" w:customStyle="1" w:styleId="175">
    <w:name w:val="标题 6 字符"/>
    <w:qFormat/>
    <w:uiPriority w:val="0"/>
    <w:rPr>
      <w:sz w:val="24"/>
    </w:rPr>
  </w:style>
  <w:style w:type="character" w:customStyle="1" w:styleId="176">
    <w:name w:val="正文文本缩进 2 Char"/>
    <w:uiPriority w:val="0"/>
    <w:rPr>
      <w:rFonts w:ascii="仿宋_GB2312" w:hAnsi="宋体" w:cs="Arial"/>
      <w:b/>
      <w:bCs/>
      <w:color w:val="000000"/>
      <w:kern w:val="2"/>
      <w:sz w:val="24"/>
      <w:szCs w:val="24"/>
    </w:rPr>
  </w:style>
  <w:style w:type="character" w:customStyle="1" w:styleId="177">
    <w:name w:val="标题 1 字符1"/>
    <w:qFormat/>
    <w:uiPriority w:val="9"/>
    <w:rPr>
      <w:b/>
      <w:bCs/>
      <w:kern w:val="44"/>
      <w:sz w:val="30"/>
      <w:szCs w:val="44"/>
    </w:rPr>
  </w:style>
  <w:style w:type="character" w:customStyle="1" w:styleId="178">
    <w:name w:val="WW8Num2z6"/>
    <w:qFormat/>
    <w:uiPriority w:val="0"/>
  </w:style>
  <w:style w:type="character" w:customStyle="1" w:styleId="179">
    <w:name w:val="bookmark-item"/>
    <w:qFormat/>
    <w:uiPriority w:val="0"/>
  </w:style>
  <w:style w:type="character" w:customStyle="1" w:styleId="180">
    <w:name w:val="表格 Char Char"/>
    <w:link w:val="181"/>
    <w:uiPriority w:val="0"/>
    <w:rPr>
      <w:rFonts w:ascii="宋体" w:hAnsi="宋体"/>
    </w:rPr>
  </w:style>
  <w:style w:type="paragraph" w:customStyle="1" w:styleId="181">
    <w:name w:val="表格"/>
    <w:basedOn w:val="1"/>
    <w:link w:val="180"/>
    <w:uiPriority w:val="0"/>
    <w:pPr>
      <w:snapToGrid w:val="0"/>
      <w:spacing w:line="240" w:lineRule="auto"/>
      <w:ind w:firstLine="42" w:firstLineChars="21"/>
    </w:pPr>
    <w:rPr>
      <w:rFonts w:ascii="宋体" w:hAnsi="宋体"/>
      <w:kern w:val="0"/>
      <w:sz w:val="20"/>
    </w:rPr>
  </w:style>
  <w:style w:type="character" w:customStyle="1" w:styleId="182">
    <w:name w:val="HTML 预设格式 字符"/>
    <w:qFormat/>
    <w:uiPriority w:val="0"/>
    <w:rPr>
      <w:rFonts w:ascii="宋体" w:hAnsi="Courier New"/>
      <w:kern w:val="2"/>
      <w:sz w:val="21"/>
    </w:rPr>
  </w:style>
  <w:style w:type="character" w:customStyle="1" w:styleId="183">
    <w:name w:val="font122"/>
    <w:qFormat/>
    <w:uiPriority w:val="0"/>
    <w:rPr>
      <w:rFonts w:ascii="Calibri" w:hAnsi="Calibri" w:cs="Calibri"/>
      <w:color w:val="000000"/>
      <w:sz w:val="20"/>
      <w:szCs w:val="20"/>
      <w:u w:val="none"/>
    </w:rPr>
  </w:style>
  <w:style w:type="character" w:customStyle="1" w:styleId="184">
    <w:name w:val="普通文字 Char Char Char Char1"/>
    <w:aliases w:val="普通文字 Char Char Char Char Char,正 文 1 Char,Texte Char,普通文字4 Char,普通文字5 Char,普通文字6 Char,普通文字11 Char,普通文字21 Char,普通文字 Char Char3,普通文字 Char Char Char3,普通文字 Char3,普通文字 Char Char Char Char2,普通文字 Char Char Char Char Char1,Texte Char2"/>
    <w:qFormat/>
    <w:uiPriority w:val="0"/>
    <w:rPr>
      <w:rFonts w:ascii="宋体" w:hAnsi="Courier New" w:eastAsia="宋体"/>
      <w:kern w:val="2"/>
      <w:sz w:val="24"/>
      <w:lang w:val="en-US" w:eastAsia="zh-CN" w:bidi="ar-SA"/>
    </w:rPr>
  </w:style>
  <w:style w:type="character" w:customStyle="1" w:styleId="185">
    <w:name w:val="WW8Num11z8"/>
    <w:qFormat/>
    <w:uiPriority w:val="0"/>
  </w:style>
  <w:style w:type="character" w:customStyle="1" w:styleId="186">
    <w:name w:val="文字 Char"/>
    <w:link w:val="187"/>
    <w:uiPriority w:val="0"/>
    <w:rPr>
      <w:rFonts w:ascii="楷体_GB2312" w:eastAsia="楷体_GB2312"/>
      <w:kern w:val="2"/>
      <w:sz w:val="28"/>
    </w:rPr>
  </w:style>
  <w:style w:type="paragraph" w:customStyle="1" w:styleId="187">
    <w:name w:val="文字"/>
    <w:basedOn w:val="1"/>
    <w:link w:val="186"/>
    <w:qFormat/>
    <w:uiPriority w:val="0"/>
    <w:pPr>
      <w:tabs>
        <w:tab w:val="left" w:pos="8520"/>
      </w:tabs>
      <w:spacing w:line="312" w:lineRule="auto"/>
      <w:ind w:right="-210" w:firstLine="556"/>
    </w:pPr>
    <w:rPr>
      <w:rFonts w:ascii="楷体_GB2312" w:eastAsia="楷体_GB2312"/>
      <w:sz w:val="28"/>
    </w:rPr>
  </w:style>
  <w:style w:type="character" w:customStyle="1" w:styleId="188">
    <w:name w:val="font01"/>
    <w:qFormat/>
    <w:uiPriority w:val="0"/>
    <w:rPr>
      <w:rFonts w:hint="default" w:ascii="Times New Roman" w:hAnsi="Times New Roman" w:cs="Times New Roman"/>
      <w:color w:val="000000"/>
      <w:sz w:val="24"/>
      <w:szCs w:val="24"/>
      <w:u w:val="none"/>
    </w:rPr>
  </w:style>
  <w:style w:type="character" w:customStyle="1" w:styleId="189">
    <w:name w:val="WW8Num4z4"/>
    <w:qFormat/>
    <w:uiPriority w:val="0"/>
  </w:style>
  <w:style w:type="character" w:customStyle="1" w:styleId="190">
    <w:name w:val="正文文本 2 Char1"/>
    <w:semiHidden/>
    <w:uiPriority w:val="99"/>
    <w:rPr>
      <w:rFonts w:ascii="Times New Roman" w:hAnsi="Times New Roman"/>
      <w:kern w:val="2"/>
      <w:sz w:val="21"/>
      <w:szCs w:val="24"/>
    </w:rPr>
  </w:style>
  <w:style w:type="character" w:customStyle="1" w:styleId="191">
    <w:name w:val="font31"/>
    <w:qFormat/>
    <w:uiPriority w:val="0"/>
    <w:rPr>
      <w:rFonts w:hint="default" w:ascii="等线" w:hAnsi="等线" w:eastAsia="等线" w:cs="等线"/>
      <w:color w:val="FF0000"/>
      <w:sz w:val="22"/>
      <w:szCs w:val="22"/>
      <w:u w:val="none"/>
    </w:rPr>
  </w:style>
  <w:style w:type="character" w:customStyle="1" w:styleId="192">
    <w:name w:val="p41"/>
    <w:qFormat/>
    <w:uiPriority w:val="0"/>
    <w:rPr>
      <w:sz w:val="21"/>
    </w:rPr>
  </w:style>
  <w:style w:type="character" w:customStyle="1" w:styleId="193">
    <w:name w:val="WW8Num7z0"/>
    <w:qFormat/>
    <w:uiPriority w:val="0"/>
    <w:rPr>
      <w:rFonts w:hint="default" w:ascii="Wingdings" w:hAnsi="Wingdings" w:cs="Wingdings"/>
    </w:rPr>
  </w:style>
  <w:style w:type="character" w:customStyle="1" w:styleId="194">
    <w:name w:val="WW8Num2z0"/>
    <w:qFormat/>
    <w:uiPriority w:val="0"/>
    <w:rPr>
      <w:rFonts w:hint="eastAsia"/>
    </w:rPr>
  </w:style>
  <w:style w:type="character" w:customStyle="1" w:styleId="195">
    <w:name w:val="font91"/>
    <w:qFormat/>
    <w:uiPriority w:val="0"/>
    <w:rPr>
      <w:rFonts w:hint="default" w:ascii="Times New Roman" w:hAnsi="Times New Roman" w:cs="Times New Roman"/>
      <w:color w:val="000000"/>
      <w:sz w:val="21"/>
      <w:szCs w:val="21"/>
      <w:u w:val="none"/>
    </w:rPr>
  </w:style>
  <w:style w:type="character" w:customStyle="1" w:styleId="196">
    <w:name w:val="正文文本 字符1"/>
    <w:qFormat/>
    <w:uiPriority w:val="0"/>
    <w:rPr>
      <w:rFonts w:eastAsia="宋体"/>
      <w:kern w:val="2"/>
      <w:sz w:val="21"/>
      <w:szCs w:val="24"/>
      <w:lang w:val="en-US" w:eastAsia="zh-CN" w:bidi="ar-SA"/>
    </w:rPr>
  </w:style>
  <w:style w:type="character" w:customStyle="1" w:styleId="197">
    <w:name w:val="WW8Num11z7"/>
    <w:qFormat/>
    <w:uiPriority w:val="0"/>
  </w:style>
  <w:style w:type="character" w:customStyle="1" w:styleId="198">
    <w:name w:val="纯文本 字符2"/>
    <w:qFormat/>
    <w:uiPriority w:val="99"/>
    <w:rPr>
      <w:rFonts w:ascii="宋体" w:hAnsi="Courier New" w:eastAsia="宋体"/>
      <w:kern w:val="2"/>
      <w:sz w:val="21"/>
      <w:lang w:val="en-US" w:eastAsia="zh-CN" w:bidi="ar-SA"/>
    </w:rPr>
  </w:style>
  <w:style w:type="character" w:customStyle="1" w:styleId="199">
    <w:name w:val="WW8Num16z7"/>
    <w:qFormat/>
    <w:uiPriority w:val="0"/>
  </w:style>
  <w:style w:type="character" w:customStyle="1" w:styleId="200">
    <w:name w:val="WW8Num16z8"/>
    <w:qFormat/>
    <w:uiPriority w:val="0"/>
  </w:style>
  <w:style w:type="character" w:customStyle="1" w:styleId="201">
    <w:name w:val="Char Char13"/>
    <w:qFormat/>
    <w:uiPriority w:val="0"/>
    <w:rPr>
      <w:rFonts w:ascii="宋体" w:hAnsi="Courier New" w:eastAsia="楷体_GB2312"/>
      <w:kern w:val="2"/>
      <w:sz w:val="26"/>
      <w:lang w:val="en-US" w:eastAsia="zh-CN" w:bidi="ar-SA"/>
    </w:rPr>
  </w:style>
  <w:style w:type="character" w:customStyle="1" w:styleId="202">
    <w:name w:val="WW8Num12z4"/>
    <w:qFormat/>
    <w:uiPriority w:val="0"/>
  </w:style>
  <w:style w:type="character" w:customStyle="1" w:styleId="203">
    <w:name w:val="15"/>
    <w:uiPriority w:val="0"/>
    <w:rPr>
      <w:rFonts w:hint="default" w:ascii="Times New Roman" w:hAnsi="Times New Roman" w:cs="Times New Roman"/>
      <w:color w:val="333333"/>
      <w:sz w:val="20"/>
      <w:szCs w:val="20"/>
    </w:rPr>
  </w:style>
  <w:style w:type="character" w:customStyle="1" w:styleId="204">
    <w:name w:val="页脚 Char1"/>
    <w:qFormat/>
    <w:locked/>
    <w:uiPriority w:val="99"/>
    <w:rPr>
      <w:rFonts w:eastAsia="黑体"/>
      <w:snapToGrid w:val="0"/>
      <w:sz w:val="18"/>
      <w:szCs w:val="18"/>
    </w:rPr>
  </w:style>
  <w:style w:type="character" w:customStyle="1" w:styleId="205">
    <w:name w:val="WW8Num16z3"/>
    <w:qFormat/>
    <w:uiPriority w:val="0"/>
  </w:style>
  <w:style w:type="character" w:customStyle="1" w:styleId="206">
    <w:name w:val="页眉 Char1"/>
    <w:uiPriority w:val="0"/>
    <w:rPr>
      <w:rFonts w:ascii="Times New Roman" w:hAnsi="Times New Roman"/>
      <w:kern w:val="2"/>
      <w:sz w:val="18"/>
      <w:szCs w:val="18"/>
    </w:rPr>
  </w:style>
  <w:style w:type="character" w:customStyle="1" w:styleId="207">
    <w:name w:val="Char Char6"/>
    <w:qFormat/>
    <w:uiPriority w:val="0"/>
    <w:rPr>
      <w:rFonts w:ascii="Calibri" w:hAnsi="Calibri" w:eastAsia="宋体" w:cs="Calibri"/>
      <w:b/>
      <w:bCs/>
      <w:kern w:val="1"/>
      <w:sz w:val="28"/>
      <w:szCs w:val="28"/>
      <w:lang w:val="en-US" w:eastAsia="ar-SA" w:bidi="ar-SA"/>
    </w:rPr>
  </w:style>
  <w:style w:type="character" w:customStyle="1" w:styleId="208">
    <w:name w:val="标题 Char2"/>
    <w:qFormat/>
    <w:uiPriority w:val="10"/>
    <w:rPr>
      <w:rFonts w:ascii="Calibri Light" w:hAnsi="Calibri Light"/>
      <w:b/>
      <w:bCs/>
      <w:kern w:val="2"/>
      <w:sz w:val="32"/>
      <w:szCs w:val="32"/>
    </w:rPr>
  </w:style>
  <w:style w:type="character" w:customStyle="1" w:styleId="209">
    <w:name w:val="标题 字符"/>
    <w:qFormat/>
    <w:uiPriority w:val="0"/>
    <w:rPr>
      <w:rFonts w:ascii="Cambria" w:hAnsi="Cambria" w:cs="Times New Roman"/>
      <w:b/>
      <w:bCs/>
      <w:kern w:val="2"/>
      <w:sz w:val="32"/>
      <w:szCs w:val="32"/>
    </w:rPr>
  </w:style>
  <w:style w:type="character" w:customStyle="1" w:styleId="210">
    <w:name w:val="op_dict_text21"/>
    <w:uiPriority w:val="0"/>
  </w:style>
  <w:style w:type="character" w:customStyle="1" w:styleId="211">
    <w:name w:val="WW8Num16z0"/>
    <w:qFormat/>
    <w:uiPriority w:val="0"/>
    <w:rPr>
      <w:rFonts w:hint="eastAsia"/>
    </w:rPr>
  </w:style>
  <w:style w:type="character" w:customStyle="1" w:styleId="212">
    <w:name w:val="正文文本 2 Char"/>
    <w:qFormat/>
    <w:uiPriority w:val="0"/>
    <w:rPr>
      <w:rFonts w:ascii="宋体" w:hAnsi="宋体"/>
      <w:color w:val="000000"/>
      <w:kern w:val="2"/>
      <w:sz w:val="24"/>
      <w:szCs w:val="24"/>
    </w:rPr>
  </w:style>
  <w:style w:type="character" w:customStyle="1" w:styleId="213">
    <w:name w:val="投标书正文无序编号 Char Char"/>
    <w:link w:val="214"/>
    <w:uiPriority w:val="0"/>
    <w:rPr>
      <w:kern w:val="2"/>
      <w:sz w:val="24"/>
      <w:szCs w:val="24"/>
    </w:rPr>
  </w:style>
  <w:style w:type="paragraph" w:customStyle="1" w:styleId="214">
    <w:name w:val="投标书正文无序编号"/>
    <w:basedOn w:val="215"/>
    <w:link w:val="213"/>
    <w:uiPriority w:val="0"/>
    <w:pPr>
      <w:tabs>
        <w:tab w:val="left" w:pos="780"/>
        <w:tab w:val="left" w:pos="902"/>
      </w:tabs>
      <w:adjustRightInd w:val="0"/>
      <w:ind w:left="420" w:firstLine="0" w:firstLineChars="0"/>
    </w:pPr>
    <w:rPr>
      <w:rFonts w:eastAsia="宋体"/>
    </w:rPr>
  </w:style>
  <w:style w:type="paragraph" w:customStyle="1" w:styleId="215">
    <w:name w:val="投标书正文"/>
    <w:link w:val="216"/>
    <w:uiPriority w:val="0"/>
    <w:pPr>
      <w:autoSpaceDE w:val="0"/>
      <w:spacing w:line="360" w:lineRule="auto"/>
      <w:ind w:firstLine="200" w:firstLineChars="200"/>
    </w:pPr>
    <w:rPr>
      <w:rFonts w:eastAsia="Times New Roman"/>
      <w:kern w:val="2"/>
      <w:sz w:val="24"/>
      <w:szCs w:val="24"/>
      <w:lang w:val="en-US" w:eastAsia="zh-CN" w:bidi="ar-SA"/>
    </w:rPr>
  </w:style>
  <w:style w:type="character" w:customStyle="1" w:styleId="216">
    <w:name w:val="投标书正文 Char Char"/>
    <w:link w:val="215"/>
    <w:uiPriority w:val="0"/>
    <w:rPr>
      <w:rFonts w:eastAsia="Times New Roman"/>
      <w:kern w:val="2"/>
      <w:sz w:val="24"/>
      <w:szCs w:val="24"/>
      <w:lang w:val="en-US" w:eastAsia="zh-CN" w:bidi="ar-SA"/>
    </w:rPr>
  </w:style>
  <w:style w:type="character" w:customStyle="1" w:styleId="217">
    <w:name w:val="Char Char14"/>
    <w:locked/>
    <w:uiPriority w:val="0"/>
    <w:rPr>
      <w:kern w:val="2"/>
      <w:sz w:val="18"/>
      <w:szCs w:val="18"/>
    </w:rPr>
  </w:style>
  <w:style w:type="character" w:customStyle="1" w:styleId="218">
    <w:name w:val="WW8Num5z0"/>
    <w:qFormat/>
    <w:uiPriority w:val="0"/>
    <w:rPr>
      <w:rFonts w:hint="default"/>
    </w:rPr>
  </w:style>
  <w:style w:type="character" w:customStyle="1" w:styleId="219">
    <w:name w:val="Char Char321"/>
    <w:qFormat/>
    <w:uiPriority w:val="0"/>
    <w:rPr>
      <w:rFonts w:ascii="宋体" w:hAnsi="Courier New" w:eastAsia="楷体_GB2312"/>
      <w:kern w:val="2"/>
      <w:sz w:val="26"/>
      <w:lang w:val="en-US" w:eastAsia="zh-CN" w:bidi="ar-SA"/>
    </w:rPr>
  </w:style>
  <w:style w:type="character" w:customStyle="1" w:styleId="220">
    <w:name w:val="WW8Num12z2"/>
    <w:qFormat/>
    <w:uiPriority w:val="0"/>
  </w:style>
  <w:style w:type="character" w:customStyle="1" w:styleId="221">
    <w:name w:val="font21"/>
    <w:qFormat/>
    <w:uiPriority w:val="0"/>
    <w:rPr>
      <w:rFonts w:hint="eastAsia" w:ascii="宋体" w:hAnsi="宋体" w:eastAsia="宋体" w:cs="宋体"/>
      <w:color w:val="FF0000"/>
      <w:sz w:val="20"/>
      <w:szCs w:val="20"/>
      <w:u w:val="none"/>
    </w:rPr>
  </w:style>
  <w:style w:type="character" w:customStyle="1" w:styleId="222">
    <w:name w:val="页眉 字符1"/>
    <w:uiPriority w:val="0"/>
    <w:rPr>
      <w:rFonts w:eastAsia="宋体"/>
      <w:kern w:val="2"/>
      <w:sz w:val="18"/>
      <w:szCs w:val="18"/>
      <w:lang w:val="en-US" w:eastAsia="zh-CN" w:bidi="ar-SA"/>
    </w:rPr>
  </w:style>
  <w:style w:type="character" w:customStyle="1" w:styleId="223">
    <w:name w:val="WW8Num9z7"/>
    <w:qFormat/>
    <w:uiPriority w:val="0"/>
  </w:style>
  <w:style w:type="character" w:customStyle="1" w:styleId="224">
    <w:name w:val="font81"/>
    <w:qFormat/>
    <w:uiPriority w:val="0"/>
    <w:rPr>
      <w:rFonts w:hint="default" w:ascii="Calibri" w:hAnsi="Calibri" w:cs="Calibri"/>
      <w:color w:val="FF0000"/>
      <w:sz w:val="20"/>
      <w:szCs w:val="20"/>
      <w:u w:val="none"/>
    </w:rPr>
  </w:style>
  <w:style w:type="character" w:customStyle="1" w:styleId="225">
    <w:name w:val="WW8Num8z6"/>
    <w:qFormat/>
    <w:uiPriority w:val="0"/>
  </w:style>
  <w:style w:type="character" w:customStyle="1" w:styleId="226">
    <w:name w:val="明显引用 字符"/>
    <w:link w:val="227"/>
    <w:uiPriority w:val="30"/>
    <w:rPr>
      <w:rFonts w:ascii="Times New Roman" w:hAnsi="Times New Roman"/>
      <w:b/>
      <w:bCs/>
      <w:i/>
      <w:iCs/>
      <w:color w:val="4F81BD"/>
      <w:kern w:val="2"/>
      <w:sz w:val="21"/>
      <w:szCs w:val="24"/>
    </w:rPr>
  </w:style>
  <w:style w:type="paragraph" w:styleId="227">
    <w:name w:val="Intense Quote"/>
    <w:basedOn w:val="1"/>
    <w:next w:val="1"/>
    <w:link w:val="226"/>
    <w:qFormat/>
    <w:uiPriority w:val="30"/>
    <w:pPr>
      <w:pBdr>
        <w:bottom w:val="single" w:color="4F81BD" w:sz="4" w:space="4"/>
      </w:pBdr>
      <w:spacing w:before="200" w:after="280" w:line="240" w:lineRule="auto"/>
      <w:ind w:left="936" w:right="936"/>
    </w:pPr>
    <w:rPr>
      <w:b/>
      <w:bCs/>
      <w:i/>
      <w:iCs/>
      <w:color w:val="4F81BD"/>
      <w:szCs w:val="24"/>
    </w:rPr>
  </w:style>
  <w:style w:type="character" w:customStyle="1" w:styleId="228">
    <w:name w:val="WW8Num2z4"/>
    <w:qFormat/>
    <w:uiPriority w:val="0"/>
  </w:style>
  <w:style w:type="character" w:customStyle="1" w:styleId="229">
    <w:name w:val="hover24"/>
    <w:uiPriority w:val="0"/>
  </w:style>
  <w:style w:type="character" w:customStyle="1" w:styleId="230">
    <w:name w:val="说明 Char"/>
    <w:link w:val="231"/>
    <w:qFormat/>
    <w:uiPriority w:val="0"/>
    <w:rPr>
      <w:rFonts w:ascii="仿宋" w:hAnsi="仿宋" w:eastAsia="仿宋" w:cs="仿宋"/>
      <w:iCs/>
      <w:color w:val="FF0000"/>
      <w:kern w:val="2"/>
      <w:sz w:val="24"/>
      <w:szCs w:val="24"/>
    </w:rPr>
  </w:style>
  <w:style w:type="paragraph" w:customStyle="1" w:styleId="231">
    <w:name w:val="说明"/>
    <w:basedOn w:val="1"/>
    <w:link w:val="230"/>
    <w:qFormat/>
    <w:uiPriority w:val="0"/>
    <w:pPr>
      <w:adjustRightInd w:val="0"/>
      <w:ind w:firstLine="640" w:firstLineChars="200"/>
      <w:jc w:val="left"/>
    </w:pPr>
    <w:rPr>
      <w:rFonts w:ascii="仿宋" w:hAnsi="仿宋" w:eastAsia="仿宋"/>
      <w:iCs/>
      <w:color w:val="FF0000"/>
      <w:sz w:val="24"/>
      <w:szCs w:val="24"/>
    </w:rPr>
  </w:style>
  <w:style w:type="character" w:customStyle="1" w:styleId="232">
    <w:name w:val="表格标题 Char"/>
    <w:link w:val="233"/>
    <w:qFormat/>
    <w:uiPriority w:val="0"/>
    <w:rPr>
      <w:rFonts w:ascii="Times New Roman" w:hAnsi="Times New Roman"/>
      <w:b/>
      <w:bCs/>
      <w:kern w:val="1"/>
      <w:sz w:val="21"/>
      <w:szCs w:val="24"/>
      <w:lang w:eastAsia="ar-SA"/>
    </w:rPr>
  </w:style>
  <w:style w:type="paragraph" w:customStyle="1" w:styleId="233">
    <w:name w:val="表格标题"/>
    <w:basedOn w:val="117"/>
    <w:link w:val="232"/>
    <w:qFormat/>
    <w:uiPriority w:val="0"/>
    <w:pPr>
      <w:adjustRightInd/>
      <w:spacing w:line="240" w:lineRule="auto"/>
      <w:jc w:val="center"/>
      <w:textAlignment w:val="auto"/>
    </w:pPr>
    <w:rPr>
      <w:rFonts w:ascii="Times New Roman" w:hAnsi="Times New Roman"/>
      <w:b/>
      <w:bCs/>
      <w:szCs w:val="24"/>
    </w:rPr>
  </w:style>
  <w:style w:type="character" w:customStyle="1" w:styleId="234">
    <w:name w:val="标题 1 Char"/>
    <w:aliases w:val="一级 Char,H1 Char,Section Head Char,h1 Char,1st level Char,l1 Char,H11 Char,H12 Char,H13 Char,H14 Char,H15 Char,H16 Char,H17 Char,Level 1 Topic Heading Char,Head 1 Char,Head 11 Char,Head 12 Char,Head 111 Char,Head 13 Char,Head 112 Char,标书1 Char"/>
    <w:uiPriority w:val="0"/>
    <w:rPr>
      <w:rFonts w:ascii="Times New Roman" w:hAnsi="Times New Roman" w:eastAsia="楷体_GB2312" w:cs="黑体"/>
      <w:b/>
      <w:kern w:val="28"/>
      <w:sz w:val="26"/>
    </w:rPr>
  </w:style>
  <w:style w:type="character" w:customStyle="1" w:styleId="235">
    <w:name w:val="Body Char"/>
    <w:link w:val="236"/>
    <w:uiPriority w:val="0"/>
    <w:rPr>
      <w:rFonts w:ascii="Arial" w:hAnsi="Arial"/>
      <w:szCs w:val="21"/>
      <w:lang w:eastAsia="en-US"/>
    </w:rPr>
  </w:style>
  <w:style w:type="paragraph" w:customStyle="1" w:styleId="236">
    <w:name w:val="Body"/>
    <w:basedOn w:val="1"/>
    <w:link w:val="235"/>
    <w:uiPriority w:val="0"/>
    <w:pPr>
      <w:widowControl/>
      <w:tabs>
        <w:tab w:val="left" w:pos="1247"/>
      </w:tabs>
      <w:spacing w:before="120" w:line="288" w:lineRule="auto"/>
      <w:ind w:left="1247"/>
    </w:pPr>
    <w:rPr>
      <w:rFonts w:ascii="Arial" w:hAnsi="Arial"/>
      <w:kern w:val="0"/>
      <w:sz w:val="20"/>
      <w:szCs w:val="21"/>
      <w:lang w:eastAsia="en-US"/>
    </w:rPr>
  </w:style>
  <w:style w:type="character" w:customStyle="1" w:styleId="237">
    <w:name w:val="WW8Num5z3"/>
    <w:qFormat/>
    <w:uiPriority w:val="0"/>
  </w:style>
  <w:style w:type="character" w:customStyle="1" w:styleId="238">
    <w:name w:val="批注文字 Char2"/>
    <w:uiPriority w:val="0"/>
    <w:rPr>
      <w:kern w:val="2"/>
      <w:sz w:val="21"/>
      <w:szCs w:val="24"/>
    </w:rPr>
  </w:style>
  <w:style w:type="character" w:customStyle="1" w:styleId="239">
    <w:name w:val="WW8Num12z1"/>
    <w:qFormat/>
    <w:uiPriority w:val="0"/>
  </w:style>
  <w:style w:type="character" w:customStyle="1" w:styleId="240">
    <w:name w:val="font-121"/>
    <w:uiPriority w:val="0"/>
    <w:rPr>
      <w:color w:val="666666"/>
      <w:sz w:val="24"/>
      <w:szCs w:val="24"/>
      <w:u w:val="none"/>
    </w:rPr>
  </w:style>
  <w:style w:type="character" w:customStyle="1" w:styleId="241">
    <w:name w:val="WW8Num4z8"/>
    <w:qFormat/>
    <w:uiPriority w:val="0"/>
  </w:style>
  <w:style w:type="character" w:customStyle="1" w:styleId="242">
    <w:name w:val="正文文本缩进 3 Char"/>
    <w:qFormat/>
    <w:uiPriority w:val="0"/>
    <w:rPr>
      <w:rFonts w:ascii="仿宋_GB2312" w:hAnsi="宋体" w:eastAsia="仿宋_GB2312"/>
      <w:color w:val="000000"/>
      <w:kern w:val="2"/>
      <w:sz w:val="24"/>
      <w:szCs w:val="24"/>
    </w:rPr>
  </w:style>
  <w:style w:type="character" w:customStyle="1" w:styleId="243">
    <w:name w:val="WW8Num5z5"/>
    <w:qFormat/>
    <w:uiPriority w:val="0"/>
  </w:style>
  <w:style w:type="character" w:customStyle="1" w:styleId="244">
    <w:name w:val="__正文 Char"/>
    <w:link w:val="245"/>
    <w:qFormat/>
    <w:uiPriority w:val="0"/>
    <w:rPr>
      <w:rFonts w:ascii="宋体" w:hAnsi="宋体"/>
      <w:kern w:val="2"/>
      <w:sz w:val="24"/>
      <w:szCs w:val="24"/>
      <w:lang w:val="en-US" w:eastAsia="zh-CN" w:bidi="ar-SA"/>
    </w:rPr>
  </w:style>
  <w:style w:type="paragraph" w:customStyle="1" w:styleId="245">
    <w:name w:val="__正文"/>
    <w:link w:val="244"/>
    <w:qFormat/>
    <w:uiPriority w:val="0"/>
    <w:pPr>
      <w:spacing w:line="360" w:lineRule="auto"/>
      <w:ind w:firstLine="480" w:firstLineChars="200"/>
    </w:pPr>
    <w:rPr>
      <w:rFonts w:ascii="宋体" w:hAnsi="宋体"/>
      <w:kern w:val="2"/>
      <w:sz w:val="24"/>
      <w:szCs w:val="24"/>
      <w:lang w:val="en-US" w:eastAsia="zh-CN" w:bidi="ar-SA"/>
    </w:rPr>
  </w:style>
  <w:style w:type="character" w:customStyle="1" w:styleId="246">
    <w:name w:val="cm-header1"/>
    <w:uiPriority w:val="0"/>
    <w:rPr>
      <w:b/>
    </w:rPr>
  </w:style>
  <w:style w:type="character" w:customStyle="1" w:styleId="247">
    <w:name w:val="正文2 Char Char"/>
    <w:link w:val="248"/>
    <w:qFormat/>
    <w:uiPriority w:val="0"/>
    <w:rPr>
      <w:kern w:val="2"/>
      <w:sz w:val="24"/>
    </w:rPr>
  </w:style>
  <w:style w:type="paragraph" w:customStyle="1" w:styleId="248">
    <w:name w:val="正文2"/>
    <w:basedOn w:val="1"/>
    <w:link w:val="247"/>
    <w:qFormat/>
    <w:uiPriority w:val="0"/>
    <w:pPr>
      <w:spacing w:before="156"/>
      <w:ind w:firstLine="510" w:firstLineChars="200"/>
    </w:pPr>
    <w:rPr>
      <w:sz w:val="24"/>
    </w:rPr>
  </w:style>
  <w:style w:type="character" w:customStyle="1" w:styleId="249">
    <w:name w:val="WW8Num13z8"/>
    <w:qFormat/>
    <w:uiPriority w:val="0"/>
  </w:style>
  <w:style w:type="character" w:customStyle="1" w:styleId="250">
    <w:name w:val="日期 Char"/>
    <w:qFormat/>
    <w:uiPriority w:val="0"/>
    <w:rPr>
      <w:rFonts w:ascii="Calibri" w:hAnsi="Calibri" w:eastAsia="宋体" w:cs="Times New Roman"/>
    </w:rPr>
  </w:style>
  <w:style w:type="character" w:customStyle="1" w:styleId="251">
    <w:name w:val="标题 5 字符"/>
    <w:qFormat/>
    <w:uiPriority w:val="9"/>
    <w:rPr>
      <w:sz w:val="24"/>
    </w:rPr>
  </w:style>
  <w:style w:type="character" w:customStyle="1" w:styleId="252">
    <w:name w:val="标题 Char1"/>
    <w:qFormat/>
    <w:uiPriority w:val="10"/>
    <w:rPr>
      <w:rFonts w:ascii="Cambria" w:hAnsi="Cambria" w:cs="Times New Roman"/>
      <w:b/>
      <w:bCs/>
      <w:kern w:val="2"/>
      <w:sz w:val="32"/>
      <w:szCs w:val="32"/>
    </w:rPr>
  </w:style>
  <w:style w:type="character" w:customStyle="1" w:styleId="253">
    <w:name w:val="文档结构图 Char2"/>
    <w:semiHidden/>
    <w:uiPriority w:val="99"/>
    <w:rPr>
      <w:rFonts w:ascii="宋体" w:hAnsi="Times New Roman"/>
      <w:kern w:val="2"/>
      <w:sz w:val="18"/>
      <w:szCs w:val="18"/>
    </w:rPr>
  </w:style>
  <w:style w:type="character" w:customStyle="1" w:styleId="254">
    <w:name w:val="批注主题 Char"/>
    <w:qFormat/>
    <w:uiPriority w:val="0"/>
    <w:rPr>
      <w:b/>
      <w:bCs/>
      <w:kern w:val="2"/>
      <w:sz w:val="21"/>
      <w:szCs w:val="24"/>
    </w:rPr>
  </w:style>
  <w:style w:type="character" w:customStyle="1" w:styleId="255">
    <w:name w:val="标准正文格式 Char"/>
    <w:uiPriority w:val="0"/>
    <w:rPr>
      <w:rFonts w:ascii="Times New Roman" w:hAnsi="Times New Roman" w:eastAsia="仿宋_GB2312" w:cs="Times New Roman"/>
      <w:bCs/>
      <w:sz w:val="28"/>
      <w:szCs w:val="20"/>
    </w:rPr>
  </w:style>
  <w:style w:type="character" w:customStyle="1" w:styleId="256">
    <w:name w:val="WW8Num12z3"/>
    <w:qFormat/>
    <w:uiPriority w:val="0"/>
  </w:style>
  <w:style w:type="character" w:customStyle="1" w:styleId="257">
    <w:name w:val="正文缩进 Char"/>
    <w:aliases w:val="正文对齐 Char,正文不缩进 Char,四号 Char,标题4 Char,样式3 Char,段1 Char,正文非缩进 Char,特点 Char1,ALT+Z Char,水上软件 Char,特点 Char Char,特点正文 Char,PI Char,首行缩进 Char,正文缩进（首行缩进两字） Char,标题四 Char,缩进 Char,正文双线 Char,表正文1 Char,正文非缩进1 Char,标题41 Char,四号1 Char,特点1 Char"/>
    <w:qFormat/>
    <w:uiPriority w:val="0"/>
    <w:rPr>
      <w:rFonts w:eastAsia="宋体"/>
      <w:kern w:val="2"/>
      <w:sz w:val="21"/>
      <w:lang w:val="en-US" w:eastAsia="zh-CN" w:bidi="ar-SA"/>
    </w:rPr>
  </w:style>
  <w:style w:type="character" w:customStyle="1" w:styleId="258">
    <w:name w:val="正文首行缩进 Char"/>
    <w:qFormat/>
    <w:uiPriority w:val="0"/>
  </w:style>
  <w:style w:type="character" w:customStyle="1" w:styleId="259">
    <w:name w:val="正文文本缩进 3 Char1"/>
    <w:semiHidden/>
    <w:uiPriority w:val="99"/>
    <w:rPr>
      <w:rFonts w:ascii="Times New Roman" w:hAnsi="Times New Roman"/>
      <w:kern w:val="2"/>
      <w:sz w:val="16"/>
      <w:szCs w:val="16"/>
    </w:rPr>
  </w:style>
  <w:style w:type="character" w:customStyle="1" w:styleId="260">
    <w:name w:val="文档结构图 Char"/>
    <w:uiPriority w:val="0"/>
    <w:rPr>
      <w:rFonts w:ascii="宋体"/>
      <w:kern w:val="2"/>
      <w:sz w:val="18"/>
      <w:szCs w:val="18"/>
    </w:rPr>
  </w:style>
  <w:style w:type="character" w:customStyle="1" w:styleId="261">
    <w:name w:val="标题 7 字符"/>
    <w:qFormat/>
    <w:uiPriority w:val="0"/>
    <w:rPr>
      <w:sz w:val="24"/>
    </w:rPr>
  </w:style>
  <w:style w:type="character" w:customStyle="1" w:styleId="262">
    <w:name w:val="tk1"/>
    <w:uiPriority w:val="0"/>
    <w:rPr>
      <w:rFonts w:hint="eastAsia" w:ascii="新宋体" w:hAnsi="新宋体" w:eastAsia="新宋体"/>
      <w:color w:val="000000"/>
      <w:sz w:val="18"/>
      <w:szCs w:val="18"/>
      <w:u w:val="none"/>
    </w:rPr>
  </w:style>
  <w:style w:type="character" w:customStyle="1" w:styleId="263">
    <w:name w:val="标题 7 Char"/>
    <w:aliases w:val="h7 Char,st Char,SDL title Char,NICMAN Heading 7 Char,PIM 7 Char,letter list Char,Para no numbering Char"/>
    <w:uiPriority w:val="0"/>
    <w:rPr>
      <w:rFonts w:ascii="Arial" w:hAnsi="Arial" w:eastAsia="楷体_GB2312" w:cs="Times New Roman"/>
      <w:sz w:val="20"/>
      <w:szCs w:val="20"/>
    </w:rPr>
  </w:style>
  <w:style w:type="character" w:customStyle="1" w:styleId="264">
    <w:name w:val="批注主题 字符"/>
    <w:qFormat/>
    <w:uiPriority w:val="0"/>
    <w:rPr>
      <w:b/>
      <w:bCs/>
      <w:kern w:val="2"/>
      <w:sz w:val="21"/>
      <w:szCs w:val="24"/>
    </w:rPr>
  </w:style>
  <w:style w:type="character" w:customStyle="1" w:styleId="265">
    <w:name w:val="WW8Num1z0"/>
    <w:qFormat/>
    <w:uiPriority w:val="0"/>
  </w:style>
  <w:style w:type="character" w:customStyle="1" w:styleId="266">
    <w:name w:val="WW8Num13z1"/>
    <w:qFormat/>
    <w:uiPriority w:val="0"/>
  </w:style>
  <w:style w:type="character" w:customStyle="1" w:styleId="267">
    <w:name w:val="标题 Char"/>
    <w:qFormat/>
    <w:uiPriority w:val="0"/>
    <w:rPr>
      <w:rFonts w:ascii="Cambria" w:hAnsi="Cambria" w:eastAsia="楷体_GB2312" w:cs="Times New Roman"/>
      <w:b/>
      <w:bCs/>
      <w:sz w:val="32"/>
      <w:szCs w:val="32"/>
    </w:rPr>
  </w:style>
  <w:style w:type="character" w:customStyle="1" w:styleId="268">
    <w:name w:val="Char Char101"/>
    <w:qFormat/>
    <w:uiPriority w:val="0"/>
    <w:rPr>
      <w:rFonts w:eastAsia="宋体"/>
      <w:b/>
      <w:bCs/>
      <w:kern w:val="1"/>
      <w:sz w:val="44"/>
      <w:szCs w:val="44"/>
      <w:lang w:val="en-US" w:eastAsia="ar-SA" w:bidi="ar-SA"/>
    </w:rPr>
  </w:style>
  <w:style w:type="character" w:customStyle="1" w:styleId="269">
    <w:name w:val="font111"/>
    <w:uiPriority w:val="0"/>
    <w:rPr>
      <w:rFonts w:hint="eastAsia" w:ascii="宋体" w:hAnsi="宋体" w:eastAsia="宋体" w:cs="宋体"/>
      <w:color w:val="000000"/>
      <w:sz w:val="22"/>
      <w:szCs w:val="22"/>
      <w:u w:val="none"/>
    </w:rPr>
  </w:style>
  <w:style w:type="character" w:customStyle="1" w:styleId="270">
    <w:name w:val="WW8Num13z3"/>
    <w:qFormat/>
    <w:uiPriority w:val="0"/>
  </w:style>
  <w:style w:type="character" w:customStyle="1" w:styleId="271">
    <w:name w:val="标题 6 Char"/>
    <w:aliases w:val="Figure label Char,h6 Char,l6 Char,hsm Char,cnp Char,Caption number (page-wide) Char,list 6 Char,h61 Char,heading 6 Char,Heading6 Char,H6 Char,Bullet list Char,PIM 6 Char,6 Char,L6 Char,submodule heading Char,BOD 4 Char,Sub-bullet point Char"/>
    <w:uiPriority w:val="0"/>
    <w:rPr>
      <w:rFonts w:ascii="Times New Roman" w:hAnsi="Times New Roman" w:eastAsia="楷体_GB2312" w:cs="Times New Roman"/>
      <w:i/>
      <w:sz w:val="22"/>
    </w:rPr>
  </w:style>
  <w:style w:type="character" w:customStyle="1" w:styleId="272">
    <w:name w:val="style2"/>
    <w:uiPriority w:val="0"/>
  </w:style>
  <w:style w:type="character" w:customStyle="1" w:styleId="273">
    <w:name w:val="WW8Num12z8"/>
    <w:qFormat/>
    <w:uiPriority w:val="0"/>
  </w:style>
  <w:style w:type="character" w:customStyle="1" w:styleId="274">
    <w:name w:val="金保标题2 Char"/>
    <w:link w:val="275"/>
    <w:uiPriority w:val="0"/>
    <w:rPr>
      <w:rFonts w:ascii="宋体" w:hAnsi="宋体"/>
      <w:b/>
      <w:sz w:val="24"/>
      <w:szCs w:val="24"/>
    </w:rPr>
  </w:style>
  <w:style w:type="paragraph" w:customStyle="1" w:styleId="275">
    <w:name w:val="金保标题2"/>
    <w:basedOn w:val="5"/>
    <w:next w:val="1"/>
    <w:link w:val="274"/>
    <w:uiPriority w:val="0"/>
    <w:pPr>
      <w:keepNext/>
      <w:keepLines/>
      <w:tabs>
        <w:tab w:val="left" w:pos="709"/>
        <w:tab w:val="clear" w:pos="1260"/>
        <w:tab w:val="clear" w:pos="1575"/>
      </w:tabs>
      <w:spacing w:before="240"/>
      <w:jc w:val="both"/>
    </w:pPr>
    <w:rPr>
      <w:rFonts w:ascii="宋体" w:hAnsi="宋体"/>
      <w:kern w:val="0"/>
      <w:sz w:val="24"/>
      <w:szCs w:val="24"/>
    </w:rPr>
  </w:style>
  <w:style w:type="character" w:customStyle="1" w:styleId="276">
    <w:name w:val="unnamed1"/>
    <w:qFormat/>
    <w:uiPriority w:val="0"/>
  </w:style>
  <w:style w:type="character" w:customStyle="1" w:styleId="277">
    <w:name w:val="WW8Num9z0"/>
    <w:qFormat/>
    <w:uiPriority w:val="0"/>
    <w:rPr>
      <w:rFonts w:hint="default"/>
    </w:rPr>
  </w:style>
  <w:style w:type="character" w:customStyle="1" w:styleId="278">
    <w:name w:val="标题 2 字符1"/>
    <w:uiPriority w:val="0"/>
    <w:rPr>
      <w:rFonts w:ascii="仿宋_GB2312" w:eastAsia="仿宋_GB2312"/>
      <w:b/>
      <w:sz w:val="36"/>
      <w:lang w:val="en-US" w:eastAsia="zh-CN" w:bidi="ar-SA"/>
    </w:rPr>
  </w:style>
  <w:style w:type="character" w:customStyle="1" w:styleId="279">
    <w:name w:val="Char Char"/>
    <w:qFormat/>
    <w:locked/>
    <w:uiPriority w:val="0"/>
    <w:rPr>
      <w:rFonts w:ascii="宋体" w:hAnsi="宋体" w:eastAsia="宋体"/>
      <w:kern w:val="2"/>
      <w:sz w:val="32"/>
      <w:lang w:val="en-US" w:eastAsia="zh-CN" w:bidi="ar-SA"/>
    </w:rPr>
  </w:style>
  <w:style w:type="character" w:customStyle="1" w:styleId="280">
    <w:name w:val="段 Char"/>
    <w:link w:val="281"/>
    <w:uiPriority w:val="0"/>
    <w:rPr>
      <w:rFonts w:ascii="宋体" w:eastAsia="Times New Roman"/>
      <w:kern w:val="2"/>
      <w:sz w:val="21"/>
      <w:szCs w:val="22"/>
      <w:lang w:val="en-US" w:eastAsia="zh-CN" w:bidi="ar-SA"/>
    </w:rPr>
  </w:style>
  <w:style w:type="paragraph" w:customStyle="1" w:styleId="281">
    <w:name w:val="段"/>
    <w:link w:val="280"/>
    <w:uiPriority w:val="0"/>
    <w:pPr>
      <w:tabs>
        <w:tab w:val="center" w:pos="4201"/>
        <w:tab w:val="right" w:leader="dot" w:pos="9298"/>
      </w:tabs>
      <w:autoSpaceDE w:val="0"/>
      <w:autoSpaceDN w:val="0"/>
      <w:ind w:firstLine="420" w:firstLineChars="200"/>
      <w:jc w:val="both"/>
    </w:pPr>
    <w:rPr>
      <w:rFonts w:ascii="宋体" w:eastAsia="Times New Roman"/>
      <w:kern w:val="2"/>
      <w:sz w:val="21"/>
      <w:szCs w:val="22"/>
      <w:lang w:val="en-US" w:eastAsia="zh-CN" w:bidi="ar-SA"/>
    </w:rPr>
  </w:style>
  <w:style w:type="character" w:customStyle="1" w:styleId="282">
    <w:name w:val="font151"/>
    <w:qFormat/>
    <w:uiPriority w:val="0"/>
    <w:rPr>
      <w:rFonts w:ascii="Tahoma" w:hAnsi="Tahoma" w:eastAsia="Tahoma" w:cs="Tahoma"/>
      <w:color w:val="FF0000"/>
      <w:sz w:val="18"/>
      <w:szCs w:val="18"/>
      <w:u w:val="none"/>
    </w:rPr>
  </w:style>
  <w:style w:type="character" w:customStyle="1" w:styleId="283">
    <w:name w:val="正文文本 3 Char"/>
    <w:uiPriority w:val="0"/>
    <w:rPr>
      <w:rFonts w:hAnsi="宋体" w:eastAsia="仿宋_GB2312"/>
      <w:b/>
      <w:bCs/>
      <w:kern w:val="2"/>
      <w:sz w:val="24"/>
    </w:rPr>
  </w:style>
  <w:style w:type="character" w:customStyle="1" w:styleId="284">
    <w:name w:val="4级标题 Char"/>
    <w:link w:val="285"/>
    <w:uiPriority w:val="0"/>
    <w:rPr>
      <w:rFonts w:ascii="黑体" w:hAnsi="黑体" w:eastAsia="黑体"/>
      <w:sz w:val="21"/>
      <w:szCs w:val="24"/>
      <w:lang w:eastAsia="en-US" w:bidi="en-US"/>
    </w:rPr>
  </w:style>
  <w:style w:type="paragraph" w:customStyle="1" w:styleId="285">
    <w:name w:val="4级标题"/>
    <w:basedOn w:val="69"/>
    <w:link w:val="284"/>
    <w:qFormat/>
    <w:uiPriority w:val="0"/>
    <w:pPr>
      <w:keepLines/>
      <w:numPr>
        <w:ilvl w:val="3"/>
        <w:numId w:val="1"/>
      </w:numPr>
      <w:ind w:firstLine="0" w:firstLineChars="0"/>
      <w:contextualSpacing/>
      <w:jc w:val="left"/>
      <w:outlineLvl w:val="3"/>
    </w:pPr>
    <w:rPr>
      <w:rFonts w:ascii="黑体" w:hAnsi="黑体" w:eastAsia="黑体"/>
      <w:kern w:val="0"/>
      <w:szCs w:val="24"/>
      <w:lang w:eastAsia="en-US" w:bidi="en-US"/>
    </w:rPr>
  </w:style>
  <w:style w:type="character" w:customStyle="1" w:styleId="286">
    <w:name w:val="正文文本缩进 3 字符"/>
    <w:qFormat/>
    <w:uiPriority w:val="0"/>
    <w:rPr>
      <w:kern w:val="2"/>
      <w:sz w:val="32"/>
    </w:rPr>
  </w:style>
  <w:style w:type="character" w:customStyle="1" w:styleId="287">
    <w:name w:val="WW8Num8z5"/>
    <w:qFormat/>
    <w:uiPriority w:val="0"/>
  </w:style>
  <w:style w:type="character" w:customStyle="1" w:styleId="288">
    <w:name w:val="1级标题 Char"/>
    <w:link w:val="289"/>
    <w:uiPriority w:val="0"/>
    <w:rPr>
      <w:rFonts w:ascii="黑体" w:hAnsi="黑体" w:eastAsia="黑体"/>
      <w:sz w:val="36"/>
      <w:szCs w:val="36"/>
      <w:lang w:eastAsia="en-US" w:bidi="en-US"/>
    </w:rPr>
  </w:style>
  <w:style w:type="paragraph" w:customStyle="1" w:styleId="289">
    <w:name w:val="1级标题"/>
    <w:basedOn w:val="69"/>
    <w:link w:val="288"/>
    <w:qFormat/>
    <w:uiPriority w:val="0"/>
    <w:pPr>
      <w:keepLines/>
      <w:pageBreakBefore/>
      <w:numPr>
        <w:ilvl w:val="0"/>
        <w:numId w:val="1"/>
      </w:numPr>
      <w:spacing w:before="240" w:after="240"/>
      <w:ind w:firstLine="0" w:firstLineChars="0"/>
      <w:contextualSpacing/>
      <w:jc w:val="center"/>
      <w:outlineLvl w:val="0"/>
    </w:pPr>
    <w:rPr>
      <w:rFonts w:ascii="黑体" w:hAnsi="黑体" w:eastAsia="黑体"/>
      <w:kern w:val="0"/>
      <w:sz w:val="36"/>
      <w:szCs w:val="36"/>
      <w:lang w:eastAsia="en-US" w:bidi="en-US"/>
    </w:rPr>
  </w:style>
  <w:style w:type="character" w:customStyle="1" w:styleId="290">
    <w:name w:val="WW8Num9z2"/>
    <w:qFormat/>
    <w:uiPriority w:val="0"/>
  </w:style>
  <w:style w:type="character" w:customStyle="1" w:styleId="291">
    <w:name w:val="*正文 Char"/>
    <w:link w:val="292"/>
    <w:qFormat/>
    <w:uiPriority w:val="99"/>
    <w:rPr>
      <w:rFonts w:cs="仿宋_GB2312"/>
      <w:kern w:val="2"/>
      <w:sz w:val="24"/>
      <w:szCs w:val="24"/>
    </w:rPr>
  </w:style>
  <w:style w:type="paragraph" w:customStyle="1" w:styleId="292">
    <w:name w:val="*正文"/>
    <w:basedOn w:val="1"/>
    <w:link w:val="291"/>
    <w:qFormat/>
    <w:uiPriority w:val="99"/>
    <w:pPr>
      <w:ind w:firstLine="480" w:firstLineChars="200"/>
    </w:pPr>
    <w:rPr>
      <w:sz w:val="24"/>
      <w:szCs w:val="24"/>
    </w:rPr>
  </w:style>
  <w:style w:type="character" w:customStyle="1" w:styleId="293">
    <w:name w:val="正文文本 3 字符1"/>
    <w:qFormat/>
    <w:uiPriority w:val="0"/>
    <w:rPr>
      <w:kern w:val="2"/>
      <w:sz w:val="16"/>
      <w:szCs w:val="16"/>
    </w:rPr>
  </w:style>
  <w:style w:type="character" w:customStyle="1" w:styleId="294">
    <w:name w:val="WW8Num11z0"/>
    <w:qFormat/>
    <w:uiPriority w:val="0"/>
    <w:rPr>
      <w:rFonts w:hint="default"/>
    </w:rPr>
  </w:style>
  <w:style w:type="character" w:customStyle="1" w:styleId="295">
    <w:name w:val="WW8Num5z7"/>
    <w:qFormat/>
    <w:uiPriority w:val="0"/>
  </w:style>
  <w:style w:type="character" w:customStyle="1" w:styleId="296">
    <w:name w:val="zbggmain style9"/>
    <w:qFormat/>
    <w:uiPriority w:val="0"/>
  </w:style>
  <w:style w:type="character" w:customStyle="1" w:styleId="297">
    <w:name w:val="WW8Num2z7"/>
    <w:qFormat/>
    <w:uiPriority w:val="0"/>
  </w:style>
  <w:style w:type="character" w:customStyle="1" w:styleId="298">
    <w:name w:val="WW8Num9z4"/>
    <w:qFormat/>
    <w:uiPriority w:val="0"/>
  </w:style>
  <w:style w:type="character" w:customStyle="1" w:styleId="299">
    <w:name w:val="正文（绿盟科技） Char"/>
    <w:link w:val="300"/>
    <w:uiPriority w:val="0"/>
    <w:rPr>
      <w:rFonts w:ascii="Arial" w:hAnsi="Arial"/>
      <w:szCs w:val="21"/>
      <w:lang w:val="en-US" w:eastAsia="zh-CN" w:bidi="ar-SA"/>
    </w:rPr>
  </w:style>
  <w:style w:type="paragraph" w:customStyle="1" w:styleId="300">
    <w:name w:val="正文（绿盟科技）"/>
    <w:link w:val="299"/>
    <w:uiPriority w:val="0"/>
    <w:pPr>
      <w:spacing w:line="300" w:lineRule="auto"/>
    </w:pPr>
    <w:rPr>
      <w:rFonts w:ascii="Arial" w:hAnsi="Arial"/>
      <w:szCs w:val="21"/>
      <w:lang w:val="en-US" w:eastAsia="zh-CN" w:bidi="ar-SA"/>
    </w:rPr>
  </w:style>
  <w:style w:type="character" w:customStyle="1" w:styleId="301">
    <w:name w:val="正文缩进 字符1"/>
    <w:qFormat/>
    <w:uiPriority w:val="0"/>
    <w:rPr>
      <w:rFonts w:eastAsia="宋体"/>
      <w:kern w:val="2"/>
      <w:sz w:val="21"/>
      <w:lang w:val="en-US" w:eastAsia="zh-CN" w:bidi="ar-SA"/>
    </w:rPr>
  </w:style>
  <w:style w:type="character" w:customStyle="1" w:styleId="302">
    <w:name w:val="批注框文本 Char"/>
    <w:uiPriority w:val="0"/>
    <w:rPr>
      <w:kern w:val="2"/>
      <w:sz w:val="18"/>
      <w:szCs w:val="18"/>
    </w:rPr>
  </w:style>
  <w:style w:type="character" w:customStyle="1" w:styleId="303">
    <w:name w:val="正文文本缩进 Char"/>
    <w:aliases w:val="正文文字首行缩进 Char,HD正文1 Char,正文小标题 Char,（较稀疏） Char,正文内容 Char"/>
    <w:qFormat/>
    <w:uiPriority w:val="0"/>
    <w:rPr>
      <w:rFonts w:ascii="宋体" w:hAnsi="Courier New"/>
      <w:spacing w:val="-4"/>
      <w:kern w:val="2"/>
      <w:sz w:val="18"/>
    </w:rPr>
  </w:style>
  <w:style w:type="character" w:customStyle="1" w:styleId="304">
    <w:name w:val="WW8Num6z8"/>
    <w:qFormat/>
    <w:uiPriority w:val="0"/>
  </w:style>
  <w:style w:type="character" w:customStyle="1" w:styleId="305">
    <w:name w:val="font3"/>
    <w:qFormat/>
    <w:uiPriority w:val="0"/>
  </w:style>
  <w:style w:type="character" w:customStyle="1" w:styleId="306">
    <w:name w:val="WW8Num4z5"/>
    <w:qFormat/>
    <w:uiPriority w:val="0"/>
  </w:style>
  <w:style w:type="character" w:customStyle="1" w:styleId="307">
    <w:name w:val="列表段落 字符"/>
    <w:qFormat/>
    <w:uiPriority w:val="34"/>
    <w:rPr>
      <w:rFonts w:ascii="Calibri" w:hAnsi="Calibri" w:cs="Calibri"/>
      <w:kern w:val="2"/>
      <w:sz w:val="21"/>
      <w:szCs w:val="21"/>
    </w:rPr>
  </w:style>
  <w:style w:type="character" w:customStyle="1" w:styleId="308">
    <w:name w:val="标题 9 字符1"/>
    <w:uiPriority w:val="0"/>
    <w:rPr>
      <w:rFonts w:ascii="Cambria" w:hAnsi="Cambria" w:eastAsia="宋体"/>
      <w:kern w:val="2"/>
      <w:sz w:val="21"/>
      <w:szCs w:val="24"/>
      <w:lang w:val="en-US" w:eastAsia="zh-CN" w:bidi="ar-SA"/>
    </w:rPr>
  </w:style>
  <w:style w:type="character" w:customStyle="1" w:styleId="309">
    <w:name w:val="正文缩进 字符"/>
    <w:qFormat/>
    <w:uiPriority w:val="0"/>
    <w:rPr>
      <w:rFonts w:ascii="宋体"/>
      <w:snapToGrid/>
      <w:color w:val="000000"/>
      <w:kern w:val="28"/>
      <w:sz w:val="28"/>
    </w:rPr>
  </w:style>
  <w:style w:type="character" w:customStyle="1" w:styleId="310">
    <w:name w:val="!我的正文 Ctr+Q Char"/>
    <w:link w:val="311"/>
    <w:qFormat/>
    <w:uiPriority w:val="0"/>
    <w:rPr>
      <w:rFonts w:ascii="仿宋GB2312" w:hAnsi="Arial" w:eastAsia="仿宋_GB2312" w:cs="Times New Roman"/>
      <w:kern w:val="2"/>
      <w:sz w:val="24"/>
      <w:szCs w:val="21"/>
    </w:rPr>
  </w:style>
  <w:style w:type="paragraph" w:customStyle="1" w:styleId="311">
    <w:name w:val="!我的正文 Ctr+Q"/>
    <w:basedOn w:val="1"/>
    <w:link w:val="310"/>
    <w:qFormat/>
    <w:uiPriority w:val="0"/>
    <w:pPr>
      <w:adjustRightInd w:val="0"/>
      <w:snapToGrid w:val="0"/>
      <w:ind w:firstLine="480" w:firstLineChars="200"/>
    </w:pPr>
    <w:rPr>
      <w:rFonts w:ascii="仿宋GB2312" w:hAnsi="Arial" w:eastAsia="仿宋_GB2312"/>
      <w:sz w:val="24"/>
      <w:szCs w:val="21"/>
    </w:rPr>
  </w:style>
  <w:style w:type="character" w:customStyle="1" w:styleId="312">
    <w:name w:val="font101"/>
    <w:qFormat/>
    <w:uiPriority w:val="0"/>
    <w:rPr>
      <w:rFonts w:hint="eastAsia" w:ascii="宋体" w:hAnsi="宋体" w:eastAsia="宋体" w:cs="宋体"/>
      <w:color w:val="000000"/>
      <w:sz w:val="22"/>
      <w:szCs w:val="22"/>
      <w:u w:val="none"/>
    </w:rPr>
  </w:style>
  <w:style w:type="character" w:customStyle="1" w:styleId="313">
    <w:name w:val="标题 字符1"/>
    <w:qFormat/>
    <w:uiPriority w:val="0"/>
    <w:rPr>
      <w:rFonts w:ascii="Cambria" w:hAnsi="Cambria" w:eastAsia="宋体"/>
      <w:b/>
      <w:bCs/>
      <w:kern w:val="2"/>
      <w:sz w:val="32"/>
      <w:szCs w:val="32"/>
      <w:lang w:bidi="ar-SA"/>
    </w:rPr>
  </w:style>
  <w:style w:type="character" w:customStyle="1" w:styleId="314">
    <w:name w:val="一级条标题 Char"/>
    <w:link w:val="315"/>
    <w:uiPriority w:val="0"/>
    <w:rPr>
      <w:rFonts w:ascii="黑体" w:eastAsia="黑体"/>
      <w:kern w:val="2"/>
      <w:sz w:val="21"/>
      <w:szCs w:val="21"/>
      <w:lang w:val="en-US" w:eastAsia="zh-CN" w:bidi="ar-SA"/>
    </w:rPr>
  </w:style>
  <w:style w:type="paragraph" w:customStyle="1" w:styleId="315">
    <w:name w:val="一级条标题"/>
    <w:next w:val="281"/>
    <w:link w:val="314"/>
    <w:uiPriority w:val="0"/>
    <w:pPr>
      <w:numPr>
        <w:ilvl w:val="1"/>
        <w:numId w:val="1"/>
      </w:numPr>
      <w:spacing w:beforeLines="50" w:afterLines="50"/>
      <w:outlineLvl w:val="2"/>
    </w:pPr>
    <w:rPr>
      <w:rFonts w:ascii="黑体" w:eastAsia="黑体"/>
      <w:kern w:val="2"/>
      <w:sz w:val="21"/>
      <w:szCs w:val="21"/>
      <w:lang w:val="en-US" w:eastAsia="zh-CN" w:bidi="ar-SA"/>
    </w:rPr>
  </w:style>
  <w:style w:type="character" w:customStyle="1" w:styleId="316">
    <w:name w:val="WW8Num12z5"/>
    <w:qFormat/>
    <w:uiPriority w:val="0"/>
  </w:style>
  <w:style w:type="character" w:customStyle="1" w:styleId="317">
    <w:name w:val="Char Char51"/>
    <w:qFormat/>
    <w:uiPriority w:val="0"/>
    <w:rPr>
      <w:rFonts w:ascii="Calibri Light" w:hAnsi="Calibri Light" w:eastAsia="宋体" w:cs="Calibri Light"/>
      <w:b/>
      <w:bCs/>
      <w:kern w:val="1"/>
      <w:sz w:val="24"/>
      <w:szCs w:val="24"/>
      <w:lang w:val="en-US" w:eastAsia="ar-SA" w:bidi="ar-SA"/>
    </w:rPr>
  </w:style>
  <w:style w:type="character" w:customStyle="1" w:styleId="318">
    <w:name w:val="hover25"/>
    <w:uiPriority w:val="0"/>
    <w:rPr>
      <w:color w:val="315EFB"/>
    </w:rPr>
  </w:style>
  <w:style w:type="character" w:customStyle="1" w:styleId="319">
    <w:name w:val="批注文字 字符1"/>
    <w:qFormat/>
    <w:uiPriority w:val="0"/>
    <w:rPr>
      <w:kern w:val="2"/>
      <w:sz w:val="21"/>
      <w:szCs w:val="24"/>
    </w:rPr>
  </w:style>
  <w:style w:type="character" w:customStyle="1" w:styleId="320">
    <w:name w:val="font61"/>
    <w:qFormat/>
    <w:uiPriority w:val="0"/>
    <w:rPr>
      <w:rFonts w:hint="eastAsia" w:ascii="宋体" w:hAnsi="宋体" w:eastAsia="宋体" w:cs="宋体"/>
      <w:color w:val="000000"/>
      <w:sz w:val="20"/>
      <w:szCs w:val="20"/>
      <w:u w:val="none"/>
    </w:rPr>
  </w:style>
  <w:style w:type="character" w:customStyle="1" w:styleId="321">
    <w:name w:val="WW8Num2z8"/>
    <w:qFormat/>
    <w:uiPriority w:val="0"/>
  </w:style>
  <w:style w:type="character" w:customStyle="1" w:styleId="322">
    <w:name w:val="脚注文本 字符"/>
    <w:uiPriority w:val="0"/>
    <w:rPr>
      <w:kern w:val="2"/>
      <w:sz w:val="18"/>
      <w:szCs w:val="18"/>
    </w:rPr>
  </w:style>
  <w:style w:type="character" w:customStyle="1" w:styleId="323">
    <w:name w:val="标准正文格式 Char Char"/>
    <w:link w:val="324"/>
    <w:qFormat/>
    <w:uiPriority w:val="0"/>
    <w:rPr>
      <w:rFonts w:ascii="宋体" w:eastAsia="仿宋_GB2312" w:cs="宋体"/>
      <w:color w:val="000000"/>
      <w:sz w:val="24"/>
    </w:rPr>
  </w:style>
  <w:style w:type="paragraph" w:customStyle="1" w:styleId="324">
    <w:name w:val="标准正文格式"/>
    <w:basedOn w:val="1"/>
    <w:link w:val="323"/>
    <w:qFormat/>
    <w:uiPriority w:val="0"/>
    <w:pPr>
      <w:widowControl/>
      <w:adjustRightInd w:val="0"/>
      <w:spacing w:before="60" w:after="120"/>
      <w:ind w:firstLine="200" w:firstLineChars="200"/>
      <w:textAlignment w:val="baseline"/>
    </w:pPr>
    <w:rPr>
      <w:rFonts w:ascii="宋体" w:eastAsia="仿宋_GB2312"/>
      <w:color w:val="000000"/>
      <w:kern w:val="0"/>
      <w:sz w:val="24"/>
    </w:rPr>
  </w:style>
  <w:style w:type="character" w:customStyle="1" w:styleId="325">
    <w:name w:val="表正文 Char1"/>
    <w:aliases w:val="特点 Char2,正文非缩进 Char1,ALT+Z Char1,水上软件 Char1,段1 Char1,正文不缩进 Char1,特点 Char Char1,特点正文 Char1,PI Char1,首行缩进 Char1,正文缩进（首行缩进两字） Char1,四号 Char1,标题四 Char1,缩进 Char1,标题4 Char1,正文双线 Char1,表正文1 Char1,正文非缩进1 Char1,标题41 Char1,四号1 Char1,特点1 Char1,表正文2 Char1"/>
    <w:qFormat/>
    <w:uiPriority w:val="0"/>
    <w:rPr>
      <w:rFonts w:ascii="宋体" w:hAnsi="Courier New" w:eastAsia="宋体"/>
      <w:kern w:val="2"/>
      <w:sz w:val="21"/>
    </w:rPr>
  </w:style>
  <w:style w:type="character" w:customStyle="1" w:styleId="326">
    <w:name w:val="HTML 预设格式 Char1"/>
    <w:qFormat/>
    <w:uiPriority w:val="0"/>
    <w:rPr>
      <w:rFonts w:ascii="Courier New" w:hAnsi="Courier New" w:cs="Courier New"/>
      <w:kern w:val="2"/>
    </w:rPr>
  </w:style>
  <w:style w:type="character" w:customStyle="1" w:styleId="327">
    <w:name w:val="标题 4 Char"/>
    <w:aliases w:val="四级 Char,第三层条 Char,H4 Char1,H4 Char Char,4th level Char Char,Ref Heading 1 Char,rh1 Char,Heading sql Char,sect 1.2.3.4 Char,h4 Char,First Subheading Char,bullet Char,bl Char,bb Char,L4 Char,4th level Char1,h41 Char,h42 Char,h43 Char,h411 Char"/>
    <w:uiPriority w:val="0"/>
    <w:rPr>
      <w:rFonts w:ascii="Times New Roman" w:hAnsi="Times New Roman" w:eastAsia="楷体_GB2312" w:cs="Times New Roman"/>
      <w:sz w:val="24"/>
    </w:rPr>
  </w:style>
  <w:style w:type="character" w:customStyle="1" w:styleId="328">
    <w:name w:val="WW8Num13z7"/>
    <w:qFormat/>
    <w:uiPriority w:val="0"/>
  </w:style>
  <w:style w:type="character" w:customStyle="1" w:styleId="329">
    <w:name w:val="lxs1"/>
    <w:uiPriority w:val="0"/>
    <w:rPr>
      <w:rFonts w:hint="default" w:ascii="ˎ̥" w:hAnsi="ˎ̥"/>
      <w:sz w:val="21"/>
      <w:szCs w:val="21"/>
    </w:rPr>
  </w:style>
  <w:style w:type="character" w:customStyle="1" w:styleId="330">
    <w:name w:val="表正文 Char"/>
    <w:qFormat/>
    <w:uiPriority w:val="0"/>
    <w:rPr>
      <w:rFonts w:eastAsia="宋体"/>
      <w:kern w:val="2"/>
      <w:sz w:val="21"/>
      <w:lang w:val="en-US" w:eastAsia="zh-CN" w:bidi="ar-SA"/>
    </w:rPr>
  </w:style>
  <w:style w:type="character" w:customStyle="1" w:styleId="331">
    <w:name w:val="Char Char61"/>
    <w:qFormat/>
    <w:uiPriority w:val="0"/>
    <w:rPr>
      <w:rFonts w:ascii="Calibri" w:hAnsi="Calibri" w:eastAsia="宋体" w:cs="Calibri"/>
      <w:b/>
      <w:bCs/>
      <w:kern w:val="1"/>
      <w:sz w:val="28"/>
      <w:szCs w:val="28"/>
      <w:lang w:val="en-US" w:eastAsia="ar-SA" w:bidi="ar-SA"/>
    </w:rPr>
  </w:style>
  <w:style w:type="character" w:customStyle="1" w:styleId="332">
    <w:name w:val="正文文本缩进 2 字符"/>
    <w:uiPriority w:val="0"/>
    <w:rPr>
      <w:rFonts w:eastAsia="黑体"/>
      <w:b/>
      <w:bCs/>
      <w:kern w:val="2"/>
      <w:sz w:val="28"/>
    </w:rPr>
  </w:style>
  <w:style w:type="character" w:customStyle="1" w:styleId="333">
    <w:name w:val="段正文 Char Char"/>
    <w:qFormat/>
    <w:uiPriority w:val="0"/>
    <w:rPr>
      <w:sz w:val="24"/>
      <w:lang w:eastAsia="ar-SA" w:bidi="ar-SA"/>
    </w:rPr>
  </w:style>
  <w:style w:type="character" w:customStyle="1" w:styleId="334">
    <w:name w:val="标题 1 Char1"/>
    <w:qFormat/>
    <w:uiPriority w:val="0"/>
    <w:rPr>
      <w:b/>
      <w:sz w:val="30"/>
    </w:rPr>
  </w:style>
  <w:style w:type="character" w:styleId="335">
    <w:name w:val=""/>
    <w:qFormat/>
    <w:uiPriority w:val="19"/>
    <w:rPr>
      <w:i/>
      <w:iCs/>
      <w:color w:val="808080"/>
    </w:rPr>
  </w:style>
  <w:style w:type="character" w:customStyle="1" w:styleId="336">
    <w:name w:val="正文文本缩进 2 Char1"/>
    <w:semiHidden/>
    <w:uiPriority w:val="99"/>
    <w:rPr>
      <w:rFonts w:ascii="Times New Roman" w:hAnsi="Times New Roman"/>
      <w:kern w:val="2"/>
      <w:sz w:val="21"/>
      <w:szCs w:val="24"/>
    </w:rPr>
  </w:style>
  <w:style w:type="character" w:customStyle="1" w:styleId="337">
    <w:name w:val="WW8Num13z5"/>
    <w:qFormat/>
    <w:uiPriority w:val="0"/>
  </w:style>
  <w:style w:type="character" w:customStyle="1" w:styleId="338">
    <w:name w:val="标题 2 字符"/>
    <w:aliases w:val="第*章 字符,h2 字符,sect 1.2 字符,H2 字符,2nd level 字符,2 字符,Header 2 字符,UNDERRUBRIK 1-2 字符,章标题 字符,Heading 2 Hidden 字符,Heading 2 CCBS 字符,heading 2 字符,第一章 标题 2 字符,ISO1 字符,TestHeading2 字符,th2 字符,节 字符,标题 1.1 字符,Underrubrik1 字符,prop2 字符,l2 字符,Chapter Title 字符"/>
    <w:qFormat/>
    <w:uiPriority w:val="0"/>
    <w:rPr>
      <w:rFonts w:ascii="仿宋_GB2312" w:eastAsia="仿宋_GB2312"/>
      <w:b/>
      <w:sz w:val="36"/>
      <w:lang w:val="en-US" w:eastAsia="zh-CN" w:bidi="ar-SA"/>
    </w:rPr>
  </w:style>
  <w:style w:type="character" w:customStyle="1" w:styleId="339">
    <w:name w:val="Char Char31"/>
    <w:qFormat/>
    <w:uiPriority w:val="0"/>
    <w:rPr>
      <w:rFonts w:ascii="Calibri Light" w:hAnsi="Calibri Light" w:eastAsia="宋体" w:cs="Calibri Light"/>
      <w:kern w:val="1"/>
      <w:sz w:val="24"/>
      <w:szCs w:val="24"/>
      <w:lang w:val="en-US" w:eastAsia="ar-SA" w:bidi="ar-SA"/>
    </w:rPr>
  </w:style>
  <w:style w:type="character" w:customStyle="1" w:styleId="340">
    <w:name w:val="16"/>
    <w:uiPriority w:val="0"/>
    <w:rPr>
      <w:rFonts w:hint="default" w:ascii="Times New Roman" w:hAnsi="Times New Roman" w:cs="Times New Roman"/>
      <w:color w:val="0368A8"/>
      <w:sz w:val="20"/>
      <w:szCs w:val="20"/>
      <w:u w:val="none"/>
    </w:rPr>
  </w:style>
  <w:style w:type="character" w:customStyle="1" w:styleId="341">
    <w:name w:val="WW8Num14z0"/>
    <w:qFormat/>
    <w:uiPriority w:val="0"/>
    <w:rPr>
      <w:rFonts w:hint="default" w:ascii="Wingdings" w:hAnsi="Wingdings" w:cs="Wingdings"/>
    </w:rPr>
  </w:style>
  <w:style w:type="character" w:customStyle="1" w:styleId="342">
    <w:name w:val="纯文本 字符"/>
    <w:aliases w:val="普通文字 Char 字符,纯文本 Char Char 字符,Texte 字符,小 字符,普通文字 字符,普通文字1 字符,普通文字2 字符,普通文字3 字符,普通文字4 字符,普通文字5 字符,普通文字6 字符,普通文字11 字符,普通文字21 字符,普通文字31 字符,普通文字41 字符,普通文字7 字符,正 文 1 字符,纯文本 Char Char Char Char Char Char Char Char Char Char Char Char Char 字符,Text 字符"/>
    <w:qFormat/>
    <w:uiPriority w:val="99"/>
    <w:rPr>
      <w:rFonts w:ascii="宋体" w:hAnsi="Courier New" w:eastAsia="宋体"/>
      <w:kern w:val="2"/>
      <w:sz w:val="21"/>
      <w:lang w:val="en-US" w:eastAsia="zh-CN" w:bidi="ar-SA"/>
    </w:rPr>
  </w:style>
  <w:style w:type="character" w:customStyle="1" w:styleId="343">
    <w:name w:val="WW8Num4z6"/>
    <w:qFormat/>
    <w:uiPriority w:val="0"/>
  </w:style>
  <w:style w:type="character" w:customStyle="1" w:styleId="344">
    <w:name w:val="标题 4 字符"/>
    <w:qFormat/>
    <w:uiPriority w:val="0"/>
    <w:rPr>
      <w:sz w:val="24"/>
    </w:rPr>
  </w:style>
  <w:style w:type="character" w:customStyle="1" w:styleId="345">
    <w:name w:val="纯文本 Char2"/>
    <w:aliases w:val="纯文本 Char Char Char2,普通文字 Char Char Char2,Texte Char1,小 Char1,普通文字1 Char1,正 文 1 Char1,0921 Char1,一般文字 字元 Char1,一般文字 字元 字元 字元 字元 Char1,一般文字 字元 字元 字元 字元 字元 字元 字元 字元 Char1,一般文字 字元 字元 字元 字元 字元 字元 字元 Char1"/>
    <w:qFormat/>
    <w:uiPriority w:val="0"/>
    <w:rPr>
      <w:rFonts w:ascii="宋体" w:hAnsi="Courier New" w:eastAsia="宋体"/>
      <w:kern w:val="2"/>
      <w:sz w:val="21"/>
      <w:lang w:val="en-US" w:eastAsia="zh-CN" w:bidi="ar-SA"/>
    </w:rPr>
  </w:style>
  <w:style w:type="character" w:customStyle="1" w:styleId="346">
    <w:name w:val="Char Char81"/>
    <w:qFormat/>
    <w:uiPriority w:val="0"/>
    <w:rPr>
      <w:rFonts w:ascii="仿宋_GB2312" w:hAnsi="仿宋_GB2312" w:eastAsia="仿宋_GB2312" w:cs="宋体"/>
      <w:kern w:val="1"/>
      <w:sz w:val="30"/>
      <w:lang w:val="en-US" w:eastAsia="ar-SA" w:bidi="ar-SA"/>
    </w:rPr>
  </w:style>
  <w:style w:type="character" w:customStyle="1" w:styleId="347">
    <w:name w:val="正文文本 3 字符"/>
    <w:qFormat/>
    <w:uiPriority w:val="0"/>
    <w:rPr>
      <w:rFonts w:ascii="宋体" w:hAnsi="宋体"/>
      <w:b/>
      <w:bCs/>
      <w:kern w:val="2"/>
      <w:sz w:val="36"/>
      <w:szCs w:val="32"/>
    </w:rPr>
  </w:style>
  <w:style w:type="character" w:customStyle="1" w:styleId="348">
    <w:name w:val="正文文本缩进 字符"/>
    <w:aliases w:val="正文文字首行缩进 字符,正文小标题 字符,（较稀疏） 字符,正文内容 字符"/>
    <w:qFormat/>
    <w:uiPriority w:val="0"/>
    <w:rPr>
      <w:rFonts w:ascii="宋体" w:hAnsi="Courier New"/>
      <w:spacing w:val="-4"/>
      <w:kern w:val="2"/>
      <w:sz w:val="18"/>
    </w:rPr>
  </w:style>
  <w:style w:type="character" w:customStyle="1" w:styleId="349">
    <w:name w:val="页脚 Char"/>
    <w:uiPriority w:val="0"/>
    <w:rPr>
      <w:sz w:val="18"/>
      <w:szCs w:val="18"/>
    </w:rPr>
  </w:style>
  <w:style w:type="character" w:customStyle="1" w:styleId="350">
    <w:name w:val="批注框文本 字符"/>
    <w:qFormat/>
    <w:uiPriority w:val="0"/>
    <w:rPr>
      <w:kern w:val="2"/>
      <w:sz w:val="18"/>
      <w:szCs w:val="18"/>
    </w:rPr>
  </w:style>
  <w:style w:type="character" w:customStyle="1" w:styleId="351">
    <w:name w:val="WW8Num8z1"/>
    <w:qFormat/>
    <w:uiPriority w:val="0"/>
  </w:style>
  <w:style w:type="character" w:customStyle="1" w:styleId="352">
    <w:name w:val="标书正文 Char Char"/>
    <w:link w:val="353"/>
    <w:qFormat/>
    <w:uiPriority w:val="0"/>
    <w:rPr>
      <w:color w:val="000000"/>
      <w:kern w:val="2"/>
      <w:sz w:val="24"/>
    </w:rPr>
  </w:style>
  <w:style w:type="paragraph" w:customStyle="1" w:styleId="353">
    <w:name w:val="标书正文"/>
    <w:basedOn w:val="1"/>
    <w:link w:val="352"/>
    <w:qFormat/>
    <w:uiPriority w:val="0"/>
    <w:pPr>
      <w:ind w:firstLine="200" w:firstLineChars="200"/>
      <w:jc w:val="left"/>
    </w:pPr>
    <w:rPr>
      <w:color w:val="000000"/>
      <w:sz w:val="24"/>
    </w:rPr>
  </w:style>
  <w:style w:type="character" w:customStyle="1" w:styleId="354">
    <w:name w:val="hover26"/>
    <w:uiPriority w:val="0"/>
    <w:rPr>
      <w:u w:val="single"/>
    </w:rPr>
  </w:style>
  <w:style w:type="character" w:customStyle="1" w:styleId="355">
    <w:name w:val="Char Char1"/>
    <w:qFormat/>
    <w:locked/>
    <w:uiPriority w:val="0"/>
    <w:rPr>
      <w:rFonts w:ascii="宋体" w:hAnsi="宋体" w:eastAsia="宋体"/>
      <w:kern w:val="2"/>
      <w:sz w:val="28"/>
      <w:szCs w:val="24"/>
      <w:lang w:val="en-US" w:eastAsia="zh-CN" w:bidi="ar-SA"/>
    </w:rPr>
  </w:style>
  <w:style w:type="character" w:customStyle="1" w:styleId="356">
    <w:name w:val="文档结构图 字符"/>
    <w:qFormat/>
    <w:uiPriority w:val="0"/>
    <w:rPr>
      <w:rFonts w:ascii="宋体"/>
      <w:kern w:val="2"/>
      <w:sz w:val="18"/>
      <w:szCs w:val="18"/>
    </w:rPr>
  </w:style>
  <w:style w:type="character" w:customStyle="1" w:styleId="357">
    <w:name w:val="WW8Num8z3"/>
    <w:qFormat/>
    <w:uiPriority w:val="0"/>
  </w:style>
  <w:style w:type="character" w:customStyle="1" w:styleId="358">
    <w:name w:val="标题 8 字符"/>
    <w:qFormat/>
    <w:uiPriority w:val="0"/>
    <w:rPr>
      <w:sz w:val="24"/>
    </w:rPr>
  </w:style>
  <w:style w:type="character" w:customStyle="1" w:styleId="359">
    <w:name w:val="HTML 预设格式 Char"/>
    <w:qFormat/>
    <w:uiPriority w:val="0"/>
    <w:rPr>
      <w:rFonts w:ascii="Arial" w:hAnsi="Arial" w:cs="Arial"/>
      <w:sz w:val="24"/>
      <w:szCs w:val="24"/>
    </w:rPr>
  </w:style>
  <w:style w:type="character" w:customStyle="1" w:styleId="360">
    <w:name w:val="spelle"/>
    <w:uiPriority w:val="0"/>
  </w:style>
  <w:style w:type="character" w:customStyle="1" w:styleId="361">
    <w:name w:val="标题 9 Char"/>
    <w:aliases w:val="ft Char,ft1 Char,table Char,heading 9 Char,t Char,table left Char,tl Char,HF Char,figures Char,9 Char,Appendix Char,Code eg's Char"/>
    <w:uiPriority w:val="0"/>
    <w:rPr>
      <w:rFonts w:ascii="Arial" w:hAnsi="Arial" w:eastAsia="楷体_GB2312" w:cs="Times New Roman"/>
      <w:b/>
      <w:i/>
      <w:kern w:val="0"/>
      <w:sz w:val="18"/>
      <w:szCs w:val="20"/>
      <w:lang w:val="en-US" w:eastAsia="zh-CN"/>
    </w:rPr>
  </w:style>
  <w:style w:type="character" w:customStyle="1" w:styleId="362">
    <w:name w:val="List Paragraph Char"/>
    <w:link w:val="363"/>
    <w:locked/>
    <w:uiPriority w:val="0"/>
    <w:rPr>
      <w:kern w:val="2"/>
      <w:sz w:val="21"/>
      <w:szCs w:val="24"/>
    </w:rPr>
  </w:style>
  <w:style w:type="paragraph" w:customStyle="1" w:styleId="363">
    <w:name w:val="列出段落1"/>
    <w:basedOn w:val="1"/>
    <w:link w:val="362"/>
    <w:qFormat/>
    <w:uiPriority w:val="0"/>
    <w:pPr>
      <w:ind w:firstLine="420" w:firstLineChars="200"/>
    </w:pPr>
    <w:rPr>
      <w:szCs w:val="24"/>
    </w:rPr>
  </w:style>
  <w:style w:type="character" w:customStyle="1" w:styleId="364">
    <w:name w:val="副标题 Char"/>
    <w:qFormat/>
    <w:uiPriority w:val="0"/>
    <w:rPr>
      <w:rFonts w:ascii="Cambria" w:hAnsi="Cambria" w:cs="Times New Roman"/>
      <w:b/>
      <w:bCs/>
      <w:kern w:val="28"/>
      <w:sz w:val="32"/>
      <w:szCs w:val="32"/>
    </w:rPr>
  </w:style>
  <w:style w:type="character" w:customStyle="1" w:styleId="365">
    <w:name w:val="正文文本 3 Char1"/>
    <w:semiHidden/>
    <w:uiPriority w:val="99"/>
    <w:rPr>
      <w:rFonts w:ascii="Times New Roman" w:hAnsi="Times New Roman"/>
      <w:kern w:val="2"/>
      <w:sz w:val="16"/>
      <w:szCs w:val="16"/>
    </w:rPr>
  </w:style>
  <w:style w:type="character" w:customStyle="1" w:styleId="366">
    <w:name w:val="样式 正文缩进 + 首行缩进:  2 字符 Char"/>
    <w:link w:val="367"/>
    <w:qFormat/>
    <w:uiPriority w:val="0"/>
    <w:rPr>
      <w:rFonts w:ascii="Times New Roman" w:hAnsi="Times New Roman"/>
      <w:kern w:val="2"/>
      <w:sz w:val="24"/>
    </w:rPr>
  </w:style>
  <w:style w:type="paragraph" w:customStyle="1" w:styleId="367">
    <w:name w:val="样式 正文缩进 + 首行缩进:  2 字符"/>
    <w:basedOn w:val="15"/>
    <w:link w:val="366"/>
    <w:qFormat/>
    <w:uiPriority w:val="0"/>
    <w:pPr>
      <w:widowControl w:val="0"/>
      <w:spacing w:line="360" w:lineRule="auto"/>
      <w:ind w:firstLine="200" w:firstLineChars="200"/>
    </w:pPr>
    <w:rPr>
      <w:rFonts w:ascii="Times New Roman"/>
      <w:snapToGrid/>
      <w:color w:val="auto"/>
      <w:kern w:val="2"/>
      <w:sz w:val="24"/>
    </w:rPr>
  </w:style>
  <w:style w:type="character" w:customStyle="1" w:styleId="368">
    <w:name w:val="Char Char5"/>
    <w:qFormat/>
    <w:uiPriority w:val="0"/>
    <w:rPr>
      <w:rFonts w:ascii="Calibri Light" w:hAnsi="Calibri Light" w:eastAsia="宋体" w:cs="Calibri Light"/>
      <w:b/>
      <w:bCs/>
      <w:kern w:val="1"/>
      <w:sz w:val="24"/>
      <w:szCs w:val="24"/>
      <w:lang w:val="en-US" w:eastAsia="ar-SA" w:bidi="ar-SA"/>
    </w:rPr>
  </w:style>
  <w:style w:type="character" w:customStyle="1" w:styleId="369">
    <w:name w:val="WW8Num6z2"/>
    <w:qFormat/>
    <w:uiPriority w:val="0"/>
  </w:style>
  <w:style w:type="character" w:customStyle="1" w:styleId="370">
    <w:name w:val="WW8Num9z6"/>
    <w:qFormat/>
    <w:uiPriority w:val="0"/>
  </w:style>
  <w:style w:type="character" w:customStyle="1" w:styleId="371">
    <w:name w:val="WW8Num9z8"/>
    <w:qFormat/>
    <w:uiPriority w:val="0"/>
  </w:style>
  <w:style w:type="character" w:customStyle="1" w:styleId="372">
    <w:name w:val="WW8Num8z2"/>
    <w:qFormat/>
    <w:uiPriority w:val="0"/>
  </w:style>
  <w:style w:type="character" w:customStyle="1" w:styleId="373">
    <w:name w:val="Char Char91"/>
    <w:qFormat/>
    <w:uiPriority w:val="0"/>
    <w:rPr>
      <w:rFonts w:ascii="Arial" w:hAnsi="Arial" w:eastAsia="黑体" w:cs="Arial"/>
      <w:b/>
      <w:bCs/>
      <w:kern w:val="1"/>
      <w:sz w:val="32"/>
      <w:szCs w:val="32"/>
      <w:lang w:val="en-US" w:eastAsia="ar-SA" w:bidi="ar-SA"/>
    </w:rPr>
  </w:style>
  <w:style w:type="character" w:customStyle="1" w:styleId="374">
    <w:name w:val="WW8Num4z2"/>
    <w:qFormat/>
    <w:uiPriority w:val="0"/>
  </w:style>
  <w:style w:type="character" w:customStyle="1" w:styleId="375">
    <w:name w:val="WW8Num6z5"/>
    <w:qFormat/>
    <w:uiPriority w:val="0"/>
  </w:style>
  <w:style w:type="character" w:customStyle="1" w:styleId="376">
    <w:name w:val="标题 5 字符1"/>
    <w:qFormat/>
    <w:uiPriority w:val="9"/>
    <w:rPr>
      <w:rFonts w:ascii="Calibri" w:hAnsi="Calibri" w:eastAsia="宋体"/>
      <w:b/>
      <w:bCs/>
      <w:kern w:val="2"/>
      <w:sz w:val="28"/>
      <w:szCs w:val="28"/>
      <w:lang w:val="en-US" w:eastAsia="zh-CN" w:bidi="ar-SA"/>
    </w:rPr>
  </w:style>
  <w:style w:type="character" w:customStyle="1" w:styleId="377">
    <w:name w:val="批注框文本 字符1"/>
    <w:qFormat/>
    <w:uiPriority w:val="99"/>
    <w:rPr>
      <w:rFonts w:eastAsia="宋体"/>
      <w:kern w:val="2"/>
      <w:sz w:val="18"/>
      <w:szCs w:val="18"/>
      <w:lang w:val="en-US" w:eastAsia="zh-CN" w:bidi="ar-SA"/>
    </w:rPr>
  </w:style>
  <w:style w:type="character" w:customStyle="1" w:styleId="378">
    <w:name w:val="纯文本 Char"/>
    <w:aliases w:val="普通文字 Char Char4,纯文本 Char Char Char3,普通文字 Char4,小 Char2,正 文 1 Char2,0921 Char2,普通文字1 Char2,普通文字2 Char1,普通文字31 Char,普通文字41 Char,普通文字7 Char,纯文本 Char Char Char,普通文字 Char Char Char Char,普通文字 Char2,0921 Char,普通文字3 Char1,普通文字4 Char1,普通文字5 Char1"/>
    <w:qFormat/>
    <w:uiPriority w:val="99"/>
    <w:rPr>
      <w:rFonts w:ascii="宋体" w:hAnsi="Courier New" w:eastAsia="宋体"/>
      <w:kern w:val="2"/>
      <w:sz w:val="21"/>
      <w:lang w:val="en-US" w:eastAsia="zh-CN" w:bidi="ar-SA"/>
    </w:rPr>
  </w:style>
  <w:style w:type="character" w:customStyle="1" w:styleId="379">
    <w:name w:val="正文文本 Char1"/>
    <w:qFormat/>
    <w:uiPriority w:val="0"/>
    <w:rPr>
      <w:kern w:val="2"/>
      <w:sz w:val="28"/>
      <w:szCs w:val="24"/>
    </w:rPr>
  </w:style>
  <w:style w:type="character" w:customStyle="1" w:styleId="380">
    <w:name w:val="正文文本 2 字符"/>
    <w:qFormat/>
    <w:uiPriority w:val="0"/>
    <w:rPr>
      <w:b/>
      <w:kern w:val="2"/>
      <w:sz w:val="72"/>
    </w:rPr>
  </w:style>
  <w:style w:type="character" w:customStyle="1" w:styleId="381">
    <w:name w:val="WW8Num6z3"/>
    <w:qFormat/>
    <w:uiPriority w:val="0"/>
  </w:style>
  <w:style w:type="character" w:customStyle="1" w:styleId="382">
    <w:name w:val="页眉 字符"/>
    <w:qFormat/>
    <w:uiPriority w:val="0"/>
    <w:rPr>
      <w:kern w:val="2"/>
      <w:sz w:val="18"/>
    </w:rPr>
  </w:style>
  <w:style w:type="character" w:customStyle="1" w:styleId="383">
    <w:name w:val="WW8Num2z5"/>
    <w:qFormat/>
    <w:uiPriority w:val="0"/>
  </w:style>
  <w:style w:type="character" w:customStyle="1" w:styleId="384">
    <w:name w:val="WW8Num8z0"/>
    <w:qFormat/>
    <w:uiPriority w:val="0"/>
    <w:rPr>
      <w:rFonts w:hint="default" w:ascii="宋体" w:hAnsi="宋体" w:cs="宋体"/>
    </w:rPr>
  </w:style>
  <w:style w:type="character" w:customStyle="1" w:styleId="385">
    <w:name w:val="apple-converted-space"/>
    <w:qFormat/>
    <w:uiPriority w:val="0"/>
  </w:style>
  <w:style w:type="character" w:customStyle="1" w:styleId="386">
    <w:name w:val="副标题 字符"/>
    <w:qFormat/>
    <w:uiPriority w:val="0"/>
    <w:rPr>
      <w:rFonts w:ascii="Cambria" w:hAnsi="Cambria"/>
      <w:b/>
      <w:bCs/>
      <w:kern w:val="28"/>
      <w:sz w:val="32"/>
      <w:szCs w:val="32"/>
    </w:rPr>
  </w:style>
  <w:style w:type="character" w:customStyle="1" w:styleId="387">
    <w:name w:val="Char Char11"/>
    <w:qFormat/>
    <w:uiPriority w:val="0"/>
    <w:rPr>
      <w:kern w:val="1"/>
      <w:sz w:val="21"/>
      <w:szCs w:val="24"/>
    </w:rPr>
  </w:style>
  <w:style w:type="character" w:customStyle="1" w:styleId="388">
    <w:name w:val="未处理的提及1"/>
    <w:unhideWhenUsed/>
    <w:uiPriority w:val="99"/>
    <w:rPr>
      <w:color w:val="605E5C"/>
      <w:shd w:val="clear" w:color="auto" w:fill="E1DFDD"/>
    </w:rPr>
  </w:style>
  <w:style w:type="character" w:customStyle="1" w:styleId="389">
    <w:name w:val="文档结构图 字符1"/>
    <w:qFormat/>
    <w:uiPriority w:val="0"/>
    <w:rPr>
      <w:rFonts w:eastAsia="宋体"/>
      <w:kern w:val="2"/>
      <w:sz w:val="21"/>
      <w:szCs w:val="24"/>
      <w:lang w:val="en-US" w:eastAsia="zh-CN" w:bidi="ar-SA"/>
    </w:rPr>
  </w:style>
  <w:style w:type="character" w:customStyle="1" w:styleId="390">
    <w:name w:val="WW8Num13z6"/>
    <w:qFormat/>
    <w:uiPriority w:val="0"/>
  </w:style>
  <w:style w:type="character" w:customStyle="1" w:styleId="391">
    <w:name w:val="标题 9 字符"/>
    <w:qFormat/>
    <w:uiPriority w:val="0"/>
    <w:rPr>
      <w:sz w:val="24"/>
    </w:rPr>
  </w:style>
  <w:style w:type="character" w:customStyle="1" w:styleId="392">
    <w:name w:val="WW8Num6z0"/>
    <w:qFormat/>
    <w:uiPriority w:val="0"/>
  </w:style>
  <w:style w:type="character" w:customStyle="1" w:styleId="393">
    <w:name w:val="font141"/>
    <w:qFormat/>
    <w:uiPriority w:val="0"/>
    <w:rPr>
      <w:rFonts w:hint="eastAsia" w:ascii="宋体" w:hAnsi="宋体" w:eastAsia="宋体" w:cs="宋体"/>
      <w:color w:val="000000"/>
      <w:sz w:val="20"/>
      <w:szCs w:val="20"/>
      <w:u w:val="none"/>
    </w:rPr>
  </w:style>
  <w:style w:type="character" w:customStyle="1" w:styleId="394">
    <w:name w:val="批注主题 字符2"/>
    <w:qFormat/>
    <w:uiPriority w:val="0"/>
    <w:rPr>
      <w:rFonts w:eastAsia="宋体"/>
      <w:b/>
      <w:bCs/>
      <w:kern w:val="2"/>
      <w:sz w:val="21"/>
      <w:szCs w:val="24"/>
      <w:lang w:val="en-US" w:eastAsia="zh-CN" w:bidi="ar-SA"/>
    </w:rPr>
  </w:style>
  <w:style w:type="character" w:customStyle="1" w:styleId="395">
    <w:name w:val="Char Char43"/>
    <w:uiPriority w:val="0"/>
    <w:rPr>
      <w:rFonts w:ascii="Calibri" w:hAnsi="Calibri" w:eastAsia="宋体" w:cs="Calibri"/>
      <w:b/>
      <w:bCs/>
      <w:kern w:val="1"/>
      <w:sz w:val="24"/>
      <w:szCs w:val="24"/>
      <w:lang w:val="en-US" w:eastAsia="ar-SA" w:bidi="ar-SA"/>
    </w:rPr>
  </w:style>
  <w:style w:type="character" w:customStyle="1" w:styleId="396">
    <w:name w:val="WW8Num11z6"/>
    <w:qFormat/>
    <w:uiPriority w:val="0"/>
  </w:style>
  <w:style w:type="character" w:customStyle="1" w:styleId="397">
    <w:name w:val="WW8Num16z6"/>
    <w:qFormat/>
    <w:uiPriority w:val="0"/>
  </w:style>
  <w:style w:type="character" w:customStyle="1" w:styleId="398">
    <w:name w:val="WW8Num5z1"/>
    <w:qFormat/>
    <w:uiPriority w:val="0"/>
  </w:style>
  <w:style w:type="character" w:customStyle="1" w:styleId="399">
    <w:name w:val="批注文字 Char3"/>
    <w:semiHidden/>
    <w:uiPriority w:val="99"/>
    <w:rPr>
      <w:rFonts w:ascii="Times New Roman" w:hAnsi="Times New Roman"/>
      <w:kern w:val="2"/>
      <w:sz w:val="21"/>
      <w:szCs w:val="24"/>
    </w:rPr>
  </w:style>
  <w:style w:type="character" w:customStyle="1" w:styleId="400">
    <w:name w:val="WW8Num5z6"/>
    <w:qFormat/>
    <w:uiPriority w:val="0"/>
  </w:style>
  <w:style w:type="character" w:customStyle="1" w:styleId="401">
    <w:name w:val="正文文本 Char"/>
    <w:qFormat/>
    <w:uiPriority w:val="99"/>
    <w:rPr>
      <w:kern w:val="2"/>
      <w:sz w:val="21"/>
      <w:szCs w:val="22"/>
    </w:rPr>
  </w:style>
  <w:style w:type="character" w:customStyle="1" w:styleId="402">
    <w:name w:val="WW8Num12z0"/>
    <w:qFormat/>
    <w:uiPriority w:val="0"/>
  </w:style>
  <w:style w:type="character" w:customStyle="1" w:styleId="403">
    <w:name w:val="页脚 字符1"/>
    <w:qFormat/>
    <w:uiPriority w:val="99"/>
    <w:rPr>
      <w:rFonts w:eastAsia="宋体"/>
      <w:kern w:val="2"/>
      <w:sz w:val="18"/>
      <w:szCs w:val="18"/>
      <w:lang w:val="en-US" w:eastAsia="zh-CN" w:bidi="ar-SA"/>
    </w:rPr>
  </w:style>
  <w:style w:type="character" w:customStyle="1" w:styleId="404">
    <w:name w:val="引用 字符"/>
    <w:link w:val="405"/>
    <w:uiPriority w:val="29"/>
    <w:rPr>
      <w:rFonts w:ascii="Times New Roman" w:hAnsi="Times New Roman"/>
      <w:i/>
      <w:iCs/>
      <w:color w:val="000000"/>
      <w:kern w:val="2"/>
      <w:sz w:val="21"/>
      <w:szCs w:val="24"/>
    </w:rPr>
  </w:style>
  <w:style w:type="paragraph" w:styleId="405">
    <w:name w:val="Quote"/>
    <w:basedOn w:val="1"/>
    <w:next w:val="1"/>
    <w:link w:val="404"/>
    <w:qFormat/>
    <w:uiPriority w:val="29"/>
    <w:pPr>
      <w:spacing w:line="240" w:lineRule="auto"/>
    </w:pPr>
    <w:rPr>
      <w:i/>
      <w:iCs/>
      <w:color w:val="000000"/>
      <w:szCs w:val="24"/>
    </w:rPr>
  </w:style>
  <w:style w:type="character" w:customStyle="1" w:styleId="406">
    <w:name w:val="正文文本 2 Char2"/>
    <w:qFormat/>
    <w:uiPriority w:val="99"/>
    <w:rPr>
      <w:b/>
      <w:kern w:val="2"/>
      <w:sz w:val="72"/>
    </w:rPr>
  </w:style>
  <w:style w:type="character" w:customStyle="1" w:styleId="407">
    <w:name w:val="WW8Num8z4"/>
    <w:qFormat/>
    <w:uiPriority w:val="0"/>
  </w:style>
  <w:style w:type="character" w:customStyle="1" w:styleId="408">
    <w:name w:val="标题 1 Char Char"/>
    <w:qFormat/>
    <w:uiPriority w:val="0"/>
    <w:rPr>
      <w:rFonts w:eastAsia="宋体"/>
      <w:b/>
      <w:spacing w:val="-2"/>
      <w:sz w:val="24"/>
      <w:lang w:val="en-US" w:eastAsia="zh-CN" w:bidi="ar-SA"/>
    </w:rPr>
  </w:style>
  <w:style w:type="character" w:customStyle="1" w:styleId="409">
    <w:name w:val="标题 3 Char"/>
    <w:aliases w:val="三级 Char,Heading 3 - old Char,h3 Char,3rd level Char,3 Char,标题 3 Char1 Char,标题 3 Char Char Char,h3 Char Char Char,BOD 0 Char Char Char,H3 Char Char Char,l3 C... Char,BOD 0 Char,H3 Char,l3 Char,CT Char,Level 3 Head Char,Titre3 Char,list 3 Char"/>
    <w:uiPriority w:val="0"/>
    <w:rPr>
      <w:rFonts w:ascii="Times New Roman" w:hAnsi="Times New Roman" w:eastAsia="楷体_GB2312" w:cs="黑体"/>
      <w:sz w:val="24"/>
    </w:rPr>
  </w:style>
  <w:style w:type="character" w:customStyle="1" w:styleId="410">
    <w:name w:val="正文首行缩进 Char1"/>
    <w:semiHidden/>
    <w:uiPriority w:val="99"/>
    <w:rPr>
      <w:rFonts w:ascii="Times New Roman" w:hAnsi="Times New Roman"/>
      <w:kern w:val="2"/>
      <w:sz w:val="21"/>
      <w:szCs w:val="24"/>
    </w:rPr>
  </w:style>
  <w:style w:type="character" w:customStyle="1" w:styleId="411">
    <w:name w:val="无间隔 Char"/>
    <w:link w:val="412"/>
    <w:uiPriority w:val="0"/>
    <w:rPr>
      <w:rFonts w:ascii="等线" w:hAnsi="等线" w:eastAsia="等线"/>
      <w:kern w:val="2"/>
      <w:sz w:val="21"/>
      <w:szCs w:val="21"/>
    </w:rPr>
  </w:style>
  <w:style w:type="paragraph" w:customStyle="1" w:styleId="412">
    <w:name w:val="无间隔1"/>
    <w:basedOn w:val="1"/>
    <w:link w:val="411"/>
    <w:qFormat/>
    <w:uiPriority w:val="0"/>
    <w:rPr>
      <w:rFonts w:ascii="等线" w:hAnsi="等线" w:eastAsia="等线"/>
      <w:szCs w:val="21"/>
    </w:rPr>
  </w:style>
  <w:style w:type="character" w:customStyle="1" w:styleId="413">
    <w:name w:val="正文缩进 Char1"/>
    <w:qFormat/>
    <w:uiPriority w:val="0"/>
    <w:rPr>
      <w:rFonts w:eastAsia="宋体"/>
      <w:kern w:val="2"/>
      <w:sz w:val="21"/>
      <w:lang w:val="en-US" w:eastAsia="zh-CN" w:bidi="ar-SA"/>
    </w:rPr>
  </w:style>
  <w:style w:type="character" w:customStyle="1" w:styleId="414">
    <w:name w:val="样式1 Char Char"/>
    <w:link w:val="415"/>
    <w:qFormat/>
    <w:uiPriority w:val="0"/>
    <w:rPr>
      <w:rFonts w:ascii="Arial" w:hAnsi="Arial"/>
      <w:kern w:val="2"/>
      <w:sz w:val="21"/>
      <w:szCs w:val="24"/>
    </w:rPr>
  </w:style>
  <w:style w:type="paragraph" w:customStyle="1" w:styleId="415">
    <w:name w:val="样式1"/>
    <w:basedOn w:val="1"/>
    <w:link w:val="414"/>
    <w:qFormat/>
    <w:uiPriority w:val="0"/>
    <w:pPr>
      <w:spacing w:line="360" w:lineRule="exact"/>
      <w:ind w:firstLine="200" w:firstLineChars="200"/>
    </w:pPr>
    <w:rPr>
      <w:rFonts w:ascii="Arial" w:hAnsi="Arial"/>
      <w:szCs w:val="24"/>
    </w:rPr>
  </w:style>
  <w:style w:type="character" w:customStyle="1" w:styleId="416">
    <w:name w:val="c-icon30"/>
    <w:uiPriority w:val="0"/>
  </w:style>
  <w:style w:type="character" w:customStyle="1" w:styleId="417">
    <w:name w:val="c121"/>
    <w:uiPriority w:val="0"/>
    <w:rPr>
      <w:color w:val="0258B7"/>
      <w:sz w:val="24"/>
      <w:szCs w:val="24"/>
    </w:rPr>
  </w:style>
  <w:style w:type="character" w:customStyle="1" w:styleId="418">
    <w:name w:val="WW8Num8z7"/>
    <w:qFormat/>
    <w:uiPriority w:val="0"/>
  </w:style>
  <w:style w:type="character" w:customStyle="1" w:styleId="419">
    <w:name w:val="WW8Num12z6"/>
    <w:qFormat/>
    <w:uiPriority w:val="0"/>
  </w:style>
  <w:style w:type="character" w:styleId="420">
    <w:name w:val=""/>
    <w:qFormat/>
    <w:uiPriority w:val="31"/>
    <w:rPr>
      <w:smallCaps/>
      <w:color w:val="C0504D"/>
      <w:u w:val="single"/>
    </w:rPr>
  </w:style>
  <w:style w:type="character" w:customStyle="1" w:styleId="421">
    <w:name w:val="WW8Num6z6"/>
    <w:qFormat/>
    <w:uiPriority w:val="0"/>
  </w:style>
  <w:style w:type="character" w:customStyle="1" w:styleId="422">
    <w:name w:val="Char Char15"/>
    <w:qFormat/>
    <w:uiPriority w:val="0"/>
    <w:rPr>
      <w:rFonts w:eastAsia="黑体"/>
      <w:kern w:val="1"/>
      <w:sz w:val="18"/>
      <w:szCs w:val="18"/>
      <w:lang w:val="en-US" w:eastAsia="ar-SA" w:bidi="ar-SA"/>
    </w:rPr>
  </w:style>
  <w:style w:type="character" w:customStyle="1" w:styleId="423">
    <w:name w:val="font41"/>
    <w:qFormat/>
    <w:uiPriority w:val="0"/>
    <w:rPr>
      <w:rFonts w:hint="eastAsia" w:ascii="宋体" w:hAnsi="宋体" w:eastAsia="宋体" w:cs="宋体"/>
      <w:color w:val="000000"/>
      <w:sz w:val="18"/>
      <w:szCs w:val="18"/>
      <w:u w:val="none"/>
    </w:rPr>
  </w:style>
  <w:style w:type="character" w:customStyle="1" w:styleId="424">
    <w:name w:val="标题 8 字符1"/>
    <w:uiPriority w:val="0"/>
    <w:rPr>
      <w:rFonts w:ascii="Cambria" w:hAnsi="Cambria" w:eastAsia="宋体"/>
      <w:kern w:val="2"/>
      <w:sz w:val="24"/>
      <w:szCs w:val="24"/>
      <w:lang w:val="en-US" w:eastAsia="zh-CN" w:bidi="ar-SA"/>
    </w:rPr>
  </w:style>
  <w:style w:type="character" w:customStyle="1" w:styleId="425">
    <w:name w:val="正文文本首行缩进 2 字符1"/>
    <w:semiHidden/>
    <w:uiPriority w:val="0"/>
    <w:rPr>
      <w:rFonts w:eastAsia="宋体"/>
      <w:kern w:val="2"/>
      <w:sz w:val="21"/>
      <w:szCs w:val="24"/>
      <w:lang w:val="en-US" w:eastAsia="zh-CN" w:bidi="ar-SA"/>
    </w:rPr>
  </w:style>
  <w:style w:type="character" w:customStyle="1" w:styleId="426">
    <w:name w:val="WW8Num6z7"/>
    <w:qFormat/>
    <w:uiPriority w:val="0"/>
  </w:style>
  <w:style w:type="character" w:customStyle="1" w:styleId="427">
    <w:name w:val="WW8Num4z3"/>
    <w:qFormat/>
    <w:uiPriority w:val="0"/>
  </w:style>
  <w:style w:type="character" w:customStyle="1" w:styleId="428">
    <w:name w:val="WW8Num9z5"/>
    <w:qFormat/>
    <w:uiPriority w:val="0"/>
  </w:style>
  <w:style w:type="character" w:customStyle="1" w:styleId="429">
    <w:name w:val="正文文本 (2)_"/>
    <w:link w:val="430"/>
    <w:qFormat/>
    <w:uiPriority w:val="0"/>
    <w:rPr>
      <w:rFonts w:ascii="宋体" w:hAnsi="宋体" w:cs="宋体"/>
      <w:color w:val="000000"/>
      <w:shd w:val="clear" w:color="auto" w:fill="FFFFFF"/>
      <w:lang w:val="zh-CN" w:bidi="zh-CN"/>
    </w:rPr>
  </w:style>
  <w:style w:type="paragraph" w:customStyle="1" w:styleId="430">
    <w:name w:val="正文文本 (2)3"/>
    <w:basedOn w:val="1"/>
    <w:link w:val="429"/>
    <w:qFormat/>
    <w:uiPriority w:val="0"/>
    <w:pPr>
      <w:shd w:val="clear" w:color="auto" w:fill="FFFFFF"/>
      <w:spacing w:before="660" w:line="0" w:lineRule="atLeast"/>
      <w:ind w:hanging="420"/>
      <w:jc w:val="distribute"/>
    </w:pPr>
    <w:rPr>
      <w:rFonts w:ascii="宋体" w:hAnsi="宋体" w:cs="宋体"/>
      <w:color w:val="000000"/>
      <w:kern w:val="0"/>
      <w:sz w:val="20"/>
      <w:lang w:val="zh-CN" w:bidi="zh-CN"/>
    </w:rPr>
  </w:style>
  <w:style w:type="character" w:customStyle="1" w:styleId="431">
    <w:name w:val="批注文字 Char"/>
    <w:uiPriority w:val="0"/>
    <w:rPr>
      <w:kern w:val="2"/>
      <w:sz w:val="21"/>
      <w:szCs w:val="22"/>
    </w:rPr>
  </w:style>
  <w:style w:type="character" w:customStyle="1" w:styleId="432">
    <w:name w:val="Comment Text Char"/>
    <w:qFormat/>
    <w:uiPriority w:val="0"/>
    <w:rPr>
      <w:kern w:val="2"/>
      <w:sz w:val="22"/>
    </w:rPr>
  </w:style>
  <w:style w:type="character" w:customStyle="1" w:styleId="433">
    <w:name w:val="标题 6 字符1"/>
    <w:qFormat/>
    <w:uiPriority w:val="0"/>
    <w:rPr>
      <w:rFonts w:ascii="Cambria" w:hAnsi="Cambria" w:eastAsia="宋体"/>
      <w:b/>
      <w:bCs/>
      <w:kern w:val="2"/>
      <w:sz w:val="24"/>
      <w:szCs w:val="24"/>
      <w:lang w:val="en-US" w:eastAsia="zh-CN" w:bidi="ar-SA"/>
    </w:rPr>
  </w:style>
  <w:style w:type="character" w:customStyle="1" w:styleId="434">
    <w:name w:val="WW8Num5z2"/>
    <w:qFormat/>
    <w:uiPriority w:val="0"/>
  </w:style>
  <w:style w:type="character" w:customStyle="1" w:styleId="435">
    <w:name w:val="WW8Num3z0"/>
    <w:qFormat/>
    <w:uiPriority w:val="0"/>
    <w:rPr>
      <w:rFonts w:hint="eastAsia"/>
    </w:rPr>
  </w:style>
  <w:style w:type="character" w:customStyle="1" w:styleId="436">
    <w:name w:val="正文文本首行缩进 字符"/>
    <w:qFormat/>
    <w:uiPriority w:val="0"/>
    <w:rPr>
      <w:rFonts w:ascii="宋体" w:hAnsi="宋体"/>
      <w:kern w:val="2"/>
      <w:sz w:val="21"/>
    </w:rPr>
  </w:style>
  <w:style w:type="character" w:customStyle="1" w:styleId="437">
    <w:name w:val="批注文字 字符"/>
    <w:qFormat/>
    <w:uiPriority w:val="99"/>
    <w:rPr>
      <w:kern w:val="2"/>
      <w:sz w:val="21"/>
      <w:szCs w:val="24"/>
    </w:rPr>
  </w:style>
  <w:style w:type="character" w:customStyle="1" w:styleId="438">
    <w:name w:val="纯文本 Char1"/>
    <w:aliases w:val="普通文字 Char Char1,纯文本 Char1 Char Char Char,纯文本 Char Char Char Char Char,纯文本 Char Char1 Char,纯文本 Char1 Char Char1,纯文本 Char Char Char Char1,普通文字 Char1,纯文本 Char Char Char1,纯文本 Char Char2,普通文字 Char Char Char1,普通文字1 Char,普通文字2 Char,普通文字3 Char,小 Char"/>
    <w:qFormat/>
    <w:uiPriority w:val="0"/>
    <w:rPr>
      <w:rFonts w:ascii="宋体" w:hAnsi="Courier New" w:eastAsia="宋体"/>
      <w:kern w:val="2"/>
      <w:sz w:val="21"/>
      <w:lang w:val="en-US" w:eastAsia="zh-CN" w:bidi="ar-SA"/>
    </w:rPr>
  </w:style>
  <w:style w:type="character" w:customStyle="1" w:styleId="439">
    <w:name w:val="Char Char2"/>
    <w:qFormat/>
    <w:uiPriority w:val="0"/>
    <w:rPr>
      <w:rFonts w:ascii="宋体" w:hAnsi="Courier New" w:eastAsia="楷体_GB2312"/>
      <w:kern w:val="2"/>
      <w:sz w:val="26"/>
      <w:lang w:val="en-US" w:eastAsia="zh-CN" w:bidi="ar-SA"/>
    </w:rPr>
  </w:style>
  <w:style w:type="character" w:customStyle="1" w:styleId="440">
    <w:name w:val="方案正文-样式 小四 行距: 1.5 倍行距 Char Char"/>
    <w:link w:val="441"/>
    <w:uiPriority w:val="0"/>
    <w:rPr>
      <w:kern w:val="2"/>
      <w:sz w:val="24"/>
    </w:rPr>
  </w:style>
  <w:style w:type="paragraph" w:customStyle="1" w:styleId="441">
    <w:name w:val="方案正文-样式 小四 行距: 1.5 倍行距"/>
    <w:basedOn w:val="1"/>
    <w:link w:val="440"/>
    <w:uiPriority w:val="0"/>
    <w:pPr>
      <w:ind w:firstLine="480" w:firstLineChars="200"/>
    </w:pPr>
    <w:rPr>
      <w:sz w:val="24"/>
    </w:rPr>
  </w:style>
  <w:style w:type="character" w:customStyle="1" w:styleId="442">
    <w:name w:val="正文段 Char"/>
    <w:link w:val="443"/>
    <w:qFormat/>
    <w:uiPriority w:val="0"/>
    <w:rPr>
      <w:sz w:val="24"/>
    </w:rPr>
  </w:style>
  <w:style w:type="paragraph" w:customStyle="1" w:styleId="443">
    <w:name w:val="正文段"/>
    <w:basedOn w:val="1"/>
    <w:link w:val="442"/>
    <w:qFormat/>
    <w:uiPriority w:val="0"/>
    <w:pPr>
      <w:widowControl/>
      <w:snapToGrid w:val="0"/>
      <w:spacing w:afterLines="50"/>
      <w:ind w:firstLine="200" w:firstLineChars="200"/>
    </w:pPr>
    <w:rPr>
      <w:kern w:val="0"/>
      <w:sz w:val="24"/>
    </w:rPr>
  </w:style>
  <w:style w:type="character" w:customStyle="1" w:styleId="444">
    <w:name w:val="访问过的超链接1"/>
    <w:qFormat/>
    <w:uiPriority w:val="0"/>
    <w:rPr>
      <w:color w:val="800080"/>
      <w:u w:val="single"/>
    </w:rPr>
  </w:style>
  <w:style w:type="character" w:customStyle="1" w:styleId="445">
    <w:name w:val="正文文本缩进 字符2"/>
    <w:uiPriority w:val="0"/>
    <w:rPr>
      <w:rFonts w:ascii="宋体" w:hAnsi="Courier New" w:eastAsia="宋体"/>
      <w:spacing w:val="-4"/>
      <w:kern w:val="2"/>
      <w:sz w:val="18"/>
      <w:lang w:val="en-US" w:eastAsia="zh-CN" w:bidi="ar-SA"/>
    </w:rPr>
  </w:style>
  <w:style w:type="character" w:customStyle="1" w:styleId="446">
    <w:name w:val="Char Char32"/>
    <w:qFormat/>
    <w:uiPriority w:val="0"/>
    <w:rPr>
      <w:rFonts w:hint="eastAsia" w:ascii="宋体" w:hAnsi="Courier New" w:eastAsia="楷体_GB2312"/>
      <w:kern w:val="2"/>
      <w:sz w:val="26"/>
      <w:lang w:val="en-US" w:eastAsia="zh-CN" w:bidi="ar-SA"/>
    </w:rPr>
  </w:style>
  <w:style w:type="character" w:customStyle="1" w:styleId="447">
    <w:name w:val="脚注文本 Char1"/>
    <w:semiHidden/>
    <w:uiPriority w:val="0"/>
    <w:rPr>
      <w:kern w:val="2"/>
      <w:sz w:val="18"/>
      <w:szCs w:val="18"/>
    </w:rPr>
  </w:style>
  <w:style w:type="character" w:customStyle="1" w:styleId="448">
    <w:name w:val="日期 字符"/>
    <w:qFormat/>
    <w:uiPriority w:val="0"/>
    <w:rPr>
      <w:rFonts w:eastAsia="楷体_GB2312"/>
      <w:kern w:val="2"/>
      <w:sz w:val="32"/>
    </w:rPr>
  </w:style>
  <w:style w:type="character" w:customStyle="1" w:styleId="449">
    <w:name w:val="Char Char8"/>
    <w:qFormat/>
    <w:uiPriority w:val="0"/>
    <w:rPr>
      <w:rFonts w:ascii="仿宋_GB2312" w:hAnsi="仿宋_GB2312" w:eastAsia="仿宋_GB2312" w:cs="宋体"/>
      <w:kern w:val="1"/>
      <w:sz w:val="30"/>
      <w:lang w:val="en-US" w:eastAsia="ar-SA" w:bidi="ar-SA"/>
    </w:rPr>
  </w:style>
  <w:style w:type="character" w:styleId="450">
    <w:name w:val=""/>
    <w:unhideWhenUsed/>
    <w:uiPriority w:val="99"/>
    <w:rPr>
      <w:color w:val="605E5C"/>
      <w:shd w:val="clear" w:color="auto" w:fill="E1DFDD"/>
    </w:rPr>
  </w:style>
  <w:style w:type="character" w:customStyle="1" w:styleId="451">
    <w:name w:val="WW8Num13z4"/>
    <w:qFormat/>
    <w:uiPriority w:val="0"/>
  </w:style>
  <w:style w:type="character" w:customStyle="1" w:styleId="452">
    <w:name w:val="WW8Num4z1"/>
    <w:qFormat/>
    <w:uiPriority w:val="0"/>
  </w:style>
  <w:style w:type="character" w:customStyle="1" w:styleId="453">
    <w:name w:val="页脚 字符"/>
    <w:qFormat/>
    <w:uiPriority w:val="99"/>
    <w:rPr>
      <w:kern w:val="2"/>
      <w:sz w:val="18"/>
      <w:szCs w:val="18"/>
    </w:rPr>
  </w:style>
  <w:style w:type="character" w:customStyle="1" w:styleId="454">
    <w:name w:val="Char Char3"/>
    <w:qFormat/>
    <w:uiPriority w:val="0"/>
    <w:rPr>
      <w:rFonts w:ascii="Calibri Light" w:hAnsi="Calibri Light" w:eastAsia="宋体" w:cs="Calibri Light"/>
      <w:kern w:val="1"/>
      <w:sz w:val="24"/>
      <w:szCs w:val="24"/>
      <w:lang w:val="en-US" w:eastAsia="ar-SA" w:bidi="ar-SA"/>
    </w:rPr>
  </w:style>
  <w:style w:type="character" w:customStyle="1" w:styleId="455">
    <w:name w:val="sub"/>
    <w:qFormat/>
    <w:uiPriority w:val="0"/>
  </w:style>
  <w:style w:type="character" w:customStyle="1" w:styleId="456">
    <w:name w:val="2级标题 Char"/>
    <w:link w:val="457"/>
    <w:uiPriority w:val="0"/>
    <w:rPr>
      <w:rFonts w:ascii="黑体" w:hAnsi="黑体" w:eastAsia="黑体" w:cs="Times New Roman"/>
      <w:sz w:val="32"/>
      <w:szCs w:val="36"/>
      <w:lang w:eastAsia="en-US" w:bidi="en-US"/>
    </w:rPr>
  </w:style>
  <w:style w:type="paragraph" w:customStyle="1" w:styleId="457">
    <w:name w:val="2级标题"/>
    <w:basedOn w:val="69"/>
    <w:link w:val="456"/>
    <w:qFormat/>
    <w:uiPriority w:val="0"/>
    <w:pPr>
      <w:keepLines/>
      <w:spacing w:before="240" w:after="120"/>
      <w:ind w:left="1843" w:firstLine="0" w:firstLineChars="0"/>
      <w:contextualSpacing/>
      <w:jc w:val="left"/>
      <w:outlineLvl w:val="1"/>
    </w:pPr>
    <w:rPr>
      <w:rFonts w:ascii="黑体" w:hAnsi="黑体" w:eastAsia="黑体"/>
      <w:kern w:val="0"/>
      <w:sz w:val="32"/>
      <w:szCs w:val="36"/>
      <w:lang w:eastAsia="en-US" w:bidi="en-US"/>
    </w:rPr>
  </w:style>
  <w:style w:type="character" w:customStyle="1" w:styleId="458">
    <w:name w:val="WW8Num11z4"/>
    <w:qFormat/>
    <w:uiPriority w:val="0"/>
  </w:style>
  <w:style w:type="character" w:customStyle="1" w:styleId="459">
    <w:name w:val="表正文 Char2"/>
    <w:aliases w:val="特点 Char3,正文非缩进 Char2,ALT+Z Char2,水上软件 Char2,段1 Char2,正文不缩进 Char2,特点 Char Char2,特点正文 Char2,PI Char2,首行缩进 Char2,正文缩进（首行缩进两字） Char2,四号 Char2,标题四 Char2,缩进 Char2,标题4 Char2,正文双线 Char2,表正文1 Char2,正文非缩进1 Char2,标题41 Char2,四号1 Char2,特点1 Char2,表正文2 Char2"/>
    <w:qFormat/>
    <w:uiPriority w:val="0"/>
    <w:rPr>
      <w:rFonts w:ascii="宋体" w:hAnsi="Courier New" w:eastAsia="宋体"/>
      <w:kern w:val="2"/>
      <w:sz w:val="21"/>
      <w:lang w:val="en-US" w:eastAsia="zh-CN" w:bidi="ar-SA"/>
    </w:rPr>
  </w:style>
  <w:style w:type="character" w:customStyle="1" w:styleId="460">
    <w:name w:val="WW8Num8z8"/>
    <w:qFormat/>
    <w:uiPriority w:val="0"/>
  </w:style>
  <w:style w:type="character" w:customStyle="1" w:styleId="461">
    <w:name w:val="font71"/>
    <w:qFormat/>
    <w:uiPriority w:val="0"/>
    <w:rPr>
      <w:rFonts w:hint="eastAsia" w:ascii="宋体" w:hAnsi="宋体" w:eastAsia="宋体" w:cs="宋体"/>
      <w:color w:val="000000"/>
      <w:sz w:val="20"/>
      <w:szCs w:val="20"/>
      <w:u w:val="none"/>
    </w:rPr>
  </w:style>
  <w:style w:type="character" w:customStyle="1" w:styleId="462">
    <w:name w:val="样式2 Char Char"/>
    <w:link w:val="463"/>
    <w:qFormat/>
    <w:uiPriority w:val="0"/>
    <w:rPr>
      <w:rFonts w:eastAsia="微软雅黑"/>
      <w:b/>
      <w:color w:val="FF6600"/>
      <w:kern w:val="2"/>
      <w:sz w:val="24"/>
      <w:szCs w:val="22"/>
    </w:rPr>
  </w:style>
  <w:style w:type="paragraph" w:customStyle="1" w:styleId="463">
    <w:name w:val="样式2"/>
    <w:basedOn w:val="1"/>
    <w:link w:val="462"/>
    <w:qFormat/>
    <w:uiPriority w:val="0"/>
    <w:pPr>
      <w:overflowPunct w:val="0"/>
      <w:autoSpaceDE w:val="0"/>
      <w:autoSpaceDN w:val="0"/>
      <w:adjustRightInd w:val="0"/>
      <w:spacing w:line="336" w:lineRule="auto"/>
      <w:jc w:val="left"/>
    </w:pPr>
    <w:rPr>
      <w:rFonts w:eastAsia="微软雅黑"/>
      <w:b/>
      <w:color w:val="FF6600"/>
      <w:sz w:val="24"/>
      <w:szCs w:val="22"/>
    </w:rPr>
  </w:style>
  <w:style w:type="character" w:customStyle="1" w:styleId="464">
    <w:name w:val="标题 7 字符1"/>
    <w:uiPriority w:val="0"/>
    <w:rPr>
      <w:rFonts w:eastAsia="宋体"/>
      <w:b/>
      <w:bCs/>
      <w:kern w:val="2"/>
      <w:sz w:val="24"/>
      <w:szCs w:val="24"/>
      <w:lang w:val="en-US" w:eastAsia="zh-CN" w:bidi="ar-SA"/>
    </w:rPr>
  </w:style>
  <w:style w:type="character" w:customStyle="1" w:styleId="465">
    <w:name w:val="WW8Num11z3"/>
    <w:qFormat/>
    <w:uiPriority w:val="0"/>
  </w:style>
  <w:style w:type="character" w:customStyle="1" w:styleId="466">
    <w:name w:val="批注主题 Char1"/>
    <w:qFormat/>
    <w:uiPriority w:val="0"/>
    <w:rPr>
      <w:rFonts w:cs="Times New Roman"/>
      <w:b/>
      <w:kern w:val="2"/>
      <w:sz w:val="24"/>
      <w:szCs w:val="24"/>
    </w:rPr>
  </w:style>
  <w:style w:type="character" w:customStyle="1" w:styleId="467">
    <w:name w:val="3级标题 Char"/>
    <w:link w:val="468"/>
    <w:uiPriority w:val="0"/>
    <w:rPr>
      <w:rFonts w:ascii="黑体" w:hAnsi="黑体" w:eastAsia="黑体"/>
      <w:sz w:val="28"/>
      <w:szCs w:val="36"/>
      <w:lang w:eastAsia="en-US" w:bidi="en-US"/>
    </w:rPr>
  </w:style>
  <w:style w:type="paragraph" w:customStyle="1" w:styleId="468">
    <w:name w:val="3级标题"/>
    <w:basedOn w:val="69"/>
    <w:link w:val="467"/>
    <w:qFormat/>
    <w:uiPriority w:val="0"/>
    <w:pPr>
      <w:keepLines/>
      <w:numPr>
        <w:ilvl w:val="2"/>
        <w:numId w:val="1"/>
      </w:numPr>
      <w:spacing w:before="120" w:after="120"/>
      <w:ind w:firstLine="0" w:firstLineChars="0"/>
      <w:contextualSpacing/>
      <w:jc w:val="left"/>
      <w:outlineLvl w:val="2"/>
    </w:pPr>
    <w:rPr>
      <w:rFonts w:ascii="黑体" w:hAnsi="黑体" w:eastAsia="黑体"/>
      <w:kern w:val="0"/>
      <w:sz w:val="28"/>
      <w:szCs w:val="36"/>
      <w:lang w:eastAsia="en-US" w:bidi="en-US"/>
    </w:rPr>
  </w:style>
  <w:style w:type="character" w:customStyle="1" w:styleId="469">
    <w:name w:val="ptdl Char Char"/>
    <w:link w:val="470"/>
    <w:qFormat/>
    <w:uiPriority w:val="0"/>
    <w:rPr>
      <w:kern w:val="2"/>
      <w:sz w:val="24"/>
    </w:rPr>
  </w:style>
  <w:style w:type="paragraph" w:customStyle="1" w:styleId="470">
    <w:name w:val="ptdl"/>
    <w:basedOn w:val="1"/>
    <w:link w:val="469"/>
    <w:qFormat/>
    <w:uiPriority w:val="0"/>
    <w:pPr>
      <w:spacing w:after="156"/>
      <w:ind w:firstLine="480"/>
    </w:pPr>
    <w:rPr>
      <w:sz w:val="24"/>
    </w:rPr>
  </w:style>
  <w:style w:type="character" w:customStyle="1" w:styleId="471">
    <w:name w:val="书籍标题1"/>
    <w:qFormat/>
    <w:uiPriority w:val="33"/>
    <w:rPr>
      <w:b/>
      <w:bCs/>
      <w:smallCaps/>
      <w:spacing w:val="5"/>
    </w:rPr>
  </w:style>
  <w:style w:type="paragraph" w:customStyle="1" w:styleId="472">
    <w:name w:val="xl70"/>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473">
    <w:name w:val="Char Char Char1 Char Char Char Char11"/>
    <w:basedOn w:val="1"/>
    <w:qFormat/>
    <w:uiPriority w:val="0"/>
    <w:pPr>
      <w:widowControl/>
      <w:spacing w:after="160" w:line="240" w:lineRule="exact"/>
      <w:jc w:val="left"/>
    </w:pPr>
    <w:rPr>
      <w:szCs w:val="24"/>
    </w:rPr>
  </w:style>
  <w:style w:type="paragraph" w:customStyle="1" w:styleId="474">
    <w:name w:val="Default"/>
    <w:qFormat/>
    <w:uiPriority w:val="0"/>
    <w:pPr>
      <w:widowControl w:val="0"/>
      <w:autoSpaceDE w:val="0"/>
      <w:autoSpaceDN w:val="0"/>
      <w:adjustRightInd w:val="0"/>
    </w:pPr>
    <w:rPr>
      <w:rFonts w:ascii="仿宋_GB2312" w:cs="仿宋_GB2312"/>
      <w:color w:val="000000"/>
      <w:sz w:val="24"/>
      <w:szCs w:val="24"/>
      <w:lang w:val="en-US" w:eastAsia="zh-CN" w:bidi="ar-SA"/>
    </w:rPr>
  </w:style>
  <w:style w:type="paragraph" w:customStyle="1" w:styleId="475">
    <w:name w:val="Char Char Char Char"/>
    <w:basedOn w:val="1"/>
    <w:uiPriority w:val="0"/>
    <w:pPr>
      <w:widowControl/>
      <w:spacing w:line="240" w:lineRule="auto"/>
      <w:jc w:val="left"/>
    </w:pPr>
    <w:rPr>
      <w:rFonts w:ascii="Times New Roman" w:hAnsi="Times New Roman" w:cs="Times New Roman"/>
      <w:kern w:val="0"/>
      <w:sz w:val="24"/>
      <w:szCs w:val="24"/>
    </w:rPr>
  </w:style>
  <w:style w:type="paragraph" w:customStyle="1" w:styleId="476">
    <w:name w:val="xl8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477">
    <w:name w:val="xl67"/>
    <w:basedOn w:val="1"/>
    <w:uiPriority w:val="0"/>
    <w:pPr>
      <w:widowControl/>
      <w:pBdr>
        <w:top w:val="single" w:color="000000" w:sz="4" w:space="0"/>
        <w:left w:val="single" w:color="000000" w:sz="4" w:space="0"/>
        <w:righ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478">
    <w:name w:val="xl12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479">
    <w:name w:val="节标题"/>
    <w:basedOn w:val="1"/>
    <w:next w:val="1"/>
    <w:uiPriority w:val="0"/>
    <w:pPr>
      <w:widowControl/>
      <w:spacing w:line="289" w:lineRule="atLeast"/>
      <w:jc w:val="center"/>
      <w:textAlignment w:val="baseline"/>
    </w:pPr>
    <w:rPr>
      <w:rFonts w:ascii="Times New Roman" w:hAnsi="Times New Roman" w:cs="Times New Roman"/>
      <w:color w:val="000000"/>
      <w:kern w:val="0"/>
      <w:sz w:val="28"/>
      <w:u w:val="none" w:color="000000"/>
    </w:rPr>
  </w:style>
  <w:style w:type="paragraph" w:customStyle="1" w:styleId="480">
    <w:name w:val="xl8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481">
    <w:name w:val="xl83"/>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482">
    <w:name w:val="样式 样式 样式 左侧:  2 字符1 + 首行缩进:  2 字符1 + 首行缩进:  2 字符"/>
    <w:basedOn w:val="1"/>
    <w:uiPriority w:val="0"/>
    <w:pPr>
      <w:widowControl/>
      <w:adjustRightInd w:val="0"/>
      <w:spacing w:before="60" w:after="120" w:line="440" w:lineRule="atLeast"/>
      <w:ind w:firstLine="480"/>
      <w:textAlignment w:val="baseline"/>
    </w:pPr>
    <w:rPr>
      <w:rFonts w:ascii="Times New Roman" w:hAnsi="Times New Roman" w:cs="Times New Roman"/>
      <w:sz w:val="24"/>
    </w:rPr>
  </w:style>
  <w:style w:type="paragraph" w:customStyle="1" w:styleId="483">
    <w:name w:val="af17cgridlangnp1033langf"/>
    <w:qFormat/>
    <w:uiPriority w:val="0"/>
    <w:pPr>
      <w:widowControl w:val="0"/>
      <w:autoSpaceDE w:val="0"/>
      <w:autoSpaceDN w:val="0"/>
      <w:adjustRightInd w:val="0"/>
      <w:spacing w:before="156" w:line="360" w:lineRule="atLeast"/>
      <w:ind w:left="567" w:firstLine="510"/>
      <w:jc w:val="both"/>
    </w:pPr>
    <w:rPr>
      <w:lang w:val="en-US" w:eastAsia="zh-CN" w:bidi="ar-SA"/>
    </w:rPr>
  </w:style>
  <w:style w:type="paragraph" w:customStyle="1" w:styleId="484">
    <w:name w:val="Char41"/>
    <w:basedOn w:val="4"/>
    <w:qFormat/>
    <w:uiPriority w:val="0"/>
    <w:pPr>
      <w:keepNext/>
      <w:keepLines/>
      <w:snapToGrid w:val="0"/>
      <w:spacing w:before="240" w:after="240" w:line="348" w:lineRule="auto"/>
      <w:textAlignment w:val="auto"/>
    </w:pPr>
    <w:rPr>
      <w:bCs/>
      <w:kern w:val="44"/>
      <w:sz w:val="32"/>
      <w:szCs w:val="44"/>
    </w:rPr>
  </w:style>
  <w:style w:type="paragraph" w:customStyle="1" w:styleId="485">
    <w:name w:val="xl105"/>
    <w:basedOn w:val="1"/>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000000"/>
      <w:kern w:val="0"/>
      <w:sz w:val="16"/>
      <w:szCs w:val="16"/>
    </w:rPr>
  </w:style>
  <w:style w:type="paragraph" w:customStyle="1" w:styleId="486">
    <w:name w:val="xl80"/>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487">
    <w:name w:val="Char Char122"/>
    <w:basedOn w:val="1"/>
    <w:qFormat/>
    <w:uiPriority w:val="0"/>
    <w:pPr>
      <w:spacing w:line="240" w:lineRule="auto"/>
    </w:pPr>
    <w:rPr>
      <w:szCs w:val="21"/>
    </w:rPr>
  </w:style>
  <w:style w:type="paragraph" w:customStyle="1" w:styleId="488">
    <w:name w:val="xl2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b/>
      <w:bCs/>
      <w:kern w:val="0"/>
      <w:sz w:val="24"/>
      <w:szCs w:val="24"/>
    </w:rPr>
  </w:style>
  <w:style w:type="paragraph" w:customStyle="1" w:styleId="489">
    <w:name w:val="Definition Term"/>
    <w:basedOn w:val="1"/>
    <w:next w:val="1"/>
    <w:uiPriority w:val="0"/>
    <w:pPr>
      <w:widowControl/>
      <w:autoSpaceDE w:val="0"/>
      <w:autoSpaceDN w:val="0"/>
      <w:adjustRightInd w:val="0"/>
      <w:spacing w:line="240" w:lineRule="auto"/>
      <w:jc w:val="left"/>
    </w:pPr>
    <w:rPr>
      <w:rFonts w:ascii="Times New Roman" w:hAnsi="Times New Roman"/>
      <w:kern w:val="0"/>
      <w:sz w:val="20"/>
      <w:szCs w:val="24"/>
      <w:lang w:eastAsia="en-US"/>
    </w:rPr>
  </w:style>
  <w:style w:type="paragraph" w:customStyle="1" w:styleId="490">
    <w:name w:val="正文文字2"/>
    <w:basedOn w:val="2"/>
    <w:uiPriority w:val="0"/>
    <w:pPr>
      <w:spacing w:after="60" w:line="360" w:lineRule="atLeast"/>
      <w:ind w:left="72" w:leftChars="30" w:right="72" w:rightChars="30"/>
      <w:jc w:val="center"/>
    </w:pPr>
    <w:rPr>
      <w:rFonts w:ascii="Arial" w:hAnsi="Times New Roman" w:eastAsia="黑体" w:cs="Times New Roman"/>
      <w:kern w:val="0"/>
      <w:sz w:val="20"/>
    </w:rPr>
  </w:style>
  <w:style w:type="paragraph" w:customStyle="1" w:styleId="491">
    <w:name w:val="xl104"/>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000000"/>
      <w:kern w:val="0"/>
      <w:sz w:val="16"/>
      <w:szCs w:val="16"/>
    </w:rPr>
  </w:style>
  <w:style w:type="paragraph" w:customStyle="1" w:styleId="492">
    <w:name w:val="段正文"/>
    <w:basedOn w:val="1"/>
    <w:qFormat/>
    <w:uiPriority w:val="0"/>
    <w:pPr>
      <w:widowControl/>
      <w:suppressAutoHyphens/>
      <w:ind w:firstLine="200"/>
      <w:jc w:val="left"/>
    </w:pPr>
    <w:rPr>
      <w:rFonts w:ascii="Times New Roman" w:hAnsi="Times New Roman" w:eastAsia="Times New Roman"/>
      <w:kern w:val="1"/>
      <w:sz w:val="24"/>
      <w:lang w:eastAsia="ar-SA"/>
    </w:rPr>
  </w:style>
  <w:style w:type="paragraph" w:customStyle="1" w:styleId="493">
    <w:name w:val="正文_17"/>
    <w:qFormat/>
    <w:uiPriority w:val="0"/>
    <w:pPr>
      <w:widowControl w:val="0"/>
      <w:jc w:val="both"/>
    </w:pPr>
    <w:rPr>
      <w:kern w:val="2"/>
      <w:sz w:val="21"/>
      <w:szCs w:val="24"/>
      <w:lang w:val="en-US" w:eastAsia="zh-CN" w:bidi="ar-SA"/>
    </w:rPr>
  </w:style>
  <w:style w:type="paragraph" w:customStyle="1" w:styleId="494">
    <w:name w:val="font5"/>
    <w:basedOn w:val="1"/>
    <w:uiPriority w:val="0"/>
    <w:pPr>
      <w:widowControl/>
      <w:spacing w:before="100" w:beforeAutospacing="1" w:after="100" w:afterAutospacing="1" w:line="240" w:lineRule="auto"/>
      <w:jc w:val="left"/>
    </w:pPr>
    <w:rPr>
      <w:rFonts w:ascii="宋体" w:hAnsi="宋体"/>
      <w:kern w:val="0"/>
      <w:sz w:val="18"/>
      <w:szCs w:val="18"/>
    </w:rPr>
  </w:style>
  <w:style w:type="paragraph" w:customStyle="1" w:styleId="495">
    <w:name w:val="xl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kern w:val="0"/>
      <w:sz w:val="24"/>
      <w:szCs w:val="24"/>
    </w:rPr>
  </w:style>
  <w:style w:type="paragraph" w:customStyle="1" w:styleId="496">
    <w:name w:val="_标题4"/>
    <w:basedOn w:val="1"/>
    <w:next w:val="1"/>
    <w:qFormat/>
    <w:uiPriority w:val="0"/>
    <w:pPr>
      <w:keepNext/>
      <w:keepLines/>
      <w:widowControl/>
      <w:spacing w:beforeLines="100" w:afterLines="100" w:line="480" w:lineRule="exact"/>
      <w:jc w:val="left"/>
      <w:outlineLvl w:val="3"/>
    </w:pPr>
    <w:rPr>
      <w:rFonts w:cs="Times New Roman"/>
      <w:b/>
      <w:sz w:val="30"/>
      <w:szCs w:val="28"/>
    </w:rPr>
  </w:style>
  <w:style w:type="paragraph" w:customStyle="1" w:styleId="497">
    <w:name w:val="Char2"/>
    <w:basedOn w:val="1"/>
    <w:qFormat/>
    <w:uiPriority w:val="0"/>
    <w:pPr>
      <w:tabs>
        <w:tab w:val="left" w:pos="1788"/>
      </w:tabs>
      <w:ind w:left="1788" w:hanging="1125"/>
    </w:pPr>
    <w:rPr>
      <w:sz w:val="24"/>
      <w:szCs w:val="24"/>
    </w:rPr>
  </w:style>
  <w:style w:type="paragraph" w:customStyle="1" w:styleId="498">
    <w:name w:val="_Style 1"/>
    <w:basedOn w:val="1"/>
    <w:qFormat/>
    <w:uiPriority w:val="34"/>
    <w:pPr>
      <w:ind w:firstLine="420" w:firstLineChars="200"/>
    </w:pPr>
    <w:rPr>
      <w:sz w:val="24"/>
      <w:szCs w:val="22"/>
    </w:rPr>
  </w:style>
  <w:style w:type="paragraph" w:customStyle="1" w:styleId="499">
    <w:name w:val="_标题7"/>
    <w:basedOn w:val="1"/>
    <w:next w:val="1"/>
    <w:qFormat/>
    <w:uiPriority w:val="0"/>
    <w:pPr>
      <w:keepNext/>
      <w:keepLines/>
      <w:widowControl/>
      <w:tabs>
        <w:tab w:val="left" w:pos="1296"/>
      </w:tabs>
      <w:spacing w:beforeLines="50" w:afterLines="50" w:line="480" w:lineRule="exact"/>
      <w:ind w:left="1476" w:leftChars="200" w:hanging="1276" w:firstLineChars="200"/>
      <w:jc w:val="left"/>
      <w:outlineLvl w:val="6"/>
    </w:pPr>
    <w:rPr>
      <w:rFonts w:cs="Times New Roman"/>
      <w:b/>
      <w:sz w:val="24"/>
      <w:szCs w:val="28"/>
    </w:rPr>
  </w:style>
  <w:style w:type="paragraph" w:customStyle="1" w:styleId="500">
    <w:name w:val="项目正文"/>
    <w:basedOn w:val="1"/>
    <w:uiPriority w:val="0"/>
    <w:pPr>
      <w:tabs>
        <w:tab w:val="left" w:pos="360"/>
      </w:tabs>
      <w:spacing w:line="240" w:lineRule="auto"/>
      <w:ind w:left="317" w:hanging="317"/>
    </w:pPr>
    <w:rPr>
      <w:rFonts w:ascii="Times New Roman" w:hAnsi="Times New Roman"/>
      <w:szCs w:val="24"/>
    </w:rPr>
  </w:style>
  <w:style w:type="paragraph" w:customStyle="1" w:styleId="501">
    <w:name w:val="xl121"/>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02">
    <w:name w:val="xl9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503">
    <w:name w:val="Char Char Char1"/>
    <w:basedOn w:val="1"/>
    <w:uiPriority w:val="0"/>
    <w:pPr>
      <w:spacing w:line="240" w:lineRule="auto"/>
    </w:pPr>
    <w:rPr>
      <w:rFonts w:ascii="Times New Roman" w:hAnsi="Times New Roman" w:eastAsia="Times New Roman"/>
    </w:rPr>
  </w:style>
  <w:style w:type="paragraph" w:customStyle="1" w:styleId="504">
    <w:name w:val="_Style 49"/>
    <w:basedOn w:val="1"/>
    <w:next w:val="28"/>
    <w:qFormat/>
    <w:uiPriority w:val="0"/>
    <w:pPr>
      <w:suppressAutoHyphens/>
      <w:spacing w:line="240" w:lineRule="auto"/>
    </w:pPr>
    <w:rPr>
      <w:rFonts w:ascii="宋体" w:hAnsi="宋体" w:cs="Courier New"/>
      <w:kern w:val="1"/>
      <w:sz w:val="24"/>
      <w:lang w:eastAsia="ar-SA"/>
    </w:rPr>
  </w:style>
  <w:style w:type="paragraph" w:customStyle="1" w:styleId="505">
    <w:name w:val="单位"/>
    <w:basedOn w:val="1"/>
    <w:qFormat/>
    <w:uiPriority w:val="0"/>
    <w:pPr>
      <w:adjustRightInd w:val="0"/>
      <w:jc w:val="center"/>
      <w:textAlignment w:val="baseline"/>
    </w:pPr>
    <w:rPr>
      <w:rFonts w:ascii="宋体"/>
      <w:b/>
      <w:kern w:val="0"/>
      <w:sz w:val="32"/>
    </w:rPr>
  </w:style>
  <w:style w:type="paragraph" w:customStyle="1" w:styleId="506">
    <w:name w:val="introcss2"/>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07">
    <w:name w:val="正文样式"/>
    <w:basedOn w:val="1"/>
    <w:qFormat/>
    <w:uiPriority w:val="0"/>
    <w:pPr>
      <w:spacing w:line="240" w:lineRule="auto"/>
      <w:ind w:firstLine="480" w:firstLineChars="200"/>
    </w:pPr>
    <w:rPr>
      <w:szCs w:val="22"/>
    </w:rPr>
  </w:style>
  <w:style w:type="paragraph" w:customStyle="1" w:styleId="508">
    <w:name w:val="xl9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509">
    <w:name w:val="Char Char12"/>
    <w:basedOn w:val="1"/>
    <w:qFormat/>
    <w:uiPriority w:val="0"/>
    <w:pPr>
      <w:spacing w:line="240" w:lineRule="auto"/>
    </w:pPr>
    <w:rPr>
      <w:szCs w:val="21"/>
    </w:rPr>
  </w:style>
  <w:style w:type="paragraph" w:customStyle="1" w:styleId="510">
    <w:name w:val="xl75"/>
    <w:basedOn w:val="1"/>
    <w:uiPriority w:val="0"/>
    <w:pPr>
      <w:widowControl/>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511">
    <w:name w:val="标题 12"/>
    <w:basedOn w:val="1"/>
    <w:next w:val="1"/>
    <w:uiPriority w:val="0"/>
    <w:pPr>
      <w:keepNext/>
      <w:keepLines/>
      <w:pageBreakBefore/>
      <w:tabs>
        <w:tab w:val="left" w:pos="960"/>
        <w:tab w:val="left" w:pos="1152"/>
      </w:tabs>
      <w:spacing w:before="120" w:after="120" w:line="480" w:lineRule="auto"/>
      <w:ind w:left="960" w:hanging="420"/>
      <w:outlineLvl w:val="0"/>
    </w:pPr>
    <w:rPr>
      <w:rFonts w:ascii="宋体" w:hAnsi="Times New Roman"/>
      <w:b/>
      <w:sz w:val="36"/>
      <w:szCs w:val="24"/>
    </w:rPr>
  </w:style>
  <w:style w:type="paragraph" w:customStyle="1" w:styleId="512">
    <w:name w:val="TOC 标题2"/>
    <w:basedOn w:val="4"/>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513">
    <w:name w:val="Char Char1211"/>
    <w:basedOn w:val="1"/>
    <w:qFormat/>
    <w:uiPriority w:val="0"/>
    <w:pPr>
      <w:spacing w:line="240" w:lineRule="auto"/>
    </w:pPr>
    <w:rPr>
      <w:szCs w:val="21"/>
    </w:rPr>
  </w:style>
  <w:style w:type="paragraph" w:customStyle="1" w:styleId="514">
    <w:name w:val="普通(网站)1"/>
    <w:basedOn w:val="1"/>
    <w:uiPriority w:val="0"/>
    <w:pPr>
      <w:spacing w:before="100" w:beforeAutospacing="1" w:after="100" w:afterAutospacing="1" w:line="240" w:lineRule="auto"/>
    </w:pPr>
    <w:rPr>
      <w:rFonts w:hint="eastAsia" w:ascii="Times New Roman" w:hAnsi="Times New Roman" w:cs="Times New Roman"/>
      <w:szCs w:val="24"/>
    </w:rPr>
  </w:style>
  <w:style w:type="paragraph" w:customStyle="1" w:styleId="515">
    <w:name w:val="xl10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16">
    <w:name w:val="xl118"/>
    <w:basedOn w:val="1"/>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17">
    <w:name w:val="Char Char Char1 Char Char Char Char1"/>
    <w:basedOn w:val="1"/>
    <w:qFormat/>
    <w:uiPriority w:val="0"/>
    <w:pPr>
      <w:widowControl/>
      <w:spacing w:after="160" w:line="240" w:lineRule="exact"/>
      <w:jc w:val="left"/>
    </w:pPr>
    <w:rPr>
      <w:szCs w:val="24"/>
    </w:rPr>
  </w:style>
  <w:style w:type="paragraph" w:customStyle="1" w:styleId="518">
    <w:name w:val="表格格式"/>
    <w:basedOn w:val="1"/>
    <w:qFormat/>
    <w:uiPriority w:val="0"/>
    <w:pPr>
      <w:adjustRightInd w:val="0"/>
      <w:spacing w:line="240" w:lineRule="auto"/>
      <w:jc w:val="left"/>
    </w:pPr>
    <w:rPr>
      <w:rFonts w:ascii="仿宋" w:hAnsi="仿宋" w:eastAsia="仿宋" w:cs="仿宋"/>
      <w:sz w:val="24"/>
      <w:szCs w:val="24"/>
    </w:rPr>
  </w:style>
  <w:style w:type="paragraph" w:customStyle="1" w:styleId="519">
    <w:name w:val="正文111"/>
    <w:qFormat/>
    <w:uiPriority w:val="99"/>
    <w:pPr>
      <w:widowControl w:val="0"/>
      <w:jc w:val="both"/>
    </w:pPr>
    <w:rPr>
      <w:rFonts w:hint="eastAsia"/>
      <w:kern w:val="2"/>
      <w:sz w:val="21"/>
      <w:lang w:val="en-US" w:eastAsia="zh-CN" w:bidi="ar-SA"/>
    </w:rPr>
  </w:style>
  <w:style w:type="paragraph" w:customStyle="1" w:styleId="520">
    <w:name w:val="xl76"/>
    <w:basedOn w:val="1"/>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521">
    <w:name w:val="默认段落字体 Para Char Char Char Char"/>
    <w:basedOn w:val="1"/>
    <w:qFormat/>
    <w:uiPriority w:val="0"/>
    <w:rPr>
      <w:rFonts w:ascii="Arial" w:hAnsi="Arial" w:cs="Arial"/>
      <w:szCs w:val="21"/>
    </w:rPr>
  </w:style>
  <w:style w:type="paragraph" w:customStyle="1" w:styleId="522">
    <w:name w:val="列出段落[858D7CFB-ED40-4347-BF05-701D383B685F][858D7CFB-ED40-4347-BF05-701D383B685F]"/>
    <w:basedOn w:val="1"/>
    <w:qFormat/>
    <w:uiPriority w:val="0"/>
    <w:pPr>
      <w:suppressAutoHyphens/>
      <w:spacing w:line="240" w:lineRule="auto"/>
      <w:ind w:firstLine="420"/>
    </w:pPr>
    <w:rPr>
      <w:rFonts w:ascii="Times New Roman" w:hAnsi="Times New Roman"/>
      <w:kern w:val="1"/>
      <w:szCs w:val="24"/>
      <w:lang w:eastAsia="ar-SA"/>
    </w:rPr>
  </w:style>
  <w:style w:type="paragraph" w:customStyle="1" w:styleId="523">
    <w:name w:val="正文11"/>
    <w:qFormat/>
    <w:uiPriority w:val="0"/>
    <w:pPr>
      <w:widowControl w:val="0"/>
      <w:jc w:val="both"/>
    </w:pPr>
    <w:rPr>
      <w:kern w:val="2"/>
      <w:sz w:val="21"/>
      <w:lang w:val="en-US" w:eastAsia="zh-CN" w:bidi="ar-SA"/>
    </w:rPr>
  </w:style>
  <w:style w:type="paragraph" w:customStyle="1" w:styleId="524">
    <w:name w:val="框内容"/>
    <w:basedOn w:val="2"/>
    <w:qFormat/>
    <w:uiPriority w:val="0"/>
    <w:pPr>
      <w:suppressAutoHyphens/>
      <w:adjustRightInd/>
      <w:spacing w:after="120" w:line="240" w:lineRule="auto"/>
      <w:textAlignment w:val="auto"/>
    </w:pPr>
    <w:rPr>
      <w:rFonts w:ascii="Times New Roman" w:hAnsi="Times New Roman"/>
      <w:kern w:val="1"/>
      <w:sz w:val="28"/>
      <w:szCs w:val="24"/>
      <w:lang w:eastAsia="ar-SA"/>
    </w:rPr>
  </w:style>
  <w:style w:type="paragraph" w:customStyle="1" w:styleId="525">
    <w:name w:val="Char Char Char2"/>
    <w:basedOn w:val="1"/>
    <w:uiPriority w:val="0"/>
    <w:pPr>
      <w:spacing w:line="240" w:lineRule="auto"/>
    </w:pPr>
    <w:rPr>
      <w:rFonts w:ascii="Tahoma" w:hAnsi="Tahoma"/>
      <w:sz w:val="24"/>
    </w:rPr>
  </w:style>
  <w:style w:type="paragraph" w:customStyle="1" w:styleId="526">
    <w:name w:val="表内文字"/>
    <w:basedOn w:val="1"/>
    <w:qFormat/>
    <w:uiPriority w:val="0"/>
    <w:pPr>
      <w:tabs>
        <w:tab w:val="left" w:pos="1418"/>
      </w:tabs>
      <w:jc w:val="center"/>
    </w:pPr>
    <w:rPr>
      <w:rFonts w:ascii="仿宋_GB2312" w:eastAsia="仿宋_GB2312"/>
      <w:spacing w:val="-20"/>
      <w:kern w:val="0"/>
      <w:sz w:val="24"/>
      <w:szCs w:val="24"/>
    </w:rPr>
  </w:style>
  <w:style w:type="paragraph" w:customStyle="1" w:styleId="527">
    <w:name w:val="样式 正文首行缩进 + 首行缩进:  1 字符"/>
    <w:basedOn w:val="1"/>
    <w:uiPriority w:val="0"/>
    <w:pPr>
      <w:ind w:firstLine="200" w:firstLineChars="200"/>
    </w:pPr>
    <w:rPr>
      <w:rFonts w:ascii="Times New Roman" w:hAnsi="Times New Roman"/>
      <w:sz w:val="24"/>
    </w:rPr>
  </w:style>
  <w:style w:type="paragraph" w:customStyle="1" w:styleId="528">
    <w:name w:val="xl11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529">
    <w:name w:val="正文文字1"/>
    <w:basedOn w:val="2"/>
    <w:uiPriority w:val="0"/>
    <w:pPr>
      <w:spacing w:line="360" w:lineRule="atLeast"/>
      <w:ind w:left="72" w:leftChars="30" w:right="72" w:rightChars="30"/>
    </w:pPr>
    <w:rPr>
      <w:rFonts w:ascii="Times New Roman" w:hAnsi="Times New Roman" w:cs="Times New Roman"/>
      <w:kern w:val="0"/>
      <w:sz w:val="20"/>
    </w:rPr>
  </w:style>
  <w:style w:type="paragraph" w:customStyle="1" w:styleId="530">
    <w:name w:val="_标题1"/>
    <w:basedOn w:val="1"/>
    <w:next w:val="1"/>
    <w:qFormat/>
    <w:uiPriority w:val="0"/>
    <w:pPr>
      <w:keepNext/>
      <w:keepLines/>
      <w:pageBreakBefore/>
      <w:tabs>
        <w:tab w:val="left" w:pos="432"/>
      </w:tabs>
      <w:spacing w:before="480" w:after="480" w:line="480" w:lineRule="exact"/>
      <w:ind w:left="1588" w:hanging="1588" w:firstLineChars="200"/>
      <w:jc w:val="left"/>
      <w:outlineLvl w:val="0"/>
    </w:pPr>
    <w:rPr>
      <w:rFonts w:cs="Times New Roman"/>
      <w:b/>
      <w:sz w:val="44"/>
      <w:szCs w:val="28"/>
    </w:rPr>
  </w:style>
  <w:style w:type="paragraph" w:customStyle="1" w:styleId="531">
    <w:name w:val="彩色列表 - 强调文字颜色 11"/>
    <w:basedOn w:val="1"/>
    <w:qFormat/>
    <w:uiPriority w:val="34"/>
    <w:pPr>
      <w:ind w:firstLine="420" w:firstLineChars="200"/>
    </w:pPr>
    <w:rPr>
      <w:szCs w:val="22"/>
    </w:rPr>
  </w:style>
  <w:style w:type="paragraph" w:customStyle="1" w:styleId="532">
    <w:name w:val="a2"/>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33">
    <w:name w:val="纯文本1111"/>
    <w:basedOn w:val="1"/>
    <w:qFormat/>
    <w:uiPriority w:val="99"/>
    <w:pPr>
      <w:adjustRightInd w:val="0"/>
      <w:textAlignment w:val="baseline"/>
    </w:pPr>
    <w:rPr>
      <w:rFonts w:ascii="宋体" w:hAnsi="Courier New" w:eastAsia="楷体_GB2312"/>
      <w:sz w:val="26"/>
    </w:rPr>
  </w:style>
  <w:style w:type="paragraph" w:customStyle="1" w:styleId="534">
    <w:name w:val="Char Char Char Char Char Char Char2"/>
    <w:basedOn w:val="1"/>
    <w:qFormat/>
    <w:uiPriority w:val="0"/>
    <w:rPr>
      <w:szCs w:val="21"/>
    </w:rPr>
  </w:style>
  <w:style w:type="paragraph" w:customStyle="1" w:styleId="535">
    <w:name w:val="p18"/>
    <w:basedOn w:val="1"/>
    <w:uiPriority w:val="0"/>
    <w:pPr>
      <w:widowControl/>
      <w:spacing w:line="240" w:lineRule="auto"/>
      <w:ind w:firstLine="420"/>
    </w:pPr>
    <w:rPr>
      <w:rFonts w:ascii="Times New Roman" w:hAnsi="Times New Roman"/>
      <w:kern w:val="0"/>
      <w:szCs w:val="21"/>
    </w:rPr>
  </w:style>
  <w:style w:type="paragraph" w:customStyle="1" w:styleId="536">
    <w:name w:val="列表段落11"/>
    <w:basedOn w:val="1"/>
    <w:qFormat/>
    <w:uiPriority w:val="34"/>
    <w:pPr>
      <w:spacing w:line="240" w:lineRule="auto"/>
      <w:ind w:firstLine="420" w:firstLineChars="200"/>
    </w:pPr>
    <w:rPr>
      <w:rFonts w:cs="Times New Roman"/>
      <w:szCs w:val="22"/>
    </w:rPr>
  </w:style>
  <w:style w:type="paragraph" w:styleId="537">
    <w:name w:val="No Spacing"/>
    <w:qFormat/>
    <w:uiPriority w:val="1"/>
    <w:pPr>
      <w:widowControl w:val="0"/>
      <w:spacing w:line="360" w:lineRule="auto"/>
      <w:jc w:val="both"/>
    </w:pPr>
    <w:rPr>
      <w:rFonts w:ascii="宋体" w:hAnsi="宋体"/>
      <w:kern w:val="2"/>
      <w:sz w:val="21"/>
      <w:szCs w:val="21"/>
      <w:lang w:val="en-US" w:eastAsia="zh-CN" w:bidi="ar-SA"/>
    </w:rPr>
  </w:style>
  <w:style w:type="paragraph" w:customStyle="1" w:styleId="538">
    <w:name w:val="默认段落字体 Para Char Char Char Char Char Char Char Char Char1 Char Char Char Char"/>
    <w:basedOn w:val="1"/>
    <w:qFormat/>
    <w:uiPriority w:val="0"/>
    <w:rPr>
      <w:rFonts w:ascii="Tahoma" w:hAnsi="Tahoma"/>
      <w:sz w:val="24"/>
    </w:rPr>
  </w:style>
  <w:style w:type="paragraph" w:customStyle="1" w:styleId="539">
    <w:name w:val="章正文"/>
    <w:basedOn w:val="1"/>
    <w:uiPriority w:val="0"/>
    <w:pPr>
      <w:spacing w:beforeLines="50" w:after="120" w:line="300" w:lineRule="auto"/>
      <w:ind w:firstLine="480"/>
    </w:pPr>
    <w:rPr>
      <w:rFonts w:ascii="Helvetica" w:hAnsi="Helvetica"/>
      <w:szCs w:val="24"/>
    </w:rPr>
  </w:style>
  <w:style w:type="paragraph" w:customStyle="1" w:styleId="540">
    <w:name w:val="_Style 18"/>
    <w:basedOn w:val="1"/>
    <w:qFormat/>
    <w:uiPriority w:val="34"/>
    <w:pPr>
      <w:ind w:firstLine="420" w:firstLineChars="200"/>
    </w:pPr>
  </w:style>
  <w:style w:type="paragraph" w:customStyle="1" w:styleId="541">
    <w:name w:val="Char Char7 Char11"/>
    <w:basedOn w:val="1"/>
    <w:qFormat/>
    <w:uiPriority w:val="0"/>
    <w:pPr>
      <w:tabs>
        <w:tab w:val="left" w:pos="425"/>
      </w:tabs>
      <w:ind w:left="420" w:leftChars="200" w:firstLine="270" w:firstLineChars="150"/>
    </w:pPr>
    <w:rPr>
      <w:szCs w:val="24"/>
    </w:rPr>
  </w:style>
  <w:style w:type="paragraph" w:customStyle="1" w:styleId="542">
    <w:name w:val="正文 New New New New New New"/>
    <w:qFormat/>
    <w:uiPriority w:val="0"/>
    <w:pPr>
      <w:widowControl w:val="0"/>
      <w:jc w:val="both"/>
    </w:pPr>
    <w:rPr>
      <w:kern w:val="2"/>
      <w:sz w:val="21"/>
      <w:lang w:val="en-US" w:eastAsia="zh-CN" w:bidi="ar-SA"/>
    </w:rPr>
  </w:style>
  <w:style w:type="paragraph" w:customStyle="1" w:styleId="543">
    <w:name w:val="Char Char Char Char Char Char21"/>
    <w:basedOn w:val="1"/>
    <w:qFormat/>
    <w:uiPriority w:val="0"/>
    <w:pPr>
      <w:ind w:firstLine="200" w:firstLineChars="200"/>
    </w:pPr>
    <w:rPr>
      <w:rFonts w:ascii="Tahoma" w:hAnsi="Tahoma" w:cs="Tahoma"/>
      <w:sz w:val="24"/>
      <w:szCs w:val="24"/>
    </w:rPr>
  </w:style>
  <w:style w:type="paragraph" w:customStyle="1" w:styleId="544">
    <w:name w:val="样式 宋体 小四 行距: 1.5 倍行距"/>
    <w:basedOn w:val="1"/>
    <w:uiPriority w:val="0"/>
    <w:pPr>
      <w:spacing w:line="240" w:lineRule="auto"/>
      <w:ind w:firstLine="200" w:firstLineChars="200"/>
    </w:pPr>
    <w:rPr>
      <w:rFonts w:ascii="宋体" w:hAnsi="宋体"/>
      <w:sz w:val="24"/>
    </w:rPr>
  </w:style>
  <w:style w:type="paragraph" w:customStyle="1" w:styleId="545">
    <w:name w:val="1 Char Char Char Char"/>
    <w:basedOn w:val="1"/>
    <w:qFormat/>
    <w:uiPriority w:val="0"/>
    <w:rPr>
      <w:rFonts w:ascii="Tahoma" w:hAnsi="Tahoma"/>
      <w:sz w:val="24"/>
    </w:rPr>
  </w:style>
  <w:style w:type="paragraph" w:customStyle="1" w:styleId="546">
    <w:name w:val="xl11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color w:val="000000"/>
      <w:kern w:val="0"/>
      <w:sz w:val="24"/>
      <w:szCs w:val="24"/>
    </w:rPr>
  </w:style>
  <w:style w:type="paragraph" w:customStyle="1" w:styleId="547">
    <w:name w:val="_Style 48"/>
    <w:next w:val="1"/>
    <w:qFormat/>
    <w:uiPriority w:val="0"/>
    <w:pPr>
      <w:widowControl w:val="0"/>
      <w:jc w:val="both"/>
    </w:pPr>
    <w:rPr>
      <w:kern w:val="2"/>
      <w:sz w:val="21"/>
      <w:szCs w:val="24"/>
      <w:lang w:val="en-US" w:eastAsia="zh-CN" w:bidi="ar-SA"/>
    </w:rPr>
  </w:style>
  <w:style w:type="paragraph" w:customStyle="1" w:styleId="548">
    <w:name w:val="Char Char Char Char Char Char Char Char Char Char Char Char Char"/>
    <w:basedOn w:val="1"/>
    <w:qFormat/>
    <w:uiPriority w:val="0"/>
    <w:pPr>
      <w:tabs>
        <w:tab w:val="left" w:pos="432"/>
      </w:tabs>
      <w:ind w:left="432" w:hanging="432"/>
    </w:pPr>
    <w:rPr>
      <w:rFonts w:ascii="Tahoma" w:hAnsi="Tahoma"/>
      <w:sz w:val="24"/>
    </w:rPr>
  </w:style>
  <w:style w:type="paragraph" w:customStyle="1" w:styleId="549">
    <w:name w:val="Char1 Char Char Char Char Char Char Char Char Char"/>
    <w:basedOn w:val="1"/>
    <w:uiPriority w:val="0"/>
    <w:pPr>
      <w:widowControl/>
      <w:spacing w:after="160" w:line="240" w:lineRule="exact"/>
      <w:jc w:val="left"/>
    </w:pPr>
    <w:rPr>
      <w:rFonts w:ascii="Times New Roman" w:hAnsi="Times New Roman" w:eastAsia="楷体_GB2312" w:cs="Times New Roman"/>
      <w:sz w:val="30"/>
    </w:rPr>
  </w:style>
  <w:style w:type="paragraph" w:customStyle="1" w:styleId="550">
    <w:name w:val="正文－恩普"/>
    <w:basedOn w:val="551"/>
    <w:qFormat/>
    <w:uiPriority w:val="0"/>
    <w:pPr>
      <w:widowControl/>
      <w:spacing w:line="360" w:lineRule="auto"/>
      <w:ind w:firstLine="480"/>
      <w:jc w:val="left"/>
    </w:pPr>
    <w:rPr>
      <w:szCs w:val="24"/>
    </w:rPr>
  </w:style>
  <w:style w:type="paragraph" w:customStyle="1" w:styleId="551">
    <w:name w:val="WW-正文缩进"/>
    <w:basedOn w:val="1"/>
    <w:qFormat/>
    <w:uiPriority w:val="0"/>
    <w:pPr>
      <w:suppressAutoHyphens/>
      <w:spacing w:line="240" w:lineRule="auto"/>
      <w:ind w:firstLine="420"/>
    </w:pPr>
    <w:rPr>
      <w:rFonts w:ascii="Times New Roman" w:hAnsi="Times New Roman"/>
      <w:kern w:val="1"/>
      <w:lang w:eastAsia="ar-SA"/>
    </w:rPr>
  </w:style>
  <w:style w:type="paragraph" w:customStyle="1" w:styleId="552">
    <w:name w:val="xl133"/>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53">
    <w:name w:val="_Style 3"/>
    <w:qFormat/>
    <w:uiPriority w:val="1"/>
    <w:pPr>
      <w:widowControl w:val="0"/>
      <w:jc w:val="both"/>
    </w:pPr>
    <w:rPr>
      <w:kern w:val="2"/>
      <w:sz w:val="21"/>
      <w:szCs w:val="22"/>
      <w:lang w:val="en-US" w:eastAsia="zh-CN" w:bidi="ar-SA"/>
    </w:rPr>
  </w:style>
  <w:style w:type="paragraph" w:customStyle="1" w:styleId="554">
    <w:name w:val="Char Char7 Char"/>
    <w:basedOn w:val="1"/>
    <w:qFormat/>
    <w:uiPriority w:val="0"/>
    <w:pPr>
      <w:tabs>
        <w:tab w:val="left" w:pos="425"/>
      </w:tabs>
      <w:ind w:left="420" w:leftChars="200" w:firstLine="270" w:firstLineChars="150"/>
    </w:pPr>
    <w:rPr>
      <w:szCs w:val="24"/>
    </w:rPr>
  </w:style>
  <w:style w:type="paragraph" w:customStyle="1" w:styleId="555">
    <w:name w:val="xl2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黑体" w:hAnsi="黑体" w:eastAsia="黑体"/>
      <w:kern w:val="0"/>
      <w:sz w:val="24"/>
      <w:szCs w:val="24"/>
    </w:rPr>
  </w:style>
  <w:style w:type="paragraph" w:customStyle="1" w:styleId="556">
    <w:name w:val="a"/>
    <w:basedOn w:val="1"/>
    <w:qFormat/>
    <w:uiPriority w:val="0"/>
    <w:pPr>
      <w:widowControl/>
      <w:spacing w:before="100" w:beforeAutospacing="1" w:after="100" w:afterAutospacing="1"/>
      <w:jc w:val="left"/>
    </w:pPr>
    <w:rPr>
      <w:rFonts w:ascii="宋体" w:hAnsi="宋体"/>
      <w:kern w:val="0"/>
      <w:sz w:val="24"/>
    </w:rPr>
  </w:style>
  <w:style w:type="paragraph" w:customStyle="1" w:styleId="557">
    <w:name w:val="xl72"/>
    <w:basedOn w:val="1"/>
    <w:uiPriority w:val="0"/>
    <w:pPr>
      <w:widowControl/>
      <w:shd w:val="clear" w:color="000000" w:fill="FFFFFF"/>
      <w:spacing w:before="100" w:beforeAutospacing="1" w:after="100" w:afterAutospacing="1" w:line="240" w:lineRule="auto"/>
      <w:jc w:val="left"/>
    </w:pPr>
    <w:rPr>
      <w:rFonts w:ascii="宋体" w:hAnsi="宋体"/>
      <w:color w:val="000000"/>
      <w:kern w:val="0"/>
      <w:sz w:val="18"/>
      <w:szCs w:val="18"/>
    </w:rPr>
  </w:style>
  <w:style w:type="paragraph" w:customStyle="1" w:styleId="558">
    <w:name w:val="xl3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黑体" w:hAnsi="黑体" w:eastAsia="黑体"/>
      <w:b/>
      <w:bCs/>
      <w:kern w:val="0"/>
      <w:sz w:val="24"/>
      <w:szCs w:val="24"/>
    </w:rPr>
  </w:style>
  <w:style w:type="paragraph" w:customStyle="1" w:styleId="559">
    <w:name w:val="xl2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olor w:val="FF0000"/>
      <w:kern w:val="0"/>
      <w:sz w:val="24"/>
      <w:szCs w:val="24"/>
    </w:rPr>
  </w:style>
  <w:style w:type="paragraph" w:customStyle="1" w:styleId="560">
    <w:name w:val="标题 22"/>
    <w:basedOn w:val="1"/>
    <w:next w:val="1"/>
    <w:uiPriority w:val="0"/>
    <w:pPr>
      <w:keepNext/>
      <w:keepLines/>
      <w:tabs>
        <w:tab w:val="left" w:pos="936"/>
        <w:tab w:val="left" w:pos="1380"/>
      </w:tabs>
      <w:autoSpaceDE w:val="0"/>
      <w:autoSpaceDN w:val="0"/>
      <w:spacing w:before="260" w:after="260"/>
      <w:ind w:left="1380" w:hanging="420"/>
      <w:jc w:val="left"/>
      <w:textAlignment w:val="baseline"/>
      <w:outlineLvl w:val="1"/>
    </w:pPr>
    <w:rPr>
      <w:rFonts w:ascii="Arial" w:hAnsi="Times New Roman"/>
      <w:b/>
      <w:sz w:val="32"/>
      <w:szCs w:val="24"/>
    </w:rPr>
  </w:style>
  <w:style w:type="paragraph" w:customStyle="1" w:styleId="561">
    <w:name w:val="product_spec1"/>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62">
    <w:name w:val="列出段落3"/>
    <w:basedOn w:val="1"/>
    <w:qFormat/>
    <w:uiPriority w:val="34"/>
    <w:pPr>
      <w:ind w:firstLine="420" w:firstLineChars="200"/>
    </w:pPr>
    <w:rPr>
      <w:szCs w:val="24"/>
    </w:rPr>
  </w:style>
  <w:style w:type="paragraph" w:customStyle="1" w:styleId="563">
    <w:name w:val="xl10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564">
    <w:name w:val="Table Paragraph"/>
    <w:basedOn w:val="1"/>
    <w:qFormat/>
    <w:uiPriority w:val="0"/>
    <w:pPr>
      <w:spacing w:line="240" w:lineRule="auto"/>
    </w:pPr>
    <w:rPr>
      <w:rFonts w:ascii="宋体" w:hAnsi="宋体"/>
      <w:szCs w:val="24"/>
    </w:rPr>
  </w:style>
  <w:style w:type="paragraph" w:customStyle="1" w:styleId="565">
    <w:name w:val="_Style 204"/>
    <w:qFormat/>
    <w:uiPriority w:val="99"/>
    <w:pPr>
      <w:widowControl w:val="0"/>
      <w:spacing w:line="360" w:lineRule="auto"/>
      <w:jc w:val="both"/>
    </w:pPr>
    <w:rPr>
      <w:kern w:val="2"/>
      <w:sz w:val="21"/>
      <w:lang w:val="en-US" w:eastAsia="zh-CN" w:bidi="ar-SA"/>
    </w:rPr>
  </w:style>
  <w:style w:type="paragraph" w:customStyle="1" w:styleId="566">
    <w:name w:val="纯文本2"/>
    <w:basedOn w:val="1"/>
    <w:qFormat/>
    <w:uiPriority w:val="0"/>
    <w:pPr>
      <w:adjustRightInd w:val="0"/>
      <w:textAlignment w:val="baseline"/>
    </w:pPr>
    <w:rPr>
      <w:rFonts w:ascii="宋体" w:hAnsi="Courier New" w:eastAsia="楷体_GB2312"/>
      <w:sz w:val="26"/>
    </w:rPr>
  </w:style>
  <w:style w:type="paragraph" w:customStyle="1" w:styleId="567">
    <w:name w:val="xl9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568">
    <w:name w:val="GS-4"/>
    <w:basedOn w:val="1"/>
    <w:qFormat/>
    <w:uiPriority w:val="0"/>
    <w:pPr>
      <w:numPr>
        <w:ilvl w:val="3"/>
        <w:numId w:val="2"/>
      </w:numPr>
      <w:spacing w:beforeLines="50" w:afterLines="50"/>
      <w:ind w:left="1680" w:hanging="420"/>
      <w:outlineLvl w:val="3"/>
    </w:pPr>
    <w:rPr>
      <w:rFonts w:ascii="Times New Roman" w:hAnsi="Times New Roman" w:eastAsia="新宋体" w:cs="Times New Roman"/>
      <w:b/>
      <w:sz w:val="30"/>
      <w:szCs w:val="22"/>
    </w:rPr>
  </w:style>
  <w:style w:type="paragraph" w:customStyle="1" w:styleId="569">
    <w:name w:val="xl132"/>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570">
    <w:name w:val="正文文本缩进 31"/>
    <w:basedOn w:val="1"/>
    <w:uiPriority w:val="0"/>
    <w:pPr>
      <w:spacing w:after="120" w:line="240" w:lineRule="auto"/>
      <w:ind w:left="420" w:leftChars="200"/>
    </w:pPr>
    <w:rPr>
      <w:rFonts w:ascii="Times New Roman" w:hAnsi="Times New Roman" w:eastAsia="Times New Roman"/>
      <w:sz w:val="16"/>
      <w:szCs w:val="16"/>
    </w:rPr>
  </w:style>
  <w:style w:type="paragraph" w:customStyle="1" w:styleId="571">
    <w:name w:val="p17"/>
    <w:basedOn w:val="1"/>
    <w:uiPriority w:val="0"/>
    <w:pPr>
      <w:widowControl/>
      <w:spacing w:after="120" w:line="240" w:lineRule="auto"/>
    </w:pPr>
    <w:rPr>
      <w:rFonts w:ascii="Times New Roman" w:hAnsi="Times New Roman"/>
      <w:kern w:val="0"/>
      <w:szCs w:val="21"/>
    </w:rPr>
  </w:style>
  <w:style w:type="paragraph" w:customStyle="1" w:styleId="572">
    <w:name w:val="_标题3"/>
    <w:basedOn w:val="1"/>
    <w:next w:val="1"/>
    <w:qFormat/>
    <w:uiPriority w:val="0"/>
    <w:pPr>
      <w:keepNext/>
      <w:keepLines/>
      <w:widowControl/>
      <w:tabs>
        <w:tab w:val="left" w:pos="720"/>
      </w:tabs>
      <w:spacing w:beforeLines="100" w:afterLines="100" w:line="480" w:lineRule="exact"/>
      <w:jc w:val="left"/>
      <w:outlineLvl w:val="2"/>
    </w:pPr>
    <w:rPr>
      <w:rFonts w:cs="Times New Roman"/>
      <w:b/>
      <w:sz w:val="32"/>
      <w:szCs w:val="28"/>
    </w:rPr>
  </w:style>
  <w:style w:type="paragraph" w:customStyle="1" w:styleId="573">
    <w:name w:val="默认段落字体 Para Char Char Char"/>
    <w:basedOn w:val="1"/>
    <w:uiPriority w:val="0"/>
    <w:pPr>
      <w:spacing w:line="240" w:lineRule="auto"/>
    </w:pPr>
    <w:rPr>
      <w:rFonts w:ascii="Times New Roman" w:hAnsi="Times New Roman"/>
      <w:szCs w:val="24"/>
    </w:rPr>
  </w:style>
  <w:style w:type="paragraph" w:customStyle="1" w:styleId="574">
    <w:name w:val="列出段落121"/>
    <w:basedOn w:val="1"/>
    <w:qFormat/>
    <w:uiPriority w:val="34"/>
    <w:pPr>
      <w:widowControl/>
      <w:spacing w:after="200" w:line="276" w:lineRule="auto"/>
      <w:ind w:left="720"/>
      <w:contextualSpacing/>
      <w:jc w:val="left"/>
    </w:pPr>
    <w:rPr>
      <w:kern w:val="0"/>
      <w:sz w:val="22"/>
      <w:lang w:val="tr-TR" w:eastAsia="en-US"/>
    </w:rPr>
  </w:style>
  <w:style w:type="paragraph" w:customStyle="1" w:styleId="575">
    <w:name w:val="列出段落12"/>
    <w:basedOn w:val="1"/>
    <w:qFormat/>
    <w:uiPriority w:val="0"/>
    <w:pPr>
      <w:widowControl/>
      <w:spacing w:after="200" w:line="276" w:lineRule="auto"/>
      <w:ind w:left="720"/>
      <w:contextualSpacing/>
      <w:jc w:val="left"/>
    </w:pPr>
    <w:rPr>
      <w:kern w:val="0"/>
      <w:sz w:val="22"/>
      <w:lang w:val="tr-TR" w:eastAsia="en-US"/>
    </w:rPr>
  </w:style>
  <w:style w:type="paragraph" w:customStyle="1" w:styleId="576">
    <w:name w:val="xl8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577">
    <w:name w:val="Char3"/>
    <w:basedOn w:val="1"/>
    <w:qFormat/>
    <w:uiPriority w:val="0"/>
    <w:pPr>
      <w:tabs>
        <w:tab w:val="left" w:pos="360"/>
      </w:tabs>
    </w:pPr>
    <w:rPr>
      <w:sz w:val="24"/>
      <w:szCs w:val="24"/>
    </w:rPr>
  </w:style>
  <w:style w:type="paragraph" w:customStyle="1" w:styleId="578">
    <w:name w:val="xl68"/>
    <w:basedOn w:val="1"/>
    <w:uiPriority w:val="0"/>
    <w:pPr>
      <w:widowControl/>
      <w:pBdr>
        <w:top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579">
    <w:name w:val="xl137"/>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580">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b/>
      <w:bCs/>
      <w:kern w:val="0"/>
      <w:sz w:val="20"/>
    </w:rPr>
  </w:style>
  <w:style w:type="paragraph" w:customStyle="1" w:styleId="581">
    <w:name w:val="正文文本3"/>
    <w:basedOn w:val="1"/>
    <w:uiPriority w:val="0"/>
    <w:pPr>
      <w:shd w:val="clear" w:color="auto" w:fill="FFFFFF"/>
      <w:spacing w:before="180" w:line="425" w:lineRule="exact"/>
      <w:jc w:val="distribute"/>
    </w:pPr>
    <w:rPr>
      <w:rFonts w:ascii="宋体" w:hAnsi="宋体"/>
      <w:kern w:val="0"/>
      <w:sz w:val="23"/>
      <w:szCs w:val="23"/>
    </w:rPr>
  </w:style>
  <w:style w:type="paragraph" w:customStyle="1" w:styleId="582">
    <w:name w:val="xl11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83">
    <w:name w:val="华宇段落1"/>
    <w:basedOn w:val="1"/>
    <w:uiPriority w:val="0"/>
    <w:pPr>
      <w:ind w:firstLine="420" w:firstLineChars="175"/>
    </w:pPr>
    <w:rPr>
      <w:rFonts w:ascii="宋体" w:hAnsi="宋体"/>
      <w:kern w:val="0"/>
      <w:sz w:val="24"/>
    </w:rPr>
  </w:style>
  <w:style w:type="paragraph" w:customStyle="1" w:styleId="584">
    <w:name w:val="条文1"/>
    <w:basedOn w:val="1"/>
    <w:qFormat/>
    <w:uiPriority w:val="0"/>
    <w:pPr>
      <w:numPr>
        <w:ilvl w:val="0"/>
        <w:numId w:val="3"/>
      </w:numPr>
      <w:tabs>
        <w:tab w:val="left" w:pos="720"/>
      </w:tabs>
    </w:pPr>
    <w:rPr>
      <w:rFonts w:ascii="MS UI Gothic" w:hAnsi="MS UI Gothic"/>
      <w:kern w:val="44"/>
      <w:sz w:val="24"/>
    </w:rPr>
  </w:style>
  <w:style w:type="paragraph" w:customStyle="1" w:styleId="585">
    <w:name w:val="Char Char7 Char2"/>
    <w:basedOn w:val="1"/>
    <w:qFormat/>
    <w:uiPriority w:val="0"/>
    <w:pPr>
      <w:tabs>
        <w:tab w:val="left" w:pos="425"/>
      </w:tabs>
      <w:ind w:left="420" w:leftChars="200" w:firstLine="270" w:firstLineChars="150"/>
    </w:pPr>
    <w:rPr>
      <w:szCs w:val="24"/>
    </w:rPr>
  </w:style>
  <w:style w:type="paragraph" w:customStyle="1" w:styleId="586">
    <w:name w:val="_Style 16"/>
    <w:uiPriority w:val="0"/>
    <w:pPr>
      <w:widowControl w:val="0"/>
      <w:jc w:val="both"/>
    </w:pPr>
    <w:rPr>
      <w:rFonts w:cs="黑体"/>
      <w:kern w:val="2"/>
      <w:sz w:val="21"/>
      <w:szCs w:val="22"/>
      <w:lang w:val="en-US" w:eastAsia="zh-CN" w:bidi="ar-SA"/>
    </w:rPr>
  </w:style>
  <w:style w:type="paragraph" w:customStyle="1" w:styleId="587">
    <w:name w:val="金保标题1"/>
    <w:basedOn w:val="4"/>
    <w:next w:val="1"/>
    <w:uiPriority w:val="0"/>
    <w:pPr>
      <w:keepNext/>
      <w:keepLines/>
      <w:pageBreakBefore/>
      <w:tabs>
        <w:tab w:val="left" w:pos="720"/>
      </w:tabs>
      <w:adjustRightInd/>
      <w:spacing w:before="340" w:after="330" w:line="240" w:lineRule="auto"/>
      <w:ind w:left="144" w:hanging="144"/>
      <w:textAlignment w:val="auto"/>
    </w:pPr>
    <w:rPr>
      <w:rFonts w:ascii="黑体" w:hAnsi="Tahoma" w:eastAsia="黑体"/>
      <w:b w:val="0"/>
      <w:bCs/>
      <w:kern w:val="44"/>
      <w:sz w:val="44"/>
      <w:szCs w:val="44"/>
      <w:lang w:val="en-US" w:eastAsia="zh-CN"/>
    </w:rPr>
  </w:style>
  <w:style w:type="paragraph" w:customStyle="1" w:styleId="588">
    <w:name w:val="字元 字元11"/>
    <w:basedOn w:val="1"/>
    <w:qFormat/>
    <w:uiPriority w:val="99"/>
    <w:pPr>
      <w:widowControl/>
      <w:spacing w:after="160" w:line="240" w:lineRule="exact"/>
      <w:jc w:val="left"/>
    </w:pPr>
    <w:rPr>
      <w:rFonts w:ascii="Times New Roman" w:hAnsi="Times New Roman"/>
      <w:sz w:val="28"/>
    </w:rPr>
  </w:style>
  <w:style w:type="paragraph" w:customStyle="1" w:styleId="589">
    <w:name w:val="xl11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90">
    <w:name w:val="Char Char9 Char Char"/>
    <w:basedOn w:val="1"/>
    <w:uiPriority w:val="0"/>
    <w:pPr>
      <w:tabs>
        <w:tab w:val="left" w:pos="360"/>
      </w:tabs>
      <w:spacing w:line="240" w:lineRule="auto"/>
    </w:pPr>
    <w:rPr>
      <w:rFonts w:ascii="Times New Roman" w:hAnsi="Times New Roman" w:cs="Times New Roman"/>
      <w:szCs w:val="24"/>
    </w:rPr>
  </w:style>
  <w:style w:type="paragraph" w:customStyle="1" w:styleId="591">
    <w:name w:val="_标题8"/>
    <w:basedOn w:val="1"/>
    <w:next w:val="1"/>
    <w:qFormat/>
    <w:uiPriority w:val="0"/>
    <w:pPr>
      <w:widowControl/>
      <w:tabs>
        <w:tab w:val="left" w:pos="1440"/>
      </w:tabs>
      <w:spacing w:beforeLines="50" w:afterLines="50" w:line="480" w:lineRule="exact"/>
      <w:ind w:left="1618" w:leftChars="200" w:hanging="1418" w:firstLineChars="200"/>
      <w:jc w:val="left"/>
      <w:outlineLvl w:val="7"/>
    </w:pPr>
    <w:rPr>
      <w:rFonts w:cs="Times New Roman"/>
      <w:b/>
      <w:sz w:val="24"/>
      <w:szCs w:val="28"/>
    </w:rPr>
  </w:style>
  <w:style w:type="paragraph" w:customStyle="1" w:styleId="592">
    <w:name w:val="xl77"/>
    <w:basedOn w:val="1"/>
    <w:uiPriority w:val="0"/>
    <w:pPr>
      <w:widowControl/>
      <w:pBdr>
        <w:top w:val="single" w:color="000000" w:sz="4" w:space="0"/>
        <w:left w:val="single" w:color="000000" w:sz="4" w:space="0"/>
        <w:right w:val="single" w:color="000000" w:sz="4" w:space="0"/>
      </w:pBdr>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593">
    <w:name w:val="标题 4（绿盟科技）"/>
    <w:basedOn w:val="7"/>
    <w:next w:val="300"/>
    <w:uiPriority w:val="0"/>
    <w:pPr>
      <w:widowControl/>
      <w:numPr>
        <w:ilvl w:val="0"/>
        <w:numId w:val="4"/>
      </w:numPr>
      <w:tabs>
        <w:tab w:val="left" w:pos="1440"/>
        <w:tab w:val="clear" w:pos="1575"/>
        <w:tab w:val="clear" w:pos="1680"/>
        <w:tab w:val="clear" w:pos="1771"/>
        <w:tab w:val="clear" w:pos="1995"/>
        <w:tab w:val="clear" w:pos="2100"/>
      </w:tabs>
      <w:adjustRightInd/>
      <w:spacing w:before="240" w:after="156" w:line="240" w:lineRule="auto"/>
      <w:jc w:val="left"/>
      <w:textAlignment w:val="auto"/>
    </w:pPr>
    <w:rPr>
      <w:rFonts w:ascii="Arial" w:hAnsi="Arial" w:eastAsia="黑体"/>
      <w:sz w:val="21"/>
      <w:szCs w:val="24"/>
      <w:lang w:val="en-US" w:eastAsia="zh-CN"/>
    </w:rPr>
  </w:style>
  <w:style w:type="paragraph" w:customStyle="1" w:styleId="594">
    <w:name w:val="f1"/>
    <w:basedOn w:val="1"/>
    <w:qFormat/>
    <w:uiPriority w:val="0"/>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595">
    <w:name w:val="Char Char2 Char"/>
    <w:basedOn w:val="1"/>
    <w:qFormat/>
    <w:uiPriority w:val="0"/>
    <w:pPr>
      <w:keepNext/>
      <w:keepLines/>
      <w:pageBreakBefore/>
      <w:tabs>
        <w:tab w:val="left" w:pos="845"/>
      </w:tabs>
      <w:suppressAutoHyphens/>
      <w:spacing w:line="240" w:lineRule="auto"/>
      <w:ind w:left="845" w:hanging="420"/>
    </w:pPr>
    <w:rPr>
      <w:rFonts w:ascii="Tahoma" w:hAnsi="Tahoma" w:cs="Tahoma"/>
      <w:kern w:val="1"/>
      <w:sz w:val="24"/>
      <w:lang w:eastAsia="ar-SA"/>
    </w:rPr>
  </w:style>
  <w:style w:type="paragraph" w:customStyle="1" w:styleId="596">
    <w:name w:val="Char Char Char Char Char Char Char Char Char Char Char Char Char Char Char1 Char"/>
    <w:basedOn w:val="1"/>
    <w:uiPriority w:val="0"/>
    <w:pPr>
      <w:spacing w:line="240" w:lineRule="auto"/>
    </w:pPr>
    <w:rPr>
      <w:rFonts w:ascii="Times New Roman" w:hAnsi="Times New Roman" w:cs="Times New Roman"/>
      <w:sz w:val="28"/>
    </w:rPr>
  </w:style>
  <w:style w:type="paragraph" w:customStyle="1" w:styleId="597">
    <w:name w:val="xl63"/>
    <w:basedOn w:val="1"/>
    <w:uiPriority w:val="0"/>
    <w:pPr>
      <w:widowControl/>
      <w:pBdr>
        <w:top w:val="single" w:color="000000" w:sz="4" w:space="0"/>
        <w:bottom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598">
    <w:name w:val="xl85"/>
    <w:basedOn w:val="1"/>
    <w:uiPriority w:val="0"/>
    <w:pPr>
      <w:widowControl/>
      <w:pBdr>
        <w:bottom w:val="single" w:color="auto" w:sz="8" w:space="0"/>
        <w:right w:val="single" w:color="auto" w:sz="8" w:space="0"/>
      </w:pBdr>
      <w:spacing w:before="100" w:beforeAutospacing="1" w:after="100" w:afterAutospacing="1" w:line="240" w:lineRule="auto"/>
      <w:jc w:val="center"/>
    </w:pPr>
    <w:rPr>
      <w:rFonts w:ascii="仿宋" w:hAnsi="仿宋" w:eastAsia="仿宋"/>
      <w:color w:val="FF0000"/>
      <w:kern w:val="0"/>
      <w:sz w:val="24"/>
      <w:szCs w:val="24"/>
    </w:rPr>
  </w:style>
  <w:style w:type="paragraph" w:customStyle="1" w:styleId="599">
    <w:name w:val="p16"/>
    <w:basedOn w:val="1"/>
    <w:uiPriority w:val="0"/>
    <w:pPr>
      <w:widowControl/>
      <w:snapToGrid w:val="0"/>
      <w:spacing w:line="312" w:lineRule="atLeast"/>
      <w:ind w:firstLine="420"/>
    </w:pPr>
    <w:rPr>
      <w:rFonts w:ascii="宋体" w:hAnsi="宋体"/>
      <w:kern w:val="0"/>
      <w:szCs w:val="21"/>
    </w:rPr>
  </w:style>
  <w:style w:type="paragraph" w:customStyle="1" w:styleId="600">
    <w:name w:val="正文1"/>
    <w:qFormat/>
    <w:uiPriority w:val="0"/>
    <w:pPr>
      <w:widowControl w:val="0"/>
      <w:jc w:val="both"/>
    </w:pPr>
    <w:rPr>
      <w:rFonts w:hint="eastAsia"/>
      <w:kern w:val="2"/>
      <w:sz w:val="21"/>
      <w:lang w:val="en-US" w:eastAsia="zh-CN" w:bidi="ar-SA"/>
    </w:rPr>
  </w:style>
  <w:style w:type="paragraph" w:customStyle="1" w:styleId="601">
    <w:name w:val="Char4"/>
    <w:basedOn w:val="4"/>
    <w:qFormat/>
    <w:uiPriority w:val="0"/>
    <w:pPr>
      <w:keepNext/>
      <w:keepLines/>
      <w:snapToGrid w:val="0"/>
      <w:spacing w:before="240" w:after="240" w:line="348" w:lineRule="auto"/>
      <w:textAlignment w:val="auto"/>
    </w:pPr>
    <w:rPr>
      <w:bCs/>
      <w:kern w:val="44"/>
      <w:sz w:val="32"/>
      <w:szCs w:val="44"/>
    </w:rPr>
  </w:style>
  <w:style w:type="paragraph" w:customStyle="1" w:styleId="602">
    <w:name w:val="_Style 141"/>
    <w:basedOn w:val="1"/>
    <w:uiPriority w:val="0"/>
    <w:pPr>
      <w:spacing w:line="240" w:lineRule="auto"/>
    </w:pPr>
    <w:rPr>
      <w:rFonts w:ascii="Times New Roman" w:hAnsi="Times New Roman" w:cs="Times New Roman"/>
    </w:rPr>
  </w:style>
  <w:style w:type="paragraph" w:customStyle="1" w:styleId="603">
    <w:name w:val="List Paragraph"/>
    <w:basedOn w:val="1"/>
    <w:qFormat/>
    <w:uiPriority w:val="0"/>
    <w:pPr>
      <w:spacing w:line="240" w:lineRule="auto"/>
      <w:ind w:firstLine="420" w:firstLineChars="200"/>
    </w:pPr>
    <w:rPr>
      <w:rFonts w:eastAsia="楷体_GB2312"/>
      <w:sz w:val="24"/>
    </w:rPr>
  </w:style>
  <w:style w:type="paragraph" w:customStyle="1" w:styleId="604">
    <w:name w:val="p15"/>
    <w:basedOn w:val="1"/>
    <w:uiPriority w:val="0"/>
    <w:pPr>
      <w:widowControl/>
      <w:spacing w:after="120" w:line="240" w:lineRule="auto"/>
    </w:pPr>
    <w:rPr>
      <w:rFonts w:ascii="Times New Roman" w:hAnsi="Times New Roman"/>
      <w:kern w:val="0"/>
      <w:szCs w:val="21"/>
    </w:rPr>
  </w:style>
  <w:style w:type="paragraph" w:customStyle="1" w:styleId="605">
    <w:name w:val="xl12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06">
    <w:name w:val="xl73"/>
    <w:basedOn w:val="1"/>
    <w:uiPriority w:val="0"/>
    <w:pPr>
      <w:widowControl/>
      <w:shd w:val="clear" w:color="000000" w:fill="FFFFFF"/>
      <w:spacing w:before="100" w:beforeAutospacing="1" w:after="100" w:afterAutospacing="1" w:line="240" w:lineRule="auto"/>
      <w:jc w:val="center"/>
      <w:textAlignment w:val="center"/>
    </w:pPr>
    <w:rPr>
      <w:rFonts w:ascii="宋体" w:hAnsi="宋体"/>
      <w:b/>
      <w:bCs/>
      <w:color w:val="000000"/>
      <w:kern w:val="0"/>
      <w:sz w:val="40"/>
      <w:szCs w:val="40"/>
    </w:rPr>
  </w:style>
  <w:style w:type="paragraph" w:customStyle="1" w:styleId="607">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08">
    <w:name w:val="_标题2"/>
    <w:basedOn w:val="1"/>
    <w:next w:val="1"/>
    <w:qFormat/>
    <w:uiPriority w:val="0"/>
    <w:pPr>
      <w:keepNext/>
      <w:keepLines/>
      <w:widowControl/>
      <w:tabs>
        <w:tab w:val="left" w:pos="576"/>
      </w:tabs>
      <w:spacing w:beforeLines="100" w:afterLines="100" w:line="480" w:lineRule="exact"/>
      <w:jc w:val="left"/>
      <w:outlineLvl w:val="1"/>
    </w:pPr>
    <w:rPr>
      <w:rFonts w:cs="Times New Roman"/>
      <w:b/>
      <w:sz w:val="36"/>
      <w:szCs w:val="28"/>
    </w:rPr>
  </w:style>
  <w:style w:type="paragraph" w:customStyle="1" w:styleId="609">
    <w:name w:val="xl126"/>
    <w:basedOn w:val="1"/>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10">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color w:val="000000"/>
      <w:kern w:val="0"/>
      <w:sz w:val="24"/>
      <w:szCs w:val="24"/>
    </w:rPr>
  </w:style>
  <w:style w:type="paragraph" w:customStyle="1" w:styleId="611">
    <w:name w:val="标题 81"/>
    <w:basedOn w:val="1"/>
    <w:next w:val="1"/>
    <w:uiPriority w:val="0"/>
    <w:pPr>
      <w:keepNext/>
      <w:keepLines/>
      <w:tabs>
        <w:tab w:val="left" w:pos="1440"/>
        <w:tab w:val="left" w:pos="3900"/>
      </w:tabs>
      <w:spacing w:before="240" w:after="64" w:line="317" w:lineRule="auto"/>
      <w:ind w:left="3900" w:hanging="420"/>
      <w:textAlignment w:val="baseline"/>
      <w:outlineLvl w:val="7"/>
    </w:pPr>
    <w:rPr>
      <w:rFonts w:ascii="Arial" w:hAnsi="Arial" w:eastAsia="黑体"/>
      <w:sz w:val="24"/>
      <w:szCs w:val="24"/>
    </w:rPr>
  </w:style>
  <w:style w:type="paragraph" w:customStyle="1" w:styleId="612">
    <w:name w:val="列出段落4"/>
    <w:basedOn w:val="1"/>
    <w:unhideWhenUsed/>
    <w:uiPriority w:val="34"/>
    <w:pPr>
      <w:spacing w:line="240" w:lineRule="auto"/>
      <w:ind w:firstLine="420" w:firstLineChars="200"/>
    </w:pPr>
    <w:rPr>
      <w:rFonts w:ascii="Times New Roman" w:hAnsi="Times New Roman"/>
      <w:szCs w:val="24"/>
    </w:rPr>
  </w:style>
  <w:style w:type="paragraph" w:customStyle="1" w:styleId="613">
    <w:name w:val="标准正文"/>
    <w:basedOn w:val="1"/>
    <w:qFormat/>
    <w:uiPriority w:val="0"/>
    <w:pPr>
      <w:ind w:firstLine="200" w:firstLineChars="200"/>
    </w:pPr>
    <w:rPr>
      <w:sz w:val="24"/>
    </w:rPr>
  </w:style>
  <w:style w:type="paragraph" w:customStyle="1" w:styleId="614">
    <w:name w:val="xl66"/>
    <w:basedOn w:val="1"/>
    <w:uiPriority w:val="0"/>
    <w:pPr>
      <w:widowControl/>
      <w:pBdr>
        <w:righ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615">
    <w:name w:val="xl1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b/>
      <w:bCs/>
      <w:kern w:val="0"/>
      <w:sz w:val="24"/>
      <w:szCs w:val="24"/>
    </w:rPr>
  </w:style>
  <w:style w:type="paragraph" w:customStyle="1" w:styleId="616">
    <w:name w:val="xl10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right"/>
    </w:pPr>
    <w:rPr>
      <w:rFonts w:ascii="微软雅黑" w:hAnsi="微软雅黑" w:eastAsia="微软雅黑"/>
      <w:kern w:val="0"/>
      <w:sz w:val="16"/>
      <w:szCs w:val="16"/>
    </w:rPr>
  </w:style>
  <w:style w:type="paragraph" w:customStyle="1" w:styleId="617">
    <w:name w:val="xl97"/>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18">
    <w:name w:val="_Style 153"/>
    <w:next w:val="1"/>
    <w:uiPriority w:val="99"/>
    <w:pPr>
      <w:widowControl w:val="0"/>
      <w:jc w:val="both"/>
    </w:pPr>
    <w:rPr>
      <w:kern w:val="2"/>
      <w:sz w:val="21"/>
      <w:szCs w:val="24"/>
      <w:lang w:val="en-US" w:eastAsia="zh-CN" w:bidi="ar-SA"/>
    </w:rPr>
  </w:style>
  <w:style w:type="paragraph" w:customStyle="1" w:styleId="619">
    <w:name w:val="xl129"/>
    <w:basedOn w:val="1"/>
    <w:qFormat/>
    <w:uiPriority w:val="0"/>
    <w:pPr>
      <w:widowControl/>
      <w:pBdr>
        <w:top w:val="single" w:color="auto" w:sz="4" w:space="0"/>
        <w:lef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20">
    <w:name w:val="list-blue check"/>
    <w:basedOn w:val="1"/>
    <w:uiPriority w:val="0"/>
    <w:pPr>
      <w:tabs>
        <w:tab w:val="left" w:pos="420"/>
        <w:tab w:val="left" w:pos="780"/>
      </w:tabs>
      <w:overflowPunct w:val="0"/>
      <w:autoSpaceDE w:val="0"/>
      <w:autoSpaceDN w:val="0"/>
      <w:adjustRightInd w:val="0"/>
      <w:spacing w:line="336" w:lineRule="auto"/>
      <w:ind w:left="780" w:hanging="420"/>
      <w:jc w:val="left"/>
    </w:pPr>
    <w:rPr>
      <w:rFonts w:eastAsia="微软雅黑"/>
      <w:kern w:val="0"/>
      <w:sz w:val="20"/>
    </w:rPr>
  </w:style>
  <w:style w:type="paragraph" w:customStyle="1" w:styleId="621">
    <w:name w:val="样式5"/>
    <w:basedOn w:val="1"/>
    <w:uiPriority w:val="0"/>
    <w:pPr>
      <w:jc w:val="left"/>
      <w:outlineLvl w:val="2"/>
    </w:pPr>
    <w:rPr>
      <w:rFonts w:ascii="宋体" w:hAnsi="宋体"/>
      <w:b/>
      <w:bCs/>
      <w:sz w:val="52"/>
    </w:rPr>
  </w:style>
  <w:style w:type="paragraph" w:customStyle="1" w:styleId="622">
    <w:name w:val="缺省文本"/>
    <w:uiPriority w:val="0"/>
    <w:pPr>
      <w:autoSpaceDE w:val="0"/>
      <w:autoSpaceDN w:val="0"/>
      <w:adjustRightInd w:val="0"/>
      <w:spacing w:line="300" w:lineRule="auto"/>
      <w:ind w:firstLine="200" w:firstLineChars="200"/>
    </w:pPr>
    <w:rPr>
      <w:rFonts w:eastAsia="Times New Roman"/>
      <w:sz w:val="24"/>
      <w:lang w:val="en-US" w:eastAsia="zh-CN" w:bidi="ar-SA"/>
    </w:rPr>
  </w:style>
  <w:style w:type="paragraph" w:customStyle="1" w:styleId="623">
    <w:name w:val="xl125"/>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24">
    <w:name w:val="无间隔11"/>
    <w:basedOn w:val="1"/>
    <w:qFormat/>
    <w:uiPriority w:val="0"/>
    <w:rPr>
      <w:rFonts w:ascii="等线" w:hAnsi="等线" w:eastAsia="等线"/>
      <w:szCs w:val="21"/>
    </w:rPr>
  </w:style>
  <w:style w:type="paragraph" w:customStyle="1" w:styleId="625">
    <w:name w:val="he"/>
    <w:basedOn w:val="1"/>
    <w:next w:val="1"/>
    <w:uiPriority w:val="0"/>
    <w:pPr>
      <w:keepNext/>
      <w:keepLines/>
      <w:spacing w:before="260" w:after="260" w:line="416" w:lineRule="auto"/>
    </w:pPr>
    <w:rPr>
      <w:rFonts w:ascii="Times New Roman" w:hAnsi="Times New Roman"/>
      <w:b/>
      <w:bCs/>
      <w:sz w:val="32"/>
      <w:szCs w:val="32"/>
    </w:rPr>
  </w:style>
  <w:style w:type="paragraph" w:customStyle="1" w:styleId="626">
    <w:name w:val="图表标题"/>
    <w:basedOn w:val="1"/>
    <w:qFormat/>
    <w:uiPriority w:val="0"/>
    <w:pPr>
      <w:adjustRightInd w:val="0"/>
      <w:jc w:val="center"/>
    </w:pPr>
    <w:rPr>
      <w:rFonts w:ascii="仿宋" w:hAnsi="仿宋" w:eastAsia="仿宋" w:cs="仿宋"/>
      <w:b/>
      <w:szCs w:val="24"/>
    </w:rPr>
  </w:style>
  <w:style w:type="paragraph" w:customStyle="1" w:styleId="627">
    <w:name w:val="正文 New"/>
    <w:qFormat/>
    <w:uiPriority w:val="0"/>
    <w:pPr>
      <w:widowControl w:val="0"/>
      <w:jc w:val="both"/>
    </w:pPr>
    <w:rPr>
      <w:kern w:val="2"/>
      <w:sz w:val="21"/>
      <w:szCs w:val="24"/>
      <w:lang w:val="en-US" w:eastAsia="zh-CN" w:bidi="ar-SA"/>
    </w:rPr>
  </w:style>
  <w:style w:type="paragraph" w:styleId="628">
    <w:name w:val=""/>
    <w:basedOn w:val="4"/>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629">
    <w:name w:val="Char Char1 Char Char Char Char1 Char Char Char"/>
    <w:basedOn w:val="1"/>
    <w:uiPriority w:val="0"/>
    <w:pPr>
      <w:adjustRightInd w:val="0"/>
      <w:spacing w:line="360" w:lineRule="atLeast"/>
      <w:textAlignment w:val="baseline"/>
    </w:pPr>
    <w:rPr>
      <w:rFonts w:ascii="Tahoma" w:hAnsi="Tahoma" w:cs="Times New Roman"/>
      <w:sz w:val="24"/>
    </w:rPr>
  </w:style>
  <w:style w:type="paragraph" w:customStyle="1" w:styleId="630">
    <w:name w:val="简单回函地址"/>
    <w:basedOn w:val="1"/>
    <w:uiPriority w:val="0"/>
    <w:rPr>
      <w:rFonts w:ascii="Tahoma" w:hAnsi="Tahoma"/>
      <w:sz w:val="24"/>
      <w:szCs w:val="24"/>
    </w:rPr>
  </w:style>
  <w:style w:type="paragraph" w:customStyle="1" w:styleId="631">
    <w:name w:val="xl12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32">
    <w:name w:val="xl9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33">
    <w:name w:val="标题 21"/>
    <w:basedOn w:val="1"/>
    <w:next w:val="1"/>
    <w:uiPriority w:val="0"/>
    <w:pPr>
      <w:keepNext/>
      <w:keepLines/>
      <w:tabs>
        <w:tab w:val="left" w:pos="936"/>
        <w:tab w:val="left" w:pos="1380"/>
      </w:tabs>
      <w:autoSpaceDE w:val="0"/>
      <w:autoSpaceDN w:val="0"/>
      <w:spacing w:before="260" w:after="260"/>
      <w:ind w:left="1380" w:hanging="420"/>
      <w:jc w:val="left"/>
      <w:textAlignment w:val="baseline"/>
      <w:outlineLvl w:val="1"/>
    </w:pPr>
    <w:rPr>
      <w:rFonts w:ascii="Arial" w:hAnsi="Times New Roman"/>
      <w:b/>
      <w:sz w:val="32"/>
      <w:szCs w:val="24"/>
    </w:rPr>
  </w:style>
  <w:style w:type="paragraph" w:customStyle="1" w:styleId="634">
    <w:name w:val="金保文档标准正文 Char"/>
    <w:basedOn w:val="1"/>
    <w:uiPriority w:val="0"/>
    <w:pPr>
      <w:ind w:firstLine="480" w:firstLineChars="200"/>
      <w:jc w:val="left"/>
    </w:pPr>
    <w:rPr>
      <w:rFonts w:ascii="Times New Roman" w:hAnsi="Times New Roman"/>
      <w:szCs w:val="24"/>
    </w:rPr>
  </w:style>
  <w:style w:type="paragraph" w:customStyle="1" w:styleId="635">
    <w:name w:val="Char Char Char Char Char Char"/>
    <w:basedOn w:val="1"/>
    <w:qFormat/>
    <w:uiPriority w:val="0"/>
    <w:pPr>
      <w:widowControl/>
      <w:spacing w:after="160" w:line="240" w:lineRule="exact"/>
      <w:jc w:val="left"/>
    </w:pPr>
    <w:rPr>
      <w:kern w:val="0"/>
    </w:rPr>
  </w:style>
  <w:style w:type="paragraph" w:customStyle="1" w:styleId="636">
    <w:name w:val="Char"/>
    <w:basedOn w:val="1"/>
    <w:qFormat/>
    <w:uiPriority w:val="0"/>
    <w:pPr>
      <w:tabs>
        <w:tab w:val="left" w:pos="360"/>
      </w:tabs>
    </w:pPr>
    <w:rPr>
      <w:sz w:val="24"/>
      <w:szCs w:val="24"/>
    </w:rPr>
  </w:style>
  <w:style w:type="paragraph" w:customStyle="1" w:styleId="637">
    <w:name w:val="xl78"/>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38">
    <w:name w:val="xl64"/>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639">
    <w:name w:val="Char Char Char1 Char Char Char Char2"/>
    <w:basedOn w:val="1"/>
    <w:qFormat/>
    <w:uiPriority w:val="0"/>
    <w:pPr>
      <w:widowControl/>
      <w:spacing w:after="160" w:line="240" w:lineRule="exact"/>
      <w:jc w:val="left"/>
    </w:pPr>
    <w:rPr>
      <w:szCs w:val="24"/>
    </w:rPr>
  </w:style>
  <w:style w:type="paragraph" w:customStyle="1" w:styleId="640">
    <w:name w:val="无间隔2"/>
    <w:qFormat/>
    <w:uiPriority w:val="0"/>
    <w:rPr>
      <w:sz w:val="22"/>
      <w:szCs w:val="22"/>
      <w:lang w:val="en-US" w:eastAsia="zh-CN" w:bidi="ar-SA"/>
    </w:rPr>
  </w:style>
  <w:style w:type="paragraph" w:customStyle="1" w:styleId="641">
    <w:name w:val="纯文本11"/>
    <w:basedOn w:val="1"/>
    <w:qFormat/>
    <w:uiPriority w:val="0"/>
    <w:pPr>
      <w:adjustRightInd w:val="0"/>
      <w:spacing w:line="240" w:lineRule="auto"/>
      <w:textAlignment w:val="baseline"/>
    </w:pPr>
    <w:rPr>
      <w:rFonts w:ascii="宋体" w:hAnsi="Courier New" w:eastAsia="楷体_GB2312"/>
      <w:sz w:val="26"/>
    </w:rPr>
  </w:style>
  <w:style w:type="paragraph" w:customStyle="1" w:styleId="642">
    <w:name w:val="xl65"/>
    <w:basedOn w:val="1"/>
    <w:uiPriority w:val="0"/>
    <w:pPr>
      <w:widowControl/>
      <w:pBdr>
        <w:top w:val="single" w:color="000000" w:sz="4" w:space="0"/>
        <w:righ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643">
    <w:name w:val="目录标题"/>
    <w:basedOn w:val="1"/>
    <w:next w:val="1"/>
    <w:uiPriority w:val="0"/>
    <w:pPr>
      <w:widowControl/>
      <w:spacing w:before="566" w:after="544" w:line="566" w:lineRule="atLeast"/>
      <w:ind w:firstLine="419"/>
      <w:jc w:val="center"/>
      <w:textAlignment w:val="baseline"/>
    </w:pPr>
    <w:rPr>
      <w:rFonts w:ascii="Arial" w:hAnsi="Times New Roman" w:eastAsia="黑体" w:cs="Times New Roman"/>
      <w:color w:val="000000"/>
      <w:spacing w:val="566"/>
      <w:kern w:val="0"/>
      <w:sz w:val="54"/>
      <w:u w:val="none" w:color="000000"/>
    </w:rPr>
  </w:style>
  <w:style w:type="paragraph" w:customStyle="1" w:styleId="644">
    <w:name w:val="_Style 66"/>
    <w:next w:val="1"/>
    <w:qFormat/>
    <w:uiPriority w:val="0"/>
    <w:pPr>
      <w:widowControl w:val="0"/>
      <w:jc w:val="both"/>
    </w:pPr>
    <w:rPr>
      <w:kern w:val="2"/>
      <w:sz w:val="21"/>
      <w:szCs w:val="24"/>
      <w:lang w:val="en-US" w:eastAsia="zh-CN" w:bidi="ar-SA"/>
    </w:rPr>
  </w:style>
  <w:style w:type="paragraph" w:customStyle="1" w:styleId="645">
    <w:name w:val="xl9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46">
    <w:name w:val="列出段落11"/>
    <w:basedOn w:val="1"/>
    <w:qFormat/>
    <w:uiPriority w:val="0"/>
    <w:pPr>
      <w:widowControl/>
      <w:spacing w:after="200" w:line="276" w:lineRule="auto"/>
      <w:ind w:left="720"/>
      <w:contextualSpacing/>
      <w:jc w:val="left"/>
    </w:pPr>
    <w:rPr>
      <w:kern w:val="0"/>
      <w:sz w:val="22"/>
      <w:lang w:val="tr-TR" w:eastAsia="en-US"/>
    </w:rPr>
  </w:style>
  <w:style w:type="paragraph" w:customStyle="1" w:styleId="647">
    <w:name w:val="字元 字元"/>
    <w:basedOn w:val="1"/>
    <w:uiPriority w:val="0"/>
    <w:pPr>
      <w:widowControl/>
      <w:spacing w:after="160" w:line="240" w:lineRule="exact"/>
      <w:jc w:val="left"/>
    </w:pPr>
    <w:rPr>
      <w:rFonts w:ascii="Times New Roman" w:hAnsi="Times New Roman"/>
      <w:sz w:val="28"/>
    </w:rPr>
  </w:style>
  <w:style w:type="paragraph" w:customStyle="1" w:styleId="648">
    <w:name w:val="纯文本1"/>
    <w:basedOn w:val="1"/>
    <w:qFormat/>
    <w:uiPriority w:val="0"/>
    <w:pPr>
      <w:adjustRightInd w:val="0"/>
      <w:textAlignment w:val="baseline"/>
    </w:pPr>
    <w:rPr>
      <w:rFonts w:ascii="宋体" w:hAnsi="Courier New" w:eastAsia="楷体_GB2312"/>
      <w:sz w:val="26"/>
    </w:rPr>
  </w:style>
  <w:style w:type="paragraph" w:customStyle="1" w:styleId="649">
    <w:name w:val="xl96"/>
    <w:basedOn w:val="1"/>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50">
    <w:name w:val="_标题5"/>
    <w:basedOn w:val="1"/>
    <w:next w:val="1"/>
    <w:qFormat/>
    <w:uiPriority w:val="0"/>
    <w:pPr>
      <w:keepNext/>
      <w:keepLines/>
      <w:widowControl/>
      <w:tabs>
        <w:tab w:val="left" w:pos="1008"/>
      </w:tabs>
      <w:spacing w:beforeLines="50" w:afterLines="50" w:line="480" w:lineRule="exact"/>
      <w:ind w:left="1192" w:leftChars="200" w:hanging="992" w:firstLineChars="200"/>
      <w:jc w:val="left"/>
      <w:outlineLvl w:val="4"/>
    </w:pPr>
    <w:rPr>
      <w:rFonts w:cs="Times New Roman"/>
      <w:b/>
      <w:sz w:val="28"/>
      <w:szCs w:val="28"/>
    </w:rPr>
  </w:style>
  <w:style w:type="paragraph" w:customStyle="1" w:styleId="651">
    <w:name w:val="xl11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52">
    <w:name w:val="表头文本"/>
    <w:basedOn w:val="1"/>
    <w:qFormat/>
    <w:uiPriority w:val="0"/>
    <w:pPr>
      <w:autoSpaceDE w:val="0"/>
      <w:autoSpaceDN w:val="0"/>
      <w:adjustRightInd w:val="0"/>
      <w:jc w:val="center"/>
    </w:pPr>
    <w:rPr>
      <w:b/>
      <w:kern w:val="0"/>
      <w:sz w:val="24"/>
    </w:rPr>
  </w:style>
  <w:style w:type="paragraph" w:customStyle="1" w:styleId="653">
    <w:name w:val="标题 72"/>
    <w:basedOn w:val="1"/>
    <w:next w:val="1"/>
    <w:uiPriority w:val="0"/>
    <w:pPr>
      <w:keepNext/>
      <w:keepLines/>
      <w:tabs>
        <w:tab w:val="left" w:pos="1296"/>
        <w:tab w:val="left" w:pos="3480"/>
      </w:tabs>
      <w:spacing w:before="240" w:after="64" w:line="317" w:lineRule="auto"/>
      <w:ind w:left="3480" w:hanging="420"/>
      <w:textAlignment w:val="baseline"/>
      <w:outlineLvl w:val="6"/>
    </w:pPr>
    <w:rPr>
      <w:rFonts w:ascii="Arial" w:hAnsi="Times New Roman"/>
      <w:b/>
      <w:sz w:val="24"/>
      <w:szCs w:val="24"/>
    </w:rPr>
  </w:style>
  <w:style w:type="paragraph" w:customStyle="1" w:styleId="654">
    <w:name w:val="xl101"/>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655">
    <w:name w:val="xl9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styleId="656">
    <w:name w:val=""/>
    <w:unhideWhenUsed/>
    <w:uiPriority w:val="99"/>
    <w:rPr>
      <w:kern w:val="2"/>
      <w:sz w:val="21"/>
      <w:szCs w:val="24"/>
      <w:lang w:val="en-US" w:eastAsia="zh-CN" w:bidi="ar-SA"/>
    </w:rPr>
  </w:style>
  <w:style w:type="paragraph" w:customStyle="1" w:styleId="657">
    <w:name w:val="Char Char Char Char Char Char Char Char Char Char"/>
    <w:basedOn w:val="1"/>
    <w:uiPriority w:val="0"/>
    <w:pPr>
      <w:widowControl/>
      <w:spacing w:after="160"/>
      <w:jc w:val="left"/>
    </w:pPr>
    <w:rPr>
      <w:rFonts w:ascii="Verdana" w:hAnsi="Verdana" w:cs="Verdana"/>
      <w:kern w:val="0"/>
      <w:szCs w:val="21"/>
      <w:lang w:eastAsia="en-US"/>
    </w:rPr>
  </w:style>
  <w:style w:type="paragraph" w:customStyle="1" w:styleId="658">
    <w:name w:val="正文 New New New New New New New New New New New New New New"/>
    <w:uiPriority w:val="0"/>
    <w:pPr>
      <w:widowControl w:val="0"/>
      <w:jc w:val="both"/>
    </w:pPr>
    <w:rPr>
      <w:kern w:val="2"/>
      <w:sz w:val="21"/>
      <w:szCs w:val="22"/>
      <w:lang w:val="en-US" w:eastAsia="zh-CN" w:bidi="ar-SA"/>
    </w:rPr>
  </w:style>
  <w:style w:type="paragraph" w:customStyle="1" w:styleId="659">
    <w:name w:val="正文 New New New New New New New New New New New New New New New New New New New New New New New New"/>
    <w:uiPriority w:val="0"/>
    <w:pPr>
      <w:widowControl w:val="0"/>
      <w:autoSpaceDE w:val="0"/>
      <w:autoSpaceDN w:val="0"/>
      <w:adjustRightInd w:val="0"/>
      <w:jc w:val="both"/>
    </w:pPr>
    <w:rPr>
      <w:color w:val="000000"/>
      <w:sz w:val="21"/>
      <w:szCs w:val="21"/>
      <w:lang w:val="en-US" w:eastAsia="zh-CN" w:bidi="ar-SA"/>
    </w:rPr>
  </w:style>
  <w:style w:type="paragraph" w:customStyle="1" w:styleId="660">
    <w:name w:val="Char Char1 Char1"/>
    <w:basedOn w:val="1"/>
    <w:uiPriority w:val="0"/>
    <w:pPr>
      <w:tabs>
        <w:tab w:val="left" w:pos="360"/>
      </w:tabs>
      <w:spacing w:line="240" w:lineRule="auto"/>
    </w:pPr>
    <w:rPr>
      <w:rFonts w:ascii="Times New Roman" w:hAnsi="Times New Roman" w:cs="Times New Roman"/>
      <w:sz w:val="24"/>
      <w:szCs w:val="24"/>
    </w:rPr>
  </w:style>
  <w:style w:type="paragraph" w:customStyle="1" w:styleId="661">
    <w:name w:val="xl13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仿宋" w:hAnsi="仿宋" w:eastAsia="仿宋"/>
      <w:b/>
      <w:bCs/>
      <w:kern w:val="0"/>
      <w:sz w:val="28"/>
      <w:szCs w:val="28"/>
    </w:rPr>
  </w:style>
  <w:style w:type="paragraph" w:customStyle="1" w:styleId="662">
    <w:name w:val="_Style 100"/>
    <w:next w:val="1"/>
    <w:uiPriority w:val="99"/>
    <w:pPr>
      <w:widowControl w:val="0"/>
      <w:jc w:val="both"/>
    </w:pPr>
    <w:rPr>
      <w:kern w:val="2"/>
      <w:sz w:val="21"/>
      <w:szCs w:val="24"/>
      <w:lang w:val="en-US" w:eastAsia="zh-CN" w:bidi="ar-SA"/>
    </w:rPr>
  </w:style>
  <w:style w:type="paragraph" w:customStyle="1" w:styleId="663">
    <w:name w:val="正文3"/>
    <w:uiPriority w:val="0"/>
    <w:pPr>
      <w:widowControl w:val="0"/>
      <w:jc w:val="both"/>
    </w:pPr>
    <w:rPr>
      <w:rFonts w:hint="eastAsia"/>
      <w:kern w:val="2"/>
      <w:sz w:val="21"/>
      <w:lang w:val="en-US" w:eastAsia="zh-CN" w:bidi="ar-SA"/>
    </w:rPr>
  </w:style>
  <w:style w:type="paragraph" w:customStyle="1" w:styleId="664">
    <w:name w:val="Char Char121"/>
    <w:basedOn w:val="1"/>
    <w:qFormat/>
    <w:uiPriority w:val="0"/>
    <w:pPr>
      <w:spacing w:line="240" w:lineRule="auto"/>
    </w:pPr>
    <w:rPr>
      <w:szCs w:val="21"/>
    </w:rPr>
  </w:style>
  <w:style w:type="paragraph" w:customStyle="1" w:styleId="665">
    <w:name w:val="列表内容"/>
    <w:basedOn w:val="1"/>
    <w:next w:val="1"/>
    <w:uiPriority w:val="0"/>
    <w:pPr>
      <w:widowControl/>
      <w:tabs>
        <w:tab w:val="left" w:pos="720"/>
        <w:tab w:val="left" w:pos="840"/>
      </w:tabs>
      <w:spacing w:line="240" w:lineRule="auto"/>
      <w:ind w:left="720" w:hanging="720"/>
      <w:jc w:val="left"/>
    </w:pPr>
    <w:rPr>
      <w:rFonts w:ascii="Times New Roman" w:hAnsi="Times New Roman" w:cs="Times New Roman"/>
      <w:kern w:val="0"/>
      <w:sz w:val="18"/>
    </w:rPr>
  </w:style>
  <w:style w:type="paragraph" w:customStyle="1" w:styleId="666">
    <w:name w:val="a1"/>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667">
    <w:name w:val="_标题9"/>
    <w:basedOn w:val="1"/>
    <w:next w:val="1"/>
    <w:qFormat/>
    <w:uiPriority w:val="0"/>
    <w:pPr>
      <w:widowControl/>
      <w:numPr>
        <w:ilvl w:val="8"/>
        <w:numId w:val="5"/>
      </w:numPr>
      <w:tabs>
        <w:tab w:val="left" w:pos="1584"/>
      </w:tabs>
      <w:spacing w:beforeLines="50" w:afterLines="50" w:line="480" w:lineRule="exact"/>
      <w:ind w:left="1759" w:leftChars="200" w:hanging="1559" w:firstLineChars="200"/>
      <w:jc w:val="left"/>
      <w:outlineLvl w:val="8"/>
    </w:pPr>
    <w:rPr>
      <w:rFonts w:cs="Times New Roman"/>
      <w:b/>
      <w:sz w:val="24"/>
      <w:szCs w:val="28"/>
    </w:rPr>
  </w:style>
  <w:style w:type="paragraph" w:customStyle="1" w:styleId="668">
    <w:name w:val="纯文本111"/>
    <w:basedOn w:val="1"/>
    <w:qFormat/>
    <w:uiPriority w:val="0"/>
    <w:pPr>
      <w:adjustRightInd w:val="0"/>
    </w:pPr>
    <w:rPr>
      <w:rFonts w:ascii="宋体" w:hAnsi="Courier New" w:eastAsia="楷体_GB2312"/>
      <w:sz w:val="26"/>
    </w:rPr>
  </w:style>
  <w:style w:type="paragraph" w:customStyle="1" w:styleId="669">
    <w:name w:val="Char Char1 Char"/>
    <w:basedOn w:val="1"/>
    <w:uiPriority w:val="0"/>
    <w:pPr>
      <w:widowControl/>
      <w:spacing w:after="160" w:line="240" w:lineRule="exact"/>
      <w:jc w:val="left"/>
    </w:pPr>
    <w:rPr>
      <w:rFonts w:ascii="Verdana" w:hAnsi="Verdana" w:eastAsia="Times New Roman" w:cs="Times New Roman"/>
      <w:kern w:val="0"/>
      <w:sz w:val="24"/>
      <w:lang w:eastAsia="en-US"/>
    </w:rPr>
  </w:style>
  <w:style w:type="paragraph" w:customStyle="1" w:styleId="670">
    <w:name w:val="样式 楷体_GB2312 小四 Char Char Char Char Char Char Char Char Char Char Char Char"/>
    <w:basedOn w:val="1"/>
    <w:next w:val="1"/>
    <w:uiPriority w:val="0"/>
    <w:rPr>
      <w:rFonts w:ascii="楷体_GB2312" w:hAnsi="Times New Roman" w:eastAsia="楷体_GB2312" w:cs="Times New Roman"/>
      <w:sz w:val="24"/>
      <w:szCs w:val="24"/>
    </w:rPr>
  </w:style>
  <w:style w:type="paragraph" w:customStyle="1" w:styleId="671">
    <w:name w:val="xl1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72">
    <w:name w:val="_Style 42"/>
    <w:next w:val="1"/>
    <w:qFormat/>
    <w:uiPriority w:val="0"/>
    <w:pPr>
      <w:widowControl w:val="0"/>
      <w:jc w:val="both"/>
    </w:pPr>
    <w:rPr>
      <w:kern w:val="2"/>
      <w:sz w:val="21"/>
      <w:szCs w:val="24"/>
      <w:lang w:val="en-US" w:eastAsia="zh-CN" w:bidi="ar-SA"/>
    </w:rPr>
  </w:style>
  <w:style w:type="paragraph" w:customStyle="1" w:styleId="673">
    <w:name w:val="xl9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74">
    <w:name w:val="Char Char Char Char Char Char Char Char Char Char Char Char Char1"/>
    <w:basedOn w:val="1"/>
    <w:qFormat/>
    <w:uiPriority w:val="0"/>
    <w:pPr>
      <w:tabs>
        <w:tab w:val="left" w:pos="432"/>
      </w:tabs>
      <w:ind w:left="432" w:hanging="432"/>
    </w:pPr>
    <w:rPr>
      <w:rFonts w:ascii="Tahoma" w:hAnsi="Tahoma"/>
      <w:sz w:val="24"/>
    </w:rPr>
  </w:style>
  <w:style w:type="paragraph" w:customStyle="1" w:styleId="675">
    <w:name w:val="样式 首行缩进:  0 字符"/>
    <w:basedOn w:val="1"/>
    <w:qFormat/>
    <w:uiPriority w:val="0"/>
    <w:pPr>
      <w:spacing w:line="240" w:lineRule="auto"/>
      <w:ind w:firstLine="200" w:firstLineChars="200"/>
    </w:pPr>
    <w:rPr>
      <w:rFonts w:ascii="Arial" w:hAnsi="Arial"/>
    </w:rPr>
  </w:style>
  <w:style w:type="paragraph" w:customStyle="1" w:styleId="676">
    <w:name w:val="xl11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77">
    <w:name w:val="Char Char4"/>
    <w:basedOn w:val="1"/>
    <w:uiPriority w:val="0"/>
    <w:pPr>
      <w:widowControl/>
      <w:spacing w:after="160" w:line="240" w:lineRule="exact"/>
      <w:jc w:val="left"/>
    </w:pPr>
    <w:rPr>
      <w:rFonts w:ascii="Times New Roman" w:hAnsi="Times New Roman"/>
      <w:sz w:val="28"/>
    </w:rPr>
  </w:style>
  <w:style w:type="paragraph" w:customStyle="1" w:styleId="678">
    <w:name w:val="样式 仿宋_GB2312 五号 黑色 行距: 单倍行距"/>
    <w:basedOn w:val="1"/>
    <w:qFormat/>
    <w:uiPriority w:val="0"/>
    <w:pPr>
      <w:snapToGrid w:val="0"/>
      <w:spacing w:line="240" w:lineRule="auto"/>
    </w:pPr>
    <w:rPr>
      <w:rFonts w:ascii="仿宋_GB2312" w:eastAsia="仿宋_GB2312"/>
      <w:color w:val="000000"/>
      <w:sz w:val="24"/>
    </w:rPr>
  </w:style>
  <w:style w:type="paragraph" w:customStyle="1" w:styleId="679">
    <w:name w:val="纯文本 New New New New New New New New New New New New"/>
    <w:next w:val="1"/>
    <w:uiPriority w:val="0"/>
    <w:pPr>
      <w:widowControl w:val="0"/>
      <w:jc w:val="both"/>
    </w:pPr>
    <w:rPr>
      <w:kern w:val="2"/>
      <w:sz w:val="24"/>
      <w:lang w:val="en-US" w:eastAsia="zh-CN" w:bidi="ar-SA"/>
    </w:rPr>
  </w:style>
  <w:style w:type="paragraph" w:customStyle="1" w:styleId="680">
    <w:name w:val="标题 71"/>
    <w:basedOn w:val="1"/>
    <w:next w:val="1"/>
    <w:uiPriority w:val="0"/>
    <w:pPr>
      <w:keepNext/>
      <w:keepLines/>
      <w:tabs>
        <w:tab w:val="left" w:pos="1296"/>
        <w:tab w:val="left" w:pos="3480"/>
      </w:tabs>
      <w:spacing w:before="240" w:after="64" w:line="317" w:lineRule="auto"/>
      <w:ind w:left="3480" w:hanging="420"/>
      <w:textAlignment w:val="baseline"/>
      <w:outlineLvl w:val="6"/>
    </w:pPr>
    <w:rPr>
      <w:rFonts w:ascii="Arial" w:hAnsi="Times New Roman"/>
      <w:b/>
      <w:sz w:val="24"/>
      <w:szCs w:val="24"/>
    </w:rPr>
  </w:style>
  <w:style w:type="paragraph" w:customStyle="1" w:styleId="681">
    <w:name w:val="Char5"/>
    <w:basedOn w:val="4"/>
    <w:qFormat/>
    <w:uiPriority w:val="0"/>
    <w:pPr>
      <w:keepNext/>
      <w:keepLines/>
      <w:snapToGrid w:val="0"/>
      <w:spacing w:before="240" w:after="240" w:line="348" w:lineRule="auto"/>
      <w:textAlignment w:val="auto"/>
    </w:pPr>
    <w:rPr>
      <w:bCs/>
      <w:kern w:val="44"/>
      <w:sz w:val="32"/>
      <w:szCs w:val="44"/>
    </w:rPr>
  </w:style>
  <w:style w:type="paragraph" w:customStyle="1" w:styleId="682">
    <w:name w:val="Char3 Char Char Char Char Char Char"/>
    <w:basedOn w:val="18"/>
    <w:uiPriority w:val="0"/>
    <w:pPr>
      <w:shd w:val="clear" w:color="auto" w:fill="000080"/>
    </w:pPr>
    <w:rPr>
      <w:rFonts w:ascii="Tahoma" w:hAnsi="Tahoma" w:cs="Tahoma"/>
      <w:sz w:val="24"/>
      <w:szCs w:val="24"/>
      <w:lang w:val="en-US" w:eastAsia="zh-CN"/>
    </w:rPr>
  </w:style>
  <w:style w:type="paragraph" w:customStyle="1" w:styleId="683">
    <w:name w:val="xl79"/>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84">
    <w:name w:val="保留正文"/>
    <w:basedOn w:val="1"/>
    <w:qFormat/>
    <w:uiPriority w:val="0"/>
    <w:pPr>
      <w:keepNext/>
      <w:adjustRightInd w:val="0"/>
      <w:spacing w:after="160" w:line="480" w:lineRule="auto"/>
      <w:textAlignment w:val="baseline"/>
    </w:pPr>
    <w:rPr>
      <w:rFonts w:ascii="宋体"/>
      <w:kern w:val="0"/>
      <w:sz w:val="24"/>
    </w:rPr>
  </w:style>
  <w:style w:type="paragraph" w:customStyle="1" w:styleId="685">
    <w:name w:val="xl11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86">
    <w:name w:val="一般正文 Char"/>
    <w:basedOn w:val="1"/>
    <w:uiPriority w:val="0"/>
    <w:pPr>
      <w:spacing w:beforeLines="25" w:afterLines="25" w:line="300" w:lineRule="auto"/>
      <w:ind w:firstLine="200" w:firstLineChars="200"/>
    </w:pPr>
    <w:rPr>
      <w:rFonts w:ascii="Times New Roman" w:hAnsi="Times New Roman"/>
      <w:szCs w:val="24"/>
    </w:rPr>
  </w:style>
  <w:style w:type="paragraph" w:customStyle="1" w:styleId="687">
    <w:name w:val="标题 11"/>
    <w:basedOn w:val="1"/>
    <w:next w:val="1"/>
    <w:uiPriority w:val="0"/>
    <w:pPr>
      <w:keepNext/>
      <w:keepLines/>
      <w:pageBreakBefore/>
      <w:tabs>
        <w:tab w:val="left" w:pos="960"/>
        <w:tab w:val="left" w:pos="1152"/>
      </w:tabs>
      <w:spacing w:before="120" w:after="120" w:line="480" w:lineRule="auto"/>
      <w:ind w:left="960" w:hanging="420"/>
      <w:outlineLvl w:val="0"/>
    </w:pPr>
    <w:rPr>
      <w:rFonts w:ascii="宋体" w:hAnsi="Times New Roman"/>
      <w:b/>
      <w:sz w:val="36"/>
      <w:szCs w:val="24"/>
    </w:rPr>
  </w:style>
  <w:style w:type="paragraph" w:customStyle="1" w:styleId="688">
    <w:name w:val="xl82"/>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89">
    <w:name w:val="_标题6"/>
    <w:basedOn w:val="1"/>
    <w:next w:val="1"/>
    <w:qFormat/>
    <w:uiPriority w:val="0"/>
    <w:pPr>
      <w:keepNext/>
      <w:keepLines/>
      <w:widowControl/>
      <w:tabs>
        <w:tab w:val="left" w:pos="1152"/>
      </w:tabs>
      <w:spacing w:beforeLines="50" w:afterLines="50" w:line="480" w:lineRule="exact"/>
      <w:ind w:left="1334" w:leftChars="200" w:hanging="1134" w:firstLineChars="200"/>
      <w:jc w:val="left"/>
      <w:outlineLvl w:val="5"/>
    </w:pPr>
    <w:rPr>
      <w:rFonts w:cs="Times New Roman"/>
      <w:b/>
      <w:sz w:val="24"/>
      <w:szCs w:val="28"/>
    </w:rPr>
  </w:style>
  <w:style w:type="paragraph" w:customStyle="1" w:styleId="690">
    <w:name w:val="xl128"/>
    <w:basedOn w:val="1"/>
    <w:qFormat/>
    <w:uiPriority w:val="0"/>
    <w:pPr>
      <w:widowControl/>
      <w:pBdr>
        <w:left w:val="single" w:color="auto" w:sz="4" w:space="0"/>
        <w:bottom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91">
    <w:name w:val="xl2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b/>
      <w:bCs/>
      <w:color w:val="FF0000"/>
      <w:kern w:val="0"/>
      <w:sz w:val="24"/>
      <w:szCs w:val="24"/>
    </w:rPr>
  </w:style>
  <w:style w:type="paragraph" w:customStyle="1" w:styleId="692">
    <w:name w:val="xl127"/>
    <w:basedOn w:val="1"/>
    <w:qFormat/>
    <w:uiPriority w:val="0"/>
    <w:pPr>
      <w:widowControl/>
      <w:pBdr>
        <w:lef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93">
    <w:name w:val="xl102"/>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94">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95">
    <w:name w:val="列出段落2"/>
    <w:basedOn w:val="1"/>
    <w:qFormat/>
    <w:uiPriority w:val="0"/>
    <w:pPr>
      <w:spacing w:line="240" w:lineRule="auto"/>
      <w:ind w:firstLine="420" w:firstLineChars="200"/>
    </w:pPr>
    <w:rPr>
      <w:szCs w:val="24"/>
    </w:rPr>
  </w:style>
  <w:style w:type="paragraph" w:customStyle="1" w:styleId="696">
    <w:name w:val="Char Char7 Char1"/>
    <w:basedOn w:val="1"/>
    <w:qFormat/>
    <w:uiPriority w:val="0"/>
    <w:pPr>
      <w:tabs>
        <w:tab w:val="left" w:pos="425"/>
      </w:tabs>
      <w:ind w:left="420" w:leftChars="200" w:firstLine="270" w:firstLineChars="150"/>
    </w:pPr>
    <w:rPr>
      <w:szCs w:val="24"/>
    </w:rPr>
  </w:style>
  <w:style w:type="paragraph" w:customStyle="1" w:styleId="697">
    <w:name w:val="字元 字元1"/>
    <w:basedOn w:val="1"/>
    <w:qFormat/>
    <w:uiPriority w:val="0"/>
    <w:pPr>
      <w:widowControl/>
      <w:spacing w:after="160" w:line="240" w:lineRule="exact"/>
      <w:jc w:val="left"/>
    </w:pPr>
    <w:rPr>
      <w:rFonts w:ascii="Times New Roman" w:hAnsi="Times New Roman"/>
      <w:sz w:val="28"/>
    </w:rPr>
  </w:style>
  <w:style w:type="paragraph" w:customStyle="1" w:styleId="698">
    <w:name w:val="ss"/>
    <w:basedOn w:val="1"/>
    <w:qFormat/>
    <w:uiPriority w:val="0"/>
    <w:pPr>
      <w:widowControl/>
      <w:suppressAutoHyphens/>
      <w:spacing w:before="280" w:after="280" w:line="288" w:lineRule="atLeast"/>
      <w:jc w:val="left"/>
    </w:pPr>
    <w:rPr>
      <w:rFonts w:hint="eastAsia" w:ascii="宋体" w:hAnsi="宋体" w:cs="Arial"/>
      <w:kern w:val="1"/>
      <w:sz w:val="15"/>
      <w:szCs w:val="15"/>
      <w:lang w:eastAsia="ar-SA"/>
    </w:rPr>
  </w:style>
  <w:style w:type="paragraph" w:customStyle="1" w:styleId="699">
    <w:name w:val="Char Char Char Char Char Char Char111"/>
    <w:basedOn w:val="1"/>
    <w:qFormat/>
    <w:uiPriority w:val="0"/>
    <w:rPr>
      <w:szCs w:val="21"/>
    </w:rPr>
  </w:style>
  <w:style w:type="paragraph" w:customStyle="1" w:styleId="700">
    <w:name w:val="xl13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701">
    <w:name w:val="默认段落字体 Para Char Char Char Char Char Char Char Char Char Char Char Char Char"/>
    <w:basedOn w:val="18"/>
    <w:uiPriority w:val="0"/>
    <w:pPr>
      <w:shd w:val="clear" w:color="auto" w:fill="000080"/>
    </w:pPr>
    <w:rPr>
      <w:rFonts w:ascii="Tahoma" w:hAnsi="Tahoma" w:cs="Tahoma"/>
      <w:sz w:val="24"/>
      <w:szCs w:val="24"/>
      <w:lang w:val="en-US" w:eastAsia="zh-CN"/>
    </w:rPr>
  </w:style>
  <w:style w:type="paragraph" w:customStyle="1" w:styleId="702">
    <w:name w:val="TOC 标题3"/>
    <w:basedOn w:val="4"/>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703">
    <w:name w:val="p0"/>
    <w:basedOn w:val="1"/>
    <w:qFormat/>
    <w:uiPriority w:val="0"/>
    <w:pPr>
      <w:widowControl/>
      <w:spacing w:before="100" w:beforeAutospacing="1" w:after="100" w:afterAutospacing="1" w:line="240" w:lineRule="auto"/>
      <w:jc w:val="left"/>
    </w:pPr>
    <w:rPr>
      <w:rFonts w:ascii="宋体" w:hAnsi="宋体"/>
      <w:kern w:val="0"/>
      <w:sz w:val="24"/>
    </w:rPr>
  </w:style>
  <w:style w:type="paragraph" w:customStyle="1" w:styleId="704">
    <w:name w:val="标题 82"/>
    <w:basedOn w:val="1"/>
    <w:next w:val="1"/>
    <w:uiPriority w:val="0"/>
    <w:pPr>
      <w:keepNext/>
      <w:keepLines/>
      <w:tabs>
        <w:tab w:val="left" w:pos="1440"/>
        <w:tab w:val="left" w:pos="3900"/>
      </w:tabs>
      <w:spacing w:before="240" w:after="64" w:line="317" w:lineRule="auto"/>
      <w:ind w:left="3900" w:hanging="420"/>
      <w:textAlignment w:val="baseline"/>
      <w:outlineLvl w:val="7"/>
    </w:pPr>
    <w:rPr>
      <w:rFonts w:ascii="Arial" w:hAnsi="Arial" w:eastAsia="黑体"/>
      <w:sz w:val="24"/>
      <w:szCs w:val="24"/>
    </w:rPr>
  </w:style>
  <w:style w:type="paragraph" w:customStyle="1" w:styleId="705">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706">
    <w:name w:val="xl84"/>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707">
    <w:name w:val="Char Char Char Char Char Char Char1"/>
    <w:basedOn w:val="1"/>
    <w:qFormat/>
    <w:uiPriority w:val="0"/>
    <w:pPr>
      <w:tabs>
        <w:tab w:val="left" w:pos="432"/>
      </w:tabs>
      <w:suppressAutoHyphens/>
      <w:spacing w:line="240" w:lineRule="auto"/>
      <w:ind w:left="432" w:hanging="432"/>
      <w:jc w:val="center"/>
    </w:pPr>
    <w:rPr>
      <w:rFonts w:ascii="Times New Roman" w:hAnsi="Times New Roman"/>
      <w:kern w:val="1"/>
      <w:szCs w:val="24"/>
      <w:lang w:eastAsia="ar-SA"/>
    </w:rPr>
  </w:style>
  <w:style w:type="paragraph" w:customStyle="1" w:styleId="708">
    <w:name w:val="表格内的red dot"/>
    <w:uiPriority w:val="0"/>
    <w:pPr>
      <w:tabs>
        <w:tab w:val="left" w:pos="360"/>
        <w:tab w:val="left" w:pos="420"/>
      </w:tabs>
      <w:spacing w:line="288" w:lineRule="auto"/>
      <w:ind w:left="360" w:hanging="360"/>
    </w:pPr>
    <w:rPr>
      <w:rFonts w:eastAsia="新宋体"/>
      <w:kern w:val="2"/>
      <w:sz w:val="21"/>
      <w:szCs w:val="21"/>
      <w:lang w:val="en-US" w:eastAsia="zh-CN" w:bidi="ar-SA"/>
    </w:rPr>
  </w:style>
  <w:style w:type="paragraph" w:customStyle="1" w:styleId="709">
    <w:name w:val="TOC 标题1"/>
    <w:basedOn w:val="4"/>
    <w:next w:val="1"/>
    <w:unhideWhenUsed/>
    <w:qFormat/>
    <w:uiPriority w:val="39"/>
    <w:pPr>
      <w:keepNext/>
      <w:keepLines/>
      <w:widowControl/>
      <w:adjustRightInd/>
      <w:spacing w:before="480" w:line="276" w:lineRule="auto"/>
      <w:jc w:val="left"/>
      <w:textAlignment w:val="auto"/>
      <w:outlineLvl w:val="9"/>
    </w:pPr>
    <w:rPr>
      <w:rFonts w:ascii="等线 Light" w:hAnsi="等线 Light" w:eastAsia="等线 Light"/>
      <w:bCs/>
      <w:color w:val="2F5496"/>
      <w:sz w:val="28"/>
      <w:szCs w:val="28"/>
    </w:rPr>
  </w:style>
  <w:style w:type="paragraph" w:customStyle="1" w:styleId="710">
    <w:name w:val="默认段落字体 Para Char"/>
    <w:basedOn w:val="1"/>
    <w:qFormat/>
    <w:uiPriority w:val="0"/>
    <w:pPr>
      <w:adjustRightInd w:val="0"/>
    </w:pPr>
    <w:rPr>
      <w:kern w:val="0"/>
      <w:sz w:val="24"/>
    </w:rPr>
  </w:style>
  <w:style w:type="paragraph" w:customStyle="1" w:styleId="711">
    <w:name w:val="无间隔3"/>
    <w:qFormat/>
    <w:uiPriority w:val="0"/>
    <w:rPr>
      <w:sz w:val="22"/>
      <w:szCs w:val="22"/>
      <w:lang w:val="en-US" w:eastAsia="zh-CN" w:bidi="ar-SA"/>
    </w:rPr>
  </w:style>
  <w:style w:type="paragraph" w:customStyle="1" w:styleId="712">
    <w:name w:val="xl74"/>
    <w:basedOn w:val="1"/>
    <w:uiPriority w:val="0"/>
    <w:pPr>
      <w:widowControl/>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713">
    <w:name w:val="默认段落字体 Para Char Char Char Char Char Char Char Char Char1 Char"/>
    <w:basedOn w:val="1"/>
    <w:uiPriority w:val="0"/>
    <w:pPr>
      <w:spacing w:line="240" w:lineRule="auto"/>
    </w:pPr>
    <w:rPr>
      <w:rFonts w:ascii="Tahoma" w:hAnsi="Tahoma"/>
      <w:sz w:val="24"/>
    </w:rPr>
  </w:style>
  <w:style w:type="paragraph" w:customStyle="1" w:styleId="714">
    <w:name w:val="SUB1-C"/>
    <w:basedOn w:val="1"/>
    <w:uiPriority w:val="0"/>
    <w:pPr>
      <w:keepNext/>
      <w:snapToGrid w:val="0"/>
      <w:spacing w:beforeLines="50" w:afterLines="50"/>
      <w:ind w:firstLine="475" w:firstLineChars="198"/>
      <w:outlineLvl w:val="3"/>
    </w:pPr>
    <w:rPr>
      <w:rFonts w:ascii="Arial" w:hAnsi="Arial" w:cs="Arial"/>
      <w:bCs/>
      <w:color w:val="FF0000"/>
      <w:sz w:val="24"/>
      <w:szCs w:val="24"/>
      <w:u w:val="single"/>
    </w:rPr>
  </w:style>
  <w:style w:type="paragraph" w:customStyle="1" w:styleId="715">
    <w:name w:val="--规划正文"/>
    <w:basedOn w:val="1"/>
    <w:qFormat/>
    <w:uiPriority w:val="0"/>
    <w:pPr>
      <w:widowControl/>
      <w:suppressAutoHyphens/>
      <w:ind w:firstLine="200"/>
      <w:jc w:val="left"/>
    </w:pPr>
    <w:rPr>
      <w:kern w:val="1"/>
      <w:lang w:eastAsia="ar-SA"/>
    </w:rPr>
  </w:style>
  <w:style w:type="paragraph" w:customStyle="1" w:styleId="716">
    <w:name w:val="样式4"/>
    <w:basedOn w:val="1"/>
    <w:uiPriority w:val="0"/>
    <w:pPr>
      <w:tabs>
        <w:tab w:val="left" w:pos="420"/>
        <w:tab w:val="left" w:pos="720"/>
      </w:tabs>
      <w:overflowPunct w:val="0"/>
      <w:autoSpaceDE w:val="0"/>
      <w:autoSpaceDN w:val="0"/>
      <w:adjustRightInd w:val="0"/>
      <w:spacing w:line="336" w:lineRule="auto"/>
      <w:ind w:left="420" w:hanging="420"/>
      <w:jc w:val="left"/>
    </w:pPr>
    <w:rPr>
      <w:rFonts w:eastAsia="微软雅黑"/>
      <w:color w:val="808080"/>
      <w:szCs w:val="21"/>
    </w:rPr>
  </w:style>
  <w:style w:type="paragraph" w:customStyle="1" w:styleId="717">
    <w:name w:val="xl26"/>
    <w:basedOn w:val="1"/>
    <w:uiPriority w:val="0"/>
    <w:pPr>
      <w:widowControl/>
      <w:spacing w:before="100" w:beforeAutospacing="1" w:after="100" w:afterAutospacing="1" w:line="240" w:lineRule="auto"/>
      <w:jc w:val="center"/>
    </w:pPr>
    <w:rPr>
      <w:rFonts w:ascii="仿宋_GB2312" w:hAnsi="宋体" w:eastAsia="仿宋_GB2312" w:cs="Times New Roman"/>
      <w:b/>
      <w:bCs/>
      <w:kern w:val="0"/>
      <w:sz w:val="24"/>
      <w:szCs w:val="24"/>
    </w:rPr>
  </w:style>
  <w:style w:type="paragraph" w:customStyle="1" w:styleId="718">
    <w:name w:val="Char Char Char Char Char Char3"/>
    <w:basedOn w:val="1"/>
    <w:qFormat/>
    <w:uiPriority w:val="0"/>
    <w:pPr>
      <w:widowControl/>
      <w:spacing w:after="160" w:line="240" w:lineRule="exact"/>
      <w:jc w:val="left"/>
    </w:pPr>
    <w:rPr>
      <w:kern w:val="0"/>
    </w:rPr>
  </w:style>
  <w:style w:type="paragraph" w:customStyle="1" w:styleId="719">
    <w:name w:val="xl71"/>
    <w:basedOn w:val="1"/>
    <w:uiPriority w:val="0"/>
    <w:pPr>
      <w:widowControl/>
      <w:shd w:val="clear" w:color="000000" w:fill="FFFFFF"/>
      <w:spacing w:before="100" w:beforeAutospacing="1" w:after="100" w:afterAutospacing="1" w:line="240" w:lineRule="auto"/>
      <w:jc w:val="right"/>
    </w:pPr>
    <w:rPr>
      <w:rFonts w:ascii="宋体" w:hAnsi="宋体"/>
      <w:color w:val="000000"/>
      <w:kern w:val="0"/>
      <w:sz w:val="18"/>
      <w:szCs w:val="18"/>
    </w:rPr>
  </w:style>
  <w:style w:type="paragraph" w:customStyle="1" w:styleId="720">
    <w:name w:val="xl81"/>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721">
    <w:name w:val="Char Char Char Char Char Char1"/>
    <w:basedOn w:val="1"/>
    <w:qFormat/>
    <w:uiPriority w:val="0"/>
    <w:pPr>
      <w:widowControl/>
      <w:spacing w:after="160" w:line="240" w:lineRule="exact"/>
      <w:jc w:val="left"/>
    </w:pPr>
    <w:rPr>
      <w:kern w:val="0"/>
    </w:rPr>
  </w:style>
  <w:style w:type="paragraph" w:customStyle="1" w:styleId="722">
    <w:name w:val="_Style 81"/>
    <w:uiPriority w:val="0"/>
    <w:pPr>
      <w:widowControl w:val="0"/>
      <w:jc w:val="both"/>
    </w:pPr>
    <w:rPr>
      <w:rFonts w:cs="黑体"/>
      <w:kern w:val="2"/>
      <w:sz w:val="21"/>
      <w:szCs w:val="22"/>
      <w:lang w:val="en-US" w:eastAsia="zh-CN" w:bidi="ar-SA"/>
    </w:rPr>
  </w:style>
  <w:style w:type="paragraph" w:customStyle="1" w:styleId="723">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724">
    <w:name w:val="Char11"/>
    <w:basedOn w:val="1"/>
    <w:qFormat/>
    <w:uiPriority w:val="0"/>
    <w:pPr>
      <w:tabs>
        <w:tab w:val="left" w:pos="360"/>
      </w:tabs>
      <w:spacing w:line="240" w:lineRule="auto"/>
    </w:pPr>
    <w:rPr>
      <w:rFonts w:ascii="Times New Roman" w:hAnsi="Times New Roman"/>
      <w:szCs w:val="24"/>
    </w:rPr>
  </w:style>
  <w:style w:type="paragraph" w:customStyle="1" w:styleId="725">
    <w:name w:val="样式 首行缩进:  2 字符"/>
    <w:basedOn w:val="1"/>
    <w:uiPriority w:val="0"/>
    <w:pPr>
      <w:ind w:firstLine="200" w:firstLineChars="200"/>
    </w:pPr>
    <w:rPr>
      <w:rFonts w:ascii="Times New Roman" w:hAnsi="Times New Roman"/>
    </w:rPr>
  </w:style>
  <w:style w:type="paragraph" w:customStyle="1" w:styleId="726">
    <w:name w:val="Char Char Char Char Char Char Char"/>
    <w:basedOn w:val="1"/>
    <w:qFormat/>
    <w:uiPriority w:val="0"/>
    <w:rPr>
      <w:szCs w:val="21"/>
    </w:rPr>
  </w:style>
  <w:style w:type="paragraph" w:customStyle="1" w:styleId="727">
    <w:name w:val="正文 首行缩进:  2 字符 Char"/>
    <w:basedOn w:val="1"/>
    <w:qFormat/>
    <w:uiPriority w:val="0"/>
    <w:pPr>
      <w:ind w:firstLine="480"/>
    </w:pPr>
    <w:rPr>
      <w:rFonts w:ascii="Times New Roman" w:hAnsi="Times New Roman"/>
      <w:sz w:val="24"/>
      <w:szCs w:val="24"/>
    </w:rPr>
  </w:style>
  <w:style w:type="paragraph" w:customStyle="1" w:styleId="728">
    <w:name w:val="插图题注"/>
    <w:next w:val="1"/>
    <w:uiPriority w:val="0"/>
    <w:pPr>
      <w:numPr>
        <w:ilvl w:val="7"/>
        <w:numId w:val="4"/>
      </w:numPr>
      <w:tabs>
        <w:tab w:val="left" w:pos="7500"/>
      </w:tabs>
      <w:spacing w:afterLines="100"/>
      <w:jc w:val="center"/>
    </w:pPr>
    <w:rPr>
      <w:rFonts w:ascii="Arial" w:hAnsi="Arial"/>
      <w:sz w:val="18"/>
      <w:szCs w:val="18"/>
      <w:lang w:val="en-US" w:eastAsia="zh-CN" w:bidi="ar-SA"/>
    </w:rPr>
  </w:style>
  <w:style w:type="paragraph" w:customStyle="1" w:styleId="729">
    <w:name w:val="Char Char42"/>
    <w:basedOn w:val="1"/>
    <w:qFormat/>
    <w:uiPriority w:val="0"/>
    <w:pPr>
      <w:widowControl/>
      <w:spacing w:after="160" w:line="240" w:lineRule="exact"/>
      <w:jc w:val="left"/>
    </w:pPr>
    <w:rPr>
      <w:rFonts w:ascii="Times New Roman" w:hAnsi="Times New Roman"/>
      <w:sz w:val="28"/>
    </w:rPr>
  </w:style>
  <w:style w:type="paragraph" w:customStyle="1" w:styleId="730">
    <w:name w:val="xl28"/>
    <w:basedOn w:val="1"/>
    <w:uiPriority w:val="0"/>
    <w:pPr>
      <w:widowControl/>
      <w:spacing w:before="100" w:beforeAutospacing="1" w:after="100" w:afterAutospacing="1" w:line="240" w:lineRule="auto"/>
      <w:jc w:val="center"/>
      <w:textAlignment w:val="center"/>
    </w:pPr>
    <w:rPr>
      <w:rFonts w:ascii="宋体" w:hAnsi="宋体"/>
      <w:kern w:val="0"/>
      <w:sz w:val="24"/>
      <w:szCs w:val="24"/>
    </w:rPr>
  </w:style>
  <w:style w:type="paragraph" w:customStyle="1" w:styleId="731">
    <w:name w:val="正文缩进1"/>
    <w:basedOn w:val="1"/>
    <w:qFormat/>
    <w:uiPriority w:val="0"/>
    <w:pPr>
      <w:suppressAutoHyphens/>
      <w:spacing w:line="240" w:lineRule="auto"/>
      <w:ind w:firstLine="420"/>
    </w:pPr>
    <w:rPr>
      <w:rFonts w:ascii="Times New Roman" w:hAnsi="Times New Roman"/>
      <w:kern w:val="1"/>
      <w:lang w:eastAsia="ar-SA"/>
    </w:rPr>
  </w:style>
  <w:style w:type="paragraph" w:customStyle="1" w:styleId="732">
    <w:name w:val="样式3"/>
    <w:basedOn w:val="1"/>
    <w:uiPriority w:val="0"/>
    <w:pPr>
      <w:tabs>
        <w:tab w:val="left" w:pos="420"/>
        <w:tab w:val="left" w:pos="1365"/>
      </w:tabs>
      <w:spacing w:line="240" w:lineRule="auto"/>
      <w:ind w:left="1365" w:hanging="132"/>
    </w:pPr>
    <w:rPr>
      <w:rFonts w:ascii="Times New Roman" w:hAnsi="Times New Roman" w:cs="Times New Roman"/>
      <w:szCs w:val="24"/>
    </w:rPr>
  </w:style>
  <w:style w:type="paragraph" w:customStyle="1" w:styleId="733">
    <w:name w:val="模板普通正文"/>
    <w:basedOn w:val="21"/>
    <w:uiPriority w:val="0"/>
    <w:pPr>
      <w:spacing w:beforeLines="50" w:after="10"/>
      <w:ind w:firstLine="490" w:firstLineChars="175"/>
      <w:jc w:val="left"/>
    </w:pPr>
    <w:rPr>
      <w:rFonts w:ascii="Times New Roman" w:hAnsi="Times New Roman"/>
      <w:sz w:val="24"/>
      <w:szCs w:val="20"/>
    </w:rPr>
  </w:style>
  <w:style w:type="paragraph" w:customStyle="1" w:styleId="734">
    <w:name w:val="目录"/>
    <w:basedOn w:val="35"/>
    <w:qFormat/>
    <w:uiPriority w:val="0"/>
    <w:pPr>
      <w:tabs>
        <w:tab w:val="right" w:leader="dot" w:pos="7937"/>
      </w:tabs>
      <w:adjustRightInd w:val="0"/>
      <w:spacing w:before="120" w:after="120"/>
      <w:jc w:val="center"/>
      <w:textAlignment w:val="baseline"/>
    </w:pPr>
    <w:rPr>
      <w:rFonts w:ascii="宋体" w:eastAsia="黑体"/>
      <w:b/>
      <w:caps/>
      <w:kern w:val="0"/>
      <w:sz w:val="30"/>
      <w:szCs w:val="20"/>
    </w:rPr>
  </w:style>
  <w:style w:type="paragraph" w:customStyle="1" w:styleId="735">
    <w:name w:val="xl69"/>
    <w:basedOn w:val="1"/>
    <w:uiPriority w:val="0"/>
    <w:pPr>
      <w:widowControl/>
      <w:pBdr>
        <w:lef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736">
    <w:name w:val="Char Char Char1 Char Char Char Char"/>
    <w:basedOn w:val="1"/>
    <w:uiPriority w:val="0"/>
    <w:pPr>
      <w:widowControl/>
      <w:spacing w:after="160" w:line="240" w:lineRule="exact"/>
      <w:jc w:val="left"/>
    </w:pPr>
    <w:rPr>
      <w:szCs w:val="24"/>
    </w:rPr>
  </w:style>
  <w:style w:type="paragraph" w:customStyle="1" w:styleId="737">
    <w:name w:val="xl10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right"/>
    </w:pPr>
    <w:rPr>
      <w:rFonts w:ascii="微软雅黑" w:hAnsi="微软雅黑" w:eastAsia="微软雅黑"/>
      <w:kern w:val="0"/>
      <w:sz w:val="16"/>
      <w:szCs w:val="16"/>
    </w:rPr>
  </w:style>
  <w:style w:type="paragraph" w:customStyle="1" w:styleId="738">
    <w:name w:val="Char Char Char Char Char Char2"/>
    <w:basedOn w:val="1"/>
    <w:qFormat/>
    <w:uiPriority w:val="0"/>
    <w:pPr>
      <w:ind w:firstLine="200" w:firstLineChars="200"/>
    </w:pPr>
    <w:rPr>
      <w:rFonts w:ascii="Tahoma" w:hAnsi="Tahoma" w:cs="Tahoma"/>
      <w:sz w:val="24"/>
      <w:szCs w:val="24"/>
    </w:rPr>
  </w:style>
  <w:style w:type="paragraph" w:customStyle="1" w:styleId="739">
    <w:name w:val="WPS Plain"/>
    <w:qFormat/>
    <w:uiPriority w:val="0"/>
    <w:rPr>
      <w:lang w:val="en-US" w:eastAsia="zh-CN" w:bidi="ar-SA"/>
    </w:rPr>
  </w:style>
  <w:style w:type="paragraph" w:customStyle="1" w:styleId="740">
    <w:name w:val="内容目录 10"/>
    <w:basedOn w:val="734"/>
    <w:qFormat/>
    <w:uiPriority w:val="0"/>
    <w:pPr>
      <w:suppressLineNumbers/>
      <w:tabs>
        <w:tab w:val="right" w:leader="dot" w:pos="7091"/>
        <w:tab w:val="clear" w:pos="7937"/>
      </w:tabs>
      <w:suppressAutoHyphens/>
      <w:adjustRightInd/>
      <w:spacing w:before="0" w:after="0" w:line="240" w:lineRule="auto"/>
      <w:ind w:left="2547"/>
      <w:jc w:val="both"/>
      <w:textAlignment w:val="auto"/>
    </w:pPr>
    <w:rPr>
      <w:rFonts w:ascii="Times New Roman" w:hAnsi="Times New Roman" w:eastAsia="宋体" w:cs="Mangal"/>
      <w:b w:val="0"/>
      <w:caps w:val="0"/>
      <w:kern w:val="1"/>
      <w:sz w:val="21"/>
      <w:szCs w:val="24"/>
      <w:lang w:eastAsia="ar-SA"/>
    </w:rPr>
  </w:style>
  <w:style w:type="paragraph" w:customStyle="1" w:styleId="741">
    <w:name w:val="_Style 112"/>
    <w:uiPriority w:val="99"/>
    <w:pPr>
      <w:widowControl w:val="0"/>
      <w:spacing w:line="360" w:lineRule="auto"/>
      <w:jc w:val="both"/>
    </w:pPr>
    <w:rPr>
      <w:kern w:val="2"/>
      <w:sz w:val="21"/>
      <w:lang w:val="en-US" w:eastAsia="zh-CN" w:bidi="ar-SA"/>
    </w:rPr>
  </w:style>
  <w:style w:type="paragraph" w:customStyle="1" w:styleId="742">
    <w:name w:val="xl3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b/>
      <w:bCs/>
      <w:color w:val="FF0000"/>
      <w:kern w:val="0"/>
      <w:sz w:val="24"/>
      <w:szCs w:val="24"/>
    </w:rPr>
  </w:style>
  <w:style w:type="paragraph" w:customStyle="1" w:styleId="743">
    <w:name w:val="xl95"/>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744">
    <w:name w:val="Char1"/>
    <w:basedOn w:val="1"/>
    <w:qFormat/>
    <w:uiPriority w:val="0"/>
    <w:rPr>
      <w:szCs w:val="24"/>
    </w:rPr>
  </w:style>
  <w:style w:type="paragraph" w:customStyle="1" w:styleId="745">
    <w:name w:val="Char Char Char Char Char Char Char11"/>
    <w:basedOn w:val="1"/>
    <w:qFormat/>
    <w:uiPriority w:val="0"/>
    <w:rPr>
      <w:szCs w:val="21"/>
    </w:rPr>
  </w:style>
  <w:style w:type="paragraph" w:customStyle="1" w:styleId="746">
    <w:name w:val="BT3"/>
    <w:basedOn w:val="6"/>
    <w:qFormat/>
    <w:uiPriority w:val="0"/>
    <w:pPr>
      <w:spacing w:before="0" w:after="0" w:line="415" w:lineRule="auto"/>
      <w:jc w:val="left"/>
    </w:pPr>
    <w:rPr>
      <w:rFonts w:ascii="宋体" w:hAnsi="宋体" w:eastAsia="华文中宋"/>
      <w:kern w:val="0"/>
      <w:sz w:val="21"/>
      <w:szCs w:val="24"/>
      <w:lang w:val="en-US" w:eastAsia="zh-CN"/>
    </w:rPr>
  </w:style>
  <w:style w:type="paragraph" w:customStyle="1" w:styleId="747">
    <w:name w:val="tabletext"/>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748">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749">
    <w:name w:val="p19"/>
    <w:basedOn w:val="1"/>
    <w:qFormat/>
    <w:uiPriority w:val="0"/>
    <w:pPr>
      <w:widowControl/>
      <w:spacing w:line="300" w:lineRule="auto"/>
      <w:jc w:val="left"/>
    </w:pPr>
    <w:rPr>
      <w:rFonts w:ascii="Arial" w:hAnsi="Arial" w:cs="Arial"/>
      <w:kern w:val="0"/>
      <w:szCs w:val="21"/>
    </w:rPr>
  </w:style>
  <w:style w:type="paragraph" w:customStyle="1" w:styleId="750">
    <w:name w:val="列出段落13"/>
    <w:basedOn w:val="1"/>
    <w:qFormat/>
    <w:uiPriority w:val="34"/>
    <w:pPr>
      <w:ind w:firstLine="420" w:firstLineChars="200"/>
    </w:pPr>
    <w:rPr>
      <w:rFonts w:cs="Times New Roman"/>
      <w:szCs w:val="24"/>
    </w:rPr>
  </w:style>
  <w:style w:type="paragraph" w:customStyle="1" w:styleId="751">
    <w:name w:val="Char Char2 Char1"/>
    <w:basedOn w:val="1"/>
    <w:qFormat/>
    <w:uiPriority w:val="0"/>
    <w:pPr>
      <w:keepNext/>
      <w:keepLines/>
      <w:pageBreakBefore/>
      <w:tabs>
        <w:tab w:val="left" w:pos="845"/>
      </w:tabs>
      <w:suppressAutoHyphens/>
      <w:spacing w:line="240" w:lineRule="auto"/>
      <w:ind w:left="845" w:hanging="420"/>
    </w:pPr>
    <w:rPr>
      <w:rFonts w:ascii="Tahoma" w:hAnsi="Tahoma" w:cs="Tahoma"/>
      <w:kern w:val="1"/>
      <w:sz w:val="24"/>
      <w:lang w:eastAsia="ar-SA"/>
    </w:rPr>
  </w:style>
  <w:style w:type="paragraph" w:customStyle="1" w:styleId="752">
    <w:name w:val="Char21"/>
    <w:basedOn w:val="1"/>
    <w:qFormat/>
    <w:uiPriority w:val="0"/>
    <w:pPr>
      <w:tabs>
        <w:tab w:val="left" w:pos="1365"/>
      </w:tabs>
      <w:ind w:left="1365" w:hanging="735"/>
    </w:pPr>
    <w:rPr>
      <w:sz w:val="24"/>
      <w:szCs w:val="24"/>
    </w:rPr>
  </w:style>
  <w:style w:type="paragraph" w:customStyle="1" w:styleId="753">
    <w:name w:val="Char Char Char"/>
    <w:basedOn w:val="1"/>
    <w:uiPriority w:val="0"/>
    <w:pPr>
      <w:spacing w:line="240" w:lineRule="auto"/>
    </w:pPr>
    <w:rPr>
      <w:rFonts w:ascii="Tahoma" w:hAnsi="Tahoma"/>
      <w:sz w:val="24"/>
    </w:rPr>
  </w:style>
  <w:style w:type="table" w:customStyle="1" w:styleId="754">
    <w:name w:val="网格型4"/>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5">
    <w:name w:val="网格型11"/>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6">
    <w:name w:val="网格型12"/>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7">
    <w:name w:val="网格型2"/>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8">
    <w:name w:val="网格型7"/>
    <w:basedOn w:val="53"/>
    <w:uiPriority w:val="59"/>
    <w:tblPr>
      <w:tblStyle w:val="53"/>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759">
    <w:name w:val="网格型3"/>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0">
    <w:name w:val="网格型5"/>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1">
    <w:name w:val="网格型1"/>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2">
    <w:name w:val="网格型6"/>
    <w:basedOn w:val="53"/>
    <w:qFormat/>
    <w:uiPriority w:val="0"/>
    <w:pPr>
      <w:widowControl w:val="0"/>
      <w:jc w:val="both"/>
    </w:pPr>
    <w:rPr>
      <w:rFonts w:ascii="Times New Roman" w:hAnsi="Times New Roman"/>
    </w:r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footer4.xml" Type="http://schemas.openxmlformats.org/officeDocument/2006/relationships/footer"/><Relationship Id="rId11" Target="header3.xml" Type="http://schemas.openxmlformats.org/officeDocument/2006/relationships/header"/><Relationship Id="rId12" Target="footer5.xml" Type="http://schemas.openxmlformats.org/officeDocument/2006/relationships/footer"/><Relationship Id="rId13" Target="footer6.xml" Type="http://schemas.openxmlformats.org/officeDocument/2006/relationships/footer"/><Relationship Id="rId14" Target="footer7.xml" Type="http://schemas.openxmlformats.org/officeDocument/2006/relationships/footer"/><Relationship Id="rId15" Target="theme/theme1.xml" Type="http://schemas.openxmlformats.org/officeDocument/2006/relationships/theme"/><Relationship Id="rId16" Target="media/image1.tiff" Type="http://schemas.openxmlformats.org/officeDocument/2006/relationships/image"/><Relationship Id="rId17" Target="media/image2.tiff" Type="http://schemas.openxmlformats.org/officeDocument/2006/relationships/image"/><Relationship Id="rId18" Target="media/image3.png" Type="http://schemas.openxmlformats.org/officeDocument/2006/relationships/image"/><Relationship Id="rId19" Target="media/image4.png" Type="http://schemas.openxmlformats.org/officeDocument/2006/relationships/image"/><Relationship Id="rId2" Target="settings.xml" Type="http://schemas.openxmlformats.org/officeDocument/2006/relationships/settings"/><Relationship Id="rId20" Target="media/image5.jpeg" Type="http://schemas.openxmlformats.org/officeDocument/2006/relationships/image"/><Relationship Id="rId21" Target="media/image6.jpeg" Type="http://schemas.openxmlformats.org/officeDocument/2006/relationships/image"/><Relationship Id="rId22" Target="media/image7.jpeg" Type="http://schemas.openxmlformats.org/officeDocument/2006/relationships/image"/><Relationship Id="rId23" Target="media/image8.jpeg" Type="http://schemas.openxmlformats.org/officeDocument/2006/relationships/image"/><Relationship Id="rId24" Target="media/image9.jpeg" Type="http://schemas.openxmlformats.org/officeDocument/2006/relationships/image"/><Relationship Id="rId25" Target="media/image10.jpeg" Type="http://schemas.openxmlformats.org/officeDocument/2006/relationships/image"/><Relationship Id="rId26" Target="media/image11.jpeg" Type="http://schemas.openxmlformats.org/officeDocument/2006/relationships/image"/><Relationship Id="rId27" Target="media/image12.jpeg" Type="http://schemas.openxmlformats.org/officeDocument/2006/relationships/image"/><Relationship Id="rId28" Target="media/image13.jpeg" Type="http://schemas.openxmlformats.org/officeDocument/2006/relationships/image"/><Relationship Id="rId29" Target="media/image14.jpeg" Type="http://schemas.openxmlformats.org/officeDocument/2006/relationships/image"/><Relationship Id="rId3" Target="footnotes.xml" Type="http://schemas.openxmlformats.org/officeDocument/2006/relationships/footnotes"/><Relationship Id="rId30" Target="media/image15.jpeg" Type="http://schemas.openxmlformats.org/officeDocument/2006/relationships/image"/><Relationship Id="rId31" Target="media/image16.jpeg" Type="http://schemas.openxmlformats.org/officeDocument/2006/relationships/image"/><Relationship Id="rId32" Target="media/image17.jpeg" Type="http://schemas.openxmlformats.org/officeDocument/2006/relationships/image"/><Relationship Id="rId33" Target="media/image18.jpeg" Type="http://schemas.openxmlformats.org/officeDocument/2006/relationships/image"/><Relationship Id="rId34" Target="media/image19.png" Type="http://schemas.openxmlformats.org/officeDocument/2006/relationships/image"/><Relationship Id="rId35" Target="media/image20.png" Type="http://schemas.openxmlformats.org/officeDocument/2006/relationships/image"/><Relationship Id="rId36" Target="media/image21.jpeg" Type="http://schemas.openxmlformats.org/officeDocument/2006/relationships/image"/><Relationship Id="rId37" Target="media/image22.jpeg" Type="http://schemas.openxmlformats.org/officeDocument/2006/relationships/image"/><Relationship Id="rId38" Target="media/image23.jpeg" Type="http://schemas.openxmlformats.org/officeDocument/2006/relationships/image"/><Relationship Id="rId39" Target="media/image24.jpeg" Type="http://schemas.openxmlformats.org/officeDocument/2006/relationships/image"/><Relationship Id="rId4" Target="endnotes.xml" Type="http://schemas.openxmlformats.org/officeDocument/2006/relationships/endnotes"/><Relationship Id="rId40" Target="media/image25.bmp" Type="http://schemas.openxmlformats.org/officeDocument/2006/relationships/image"/><Relationship Id="rId41" Target="../customXml/item1.xml" Type="http://schemas.openxmlformats.org/officeDocument/2006/relationships/customXml"/><Relationship Id="rId42" Target="numbering.xml" Type="http://schemas.openxmlformats.org/officeDocument/2006/relationships/numbering"/><Relationship Id="rId43" Target="fontTable.xml" Type="http://schemas.openxmlformats.org/officeDocument/2006/relationships/fontTable"/><Relationship Id="rId5" Target="footer1.xml" Type="http://schemas.openxmlformats.org/officeDocument/2006/relationships/footer"/><Relationship Id="rId6" Target="footer2.xml" Type="http://schemas.openxmlformats.org/officeDocument/2006/relationships/footer"/><Relationship Id="rId7" Target="header1.xml" Type="http://schemas.openxmlformats.org/officeDocument/2006/relationships/header"/><Relationship Id="rId8" Target="footer3.xml" Type="http://schemas.openxmlformats.org/officeDocument/2006/relationships/footer"/><Relationship Id="rId9" Target="header2.xml" Type="http://schemas.openxmlformats.org/officeDocument/2006/relationships/header"/></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2073"/>
    <customShpInfo spid="_x0000_s2074"/>
    <customShpInfo spid="_x0000_s2072"/>
    <customShpInfo spid="_x0000_s2051"/>
    <customShpInfo spid="_x0000_s2052"/>
    <customShpInfo spid="_x0000_s2053"/>
    <customShpInfo spid="_x0000_s2055"/>
    <customShpInfo spid="_x0000_s2056"/>
    <customShpInfo spid="_x0000_s2057"/>
    <customShpInfo spid="_x0000_s2058"/>
    <customShpInfo spid="_x0000_s2059"/>
    <customShpInfo spid="_x0000_s2060"/>
    <customShpInfo spid="_x0000_s2054"/>
    <customShpInfo spid="_x0000_s2050"/>
    <customShpInfo spid="_x0000_s2077"/>
    <customShpInfo spid="_x0000_s2078"/>
    <customShpInfo spid="_x0000_s2079"/>
    <customShpInfo spid="_x0000_s2081"/>
    <customShpInfo spid="_x0000_s2082"/>
    <customShpInfo spid="_x0000_s2083"/>
    <customShpInfo spid="_x0000_s2084"/>
    <customShpInfo spid="_x0000_s2085"/>
    <customShpInfo spid="_x0000_s2086"/>
    <customShpInfo spid="_x0000_s2080"/>
    <customShpInfo spid="_x0000_s2076"/>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113</Pages>
  <Words>11441</Words>
  <Characters>65216</Characters>
  <Lines>543</Lines>
  <Paragraphs>153</Paragraphs>
  <TotalTime>0</TotalTime>
  <ScaleCrop>false</ScaleCrop>
  <LinksUpToDate>false</LinksUpToDate>
  <CharactersWithSpaces>76504</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2023-08-26T02:53:00Z</dcterms:created>
  <dc:creator>易蓉</dc:creator>
  <cp:lastModifiedBy>WPS_1701756769</cp:lastModifiedBy>
  <cp:lastPrinted>2021-12-10T16:50:00Z</cp:lastPrinted>
  <dcterms:modified xsi:type="dcterms:W3CDTF">2024-02-23T07:58:38Z</dcterms:modified>
  <cp:revision>7</cp:revision>
  <dc:title>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1F180ACD5C1E4135A408A59977E98F65_13</vt:lpwstr>
  </property>
</Properties>
</file>