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ascii="仿宋" w:hAnsi="仿宋" w:eastAsia="仿宋" w:cs="仿宋_GB2312"/>
          <w:b/>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b/>
          <w:bCs/>
          <w:color w:val="auto"/>
          <w:sz w:val="56"/>
          <w:szCs w:val="56"/>
          <w:highlight w:val="none"/>
          <w:lang w:eastAsia="zh-CN"/>
        </w:rPr>
      </w:pPr>
      <w:bookmarkStart w:id="0" w:name="_Hlt67893495"/>
      <w:bookmarkEnd w:id="0"/>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b/>
          <w:bCs/>
          <w:color w:val="auto"/>
          <w:sz w:val="56"/>
          <w:szCs w:val="56"/>
          <w:highlight w:val="none"/>
          <w:lang w:eastAsia="zh-CN"/>
        </w:rPr>
      </w:pPr>
      <w:r>
        <w:rPr>
          <w:rFonts w:hint="eastAsia" w:ascii="宋体" w:hAnsi="宋体"/>
          <w:b/>
          <w:bCs/>
          <w:color w:val="auto"/>
          <w:sz w:val="56"/>
          <w:szCs w:val="56"/>
          <w:highlight w:val="none"/>
          <w:lang w:eastAsia="zh-CN"/>
        </w:rPr>
        <w:t>2023年嘉善县生活垃圾焚烧飞灰外运处置项目（第二次）</w:t>
      </w: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pPr>
        <w:pStyle w:val="63"/>
        <w:rPr>
          <w:color w:val="auto"/>
          <w:highlight w:val="none"/>
        </w:rPr>
      </w:pPr>
    </w:p>
    <w:p>
      <w:pPr>
        <w:snapToGrid w:val="0"/>
        <w:spacing w:before="120" w:beforeLines="50" w:line="360" w:lineRule="auto"/>
        <w:jc w:val="center"/>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35"/>
        <w:snapToGrid w:val="0"/>
        <w:spacing w:before="120" w:after="120" w:line="360" w:lineRule="auto"/>
        <w:rPr>
          <w:b/>
          <w:color w:val="auto"/>
          <w:sz w:val="30"/>
          <w:szCs w:val="30"/>
          <w:highlight w:val="none"/>
        </w:rPr>
      </w:pPr>
    </w:p>
    <w:p>
      <w:pPr>
        <w:rPr>
          <w:color w:val="auto"/>
          <w:highlight w:val="none"/>
        </w:rPr>
      </w:pPr>
    </w:p>
    <w:p>
      <w:pPr>
        <w:pStyle w:val="35"/>
        <w:snapToGrid w:val="0"/>
        <w:spacing w:before="120" w:after="120" w:line="360" w:lineRule="auto"/>
        <w:jc w:val="left"/>
        <w:rPr>
          <w:b/>
          <w:color w:val="auto"/>
          <w:sz w:val="30"/>
          <w:szCs w:val="30"/>
          <w:highlight w:val="none"/>
        </w:rPr>
      </w:pPr>
    </w:p>
    <w:p>
      <w:pPr>
        <w:pStyle w:val="35"/>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JXYJ2023015</w:t>
      </w:r>
      <w:r>
        <w:rPr>
          <w:rFonts w:hint="eastAsia" w:hAnsi="宋体"/>
          <w:b/>
          <w:color w:val="auto"/>
          <w:sz w:val="30"/>
          <w:szCs w:val="48"/>
          <w:highlight w:val="none"/>
        </w:rPr>
        <w:t>(G)</w:t>
      </w:r>
    </w:p>
    <w:p>
      <w:pPr>
        <w:pStyle w:val="35"/>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2023年嘉善县生活垃圾焚烧飞灰外运处置项目（第二次）</w:t>
      </w:r>
    </w:p>
    <w:p>
      <w:pPr>
        <w:pStyle w:val="35"/>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嘉善县住房和城乡建设局</w:t>
      </w:r>
    </w:p>
    <w:p>
      <w:pPr>
        <w:pStyle w:val="35"/>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rPr>
        <w:t>2023年</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月</w:t>
      </w:r>
    </w:p>
    <w:p>
      <w:pPr>
        <w:rPr>
          <w:rFonts w:ascii="仿宋" w:hAnsi="仿宋" w:eastAsia="仿宋" w:cs="仿宋_GB2312"/>
          <w:color w:val="auto"/>
          <w:sz w:val="24"/>
          <w:highlight w:val="none"/>
        </w:rPr>
        <w:sectPr>
          <w:headerReference r:id="rId3" w:type="default"/>
          <w:footerReference r:id="rId4" w:type="even"/>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4"/>
        <w:rPr>
          <w:color w:val="auto"/>
          <w:highlight w:val="none"/>
        </w:rPr>
      </w:pPr>
    </w:p>
    <w:p>
      <w:pPr>
        <w:pStyle w:val="63"/>
        <w:rPr>
          <w:rFonts w:ascii="仿宋" w:hAnsi="仿宋" w:eastAsia="仿宋" w:cs="仿宋_GB2312"/>
          <w:color w:val="auto"/>
          <w:highlight w:val="none"/>
        </w:rPr>
      </w:pPr>
    </w:p>
    <w:p>
      <w:pPr>
        <w:rPr>
          <w:rFonts w:ascii="仿宋" w:hAnsi="仿宋" w:eastAsia="仿宋" w:cs="仿宋_GB2312"/>
          <w:color w:val="auto"/>
          <w:sz w:val="24"/>
          <w:highlight w:val="none"/>
        </w:rPr>
      </w:pPr>
    </w:p>
    <w:p>
      <w:pPr>
        <w:pStyle w:val="35"/>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pPr>
        <w:pStyle w:val="35"/>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pPr>
        <w:pStyle w:val="35"/>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5"/>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9"/>
          <w:rFonts w:hint="eastAsia"/>
          <w:b/>
          <w:color w:val="auto"/>
          <w:sz w:val="32"/>
          <w:szCs w:val="32"/>
          <w:highlight w:val="none"/>
        </w:rPr>
        <w:t>第一章 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9"/>
          <w:rFonts w:hint="eastAsia"/>
          <w:b/>
          <w:color w:val="auto"/>
          <w:sz w:val="32"/>
          <w:szCs w:val="32"/>
          <w:highlight w:val="none"/>
        </w:rPr>
        <w:t>第二章 招标需求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9"/>
          <w:rFonts w:hint="eastAsia"/>
          <w:b/>
          <w:color w:val="auto"/>
          <w:sz w:val="32"/>
          <w:szCs w:val="32"/>
          <w:highlight w:val="none"/>
        </w:rPr>
        <w:t>第三章 投标人须知</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rPr>
        <w:t>11</w:t>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9"/>
          <w:rFonts w:hint="eastAsia"/>
          <w:b/>
          <w:color w:val="auto"/>
          <w:sz w:val="32"/>
          <w:szCs w:val="32"/>
          <w:highlight w:val="none"/>
        </w:rPr>
        <w:t>第四章 评标办法及评分标准</w:t>
      </w:r>
      <w:r>
        <w:rPr>
          <w:b/>
          <w:color w:val="auto"/>
          <w:sz w:val="32"/>
          <w:szCs w:val="32"/>
          <w:highlight w:val="none"/>
        </w:rPr>
        <w:tab/>
      </w:r>
      <w:r>
        <w:rPr>
          <w:rFonts w:hint="eastAsia"/>
          <w:b/>
          <w:color w:val="auto"/>
          <w:sz w:val="32"/>
          <w:szCs w:val="32"/>
          <w:highlight w:val="none"/>
        </w:rPr>
        <w:t>2</w:t>
      </w:r>
      <w:r>
        <w:rPr>
          <w:rFonts w:hint="eastAsia"/>
          <w:b/>
          <w:color w:val="auto"/>
          <w:sz w:val="32"/>
          <w:szCs w:val="32"/>
          <w:highlight w:val="none"/>
        </w:rPr>
        <w:fldChar w:fldCharType="end"/>
      </w:r>
      <w:r>
        <w:rPr>
          <w:rFonts w:hint="eastAsia"/>
          <w:b/>
          <w:color w:val="auto"/>
          <w:sz w:val="32"/>
          <w:szCs w:val="32"/>
          <w:highlight w:val="none"/>
        </w:rPr>
        <w:t>8</w:t>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9"/>
          <w:rFonts w:hint="eastAsia"/>
          <w:b/>
          <w:color w:val="auto"/>
          <w:sz w:val="32"/>
          <w:szCs w:val="32"/>
          <w:highlight w:val="none"/>
        </w:rPr>
        <w:t>第五章 嘉善县政府采购合同（</w:t>
      </w:r>
      <w:bookmarkStart w:id="3" w:name="_Hlt497308216"/>
      <w:r>
        <w:rPr>
          <w:rStyle w:val="79"/>
          <w:rFonts w:hint="eastAsia"/>
          <w:b/>
          <w:color w:val="auto"/>
          <w:sz w:val="32"/>
          <w:szCs w:val="32"/>
          <w:highlight w:val="none"/>
        </w:rPr>
        <w:t>指</w:t>
      </w:r>
      <w:bookmarkEnd w:id="3"/>
      <w:bookmarkStart w:id="4" w:name="_Hlt497308220"/>
      <w:r>
        <w:rPr>
          <w:rStyle w:val="79"/>
          <w:rFonts w:hint="eastAsia"/>
          <w:b/>
          <w:color w:val="auto"/>
          <w:sz w:val="32"/>
          <w:szCs w:val="32"/>
          <w:highlight w:val="none"/>
        </w:rPr>
        <w:t>引</w:t>
      </w:r>
      <w:bookmarkEnd w:id="4"/>
      <w:r>
        <w:rPr>
          <w:rStyle w:val="79"/>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b/>
          <w:color w:val="auto"/>
          <w:sz w:val="32"/>
          <w:szCs w:val="32"/>
          <w:highlight w:val="none"/>
        </w:rPr>
        <w:fldChar w:fldCharType="end"/>
      </w:r>
      <w:r>
        <w:rPr>
          <w:rFonts w:hint="eastAsia"/>
          <w:b/>
          <w:color w:val="auto"/>
          <w:sz w:val="32"/>
          <w:szCs w:val="32"/>
          <w:highlight w:val="none"/>
        </w:rPr>
        <w:t>31</w:t>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9"/>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rPr>
        <w:t>36</w:t>
      </w: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p>
    <w:bookmarkEnd w:id="2"/>
    <w:p>
      <w:pPr>
        <w:adjustRightInd/>
        <w:spacing w:line="360" w:lineRule="auto"/>
        <w:jc w:val="center"/>
        <w:outlineLvl w:val="0"/>
        <w:rPr>
          <w:rFonts w:ascii="仿宋_GB2312" w:hAnsi="仿宋" w:eastAsia="仿宋_GB2312" w:cs="仿宋_GB2312"/>
          <w:b/>
          <w:color w:val="auto"/>
          <w:sz w:val="36"/>
          <w:szCs w:val="20"/>
          <w:highlight w:val="none"/>
        </w:rPr>
      </w:pPr>
      <w:bookmarkStart w:id="7" w:name="_Hlt74649545"/>
      <w:bookmarkEnd w:id="7"/>
      <w:bookmarkStart w:id="8" w:name="_Hlt74729822"/>
      <w:bookmarkEnd w:id="8"/>
      <w:bookmarkStart w:id="9" w:name="_Hlt74707423"/>
      <w:bookmarkEnd w:id="9"/>
      <w:bookmarkStart w:id="10" w:name="_Hlt74728647"/>
      <w:bookmarkEnd w:id="10"/>
      <w:bookmarkStart w:id="11" w:name="第二部分"/>
      <w:bookmarkStart w:id="12" w:name="_Toc91899870"/>
      <w:bookmarkStart w:id="13" w:name="_Toc91899871"/>
      <w:r>
        <w:rPr>
          <w:rFonts w:hint="eastAsia" w:ascii="仿宋" w:hAnsi="仿宋" w:eastAsia="仿宋" w:cs="仿宋_GB2312"/>
          <w:b/>
          <w:color w:val="auto"/>
          <w:sz w:val="36"/>
          <w:szCs w:val="20"/>
          <w:highlight w:val="none"/>
        </w:rPr>
        <w:t>第一章公开招标采购公告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2023年嘉善县生活垃圾焚烧飞灰外运处置项目（第二次）</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rPr>
        <w:t>2023年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JXYJ2023015</w:t>
      </w:r>
      <w:r>
        <w:rPr>
          <w:rFonts w:hint="eastAsia" w:ascii="仿宋_GB2312" w:hAnsi="仿宋" w:eastAsia="仿宋_GB2312"/>
          <w:b/>
          <w:color w:val="auto"/>
          <w:sz w:val="24"/>
          <w:highlight w:val="none"/>
        </w:rPr>
        <w:t>(G)</w:t>
      </w:r>
    </w:p>
    <w:p>
      <w:pPr>
        <w:spacing w:line="360" w:lineRule="auto"/>
        <w:ind w:firstLine="482" w:firstLineChars="200"/>
        <w:rPr>
          <w:rFonts w:hint="eastAsia" w:ascii="仿宋_GB2312" w:hAnsi="仿宋" w:eastAsia="仿宋_GB2312"/>
          <w:color w:val="auto"/>
          <w:sz w:val="24"/>
          <w:highlight w:val="none"/>
          <w:lang w:eastAsia="zh-CN"/>
        </w:rPr>
      </w:pPr>
      <w:r>
        <w:rPr>
          <w:rFonts w:ascii="仿宋_GB2312" w:hAnsi="仿宋" w:eastAsia="仿宋_GB2312"/>
          <w:b/>
          <w:color w:val="auto"/>
          <w:sz w:val="24"/>
          <w:highlight w:val="none"/>
        </w:rPr>
        <w:t>项目名称：</w:t>
      </w:r>
      <w:r>
        <w:rPr>
          <w:rFonts w:hint="eastAsia" w:ascii="仿宋_GB2312" w:hAnsi="仿宋" w:eastAsia="仿宋_GB2312"/>
          <w:b/>
          <w:color w:val="auto"/>
          <w:sz w:val="24"/>
          <w:highlight w:val="none"/>
          <w:lang w:eastAsia="zh-CN"/>
        </w:rPr>
        <w:t>2023年嘉善县生活垃圾焚烧飞灰外运处置项目（第二次）</w:t>
      </w:r>
    </w:p>
    <w:p>
      <w:pPr>
        <w:spacing w:line="360" w:lineRule="auto"/>
        <w:ind w:firstLine="482" w:firstLineChars="200"/>
        <w:rPr>
          <w:rFonts w:hint="eastAsia" w:ascii="仿宋_GB2312" w:hAnsi="仿宋" w:eastAsia="仿宋_GB2312"/>
          <w:b/>
          <w:color w:val="auto"/>
          <w:sz w:val="24"/>
          <w:highlight w:val="none"/>
          <w:lang w:val="en-US" w:eastAsia="zh-CN"/>
        </w:rPr>
      </w:pP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lang w:eastAsia="zh-CN"/>
        </w:rPr>
        <w:t>24000000</w:t>
      </w:r>
    </w:p>
    <w:p>
      <w:pPr>
        <w:spacing w:line="360" w:lineRule="auto"/>
        <w:ind w:firstLine="482" w:firstLineChars="200"/>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2400</w:t>
      </w:r>
      <w:r>
        <w:rPr>
          <w:rFonts w:hint="eastAsia" w:ascii="仿宋_GB2312" w:hAnsi="仿宋" w:eastAsia="仿宋_GB2312"/>
          <w:b/>
          <w:color w:val="auto"/>
          <w:sz w:val="24"/>
          <w:highlight w:val="none"/>
          <w:lang w:eastAsia="zh-CN"/>
        </w:rPr>
        <w:t>0000</w:t>
      </w:r>
    </w:p>
    <w:p>
      <w:pPr>
        <w:pStyle w:val="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sz w:val="24"/>
          <w:highlight w:val="none"/>
        </w:rPr>
        <w:t>详见招标文件第二章招标需求</w:t>
      </w:r>
    </w:p>
    <w:p>
      <w:pPr>
        <w:pStyle w:val="6"/>
        <w:spacing w:line="360" w:lineRule="auto"/>
        <w:ind w:firstLine="480"/>
        <w:rPr>
          <w:rFonts w:ascii="仿宋_GB2312" w:hAnsi="仿宋" w:eastAsia="仿宋_GB2312"/>
          <w:b/>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bCs/>
          <w:snapToGrid/>
          <w:color w:val="auto"/>
          <w:kern w:val="2"/>
          <w:sz w:val="24"/>
          <w:szCs w:val="24"/>
          <w:highlight w:val="none"/>
        </w:rPr>
        <w:t>一年，具体起止时间以合同签订时间为准。如中标供应商操作规范、服务优良、单位评价较好，经县建设局、县财政部门审核同意后，可延长采购服务有效期</w:t>
      </w:r>
      <w:r>
        <w:rPr>
          <w:rFonts w:hint="eastAsia" w:ascii="仿宋_GB2312" w:hAnsi="仿宋" w:eastAsia="仿宋_GB2312"/>
          <w:bCs/>
          <w:snapToGrid/>
          <w:color w:val="auto"/>
          <w:kern w:val="2"/>
          <w:sz w:val="24"/>
          <w:szCs w:val="24"/>
          <w:highlight w:val="none"/>
          <w:lang w:val="en-US" w:eastAsia="zh-CN"/>
        </w:rPr>
        <w:t>两</w:t>
      </w:r>
      <w:r>
        <w:rPr>
          <w:rFonts w:hint="eastAsia" w:ascii="仿宋_GB2312" w:hAnsi="仿宋" w:eastAsia="仿宋_GB2312"/>
          <w:bCs/>
          <w:snapToGrid/>
          <w:color w:val="auto"/>
          <w:kern w:val="2"/>
          <w:sz w:val="24"/>
          <w:szCs w:val="24"/>
          <w:highlight w:val="none"/>
        </w:rPr>
        <w:t>次，</w:t>
      </w:r>
      <w:r>
        <w:rPr>
          <w:rFonts w:hint="eastAsia" w:ascii="仿宋_GB2312" w:hAnsi="仿宋" w:eastAsia="仿宋_GB2312"/>
          <w:bCs/>
          <w:snapToGrid/>
          <w:color w:val="auto"/>
          <w:kern w:val="2"/>
          <w:sz w:val="24"/>
          <w:szCs w:val="24"/>
          <w:highlight w:val="none"/>
          <w:lang w:val="en-US" w:eastAsia="zh-CN"/>
        </w:rPr>
        <w:t>每次</w:t>
      </w:r>
      <w:r>
        <w:rPr>
          <w:rFonts w:hint="eastAsia" w:ascii="仿宋_GB2312" w:hAnsi="仿宋" w:eastAsia="仿宋_GB2312"/>
          <w:bCs/>
          <w:snapToGrid/>
          <w:color w:val="auto"/>
          <w:kern w:val="2"/>
          <w:sz w:val="24"/>
          <w:szCs w:val="24"/>
          <w:highlight w:val="none"/>
        </w:rPr>
        <w:t>续签一年服务合同</w:t>
      </w:r>
      <w:r>
        <w:rPr>
          <w:rFonts w:hint="eastAsia" w:ascii="仿宋_GB2312" w:hAnsi="仿宋" w:eastAsia="仿宋_GB2312"/>
          <w:bCs/>
          <w:color w:val="auto"/>
          <w:sz w:val="24"/>
          <w:highlight w:val="none"/>
        </w:rPr>
        <w:t>。</w:t>
      </w:r>
    </w:p>
    <w:p>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2"/>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9538898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13151865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7"/>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sdtContent>
          </w:sdt>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19707407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393968123"/>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sdtContent>
          </w:sdt>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napToGrid w:val="0"/>
        <w:spacing w:line="360" w:lineRule="auto"/>
        <w:ind w:firstLine="512" w:firstLineChars="200"/>
        <w:rPr>
          <w:rFonts w:ascii="仿宋_GB2312" w:hAnsi="仿宋" w:eastAsia="仿宋" w:cs="仿宋_GB2312"/>
          <w:color w:val="auto"/>
          <w:sz w:val="24"/>
          <w:highlight w:val="none"/>
        </w:rPr>
      </w:pPr>
      <w:r>
        <w:rPr>
          <w:rFonts w:hint="eastAsia" w:ascii="仿宋" w:hAnsi="仿宋" w:eastAsia="仿宋" w:cs="宋体"/>
          <w:color w:val="auto"/>
          <w:spacing w:val="8"/>
          <w:kern w:val="0"/>
          <w:sz w:val="24"/>
          <w:highlight w:val="none"/>
        </w:rPr>
        <w:t>3.本项目的特定资格要求：具有危险废物经营许可证(核准经营范围内废物类别HW18，废物代码须包含772-002-18，经营方式须包含收集、贮存、利用)</w:t>
      </w:r>
    </w:p>
    <w:p>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2023年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2023年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2023年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嘉善县住房和城乡建设局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浙江省嘉兴市嘉善县解放西路58号</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傅琦</w:t>
      </w:r>
    </w:p>
    <w:p>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xml:space="preserve">    项目联系方式（询问）：0573-8428312</w:t>
      </w:r>
      <w:r>
        <w:rPr>
          <w:rFonts w:hint="eastAsia" w:ascii="仿宋_GB2312" w:hAnsi="仿宋" w:eastAsia="仿宋_GB2312"/>
          <w:color w:val="auto"/>
          <w:sz w:val="24"/>
          <w:highlight w:val="none"/>
          <w:lang w:val="en-US" w:eastAsia="zh-CN"/>
        </w:rPr>
        <w:t>9</w:t>
      </w:r>
    </w:p>
    <w:p>
      <w:pPr>
        <w:spacing w:line="360" w:lineRule="auto"/>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 xml:space="preserve">    质疑联系人：蒋</w:t>
      </w:r>
      <w:r>
        <w:rPr>
          <w:rFonts w:hint="eastAsia" w:ascii="仿宋_GB2312" w:hAnsi="仿宋" w:eastAsia="仿宋_GB2312"/>
          <w:color w:val="auto"/>
          <w:sz w:val="24"/>
          <w:highlight w:val="none"/>
          <w:lang w:val="en-US" w:eastAsia="zh-CN"/>
        </w:rPr>
        <w:t>璐佳</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质疑联系方式：0573-84022701</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名称：嘉兴市银建工程咨询评估有限公司</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地址：嘉善县阳光东路185号善商大厦1号（东）楼21层</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0573-84211066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p>
    <w:p>
      <w:pPr>
        <w:spacing w:line="360" w:lineRule="auto"/>
        <w:rPr>
          <w:rFonts w:ascii="仿宋"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0573-84211066</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sectPr>
          <w:footerReference r:id="rId8" w:type="first"/>
          <w:footerReference r:id="rId7"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pPr>
        <w:numPr>
          <w:ilvl w:val="1"/>
          <w:numId w:val="2"/>
        </w:numPr>
        <w:tabs>
          <w:tab w:val="left" w:pos="993"/>
        </w:tabs>
        <w:adjustRightInd w:val="0"/>
        <w:snapToGrid w:val="0"/>
        <w:spacing w:line="360" w:lineRule="auto"/>
        <w:outlineLvl w:val="1"/>
        <w:rPr>
          <w:rFonts w:ascii="宋体" w:hAnsi="宋体"/>
          <w:b/>
          <w:color w:val="auto"/>
          <w:sz w:val="24"/>
          <w:highlight w:val="none"/>
        </w:rPr>
      </w:pPr>
      <w:bookmarkStart w:id="14" w:name="_Toc618"/>
      <w:r>
        <w:rPr>
          <w:rFonts w:hint="eastAsia" w:ascii="宋体" w:hAnsi="宋体"/>
          <w:b/>
          <w:color w:val="auto"/>
          <w:sz w:val="24"/>
          <w:highlight w:val="none"/>
        </w:rPr>
        <w:t>项目概况</w:t>
      </w:r>
      <w:bookmarkEnd w:id="14"/>
    </w:p>
    <w:p>
      <w:pPr>
        <w:numPr>
          <w:ilvl w:val="0"/>
          <w:numId w:val="3"/>
        </w:numPr>
        <w:adjustRightInd w:val="0"/>
        <w:snapToGrid w:val="0"/>
        <w:spacing w:line="360" w:lineRule="auto"/>
        <w:ind w:left="0" w:firstLine="420"/>
        <w:jc w:val="left"/>
        <w:rPr>
          <w:rFonts w:hint="eastAsia" w:ascii="宋体" w:hAnsi="宋体" w:cs="宋体"/>
          <w:color w:val="auto"/>
          <w:sz w:val="24"/>
          <w:highlight w:val="none"/>
        </w:rPr>
      </w:pPr>
      <w:bookmarkStart w:id="15" w:name="_Toc517777390"/>
      <w:bookmarkStart w:id="16" w:name="_Toc1166"/>
      <w:r>
        <w:rPr>
          <w:rFonts w:hint="eastAsia" w:ascii="宋体" w:hAnsi="宋体" w:cs="宋体"/>
          <w:color w:val="auto"/>
          <w:sz w:val="24"/>
          <w:highlight w:val="none"/>
        </w:rPr>
        <w:t>项目名称：</w:t>
      </w:r>
      <w:bookmarkEnd w:id="15"/>
      <w:r>
        <w:rPr>
          <w:rFonts w:hint="eastAsia" w:ascii="宋体" w:hAnsi="宋体" w:cs="宋体"/>
          <w:color w:val="auto"/>
          <w:sz w:val="24"/>
          <w:highlight w:val="none"/>
          <w:lang w:val="en-US" w:eastAsia="zh-CN"/>
        </w:rPr>
        <w:t>2023年嘉善县生活垃圾焚烧飞灰外运处置项目（第二次）</w:t>
      </w:r>
    </w:p>
    <w:p>
      <w:pPr>
        <w:numPr>
          <w:ilvl w:val="0"/>
          <w:numId w:val="3"/>
        </w:numPr>
        <w:adjustRightInd w:val="0"/>
        <w:snapToGrid w:val="0"/>
        <w:spacing w:line="360" w:lineRule="auto"/>
        <w:ind w:left="0" w:firstLine="420"/>
        <w:jc w:val="left"/>
        <w:rPr>
          <w:rFonts w:hint="eastAsia" w:ascii="宋体" w:hAnsi="宋体" w:cs="宋体"/>
          <w:bCs/>
          <w:color w:val="auto"/>
          <w:kern w:val="0"/>
          <w:sz w:val="24"/>
          <w:highlight w:val="none"/>
          <w:lang w:bidi="ar"/>
        </w:rPr>
      </w:pPr>
      <w:r>
        <w:rPr>
          <w:rFonts w:hint="eastAsia" w:ascii="宋体" w:hAnsi="宋体" w:cs="宋体"/>
          <w:color w:val="auto"/>
          <w:sz w:val="24"/>
          <w:highlight w:val="none"/>
        </w:rPr>
        <w:t>采购内容：</w:t>
      </w:r>
      <w:r>
        <w:rPr>
          <w:rFonts w:hint="eastAsia" w:ascii="宋体" w:hAnsi="宋体" w:cs="宋体"/>
          <w:bCs/>
          <w:color w:val="auto"/>
          <w:kern w:val="0"/>
          <w:sz w:val="24"/>
          <w:highlight w:val="none"/>
          <w:lang w:bidi="ar"/>
        </w:rPr>
        <w:t>采用水洗+水泥窑协同或水洗+高温熔融处置工艺将嘉善县生活垃圾焚烧飞灰（原灰）外运和资源化利用处置，</w:t>
      </w:r>
      <w:r>
        <w:rPr>
          <w:rFonts w:hint="eastAsia" w:ascii="宋体" w:hAnsi="宋体" w:cs="宋体"/>
          <w:bCs/>
          <w:color w:val="auto"/>
          <w:kern w:val="0"/>
          <w:sz w:val="24"/>
          <w:highlight w:val="none"/>
          <w:lang w:val="en-US" w:eastAsia="zh-CN" w:bidi="ar"/>
        </w:rPr>
        <w:t>要求</w:t>
      </w:r>
      <w:r>
        <w:rPr>
          <w:rFonts w:hint="eastAsia" w:ascii="宋体" w:hAnsi="宋体" w:cs="宋体"/>
          <w:bCs/>
          <w:color w:val="auto"/>
          <w:kern w:val="0"/>
          <w:sz w:val="24"/>
          <w:highlight w:val="none"/>
          <w:lang w:bidi="ar"/>
        </w:rPr>
        <w:t>处置</w:t>
      </w:r>
      <w:r>
        <w:rPr>
          <w:rFonts w:hint="eastAsia" w:ascii="宋体" w:hAnsi="宋体" w:cs="宋体"/>
          <w:bCs/>
          <w:color w:val="auto"/>
          <w:kern w:val="0"/>
          <w:sz w:val="24"/>
          <w:highlight w:val="none"/>
          <w:lang w:val="en-US" w:eastAsia="zh-CN" w:bidi="ar"/>
        </w:rPr>
        <w:t>能力不少于</w:t>
      </w:r>
      <w:r>
        <w:rPr>
          <w:rFonts w:hint="eastAsia" w:ascii="宋体" w:hAnsi="宋体" w:cs="宋体"/>
          <w:bCs/>
          <w:color w:val="auto"/>
          <w:kern w:val="0"/>
          <w:sz w:val="24"/>
          <w:highlight w:val="none"/>
          <w:lang w:bidi="ar"/>
        </w:rPr>
        <w:t>3</w:t>
      </w:r>
      <w:r>
        <w:rPr>
          <w:rFonts w:hint="eastAsia" w:ascii="宋体" w:hAnsi="宋体" w:cs="宋体"/>
          <w:bCs/>
          <w:color w:val="auto"/>
          <w:kern w:val="0"/>
          <w:sz w:val="24"/>
          <w:highlight w:val="none"/>
          <w:lang w:val="en-US" w:eastAsia="zh-CN" w:bidi="ar"/>
        </w:rPr>
        <w:t>5</w:t>
      </w:r>
      <w:r>
        <w:rPr>
          <w:rFonts w:hint="eastAsia" w:ascii="宋体" w:hAnsi="宋体" w:cs="宋体"/>
          <w:bCs/>
          <w:color w:val="auto"/>
          <w:kern w:val="0"/>
          <w:sz w:val="24"/>
          <w:highlight w:val="none"/>
          <w:lang w:bidi="ar"/>
        </w:rPr>
        <w:t>吨/日</w:t>
      </w:r>
      <w:r>
        <w:rPr>
          <w:rFonts w:hint="eastAsia" w:ascii="MS Mincho" w:hAnsi="MS Mincho" w:eastAsia="MS Mincho" w:cs="MS Mincho"/>
          <w:bCs/>
          <w:color w:val="auto"/>
          <w:kern w:val="0"/>
          <w:sz w:val="24"/>
          <w:highlight w:val="none"/>
          <w:lang w:bidi="ar"/>
        </w:rPr>
        <w:t>‬</w:t>
      </w:r>
      <w:r>
        <w:rPr>
          <w:rFonts w:hint="eastAsia" w:ascii="宋体" w:hAnsi="宋体" w:cs="宋体"/>
          <w:bCs/>
          <w:color w:val="auto"/>
          <w:kern w:val="0"/>
          <w:sz w:val="24"/>
          <w:highlight w:val="none"/>
          <w:lang w:bidi="ar"/>
        </w:rPr>
        <w:t>。</w:t>
      </w:r>
    </w:p>
    <w:p>
      <w:pPr>
        <w:numPr>
          <w:ilvl w:val="0"/>
          <w:numId w:val="3"/>
        </w:numPr>
        <w:adjustRightInd w:val="0"/>
        <w:snapToGrid w:val="0"/>
        <w:spacing w:line="360" w:lineRule="auto"/>
        <w:ind w:left="0" w:firstLine="420"/>
        <w:rPr>
          <w:rFonts w:hint="eastAsia" w:ascii="宋体" w:hAnsi="宋体" w:cs="宋体"/>
          <w:b/>
          <w:bCs/>
          <w:color w:val="auto"/>
          <w:kern w:val="0"/>
          <w:sz w:val="24"/>
          <w:highlight w:val="none"/>
          <w:lang w:bidi="ar"/>
        </w:rPr>
      </w:pPr>
      <w:r>
        <w:rPr>
          <w:rFonts w:hint="eastAsia" w:ascii="宋体" w:hAnsi="宋体" w:cs="宋体"/>
          <w:color w:val="auto"/>
          <w:sz w:val="24"/>
          <w:highlight w:val="none"/>
        </w:rPr>
        <w:t>实施地点：嘉善县姚庄镇界泾港村娄上嘉善伟明环保能源有限公司</w:t>
      </w:r>
    </w:p>
    <w:p>
      <w:pPr>
        <w:numPr>
          <w:ilvl w:val="0"/>
          <w:numId w:val="3"/>
        </w:numPr>
        <w:adjustRightInd w:val="0"/>
        <w:snapToGrid w:val="0"/>
        <w:spacing w:line="360" w:lineRule="auto"/>
        <w:ind w:left="0" w:firstLine="420"/>
        <w:rPr>
          <w:rFonts w:hint="eastAsia" w:ascii="宋体" w:hAnsi="宋体" w:cs="宋体"/>
          <w:color w:val="auto"/>
          <w:sz w:val="24"/>
          <w:highlight w:val="none"/>
        </w:rPr>
      </w:pPr>
      <w:r>
        <w:rPr>
          <w:rFonts w:hint="eastAsia" w:ascii="宋体" w:hAnsi="宋体" w:cs="宋体"/>
          <w:color w:val="auto"/>
          <w:sz w:val="24"/>
          <w:highlight w:val="none"/>
        </w:rPr>
        <w:t>服务期限：一年，具体起止时间以合同签订时间为准。如中标供应商操作规范、服务优良、单位评价较好，经县建设局、县财政部门审核同意后，可延长采购服务有效期</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次，</w:t>
      </w:r>
      <w:r>
        <w:rPr>
          <w:rFonts w:hint="eastAsia" w:ascii="宋体" w:hAnsi="宋体" w:cs="宋体"/>
          <w:color w:val="auto"/>
          <w:sz w:val="24"/>
          <w:highlight w:val="none"/>
          <w:lang w:val="en-US" w:eastAsia="zh-CN"/>
        </w:rPr>
        <w:t>每次</w:t>
      </w:r>
      <w:r>
        <w:rPr>
          <w:rFonts w:hint="eastAsia" w:ascii="宋体" w:hAnsi="宋体" w:cs="宋体"/>
          <w:color w:val="auto"/>
          <w:sz w:val="24"/>
          <w:highlight w:val="none"/>
        </w:rPr>
        <w:t>续签一年服务合同。</w:t>
      </w:r>
    </w:p>
    <w:bookmarkEnd w:id="16"/>
    <w:p>
      <w:pPr>
        <w:numPr>
          <w:ilvl w:val="1"/>
          <w:numId w:val="2"/>
        </w:numPr>
        <w:tabs>
          <w:tab w:val="left" w:pos="993"/>
        </w:tabs>
        <w:adjustRightInd w:val="0"/>
        <w:snapToGrid w:val="0"/>
        <w:spacing w:line="360" w:lineRule="auto"/>
        <w:outlineLvl w:val="1"/>
        <w:rPr>
          <w:rFonts w:hint="eastAsia" w:ascii="宋体" w:hAnsi="宋体"/>
          <w:b/>
          <w:color w:val="auto"/>
          <w:sz w:val="24"/>
          <w:highlight w:val="none"/>
        </w:rPr>
      </w:pPr>
      <w:bookmarkStart w:id="17" w:name="_Toc9565"/>
      <w:r>
        <w:rPr>
          <w:rFonts w:hint="eastAsia" w:ascii="宋体" w:hAnsi="宋体"/>
          <w:b/>
          <w:color w:val="auto"/>
          <w:sz w:val="24"/>
          <w:highlight w:val="none"/>
        </w:rPr>
        <w:t>项目要求</w:t>
      </w:r>
      <w:bookmarkEnd w:id="17"/>
    </w:p>
    <w:p>
      <w:pPr>
        <w:numPr>
          <w:ilvl w:val="0"/>
          <w:numId w:val="4"/>
        </w:numPr>
        <w:adjustRightInd w:val="0"/>
        <w:snapToGrid w:val="0"/>
        <w:spacing w:line="360" w:lineRule="auto"/>
        <w:ind w:firstLine="288" w:firstLineChars="120"/>
        <w:jc w:val="left"/>
        <w:outlineLvl w:val="2"/>
        <w:rPr>
          <w:rFonts w:hint="eastAsia" w:ascii="宋体" w:hAnsi="宋体" w:cs="宋体"/>
          <w:color w:val="auto"/>
          <w:sz w:val="24"/>
          <w:highlight w:val="none"/>
        </w:rPr>
      </w:pPr>
      <w:r>
        <w:rPr>
          <w:rFonts w:hint="eastAsia" w:ascii="宋体" w:hAnsi="宋体" w:cs="宋体"/>
          <w:color w:val="auto"/>
          <w:sz w:val="24"/>
          <w:highlight w:val="none"/>
        </w:rPr>
        <w:t>采购总说明</w:t>
      </w:r>
    </w:p>
    <w:p>
      <w:pPr>
        <w:pStyle w:val="24"/>
        <w:numPr>
          <w:ilvl w:val="0"/>
          <w:numId w:val="5"/>
        </w:numPr>
        <w:adjustRightInd w:val="0"/>
        <w:snapToGrid w:val="0"/>
        <w:spacing w:after="0" w:line="360" w:lineRule="auto"/>
        <w:ind w:left="0" w:firstLine="420"/>
        <w:rPr>
          <w:rFonts w:hint="eastAsia" w:ascii="宋体" w:hAnsi="宋体" w:cs="宋体"/>
          <w:color w:val="auto"/>
          <w:kern w:val="0"/>
          <w:sz w:val="24"/>
          <w:highlight w:val="none"/>
          <w:lang w:val="en-US" w:eastAsia="zh-CN"/>
        </w:rPr>
      </w:pPr>
      <w:r>
        <w:rPr>
          <w:rFonts w:hint="eastAsia" w:ascii="宋体" w:hAnsi="宋体" w:cs="宋体"/>
          <w:color w:val="auto"/>
          <w:sz w:val="24"/>
          <w:highlight w:val="none"/>
        </w:rPr>
        <w:t>嘉善县生活垃圾焚烧发电项目设计处理能力1050吨/日，飞灰日产生量按3%预估进行测算，即约30吨/日，不排除后期技术改造</w:t>
      </w:r>
      <w:r>
        <w:rPr>
          <w:rFonts w:hint="eastAsia" w:hAnsi="宋体" w:cs="宋体"/>
          <w:color w:val="auto"/>
          <w:sz w:val="24"/>
          <w:highlight w:val="none"/>
          <w:lang w:eastAsia="zh-CN"/>
        </w:rPr>
        <w:t>、</w:t>
      </w:r>
      <w:r>
        <w:rPr>
          <w:rFonts w:hint="eastAsia" w:hAnsi="宋体" w:cs="宋体"/>
          <w:color w:val="auto"/>
          <w:sz w:val="24"/>
          <w:highlight w:val="none"/>
          <w:lang w:val="en-US" w:eastAsia="zh-CN"/>
        </w:rPr>
        <w:t>处置陈年垃圾、焚烧炉检修产生的块状飞灰</w:t>
      </w:r>
      <w:r>
        <w:rPr>
          <w:rFonts w:hint="eastAsia" w:ascii="宋体" w:hAnsi="宋体" w:cs="宋体"/>
          <w:color w:val="auto"/>
          <w:sz w:val="24"/>
          <w:highlight w:val="none"/>
        </w:rPr>
        <w:t>等原因导致飞灰日产生量变化，由此产生的风险费用或成本增加，由投标人自行考虑计入本次投标报价中。</w:t>
      </w:r>
    </w:p>
    <w:p>
      <w:pPr>
        <w:pStyle w:val="24"/>
        <w:numPr>
          <w:ilvl w:val="0"/>
          <w:numId w:val="5"/>
        </w:numPr>
        <w:adjustRightInd w:val="0"/>
        <w:snapToGrid w:val="0"/>
        <w:spacing w:after="0" w:line="360" w:lineRule="auto"/>
        <w:ind w:left="0" w:firstLine="420"/>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飞灰目前以吨袋形式存储，需用吨袋形式运输。待飞灰罐装存储设施改造后，需用罐车进行运输（部分飞灰应急时仍</w:t>
      </w:r>
      <w:r>
        <w:rPr>
          <w:rFonts w:hint="eastAsia" w:hAnsi="宋体" w:cs="宋体"/>
          <w:color w:val="auto"/>
          <w:kern w:val="0"/>
          <w:sz w:val="24"/>
          <w:highlight w:val="none"/>
          <w:lang w:val="en-US" w:eastAsia="zh-CN"/>
        </w:rPr>
        <w:t>以</w:t>
      </w:r>
      <w:r>
        <w:rPr>
          <w:rFonts w:hint="eastAsia" w:ascii="宋体" w:hAnsi="宋体" w:cs="宋体"/>
          <w:color w:val="auto"/>
          <w:kern w:val="0"/>
          <w:sz w:val="24"/>
          <w:highlight w:val="none"/>
          <w:lang w:val="en-US" w:eastAsia="zh-CN"/>
        </w:rPr>
        <w:t>吨袋形式存储运输）。每天日产飞灰要求做到及时清运（只要嘉善伟明环保能源有限公司正常运营的情况下，处置单位在全年内应具备正常接收处置能力)。</w:t>
      </w:r>
    </w:p>
    <w:p>
      <w:pPr>
        <w:numPr>
          <w:ilvl w:val="0"/>
          <w:numId w:val="5"/>
        </w:numPr>
        <w:adjustRightInd w:val="0"/>
        <w:snapToGrid w:val="0"/>
        <w:spacing w:line="360" w:lineRule="auto"/>
        <w:ind w:left="0" w:firstLine="420"/>
        <w:rPr>
          <w:rFonts w:hint="eastAsia" w:ascii="宋体" w:hAnsi="宋体" w:cs="宋体"/>
          <w:color w:val="auto"/>
          <w:sz w:val="24"/>
          <w:highlight w:val="none"/>
        </w:rPr>
      </w:pPr>
      <w:r>
        <w:rPr>
          <w:rFonts w:hint="eastAsia" w:ascii="宋体" w:hAnsi="宋体" w:cs="宋体"/>
          <w:color w:val="auto"/>
          <w:sz w:val="24"/>
          <w:highlight w:val="none"/>
        </w:rPr>
        <w:t>制定飞灰运输的实施方案、服务质量保证措施、文明安全施工措施、外运环保措施，建立符合实际情况的各种人员及车辆、设备的管理制度。</w:t>
      </w:r>
    </w:p>
    <w:p>
      <w:pPr>
        <w:numPr>
          <w:ilvl w:val="0"/>
          <w:numId w:val="5"/>
        </w:numPr>
        <w:adjustRightInd w:val="0"/>
        <w:snapToGrid w:val="0"/>
        <w:spacing w:line="360" w:lineRule="auto"/>
        <w:ind w:left="0" w:leftChars="0" w:firstLine="420" w:firstLineChars="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投标人承担飞灰资源化利用的运输任务，配备具有危废运输资质的运输车辆，符合原灰或螯合飞灰的运输条件，上述相关由投标人自行考虑计入本次投标报价中。</w:t>
      </w:r>
    </w:p>
    <w:p>
      <w:pPr>
        <w:numPr>
          <w:ilvl w:val="0"/>
          <w:numId w:val="5"/>
        </w:numPr>
        <w:adjustRightInd w:val="0"/>
        <w:snapToGrid w:val="0"/>
        <w:spacing w:line="360" w:lineRule="auto"/>
        <w:ind w:left="0" w:firstLine="420"/>
        <w:rPr>
          <w:rFonts w:hint="eastAsia" w:ascii="宋体" w:hAnsi="宋体" w:cs="宋体"/>
          <w:color w:val="auto"/>
          <w:sz w:val="24"/>
          <w:highlight w:val="none"/>
        </w:rPr>
      </w:pPr>
      <w:r>
        <w:rPr>
          <w:rFonts w:hint="eastAsia" w:ascii="宋体" w:hAnsi="宋体" w:cs="宋体"/>
          <w:color w:val="auto"/>
          <w:sz w:val="24"/>
          <w:highlight w:val="none"/>
        </w:rPr>
        <w:t>本标书中的服务内容和要求不得被认为是详尽无遗的，无论规定与否，投标人应提供本标书没有规定但投标人认为完成本项目必须要提供的服务，应一一计入投标报价。</w:t>
      </w:r>
    </w:p>
    <w:p>
      <w:pPr>
        <w:numPr>
          <w:ilvl w:val="0"/>
          <w:numId w:val="4"/>
        </w:numPr>
        <w:adjustRightInd w:val="0"/>
        <w:snapToGrid w:val="0"/>
        <w:spacing w:line="360" w:lineRule="auto"/>
        <w:ind w:firstLine="288" w:firstLineChars="120"/>
        <w:jc w:val="left"/>
        <w:outlineLvl w:val="2"/>
        <w:rPr>
          <w:rFonts w:hint="eastAsia" w:ascii="宋体" w:hAnsi="宋体" w:cs="宋体"/>
          <w:color w:val="auto"/>
          <w:sz w:val="24"/>
          <w:highlight w:val="none"/>
        </w:rPr>
      </w:pPr>
      <w:r>
        <w:rPr>
          <w:rFonts w:hint="eastAsia" w:ascii="宋体" w:hAnsi="宋体" w:cs="宋体"/>
          <w:color w:val="auto"/>
          <w:sz w:val="24"/>
          <w:highlight w:val="none"/>
        </w:rPr>
        <w:t>飞灰的装卸</w:t>
      </w:r>
    </w:p>
    <w:p>
      <w:pPr>
        <w:widowControl/>
        <w:numPr>
          <w:ilvl w:val="0"/>
          <w:numId w:val="6"/>
        </w:numPr>
        <w:adjustRightInd w:val="0"/>
        <w:snapToGrid w:val="0"/>
        <w:spacing w:line="360" w:lineRule="auto"/>
        <w:ind w:left="0" w:firstLine="420"/>
        <w:jc w:val="left"/>
        <w:rPr>
          <w:rFonts w:hint="eastAsia" w:ascii="宋体" w:hAnsi="宋体" w:cs="宋体"/>
          <w:color w:val="auto"/>
          <w:sz w:val="24"/>
          <w:highlight w:val="none"/>
        </w:rPr>
      </w:pPr>
      <w:r>
        <w:rPr>
          <w:rFonts w:hint="eastAsia" w:ascii="宋体" w:hAnsi="宋体" w:cs="宋体"/>
          <w:color w:val="auto"/>
          <w:sz w:val="24"/>
          <w:highlight w:val="none"/>
        </w:rPr>
        <w:t>以</w:t>
      </w:r>
      <w:r>
        <w:rPr>
          <w:rFonts w:hint="eastAsia" w:ascii="宋体" w:hAnsi="宋体" w:cs="宋体"/>
          <w:color w:val="auto"/>
          <w:kern w:val="0"/>
          <w:sz w:val="24"/>
          <w:highlight w:val="none"/>
        </w:rPr>
        <w:t>吨包袋</w:t>
      </w:r>
      <w:r>
        <w:rPr>
          <w:rFonts w:hint="eastAsia" w:ascii="宋体" w:hAnsi="宋体" w:cs="宋体"/>
          <w:color w:val="auto"/>
          <w:sz w:val="24"/>
          <w:highlight w:val="none"/>
        </w:rPr>
        <w:t>形式存储的飞灰，由嘉善伟明环保能源有限公司协助装车；以罐装形式存储的飞灰，嘉善伟明环保能源有限公司协助装车，飞灰装车后不得外泄，车辆的密闭情况应良好。在飞灰装载施工中对飞灰可能产生的粉尘等有害物质必须作好相应的安全防护措施，确保施工人员人身安全及车辆和设备的安全。</w:t>
      </w:r>
    </w:p>
    <w:p>
      <w:pPr>
        <w:widowControl/>
        <w:numPr>
          <w:ilvl w:val="0"/>
          <w:numId w:val="6"/>
        </w:numPr>
        <w:adjustRightInd w:val="0"/>
        <w:snapToGrid w:val="0"/>
        <w:spacing w:line="360" w:lineRule="auto"/>
        <w:ind w:left="0" w:firstLine="42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装卸</w:t>
      </w:r>
      <w:r>
        <w:rPr>
          <w:rFonts w:hint="eastAsia" w:ascii="宋体" w:hAnsi="宋体" w:cs="宋体"/>
          <w:color w:val="auto"/>
          <w:sz w:val="24"/>
          <w:highlight w:val="none"/>
        </w:rPr>
        <w:t>作业过程需服从嘉善伟明环保能源有限公司指挥，不得影响其日常工作秩序。严格按照要求外运和资源化利用处置，不得随意在其他地点装卸。</w:t>
      </w:r>
    </w:p>
    <w:p>
      <w:pPr>
        <w:widowControl/>
        <w:numPr>
          <w:ilvl w:val="0"/>
          <w:numId w:val="6"/>
        </w:numPr>
        <w:adjustRightInd w:val="0"/>
        <w:snapToGrid w:val="0"/>
        <w:spacing w:line="360" w:lineRule="auto"/>
        <w:ind w:left="0" w:firstLine="420"/>
        <w:jc w:val="left"/>
        <w:rPr>
          <w:rFonts w:hint="eastAsia" w:ascii="宋体" w:hAnsi="宋体" w:cs="宋体"/>
          <w:color w:val="auto"/>
          <w:sz w:val="24"/>
          <w:highlight w:val="none"/>
        </w:rPr>
      </w:pPr>
      <w:r>
        <w:rPr>
          <w:rFonts w:hint="eastAsia" w:ascii="宋体" w:hAnsi="宋体" w:cs="宋体"/>
          <w:color w:val="auto"/>
          <w:sz w:val="24"/>
          <w:highlight w:val="none"/>
        </w:rPr>
        <w:t>飞灰运到终场后，应按照国家或行业的相关规定及采购单位的要求做好资源化利用处置。中标供应商应对整个飞灰运输终场处置中的环保、文明安全</w:t>
      </w:r>
      <w:r>
        <w:rPr>
          <w:rFonts w:hint="eastAsia" w:ascii="宋体" w:hAnsi="宋体" w:cs="宋体"/>
          <w:color w:val="auto"/>
          <w:sz w:val="24"/>
          <w:highlight w:val="none"/>
          <w:lang w:val="en-US" w:eastAsia="zh-CN"/>
        </w:rPr>
        <w:t>生产</w:t>
      </w:r>
      <w:r>
        <w:rPr>
          <w:rFonts w:hint="eastAsia" w:ascii="宋体" w:hAnsi="宋体" w:cs="宋体"/>
          <w:color w:val="auto"/>
          <w:sz w:val="24"/>
          <w:highlight w:val="none"/>
        </w:rPr>
        <w:t>负责，制定有力的措施，对飞灰运输终场处置的各个环节实行严格的管理，确保飞灰运输终场的质量。</w:t>
      </w:r>
    </w:p>
    <w:p>
      <w:pPr>
        <w:numPr>
          <w:ilvl w:val="0"/>
          <w:numId w:val="4"/>
        </w:numPr>
        <w:adjustRightInd w:val="0"/>
        <w:snapToGrid w:val="0"/>
        <w:spacing w:line="360" w:lineRule="auto"/>
        <w:ind w:firstLine="288" w:firstLineChars="120"/>
        <w:jc w:val="left"/>
        <w:outlineLvl w:val="2"/>
        <w:rPr>
          <w:rFonts w:hint="eastAsia" w:ascii="宋体" w:hAnsi="宋体" w:cs="宋体"/>
          <w:color w:val="auto"/>
          <w:sz w:val="24"/>
          <w:highlight w:val="none"/>
        </w:rPr>
      </w:pPr>
      <w:r>
        <w:rPr>
          <w:rFonts w:hint="eastAsia" w:ascii="宋体" w:hAnsi="宋体" w:cs="宋体"/>
          <w:color w:val="auto"/>
          <w:sz w:val="24"/>
          <w:highlight w:val="none"/>
        </w:rPr>
        <w:t>飞灰的运输</w:t>
      </w:r>
    </w:p>
    <w:p>
      <w:pPr>
        <w:pStyle w:val="24"/>
        <w:numPr>
          <w:ilvl w:val="0"/>
          <w:numId w:val="7"/>
        </w:numPr>
        <w:adjustRightInd w:val="0"/>
        <w:snapToGrid w:val="0"/>
        <w:spacing w:after="0" w:line="360" w:lineRule="auto"/>
        <w:ind w:left="0" w:firstLine="420"/>
        <w:rPr>
          <w:rFonts w:hint="eastAsia" w:ascii="宋体" w:hAnsi="宋体" w:cs="宋体"/>
          <w:color w:val="auto"/>
          <w:sz w:val="24"/>
          <w:szCs w:val="20"/>
          <w:highlight w:val="none"/>
        </w:rPr>
      </w:pPr>
      <w:r>
        <w:rPr>
          <w:rFonts w:hAnsi="宋体"/>
          <w:snapToGrid w:val="0"/>
          <w:color w:val="auto"/>
          <w:sz w:val="24"/>
          <w:highlight w:val="none"/>
        </w:rPr>
        <w:t>▲</w:t>
      </w:r>
      <w:r>
        <w:rPr>
          <w:rFonts w:hint="eastAsia" w:ascii="宋体" w:hAnsi="宋体" w:cs="宋体"/>
          <w:color w:val="auto"/>
          <w:kern w:val="0"/>
          <w:sz w:val="24"/>
          <w:highlight w:val="none"/>
        </w:rPr>
        <w:t>本项目运输部分允许</w:t>
      </w:r>
      <w:r>
        <w:rPr>
          <w:rFonts w:hint="eastAsia" w:ascii="宋体" w:hAnsi="宋体" w:cs="宋体"/>
          <w:color w:val="auto"/>
          <w:kern w:val="0"/>
          <w:sz w:val="24"/>
          <w:highlight w:val="none"/>
          <w:lang w:eastAsia="zh-CN"/>
        </w:rPr>
        <w:t>向</w:t>
      </w:r>
      <w:r>
        <w:rPr>
          <w:rFonts w:hint="eastAsia" w:hAnsi="宋体" w:cs="宋体"/>
          <w:color w:val="auto"/>
          <w:kern w:val="0"/>
          <w:sz w:val="24"/>
          <w:highlight w:val="none"/>
          <w:lang w:val="en-US" w:eastAsia="zh-CN"/>
        </w:rPr>
        <w:t>专业的运输</w:t>
      </w:r>
      <w:r>
        <w:rPr>
          <w:rFonts w:hint="eastAsia" w:ascii="宋体" w:hAnsi="宋体" w:cs="宋体"/>
          <w:color w:val="auto"/>
          <w:kern w:val="0"/>
          <w:sz w:val="24"/>
          <w:highlight w:val="none"/>
          <w:lang w:eastAsia="zh-CN"/>
        </w:rPr>
        <w:t>单位</w:t>
      </w:r>
      <w:r>
        <w:rPr>
          <w:rFonts w:hint="eastAsia" w:ascii="宋体" w:hAnsi="宋体" w:cs="宋体"/>
          <w:color w:val="auto"/>
          <w:kern w:val="0"/>
          <w:sz w:val="24"/>
          <w:highlight w:val="none"/>
        </w:rPr>
        <w:t>分包,运输单位须具有道路运输经营许可证（证书经营范围必须包括危险货物运输6.1项‬、第9类‬）。</w:t>
      </w:r>
    </w:p>
    <w:p>
      <w:pPr>
        <w:pStyle w:val="24"/>
        <w:numPr>
          <w:ilvl w:val="0"/>
          <w:numId w:val="7"/>
        </w:numPr>
        <w:adjustRightInd w:val="0"/>
        <w:snapToGrid w:val="0"/>
        <w:spacing w:after="0" w:line="360" w:lineRule="auto"/>
        <w:ind w:left="0" w:firstLine="420"/>
        <w:rPr>
          <w:rFonts w:hint="eastAsia" w:ascii="宋体" w:hAnsi="宋体" w:cs="宋体"/>
          <w:color w:val="auto"/>
          <w:kern w:val="0"/>
          <w:sz w:val="24"/>
          <w:highlight w:val="none"/>
          <w:lang w:val="en-US" w:eastAsia="zh-CN"/>
        </w:rPr>
      </w:pPr>
      <w:r>
        <w:rPr>
          <w:rFonts w:hAnsi="宋体"/>
          <w:snapToGrid w:val="0"/>
          <w:color w:val="auto"/>
          <w:sz w:val="24"/>
          <w:highlight w:val="none"/>
        </w:rPr>
        <w:t>▲</w:t>
      </w:r>
      <w:r>
        <w:rPr>
          <w:rFonts w:hint="eastAsia" w:ascii="宋体" w:hAnsi="宋体" w:cs="宋体"/>
          <w:color w:val="auto"/>
          <w:kern w:val="0"/>
          <w:sz w:val="24"/>
          <w:highlight w:val="none"/>
          <w:lang w:val="en-US" w:eastAsia="zh-CN"/>
        </w:rPr>
        <w:t>本项目所产生飞灰会以吨包袋或者罐装形式储存，中标供应商应采用飞灰专用车辆进行运输(以罐装车为主)。如果采用</w:t>
      </w:r>
      <w:r>
        <w:rPr>
          <w:rFonts w:ascii="宋体" w:hAnsi="宋体" w:cs="宋体"/>
          <w:color w:val="auto"/>
          <w:kern w:val="0"/>
          <w:sz w:val="24"/>
          <w:highlight w:val="none"/>
          <w:lang w:val="en-US" w:eastAsia="zh-CN"/>
        </w:rPr>
        <w:t>“甩挂运输”</w:t>
      </w:r>
      <w:r>
        <w:rPr>
          <w:rFonts w:hint="eastAsia" w:ascii="宋体" w:hAnsi="宋体" w:cs="宋体"/>
          <w:color w:val="auto"/>
          <w:kern w:val="0"/>
          <w:sz w:val="24"/>
          <w:highlight w:val="none"/>
          <w:lang w:val="en-US" w:eastAsia="zh-CN"/>
        </w:rPr>
        <w:t>的，车头和罐体均须具有道路运输经营许可证（证书经营范围必须包括危险货物运输6.1项</w:t>
      </w:r>
      <w:r>
        <w:rPr>
          <w:rFonts w:hint="eastAsia" w:ascii="MS Mincho" w:hAnsi="MS Mincho" w:eastAsia="MS Mincho" w:cs="MS Mincho"/>
          <w:color w:val="auto"/>
          <w:kern w:val="0"/>
          <w:sz w:val="24"/>
          <w:highlight w:val="none"/>
          <w:lang w:val="en-US" w:eastAsia="zh-CN"/>
        </w:rPr>
        <w:t>‬</w:t>
      </w:r>
      <w:r>
        <w:rPr>
          <w:rFonts w:hint="eastAsia" w:ascii="宋体" w:hAnsi="宋体" w:cs="宋体"/>
          <w:color w:val="auto"/>
          <w:kern w:val="0"/>
          <w:sz w:val="24"/>
          <w:highlight w:val="none"/>
          <w:lang w:val="en-US" w:eastAsia="zh-CN"/>
        </w:rPr>
        <w:t>、第9类</w:t>
      </w:r>
      <w:r>
        <w:rPr>
          <w:rFonts w:hint="eastAsia" w:ascii="MS Mincho" w:hAnsi="MS Mincho" w:eastAsia="MS Mincho" w:cs="MS Mincho"/>
          <w:color w:val="auto"/>
          <w:kern w:val="0"/>
          <w:sz w:val="24"/>
          <w:highlight w:val="none"/>
          <w:lang w:val="en-US" w:eastAsia="zh-CN"/>
        </w:rPr>
        <w:t>‬</w:t>
      </w:r>
      <w:r>
        <w:rPr>
          <w:rFonts w:hint="eastAsia" w:ascii="宋体" w:hAnsi="宋体" w:cs="宋体"/>
          <w:color w:val="auto"/>
          <w:kern w:val="0"/>
          <w:sz w:val="24"/>
          <w:highlight w:val="none"/>
          <w:lang w:val="en-US" w:eastAsia="zh-CN"/>
        </w:rPr>
        <w:t>）。</w:t>
      </w:r>
    </w:p>
    <w:p>
      <w:pPr>
        <w:numPr>
          <w:ilvl w:val="0"/>
          <w:numId w:val="7"/>
        </w:numPr>
        <w:adjustRightInd w:val="0"/>
        <w:snapToGrid w:val="0"/>
        <w:spacing w:line="360" w:lineRule="auto"/>
        <w:ind w:left="0" w:firstLine="420"/>
        <w:jc w:val="left"/>
        <w:rPr>
          <w:rFonts w:hint="eastAsia" w:ascii="宋体" w:hAnsi="宋体" w:cs="宋体"/>
          <w:color w:val="auto"/>
          <w:sz w:val="24"/>
          <w:highlight w:val="none"/>
        </w:rPr>
      </w:pPr>
      <w:r>
        <w:rPr>
          <w:rFonts w:hint="eastAsia" w:ascii="宋体" w:hAnsi="宋体" w:cs="宋体"/>
          <w:color w:val="auto"/>
          <w:sz w:val="24"/>
          <w:highlight w:val="none"/>
        </w:rPr>
        <w:t>飞灰运输车辆必须采用密闭式运输车或采取覆盖措施，严禁抛洒滴漏，运输途中不得沿路污染城市路面，影响城市环境卫生。中标供应商应挑选责任心强、技术熟练的驾驶员投入运输工作，确保运输安全和环保。飞灰的运输要符合国家、行业，和地方的有关规定，文明、安全</w:t>
      </w:r>
      <w:r>
        <w:rPr>
          <w:rFonts w:hint="eastAsia" w:ascii="宋体" w:hAnsi="宋体" w:cs="宋体"/>
          <w:color w:val="auto"/>
          <w:sz w:val="24"/>
          <w:highlight w:val="none"/>
          <w:lang w:val="en-US" w:eastAsia="zh-CN"/>
        </w:rPr>
        <w:t>生产</w:t>
      </w:r>
      <w:r>
        <w:rPr>
          <w:rFonts w:hint="eastAsia" w:ascii="宋体" w:hAnsi="宋体" w:cs="宋体"/>
          <w:color w:val="auto"/>
          <w:sz w:val="24"/>
          <w:highlight w:val="none"/>
        </w:rPr>
        <w:t>管理需达到国家或行业有关标准。</w:t>
      </w:r>
    </w:p>
    <w:p>
      <w:pPr>
        <w:numPr>
          <w:ilvl w:val="0"/>
          <w:numId w:val="7"/>
        </w:numPr>
        <w:adjustRightInd w:val="0"/>
        <w:snapToGrid w:val="0"/>
        <w:spacing w:line="360" w:lineRule="auto"/>
        <w:ind w:left="0" w:firstLine="420"/>
        <w:jc w:val="left"/>
        <w:rPr>
          <w:rFonts w:hint="eastAsia" w:ascii="宋体" w:hAnsi="宋体" w:cs="宋体"/>
          <w:color w:val="auto"/>
          <w:sz w:val="24"/>
          <w:highlight w:val="none"/>
        </w:rPr>
      </w:pPr>
      <w:r>
        <w:rPr>
          <w:rFonts w:hint="eastAsia" w:ascii="宋体" w:hAnsi="宋体" w:cs="宋体"/>
          <w:color w:val="auto"/>
          <w:sz w:val="24"/>
          <w:highlight w:val="none"/>
        </w:rPr>
        <w:t>人员及车辆要求：车辆配置不少于2辆，每辆车必须配置一名驾驶员和一名押运人员（驾驶员必须具备危险品运输从业资格证）。车辆及人员配备应符合危险货物运输行业相关标准执行。</w:t>
      </w:r>
    </w:p>
    <w:p>
      <w:pPr>
        <w:numPr>
          <w:ilvl w:val="0"/>
          <w:numId w:val="4"/>
        </w:numPr>
        <w:adjustRightInd w:val="0"/>
        <w:snapToGrid w:val="0"/>
        <w:spacing w:line="360" w:lineRule="auto"/>
        <w:ind w:firstLine="288" w:firstLineChars="120"/>
        <w:jc w:val="left"/>
        <w:outlineLvl w:val="2"/>
        <w:rPr>
          <w:rFonts w:hint="eastAsia" w:ascii="宋体" w:hAnsi="宋体" w:cs="宋体"/>
          <w:color w:val="auto"/>
          <w:sz w:val="24"/>
          <w:highlight w:val="none"/>
        </w:rPr>
      </w:pPr>
      <w:r>
        <w:rPr>
          <w:rFonts w:hint="eastAsia" w:ascii="宋体" w:hAnsi="宋体" w:cs="宋体"/>
          <w:color w:val="auto"/>
          <w:sz w:val="24"/>
          <w:highlight w:val="none"/>
        </w:rPr>
        <w:t>施工现场的环保要求</w:t>
      </w:r>
    </w:p>
    <w:p>
      <w:pPr>
        <w:numPr>
          <w:ilvl w:val="0"/>
          <w:numId w:val="8"/>
        </w:numPr>
        <w:adjustRightInd w:val="0"/>
        <w:snapToGrid w:val="0"/>
        <w:spacing w:line="360" w:lineRule="auto"/>
        <w:ind w:left="0" w:firstLine="420"/>
        <w:rPr>
          <w:rFonts w:hint="eastAsia" w:ascii="宋体" w:hAnsi="宋体" w:cs="宋体"/>
          <w:color w:val="auto"/>
          <w:sz w:val="24"/>
          <w:highlight w:val="none"/>
        </w:rPr>
      </w:pPr>
      <w:r>
        <w:rPr>
          <w:rFonts w:hint="eastAsia" w:ascii="宋体" w:hAnsi="宋体" w:cs="宋体"/>
          <w:color w:val="auto"/>
          <w:sz w:val="24"/>
          <w:highlight w:val="none"/>
        </w:rPr>
        <w:t>为了防止飞灰运输、处置作业污染环境和扰民，依据国家和省市有关规定，凡在本省范围内的施工现场和施工作业单位，要把环境保护作为文明施工的重要内容。要做好场内清理工作把污染和扰民减少到最低程度。</w:t>
      </w:r>
    </w:p>
    <w:p>
      <w:pPr>
        <w:numPr>
          <w:ilvl w:val="0"/>
          <w:numId w:val="8"/>
        </w:numPr>
        <w:adjustRightInd w:val="0"/>
        <w:snapToGrid w:val="0"/>
        <w:spacing w:line="360" w:lineRule="auto"/>
        <w:ind w:left="0" w:firstLine="420"/>
        <w:rPr>
          <w:rFonts w:hint="eastAsia" w:ascii="宋体" w:hAnsi="宋体" w:cs="宋体"/>
          <w:color w:val="auto"/>
          <w:sz w:val="24"/>
          <w:highlight w:val="none"/>
        </w:rPr>
      </w:pPr>
      <w:r>
        <w:rPr>
          <w:rFonts w:hint="eastAsia" w:ascii="宋体" w:hAnsi="宋体" w:cs="宋体"/>
          <w:color w:val="auto"/>
          <w:sz w:val="24"/>
          <w:highlight w:val="none"/>
        </w:rPr>
        <w:t>施工现场要随时进行必要的清理，改善施工环境和人员施工条件。</w:t>
      </w:r>
    </w:p>
    <w:p>
      <w:pPr>
        <w:numPr>
          <w:ilvl w:val="0"/>
          <w:numId w:val="8"/>
        </w:numPr>
        <w:adjustRightInd w:val="0"/>
        <w:snapToGrid w:val="0"/>
        <w:spacing w:line="360" w:lineRule="auto"/>
        <w:ind w:left="0" w:firstLine="420"/>
        <w:rPr>
          <w:rFonts w:hint="eastAsia" w:ascii="宋体" w:hAnsi="宋体" w:cs="宋体"/>
          <w:color w:val="auto"/>
          <w:sz w:val="24"/>
          <w:highlight w:val="none"/>
        </w:rPr>
      </w:pPr>
      <w:r>
        <w:rPr>
          <w:rFonts w:hint="eastAsia" w:ascii="宋体" w:hAnsi="宋体" w:cs="宋体"/>
          <w:color w:val="auto"/>
          <w:sz w:val="24"/>
          <w:highlight w:val="none"/>
        </w:rPr>
        <w:t>投入飞灰运输的车辆必须做到封闭式运输，车体应经常清洗，保持整洁、卫生状态。不影响环保，不影响市容市貌。</w:t>
      </w:r>
    </w:p>
    <w:p>
      <w:pPr>
        <w:numPr>
          <w:ilvl w:val="0"/>
          <w:numId w:val="8"/>
        </w:numPr>
        <w:adjustRightInd w:val="0"/>
        <w:snapToGrid w:val="0"/>
        <w:spacing w:line="360" w:lineRule="auto"/>
        <w:ind w:left="0" w:firstLine="420"/>
        <w:rPr>
          <w:rFonts w:hint="eastAsia" w:ascii="宋体" w:hAnsi="宋体" w:cs="宋体"/>
          <w:color w:val="auto"/>
          <w:sz w:val="24"/>
          <w:highlight w:val="none"/>
        </w:rPr>
      </w:pPr>
      <w:r>
        <w:rPr>
          <w:rFonts w:hint="eastAsia" w:ascii="宋体" w:hAnsi="宋体" w:cs="宋体"/>
          <w:color w:val="auto"/>
          <w:sz w:val="24"/>
          <w:highlight w:val="none"/>
        </w:rPr>
        <w:t>所有投入使用的车辆、机械设备须处于正常状态，不许带故障运行，驾驶员、机械设备操作员必须按操作规程进行规范化操作，确保人员安全和车辆、设备安全。</w:t>
      </w:r>
    </w:p>
    <w:p>
      <w:pPr>
        <w:numPr>
          <w:ilvl w:val="0"/>
          <w:numId w:val="4"/>
        </w:numPr>
        <w:adjustRightInd w:val="0"/>
        <w:snapToGrid w:val="0"/>
        <w:spacing w:line="360" w:lineRule="auto"/>
        <w:ind w:firstLine="288" w:firstLineChars="120"/>
        <w:jc w:val="left"/>
        <w:outlineLvl w:val="2"/>
        <w:rPr>
          <w:rFonts w:hint="eastAsia" w:ascii="宋体" w:hAnsi="宋体" w:cs="宋体"/>
          <w:color w:val="auto"/>
          <w:sz w:val="24"/>
          <w:highlight w:val="none"/>
        </w:rPr>
      </w:pPr>
      <w:bookmarkStart w:id="18" w:name="_Toc392262154"/>
      <w:bookmarkStart w:id="19" w:name="_Toc392262108"/>
      <w:bookmarkStart w:id="20" w:name="_Toc392260863"/>
      <w:r>
        <w:rPr>
          <w:rFonts w:hint="eastAsia" w:ascii="宋体" w:hAnsi="宋体" w:cs="宋体"/>
          <w:color w:val="auto"/>
          <w:sz w:val="24"/>
          <w:highlight w:val="none"/>
        </w:rPr>
        <w:t>其他要求</w:t>
      </w:r>
    </w:p>
    <w:p>
      <w:pPr>
        <w:numPr>
          <w:ilvl w:val="1"/>
          <w:numId w:val="9"/>
        </w:numPr>
        <w:adjustRightInd w:val="0"/>
        <w:snapToGrid w:val="0"/>
        <w:spacing w:line="360" w:lineRule="auto"/>
        <w:ind w:left="0" w:firstLine="420"/>
        <w:rPr>
          <w:rFonts w:hint="eastAsia" w:ascii="宋体" w:hAnsi="宋体" w:cs="宋体"/>
          <w:color w:val="auto"/>
          <w:sz w:val="24"/>
          <w:highlight w:val="none"/>
        </w:rPr>
      </w:pPr>
      <w:r>
        <w:rPr>
          <w:rFonts w:hint="eastAsia" w:ascii="宋体" w:hAnsi="宋体" w:cs="宋体"/>
          <w:color w:val="auto"/>
          <w:sz w:val="24"/>
          <w:highlight w:val="none"/>
        </w:rPr>
        <w:t>运输及终场装卸后一切问题由中标供应商处置解决。</w:t>
      </w:r>
    </w:p>
    <w:p>
      <w:pPr>
        <w:numPr>
          <w:ilvl w:val="1"/>
          <w:numId w:val="9"/>
        </w:numPr>
        <w:adjustRightInd w:val="0"/>
        <w:snapToGrid w:val="0"/>
        <w:spacing w:line="360" w:lineRule="auto"/>
        <w:ind w:left="0" w:firstLine="420"/>
        <w:rPr>
          <w:rFonts w:hint="eastAsia" w:ascii="宋体" w:hAnsi="宋体" w:cs="宋体"/>
          <w:color w:val="auto"/>
          <w:sz w:val="24"/>
          <w:highlight w:val="none"/>
        </w:rPr>
      </w:pPr>
      <w:r>
        <w:rPr>
          <w:rFonts w:hint="eastAsia" w:ascii="宋体" w:hAnsi="宋体" w:cs="宋体"/>
          <w:color w:val="auto"/>
          <w:sz w:val="24"/>
          <w:highlight w:val="none"/>
        </w:rPr>
        <w:t>中标供应商在合同履行过程中，因采购人环境检查、安全生产等因素，要求临时暂停运输处置工作的，中标供应商必须服从并积极配合。</w:t>
      </w:r>
    </w:p>
    <w:p>
      <w:pPr>
        <w:numPr>
          <w:ilvl w:val="1"/>
          <w:numId w:val="9"/>
        </w:numPr>
        <w:adjustRightInd w:val="0"/>
        <w:snapToGrid w:val="0"/>
        <w:spacing w:line="360" w:lineRule="auto"/>
        <w:ind w:left="0" w:firstLine="420"/>
        <w:rPr>
          <w:rFonts w:hint="eastAsia" w:ascii="宋体" w:hAnsi="宋体" w:cs="宋体"/>
          <w:color w:val="auto"/>
          <w:sz w:val="24"/>
          <w:highlight w:val="none"/>
        </w:rPr>
      </w:pPr>
      <w:r>
        <w:rPr>
          <w:rFonts w:hint="eastAsia" w:ascii="宋体" w:hAnsi="宋体" w:cs="宋体"/>
          <w:color w:val="auto"/>
          <w:sz w:val="24"/>
          <w:highlight w:val="none"/>
        </w:rPr>
        <w:t>中标供应商需在浙江省固体废物监管信息系统中注册账号，并能及时确认处置数量。</w:t>
      </w:r>
    </w:p>
    <w:p>
      <w:pPr>
        <w:numPr>
          <w:ilvl w:val="1"/>
          <w:numId w:val="9"/>
        </w:numPr>
        <w:adjustRightInd w:val="0"/>
        <w:snapToGrid w:val="0"/>
        <w:spacing w:line="360" w:lineRule="auto"/>
        <w:ind w:left="0" w:firstLine="420"/>
        <w:jc w:val="left"/>
        <w:rPr>
          <w:rFonts w:hint="eastAsia" w:ascii="宋体" w:hAnsi="宋体" w:cs="宋体"/>
          <w:color w:val="auto"/>
          <w:sz w:val="24"/>
          <w:highlight w:val="none"/>
        </w:rPr>
      </w:pPr>
      <w:r>
        <w:rPr>
          <w:rFonts w:hint="eastAsia" w:ascii="宋体" w:hAnsi="宋体" w:cs="宋体"/>
          <w:color w:val="auto"/>
          <w:sz w:val="24"/>
          <w:highlight w:val="none"/>
        </w:rPr>
        <w:t>要对嘉善伟明环保能源公司飞灰进行及时清运，</w:t>
      </w:r>
      <w:r>
        <w:rPr>
          <w:rFonts w:hint="eastAsia" w:ascii="宋体" w:hAnsi="宋体" w:cs="宋体"/>
          <w:color w:val="auto"/>
          <w:sz w:val="24"/>
          <w:highlight w:val="none"/>
          <w:lang w:val="en-US" w:eastAsia="zh-CN"/>
        </w:rPr>
        <w:t>原则上要求</w:t>
      </w:r>
      <w:r>
        <w:rPr>
          <w:rFonts w:hint="eastAsia" w:ascii="宋体" w:hAnsi="宋体" w:cs="宋体"/>
          <w:color w:val="auto"/>
          <w:sz w:val="24"/>
          <w:highlight w:val="none"/>
        </w:rPr>
        <w:t>每天</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清运，如若遇到特殊情况（如雨天不适合运输时，必须做好准备待天晴时加大车辆投入加大运输量，按招标人要求</w:t>
      </w:r>
      <w:r>
        <w:rPr>
          <w:rFonts w:hint="eastAsia" w:ascii="宋体" w:hAnsi="宋体" w:cs="宋体"/>
          <w:color w:val="auto"/>
          <w:sz w:val="24"/>
          <w:highlight w:val="none"/>
          <w:lang w:val="en-US" w:eastAsia="zh-CN"/>
        </w:rPr>
        <w:t>及时</w:t>
      </w:r>
      <w:r>
        <w:rPr>
          <w:rFonts w:hint="eastAsia" w:ascii="宋体" w:hAnsi="宋体" w:cs="宋体"/>
          <w:color w:val="auto"/>
          <w:sz w:val="24"/>
          <w:highlight w:val="none"/>
        </w:rPr>
        <w:t>完成运输指标，由此产生的费用及车辆安排由中标供应商自行</w:t>
      </w:r>
      <w:r>
        <w:rPr>
          <w:rFonts w:hint="eastAsia" w:ascii="宋体" w:hAnsi="宋体" w:cs="宋体"/>
          <w:color w:val="auto"/>
          <w:sz w:val="24"/>
          <w:highlight w:val="none"/>
          <w:lang w:val="en-US" w:eastAsia="zh-CN"/>
        </w:rPr>
        <w:t>承担</w:t>
      </w:r>
      <w:r>
        <w:rPr>
          <w:rFonts w:hint="eastAsia" w:ascii="宋体" w:hAnsi="宋体" w:cs="宋体"/>
          <w:color w:val="auto"/>
          <w:sz w:val="24"/>
          <w:highlight w:val="none"/>
        </w:rPr>
        <w:t>，以上相关风险及费用由中标供应商自行考虑计入本次报价中），中标供应商在接到采购方或嘉善伟明环保能源有限公司通知后</w:t>
      </w:r>
      <w:r>
        <w:rPr>
          <w:rFonts w:hint="eastAsia" w:ascii="宋体" w:hAnsi="宋体" w:cs="宋体"/>
          <w:color w:val="auto"/>
          <w:sz w:val="24"/>
          <w:highlight w:val="none"/>
          <w:lang w:val="en-US" w:eastAsia="zh-CN"/>
        </w:rPr>
        <w:t>24小时内完成</w:t>
      </w:r>
      <w:r>
        <w:rPr>
          <w:rFonts w:hint="eastAsia" w:ascii="宋体" w:hAnsi="宋体" w:cs="宋体"/>
          <w:color w:val="auto"/>
          <w:sz w:val="24"/>
          <w:highlight w:val="none"/>
        </w:rPr>
        <w:t>运输。</w:t>
      </w:r>
    </w:p>
    <w:p>
      <w:pPr>
        <w:numPr>
          <w:ilvl w:val="1"/>
          <w:numId w:val="2"/>
        </w:numPr>
        <w:tabs>
          <w:tab w:val="left" w:pos="993"/>
        </w:tabs>
        <w:adjustRightInd w:val="0"/>
        <w:snapToGrid w:val="0"/>
        <w:spacing w:line="360" w:lineRule="auto"/>
        <w:outlineLvl w:val="1"/>
        <w:rPr>
          <w:rFonts w:hint="eastAsia" w:ascii="宋体" w:hAnsi="宋体"/>
          <w:b/>
          <w:color w:val="auto"/>
          <w:sz w:val="24"/>
          <w:highlight w:val="none"/>
        </w:rPr>
      </w:pPr>
      <w:r>
        <w:rPr>
          <w:rFonts w:hint="eastAsia" w:ascii="宋体" w:hAnsi="宋体"/>
          <w:b/>
          <w:color w:val="auto"/>
          <w:sz w:val="24"/>
          <w:highlight w:val="none"/>
        </w:rPr>
        <w:t>安全约定</w:t>
      </w:r>
    </w:p>
    <w:p>
      <w:pPr>
        <w:numPr>
          <w:ilvl w:val="0"/>
          <w:numId w:val="10"/>
        </w:numPr>
        <w:adjustRightInd w:val="0"/>
        <w:snapToGrid w:val="0"/>
        <w:spacing w:line="360" w:lineRule="auto"/>
        <w:ind w:hanging="191"/>
        <w:rPr>
          <w:rFonts w:hint="eastAsia" w:ascii="宋体" w:hAnsi="宋体"/>
          <w:color w:val="auto"/>
          <w:sz w:val="24"/>
          <w:highlight w:val="none"/>
        </w:rPr>
      </w:pPr>
      <w:r>
        <w:rPr>
          <w:rFonts w:hint="eastAsia" w:ascii="宋体" w:hAnsi="宋体"/>
          <w:color w:val="auto"/>
          <w:sz w:val="24"/>
          <w:highlight w:val="none"/>
        </w:rPr>
        <w:t>采购人</w:t>
      </w:r>
      <w:r>
        <w:rPr>
          <w:rFonts w:hint="eastAsia" w:ascii="MS Mincho" w:hAnsi="MS Mincho" w:eastAsia="MS Mincho" w:cs="MS Mincho"/>
          <w:color w:val="auto"/>
          <w:sz w:val="24"/>
          <w:highlight w:val="none"/>
        </w:rPr>
        <w:t>‬</w:t>
      </w:r>
      <w:r>
        <w:rPr>
          <w:rFonts w:hint="eastAsia" w:ascii="宋体" w:hAnsi="宋体"/>
          <w:color w:val="auto"/>
          <w:sz w:val="24"/>
          <w:highlight w:val="none"/>
        </w:rPr>
        <w:t>责任</w:t>
      </w:r>
    </w:p>
    <w:p>
      <w:pPr>
        <w:numPr>
          <w:ilvl w:val="0"/>
          <w:numId w:val="11"/>
        </w:numPr>
        <w:adjustRightInd w:val="0"/>
        <w:snapToGrid w:val="0"/>
        <w:spacing w:line="360" w:lineRule="auto"/>
        <w:ind w:hanging="753"/>
        <w:rPr>
          <w:rFonts w:hint="eastAsia" w:ascii="宋体" w:hAnsi="宋体" w:cs="宋体"/>
          <w:color w:val="auto"/>
          <w:sz w:val="24"/>
          <w:highlight w:val="none"/>
        </w:rPr>
      </w:pPr>
      <w:r>
        <w:rPr>
          <w:rFonts w:hint="eastAsia" w:ascii="宋体" w:hAnsi="宋体" w:cs="宋体"/>
          <w:color w:val="auto"/>
          <w:sz w:val="24"/>
          <w:highlight w:val="none"/>
        </w:rPr>
        <w:t>负责按合同约定进行厂区域内的全程管理。</w:t>
      </w:r>
    </w:p>
    <w:p>
      <w:pPr>
        <w:numPr>
          <w:ilvl w:val="0"/>
          <w:numId w:val="10"/>
        </w:numPr>
        <w:adjustRightInd w:val="0"/>
        <w:snapToGrid w:val="0"/>
        <w:spacing w:line="360" w:lineRule="auto"/>
        <w:ind w:hanging="191"/>
        <w:rPr>
          <w:rFonts w:hint="eastAsia" w:ascii="宋体" w:hAnsi="宋体"/>
          <w:color w:val="auto"/>
          <w:sz w:val="24"/>
          <w:highlight w:val="none"/>
        </w:rPr>
      </w:pPr>
      <w:r>
        <w:rPr>
          <w:rFonts w:hint="eastAsia" w:ascii="宋体" w:hAnsi="宋体"/>
          <w:color w:val="auto"/>
          <w:sz w:val="24"/>
          <w:highlight w:val="none"/>
        </w:rPr>
        <w:t>中标供应商责任</w:t>
      </w:r>
    </w:p>
    <w:p>
      <w:pPr>
        <w:numPr>
          <w:ilvl w:val="0"/>
          <w:numId w:val="12"/>
        </w:numPr>
        <w:tabs>
          <w:tab w:val="left" w:pos="851"/>
        </w:tabs>
        <w:adjustRightInd w:val="0"/>
        <w:snapToGrid w:val="0"/>
        <w:spacing w:line="360" w:lineRule="auto"/>
        <w:ind w:left="0"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中标供应商对所签订合同的飞灰处置自主经营，自行承担风险，因市场原因造成的损失，中标供应商自行承担责任。</w:t>
      </w:r>
    </w:p>
    <w:p>
      <w:pPr>
        <w:numPr>
          <w:ilvl w:val="0"/>
          <w:numId w:val="12"/>
        </w:numPr>
        <w:tabs>
          <w:tab w:val="left" w:pos="851"/>
        </w:tabs>
        <w:adjustRightInd w:val="0"/>
        <w:snapToGrid w:val="0"/>
        <w:spacing w:line="360" w:lineRule="auto"/>
        <w:ind w:left="0"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中标供应商运飞灰车辆必须为专用载重汽车，并且满足卫生和环保要求，否则，禁止进入嘉善伟明环保能源有限公司厂区范围内。</w:t>
      </w:r>
    </w:p>
    <w:p>
      <w:pPr>
        <w:numPr>
          <w:ilvl w:val="0"/>
          <w:numId w:val="12"/>
        </w:numPr>
        <w:tabs>
          <w:tab w:val="left" w:pos="851"/>
        </w:tabs>
        <w:adjustRightInd w:val="0"/>
        <w:snapToGrid w:val="0"/>
        <w:spacing w:line="360" w:lineRule="auto"/>
        <w:ind w:left="0"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中标供应商必须服从嘉善伟明环保能源有限公司飞灰运输调度现场管理及遵守项目公司安全文明生产的有关规定。</w:t>
      </w:r>
    </w:p>
    <w:p>
      <w:pPr>
        <w:numPr>
          <w:ilvl w:val="0"/>
          <w:numId w:val="12"/>
        </w:numPr>
        <w:tabs>
          <w:tab w:val="left" w:pos="851"/>
        </w:tabs>
        <w:adjustRightInd w:val="0"/>
        <w:snapToGrid w:val="0"/>
        <w:spacing w:line="360" w:lineRule="auto"/>
        <w:ind w:left="0"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中标供应商须无条件服从</w:t>
      </w:r>
      <w:r>
        <w:rPr>
          <w:rFonts w:hint="eastAsia" w:ascii="宋体" w:hAnsi="宋体" w:cs="宋体"/>
          <w:snapToGrid w:val="0"/>
          <w:color w:val="auto"/>
          <w:kern w:val="0"/>
          <w:sz w:val="24"/>
          <w:highlight w:val="none"/>
          <w:lang w:val="en-US" w:eastAsia="zh-CN"/>
        </w:rPr>
        <w:t>采购人所有</w:t>
      </w:r>
      <w:r>
        <w:rPr>
          <w:rFonts w:hint="eastAsia" w:ascii="宋体" w:hAnsi="宋体" w:cs="宋体"/>
          <w:snapToGrid w:val="0"/>
          <w:color w:val="auto"/>
          <w:kern w:val="0"/>
          <w:sz w:val="24"/>
          <w:highlight w:val="none"/>
        </w:rPr>
        <w:t>飞灰运输调度</w:t>
      </w:r>
      <w:r>
        <w:rPr>
          <w:rFonts w:hint="eastAsia" w:ascii="宋体" w:hAnsi="宋体" w:cs="宋体"/>
          <w:snapToGrid w:val="0"/>
          <w:color w:val="auto"/>
          <w:kern w:val="0"/>
          <w:sz w:val="24"/>
          <w:highlight w:val="none"/>
          <w:lang w:val="en-US" w:eastAsia="zh-CN"/>
        </w:rPr>
        <w:t>要求</w:t>
      </w:r>
      <w:r>
        <w:rPr>
          <w:rFonts w:hint="eastAsia" w:ascii="宋体" w:hAnsi="宋体" w:cs="宋体"/>
          <w:snapToGrid w:val="0"/>
          <w:color w:val="auto"/>
          <w:kern w:val="0"/>
          <w:sz w:val="24"/>
          <w:highlight w:val="none"/>
        </w:rPr>
        <w:t>。</w:t>
      </w:r>
    </w:p>
    <w:p>
      <w:pPr>
        <w:numPr>
          <w:ilvl w:val="0"/>
          <w:numId w:val="12"/>
        </w:numPr>
        <w:tabs>
          <w:tab w:val="left" w:pos="851"/>
        </w:tabs>
        <w:adjustRightInd w:val="0"/>
        <w:snapToGrid w:val="0"/>
        <w:spacing w:line="360" w:lineRule="auto"/>
        <w:ind w:left="0"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供应商须保证在飞灰运输、储存及其生产过程中满足环保部门要求，发生环保事故，中标供应商承担全部责任；如导致采购人损失的，则赔偿采购人的全部损失（包括但不限于采购人向中标供应商主张权利的费用）。</w:t>
      </w:r>
    </w:p>
    <w:p>
      <w:pPr>
        <w:numPr>
          <w:ilvl w:val="0"/>
          <w:numId w:val="12"/>
        </w:numPr>
        <w:tabs>
          <w:tab w:val="left" w:pos="851"/>
        </w:tabs>
        <w:adjustRightInd w:val="0"/>
        <w:snapToGrid w:val="0"/>
        <w:spacing w:line="360" w:lineRule="auto"/>
        <w:ind w:left="0"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中标供应商必须书面授权指定飞灰运输项目负责人。项目负责人负责配合嘉善伟明环保能源有限公司</w:t>
      </w:r>
      <w:r>
        <w:rPr>
          <w:rFonts w:hint="eastAsia" w:ascii="宋体" w:hAnsi="宋体" w:cs="宋体"/>
          <w:snapToGrid w:val="0"/>
          <w:color w:val="auto"/>
          <w:kern w:val="0"/>
          <w:sz w:val="24"/>
          <w:highlight w:val="none"/>
          <w:lang w:val="en-US" w:eastAsia="zh-CN"/>
        </w:rPr>
        <w:t>现场管理</w:t>
      </w:r>
      <w:r>
        <w:rPr>
          <w:rFonts w:hint="eastAsia" w:ascii="宋体" w:hAnsi="宋体" w:cs="宋体"/>
          <w:snapToGrid w:val="0"/>
          <w:color w:val="auto"/>
          <w:kern w:val="0"/>
          <w:sz w:val="24"/>
          <w:highlight w:val="none"/>
        </w:rPr>
        <w:t>工作和负责在飞灰运输结算单上签字确认。合同期间若需更换项目负责人需提前</w:t>
      </w:r>
      <w:r>
        <w:rPr>
          <w:rFonts w:hint="eastAsia" w:ascii="宋体" w:hAnsi="宋体" w:cs="宋体"/>
          <w:snapToGrid w:val="0"/>
          <w:color w:val="auto"/>
          <w:kern w:val="0"/>
          <w:sz w:val="24"/>
          <w:highlight w:val="none"/>
          <w:lang w:val="en-US" w:eastAsia="zh-CN"/>
        </w:rPr>
        <w:t>24小时书面</w:t>
      </w:r>
      <w:r>
        <w:rPr>
          <w:rFonts w:hint="eastAsia" w:ascii="宋体" w:hAnsi="宋体" w:cs="宋体"/>
          <w:snapToGrid w:val="0"/>
          <w:color w:val="auto"/>
          <w:kern w:val="0"/>
          <w:sz w:val="24"/>
          <w:highlight w:val="none"/>
        </w:rPr>
        <w:t>函告采购人‬。</w:t>
      </w:r>
    </w:p>
    <w:p>
      <w:pPr>
        <w:numPr>
          <w:ilvl w:val="0"/>
          <w:numId w:val="12"/>
        </w:numPr>
        <w:tabs>
          <w:tab w:val="left" w:pos="851"/>
        </w:tabs>
        <w:adjustRightInd w:val="0"/>
        <w:snapToGrid w:val="0"/>
        <w:spacing w:line="360" w:lineRule="auto"/>
        <w:ind w:left="0"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中标供应商运飞灰车辆只能在嘉善伟明环保能源有限公司</w:t>
      </w:r>
      <w:r>
        <w:rPr>
          <w:rFonts w:hint="eastAsia" w:ascii="MS Mincho" w:hAnsi="MS Mincho" w:eastAsia="MS Mincho" w:cs="MS Mincho"/>
          <w:snapToGrid w:val="0"/>
          <w:color w:val="auto"/>
          <w:kern w:val="0"/>
          <w:sz w:val="24"/>
          <w:highlight w:val="none"/>
        </w:rPr>
        <w:t>‬</w:t>
      </w:r>
      <w:r>
        <w:rPr>
          <w:rFonts w:hint="eastAsia" w:ascii="宋体" w:hAnsi="宋体" w:cs="宋体"/>
          <w:snapToGrid w:val="0"/>
          <w:color w:val="auto"/>
          <w:kern w:val="0"/>
          <w:sz w:val="24"/>
          <w:highlight w:val="none"/>
        </w:rPr>
        <w:t>指定的区域内停留，不得停泊在其它位置，进入厂区车辆按嘉善伟明环保能源有限公司</w:t>
      </w:r>
      <w:r>
        <w:rPr>
          <w:rFonts w:hint="eastAsia" w:ascii="MS Mincho" w:hAnsi="MS Mincho" w:eastAsia="MS Mincho" w:cs="MS Mincho"/>
          <w:snapToGrid w:val="0"/>
          <w:color w:val="auto"/>
          <w:kern w:val="0"/>
          <w:sz w:val="24"/>
          <w:highlight w:val="none"/>
        </w:rPr>
        <w:t>‬</w:t>
      </w:r>
      <w:r>
        <w:rPr>
          <w:rFonts w:hint="eastAsia" w:ascii="宋体" w:hAnsi="宋体" w:cs="宋体"/>
          <w:snapToGrid w:val="0"/>
          <w:color w:val="auto"/>
          <w:kern w:val="0"/>
          <w:sz w:val="24"/>
          <w:highlight w:val="none"/>
        </w:rPr>
        <w:t>限速规定执行</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如</w:t>
      </w:r>
      <w:r>
        <w:rPr>
          <w:rFonts w:hint="eastAsia" w:ascii="宋体" w:hAnsi="宋体" w:cs="宋体"/>
          <w:snapToGrid w:val="0"/>
          <w:color w:val="auto"/>
          <w:kern w:val="0"/>
          <w:sz w:val="24"/>
          <w:highlight w:val="none"/>
          <w:lang w:val="en-US" w:eastAsia="zh-CN"/>
        </w:rPr>
        <w:t>不服从规定</w:t>
      </w:r>
      <w:r>
        <w:rPr>
          <w:rFonts w:hint="eastAsia" w:ascii="宋体" w:hAnsi="宋体" w:cs="宋体"/>
          <w:snapToGrid w:val="0"/>
          <w:color w:val="auto"/>
          <w:kern w:val="0"/>
          <w:sz w:val="24"/>
          <w:highlight w:val="none"/>
        </w:rPr>
        <w:t>导致嘉善伟明环保能源有限公司损失的，则赔偿嘉善伟明环保能源有限公司的</w:t>
      </w:r>
      <w:r>
        <w:rPr>
          <w:rFonts w:hint="eastAsia" w:ascii="宋体" w:hAnsi="宋体" w:cs="宋体"/>
          <w:snapToGrid w:val="0"/>
          <w:color w:val="auto"/>
          <w:kern w:val="0"/>
          <w:sz w:val="24"/>
          <w:highlight w:val="none"/>
          <w:lang w:val="en-US" w:eastAsia="zh-CN"/>
        </w:rPr>
        <w:t>相关</w:t>
      </w:r>
      <w:r>
        <w:rPr>
          <w:rFonts w:hint="eastAsia" w:ascii="宋体" w:hAnsi="宋体" w:cs="宋体"/>
          <w:snapToGrid w:val="0"/>
          <w:color w:val="auto"/>
          <w:kern w:val="0"/>
          <w:sz w:val="24"/>
          <w:highlight w:val="none"/>
        </w:rPr>
        <w:t>损失。</w:t>
      </w:r>
    </w:p>
    <w:p>
      <w:pPr>
        <w:numPr>
          <w:ilvl w:val="0"/>
          <w:numId w:val="12"/>
        </w:numPr>
        <w:tabs>
          <w:tab w:val="left" w:pos="851"/>
        </w:tabs>
        <w:adjustRightInd w:val="0"/>
        <w:snapToGrid w:val="0"/>
        <w:spacing w:line="360" w:lineRule="auto"/>
        <w:ind w:left="0"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在本合同履行过程中，因中标供应商原因发生的一切事故而造成的经济损失，由中标供应商自行承担；同时，中标供应商负责自行处理在服务过程中遇到的一切纠纷。因中标供应商原因所引起的任何索赔、要求、诉因、责任、损失等费用，中标供应商应全额承担；如导致采购人、嘉善伟明环保能源有限公司损失的，则赔偿采购人、嘉善伟明环保能源有限公司的全部损失（包括但不限于采购人、嘉善伟明环保能源有限公司向中标供应商主张权利的费用）。</w:t>
      </w:r>
    </w:p>
    <w:p>
      <w:pPr>
        <w:numPr>
          <w:ilvl w:val="0"/>
          <w:numId w:val="12"/>
        </w:numPr>
        <w:tabs>
          <w:tab w:val="left" w:pos="851"/>
        </w:tabs>
        <w:adjustRightInd w:val="0"/>
        <w:snapToGrid w:val="0"/>
        <w:spacing w:line="360" w:lineRule="auto"/>
        <w:ind w:left="0"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供应商做好飞灰处置运输、安全生产等工作，必须为所有聘用职工按规定缴纳社会保险。中标供应商应做好各项作业的安全生产培训，应安全、优质地开展服务作业，并承担作业中的安全责任。作业过程中发生纠纷或企业员工自身发生事故或发生涉及第三人的事故，中标供应商须按有关规定及时处理，由此造成的一切经济及法律责任概由中标供应商‬全额承担，与采购人无关。</w:t>
      </w:r>
    </w:p>
    <w:p>
      <w:pPr>
        <w:numPr>
          <w:ilvl w:val="1"/>
          <w:numId w:val="2"/>
        </w:numPr>
        <w:tabs>
          <w:tab w:val="left" w:pos="993"/>
        </w:tabs>
        <w:adjustRightInd w:val="0"/>
        <w:snapToGrid w:val="0"/>
        <w:spacing w:line="360" w:lineRule="auto"/>
        <w:outlineLvl w:val="1"/>
        <w:rPr>
          <w:rFonts w:hint="eastAsia" w:ascii="宋体" w:hAnsi="宋体"/>
          <w:b/>
          <w:color w:val="auto"/>
          <w:sz w:val="24"/>
          <w:highlight w:val="none"/>
        </w:rPr>
      </w:pPr>
      <w:r>
        <w:rPr>
          <w:rFonts w:hint="eastAsia" w:ascii="宋体" w:hAnsi="宋体"/>
          <w:b/>
          <w:color w:val="auto"/>
          <w:sz w:val="24"/>
          <w:highlight w:val="none"/>
        </w:rPr>
        <w:t>考核要求</w:t>
      </w:r>
    </w:p>
    <w:p>
      <w:pPr>
        <w:pStyle w:val="24"/>
        <w:numPr>
          <w:ilvl w:val="1"/>
          <w:numId w:val="13"/>
        </w:numPr>
        <w:adjustRightInd w:val="0"/>
        <w:snapToGrid w:val="0"/>
        <w:spacing w:after="0" w:line="360" w:lineRule="auto"/>
        <w:ind w:left="0" w:firstLine="70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日产飞灰：要求日</w:t>
      </w:r>
      <w:r>
        <w:rPr>
          <w:rFonts w:hint="eastAsia" w:ascii="宋体" w:hAnsi="宋体" w:cs="宋体"/>
          <w:bCs/>
          <w:color w:val="auto"/>
          <w:kern w:val="0"/>
          <w:sz w:val="24"/>
          <w:highlight w:val="none"/>
          <w:lang w:bidi="ar"/>
        </w:rPr>
        <w:t>处置</w:t>
      </w:r>
      <w:r>
        <w:rPr>
          <w:rFonts w:hint="eastAsia" w:ascii="宋体" w:hAnsi="宋体" w:cs="宋体"/>
          <w:bCs/>
          <w:color w:val="auto"/>
          <w:kern w:val="0"/>
          <w:sz w:val="24"/>
          <w:highlight w:val="none"/>
          <w:lang w:val="en-US" w:eastAsia="zh-CN" w:bidi="ar"/>
        </w:rPr>
        <w:t>能力</w:t>
      </w:r>
      <w:r>
        <w:rPr>
          <w:rFonts w:hint="eastAsia" w:ascii="宋体" w:hAnsi="宋体" w:cs="宋体"/>
          <w:bCs/>
          <w:color w:val="auto"/>
          <w:kern w:val="0"/>
          <w:sz w:val="24"/>
          <w:highlight w:val="none"/>
          <w:lang w:eastAsia="zh-CN" w:bidi="ar"/>
        </w:rPr>
        <w:t>≥</w:t>
      </w:r>
      <w:r>
        <w:rPr>
          <w:rFonts w:hint="eastAsia" w:ascii="宋体" w:hAnsi="宋体" w:cs="宋体"/>
          <w:bCs/>
          <w:color w:val="auto"/>
          <w:kern w:val="0"/>
          <w:sz w:val="24"/>
          <w:highlight w:val="none"/>
          <w:lang w:bidi="ar"/>
        </w:rPr>
        <w:t>3</w:t>
      </w:r>
      <w:r>
        <w:rPr>
          <w:rFonts w:hint="eastAsia" w:hAnsi="宋体" w:cs="宋体"/>
          <w:bCs/>
          <w:color w:val="auto"/>
          <w:kern w:val="0"/>
          <w:sz w:val="24"/>
          <w:highlight w:val="none"/>
          <w:lang w:val="en-US" w:eastAsia="zh-CN" w:bidi="ar"/>
        </w:rPr>
        <w:t>5</w:t>
      </w:r>
      <w:r>
        <w:rPr>
          <w:rFonts w:hint="eastAsia" w:ascii="宋体" w:hAnsi="宋体" w:cs="宋体"/>
          <w:bCs/>
          <w:color w:val="auto"/>
          <w:kern w:val="0"/>
          <w:sz w:val="24"/>
          <w:highlight w:val="none"/>
          <w:lang w:bidi="ar"/>
        </w:rPr>
        <w:t>吨</w:t>
      </w:r>
      <w:r>
        <w:rPr>
          <w:rFonts w:hint="eastAsia" w:ascii="宋体" w:hAnsi="宋体" w:cs="宋体"/>
          <w:bCs/>
          <w:color w:val="auto"/>
          <w:kern w:val="0"/>
          <w:sz w:val="24"/>
          <w:highlight w:val="none"/>
          <w:lang w:eastAsia="zh-CN" w:bidi="ar"/>
        </w:rPr>
        <w:t>，做到</w:t>
      </w:r>
      <w:r>
        <w:rPr>
          <w:rFonts w:hint="eastAsia" w:ascii="宋体" w:hAnsi="宋体" w:cs="宋体"/>
          <w:bCs/>
          <w:color w:val="auto"/>
          <w:kern w:val="0"/>
          <w:sz w:val="24"/>
          <w:highlight w:val="none"/>
          <w:lang w:val="en-US" w:eastAsia="zh-CN" w:bidi="ar"/>
        </w:rPr>
        <w:t>及时清运</w:t>
      </w:r>
      <w:r>
        <w:rPr>
          <w:rFonts w:hint="eastAsia" w:ascii="宋体" w:hAnsi="宋体" w:cs="宋体"/>
          <w:color w:val="auto"/>
          <w:kern w:val="0"/>
          <w:sz w:val="24"/>
          <w:highlight w:val="none"/>
          <w:lang w:val="en-US" w:eastAsia="zh-CN"/>
        </w:rPr>
        <w:t>，确保飞灰库安全有序运行。若在焚烧厂飞灰量产量充足，但中标供应商的处置能力和运输能力不足的情况下，造成焚烧厂飞灰量积存</w:t>
      </w:r>
      <w:r>
        <w:rPr>
          <w:rFonts w:hint="eastAsia" w:hAnsi="宋体" w:cs="宋体"/>
          <w:color w:val="auto"/>
          <w:kern w:val="0"/>
          <w:sz w:val="24"/>
          <w:highlight w:val="none"/>
          <w:lang w:val="en-US" w:eastAsia="zh-CN"/>
        </w:rPr>
        <w:t>大于100吨</w:t>
      </w:r>
      <w:r>
        <w:rPr>
          <w:rFonts w:hint="eastAsia" w:ascii="宋体" w:hAnsi="宋体" w:cs="宋体"/>
          <w:color w:val="auto"/>
          <w:kern w:val="0"/>
          <w:sz w:val="24"/>
          <w:highlight w:val="none"/>
          <w:lang w:val="en-US" w:eastAsia="zh-CN"/>
        </w:rPr>
        <w:t>，影响焚烧厂正常生产，对其扣款</w:t>
      </w:r>
      <w:r>
        <w:rPr>
          <w:rFonts w:hint="eastAsia" w:hAnsi="宋体" w:cs="宋体"/>
          <w:color w:val="auto"/>
          <w:kern w:val="0"/>
          <w:sz w:val="24"/>
          <w:highlight w:val="none"/>
          <w:lang w:val="en-US" w:eastAsia="zh-CN"/>
        </w:rPr>
        <w:t>5</w:t>
      </w:r>
      <w:r>
        <w:rPr>
          <w:rFonts w:hint="eastAsia" w:ascii="宋体" w:hAnsi="宋体" w:cs="宋体"/>
          <w:color w:val="auto"/>
          <w:kern w:val="0"/>
          <w:sz w:val="24"/>
          <w:highlight w:val="none"/>
          <w:lang w:val="en-US" w:eastAsia="zh-CN"/>
        </w:rPr>
        <w:t>万元一次。累计发生3次，采购人有权单方面解除合同。因嘉善伟明环保能源有限公司设备原因以及政策影响、不可抗力等因素造成</w:t>
      </w:r>
      <w:r>
        <w:rPr>
          <w:rFonts w:hint="eastAsia" w:hAnsi="宋体" w:cs="宋体"/>
          <w:color w:val="auto"/>
          <w:kern w:val="0"/>
          <w:sz w:val="24"/>
          <w:highlight w:val="none"/>
          <w:lang w:val="en-US" w:eastAsia="zh-CN"/>
        </w:rPr>
        <w:t>日均</w:t>
      </w:r>
      <w:r>
        <w:rPr>
          <w:rFonts w:hint="eastAsia" w:ascii="宋体" w:hAnsi="宋体" w:cs="宋体"/>
          <w:color w:val="auto"/>
          <w:kern w:val="0"/>
          <w:sz w:val="24"/>
          <w:highlight w:val="none"/>
          <w:lang w:val="en-US" w:eastAsia="zh-CN"/>
        </w:rPr>
        <w:t>飞灰量不足，按实际运输处置数量结算。</w:t>
      </w:r>
    </w:p>
    <w:p>
      <w:pPr>
        <w:numPr>
          <w:ilvl w:val="1"/>
          <w:numId w:val="13"/>
        </w:numPr>
        <w:adjustRightInd w:val="0"/>
        <w:snapToGrid w:val="0"/>
        <w:spacing w:line="360" w:lineRule="auto"/>
        <w:ind w:left="0" w:firstLine="709"/>
        <w:rPr>
          <w:rFonts w:hint="eastAsia" w:ascii="宋体" w:hAnsi="宋体" w:cs="宋体"/>
          <w:color w:val="auto"/>
          <w:sz w:val="24"/>
          <w:highlight w:val="none"/>
        </w:rPr>
      </w:pPr>
      <w:r>
        <w:rPr>
          <w:rFonts w:hint="eastAsia" w:ascii="宋体" w:hAnsi="宋体" w:cs="宋体"/>
          <w:color w:val="auto"/>
          <w:sz w:val="24"/>
          <w:highlight w:val="none"/>
        </w:rPr>
        <w:t>中标供应商须在合同签订后5个工作日内完成相关环保手续，并开始运输处置，如未完成相关环保手续办理或未开始运输处置视为放弃中标，采购人有权单方面解除合同并扣除履约保证金。</w:t>
      </w:r>
    </w:p>
    <w:p>
      <w:pPr>
        <w:numPr>
          <w:ilvl w:val="1"/>
          <w:numId w:val="13"/>
        </w:numPr>
        <w:adjustRightInd w:val="0"/>
        <w:snapToGrid w:val="0"/>
        <w:spacing w:line="360" w:lineRule="auto"/>
        <w:ind w:left="0" w:firstLine="709"/>
        <w:rPr>
          <w:rFonts w:hint="eastAsia" w:ascii="宋体" w:hAnsi="宋体" w:cs="宋体"/>
          <w:color w:val="auto"/>
          <w:sz w:val="24"/>
          <w:highlight w:val="none"/>
        </w:rPr>
      </w:pPr>
      <w:r>
        <w:rPr>
          <w:rFonts w:hint="eastAsia" w:ascii="宋体" w:hAnsi="宋体" w:cs="宋体"/>
          <w:color w:val="auto"/>
          <w:sz w:val="24"/>
          <w:highlight w:val="none"/>
        </w:rPr>
        <w:t>中标供应商在项目实施过</w:t>
      </w:r>
      <w:r>
        <w:rPr>
          <w:rFonts w:hint="eastAsia" w:ascii="宋体" w:hAnsi="宋体" w:cs="宋体"/>
          <w:color w:val="auto"/>
          <w:kern w:val="0"/>
          <w:sz w:val="24"/>
          <w:highlight w:val="none"/>
        </w:rPr>
        <w:t>程中，无正当理由单方面停止服务一周以上的，采购人在结算费用时倒扣停止服务天数×30×中标运输处置单价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例：停止8天，倒扣8天×30吨/天×中标运输处置单价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同时采购人有权单方面解除合同并扣除履约保证金</w:t>
      </w:r>
      <w:r>
        <w:rPr>
          <w:rFonts w:hint="eastAsia" w:ascii="宋体" w:hAnsi="宋体" w:cs="宋体"/>
          <w:color w:val="auto"/>
          <w:kern w:val="0"/>
          <w:sz w:val="24"/>
          <w:highlight w:val="none"/>
          <w:lang w:eastAsia="zh-CN"/>
        </w:rPr>
        <w:t>。</w:t>
      </w:r>
    </w:p>
    <w:p>
      <w:pPr>
        <w:numPr>
          <w:ilvl w:val="1"/>
          <w:numId w:val="13"/>
        </w:numPr>
        <w:adjustRightInd w:val="0"/>
        <w:snapToGrid w:val="0"/>
        <w:spacing w:line="360" w:lineRule="auto"/>
        <w:ind w:left="0" w:firstLine="709"/>
        <w:rPr>
          <w:rFonts w:hint="eastAsia" w:ascii="宋体" w:hAnsi="宋体"/>
          <w:color w:val="auto"/>
          <w:sz w:val="24"/>
          <w:highlight w:val="none"/>
        </w:rPr>
      </w:pPr>
      <w:r>
        <w:rPr>
          <w:rFonts w:hint="eastAsia" w:ascii="宋体" w:hAnsi="宋体"/>
          <w:color w:val="auto"/>
          <w:sz w:val="24"/>
          <w:highlight w:val="none"/>
        </w:rPr>
        <w:t>运输服务路途中有掉漏飞灰现象的、或</w:t>
      </w:r>
      <w:r>
        <w:rPr>
          <w:rFonts w:hint="eastAsia" w:ascii="宋体" w:hAnsi="宋体"/>
          <w:color w:val="auto"/>
          <w:sz w:val="24"/>
          <w:highlight w:val="none"/>
          <w:lang w:val="en-US" w:eastAsia="zh-CN"/>
        </w:rPr>
        <w:t>被</w:t>
      </w:r>
      <w:r>
        <w:rPr>
          <w:rFonts w:hint="eastAsia" w:ascii="宋体" w:hAnsi="宋体"/>
          <w:color w:val="auto"/>
          <w:sz w:val="24"/>
          <w:highlight w:val="none"/>
        </w:rPr>
        <w:t>媒体曝光的，除政府有关部门处罚外，采购单位扣除该日飞灰的处置</w:t>
      </w:r>
      <w:r>
        <w:rPr>
          <w:rFonts w:hint="eastAsia" w:ascii="宋体" w:hAnsi="宋体" w:cs="宋体"/>
          <w:color w:val="auto"/>
          <w:sz w:val="24"/>
          <w:highlight w:val="none"/>
        </w:rPr>
        <w:t>费用</w:t>
      </w:r>
      <w:r>
        <w:rPr>
          <w:rFonts w:hint="eastAsia" w:ascii="宋体" w:hAnsi="宋体"/>
          <w:color w:val="auto"/>
          <w:sz w:val="24"/>
          <w:highlight w:val="none"/>
        </w:rPr>
        <w:t>。</w:t>
      </w:r>
    </w:p>
    <w:p>
      <w:pPr>
        <w:pStyle w:val="24"/>
        <w:numPr>
          <w:ilvl w:val="1"/>
          <w:numId w:val="13"/>
        </w:numPr>
        <w:adjustRightInd w:val="0"/>
        <w:snapToGrid w:val="0"/>
        <w:spacing w:after="0" w:line="360" w:lineRule="auto"/>
        <w:ind w:left="0" w:firstLine="709"/>
        <w:rPr>
          <w:rFonts w:ascii="宋体" w:hAnsi="宋体"/>
          <w:color w:val="auto"/>
          <w:sz w:val="24"/>
          <w:highlight w:val="none"/>
          <w:lang w:val="en-US" w:eastAsia="zh-CN"/>
        </w:rPr>
      </w:pPr>
      <w:r>
        <w:rPr>
          <w:rFonts w:hint="eastAsia" w:ascii="宋体" w:hAnsi="宋体"/>
          <w:color w:val="auto"/>
          <w:sz w:val="24"/>
          <w:highlight w:val="none"/>
          <w:lang w:val="en-US" w:eastAsia="zh-CN"/>
        </w:rPr>
        <w:t>采购人、嘉善伟明环保能源有限公司有权对中标供应商处置过程进行现场抽查，如发现处置工艺未能满足招标要求的，采购人可以终止协议，由此产生的所有损失由中标供应商承担。</w:t>
      </w:r>
    </w:p>
    <w:p>
      <w:pPr>
        <w:pStyle w:val="25"/>
        <w:rPr>
          <w:rFonts w:hint="eastAsia" w:ascii="宋体" w:hAnsi="宋体"/>
          <w:color w:val="auto"/>
          <w:sz w:val="24"/>
          <w:highlight w:val="none"/>
          <w:lang w:val="en-US" w:eastAsia="zh-CN"/>
        </w:rPr>
      </w:pPr>
    </w:p>
    <w:p>
      <w:pPr>
        <w:pStyle w:val="25"/>
        <w:rPr>
          <w:rFonts w:hint="eastAsia" w:ascii="宋体" w:hAnsi="宋体"/>
          <w:color w:val="auto"/>
          <w:sz w:val="24"/>
          <w:highlight w:val="none"/>
          <w:lang w:val="en-US" w:eastAsia="zh-CN"/>
        </w:rPr>
      </w:pPr>
    </w:p>
    <w:p>
      <w:pPr>
        <w:pStyle w:val="25"/>
        <w:rPr>
          <w:rFonts w:hint="eastAsia" w:ascii="宋体" w:hAnsi="宋体"/>
          <w:color w:val="auto"/>
          <w:sz w:val="24"/>
          <w:highlight w:val="none"/>
          <w:lang w:val="en-US" w:eastAsia="zh-CN"/>
        </w:rPr>
      </w:pPr>
    </w:p>
    <w:p>
      <w:pPr>
        <w:pStyle w:val="25"/>
        <w:rPr>
          <w:rFonts w:hint="eastAsia" w:ascii="宋体" w:hAnsi="宋体"/>
          <w:color w:val="auto"/>
          <w:sz w:val="24"/>
          <w:highlight w:val="none"/>
          <w:lang w:val="en-US" w:eastAsia="zh-CN"/>
        </w:rPr>
      </w:pPr>
    </w:p>
    <w:p>
      <w:pPr>
        <w:pStyle w:val="25"/>
        <w:rPr>
          <w:rFonts w:hint="eastAsia" w:ascii="宋体" w:hAnsi="宋体"/>
          <w:color w:val="auto"/>
          <w:sz w:val="24"/>
          <w:highlight w:val="none"/>
          <w:lang w:val="en-US" w:eastAsia="zh-CN"/>
        </w:rPr>
      </w:pPr>
    </w:p>
    <w:p>
      <w:pPr>
        <w:pStyle w:val="25"/>
        <w:rPr>
          <w:rFonts w:hint="eastAsia" w:ascii="宋体" w:hAnsi="宋体"/>
          <w:color w:val="auto"/>
          <w:sz w:val="24"/>
          <w:highlight w:val="none"/>
          <w:lang w:val="en-US" w:eastAsia="zh-CN"/>
        </w:rPr>
      </w:pPr>
    </w:p>
    <w:bookmarkEnd w:id="18"/>
    <w:bookmarkEnd w:id="19"/>
    <w:bookmarkEnd w:id="20"/>
    <w:p>
      <w:pPr>
        <w:numPr>
          <w:ilvl w:val="1"/>
          <w:numId w:val="2"/>
        </w:numPr>
        <w:tabs>
          <w:tab w:val="left" w:pos="993"/>
        </w:tabs>
        <w:adjustRightInd w:val="0"/>
        <w:snapToGrid w:val="0"/>
        <w:spacing w:line="360" w:lineRule="auto"/>
        <w:outlineLvl w:val="1"/>
        <w:rPr>
          <w:rFonts w:ascii="宋体" w:hAnsi="宋体"/>
          <w:b/>
          <w:color w:val="auto"/>
          <w:sz w:val="24"/>
          <w:highlight w:val="none"/>
        </w:rPr>
      </w:pPr>
      <w:r>
        <w:rPr>
          <w:rFonts w:ascii="宋体" w:hAnsi="宋体"/>
          <w:b/>
          <w:color w:val="auto"/>
          <w:sz w:val="24"/>
          <w:highlight w:val="none"/>
        </w:rPr>
        <w:t>商务要求</w:t>
      </w:r>
      <w:r>
        <w:rPr>
          <w:rFonts w:hint="eastAsia" w:ascii="宋体" w:hAnsi="宋体"/>
          <w:b/>
          <w:color w:val="auto"/>
          <w:sz w:val="24"/>
          <w:highlight w:val="none"/>
        </w:rPr>
        <w:t>表</w:t>
      </w:r>
    </w:p>
    <w:tbl>
      <w:tblPr>
        <w:tblStyle w:val="65"/>
        <w:tblW w:w="89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1722"/>
        <w:gridCol w:w="6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tblHeader/>
          <w:jc w:val="center"/>
        </w:trPr>
        <w:tc>
          <w:tcPr>
            <w:tcW w:w="927"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72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6266"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招标要求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3"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adjustRightInd w:val="0"/>
              <w:snapToGrid w:val="0"/>
              <w:spacing w:line="360" w:lineRule="auto"/>
              <w:jc w:val="center"/>
              <w:rPr>
                <w:rFonts w:ascii="宋体" w:hAnsi="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结算方式</w:t>
            </w:r>
          </w:p>
        </w:tc>
        <w:tc>
          <w:tcPr>
            <w:tcW w:w="6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color w:val="auto"/>
                <w:szCs w:val="21"/>
                <w:highlight w:val="none"/>
              </w:rPr>
            </w:pPr>
            <w:r>
              <w:rPr>
                <w:rFonts w:hint="eastAsia" w:ascii="宋体" w:hAnsi="宋体"/>
                <w:color w:val="auto"/>
                <w:szCs w:val="21"/>
                <w:highlight w:val="none"/>
              </w:rPr>
              <w:t>1.结算方式：按月结算，单价固定（按中标单价），数量按实结算（考核</w:t>
            </w:r>
            <w:r>
              <w:rPr>
                <w:rFonts w:hint="eastAsia" w:ascii="宋体" w:hAnsi="宋体"/>
                <w:color w:val="auto"/>
                <w:szCs w:val="21"/>
                <w:highlight w:val="none"/>
                <w:lang w:val="en-US" w:eastAsia="zh-CN"/>
              </w:rPr>
              <w:t>要求</w:t>
            </w:r>
            <w:r>
              <w:rPr>
                <w:rFonts w:hint="eastAsia" w:ascii="宋体" w:hAnsi="宋体"/>
                <w:color w:val="auto"/>
                <w:szCs w:val="21"/>
                <w:highlight w:val="none"/>
              </w:rPr>
              <w:t>中另有约定的按考核</w:t>
            </w:r>
            <w:r>
              <w:rPr>
                <w:rFonts w:hint="eastAsia" w:ascii="宋体" w:hAnsi="宋体"/>
                <w:color w:val="auto"/>
                <w:szCs w:val="21"/>
                <w:highlight w:val="none"/>
                <w:lang w:val="en-US" w:eastAsia="zh-CN"/>
              </w:rPr>
              <w:t>要求</w:t>
            </w:r>
            <w:r>
              <w:rPr>
                <w:rFonts w:hint="eastAsia" w:ascii="宋体" w:hAnsi="宋体"/>
                <w:color w:val="auto"/>
                <w:szCs w:val="21"/>
                <w:highlight w:val="none"/>
              </w:rPr>
              <w:t>）；</w:t>
            </w:r>
          </w:p>
          <w:p>
            <w:pPr>
              <w:adjustRightInd w:val="0"/>
              <w:snapToGrid w:val="0"/>
              <w:spacing w:line="360" w:lineRule="auto"/>
              <w:jc w:val="both"/>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中标供应商应做好运输记录，飞灰需要进行进、出厂过磅。重量确认以嘉善伟明环保能源有限公司地磅</w:t>
            </w:r>
            <w:r>
              <w:rPr>
                <w:rFonts w:hint="eastAsia" w:ascii="宋体" w:hAnsi="宋体" w:cs="宋体"/>
                <w:color w:val="auto"/>
                <w:szCs w:val="21"/>
                <w:highlight w:val="none"/>
                <w:lang w:val="en-US" w:eastAsia="zh-CN"/>
              </w:rPr>
              <w:t>数据</w:t>
            </w:r>
            <w:r>
              <w:rPr>
                <w:rFonts w:hint="eastAsia" w:ascii="宋体" w:hAnsi="宋体" w:cs="宋体"/>
                <w:color w:val="auto"/>
                <w:szCs w:val="21"/>
                <w:highlight w:val="none"/>
              </w:rPr>
              <w:t>为准</w:t>
            </w:r>
            <w:r>
              <w:rPr>
                <w:rFonts w:hint="eastAsia" w:ascii="宋体" w:hAnsi="宋体" w:cs="宋体"/>
                <w:color w:val="auto"/>
                <w:szCs w:val="21"/>
                <w:highlight w:val="none"/>
                <w:lang w:val="en-US" w:eastAsia="zh-CN"/>
              </w:rPr>
              <w:t>作为结算依据</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79"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adjustRightInd w:val="0"/>
              <w:snapToGrid w:val="0"/>
              <w:spacing w:line="360" w:lineRule="auto"/>
              <w:jc w:val="center"/>
              <w:rPr>
                <w:rFonts w:ascii="宋体" w:hAnsi="宋体"/>
                <w:color w:val="auto"/>
                <w:szCs w:val="21"/>
                <w:highlight w:val="none"/>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合同价的支付</w:t>
            </w:r>
          </w:p>
        </w:tc>
        <w:tc>
          <w:tcPr>
            <w:tcW w:w="6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每月5日前，采购人、嘉善伟明环保能源有限公司、中标供应商三方核对确认上月飞灰转移量，按考核办法计算飞灰运输处置费，中标供应商</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向采购人开具运输处置费的增值税专用发票，采购人应在收到增值税专用发票后的15个工作日内支付相应的运输处置费。</w:t>
            </w:r>
          </w:p>
        </w:tc>
      </w:tr>
    </w:tbl>
    <w:p>
      <w:pPr>
        <w:spacing w:line="560" w:lineRule="exact"/>
        <w:ind w:firstLine="640" w:firstLineChars="200"/>
        <w:rPr>
          <w:rFonts w:eastAsiaTheme="minorEastAsia"/>
          <w:color w:val="auto"/>
          <w:sz w:val="32"/>
          <w:szCs w:val="32"/>
          <w:highlight w:val="none"/>
        </w:rPr>
      </w:pPr>
    </w:p>
    <w:p>
      <w:pPr>
        <w:pStyle w:val="6"/>
        <w:ind w:firstLine="0"/>
        <w:rPr>
          <w:color w:val="auto"/>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both"/>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21" w:name="_Toc164416483"/>
      <w:bookmarkStart w:id="22" w:name="第三部分"/>
      <w:bookmarkStart w:id="23" w:name="_Toc91899903"/>
      <w:r>
        <w:rPr>
          <w:rFonts w:hint="eastAsia" w:ascii="宋体" w:hAnsi="宋体" w:cs="宋体"/>
          <w:b/>
          <w:bCs/>
          <w:color w:val="auto"/>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4.供应商须在采购代理机构宣布评审结束、产生中标候选人前时刻关注，配合专家组工作，如有询标（澄清、质疑），在约定时间内（具体时间以询标函上规定的时间为准备）通过CA进行回复。未按要求回复的，视为放弃澄清。</w:t>
      </w:r>
    </w:p>
    <w:p>
      <w:pPr>
        <w:wordWrap w:val="0"/>
        <w:overflowPunct w:val="0"/>
        <w:autoSpaceDE w:val="0"/>
        <w:autoSpaceDN w:val="0"/>
        <w:snapToGrid w:val="0"/>
        <w:spacing w:line="360" w:lineRule="auto"/>
        <w:rPr>
          <w:rFonts w:ascii="宋体" w:hAnsi="宋体" w:cs="宋体"/>
          <w:b/>
          <w:bCs/>
          <w:color w:val="auto"/>
          <w:sz w:val="28"/>
          <w:highlight w:val="none"/>
        </w:rPr>
      </w:pPr>
    </w:p>
    <w:p>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5"/>
        <w:tblW w:w="9143" w:type="dxa"/>
        <w:tblInd w:w="142" w:type="dxa"/>
        <w:tblLayout w:type="fixed"/>
        <w:tblCellMar>
          <w:top w:w="0" w:type="dxa"/>
          <w:left w:w="108" w:type="dxa"/>
          <w:bottom w:w="0" w:type="dxa"/>
          <w:right w:w="108" w:type="dxa"/>
        </w:tblCellMar>
      </w:tblPr>
      <w:tblGrid>
        <w:gridCol w:w="744"/>
        <w:gridCol w:w="8399"/>
      </w:tblGrid>
      <w:tr>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color w:val="auto"/>
                <w:sz w:val="24"/>
                <w:szCs w:val="24"/>
                <w:highlight w:val="none"/>
                <w:lang w:eastAsia="zh-CN"/>
              </w:rPr>
              <w:t>2023年嘉善县生活垃圾焚烧飞灰外运处置项目（第二次）</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u w:val="single"/>
              </w:rPr>
              <w:t>2400</w:t>
            </w:r>
            <w:r>
              <w:rPr>
                <w:rFonts w:hint="eastAsia" w:cs="宋体"/>
                <w:color w:val="auto"/>
                <w:highlight w:val="none"/>
                <w:u w:val="single"/>
                <w:lang w:eastAsia="zh-CN"/>
              </w:rPr>
              <w:t>.00</w:t>
            </w:r>
            <w:r>
              <w:rPr>
                <w:rFonts w:hint="eastAsia" w:cs="宋体"/>
                <w:color w:val="auto"/>
                <w:highlight w:val="none"/>
                <w:u w:val="single"/>
              </w:rPr>
              <w:t>万元</w:t>
            </w:r>
            <w:r>
              <w:rPr>
                <w:rFonts w:hint="eastAsia" w:cs="宋体"/>
                <w:color w:val="auto"/>
                <w:highlight w:val="none"/>
                <w:u w:val="single"/>
                <w:lang w:val="en-US" w:eastAsia="zh-CN"/>
              </w:rPr>
              <w:t>/年度</w:t>
            </w:r>
            <w:r>
              <w:rPr>
                <w:rFonts w:hint="eastAsia" w:cs="宋体"/>
                <w:color w:val="auto"/>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rPr>
              <w:t>2023年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rPr>
              <w:t>2023年</w:t>
            </w:r>
            <w:r>
              <w:rPr>
                <w:rFonts w:hint="eastAsia" w:ascii="仿宋_GB2312" w:hAnsi="仿宋" w:eastAsia="仿宋_GB2312"/>
                <w:color w:val="auto"/>
                <w:sz w:val="24"/>
                <w:highlight w:val="none"/>
                <w:u w:val="single"/>
                <w:lang w:val="en-US" w:eastAsia="zh-CN"/>
              </w:rPr>
              <w:t>6</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履约保证金:签订合同前中标人应向采购人交纳合同金额的1%作为履约保证金，履约保证金在合同履行完毕后一个月内无息退还。履约保证金形式按国家规定形式（现金、银行保函、</w:t>
            </w:r>
            <w:r>
              <w:rPr>
                <w:rFonts w:hint="eastAsia" w:ascii="宋体" w:hAnsi="宋体" w:cs="宋体"/>
                <w:color w:val="auto"/>
                <w:sz w:val="24"/>
                <w:highlight w:val="none"/>
                <w:lang w:eastAsia="zh-CN"/>
              </w:rPr>
              <w:t>保险保函</w:t>
            </w:r>
            <w:r>
              <w:rPr>
                <w:rFonts w:hint="eastAsia" w:ascii="宋体" w:hAnsi="宋体" w:cs="宋体"/>
                <w:color w:val="auto"/>
                <w:sz w:val="24"/>
                <w:highlight w:val="none"/>
              </w:rPr>
              <w:t>）</w:t>
            </w:r>
          </w:p>
        </w:tc>
      </w:tr>
      <w:tr>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付款方式：详见商务要求表，采购资金按照财政支付的相关规定执行</w:t>
            </w:r>
            <w:r>
              <w:rPr>
                <w:rFonts w:hint="eastAsia" w:ascii="宋体" w:hAnsi="宋体"/>
                <w:color w:val="auto"/>
                <w:sz w:val="24"/>
                <w:highlight w:val="none"/>
              </w:rPr>
              <w:t>。</w:t>
            </w:r>
          </w:p>
        </w:tc>
      </w:tr>
      <w:tr>
        <w:tblPrEx>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现场踏勘：投标人根据自身情况自行踏勘（费用自理）</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pPr>
        <w:pStyle w:val="26"/>
        <w:ind w:firstLine="0" w:firstLineChars="0"/>
        <w:rPr>
          <w:color w:val="auto"/>
          <w:highlight w:val="none"/>
        </w:rPr>
      </w:pPr>
    </w:p>
    <w:p>
      <w:pPr>
        <w:pStyle w:val="64"/>
        <w:ind w:firstLine="420"/>
        <w:rPr>
          <w:color w:val="auto"/>
          <w:highlight w:val="none"/>
        </w:rPr>
      </w:pPr>
    </w:p>
    <w:p>
      <w:pPr>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84"/>
        <w:rPr>
          <w:color w:val="auto"/>
          <w:highlight w:val="none"/>
        </w:rPr>
      </w:pPr>
    </w:p>
    <w:p>
      <w:pPr>
        <w:pStyle w:val="35"/>
        <w:numPr>
          <w:ilvl w:val="0"/>
          <w:numId w:val="15"/>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1.招标采购单位系指组织本次招标的代理机构（“招标人”）和采购单位。</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8.“★”系指核心产品。</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pPr>
        <w:pStyle w:val="26"/>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2.本项目允许分包,分包必须经得采购人同意，且分包应符合相关分包规定。</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pPr>
        <w:pStyle w:val="35"/>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pPr>
        <w:numPr>
          <w:ilvl w:val="0"/>
          <w:numId w:val="16"/>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pPr>
        <w:numPr>
          <w:ilvl w:val="0"/>
          <w:numId w:val="16"/>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pPr>
        <w:numPr>
          <w:ilvl w:val="0"/>
          <w:numId w:val="16"/>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中小企业声明函或监狱和戒毒企业企业证明材料或残疾人福利性单位声明函（格式见第六章）</w:t>
      </w:r>
    </w:p>
    <w:p>
      <w:pPr>
        <w:keepNext w:val="0"/>
        <w:keepLines w:val="0"/>
        <w:pageBreakBefore w:val="0"/>
        <w:widowControl w:val="0"/>
        <w:numPr>
          <w:ilvl w:val="0"/>
          <w:numId w:val="16"/>
        </w:numPr>
        <w:tabs>
          <w:tab w:val="left" w:pos="1418"/>
        </w:tabs>
        <w:kinsoku/>
        <w:topLinePunct w:val="0"/>
        <w:bidi w:val="0"/>
        <w:adjustRightInd w:val="0"/>
        <w:snapToGrid w:val="0"/>
        <w:spacing w:line="360" w:lineRule="auto"/>
        <w:ind w:left="0" w:firstLine="705" w:firstLineChars="294"/>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具有危险废物经营许可证(核准经营范围内废物类别HW18，废物代码须包含772-002-18，经营方式须包含收集、贮存、利用)</w:t>
      </w:r>
    </w:p>
    <w:p>
      <w:pPr>
        <w:pStyle w:val="60"/>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分包意向协议（格式见第六章）</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总体设想</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飞灰处置方案</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运输方案</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环保保障措施</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安全保障措施</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突发事件应急处理措施</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飞灰运输能力</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技术力量（格式见第六章拟派项目组人员表）</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企业实力</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诚信度</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同类项目业绩（格式见第六章同类业绩一览表）</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服务承诺</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经营能力 </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飞灰运输能力</w:t>
      </w:r>
    </w:p>
    <w:p>
      <w:pPr>
        <w:numPr>
          <w:ilvl w:val="0"/>
          <w:numId w:val="17"/>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pPr>
        <w:pStyle w:val="35"/>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pPr>
        <w:numPr>
          <w:ilvl w:val="0"/>
          <w:numId w:val="18"/>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pPr>
        <w:numPr>
          <w:ilvl w:val="0"/>
          <w:numId w:val="18"/>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pPr>
        <w:numPr>
          <w:ilvl w:val="0"/>
          <w:numId w:val="18"/>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投标报价明细表（格式见第六章</w:t>
      </w:r>
      <w:r>
        <w:rPr>
          <w:rFonts w:hint="eastAsia" w:hAnsi="宋体" w:cs="宋体"/>
          <w:color w:val="auto"/>
          <w:sz w:val="24"/>
          <w:highlight w:val="none"/>
        </w:rPr>
        <w:t>）</w:t>
      </w:r>
    </w:p>
    <w:p>
      <w:pPr>
        <w:numPr>
          <w:ilvl w:val="0"/>
          <w:numId w:val="18"/>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投标人针对报价需要说明的其他文件和说明（如有）</w:t>
      </w:r>
    </w:p>
    <w:p>
      <w:pPr>
        <w:wordWrap w:val="0"/>
        <w:overflowPunct w:val="0"/>
        <w:autoSpaceDE w:val="0"/>
        <w:autoSpaceDN w:val="0"/>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4.投标文件内容填写说明 </w:t>
      </w:r>
    </w:p>
    <w:p>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（3）投标人必须保证投标文件所提供的全部资料真实可靠，并接受招标人对其中任何资料进一步审查的要求。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▲2.投标报价是履行合同的最终价格</w:t>
      </w:r>
      <w:r>
        <w:rPr>
          <w:rFonts w:hint="eastAsia" w:ascii="宋体" w:hAnsi="宋体"/>
          <w:color w:val="auto"/>
          <w:sz w:val="24"/>
          <w:highlight w:val="none"/>
        </w:rPr>
        <w:t>，</w:t>
      </w:r>
      <w:r>
        <w:rPr>
          <w:rFonts w:hint="eastAsia" w:ascii="宋体" w:hAnsi="宋体"/>
          <w:color w:val="auto"/>
          <w:sz w:val="24"/>
          <w:highlight w:val="none"/>
          <w:lang w:eastAsia="zh-CN"/>
        </w:rPr>
        <w:t>报价采用</w:t>
      </w:r>
      <w:r>
        <w:rPr>
          <w:rFonts w:hint="eastAsia" w:ascii="宋体" w:hAnsi="宋体" w:cs="宋体"/>
          <w:color w:val="auto"/>
          <w:sz w:val="22"/>
          <w:szCs w:val="22"/>
          <w:highlight w:val="none"/>
        </w:rPr>
        <w:t>全费用单价形式进行报价，单价固定，</w:t>
      </w:r>
      <w:r>
        <w:rPr>
          <w:rFonts w:hint="eastAsia" w:ascii="宋体" w:hAnsi="宋体"/>
          <w:color w:val="auto"/>
          <w:sz w:val="24"/>
          <w:highlight w:val="none"/>
          <w:lang w:eastAsia="zh-CN"/>
        </w:rPr>
        <w:t>按实结算，</w:t>
      </w:r>
      <w:r>
        <w:rPr>
          <w:rFonts w:hint="eastAsia" w:ascii="宋体" w:hAnsi="宋体" w:cs="宋体"/>
          <w:color w:val="auto"/>
          <w:sz w:val="22"/>
          <w:szCs w:val="22"/>
          <w:highlight w:val="none"/>
        </w:rPr>
        <w:t>报价中含所有税费(包括完成本次招标内容所需的人工、材料、机械、过境费、燃油费、保险、管理费、利润、税金、招标代理费等所有费用。)</w:t>
      </w:r>
      <w:r>
        <w:rPr>
          <w:rFonts w:hint="eastAsia" w:ascii="宋体" w:hAnsi="宋体" w:cs="宋体"/>
          <w:color w:val="auto"/>
          <w:kern w:val="0"/>
          <w:sz w:val="24"/>
          <w:highlight w:val="none"/>
        </w:rPr>
        <w:t>。</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pPr>
        <w:pStyle w:val="16"/>
        <w:widowControl w:val="0"/>
        <w:tabs>
          <w:tab w:val="left" w:pos="720"/>
          <w:tab w:val="clear" w:pos="390"/>
        </w:tabs>
        <w:wordWrap w:val="0"/>
        <w:overflowPunct w:val="0"/>
        <w:autoSpaceDE w:val="0"/>
        <w:autoSpaceDN w:val="0"/>
        <w:snapToGrid w:val="0"/>
        <w:spacing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pPr>
        <w:pStyle w:val="16"/>
        <w:widowControl w:val="0"/>
        <w:tabs>
          <w:tab w:val="left" w:pos="720"/>
          <w:tab w:val="clear" w:pos="390"/>
        </w:tabs>
        <w:wordWrap w:val="0"/>
        <w:overflowPunct w:val="0"/>
        <w:autoSpaceDE w:val="0"/>
        <w:autoSpaceDN w:val="0"/>
        <w:snapToGrid w:val="0"/>
        <w:spacing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2.在特殊情况下，招标人可与投标人协商延长投标书的有效期，这种要求和答复均以书面形式进行。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bookmarkStart w:id="24" w:name="_Toc359856802"/>
      <w:r>
        <w:rPr>
          <w:rFonts w:hint="eastAsia" w:hAnsi="宋体" w:cs="宋体"/>
          <w:b/>
          <w:color w:val="auto"/>
          <w:sz w:val="24"/>
          <w:szCs w:val="24"/>
          <w:highlight w:val="none"/>
        </w:rPr>
        <w:t>（七）投标文件的签署及规定</w:t>
      </w:r>
      <w:bookmarkEnd w:id="24"/>
    </w:p>
    <w:p>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9"/>
          <w:rFonts w:hint="eastAsia" w:ascii="宋体" w:hAnsi="宋体" w:cs="宋体"/>
          <w:bCs/>
          <w:color w:val="auto"/>
          <w:sz w:val="24"/>
          <w:highlight w:val="none"/>
        </w:rPr>
        <w:t>）及本招标文件规定的格式和顺序编制电子投标文件并进行关联定位。</w:t>
      </w:r>
      <w:r>
        <w:rPr>
          <w:rStyle w:val="79"/>
          <w:rFonts w:hint="eastAsia" w:ascii="宋体" w:hAnsi="宋体" w:cs="宋体"/>
          <w:bCs/>
          <w:color w:val="auto"/>
          <w:sz w:val="24"/>
          <w:highlight w:val="none"/>
        </w:rPr>
        <w:fldChar w:fldCharType="end"/>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bookmarkStart w:id="25" w:name="_Toc359856803"/>
      <w:bookmarkStart w:id="26" w:name="_Toc356371437"/>
      <w:r>
        <w:rPr>
          <w:rFonts w:hint="eastAsia" w:hAnsi="宋体" w:cs="宋体"/>
          <w:b/>
          <w:color w:val="auto"/>
          <w:sz w:val="24"/>
          <w:szCs w:val="24"/>
          <w:highlight w:val="none"/>
        </w:rPr>
        <w:t>（八）投标文件的递交</w:t>
      </w:r>
      <w:bookmarkEnd w:id="25"/>
      <w:bookmarkEnd w:id="26"/>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19"/>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投标有效期、服务期等商务条款不能满足招标文件要求的；</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（10）不符合本采购文件中的实质性要求条款</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pPr>
        <w:pStyle w:val="26"/>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pPr>
        <w:pStyle w:val="26"/>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pPr>
        <w:pStyle w:val="26"/>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pPr>
        <w:pStyle w:val="26"/>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pPr>
        <w:pStyle w:val="26"/>
        <w:snapToGrid w:val="0"/>
        <w:spacing w:line="360" w:lineRule="auto"/>
        <w:rPr>
          <w:color w:val="auto"/>
          <w:highlight w:val="none"/>
        </w:rPr>
      </w:pPr>
      <w:r>
        <w:rPr>
          <w:rFonts w:hint="eastAsia"/>
          <w:color w:val="auto"/>
          <w:highlight w:val="none"/>
        </w:rPr>
        <w:t>（1）未采用人民币报价或者未按照采购文件标明的币种报价的；</w:t>
      </w:r>
    </w:p>
    <w:p>
      <w:pPr>
        <w:pStyle w:val="26"/>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pPr>
        <w:pStyle w:val="26"/>
        <w:snapToGrid w:val="0"/>
        <w:spacing w:line="360" w:lineRule="auto"/>
        <w:rPr>
          <w:color w:val="auto"/>
          <w:highlight w:val="none"/>
        </w:rPr>
      </w:pPr>
      <w:r>
        <w:rPr>
          <w:rFonts w:hint="eastAsia"/>
          <w:color w:val="auto"/>
          <w:highlight w:val="none"/>
        </w:rPr>
        <w:t>（3）报价文件内容与商务、技术文件内容严重不一致，评标委员会无法评审的；</w:t>
      </w:r>
    </w:p>
    <w:p>
      <w:pPr>
        <w:pStyle w:val="26"/>
        <w:snapToGrid w:val="0"/>
        <w:spacing w:line="360" w:lineRule="auto"/>
        <w:rPr>
          <w:color w:val="auto"/>
          <w:highlight w:val="none"/>
        </w:rPr>
      </w:pPr>
      <w:r>
        <w:rPr>
          <w:rFonts w:hint="eastAsia"/>
          <w:color w:val="auto"/>
          <w:highlight w:val="none"/>
        </w:rPr>
        <w:t>（4）评标委员会认定属投标人自身原因有重大漏项的。</w:t>
      </w:r>
    </w:p>
    <w:p>
      <w:pPr>
        <w:pStyle w:val="26"/>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6"/>
        <w:snapToGrid w:val="0"/>
        <w:spacing w:line="360" w:lineRule="auto"/>
        <w:rPr>
          <w:color w:val="auto"/>
          <w:highlight w:val="none"/>
        </w:rPr>
      </w:pPr>
      <w:r>
        <w:rPr>
          <w:rFonts w:hint="eastAsia"/>
          <w:color w:val="auto"/>
          <w:highlight w:val="none"/>
        </w:rPr>
        <w:t>（6）报价超过采购文件中规定的预算金额或者最高限价的。</w:t>
      </w:r>
    </w:p>
    <w:p>
      <w:pPr>
        <w:pStyle w:val="26"/>
        <w:snapToGrid w:val="0"/>
        <w:spacing w:line="360" w:lineRule="auto"/>
        <w:rPr>
          <w:color w:val="auto"/>
          <w:highlight w:val="none"/>
        </w:rPr>
      </w:pPr>
      <w:r>
        <w:rPr>
          <w:rFonts w:hint="eastAsia"/>
          <w:color w:val="auto"/>
          <w:highlight w:val="none"/>
        </w:rPr>
        <w:t>（7）报价文件无法定代表人或授权代表签字（或盖章）的；</w:t>
      </w:r>
    </w:p>
    <w:p>
      <w:pPr>
        <w:pStyle w:val="26"/>
        <w:snapToGrid w:val="0"/>
        <w:spacing w:line="360" w:lineRule="auto"/>
        <w:rPr>
          <w:color w:val="auto"/>
          <w:highlight w:val="none"/>
        </w:rPr>
      </w:pPr>
      <w:r>
        <w:rPr>
          <w:rFonts w:hint="eastAsia"/>
          <w:color w:val="auto"/>
          <w:highlight w:val="none"/>
        </w:rPr>
        <w:t>（8）报价文件格式不规范、项目不齐全或者内容虚假的；</w:t>
      </w:r>
    </w:p>
    <w:p>
      <w:pPr>
        <w:pStyle w:val="26"/>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pPr>
        <w:pStyle w:val="26"/>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p>
    <w:p>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名，专家评委</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pPr>
        <w:pStyle w:val="35"/>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pPr>
        <w:pStyle w:val="35"/>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pPr>
        <w:pStyle w:val="35"/>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3.采购人依法确定中标人后2个工作日内，采购代理机构以书面形式发出《中标通知书》,并同时在相关网站上发布中标公告。</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1.签订合同前中标人应向采购人交纳合同金额的1%作为履约保证金，履约保证金在合同履行完毕后一个月内无息退还。履约保证金形式按国家规定形式（现金、银行保函、</w:t>
      </w:r>
      <w:r>
        <w:rPr>
          <w:rFonts w:hint="eastAsia" w:ascii="宋体" w:hAnsi="宋体" w:cs="宋体"/>
          <w:color w:val="auto"/>
          <w:sz w:val="24"/>
          <w:highlight w:val="none"/>
          <w:lang w:eastAsia="zh-CN"/>
        </w:rPr>
        <w:t>保险保函</w:t>
      </w:r>
      <w:r>
        <w:rPr>
          <w:rFonts w:hint="eastAsia" w:ascii="宋体" w:hAnsi="宋体" w:cs="宋体"/>
          <w:color w:val="auto"/>
          <w:sz w:val="24"/>
          <w:highlight w:val="none"/>
        </w:rPr>
        <w:t>）；否则，由此产生的一切不利后果由中标人自行承担。</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hAnsi="宋体" w:cs="宋体"/>
          <w:color w:val="auto"/>
          <w:sz w:val="24"/>
          <w:highlight w:val="none"/>
        </w:rPr>
        <w:t>2.签订合同后，如中标人不按双方合同约定履约，则没收其全部履约保证金，履约保证金不足以赔偿损失的，按实际损失赔偿</w:t>
      </w:r>
      <w:r>
        <w:rPr>
          <w:rFonts w:hint="eastAsia" w:ascii="宋体" w:hAnsi="宋体" w:cs="宋体"/>
          <w:color w:val="auto"/>
          <w:sz w:val="24"/>
          <w:highlight w:val="none"/>
        </w:rPr>
        <w:t>。</w:t>
      </w:r>
    </w:p>
    <w:p>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7" w:name="_Toc2572"/>
    </w:p>
    <w:bookmarkEnd w:id="21"/>
    <w:bookmarkEnd w:id="22"/>
    <w:bookmarkEnd w:id="23"/>
    <w:bookmarkEnd w:id="27"/>
    <w:p>
      <w:pPr>
        <w:pStyle w:val="35"/>
        <w:snapToGrid w:val="0"/>
        <w:spacing w:line="360" w:lineRule="auto"/>
        <w:rPr>
          <w:rFonts w:hAnsi="宋体" w:cs="宋体"/>
          <w:b/>
          <w:color w:val="auto"/>
          <w:sz w:val="24"/>
          <w:szCs w:val="24"/>
          <w:highlight w:val="none"/>
        </w:rPr>
      </w:pPr>
      <w:bookmarkStart w:id="28" w:name="第四部分"/>
      <w:r>
        <w:rPr>
          <w:rFonts w:hint="eastAsia" w:hAnsi="宋体" w:cs="宋体"/>
          <w:b/>
          <w:color w:val="auto"/>
          <w:sz w:val="24"/>
          <w:szCs w:val="24"/>
          <w:highlight w:val="none"/>
        </w:rPr>
        <w:t>九、招标代理费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服务招标收费费率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ascii="宋体" w:hAnsi="宋体"/>
                <w:b/>
                <w:color w:val="auto"/>
                <w:sz w:val="24"/>
                <w:highlight w:val="none"/>
              </w:rPr>
            </w:pPr>
            <w:r>
              <w:rPr>
                <w:rStyle w:val="973"/>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ascii="宋体" w:hAnsi="宋体"/>
                <w:b/>
                <w:color w:val="auto"/>
                <w:sz w:val="24"/>
                <w:highlight w:val="none"/>
              </w:rPr>
            </w:pPr>
            <w:r>
              <w:rPr>
                <w:rStyle w:val="973"/>
                <w:rFonts w:ascii="宋体" w:hAnsi="宋体"/>
                <w:b/>
                <w:color w:val="auto"/>
                <w:sz w:val="24"/>
                <w:highlight w:val="none"/>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Style w:val="973"/>
                <w:rFonts w:ascii="宋体" w:hAnsi="宋体"/>
                <w:b/>
                <w:color w:val="auto"/>
                <w:sz w:val="24"/>
                <w:highlight w:val="none"/>
              </w:rPr>
            </w:pPr>
            <w:r>
              <w:rPr>
                <w:rStyle w:val="973"/>
                <w:rFonts w:hint="eastAsia" w:ascii="宋体" w:hAnsi="宋体"/>
                <w:b/>
                <w:color w:val="auto"/>
                <w:sz w:val="24"/>
                <w:highlight w:val="none"/>
              </w:rPr>
              <w:t>500-1000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Style w:val="973"/>
                <w:rFonts w:ascii="宋体" w:hAnsi="宋体"/>
                <w:b/>
                <w:color w:val="auto"/>
                <w:sz w:val="24"/>
                <w:highlight w:val="none"/>
              </w:rPr>
            </w:pPr>
            <w:r>
              <w:rPr>
                <w:rStyle w:val="973"/>
                <w:rFonts w:hint="eastAsia" w:ascii="宋体" w:hAnsi="宋体"/>
                <w:b/>
                <w:color w:val="auto"/>
                <w:sz w:val="24"/>
                <w:highlight w:val="none"/>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Style w:val="973"/>
                <w:rFonts w:ascii="宋体" w:hAnsi="宋体"/>
                <w:b/>
                <w:color w:val="auto"/>
                <w:sz w:val="24"/>
                <w:highlight w:val="none"/>
              </w:rPr>
            </w:pPr>
            <w:r>
              <w:rPr>
                <w:rStyle w:val="973"/>
                <w:rFonts w:hint="eastAsia" w:ascii="宋体" w:hAnsi="宋体"/>
                <w:b/>
                <w:color w:val="auto"/>
                <w:sz w:val="24"/>
                <w:highlight w:val="none"/>
              </w:rPr>
              <w:t>1000-5000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Style w:val="973"/>
                <w:rFonts w:ascii="宋体" w:hAnsi="宋体"/>
                <w:b/>
                <w:color w:val="auto"/>
                <w:sz w:val="24"/>
                <w:highlight w:val="none"/>
              </w:rPr>
            </w:pPr>
            <w:r>
              <w:rPr>
                <w:rStyle w:val="973"/>
                <w:rFonts w:hint="eastAsia" w:ascii="宋体" w:hAnsi="宋体"/>
                <w:b/>
                <w:color w:val="auto"/>
                <w:sz w:val="24"/>
                <w:highlight w:val="none"/>
              </w:rPr>
              <w:t>0.25%</w:t>
            </w:r>
          </w:p>
        </w:tc>
      </w:tr>
    </w:tbl>
    <w:p>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例如：某项目服务类招标代理业务中标金额为</w:t>
      </w:r>
      <w:r>
        <w:rPr>
          <w:rFonts w:hint="eastAsia" w:ascii="宋体" w:hAnsi="宋体"/>
          <w:color w:val="auto"/>
          <w:sz w:val="24"/>
          <w:highlight w:val="none"/>
          <w:lang w:val="en-US" w:eastAsia="zh-CN"/>
        </w:rPr>
        <w:t>2000</w:t>
      </w:r>
      <w:r>
        <w:rPr>
          <w:rFonts w:hint="eastAsia" w:ascii="宋体" w:hAnsi="宋体"/>
          <w:color w:val="auto"/>
          <w:sz w:val="24"/>
          <w:highlight w:val="none"/>
        </w:rPr>
        <w:t>万元，计算中标服务费收费额如下：</w:t>
      </w:r>
    </w:p>
    <w:p>
      <w:pPr>
        <w:snapToGrid w:val="0"/>
        <w:spacing w:line="360" w:lineRule="auto"/>
        <w:ind w:firstLine="480" w:firstLineChars="200"/>
        <w:jc w:val="left"/>
        <w:textAlignment w:val="baseline"/>
        <w:rPr>
          <w:rStyle w:val="973"/>
          <w:rFonts w:ascii="宋体" w:hAnsi="宋体"/>
          <w:color w:val="auto"/>
          <w:sz w:val="24"/>
          <w:highlight w:val="none"/>
        </w:rPr>
      </w:pPr>
      <w:r>
        <w:rPr>
          <w:rStyle w:val="972"/>
          <w:rFonts w:ascii="宋体" w:hAnsi="宋体"/>
          <w:color w:val="auto"/>
          <w:sz w:val="24"/>
          <w:highlight w:val="none"/>
        </w:rPr>
        <w:t>100万元×1.5%+</w:t>
      </w:r>
      <w:r>
        <w:rPr>
          <w:rStyle w:val="972"/>
          <w:rFonts w:hint="eastAsia" w:ascii="宋体" w:hAnsi="宋体"/>
          <w:color w:val="auto"/>
          <w:sz w:val="24"/>
          <w:highlight w:val="none"/>
        </w:rPr>
        <w:t>400</w:t>
      </w:r>
      <w:r>
        <w:rPr>
          <w:rStyle w:val="972"/>
          <w:rFonts w:ascii="宋体" w:hAnsi="宋体"/>
          <w:color w:val="auto"/>
          <w:sz w:val="24"/>
          <w:highlight w:val="none"/>
        </w:rPr>
        <w:t>万元×0.80%+</w:t>
      </w:r>
      <w:r>
        <w:rPr>
          <w:rStyle w:val="972"/>
          <w:rFonts w:hint="eastAsia" w:ascii="宋体" w:hAnsi="宋体"/>
          <w:color w:val="auto"/>
          <w:sz w:val="24"/>
          <w:highlight w:val="none"/>
        </w:rPr>
        <w:t>500</w:t>
      </w:r>
      <w:r>
        <w:rPr>
          <w:rStyle w:val="972"/>
          <w:rFonts w:ascii="宋体" w:hAnsi="宋体"/>
          <w:color w:val="auto"/>
          <w:sz w:val="24"/>
          <w:highlight w:val="none"/>
        </w:rPr>
        <w:t>万元×0.</w:t>
      </w:r>
      <w:r>
        <w:rPr>
          <w:rStyle w:val="972"/>
          <w:rFonts w:hint="eastAsia" w:ascii="宋体" w:hAnsi="宋体"/>
          <w:color w:val="auto"/>
          <w:sz w:val="24"/>
          <w:highlight w:val="none"/>
        </w:rPr>
        <w:t>45</w:t>
      </w:r>
      <w:r>
        <w:rPr>
          <w:rStyle w:val="972"/>
          <w:rFonts w:ascii="宋体" w:hAnsi="宋体"/>
          <w:color w:val="auto"/>
          <w:sz w:val="24"/>
          <w:highlight w:val="none"/>
        </w:rPr>
        <w:t>%+</w:t>
      </w:r>
      <w:r>
        <w:rPr>
          <w:rStyle w:val="972"/>
          <w:rFonts w:hint="eastAsia" w:ascii="宋体" w:hAnsi="宋体"/>
          <w:color w:val="auto"/>
          <w:sz w:val="24"/>
          <w:highlight w:val="none"/>
          <w:lang w:val="en-US"/>
        </w:rPr>
        <w:t>1000</w:t>
      </w:r>
      <w:r>
        <w:rPr>
          <w:rStyle w:val="972"/>
          <w:rFonts w:ascii="宋体" w:hAnsi="宋体"/>
          <w:color w:val="auto"/>
          <w:sz w:val="24"/>
          <w:highlight w:val="none"/>
        </w:rPr>
        <w:t>万元×0.</w:t>
      </w:r>
      <w:r>
        <w:rPr>
          <w:rStyle w:val="972"/>
          <w:rFonts w:hint="eastAsia" w:ascii="宋体" w:hAnsi="宋体"/>
          <w:color w:val="auto"/>
          <w:sz w:val="24"/>
          <w:highlight w:val="none"/>
        </w:rPr>
        <w:t>25</w:t>
      </w:r>
      <w:r>
        <w:rPr>
          <w:rStyle w:val="972"/>
          <w:rFonts w:ascii="宋体" w:hAnsi="宋体"/>
          <w:color w:val="auto"/>
          <w:sz w:val="24"/>
          <w:highlight w:val="none"/>
        </w:rPr>
        <w:t>%=</w:t>
      </w:r>
      <w:r>
        <w:rPr>
          <w:rStyle w:val="972"/>
          <w:rFonts w:hint="eastAsia" w:ascii="宋体" w:hAnsi="宋体"/>
          <w:color w:val="auto"/>
          <w:sz w:val="24"/>
          <w:highlight w:val="none"/>
        </w:rPr>
        <w:t>94500</w:t>
      </w:r>
      <w:r>
        <w:rPr>
          <w:rStyle w:val="972"/>
          <w:rFonts w:ascii="宋体" w:hAnsi="宋体"/>
          <w:color w:val="auto"/>
          <w:sz w:val="24"/>
          <w:highlight w:val="none"/>
        </w:rPr>
        <w:t>元</w:t>
      </w:r>
    </w:p>
    <w:p>
      <w:pPr>
        <w:snapToGrid w:val="0"/>
        <w:spacing w:line="360" w:lineRule="auto"/>
        <w:ind w:firstLine="600" w:firstLineChars="250"/>
        <w:jc w:val="left"/>
        <w:rPr>
          <w:rFonts w:ascii="宋体" w:hAnsi="宋体"/>
          <w:bCs/>
          <w:color w:val="auto"/>
          <w:sz w:val="24"/>
          <w:highlight w:val="none"/>
          <w:lang w:val="zh-CN"/>
        </w:rPr>
      </w:pPr>
      <w:r>
        <w:rPr>
          <w:rFonts w:hint="eastAsia" w:ascii="宋体" w:hAnsi="宋体"/>
          <w:color w:val="auto"/>
          <w:sz w:val="24"/>
          <w:highlight w:val="none"/>
        </w:rPr>
        <w:t>3、本项目以服务招标收费标准的</w:t>
      </w:r>
      <w:r>
        <w:rPr>
          <w:rFonts w:hint="eastAsia" w:ascii="宋体" w:hAnsi="宋体"/>
          <w:color w:val="auto"/>
          <w:sz w:val="24"/>
          <w:highlight w:val="none"/>
          <w:lang w:val="en-US" w:eastAsia="zh-CN"/>
        </w:rPr>
        <w:t>50</w:t>
      </w:r>
      <w:r>
        <w:rPr>
          <w:rFonts w:hint="eastAsia" w:ascii="宋体" w:hAnsi="宋体"/>
          <w:color w:val="auto"/>
          <w:sz w:val="24"/>
          <w:highlight w:val="none"/>
        </w:rPr>
        <w:t>%收取中标服务费</w:t>
      </w:r>
      <w:r>
        <w:rPr>
          <w:rFonts w:hint="eastAsia" w:ascii="宋体" w:hAnsi="宋体"/>
          <w:bCs/>
          <w:color w:val="auto"/>
          <w:sz w:val="24"/>
          <w:highlight w:val="none"/>
          <w:lang w:val="zh-CN"/>
        </w:rPr>
        <w:t>。</w:t>
      </w:r>
    </w:p>
    <w:p>
      <w:pPr>
        <w:keepNext w:val="0"/>
        <w:keepLines w:val="0"/>
        <w:pageBreakBefore w:val="0"/>
        <w:tabs>
          <w:tab w:val="left" w:pos="1862"/>
        </w:tabs>
        <w:kinsoku/>
        <w:wordWrap/>
        <w:overflowPunct/>
        <w:topLinePunct w:val="0"/>
        <w:autoSpaceDE/>
        <w:autoSpaceDN/>
        <w:bidi w:val="0"/>
        <w:adjustRightInd w:val="0"/>
        <w:snapToGrid w:val="0"/>
        <w:spacing w:line="360" w:lineRule="auto"/>
        <w:ind w:firstLine="1080" w:firstLineChars="450"/>
        <w:jc w:val="left"/>
        <w:textAlignment w:val="auto"/>
        <w:rPr>
          <w:rFonts w:ascii="宋体" w:hAnsi="宋体"/>
          <w:color w:val="auto"/>
          <w:sz w:val="24"/>
          <w:highlight w:val="none"/>
        </w:rPr>
      </w:pPr>
      <w:r>
        <w:rPr>
          <w:rFonts w:hint="eastAsia" w:ascii="宋体" w:hAnsi="宋体"/>
          <w:color w:val="auto"/>
          <w:sz w:val="24"/>
          <w:highlight w:val="none"/>
        </w:rPr>
        <w:t>计收费 = 94500元×</w:t>
      </w:r>
      <w:r>
        <w:rPr>
          <w:rFonts w:hint="eastAsia" w:ascii="宋体" w:hAnsi="宋体"/>
          <w:color w:val="auto"/>
          <w:sz w:val="24"/>
          <w:highlight w:val="none"/>
          <w:lang w:val="en-US" w:eastAsia="zh-CN"/>
        </w:rPr>
        <w:t>50</w:t>
      </w:r>
      <w:r>
        <w:rPr>
          <w:rFonts w:hint="eastAsia" w:ascii="宋体" w:hAnsi="宋体"/>
          <w:color w:val="auto"/>
          <w:sz w:val="24"/>
          <w:highlight w:val="none"/>
        </w:rPr>
        <w:t>%=</w:t>
      </w:r>
      <w:r>
        <w:rPr>
          <w:rFonts w:hint="eastAsia" w:ascii="宋体" w:hAnsi="宋体"/>
          <w:color w:val="auto"/>
          <w:sz w:val="24"/>
          <w:highlight w:val="none"/>
          <w:lang w:val="en-US" w:eastAsia="zh-CN"/>
        </w:rPr>
        <w:t>47250</w:t>
      </w:r>
      <w:r>
        <w:rPr>
          <w:rFonts w:hint="eastAsia" w:ascii="宋体" w:hAnsi="宋体"/>
          <w:color w:val="auto"/>
          <w:sz w:val="24"/>
          <w:highlight w:val="none"/>
        </w:rPr>
        <w:t>元</w:t>
      </w:r>
    </w:p>
    <w:p>
      <w:pPr>
        <w:keepNext w:val="0"/>
        <w:keepLines w:val="0"/>
        <w:pageBreakBefore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4、服务费的货币为人民币。</w:t>
      </w:r>
    </w:p>
    <w:p>
      <w:pPr>
        <w:keepNext w:val="0"/>
        <w:keepLines w:val="0"/>
        <w:pageBreakBefore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pPr>
        <w:keepNext w:val="0"/>
        <w:keepLines w:val="0"/>
        <w:pageBreakBefore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6、服务费以银行划账方式按下列要求提交：</w:t>
      </w:r>
    </w:p>
    <w:p>
      <w:pPr>
        <w:keepNext w:val="0"/>
        <w:keepLines w:val="0"/>
        <w:pageBreakBefore w:val="0"/>
        <w:widowControl/>
        <w:kinsoku/>
        <w:wordWrap/>
        <w:overflowPunct/>
        <w:topLinePunct w:val="0"/>
        <w:autoSpaceDE/>
        <w:autoSpaceDN/>
        <w:bidi w:val="0"/>
        <w:adjustRightInd w:val="0"/>
        <w:snapToGrid w:val="0"/>
        <w:spacing w:line="360" w:lineRule="auto"/>
        <w:ind w:firstLine="1080" w:firstLineChars="450"/>
        <w:jc w:val="left"/>
        <w:textAlignment w:val="auto"/>
        <w:rPr>
          <w:rFonts w:ascii="宋体" w:hAnsi="宋体"/>
          <w:color w:val="auto"/>
          <w:sz w:val="24"/>
          <w:highlight w:val="none"/>
        </w:rPr>
      </w:pPr>
      <w:r>
        <w:rPr>
          <w:rFonts w:hint="eastAsia" w:ascii="宋体" w:hAnsi="宋体"/>
          <w:color w:val="auto"/>
          <w:sz w:val="24"/>
          <w:highlight w:val="none"/>
        </w:rPr>
        <w:t>嘉兴市银建工程咨询评估有限公司嘉善魏塘分公司</w:t>
      </w:r>
    </w:p>
    <w:p>
      <w:pPr>
        <w:keepNext w:val="0"/>
        <w:keepLines w:val="0"/>
        <w:pageBreakBefore w:val="0"/>
        <w:widowControl/>
        <w:kinsoku/>
        <w:wordWrap/>
        <w:overflowPunct/>
        <w:topLinePunct w:val="0"/>
        <w:autoSpaceDE/>
        <w:autoSpaceDN/>
        <w:bidi w:val="0"/>
        <w:adjustRightInd w:val="0"/>
        <w:snapToGrid w:val="0"/>
        <w:spacing w:line="360" w:lineRule="auto"/>
        <w:ind w:firstLine="1080" w:firstLineChars="450"/>
        <w:jc w:val="left"/>
        <w:textAlignment w:val="auto"/>
        <w:rPr>
          <w:rFonts w:ascii="宋体" w:hAnsi="宋体"/>
          <w:color w:val="auto"/>
          <w:sz w:val="24"/>
          <w:highlight w:val="none"/>
        </w:rPr>
      </w:pPr>
      <w:r>
        <w:rPr>
          <w:rFonts w:hint="eastAsia" w:ascii="宋体" w:hAnsi="宋体"/>
          <w:color w:val="auto"/>
          <w:sz w:val="24"/>
          <w:highlight w:val="none"/>
        </w:rPr>
        <w:t>开户行：嘉兴银行股份有限公司长三角一体化示范区(浙江嘉善)支行</w:t>
      </w:r>
    </w:p>
    <w:p>
      <w:pPr>
        <w:keepNext w:val="0"/>
        <w:keepLines w:val="0"/>
        <w:pageBreakBefore w:val="0"/>
        <w:tabs>
          <w:tab w:val="left" w:pos="0"/>
        </w:tabs>
        <w:kinsoku/>
        <w:wordWrap/>
        <w:overflowPunct/>
        <w:topLinePunct w:val="0"/>
        <w:autoSpaceDE/>
        <w:autoSpaceDN/>
        <w:bidi w:val="0"/>
        <w:adjustRightInd w:val="0"/>
        <w:spacing w:line="360" w:lineRule="auto"/>
        <w:ind w:firstLine="1024" w:firstLineChars="427"/>
        <w:textAlignment w:val="auto"/>
        <w:rPr>
          <w:rFonts w:ascii="宋体" w:hAnsi="宋体"/>
          <w:color w:val="auto"/>
          <w:sz w:val="24"/>
          <w:highlight w:val="none"/>
        </w:rPr>
      </w:pPr>
      <w:r>
        <w:rPr>
          <w:rFonts w:hint="eastAsia" w:ascii="宋体" w:hAnsi="宋体"/>
          <w:color w:val="auto"/>
          <w:sz w:val="24"/>
          <w:highlight w:val="none"/>
        </w:rPr>
        <w:t>账号：905101201900074615</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7、服务费支付时间：服务费必须在中标人领取《中标通知书》时一次性付清，如果中标人未能按时交纳服务费，采购代理机构/采购人保留取消其中标资格并追究其法律责任的权利。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8、服务费不在投标报价中单列，由各投标人自行考虑在投标报价中</w:t>
      </w: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both"/>
        <w:rPr>
          <w:rFonts w:hint="eastAsia" w:ascii="仿宋" w:hAnsi="仿宋" w:eastAsia="仿宋" w:cs="仿宋_GB2312"/>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第四章 评标办法及评分标准</w:t>
      </w:r>
    </w:p>
    <w:bookmarkEnd w:id="28"/>
    <w:p>
      <w:pPr>
        <w:keepNext w:val="0"/>
        <w:keepLines w:val="0"/>
        <w:pageBreakBefore w:val="0"/>
        <w:widowControl w:val="0"/>
        <w:kinsoku/>
        <w:wordWrap/>
        <w:overflowPunct/>
        <w:topLinePunct w:val="0"/>
        <w:autoSpaceDE/>
        <w:autoSpaceDN/>
        <w:bidi w:val="0"/>
        <w:adjustRightInd w:val="0"/>
        <w:spacing w:line="336" w:lineRule="auto"/>
        <w:ind w:firstLine="420"/>
        <w:textAlignment w:val="auto"/>
        <w:rPr>
          <w:rFonts w:ascii="宋体" w:hAnsi="宋体" w:cs="宋体"/>
          <w:color w:val="auto"/>
          <w:sz w:val="24"/>
          <w:highlight w:val="none"/>
        </w:rPr>
      </w:pPr>
      <w:bookmarkStart w:id="29"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6"/>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2023年嘉善县生活垃圾焚烧飞灰外运处置项目（第二次）</w:t>
      </w:r>
      <w:r>
        <w:rPr>
          <w:rFonts w:hint="eastAsia" w:ascii="宋体" w:hAnsi="宋体" w:cs="宋体"/>
          <w:color w:val="auto"/>
          <w:sz w:val="24"/>
          <w:highlight w:val="none"/>
        </w:rPr>
        <w:t>的评标。</w:t>
      </w:r>
    </w:p>
    <w:p>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一 、总则</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40</w:t>
      </w:r>
      <w:r>
        <w:rPr>
          <w:rFonts w:hint="eastAsia" w:ascii="宋体" w:hAnsi="宋体"/>
          <w:color w:val="auto"/>
          <w:sz w:val="24"/>
          <w:highlight w:val="none"/>
        </w:rPr>
        <w:t>分、商务技术</w:t>
      </w:r>
      <w:r>
        <w:rPr>
          <w:rFonts w:hint="eastAsia" w:ascii="宋体" w:hAnsi="宋体"/>
          <w:color w:val="auto"/>
          <w:sz w:val="24"/>
          <w:highlight w:val="none"/>
          <w:lang w:val="en-US" w:eastAsia="zh-CN"/>
        </w:rPr>
        <w:t>60</w:t>
      </w:r>
      <w:r>
        <w:rPr>
          <w:rFonts w:hint="eastAsia" w:ascii="宋体" w:hAnsi="宋体"/>
          <w:color w:val="auto"/>
          <w:sz w:val="24"/>
          <w:highlight w:val="none"/>
        </w:rPr>
        <w:t>分（其中：商务资信分</w:t>
      </w:r>
      <w:r>
        <w:rPr>
          <w:rFonts w:hint="eastAsia" w:ascii="宋体" w:hAnsi="宋体"/>
          <w:color w:val="auto"/>
          <w:sz w:val="24"/>
          <w:highlight w:val="none"/>
          <w:lang w:val="en-US" w:eastAsia="zh-CN"/>
        </w:rPr>
        <w:t>19</w:t>
      </w:r>
      <w:r>
        <w:rPr>
          <w:rFonts w:hint="eastAsia" w:ascii="宋体" w:hAnsi="宋体"/>
          <w:color w:val="auto"/>
          <w:sz w:val="24"/>
          <w:highlight w:val="none"/>
        </w:rPr>
        <w:t>分，技术分</w:t>
      </w:r>
      <w:r>
        <w:rPr>
          <w:rFonts w:hint="eastAsia" w:ascii="宋体" w:hAnsi="宋体"/>
          <w:color w:val="auto"/>
          <w:sz w:val="24"/>
          <w:highlight w:val="none"/>
          <w:lang w:val="en-US" w:eastAsia="zh-CN"/>
        </w:rPr>
        <w:t>41</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投标人评标综合得分=价格分+商务技术分</w:t>
      </w:r>
    </w:p>
    <w:p>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b/>
          <w:color w:val="auto"/>
          <w:sz w:val="24"/>
          <w:highlight w:val="none"/>
        </w:rPr>
      </w:pPr>
      <w:r>
        <w:rPr>
          <w:rFonts w:hint="eastAsia" w:ascii="宋体" w:hAnsi="宋体"/>
          <w:b/>
          <w:color w:val="auto"/>
          <w:sz w:val="24"/>
          <w:highlight w:val="none"/>
        </w:rPr>
        <w:t>二、评标内容及标准</w:t>
      </w:r>
    </w:p>
    <w:p>
      <w:pPr>
        <w:pStyle w:val="26"/>
        <w:keepNext w:val="0"/>
        <w:keepLines w:val="0"/>
        <w:pageBreakBefore w:val="0"/>
        <w:widowControl w:val="0"/>
        <w:kinsoku/>
        <w:wordWrap/>
        <w:overflowPunct/>
        <w:topLinePunct w:val="0"/>
        <w:autoSpaceDE/>
        <w:autoSpaceDN/>
        <w:bidi w:val="0"/>
        <w:adjustRightInd w:val="0"/>
        <w:spacing w:line="336" w:lineRule="auto"/>
        <w:ind w:firstLine="482"/>
        <w:textAlignment w:val="auto"/>
        <w:rPr>
          <w:b/>
          <w:bCs/>
          <w:color w:val="auto"/>
          <w:highlight w:val="none"/>
        </w:rPr>
      </w:pPr>
      <w:r>
        <w:rPr>
          <w:b/>
          <w:color w:val="auto"/>
          <w:highlight w:val="none"/>
        </w:rPr>
        <w:t>（一）</w:t>
      </w:r>
      <w:r>
        <w:rPr>
          <w:b/>
          <w:bCs/>
          <w:color w:val="auto"/>
          <w:highlight w:val="none"/>
        </w:rPr>
        <w:t>价格分（</w:t>
      </w:r>
      <w:r>
        <w:rPr>
          <w:rFonts w:hint="eastAsia"/>
          <w:b/>
          <w:bCs/>
          <w:color w:val="auto"/>
          <w:highlight w:val="none"/>
          <w:lang w:val="en-US" w:eastAsia="zh-CN"/>
        </w:rPr>
        <w:t>40</w:t>
      </w:r>
      <w:r>
        <w:rPr>
          <w:rFonts w:hint="eastAsia"/>
          <w:b/>
          <w:bCs/>
          <w:color w:val="auto"/>
          <w:highlight w:val="none"/>
        </w:rPr>
        <w:t>分）</w:t>
      </w:r>
    </w:p>
    <w:p>
      <w:pPr>
        <w:pStyle w:val="26"/>
        <w:keepNext w:val="0"/>
        <w:keepLines w:val="0"/>
        <w:pageBreakBefore w:val="0"/>
        <w:widowControl w:val="0"/>
        <w:kinsoku/>
        <w:wordWrap/>
        <w:overflowPunct/>
        <w:topLinePunct w:val="0"/>
        <w:autoSpaceDE/>
        <w:autoSpaceDN/>
        <w:bidi w:val="0"/>
        <w:adjustRightInd w:val="0"/>
        <w:spacing w:line="336" w:lineRule="auto"/>
        <w:textAlignment w:val="auto"/>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Ansi="宋体"/>
          <w:bCs/>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40</w:t>
      </w:r>
      <w:r>
        <w:rPr>
          <w:rFonts w:hint="eastAsia" w:ascii="宋体" w:hAnsi="宋体"/>
          <w:color w:val="auto"/>
          <w:sz w:val="24"/>
          <w:highlight w:val="none"/>
        </w:rPr>
        <w:t>%×100</w:t>
      </w:r>
    </w:p>
    <w:p>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Ansi="宋体"/>
          <w:bCs/>
          <w:color w:val="auto"/>
          <w:sz w:val="24"/>
          <w:highlight w:val="none"/>
        </w:rPr>
      </w:pPr>
      <w:r>
        <w:rPr>
          <w:rFonts w:hint="eastAsia" w:hAnsi="宋体"/>
          <w:bCs/>
          <w:color w:val="auto"/>
          <w:sz w:val="24"/>
          <w:highlight w:val="none"/>
        </w:rPr>
        <w:t>2.投标人的投标报价超过采购人设定的最高限价及单价上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keepNext w:val="0"/>
        <w:keepLines w:val="0"/>
        <w:pageBreakBefore w:val="0"/>
        <w:widowControl w:val="0"/>
        <w:kinsoku/>
        <w:wordWrap/>
        <w:overflowPunct/>
        <w:topLinePunct w:val="0"/>
        <w:autoSpaceDE/>
        <w:autoSpaceDN/>
        <w:bidi w:val="0"/>
        <w:adjustRightInd w:val="0"/>
        <w:spacing w:before="120" w:beforeLines="50" w:after="120" w:afterLines="50" w:line="336" w:lineRule="auto"/>
        <w:ind w:firstLine="482"/>
        <w:textAlignment w:val="auto"/>
        <w:rPr>
          <w:rFonts w:cs="宋体"/>
          <w:b/>
          <w:color w:val="auto"/>
          <w:highlight w:val="none"/>
        </w:rPr>
      </w:pPr>
      <w:r>
        <w:rPr>
          <w:rFonts w:hint="eastAsia" w:cs="宋体"/>
          <w:b/>
          <w:color w:val="auto"/>
          <w:highlight w:val="none"/>
        </w:rPr>
        <w:t>（二）</w:t>
      </w:r>
      <w:r>
        <w:rPr>
          <w:rFonts w:hint="eastAsia" w:cs="宋体"/>
          <w:b/>
          <w:color w:val="auto"/>
          <w:highlight w:val="none"/>
          <w:lang w:eastAsia="zh-CN"/>
        </w:rPr>
        <w:t>技术及</w:t>
      </w:r>
      <w:r>
        <w:rPr>
          <w:rFonts w:hint="eastAsia" w:cs="宋体"/>
          <w:b/>
          <w:color w:val="auto"/>
          <w:highlight w:val="none"/>
        </w:rPr>
        <w:t>商务资信分（</w:t>
      </w:r>
      <w:r>
        <w:rPr>
          <w:rFonts w:hint="eastAsia" w:cs="宋体"/>
          <w:b/>
          <w:color w:val="auto"/>
          <w:highlight w:val="none"/>
          <w:lang w:val="en-US" w:eastAsia="zh-CN"/>
        </w:rPr>
        <w:t>60</w:t>
      </w:r>
      <w:r>
        <w:rPr>
          <w:rFonts w:hint="eastAsia" w:cs="宋体"/>
          <w:b/>
          <w:color w:val="auto"/>
          <w:highlight w:val="none"/>
        </w:rPr>
        <w:t>分）</w:t>
      </w:r>
    </w:p>
    <w:tbl>
      <w:tblPr>
        <w:tblStyle w:val="65"/>
        <w:tblW w:w="9923" w:type="dxa"/>
        <w:tblInd w:w="-34" w:type="dxa"/>
        <w:tblLayout w:type="fixed"/>
        <w:tblCellMar>
          <w:top w:w="0" w:type="dxa"/>
          <w:left w:w="108" w:type="dxa"/>
          <w:bottom w:w="0" w:type="dxa"/>
          <w:right w:w="108" w:type="dxa"/>
        </w:tblCellMar>
      </w:tblPr>
      <w:tblGrid>
        <w:gridCol w:w="807"/>
        <w:gridCol w:w="1041"/>
        <w:gridCol w:w="851"/>
        <w:gridCol w:w="1493"/>
        <w:gridCol w:w="863"/>
        <w:gridCol w:w="4868"/>
      </w:tblGrid>
      <w:tr>
        <w:tblPrEx>
          <w:tblCellMar>
            <w:top w:w="0" w:type="dxa"/>
            <w:left w:w="108" w:type="dxa"/>
            <w:bottom w:w="0" w:type="dxa"/>
            <w:right w:w="108" w:type="dxa"/>
          </w:tblCellMar>
        </w:tblPrEx>
        <w:trPr>
          <w:trHeight w:val="582"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评分类型</w:t>
            </w:r>
          </w:p>
        </w:tc>
        <w:tc>
          <w:tcPr>
            <w:tcW w:w="23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评分项目</w:t>
            </w:r>
          </w:p>
        </w:tc>
        <w:tc>
          <w:tcPr>
            <w:tcW w:w="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（分）</w:t>
            </w:r>
          </w:p>
        </w:tc>
        <w:tc>
          <w:tcPr>
            <w:tcW w:w="48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评分内容及标准</w:t>
            </w:r>
          </w:p>
        </w:tc>
      </w:tr>
      <w:tr>
        <w:tblPrEx>
          <w:tblCellMar>
            <w:top w:w="0" w:type="dxa"/>
            <w:left w:w="108" w:type="dxa"/>
            <w:bottom w:w="0" w:type="dxa"/>
            <w:right w:w="108" w:type="dxa"/>
          </w:tblCellMar>
        </w:tblPrEx>
        <w:trPr>
          <w:trHeight w:val="582"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tc>
        <w:tc>
          <w:tcPr>
            <w:tcW w:w="23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总体设想</w:t>
            </w:r>
          </w:p>
        </w:tc>
        <w:tc>
          <w:tcPr>
            <w:tcW w:w="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486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bCs/>
                <w:color w:val="auto"/>
                <w:szCs w:val="21"/>
                <w:highlight w:val="none"/>
              </w:rPr>
            </w:pPr>
            <w:r>
              <w:rPr>
                <w:rFonts w:hint="eastAsia" w:ascii="宋体" w:hAnsi="宋体" w:cs="宋体"/>
                <w:color w:val="auto"/>
                <w:kern w:val="0"/>
                <w:szCs w:val="21"/>
                <w:highlight w:val="none"/>
                <w:lang w:val="en-US" w:eastAsia="zh-CN"/>
              </w:rPr>
              <w:t>根据投标人对本项目需求的理解、重点要点分析、总体作业设想及应对措施、合理化建议等评分。</w:t>
            </w:r>
          </w:p>
        </w:tc>
      </w:tr>
      <w:tr>
        <w:tblPrEx>
          <w:tblCellMar>
            <w:top w:w="0" w:type="dxa"/>
            <w:left w:w="108" w:type="dxa"/>
            <w:bottom w:w="0" w:type="dxa"/>
            <w:right w:w="108" w:type="dxa"/>
          </w:tblCellMar>
        </w:tblPrEx>
        <w:trPr>
          <w:trHeight w:val="711" w:hRule="atLeast"/>
        </w:trPr>
        <w:tc>
          <w:tcPr>
            <w:tcW w:w="80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tc>
        <w:tc>
          <w:tcPr>
            <w:tcW w:w="851"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飞灰处置方案</w:t>
            </w:r>
          </w:p>
        </w:tc>
        <w:tc>
          <w:tcPr>
            <w:tcW w:w="14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工艺流程</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48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根据投标人飞灰</w:t>
            </w:r>
            <w:r>
              <w:rPr>
                <w:rFonts w:hint="eastAsia" w:ascii="宋体" w:hAnsi="宋体" w:cs="宋体"/>
                <w:color w:val="auto"/>
                <w:kern w:val="0"/>
                <w:szCs w:val="21"/>
                <w:highlight w:val="none"/>
                <w:lang w:val="zh-CN"/>
              </w:rPr>
              <w:t>处置方案的</w:t>
            </w:r>
            <w:r>
              <w:rPr>
                <w:rFonts w:hint="eastAsia" w:ascii="宋体" w:hAnsi="宋体" w:cs="宋体"/>
                <w:color w:val="auto"/>
                <w:kern w:val="0"/>
                <w:szCs w:val="21"/>
                <w:highlight w:val="none"/>
                <w:lang w:val="en-US" w:eastAsia="zh-CN"/>
              </w:rPr>
              <w:t>整个</w:t>
            </w:r>
            <w:r>
              <w:rPr>
                <w:rFonts w:hint="eastAsia" w:ascii="宋体" w:hAnsi="宋体" w:cs="宋体"/>
                <w:color w:val="auto"/>
                <w:kern w:val="0"/>
                <w:szCs w:val="21"/>
                <w:highlight w:val="none"/>
                <w:lang w:val="zh-CN"/>
              </w:rPr>
              <w:t>工艺流程</w:t>
            </w:r>
            <w:r>
              <w:rPr>
                <w:rFonts w:hint="eastAsia" w:ascii="宋体" w:hAnsi="宋体" w:cs="宋体"/>
                <w:color w:val="auto"/>
                <w:kern w:val="0"/>
                <w:szCs w:val="21"/>
                <w:highlight w:val="none"/>
                <w:lang w:val="en-US" w:eastAsia="zh-CN"/>
              </w:rPr>
              <w:t>、技术成熟度</w:t>
            </w:r>
            <w:r>
              <w:rPr>
                <w:rFonts w:hint="eastAsia" w:ascii="宋体" w:hAnsi="宋体" w:cs="宋体"/>
                <w:color w:val="auto"/>
                <w:kern w:val="0"/>
                <w:szCs w:val="21"/>
                <w:highlight w:val="none"/>
              </w:rPr>
              <w:t>等评分。</w:t>
            </w:r>
          </w:p>
        </w:tc>
      </w:tr>
      <w:tr>
        <w:tblPrEx>
          <w:tblCellMar>
            <w:top w:w="0" w:type="dxa"/>
            <w:left w:w="108" w:type="dxa"/>
            <w:bottom w:w="0" w:type="dxa"/>
            <w:right w:w="108" w:type="dxa"/>
          </w:tblCellMar>
        </w:tblPrEx>
        <w:trPr>
          <w:trHeight w:val="694"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tc>
        <w:tc>
          <w:tcPr>
            <w:tcW w:w="851"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Cs w:val="21"/>
                <w:highlight w:val="none"/>
              </w:rPr>
            </w:pPr>
          </w:p>
        </w:tc>
        <w:tc>
          <w:tcPr>
            <w:tcW w:w="14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飞灰处置设备</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48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根据投标人飞灰处置设备的先进性、稳定性、安全性等进评分。</w:t>
            </w:r>
          </w:p>
        </w:tc>
      </w:tr>
      <w:tr>
        <w:tblPrEx>
          <w:tblCellMar>
            <w:top w:w="0" w:type="dxa"/>
            <w:left w:w="108" w:type="dxa"/>
            <w:bottom w:w="0" w:type="dxa"/>
            <w:right w:w="108" w:type="dxa"/>
          </w:tblCellMar>
        </w:tblPrEx>
        <w:trPr>
          <w:trHeight w:val="767"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tc>
        <w:tc>
          <w:tcPr>
            <w:tcW w:w="85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Cs w:val="21"/>
                <w:highlight w:val="none"/>
              </w:rPr>
            </w:pPr>
          </w:p>
        </w:tc>
        <w:tc>
          <w:tcPr>
            <w:tcW w:w="14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飞灰资源化利用</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4868"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根据投标人飞灰经过无害化处理后产生的残渣（尾渣）作资源化利用的成熟度、稳定性、安全性等评分。</w:t>
            </w:r>
          </w:p>
        </w:tc>
      </w:tr>
      <w:tr>
        <w:tblPrEx>
          <w:tblCellMar>
            <w:top w:w="0" w:type="dxa"/>
            <w:left w:w="108" w:type="dxa"/>
            <w:bottom w:w="0" w:type="dxa"/>
            <w:right w:w="108" w:type="dxa"/>
          </w:tblCellMar>
        </w:tblPrEx>
        <w:trPr>
          <w:trHeight w:val="606"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技术</w:t>
            </w:r>
          </w:p>
        </w:tc>
        <w:tc>
          <w:tcPr>
            <w:tcW w:w="2344" w:type="dxa"/>
            <w:gridSpan w:val="2"/>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运输方案</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48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根据投标人飞灰运输方案的安全、高效、便捷、合理，确保日产日清等方案措施等评分。</w:t>
            </w:r>
          </w:p>
        </w:tc>
      </w:tr>
      <w:tr>
        <w:tblPrEx>
          <w:tblCellMar>
            <w:top w:w="0" w:type="dxa"/>
            <w:left w:w="108" w:type="dxa"/>
            <w:bottom w:w="0" w:type="dxa"/>
            <w:right w:w="108" w:type="dxa"/>
          </w:tblCellMar>
        </w:tblPrEx>
        <w:trPr>
          <w:trHeight w:val="532"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技术</w:t>
            </w:r>
          </w:p>
        </w:tc>
        <w:tc>
          <w:tcPr>
            <w:tcW w:w="2344" w:type="dxa"/>
            <w:gridSpan w:val="2"/>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环保保障措施</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lang w:val="zh-CN" w:eastAsia="zh-CN"/>
              </w:rPr>
            </w:pPr>
            <w:r>
              <w:rPr>
                <w:rFonts w:hint="eastAsia" w:ascii="宋体" w:hAnsi="宋体" w:cs="宋体"/>
                <w:color w:val="auto"/>
                <w:kern w:val="0"/>
                <w:szCs w:val="21"/>
                <w:highlight w:val="none"/>
                <w:lang w:val="en-US" w:eastAsia="zh-CN"/>
              </w:rPr>
              <w:t>4</w:t>
            </w:r>
          </w:p>
        </w:tc>
        <w:tc>
          <w:tcPr>
            <w:tcW w:w="48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根据投标人在飞灰运输、处置等环节为达到招标环保要求作出的相关保证措施等评分。</w:t>
            </w:r>
          </w:p>
        </w:tc>
      </w:tr>
      <w:tr>
        <w:tblPrEx>
          <w:tblCellMar>
            <w:top w:w="0" w:type="dxa"/>
            <w:left w:w="108" w:type="dxa"/>
            <w:bottom w:w="0" w:type="dxa"/>
            <w:right w:w="108" w:type="dxa"/>
          </w:tblCellMar>
        </w:tblPrEx>
        <w:trPr>
          <w:trHeight w:val="694"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技术</w:t>
            </w:r>
          </w:p>
        </w:tc>
        <w:tc>
          <w:tcPr>
            <w:tcW w:w="2344" w:type="dxa"/>
            <w:gridSpan w:val="2"/>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安全保障措施</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48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根据投标人在飞灰运输、处置等环节所采取的安全保障措施以及全过程中造成的安全事故和损失责任的承诺等评分。</w:t>
            </w:r>
          </w:p>
        </w:tc>
      </w:tr>
      <w:tr>
        <w:tblPrEx>
          <w:tblCellMar>
            <w:top w:w="0" w:type="dxa"/>
            <w:left w:w="108" w:type="dxa"/>
            <w:bottom w:w="0" w:type="dxa"/>
            <w:right w:w="108" w:type="dxa"/>
          </w:tblCellMar>
        </w:tblPrEx>
        <w:trPr>
          <w:trHeight w:val="632"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技术</w:t>
            </w:r>
          </w:p>
        </w:tc>
        <w:tc>
          <w:tcPr>
            <w:tcW w:w="2344" w:type="dxa"/>
            <w:gridSpan w:val="2"/>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zh-CN" w:eastAsia="zh-CN"/>
              </w:rPr>
              <w:t>突发事件应急处理措施</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48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根据投标人在项目实施过程中可能出现的突发事件及对应的紧急预案等评分。</w:t>
            </w:r>
          </w:p>
        </w:tc>
      </w:tr>
      <w:tr>
        <w:tblPrEx>
          <w:tblCellMar>
            <w:top w:w="0" w:type="dxa"/>
            <w:left w:w="108" w:type="dxa"/>
            <w:bottom w:w="0" w:type="dxa"/>
            <w:right w:w="108" w:type="dxa"/>
          </w:tblCellMar>
        </w:tblPrEx>
        <w:trPr>
          <w:trHeight w:val="834"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技术</w:t>
            </w:r>
          </w:p>
        </w:tc>
        <w:tc>
          <w:tcPr>
            <w:tcW w:w="2344" w:type="dxa"/>
            <w:gridSpan w:val="2"/>
            <w:tcBorders>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飞灰运输能力</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48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拟投标本项目运输车辆2辆及以上且满足招标要求，车辆所有人为投标人或分包单位的，得2分。（车辆行驶证复印件提供在资信商务及技术文件中，要求清晰可辨，否则不得分。）</w:t>
            </w:r>
          </w:p>
        </w:tc>
      </w:tr>
      <w:tr>
        <w:tblPrEx>
          <w:tblCellMar>
            <w:top w:w="0" w:type="dxa"/>
            <w:left w:w="108" w:type="dxa"/>
            <w:bottom w:w="0" w:type="dxa"/>
            <w:right w:w="108" w:type="dxa"/>
          </w:tblCellMar>
        </w:tblPrEx>
        <w:trPr>
          <w:trHeight w:val="881"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技术</w:t>
            </w:r>
          </w:p>
        </w:tc>
        <w:tc>
          <w:tcPr>
            <w:tcW w:w="2344" w:type="dxa"/>
            <w:gridSpan w:val="2"/>
            <w:tcBorders>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技术力量</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4868"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根据拟投入的项目人员的资格证（如有）、职称证明（如有）和社保证明，由评审小组判定评分，最高得4分。</w:t>
            </w:r>
          </w:p>
        </w:tc>
      </w:tr>
      <w:tr>
        <w:tblPrEx>
          <w:tblCellMar>
            <w:top w:w="0" w:type="dxa"/>
            <w:left w:w="108" w:type="dxa"/>
            <w:bottom w:w="0" w:type="dxa"/>
            <w:right w:w="108" w:type="dxa"/>
          </w:tblCellMar>
        </w:tblPrEx>
        <w:trPr>
          <w:trHeight w:val="594"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商务资信</w:t>
            </w:r>
          </w:p>
        </w:tc>
        <w:tc>
          <w:tcPr>
            <w:tcW w:w="2344" w:type="dxa"/>
            <w:gridSpan w:val="2"/>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olor w:val="auto"/>
                <w:szCs w:val="21"/>
                <w:highlight w:val="none"/>
              </w:rPr>
            </w:pPr>
            <w:r>
              <w:rPr>
                <w:rFonts w:hint="eastAsia" w:ascii="宋体" w:hAnsi="宋体" w:cs="宋体"/>
                <w:color w:val="auto"/>
                <w:kern w:val="0"/>
                <w:szCs w:val="21"/>
                <w:highlight w:val="none"/>
              </w:rPr>
              <w:t>企业实力</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48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根据投标人的荣誉、获得的证书等情况酌情评分。</w:t>
            </w:r>
          </w:p>
        </w:tc>
      </w:tr>
      <w:tr>
        <w:tblPrEx>
          <w:tblCellMar>
            <w:top w:w="0" w:type="dxa"/>
            <w:left w:w="108" w:type="dxa"/>
            <w:bottom w:w="0" w:type="dxa"/>
            <w:right w:w="108" w:type="dxa"/>
          </w:tblCellMar>
        </w:tblPrEx>
        <w:trPr>
          <w:trHeight w:val="1260"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商务资信</w:t>
            </w:r>
          </w:p>
        </w:tc>
        <w:tc>
          <w:tcPr>
            <w:tcW w:w="23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诚信度</w:t>
            </w:r>
          </w:p>
        </w:tc>
        <w:tc>
          <w:tcPr>
            <w:tcW w:w="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8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根据投标人在投标截止时间止前三年是否受到行政处罚、行政处理（含通报）、列入不良行为、经营异常或在政府采购专项检查、合同履约验收过程中的诚信情况评分。</w:t>
            </w:r>
          </w:p>
        </w:tc>
      </w:tr>
      <w:tr>
        <w:tblPrEx>
          <w:tblCellMar>
            <w:top w:w="0" w:type="dxa"/>
            <w:left w:w="108" w:type="dxa"/>
            <w:bottom w:w="0" w:type="dxa"/>
            <w:right w:w="108" w:type="dxa"/>
          </w:tblCellMar>
        </w:tblPrEx>
        <w:trPr>
          <w:trHeight w:val="678"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商务资信</w:t>
            </w:r>
          </w:p>
        </w:tc>
        <w:tc>
          <w:tcPr>
            <w:tcW w:w="23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同类项目业绩</w:t>
            </w:r>
          </w:p>
        </w:tc>
        <w:tc>
          <w:tcPr>
            <w:tcW w:w="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48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根据提供的 2020年1月以来承接的同类项目合同及相应项目的验收资料，每提供一个得1分，最多得4分。（合同、验收资料复印件同时提供在资信商务及技术文件中，要求清晰可辨，否则不得分。）</w:t>
            </w:r>
          </w:p>
        </w:tc>
      </w:tr>
      <w:tr>
        <w:tblPrEx>
          <w:tblCellMar>
            <w:top w:w="0" w:type="dxa"/>
            <w:left w:w="108" w:type="dxa"/>
            <w:bottom w:w="0" w:type="dxa"/>
            <w:right w:w="108" w:type="dxa"/>
          </w:tblCellMar>
        </w:tblPrEx>
        <w:trPr>
          <w:trHeight w:val="678"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商务资信</w:t>
            </w:r>
          </w:p>
        </w:tc>
        <w:tc>
          <w:tcPr>
            <w:tcW w:w="23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服务承诺</w:t>
            </w:r>
          </w:p>
        </w:tc>
        <w:tc>
          <w:tcPr>
            <w:tcW w:w="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48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根据投标人对本项目提供的服务期内的各项服务承诺、响应措施、优惠承诺等情况评分。</w:t>
            </w:r>
          </w:p>
        </w:tc>
      </w:tr>
      <w:tr>
        <w:tblPrEx>
          <w:tblCellMar>
            <w:top w:w="0" w:type="dxa"/>
            <w:left w:w="108" w:type="dxa"/>
            <w:bottom w:w="0" w:type="dxa"/>
            <w:right w:w="108" w:type="dxa"/>
          </w:tblCellMar>
        </w:tblPrEx>
        <w:trPr>
          <w:trHeight w:val="1715"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商务资信</w:t>
            </w:r>
          </w:p>
        </w:tc>
        <w:tc>
          <w:tcPr>
            <w:tcW w:w="23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经营能力 </w:t>
            </w:r>
          </w:p>
        </w:tc>
        <w:tc>
          <w:tcPr>
            <w:tcW w:w="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8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投标人核准经营能力（吨/年）：4万(不含)-5万(含)的，得1分；5万(不含)-6万(含)的，得2分；6万以上的，得3分。</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（以投标人具有的危险废物经营许可证上核准经营能力为得分依据，相关证书复印件提供在资信商务及技术文件中，要求清晰可辨，否则不得分。）</w:t>
            </w:r>
          </w:p>
        </w:tc>
      </w:tr>
      <w:tr>
        <w:tblPrEx>
          <w:tblCellMar>
            <w:top w:w="0" w:type="dxa"/>
            <w:left w:w="108" w:type="dxa"/>
            <w:bottom w:w="0" w:type="dxa"/>
            <w:right w:w="108" w:type="dxa"/>
          </w:tblCellMar>
        </w:tblPrEx>
        <w:trPr>
          <w:trHeight w:val="2103" w:hRule="atLeast"/>
        </w:trPr>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商务资信</w:t>
            </w:r>
          </w:p>
        </w:tc>
        <w:tc>
          <w:tcPr>
            <w:tcW w:w="23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飞灰运输能力</w:t>
            </w:r>
          </w:p>
        </w:tc>
        <w:tc>
          <w:tcPr>
            <w:tcW w:w="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48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具有道路运输经营许可证（证书经营范围‬必须包括危险货物运输6.1项‬、第9类‬）或与具有道路运输经营许可证（证书经营范围‬必须包括危险货物运输6.1项‬、第9类‬）的运输单位已签订“分包意向协议”的得3分，没有不得分。</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（道路运输经营许可证、分包意向协议（仅限委托运输的投标人提供）复印件提供在资信商务及技术文件中，要求清晰可辨，否则不得分。）</w:t>
            </w:r>
          </w:p>
        </w:tc>
      </w:tr>
    </w:tbl>
    <w:p>
      <w:pPr>
        <w:pStyle w:val="4"/>
        <w:spacing w:line="480" w:lineRule="exact"/>
        <w:ind w:left="0" w:firstLine="0"/>
        <w:rPr>
          <w:color w:val="auto"/>
          <w:sz w:val="24"/>
          <w:szCs w:val="24"/>
          <w:highlight w:val="none"/>
        </w:rPr>
      </w:pPr>
      <w:r>
        <w:rPr>
          <w:rFonts w:hint="eastAsia"/>
          <w:color w:val="auto"/>
          <w:sz w:val="24"/>
          <w:szCs w:val="24"/>
          <w:highlight w:val="none"/>
        </w:rPr>
        <w:t>注：以上项目若缺项，则该项得0分。</w:t>
      </w:r>
    </w:p>
    <w:p>
      <w:pPr>
        <w:spacing w:before="120" w:beforeLines="50" w:line="360" w:lineRule="auto"/>
        <w:jc w:val="both"/>
        <w:rPr>
          <w:rFonts w:hint="eastAsia" w:ascii="仿宋" w:hAnsi="仿宋" w:eastAsia="仿宋" w:cs="仿宋_GB2312"/>
          <w:b/>
          <w:color w:val="auto"/>
          <w:sz w:val="36"/>
          <w:szCs w:val="36"/>
          <w:highlight w:val="none"/>
        </w:rPr>
      </w:pPr>
    </w:p>
    <w:p>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善财采确临[2023]</w:t>
      </w:r>
      <w:r>
        <w:rPr>
          <w:rFonts w:hint="eastAsia" w:ascii="宋体" w:hAnsi="宋体" w:cs="Arial"/>
          <w:color w:val="auto"/>
          <w:kern w:val="0"/>
          <w:sz w:val="24"/>
          <w:highlight w:val="none"/>
          <w:lang w:val="en-US" w:eastAsia="zh-CN"/>
        </w:rPr>
        <w:t>1328</w:t>
      </w:r>
      <w:r>
        <w:rPr>
          <w:rFonts w:hint="eastAsia" w:ascii="宋体" w:hAnsi="宋体" w:cs="Arial"/>
          <w:color w:val="auto"/>
          <w:kern w:val="0"/>
          <w:sz w:val="24"/>
          <w:highlight w:val="none"/>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Arial"/>
          <w:color w:val="auto"/>
          <w:kern w:val="0"/>
          <w:sz w:val="24"/>
          <w:highlight w:val="none"/>
          <w:lang w:val="en-US" w:eastAsia="zh-CN"/>
        </w:rPr>
        <w:t>2400</w:t>
      </w:r>
      <w:r>
        <w:rPr>
          <w:rFonts w:hint="eastAsia" w:ascii="宋体" w:hAnsi="宋体" w:cs="Arial"/>
          <w:color w:val="auto"/>
          <w:kern w:val="0"/>
          <w:sz w:val="24"/>
          <w:highlight w:val="none"/>
          <w:lang w:eastAsia="zh-CN"/>
        </w:rPr>
        <w:t>.00</w:t>
      </w:r>
      <w:r>
        <w:rPr>
          <w:rFonts w:hint="eastAsia" w:ascii="宋体" w:hAnsi="宋体" w:cs="Arial"/>
          <w:color w:val="auto"/>
          <w:kern w:val="0"/>
          <w:sz w:val="24"/>
          <w:highlight w:val="none"/>
        </w:rPr>
        <w:t>万元/年度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嘉善县住房和城乡建设局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JXYJ2023015</w:t>
      </w:r>
      <w:r>
        <w:rPr>
          <w:rFonts w:hint="eastAsia" w:ascii="宋体" w:hAnsi="宋体" w:cs="宋体"/>
          <w:color w:val="auto"/>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bookmarkStart w:id="31" w:name="_GoBack"/>
      <w:r>
        <w:rPr>
          <w:rFonts w:hint="eastAsia" w:ascii="宋体" w:hAnsi="宋体" w:cs="宋体"/>
          <w:color w:val="auto"/>
          <w:kern w:val="0"/>
          <w:sz w:val="24"/>
          <w:highlight w:val="none"/>
          <w:u w:val="single"/>
          <w:lang w:eastAsia="zh-CN"/>
        </w:rPr>
        <w:t>2023</w:t>
      </w:r>
      <w:bookmarkEnd w:id="31"/>
      <w:r>
        <w:rPr>
          <w:rFonts w:hint="eastAsia" w:ascii="宋体" w:hAnsi="宋体" w:cs="宋体"/>
          <w:color w:val="auto"/>
          <w:kern w:val="0"/>
          <w:sz w:val="24"/>
          <w:highlight w:val="none"/>
          <w:u w:val="single"/>
          <w:lang w:eastAsia="zh-CN"/>
        </w:rPr>
        <w:t>年嘉善县生活垃圾焚烧飞灰外运处置项目（第二次）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lang w:eastAsia="zh-CN"/>
        </w:rPr>
        <w:t>2023年嘉善县生活垃圾焚烧飞灰外运处置项目（第二次）</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2、本合同总价款含所有税费(包括完成本次招标内容所需的人工、材料、机械、过境费、燃油费、保险、管理费、利润、税金、招标代理费等所有费用</w:t>
      </w:r>
      <w:r>
        <w:rPr>
          <w:rFonts w:hint="eastAsia" w:ascii="宋体" w:hAnsi="宋体" w:cs="Arial"/>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（3）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（1）预算管理资金；（2）专户管理资金；（3）其他资金；（4）预算管理资金赞存；（5）专户管理资金赞存；（6）收入退库；（7）专项专户资金。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（3）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①</w:t>
      </w:r>
      <w:r>
        <w:rPr>
          <w:rFonts w:hint="eastAsia" w:ascii="宋体" w:hAnsi="宋体" w:cs="宋体"/>
          <w:color w:val="auto"/>
          <w:kern w:val="0"/>
          <w:sz w:val="24"/>
          <w:highlight w:val="none"/>
        </w:rPr>
        <w:t>.结算方式：按月结算，单价固定（按中标单价），数量按实结算（考核</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rPr>
        <w:t>中另有约定的按考核</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eastAsia="zh-CN"/>
        </w:rPr>
        <w:t>②</w:t>
      </w:r>
      <w:r>
        <w:rPr>
          <w:rFonts w:hint="eastAsia" w:ascii="宋体" w:hAnsi="宋体" w:cs="宋体"/>
          <w:color w:val="auto"/>
          <w:kern w:val="0"/>
          <w:sz w:val="24"/>
          <w:highlight w:val="none"/>
        </w:rPr>
        <w:t>.中标供应商应做好运输记录，飞灰需要进行进、出厂过磅。重量确认以嘉善伟明环保能源有限公司地磅数据为准作为结算依据。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签订合同前中标人应向采购人交纳合同金额的1%作为履约保证金，履约保证金在合同履行完毕后一个月内无息退还。履约保证金形式按国家规定形式（现金、银行保函、</w:t>
      </w:r>
      <w:r>
        <w:rPr>
          <w:rFonts w:hint="eastAsia" w:ascii="宋体" w:hAnsi="宋体" w:cs="宋体"/>
          <w:color w:val="auto"/>
          <w:sz w:val="24"/>
          <w:highlight w:val="none"/>
          <w:lang w:eastAsia="zh-CN"/>
        </w:rPr>
        <w:t>保险保函</w:t>
      </w:r>
      <w:r>
        <w:rPr>
          <w:rFonts w:hint="eastAsia" w:ascii="宋体" w:hAnsi="宋体" w:cs="宋体"/>
          <w:color w:val="auto"/>
          <w:sz w:val="24"/>
          <w:highlight w:val="none"/>
        </w:rPr>
        <w:t>）</w:t>
      </w:r>
      <w:r>
        <w:rPr>
          <w:rFonts w:hint="eastAsia" w:ascii="宋体" w:hAnsi="宋体" w:cs="宋体"/>
          <w:color w:val="auto"/>
          <w:kern w:val="0"/>
          <w:sz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项目所在地  </w:t>
      </w:r>
      <w:r>
        <w:rPr>
          <w:rFonts w:hint="eastAsia" w:ascii="宋体" w:hAnsi="宋体" w:cs="宋体"/>
          <w:color w:val="auto"/>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本合同一式6份，甲乙双方各3份</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color w:val="auto"/>
          <w:highlight w:val="none"/>
        </w:rPr>
      </w:pPr>
    </w:p>
    <w:p>
      <w:pPr>
        <w:pStyle w:val="26"/>
        <w:rPr>
          <w:color w:val="auto"/>
          <w:highlight w:val="none"/>
        </w:rPr>
      </w:pPr>
    </w:p>
    <w:p>
      <w:pPr>
        <w:rPr>
          <w:color w:val="auto"/>
          <w:highlight w:val="none"/>
        </w:rPr>
      </w:pPr>
    </w:p>
    <w:p>
      <w:pPr>
        <w:rPr>
          <w:color w:val="auto"/>
          <w:highlight w:val="none"/>
        </w:rPr>
      </w:pPr>
    </w:p>
    <w:p>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ascii="宋体" w:hAnsi="宋体" w:cs="宋体"/>
          <w:color w:val="auto"/>
          <w:sz w:val="24"/>
          <w:highlight w:val="none"/>
        </w:rPr>
      </w:pP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签约地点：</w:t>
      </w:r>
    </w:p>
    <w:p>
      <w:pPr>
        <w:spacing w:line="460" w:lineRule="exact"/>
        <w:rPr>
          <w:rFonts w:ascii="宋体" w:hAnsi="宋体" w:cs="Tahoma"/>
          <w:color w:val="auto"/>
          <w:kern w:val="0"/>
          <w:sz w:val="24"/>
          <w:highlight w:val="none"/>
        </w:rPr>
        <w:sectPr>
          <w:headerReference r:id="rId9" w:type="default"/>
          <w:footerReference r:id="rId10" w:type="default"/>
          <w:pgSz w:w="11906" w:h="16838"/>
          <w:pgMar w:top="1134" w:right="1134" w:bottom="1417" w:left="1134" w:header="851" w:footer="851" w:gutter="0"/>
          <w:pgBorders>
            <w:top w:val="none" w:sz="0" w:space="0"/>
            <w:left w:val="none" w:sz="0" w:space="0"/>
            <w:bottom w:val="none" w:sz="0" w:space="0"/>
            <w:right w:val="none" w:sz="0" w:space="0"/>
          </w:pgBorders>
          <w:cols w:space="720" w:num="1"/>
          <w:docGrid w:linePitch="312" w:charSpace="0"/>
        </w:sectPr>
      </w:pPr>
    </w:p>
    <w:tbl>
      <w:tblPr>
        <w:tblStyle w:val="65"/>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color w:val="auto"/>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44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444" w:hRule="atLeast"/>
        </w:trPr>
        <w:tc>
          <w:tcPr>
            <w:tcW w:w="14436" w:type="dxa"/>
            <w:gridSpan w:val="6"/>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pPr>
        <w:pStyle w:val="35"/>
        <w:spacing w:before="120" w:after="120" w:line="420" w:lineRule="exact"/>
        <w:rPr>
          <w:rFonts w:hAnsi="宋体"/>
          <w:bCs/>
          <w:color w:val="auto"/>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2023年嘉善县生活垃圾焚烧飞灰外运处置项目（第二次）</w:t>
      </w:r>
      <w:r>
        <w:rPr>
          <w:rFonts w:hint="eastAsia" w:ascii="宋体" w:hAnsi="宋体" w:cs="宋体"/>
          <w:color w:val="auto"/>
          <w:sz w:val="28"/>
          <w:szCs w:val="28"/>
          <w:highlight w:val="none"/>
        </w:rPr>
        <w:t xml:space="preserve"> 验收报告</w:t>
      </w:r>
    </w:p>
    <w:p>
      <w:pPr>
        <w:jc w:val="center"/>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rPr>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8"/>
          <w:szCs w:val="28"/>
          <w:highlight w:val="none"/>
        </w:rPr>
        <w:t>验收小组签字：（3人以上）</w:t>
      </w:r>
    </w:p>
    <w:p>
      <w:pPr>
        <w:pStyle w:val="3"/>
        <w:numPr>
          <w:ilvl w:val="0"/>
          <w:numId w:val="20"/>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29"/>
    </w:p>
    <w:p>
      <w:pPr>
        <w:spacing w:line="300" w:lineRule="auto"/>
        <w:ind w:firstLine="205" w:firstLineChars="98"/>
        <w:jc w:val="center"/>
        <w:rPr>
          <w:rFonts w:hAnsi="宋体" w:cs="宋体"/>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color w:val="auto"/>
          <w:kern w:val="0"/>
          <w:sz w:val="24"/>
          <w:highlight w:val="none"/>
          <w:lang w:val="zh-CN"/>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rPr>
          <w:rFonts w:ascii="宋体" w:hAnsi="宋体" w:cs="宋体"/>
          <w:b/>
          <w:bCs/>
          <w:color w:val="auto"/>
          <w:sz w:val="28"/>
          <w:szCs w:val="28"/>
          <w:highlight w:val="none"/>
        </w:rPr>
      </w:pPr>
    </w:p>
    <w:p>
      <w:pPr>
        <w:spacing w:line="360" w:lineRule="auto"/>
        <w:ind w:firstLine="275" w:firstLineChars="98"/>
        <w:jc w:val="center"/>
        <w:rPr>
          <w:rFonts w:ascii="宋体" w:hAnsi="宋体" w:cs="宋体"/>
          <w:color w:val="auto"/>
          <w:sz w:val="22"/>
          <w:szCs w:val="22"/>
          <w:highlight w:val="none"/>
        </w:rPr>
      </w:pPr>
      <w:r>
        <w:rPr>
          <w:rFonts w:hint="eastAsia" w:ascii="宋体" w:hAnsi="宋体" w:cs="宋体"/>
          <w:b/>
          <w:bCs/>
          <w:color w:val="auto"/>
          <w:sz w:val="28"/>
          <w:szCs w:val="28"/>
          <w:highlight w:val="none"/>
        </w:rPr>
        <w:t>中小企业声明函（服务）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本公司（联合体）郑重声明，根据《政府采购促进中小企业发展管理办法》（财库﹝2020﹞46号）的规定，本公司（联合体）参加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hint="eastAsia" w:ascii="宋体" w:hAnsi="宋体" w:cs="宋体"/>
          <w:color w:val="auto"/>
          <w:sz w:val="24"/>
          <w:highlight w:val="none"/>
          <w:u w:val="single"/>
          <w:lang w:eastAsia="zh-CN"/>
        </w:rPr>
        <w:t>2023年嘉善县生活垃圾焚烧飞灰外运处置项目（第二次）</w:t>
      </w:r>
      <w:r>
        <w:rPr>
          <w:rFonts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ascii="宋体" w:hAnsi="宋体" w:cs="宋体"/>
          <w:color w:val="auto"/>
          <w:sz w:val="24"/>
          <w:highlight w:val="none"/>
        </w:rPr>
        <w:t xml:space="preserve">。相关企业（含联合体中的中小企业、签订分包意向协议的中小企业）的具体情况如下：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2023年嘉善县生活垃圾焚烧飞灰外运处置项目（第二次）</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pPr>
        <w:pStyle w:val="969"/>
        <w:snapToGrid w:val="0"/>
        <w:spacing w:line="360" w:lineRule="auto"/>
        <w:ind w:firstLine="494"/>
        <w:rPr>
          <w:rFonts w:ascii="宋体" w:eastAsia="宋体"/>
          <w:bCs/>
          <w:color w:val="auto"/>
          <w:sz w:val="24"/>
          <w:szCs w:val="24"/>
          <w:highlight w:val="none"/>
        </w:rPr>
      </w:pPr>
    </w:p>
    <w:p>
      <w:pPr>
        <w:pStyle w:val="969"/>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pPr>
        <w:pStyle w:val="969"/>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9"/>
        <w:snapToGrid w:val="0"/>
        <w:ind w:firstLine="4809" w:firstLineChars="2004"/>
        <w:rPr>
          <w:rFonts w:ascii="宋体" w:eastAsia="宋体"/>
          <w:bCs/>
          <w:color w:val="auto"/>
          <w:sz w:val="24"/>
          <w:szCs w:val="24"/>
          <w:highlight w:val="none"/>
        </w:rPr>
      </w:pPr>
    </w:p>
    <w:p>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rPr>
        <w:t>年月日</w:t>
      </w:r>
    </w:p>
    <w:p>
      <w:pPr>
        <w:pStyle w:val="969"/>
        <w:snapToGrid w:val="0"/>
        <w:spacing w:line="240" w:lineRule="auto"/>
        <w:ind w:firstLine="0" w:firstLineChars="0"/>
        <w:rPr>
          <w:rFonts w:ascii="宋体" w:eastAsia="宋体"/>
          <w:bCs/>
          <w:color w:val="auto"/>
          <w:sz w:val="24"/>
          <w:szCs w:val="24"/>
          <w:highlight w:val="none"/>
        </w:rPr>
      </w:pPr>
    </w:p>
    <w:p>
      <w:pPr>
        <w:pStyle w:val="969"/>
        <w:snapToGrid w:val="0"/>
        <w:spacing w:line="240" w:lineRule="auto"/>
        <w:ind w:firstLine="0" w:firstLineChars="0"/>
        <w:rPr>
          <w:rFonts w:ascii="宋体" w:eastAsia="宋体"/>
          <w:bCs/>
          <w:color w:val="auto"/>
          <w:sz w:val="24"/>
          <w:szCs w:val="24"/>
          <w:highlight w:val="none"/>
        </w:rPr>
      </w:pPr>
    </w:p>
    <w:p>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其他未列明行业</w:t>
      </w:r>
      <w:r>
        <w:rPr>
          <w:rFonts w:hint="eastAsia" w:ascii="宋体" w:eastAsia="宋体"/>
          <w:bCs/>
          <w:color w:val="auto"/>
          <w:sz w:val="24"/>
          <w:szCs w:val="24"/>
          <w:highlight w:val="none"/>
        </w:rPr>
        <w:t>；</w:t>
      </w:r>
    </w:p>
    <w:p>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pPr>
        <w:pStyle w:val="970"/>
        <w:snapToGrid w:val="0"/>
        <w:jc w:val="center"/>
        <w:rPr>
          <w:rFonts w:ascii="宋体" w:hAnsi="宋体"/>
          <w:b/>
          <w:color w:val="auto"/>
          <w:sz w:val="24"/>
          <w:highlight w:val="none"/>
          <w:lang w:val="en-GB"/>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jc w:val="center"/>
        <w:rPr>
          <w:rFonts w:ascii="宋体" w:hAnsi="宋体"/>
          <w:b/>
          <w:color w:val="auto"/>
          <w:spacing w:val="6"/>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ascii="宋体" w:hAnsi="宋体"/>
          <w:b/>
          <w:color w:val="auto"/>
          <w:spacing w:val="6"/>
          <w:sz w:val="24"/>
          <w:highlight w:val="none"/>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outlineLvl w:val="0"/>
        <w:rPr>
          <w:rFonts w:ascii="宋体" w:hAnsi="宋体"/>
          <w:color w:val="auto"/>
          <w:sz w:val="24"/>
          <w:highlight w:val="none"/>
        </w:rPr>
      </w:pPr>
      <w:r>
        <w:rPr>
          <w:rFonts w:hint="eastAsia" w:ascii="宋体" w:hAnsi="宋体"/>
          <w:color w:val="auto"/>
          <w:sz w:val="24"/>
          <w:highlight w:val="none"/>
        </w:rPr>
        <w:t>日期：年月日</w:t>
      </w:r>
    </w:p>
    <w:p>
      <w:pPr>
        <w:pStyle w:val="35"/>
        <w:snapToGrid w:val="0"/>
        <w:spacing w:before="24" w:beforeLines="10" w:after="24" w:afterLines="10"/>
        <w:rPr>
          <w:rFonts w:ascii="仿宋" w:hAnsi="仿宋" w:eastAsia="仿宋" w:cs="仿宋"/>
          <w:b/>
          <w:bCs/>
          <w:color w:val="auto"/>
          <w:sz w:val="44"/>
          <w:szCs w:val="44"/>
          <w:highlight w:val="none"/>
        </w:rPr>
      </w:pPr>
    </w:p>
    <w:p>
      <w:pPr>
        <w:pStyle w:val="35"/>
        <w:snapToGrid w:val="0"/>
        <w:spacing w:before="24" w:beforeLines="10" w:after="24" w:afterLines="10"/>
        <w:rPr>
          <w:rFonts w:ascii="仿宋" w:hAnsi="仿宋" w:eastAsia="仿宋" w:cs="仿宋"/>
          <w:b/>
          <w:bCs/>
          <w:color w:val="auto"/>
          <w:sz w:val="44"/>
          <w:szCs w:val="4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color w:val="auto"/>
          <w:sz w:val="24"/>
          <w:highlight w:val="none"/>
        </w:rPr>
      </w:pPr>
    </w:p>
    <w:p>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ascii="宋体" w:hAnsi="宋体" w:cs="宋体"/>
          <w:b/>
          <w:color w:val="auto"/>
          <w:sz w:val="32"/>
          <w:szCs w:val="32"/>
          <w:highlight w:val="none"/>
        </w:rPr>
      </w:pPr>
    </w:p>
    <w:p>
      <w:pPr>
        <w:pStyle w:val="3"/>
        <w:rPr>
          <w:rFonts w:ascii="宋体" w:hAnsi="宋体" w:cs="宋体"/>
          <w:b w:val="0"/>
          <w:color w:val="auto"/>
          <w:szCs w:val="32"/>
          <w:highlight w:val="none"/>
        </w:rPr>
      </w:pPr>
    </w:p>
    <w:p>
      <w:pPr>
        <w:rPr>
          <w:color w:val="auto"/>
          <w:highlight w:val="none"/>
        </w:rPr>
      </w:pPr>
    </w:p>
    <w:p>
      <w:pPr>
        <w:rPr>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pPr>
        <w:snapToGrid w:val="0"/>
        <w:spacing w:before="120" w:beforeLines="50" w:after="50"/>
        <w:rPr>
          <w:b/>
          <w:bCs/>
          <w:color w:val="auto"/>
          <w:sz w:val="32"/>
          <w:szCs w:val="20"/>
          <w:highlight w:val="none"/>
        </w:rPr>
      </w:pPr>
      <w:r>
        <w:rPr>
          <w:color w:val="auto"/>
          <w:sz w:val="24"/>
          <w:highlight w:val="none"/>
        </w:rPr>
        <w:t xml:space="preserve">                                                    </w:t>
      </w: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pacing w:line="360" w:lineRule="auto"/>
        <w:ind w:right="420"/>
        <w:rPr>
          <w:color w:val="auto"/>
          <w:highlight w:val="none"/>
        </w:rPr>
      </w:pPr>
    </w:p>
    <w:p>
      <w:pPr>
        <w:spacing w:line="360" w:lineRule="auto"/>
        <w:rPr>
          <w:rFonts w:ascii="仿宋" w:hAnsi="仿宋" w:eastAsia="仿宋"/>
          <w:bCs/>
          <w:color w:val="auto"/>
          <w:sz w:val="24"/>
          <w:highlight w:val="none"/>
        </w:rPr>
      </w:pPr>
    </w:p>
    <w:p>
      <w:pPr>
        <w:spacing w:line="360" w:lineRule="auto"/>
        <w:rPr>
          <w:rFonts w:ascii="宋体" w:hAnsi="宋体" w:cs="宋体"/>
          <w:b/>
          <w:color w:val="auto"/>
          <w:sz w:val="24"/>
          <w:highlight w:val="none"/>
        </w:rPr>
      </w:pPr>
      <w:bookmarkStart w:id="30" w:name="_Toc219619166"/>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5"/>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color w:val="auto"/>
                <w:sz w:val="24"/>
                <w:highlight w:val="none"/>
              </w:rPr>
            </w:pPr>
          </w:p>
        </w:tc>
        <w:tc>
          <w:tcPr>
            <w:tcW w:w="2145"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pPr>
              <w:spacing w:line="360" w:lineRule="auto"/>
              <w:jc w:val="center"/>
              <w:rPr>
                <w:rFonts w:ascii="宋体" w:hAnsi="宋体" w:cs="宋体"/>
                <w:b/>
                <w:bCs/>
                <w:color w:val="auto"/>
                <w:sz w:val="24"/>
                <w:highlight w:val="none"/>
              </w:rPr>
            </w:pPr>
          </w:p>
        </w:tc>
      </w:tr>
    </w:tbl>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26"/>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29"/>
        <w:tabs>
          <w:tab w:val="left" w:pos="939"/>
        </w:tabs>
        <w:snapToGrid w:val="0"/>
        <w:spacing w:line="400" w:lineRule="exact"/>
        <w:ind w:left="773" w:leftChars="150" w:hanging="458" w:hangingChars="191"/>
        <w:rPr>
          <w:rFonts w:ascii="宋体" w:hAnsi="宋体" w:cs="宋体"/>
          <w:color w:val="auto"/>
          <w:sz w:val="24"/>
          <w:highlight w:val="none"/>
        </w:rPr>
      </w:pPr>
    </w:p>
    <w:p>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68"/>
        <w:spacing w:line="360" w:lineRule="auto"/>
        <w:rPr>
          <w:rFonts w:hAnsi="宋体" w:eastAsia="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b/>
          <w:color w:val="auto"/>
          <w:sz w:val="24"/>
          <w:szCs w:val="24"/>
          <w:highlight w:val="none"/>
        </w:r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kern w:val="0"/>
          <w:sz w:val="24"/>
          <w:highlight w:val="none"/>
          <w:u w:val="single"/>
          <w:lang w:val="zh-CN"/>
        </w:rPr>
        <w:t>2023年嘉善县生活垃圾焚烧飞灰外运处置项目（第二次）</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JXYJ2023015</w:t>
      </w:r>
      <w:r>
        <w:rPr>
          <w:rFonts w:hint="eastAsia" w:ascii="宋体" w:hAnsi="宋体" w:eastAsia="宋体" w:cs="宋体"/>
          <w:color w:val="auto"/>
          <w:sz w:val="24"/>
          <w:highlight w:val="none"/>
        </w:rPr>
        <w:t>(G)】</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sz w:val="24"/>
          <w:szCs w:val="32"/>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仿宋_GB2312"/>
          <w:color w:val="auto"/>
          <w:kern w:val="0"/>
          <w:sz w:val="24"/>
          <w:highlight w:val="none"/>
          <w:lang w:val="zh-CN"/>
        </w:rPr>
      </w:pPr>
      <w:r>
        <w:rPr>
          <w:rFonts w:hint="eastAsia" w:ascii="宋体" w:hAnsi="宋体" w:eastAsia="宋体" w:cs="宋体"/>
          <w:color w:val="auto"/>
          <w:kern w:val="0"/>
          <w:sz w:val="24"/>
          <w:highlight w:val="none"/>
          <w:u w:val="single"/>
        </w:rPr>
        <w:t>（分包供应商名称）提供的</w:t>
      </w:r>
      <w:r>
        <w:rPr>
          <w:rFonts w:hint="eastAsia" w:ascii="宋体" w:hAnsi="宋体" w:eastAsia="宋体" w:cs="宋体"/>
          <w:color w:val="auto"/>
          <w:kern w:val="0"/>
          <w:sz w:val="24"/>
          <w:highlight w:val="none"/>
          <w:u w:val="single"/>
          <w:lang w:eastAsia="zh-CN"/>
        </w:rPr>
        <w:t>服务</w:t>
      </w:r>
      <w:r>
        <w:rPr>
          <w:rFonts w:hint="eastAsia" w:ascii="宋体" w:hAnsi="宋体" w:eastAsia="宋体" w:cs="宋体"/>
          <w:color w:val="auto"/>
          <w:kern w:val="0"/>
          <w:sz w:val="24"/>
          <w:highlight w:val="none"/>
          <w:u w:val="single"/>
        </w:rPr>
        <w:t>全部由</w:t>
      </w:r>
      <w:r>
        <w:rPr>
          <w:rFonts w:hint="eastAsia" w:ascii="宋体" w:hAnsi="宋体" w:eastAsia="宋体" w:cs="宋体"/>
          <w:color w:val="auto"/>
          <w:kern w:val="0"/>
          <w:sz w:val="24"/>
          <w:highlight w:val="none"/>
          <w:u w:val="single"/>
          <w:lang w:eastAsia="zh-CN"/>
        </w:rPr>
        <w:t>中小企业提供</w:t>
      </w:r>
      <w:r>
        <w:rPr>
          <w:rFonts w:hint="eastAsia" w:ascii="宋体" w:hAnsi="宋体" w:cs="宋体"/>
          <w:color w:val="auto"/>
          <w:kern w:val="0"/>
          <w:sz w:val="24"/>
          <w:highlight w:val="none"/>
          <w:u w:val="none"/>
          <w:lang w:val="en-US" w:eastAsia="zh-CN"/>
        </w:rPr>
        <w:t>（须</w:t>
      </w:r>
      <w:r>
        <w:rPr>
          <w:rFonts w:hint="eastAsia" w:ascii="宋体" w:hAnsi="宋体" w:cs="仿宋_GB2312"/>
          <w:color w:val="auto"/>
          <w:kern w:val="0"/>
          <w:sz w:val="24"/>
          <w:highlight w:val="none"/>
          <w:u w:val="none"/>
        </w:rPr>
        <w:t>提供中小企业声明函</w:t>
      </w:r>
      <w:r>
        <w:rPr>
          <w:rFonts w:hint="eastAsia" w:ascii="宋体" w:hAnsi="宋体" w:cs="宋体"/>
          <w:color w:val="auto"/>
          <w:kern w:val="0"/>
          <w:sz w:val="24"/>
          <w:highlight w:val="none"/>
          <w:u w:val="none"/>
          <w:lang w:val="en-US" w:eastAsia="zh-CN"/>
        </w:rPr>
        <w:t>）</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ascii="宋体" w:hAnsi="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投标人名称(加盖公章)：</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pStyle w:val="6"/>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olor w:val="auto"/>
          <w:sz w:val="24"/>
          <w:highlight w:val="none"/>
        </w:rPr>
      </w:pPr>
      <w:r>
        <w:rPr>
          <w:rFonts w:hint="eastAsia" w:ascii="宋体" w:hAnsi="宋体" w:eastAsia="宋体" w:cs="宋体"/>
          <w:color w:val="auto"/>
          <w:sz w:val="24"/>
          <w:highlight w:val="none"/>
        </w:rPr>
        <w:t>注：按本格式和要求提供</w:t>
      </w:r>
      <w:r>
        <w:rPr>
          <w:rFonts w:hint="eastAsia" w:ascii="宋体" w:hAnsi="宋体" w:cs="宋体"/>
          <w:color w:val="auto"/>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pPr>
        <w:rPr>
          <w:rFonts w:hint="eastAsia" w:ascii="宋体" w:hAnsi="宋体"/>
          <w:color w:val="auto"/>
          <w:sz w:val="24"/>
          <w:highlight w:val="none"/>
        </w:rPr>
      </w:pPr>
    </w:p>
    <w:p>
      <w:pPr>
        <w:pStyle w:val="968"/>
        <w:spacing w:line="360" w:lineRule="auto"/>
        <w:jc w:val="center"/>
        <w:rPr>
          <w:rFonts w:hint="eastAsia" w:hAnsi="宋体" w:eastAsia="宋体" w:cs="宋体"/>
          <w:b/>
          <w:color w:val="auto"/>
          <w:sz w:val="24"/>
          <w:szCs w:val="24"/>
          <w:highlight w:val="none"/>
        </w:rPr>
      </w:pPr>
      <w:r>
        <w:rPr>
          <w:rFonts w:hint="eastAsia" w:ascii="宋体" w:hAnsi="宋体"/>
          <w:color w:val="auto"/>
          <w:sz w:val="24"/>
          <w:highlight w:val="none"/>
        </w:rPr>
        <w:t>备注:因具有道路运输经营许可证（证书经营范围‬必须包括危险货物运输6.1项‬、第9类‬）的运输单位少，故参加本项目的不同投标人可与同一运输单位签订《分包意向协议》</w:t>
      </w:r>
    </w:p>
    <w:p>
      <w:pPr>
        <w:pStyle w:val="968"/>
        <w:spacing w:line="360" w:lineRule="auto"/>
        <w:jc w:val="both"/>
        <w:rPr>
          <w:rFonts w:hint="eastAsia" w:hAnsi="宋体" w:eastAsia="宋体" w:cs="宋体"/>
          <w:b/>
          <w:color w:val="auto"/>
          <w:sz w:val="24"/>
          <w:szCs w:val="24"/>
          <w:highlight w:val="none"/>
        </w:rPr>
      </w:pPr>
    </w:p>
    <w:p>
      <w:pPr>
        <w:pStyle w:val="968"/>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5"/>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pPr>
              <w:tabs>
                <w:tab w:val="left" w:pos="6252"/>
              </w:tabs>
              <w:jc w:val="center"/>
              <w:rPr>
                <w:rFonts w:ascii="宋体" w:hAnsi="宋体"/>
                <w:bCs/>
                <w:color w:val="auto"/>
                <w:szCs w:val="21"/>
                <w:highlight w:val="none"/>
              </w:rPr>
            </w:pPr>
            <w:r>
              <w:rPr>
                <w:rFonts w:hint="eastAsia"/>
                <w:bCs/>
                <w:color w:val="auto"/>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bl>
    <w:p>
      <w:pPr>
        <w:pStyle w:val="968"/>
        <w:spacing w:line="360" w:lineRule="auto"/>
        <w:rPr>
          <w:rFonts w:hAnsi="宋体" w:eastAsia="宋体"/>
          <w:b/>
          <w:color w:val="auto"/>
          <w:sz w:val="24"/>
          <w:szCs w:val="24"/>
          <w:highlight w:val="none"/>
        </w:rPr>
      </w:pPr>
      <w:r>
        <w:rPr>
          <w:rFonts w:hint="eastAsia" w:hAnsi="宋体" w:eastAsia="宋体"/>
          <w:b/>
          <w:color w:val="auto"/>
          <w:sz w:val="21"/>
          <w:szCs w:val="21"/>
          <w:highlight w:val="none"/>
        </w:rPr>
        <w:t>注：投标人同类项目业绩得分以本表为准，后附相关证明材料，所需的证明材料要求详见评标办法</w:t>
      </w:r>
    </w:p>
    <w:p>
      <w:pPr>
        <w:pStyle w:val="968"/>
        <w:spacing w:line="360" w:lineRule="auto"/>
        <w:rPr>
          <w:rFonts w:hAnsi="宋体" w:eastAsia="宋体"/>
          <w:b/>
          <w:color w:val="auto"/>
          <w:sz w:val="24"/>
          <w:szCs w:val="24"/>
          <w:highlight w:val="none"/>
        </w:rPr>
      </w:pPr>
    </w:p>
    <w:p>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color w:val="auto"/>
          <w:sz w:val="24"/>
          <w:highlight w:val="none"/>
        </w:rPr>
      </w:pPr>
    </w:p>
    <w:p>
      <w:pPr>
        <w:pStyle w:val="4"/>
        <w:rPr>
          <w:rFonts w:ascii="宋体" w:hAnsi="宋体" w:cs="宋体"/>
          <w:color w:val="auto"/>
          <w:sz w:val="24"/>
          <w:highlight w:val="none"/>
        </w:rPr>
      </w:pPr>
    </w:p>
    <w:p>
      <w:pPr>
        <w:rPr>
          <w:color w:val="auto"/>
          <w:highlight w:val="none"/>
        </w:rPr>
      </w:pPr>
    </w:p>
    <w:p>
      <w:pPr>
        <w:pStyle w:val="87"/>
        <w:ind w:left="420" w:firstLine="480"/>
        <w:rPr>
          <w:color w:val="auto"/>
          <w:highlight w:val="none"/>
        </w:rPr>
      </w:pPr>
    </w:p>
    <w:p>
      <w:pPr>
        <w:pStyle w:val="968"/>
        <w:spacing w:line="360" w:lineRule="auto"/>
        <w:jc w:val="center"/>
        <w:rPr>
          <w:rFonts w:hAnsi="宋体" w:eastAsia="宋体"/>
          <w:b/>
          <w:color w:val="auto"/>
          <w:sz w:val="28"/>
          <w:szCs w:val="28"/>
          <w:highlight w:val="none"/>
        </w:rPr>
      </w:pPr>
    </w:p>
    <w:p>
      <w:pPr>
        <w:pStyle w:val="35"/>
        <w:spacing w:before="120" w:after="120" w:line="360" w:lineRule="auto"/>
        <w:textAlignment w:val="baseline"/>
        <w:rPr>
          <w:rFonts w:hAnsi="宋体"/>
          <w:b/>
          <w:bCs/>
          <w:color w:val="auto"/>
          <w:sz w:val="28"/>
          <w:szCs w:val="28"/>
          <w:highlight w:val="none"/>
        </w:rPr>
      </w:pPr>
    </w:p>
    <w:p>
      <w:pPr>
        <w:pStyle w:val="35"/>
        <w:spacing w:before="120" w:after="120" w:line="360" w:lineRule="auto"/>
        <w:jc w:val="center"/>
        <w:textAlignment w:val="baseline"/>
        <w:rPr>
          <w:rFonts w:hint="eastAsia" w:hAnsi="宋体"/>
          <w:b/>
          <w:bCs/>
          <w:color w:val="auto"/>
          <w:sz w:val="28"/>
          <w:szCs w:val="28"/>
          <w:highlight w:val="none"/>
        </w:rPr>
      </w:pPr>
    </w:p>
    <w:p>
      <w:pPr>
        <w:pStyle w:val="35"/>
        <w:spacing w:before="120" w:after="120" w:line="360" w:lineRule="auto"/>
        <w:jc w:val="center"/>
        <w:textAlignment w:val="baseline"/>
        <w:rPr>
          <w:rFonts w:hAnsi="宋体"/>
          <w:color w:val="auto"/>
          <w:sz w:val="28"/>
          <w:szCs w:val="28"/>
          <w:highlight w:val="none"/>
        </w:rPr>
      </w:pPr>
      <w:r>
        <w:rPr>
          <w:rFonts w:hint="eastAsia" w:hAnsi="宋体"/>
          <w:b/>
          <w:bCs/>
          <w:color w:val="auto"/>
          <w:sz w:val="28"/>
          <w:szCs w:val="28"/>
          <w:highlight w:val="none"/>
        </w:rPr>
        <w:t>拟派项目组人员表</w:t>
      </w:r>
    </w:p>
    <w:tbl>
      <w:tblPr>
        <w:tblStyle w:val="65"/>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注：1、相关证明材料附后，所需的证明材料要求详见评标办法。</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2、列入本表人员如要更换，需经招标人同意；擅自更换或不到位属违约行为</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3、表格不够填写可添加。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87"/>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pPr>
        <w:pStyle w:val="87"/>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pPr>
        <w:pStyle w:val="87"/>
        <w:ind w:left="420" w:firstLine="0" w:firstLineChars="0"/>
        <w:rPr>
          <w:rFonts w:ascii="宋体" w:hAnsi="宋体"/>
          <w:b/>
          <w:color w:val="auto"/>
          <w:sz w:val="28"/>
          <w:szCs w:val="28"/>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pStyle w:val="979"/>
        <w:spacing w:line="276" w:lineRule="auto"/>
        <w:jc w:val="center"/>
        <w:rPr>
          <w:rFonts w:hAnsi="宋体" w:eastAsia="宋体" w:cs="宋体"/>
          <w:b/>
          <w:color w:val="auto"/>
          <w:sz w:val="28"/>
          <w:szCs w:val="28"/>
          <w:highlight w:val="none"/>
        </w:rPr>
      </w:pPr>
    </w:p>
    <w:p>
      <w:pPr>
        <w:pStyle w:val="979"/>
        <w:spacing w:line="276" w:lineRule="auto"/>
        <w:jc w:val="center"/>
        <w:rPr>
          <w:rFonts w:hAnsi="宋体" w:eastAsia="宋体" w:cs="宋体"/>
          <w:b/>
          <w:color w:val="auto"/>
          <w:sz w:val="28"/>
          <w:szCs w:val="28"/>
          <w:highlight w:val="none"/>
        </w:rPr>
      </w:pPr>
    </w:p>
    <w:p>
      <w:pPr>
        <w:pStyle w:val="979"/>
        <w:spacing w:line="276" w:lineRule="auto"/>
        <w:jc w:val="center"/>
        <w:rPr>
          <w:rFonts w:hAnsi="宋体" w:eastAsia="宋体" w:cs="宋体"/>
          <w:b/>
          <w:color w:val="auto"/>
          <w:sz w:val="28"/>
          <w:szCs w:val="28"/>
          <w:highlight w:val="none"/>
        </w:rPr>
      </w:pPr>
    </w:p>
    <w:p>
      <w:pPr>
        <w:pStyle w:val="979"/>
        <w:spacing w:line="276" w:lineRule="auto"/>
        <w:jc w:val="center"/>
        <w:rPr>
          <w:rFonts w:hAnsi="宋体" w:eastAsia="宋体" w:cs="宋体"/>
          <w:b/>
          <w:color w:val="auto"/>
          <w:sz w:val="28"/>
          <w:szCs w:val="28"/>
          <w:highlight w:val="none"/>
        </w:rPr>
      </w:pPr>
    </w:p>
    <w:p>
      <w:pPr>
        <w:snapToGrid w:val="0"/>
        <w:spacing w:before="120" w:beforeLines="50" w:after="50"/>
        <w:rPr>
          <w:rFonts w:ascii="宋体" w:hAnsi="宋体" w:cs="宋体"/>
          <w:b/>
          <w:color w:val="auto"/>
          <w:sz w:val="32"/>
          <w:szCs w:val="32"/>
          <w:highlight w:val="none"/>
        </w:rPr>
      </w:pPr>
    </w:p>
    <w:p>
      <w:pPr>
        <w:pStyle w:val="2"/>
        <w:ind w:firstLine="964"/>
        <w:rPr>
          <w:rFonts w:ascii="宋体" w:hAnsi="宋体" w:cs="宋体"/>
          <w:color w:val="auto"/>
          <w:sz w:val="32"/>
          <w:szCs w:val="32"/>
          <w:highlight w:val="none"/>
        </w:rPr>
      </w:pPr>
    </w:p>
    <w:p>
      <w:pPr>
        <w:pStyle w:val="2"/>
        <w:ind w:firstLine="964"/>
        <w:rPr>
          <w:rFonts w:ascii="宋体" w:hAnsi="宋体" w:cs="宋体"/>
          <w:color w:val="auto"/>
          <w:sz w:val="32"/>
          <w:szCs w:val="32"/>
          <w:highlight w:val="none"/>
        </w:rPr>
      </w:pPr>
    </w:p>
    <w:p>
      <w:pPr>
        <w:pStyle w:val="2"/>
        <w:ind w:firstLine="964"/>
        <w:rPr>
          <w:rFonts w:ascii="宋体" w:hAnsi="宋体" w:cs="宋体"/>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color w:val="auto"/>
          <w:sz w:val="24"/>
          <w:highlight w:val="none"/>
        </w:rPr>
      </w:pPr>
    </w:p>
    <w:p>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bookmarkEnd w:id="30"/>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p>
    <w:p>
      <w:pPr>
        <w:pStyle w:val="2"/>
        <w:ind w:firstLine="723"/>
        <w:rPr>
          <w:rFonts w:ascii="宋体" w:hAnsi="宋体" w:cs="宋体"/>
          <w:color w:val="auto"/>
          <w:sz w:val="24"/>
          <w:highlight w:val="none"/>
        </w:rPr>
      </w:pPr>
    </w:p>
    <w:p>
      <w:pPr>
        <w:pStyle w:val="2"/>
        <w:ind w:firstLine="723"/>
        <w:rPr>
          <w:rFonts w:ascii="宋体" w:hAnsi="宋体" w:cs="宋体"/>
          <w:color w:val="auto"/>
          <w:sz w:val="24"/>
          <w:highlight w:val="none"/>
        </w:rPr>
      </w:pPr>
    </w:p>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24"/>
          <w:szCs w:val="20"/>
          <w:highlight w:val="none"/>
        </w:rPr>
      </w:pPr>
    </w:p>
    <w:p>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5"/>
        <w:tblW w:w="88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5"/>
        <w:gridCol w:w="708"/>
        <w:gridCol w:w="993"/>
        <w:gridCol w:w="1134"/>
        <w:gridCol w:w="26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jc w:val="center"/>
        </w:trPr>
        <w:tc>
          <w:tcPr>
            <w:tcW w:w="33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ascii="宋体" w:hAnsi="宋体"/>
                <w:color w:val="auto"/>
                <w:sz w:val="24"/>
                <w:highlight w:val="none"/>
              </w:rPr>
            </w:pPr>
            <w:r>
              <w:rPr>
                <w:rFonts w:hint="eastAsia" w:ascii="宋体" w:hAnsi="宋体"/>
                <w:color w:val="auto"/>
                <w:sz w:val="24"/>
                <w:highlight w:val="none"/>
              </w:rPr>
              <w:t>项目名称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ascii="宋体" w:hAnsi="宋体"/>
                <w:color w:val="auto"/>
                <w:sz w:val="24"/>
                <w:highlight w:val="none"/>
              </w:rPr>
            </w:pPr>
            <w:r>
              <w:rPr>
                <w:rFonts w:hint="eastAsia" w:ascii="宋体" w:hAnsi="宋体"/>
                <w:color w:val="auto"/>
                <w:sz w:val="24"/>
                <w:highlight w:val="none"/>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ascii="宋体" w:hAnsi="宋体"/>
                <w:color w:val="auto"/>
                <w:sz w:val="24"/>
                <w:highlight w:val="none"/>
              </w:rPr>
            </w:pPr>
            <w:r>
              <w:rPr>
                <w:rFonts w:hint="eastAsia" w:ascii="宋体" w:hAnsi="宋体"/>
                <w:color w:val="auto"/>
                <w:sz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ascii="宋体" w:hAnsi="宋体"/>
                <w:color w:val="auto"/>
                <w:sz w:val="24"/>
                <w:highlight w:val="none"/>
              </w:rPr>
            </w:pPr>
            <w:r>
              <w:rPr>
                <w:rFonts w:hint="eastAsia" w:ascii="宋体" w:hAnsi="宋体"/>
                <w:color w:val="auto"/>
                <w:sz w:val="24"/>
                <w:highlight w:val="none"/>
              </w:rPr>
              <w:t>单价/元</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ascii="宋体" w:hAnsi="宋体"/>
                <w:color w:val="auto"/>
                <w:sz w:val="24"/>
                <w:highlight w:val="none"/>
              </w:rPr>
            </w:pPr>
            <w:r>
              <w:rPr>
                <w:rFonts w:hint="eastAsia" w:ascii="宋体" w:hAnsi="宋体"/>
                <w:color w:val="auto"/>
                <w:sz w:val="24"/>
                <w:highlight w:val="none"/>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33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color w:val="auto"/>
                <w:sz w:val="24"/>
                <w:highlight w:val="none"/>
              </w:rPr>
            </w:pPr>
            <w:r>
              <w:rPr>
                <w:rFonts w:hint="eastAsia" w:ascii="宋体" w:hAnsi="宋体"/>
                <w:color w:val="auto"/>
                <w:sz w:val="24"/>
                <w:highlight w:val="none"/>
                <w:lang w:val="en-US" w:eastAsia="zh-CN"/>
              </w:rPr>
              <w:t>2023年嘉善县生活垃圾焚烧飞灰外运处置项目（第二次）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color w:val="auto"/>
                <w:sz w:val="24"/>
                <w:highlight w:val="none"/>
              </w:rPr>
            </w:pPr>
            <w:r>
              <w:rPr>
                <w:rFonts w:hint="eastAsia" w:ascii="宋体" w:hAnsi="宋体"/>
                <w:color w:val="auto"/>
                <w:sz w:val="24"/>
                <w:highlight w:val="none"/>
              </w:rPr>
              <w:t>吨</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2000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color w:val="auto"/>
                <w:sz w:val="24"/>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8808"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left"/>
              <w:rPr>
                <w:rFonts w:ascii="宋体" w:hAnsi="宋体"/>
                <w:color w:val="auto"/>
                <w:sz w:val="24"/>
                <w:highlight w:val="none"/>
              </w:rPr>
            </w:pPr>
            <w:r>
              <w:rPr>
                <w:rFonts w:hint="eastAsia" w:ascii="宋体" w:hAnsi="宋体"/>
                <w:color w:val="auto"/>
                <w:sz w:val="24"/>
                <w:highlight w:val="none"/>
              </w:rPr>
              <w:t>投标报价（大写）：人民币</w:t>
            </w:r>
          </w:p>
        </w:tc>
      </w:tr>
    </w:tbl>
    <w:p>
      <w:pPr>
        <w:snapToGrid w:val="0"/>
        <w:spacing w:line="48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注:1.报价一经涂改，应在涂改处加盖单位公章或者由法定代表人或被授权人签字或盖章，否则其投标作无效标处理。</w:t>
      </w:r>
    </w:p>
    <w:p>
      <w:pPr>
        <w:snapToGrid w:val="0"/>
        <w:spacing w:line="48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2.本次报价按全费用单价形式进行报价，单价固定，报价中含所有税费(包括完成本次招标内容所需的人工、材料、机械、过境费、燃油费、保险、管理费、利润、税金、招标代理费等所有费用。)</w:t>
      </w:r>
    </w:p>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3.本次招标数量为暂估数量，结算时按实际外运处置数量计算。</w:t>
      </w:r>
    </w:p>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、本页后附投标报价明细表。</w:t>
      </w:r>
    </w:p>
    <w:p>
      <w:pPr>
        <w:snapToGrid w:val="0"/>
        <w:spacing w:line="480" w:lineRule="exact"/>
        <w:ind w:firstLine="440" w:firstLineChars="200"/>
        <w:jc w:val="left"/>
        <w:rPr>
          <w:rFonts w:ascii="宋体" w:hAnsi="宋体" w:cs="宋体"/>
          <w:color w:val="auto"/>
          <w:sz w:val="22"/>
          <w:szCs w:val="22"/>
          <w:highlight w:val="none"/>
        </w:rPr>
      </w:pPr>
    </w:p>
    <w:p>
      <w:pPr>
        <w:snapToGrid w:val="0"/>
        <w:spacing w:line="480" w:lineRule="exact"/>
        <w:ind w:left="-3" w:leftChars="-72" w:right="-817" w:rightChars="-389" w:hanging="148" w:hangingChars="62"/>
        <w:rPr>
          <w:rFonts w:ascii="宋体" w:hAnsi="宋体" w:cs="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highlight w:val="none"/>
        </w:rPr>
      </w:pPr>
      <w:r>
        <w:rPr>
          <w:rFonts w:hint="eastAsia" w:hAnsi="宋体" w:cs="宋体"/>
          <w:color w:val="auto"/>
          <w:sz w:val="24"/>
          <w:highlight w:val="none"/>
        </w:rPr>
        <w:t>日期：_____年____月____日</w:t>
      </w:r>
    </w:p>
    <w:p>
      <w:pPr>
        <w:pStyle w:val="6"/>
        <w:rPr>
          <w:rFonts w:hAnsi="宋体" w:cs="宋体"/>
          <w:color w:val="auto"/>
          <w:sz w:val="24"/>
          <w:highlight w:val="none"/>
        </w:rPr>
      </w:pPr>
    </w:p>
    <w:p>
      <w:pPr>
        <w:pStyle w:val="82"/>
        <w:rPr>
          <w:rFonts w:hAnsi="宋体" w:cs="宋体"/>
          <w:color w:val="auto"/>
          <w:sz w:val="24"/>
          <w:highlight w:val="none"/>
        </w:rPr>
      </w:pPr>
    </w:p>
    <w:p>
      <w:pPr>
        <w:rPr>
          <w:color w:val="auto"/>
          <w:highlight w:val="none"/>
        </w:rPr>
      </w:pPr>
    </w:p>
    <w:p>
      <w:pPr>
        <w:rPr>
          <w:rFonts w:ascii="宋体" w:hAnsi="宋体"/>
          <w:b/>
          <w:color w:val="auto"/>
          <w:sz w:val="30"/>
          <w:szCs w:val="48"/>
          <w:highlight w:val="none"/>
        </w:rPr>
      </w:pPr>
    </w:p>
    <w:p>
      <w:pPr>
        <w:widowControl/>
        <w:spacing w:line="360" w:lineRule="auto"/>
        <w:jc w:val="center"/>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p>
    <w:p>
      <w:pPr>
        <w:widowControl/>
        <w:spacing w:line="360" w:lineRule="auto"/>
        <w:jc w:val="both"/>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投标报价明细表</w:t>
      </w:r>
    </w:p>
    <w:p>
      <w:pPr>
        <w:snapToGrid w:val="0"/>
        <w:spacing w:before="120" w:after="120"/>
        <w:rPr>
          <w:rFonts w:ascii="宋体" w:hAnsi="宋体"/>
          <w:color w:val="auto"/>
          <w:sz w:val="24"/>
          <w:highlight w:val="none"/>
        </w:rPr>
      </w:pPr>
    </w:p>
    <w:p>
      <w:pPr>
        <w:snapToGrid w:val="0"/>
        <w:spacing w:before="120" w:after="120"/>
        <w:rPr>
          <w:rFonts w:ascii="宋体" w:hAnsi="宋体"/>
          <w:bCs/>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单位：人民币元</w:t>
      </w:r>
    </w:p>
    <w:tbl>
      <w:tblPr>
        <w:tblStyle w:val="6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30"/>
        <w:gridCol w:w="894"/>
        <w:gridCol w:w="992"/>
        <w:gridCol w:w="127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3430"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项目内容</w:t>
            </w:r>
          </w:p>
        </w:tc>
        <w:tc>
          <w:tcPr>
            <w:tcW w:w="894"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单位</w:t>
            </w:r>
          </w:p>
        </w:tc>
        <w:tc>
          <w:tcPr>
            <w:tcW w:w="992"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数量</w:t>
            </w:r>
          </w:p>
        </w:tc>
        <w:tc>
          <w:tcPr>
            <w:tcW w:w="1276"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单价（元）</w:t>
            </w:r>
          </w:p>
        </w:tc>
        <w:tc>
          <w:tcPr>
            <w:tcW w:w="1370"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color w:val="auto"/>
                <w:sz w:val="22"/>
                <w:szCs w:val="22"/>
                <w:highlight w:val="none"/>
              </w:rPr>
            </w:pPr>
          </w:p>
        </w:tc>
        <w:tc>
          <w:tcPr>
            <w:tcW w:w="3430" w:type="dxa"/>
            <w:vAlign w:val="center"/>
          </w:tcPr>
          <w:p>
            <w:pPr>
              <w:jc w:val="left"/>
              <w:rPr>
                <w:rFonts w:ascii="宋体" w:hAnsi="宋体" w:cs="宋体"/>
                <w:b/>
                <w:color w:val="auto"/>
                <w:sz w:val="22"/>
                <w:szCs w:val="22"/>
                <w:highlight w:val="none"/>
              </w:rPr>
            </w:pPr>
          </w:p>
        </w:tc>
        <w:tc>
          <w:tcPr>
            <w:tcW w:w="894" w:type="dxa"/>
            <w:vAlign w:val="center"/>
          </w:tcPr>
          <w:p>
            <w:pPr>
              <w:jc w:val="center"/>
              <w:rPr>
                <w:rFonts w:ascii="宋体" w:hAnsi="宋体" w:cs="宋体"/>
                <w:b/>
                <w:color w:val="auto"/>
                <w:sz w:val="22"/>
                <w:szCs w:val="22"/>
                <w:highlight w:val="none"/>
              </w:rPr>
            </w:pPr>
          </w:p>
        </w:tc>
        <w:tc>
          <w:tcPr>
            <w:tcW w:w="992" w:type="dxa"/>
            <w:vAlign w:val="center"/>
          </w:tcPr>
          <w:p>
            <w:pPr>
              <w:jc w:val="center"/>
              <w:rPr>
                <w:rFonts w:ascii="宋体" w:hAnsi="宋体" w:cs="宋体"/>
                <w:b/>
                <w:color w:val="auto"/>
                <w:sz w:val="22"/>
                <w:szCs w:val="22"/>
                <w:highlight w:val="none"/>
              </w:rPr>
            </w:pPr>
          </w:p>
        </w:tc>
        <w:tc>
          <w:tcPr>
            <w:tcW w:w="1276" w:type="dxa"/>
            <w:vAlign w:val="center"/>
          </w:tcPr>
          <w:p>
            <w:pPr>
              <w:jc w:val="center"/>
              <w:rPr>
                <w:rFonts w:ascii="宋体" w:hAnsi="宋体" w:cs="宋体"/>
                <w:b/>
                <w:color w:val="auto"/>
                <w:sz w:val="22"/>
                <w:szCs w:val="22"/>
                <w:highlight w:val="none"/>
              </w:rPr>
            </w:pPr>
          </w:p>
        </w:tc>
        <w:tc>
          <w:tcPr>
            <w:tcW w:w="1370" w:type="dxa"/>
          </w:tcPr>
          <w:p>
            <w:pPr>
              <w:rPr>
                <w:rFonts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color w:val="auto"/>
                <w:sz w:val="22"/>
                <w:szCs w:val="22"/>
                <w:highlight w:val="none"/>
              </w:rPr>
            </w:pPr>
          </w:p>
        </w:tc>
        <w:tc>
          <w:tcPr>
            <w:tcW w:w="3430" w:type="dxa"/>
            <w:vAlign w:val="center"/>
          </w:tcPr>
          <w:p>
            <w:pPr>
              <w:jc w:val="left"/>
              <w:rPr>
                <w:rFonts w:ascii="宋体" w:hAnsi="宋体" w:cs="宋体"/>
                <w:b/>
                <w:color w:val="auto"/>
                <w:sz w:val="22"/>
                <w:szCs w:val="22"/>
                <w:highlight w:val="none"/>
              </w:rPr>
            </w:pPr>
          </w:p>
        </w:tc>
        <w:tc>
          <w:tcPr>
            <w:tcW w:w="894" w:type="dxa"/>
            <w:vAlign w:val="center"/>
          </w:tcPr>
          <w:p>
            <w:pPr>
              <w:jc w:val="center"/>
              <w:rPr>
                <w:rFonts w:ascii="宋体" w:hAnsi="宋体" w:cs="宋体"/>
                <w:b/>
                <w:color w:val="auto"/>
                <w:sz w:val="22"/>
                <w:szCs w:val="22"/>
                <w:highlight w:val="none"/>
              </w:rPr>
            </w:pPr>
          </w:p>
        </w:tc>
        <w:tc>
          <w:tcPr>
            <w:tcW w:w="992" w:type="dxa"/>
            <w:vAlign w:val="center"/>
          </w:tcPr>
          <w:p>
            <w:pPr>
              <w:jc w:val="center"/>
              <w:rPr>
                <w:rFonts w:ascii="宋体" w:hAnsi="宋体" w:cs="宋体"/>
                <w:b/>
                <w:color w:val="auto"/>
                <w:sz w:val="22"/>
                <w:szCs w:val="22"/>
                <w:highlight w:val="none"/>
              </w:rPr>
            </w:pPr>
          </w:p>
        </w:tc>
        <w:tc>
          <w:tcPr>
            <w:tcW w:w="1276" w:type="dxa"/>
            <w:vAlign w:val="center"/>
          </w:tcPr>
          <w:p>
            <w:pPr>
              <w:jc w:val="center"/>
              <w:rPr>
                <w:rFonts w:ascii="宋体" w:hAnsi="宋体" w:cs="宋体"/>
                <w:b/>
                <w:color w:val="auto"/>
                <w:sz w:val="22"/>
                <w:szCs w:val="22"/>
                <w:highlight w:val="none"/>
              </w:rPr>
            </w:pPr>
          </w:p>
        </w:tc>
        <w:tc>
          <w:tcPr>
            <w:tcW w:w="1370" w:type="dxa"/>
          </w:tcPr>
          <w:p>
            <w:pPr>
              <w:rPr>
                <w:rFonts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3" w:type="dxa"/>
            <w:gridSpan w:val="6"/>
            <w:vAlign w:val="center"/>
          </w:tcPr>
          <w:p>
            <w:pPr>
              <w:rPr>
                <w:rFonts w:ascii="宋体" w:hAnsi="宋体" w:cs="宋体"/>
                <w:color w:val="auto"/>
                <w:sz w:val="22"/>
                <w:szCs w:val="22"/>
                <w:highlight w:val="none"/>
              </w:rPr>
            </w:pPr>
            <w:r>
              <w:rPr>
                <w:rFonts w:hint="eastAsia" w:ascii="宋体" w:hAnsi="宋体" w:cs="宋体"/>
                <w:color w:val="auto"/>
                <w:kern w:val="0"/>
                <w:sz w:val="24"/>
                <w:highlight w:val="none"/>
              </w:rPr>
              <w:t>投标总价：    （大写），    （小写）</w:t>
            </w:r>
          </w:p>
        </w:tc>
      </w:tr>
    </w:tbl>
    <w:p>
      <w:pPr>
        <w:pStyle w:val="4"/>
        <w:spacing w:line="240" w:lineRule="auto"/>
        <w:ind w:left="0" w:firstLine="0"/>
        <w:rPr>
          <w:color w:val="auto"/>
          <w:sz w:val="24"/>
          <w:szCs w:val="24"/>
          <w:highlight w:val="none"/>
          <w:lang w:val="en-US"/>
        </w:rPr>
      </w:pP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注：1.本表格式不得更改，投标总价须与开标一览表投标报价一致。未列入本表的项目视作已考虑在其他投标报价中，以后不作调整</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2..上表中行数不够可自行添加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color w:val="auto"/>
          <w:highlight w:val="none"/>
        </w:rPr>
      </w:pPr>
      <w:r>
        <w:rPr>
          <w:rFonts w:hint="eastAsia" w:hAnsi="宋体" w:cs="宋体"/>
          <w:color w:val="auto"/>
          <w:sz w:val="24"/>
          <w:highlight w:val="none"/>
        </w:rPr>
        <w:t>日期：_____年____月____日</w:t>
      </w:r>
    </w:p>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3ubfcBAAAGBAAADgAAAGRycy9lMm9Eb2MueG1srVNNj9sgEL1X6n9A&#10;3Bs7UdVGVpzVdqNUlbYf0m5/AMHYoBoGDSR2+us74Di73V720AsamOHNe49hczPanp0UBgOu5stF&#10;yZlyEhrjupr/fNy/W3MWonCN6MGpmp9V4Dfbt282g6/UCjT0jUJGIC5Ug6+5jtFXRRGkVlaEBXjl&#10;KNkCWhFpi13RoBgI3fbFqiw/FANg4xGkCoFOd1OSXxDxNYDQtkaqHcijVS5OqKh6EUlS0MYHvs1s&#10;21bJ+L1tg4qsrzkpjXmlJhQf0lpsN6LqUHht5IWCeA2FF5qsMI6aXqF2Igp2RPMPlDUSIUAbFxJs&#10;MQnJjpCKZfnCmwctvMpayOrgr6aH/wcrv51+IDNNzT9y5oSlB39UY2SfYGTL8n02aPChoroHT5Vx&#10;pAyNTRYb/D3IX4E5uNPCdeoWEQatREMEl8na4tnV9CShCgnkMHyFhjqJY4QMNLZok3vkByN0epzz&#10;9XESG5larlfrdUkpSbl5k3qIar7uMcTPCixLQc2RXj/Di9N9iFPpXJK6Odibvs8T0Lu/DggznWT6&#10;ifHEPY6HkaqTjAM0ZxKCMA0UfScKNOBvzgYappo7+juc9V8cWZHmbg5wDg5zIJykizWPnE3hXZzm&#10;8+jRdJpwZ7Nvya69yUKeOFxY0nhkKy6jnObv+T5XPX3f7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aS3ubfcBAAAGBAAADgAAAAAAAAABACAAAAAeAQAAZHJzL2Uyb0RvYy54bWxQSwUGAAAA&#10;AAYABgBZAQAAhwU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ageBreakBefore/>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147955"/>
              <wp:effectExtent l="0" t="0" r="0" b="0"/>
              <wp:wrapNone/>
              <wp:docPr id="6" name="Text Box 1041"/>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41" o:spid="_x0000_s1026" o:spt="202" type="#_x0000_t202" style="position:absolute;left:0pt;margin-top:0pt;height:11.65pt;width:72.05pt;mso-position-horizontal:center;mso-position-horizontal-relative:margin;mso-wrap-style:none;z-index:251660288;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TAr94fwBAAAEBAAADgAAAGRycy9lMm9Eb2MueG1srVPBbtswDL0P&#10;2D8Iui+2u6ZbjThF1yDDgK4b0O4DFFmOhVmiQCmxs68fJdtZ11162EWgJOrxvUdqdTOYjh0Veg22&#10;4sUi50xZCbW2+4r/eNq++8iZD8LWogOrKn5Snt+s375Z9a5UF9BCVytkBGJ92buKtyG4Msu8bJUR&#10;fgFOWbpsAI0ItMV9VqPoCd102UWeX2U9YO0QpPKeTjfjJZ8Q8TWA0DRaqg3Ig1E2jKioOhFIkm+1&#10;83yd2DaNkuFb03gVWFdxUhrSSkUo3sU1W69EuUfhWi0nCuI1FF5oMkJbKnqG2ogg2AH1P1BGSwQP&#10;TVhIMNkoJDlCKor8hTePrXAqaSGrvTub7v8frHw4fkem64pfcWaFoYY/qSGwTzCwIr8sokG98yXl&#10;PTrKDAPd0Ngksd7dg/zpmYW7Vti9ukWEvlWiJoLpZfbs6YjjI8iu/wo1VRKHAAloaNBE98gPRujU&#10;nNO5OZGNpMPrYpm/X3Im6aq4/HC9XEZumSjnxw59+KzAsBhUHKn3CVwc730YU+eUWMvCVndd6n9n&#10;/zogzHiSyEe+I/Mw7IbJjB3UJ5KBMI4TfSYKWsBfnPU0ShW39HM4675YMiJO3RzgHOzmQFhJDyse&#10;OBvDuzBO58Gh3reEO1t9S2ZtdRISXR05TCxpOJIV0yDH6Xu+T1l/Pu/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O3qrfSAAAABAEAAA8AAAAAAAAAAQAgAAAAIgAAAGRycy9kb3ducmV2LnhtbFBL&#10;AQIUABQAAAAIAIdO4kBMCv3h/AEAAAQEAAAOAAAAAAAAAAEAIAAAACEBAABkcnMvZTJvRG9jLnht&#10;bFBLBQYAAAAABgAGAFkBAACPBQ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147955"/>
              <wp:effectExtent l="0" t="0" r="0" b="0"/>
              <wp:wrapNone/>
              <wp:docPr id="5" name="Text Box 1042"/>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pPr>
                            <w:pStyle w:val="4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42" o:spid="_x0000_s1026" o:spt="202" type="#_x0000_t202" style="position:absolute;left:0pt;margin-top:0pt;height:11.65pt;width:72.05pt;mso-position-horizontal:center;mso-position-horizontal-relative:margin;mso-wrap-style:none;z-index:251661312;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vyHCe/0BAAAEBAAADgAAAGRycy9lMm9Eb2MueG1srVPLbtswELwX&#10;6D8QvNeS3LhtBMtBGsNFgfQBJP0AmqIsoiKXWNKW3K/vkpLcNL3k0AuxJJezM7PL9c1gOnZS6DXY&#10;iheLnDNlJdTaHir+43H35gNnPghbiw6sqvhZeX6zef1q3btSLaGFrlbICMT6sncVb0NwZZZ52Soj&#10;/AKcsnTZABoRaIuHrEbRE7rpsmWev8t6wNohSOU9nW7HSz4h4ksAoWm0VFuQR6NsGFFRdSKQJN9q&#10;5/kmsW0aJcO3pvEqsK7ipDSklYpQvI9rtlmL8oDCtVpOFMRLKDzTZIS2VPQCtRVBsCPqf6CMlgge&#10;mrCQYLJRSHKEVBT5M28eWuFU0kJWe3cx3f8/WPn19B2Zriu+4swKQw1/VENgH2FgRX61jAb1zpeU&#10;9+AoMwx0Q2OTxHp3D/KnZxbuWmEP6hYR+laJmggW8WX25OmI4yPIvv8CNVUSxwAJaGjQRPfID0bo&#10;1JzzpTmRjaTD62KVvyWSkq6Kq/fXq1WqIMr5sUMfPikwLAYVR+p9Ahenex8iGVHOKbGWhZ3uutT/&#10;zv51QInxJJGPfEfmYdgPkxl7qM8kA2EcJ/pMFLSAvzjraZQqbunncNZ9tmREnLo5wDnYz4Gwkh5W&#10;PHA2hndhnM6jQ31oCXe2+pbM2ukkJLo6cphY0nAkfdMgx+l7uk9Zfz7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t6q30gAAAAQBAAAPAAAAAAAAAAEAIAAAACIAAABkcnMvZG93bnJldi54bWxQ&#10;SwECFAAUAAAACACHTuJAvyHCe/0BAAAEBAAADgAAAAAAAAABACAAAAAhAQAAZHJzL2Uyb0RvYy54&#10;bWxQSwUGAAAAAAYABgBZAQAAkAU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ageBreakBefore/>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15035" cy="147955"/>
              <wp:effectExtent l="0" t="0" r="0" b="0"/>
              <wp:wrapNone/>
              <wp:docPr id="4" name="Text Box 1043"/>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43" o:spid="_x0000_s1026" o:spt="202" type="#_x0000_t202" style="position:absolute;left:0pt;margin-top:0pt;height:11.65pt;width:72.05pt;mso-position-horizontal:center;mso-position-horizontal-relative:margin;mso-wrap-style:none;z-index:251662336;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7jjXDf4BAAAEBAAADgAAAGRycy9lMm9Eb2MueG1srVPLbtswELwX&#10;6D8QvNeSErttBMtBGsNFgTQtkPQDaIqyiIpcYklbcr++S8py87jk0AuxJJezM7PL5fVgOnZQ6DXY&#10;iheznDNlJdTa7ir+63Hz4TNnPghbiw6sqvhReX69ev9u2btSXUALXa2QEYj1Ze8q3obgyizzslVG&#10;+Bk4ZemyATQi0BZ3WY2iJ3TTZRd5/jHrAWuHIJX3dLoeL/kJEd8CCE2jpVqD3Btlw4iKqhOBJPlW&#10;O89XiW3TKBl+NI1XgXUVJ6UhrVSE4m1cs9VSlDsUrtXyREG8hcILTUZoS0XPUGsRBNujfgVltETw&#10;0ISZBJONQpIjpKLIX3jz0Aqnkhay2ruz6f7/wcr7w09kuq74nDMrDDX8UQ2BfYGBFfn8MhrUO19S&#10;3oOjzDDQDY1NEuvdHcjfnlm4bYXdqRtE6FslaiJYxJfZk6cjjo8g2/471FRJ7AMkoKFBE90jPxih&#10;U3OO5+ZENpIOr4pFfrngTNJVMf90tVikCqKcHjv04asCw2JQcaTeJ3BxuPMhkhHllBJrWdjorkv9&#10;7+yzA0qMJ4l85DsyD8N2OJmxhfpIMhDGcaLPREEL+Ieznkap4pZ+DmfdN0tGxKmbApyC7RQIK+lh&#10;xQNnY3gbxuncO9S7lnAnq2/IrI1OQqKrI4cTSxqOpO80yHH6nu5T1r/Pu/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7eqt9IAAAAEAQAADwAAAAAAAAABACAAAAAiAAAAZHJzL2Rvd25yZXYueG1s&#10;UEsBAhQAFAAAAAgAh07iQO441w3+AQAABAQAAA4AAAAAAAAAAQAgAAAAIQEAAGRycy9lMm9Eb2Mu&#10;eG1sUEsFBgAAAAAGAAYAWQEAAJEFA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Text Box 1044"/>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4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44" o:spid="_x0000_s1026" o:spt="202" type="#_x0000_t202" style="position:absolute;left:0pt;margin-top:0pt;height:11.65pt;width:76.55pt;mso-position-horizontal:center;mso-position-horizontal-relative:margin;mso-wrap-style:none;z-index:251663360;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71orn/4BAAAEBAAADgAAAGRycy9lMm9Eb2MueG1srVPLbtswELwX&#10;6D8QvNeSXLtJBMtBGsNFgfQBJP0AmqIsoiKXWNKW3K/vkrLcNL3k0AuxJJezM7PL1e1gOnZU6DXY&#10;iheznDNlJdTa7iv+42n77pozH4StRQdWVfykPL9dv32z6l2p5tBCVytkBGJ92buKtyG4Msu8bJUR&#10;fgZOWbpsAI0ItMV9VqPoCd102TzPP2Q9YO0QpPKeTjfjJT8j4msAoWm0VBuQB6NsGFFRdSKQJN9q&#10;5/k6sW0aJcO3pvEqsK7ipDSklYpQvItrtl6Jco/CtVqeKYjXUHihyQhtqegFaiOCYAfU/0AZLRE8&#10;NGEmwWSjkOQIqSjyF948tsKppIWs9u5iuv9/sPLr8TsyXVf8PWdWGGr4kxoC+wgDK/LFIhrUO19S&#10;3qOjzDDQDY1NEuvdA8ifnlm4b4XdqztE6FslaiJYxJfZs6cjjo8gu/4L1FRJHAIkoKFBE90jPxih&#10;U3NOl+ZENpIOb67mxfWSM0lXxeLqZrlMFUQ5PXbowycFhsWg4ki9T+Di+OBDJCPKKSXWsrDVXZf6&#10;39m/DigxniTyke/IPAy74WzGDuoTyUAYx4k+EwUt4C/Oehqlilv6OZx1ny0ZEaduCnAKdlMgrKSH&#10;FQ+cjeF9GKfz4FDvW8KdrL4js7Y6CYmujhzOLGk4kr7zIMfpe75PWX8+7/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J2k0NIAAAAEAQAADwAAAAAAAAABACAAAAAiAAAAZHJzL2Rvd25yZXYueG1s&#10;UEsBAhQAFAAAAAgAh07iQO9aK5/+AQAABAQAAA4AAAAAAAAAAQAgAAAAIQEAAGRycy9lMm9Eb2Mu&#10;eG1sUEsFBgAAAAAGAAYAWQEAAJEFA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p>
    <w:pPr>
      <w:pStyle w:val="4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Text Box 1045"/>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4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45" o:spid="_x0000_s1026" o:spt="202" type="#_x0000_t202" style="position:absolute;left:0pt;margin-top:0pt;height:11.65pt;width:76.55pt;mso-position-horizontal:center;mso-position-horizontal-relative:margin;mso-wrap-style:none;z-index:25166438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vkM+6f0BAAAEBAAADgAAAGRycy9lMm9Eb2MueG1srVPBbtswDL0P&#10;2D8Iui+2g2ZtjThF1yDDgG4d0PYDFFmOhVmiQCmxs68fJcdZ11166EWgJOrxvUdqeTOYjh0Ueg22&#10;4sUs50xZCbW2u4o/P20+XXHmg7C16MCqih+V5zerjx+WvSvVHFroaoWMQKwve1fxNgRXZpmXrTLC&#10;z8ApS5cNoBGBtrjLahQ9oZsum+f556wHrB2CVN7T6Xq85CdEfAsgNI2Wag1yb5QNIyqqTgSS5Fvt&#10;PF8ltk2jZHhoGq8C6ypOSkNaqQjF27hmq6Uodyhcq+WJgngLhVeajNCWip6h1iIItkf9H5TREsFD&#10;E2YSTDYKSY6QiiJ/5c1jK5xKWshq786m+/eDlT8OP5HpuuJzzqww1PAnNQT2BQZW5BeLaFDvfEl5&#10;j44yw0A3NDZJrHf3IH95ZuGuFXanbhGhb5WoiWARX2Yvno44PoJs++9QUyWxD5CAhgZNdI/8YIRO&#10;zTmemxPZSDq8vpwXVwvOJF0VF5fXi8QtE+X02KEPXxUYFoOKI/U+gYvDvQ+RjCinlFjLwkZ3Xep/&#10;Z/85oMR4kshHviPzMGyHkxlbqI8kA2EcJ/pMFLSAvznraZQqbunncNZ9s2REnLopwCnYToGwkh5W&#10;PHA2hndhnM69Q71rCXey+pbM2ugkJLo6cjixpOFI+k6DHKfv5T5l/f28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0naTQ0gAAAAQBAAAPAAAAAAAAAAEAIAAAACIAAABkcnMvZG93bnJldi54bWxQ&#10;SwECFAAUAAAACACHTuJAvkM+6f0BAAAEBAAADgAAAAAAAAABACAAAAAhAQAAZHJzL2Uyb0RvYy54&#10;bWxQSwUGAAAAAAYABgBZAQAAkAU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104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46" o:spid="_x0000_s1026" o:spt="202" type="#_x0000_t202" style="position:absolute;left:0pt;margin-top:0pt;height:11.65pt;width:76.55pt;mso-position-horizontal:center;mso-position-horizontal-relative:margin;mso-wrap-style:none;z-index:25166540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TWgBc/0BAAAEBAAADgAAAGRycy9lMm9Eb2MueG1srVPLbtswELwX&#10;6D8QvNeSjDgPwXKQxnBRIH0AST6ApiiLqMgllrQl9+u7pCw3TS459EIsyeXszOxyeTuYjh0Ueg22&#10;4sUs50xZCbW2u4o/P20+XXPmg7C16MCqih+V57erjx+WvSvVHFroaoWMQKwve1fxNgRXZpmXrTLC&#10;z8ApS5cNoBGBtrjLahQ9oZsum+f5ZdYD1g5BKu/pdD1e8hMivgcQmkZLtQa5N8qGERVVJwJJ8q12&#10;nq8S26ZRMvxoGq8C6ypOSkNaqQjF27hmq6Uodyhcq+WJgngPhVeajNCWip6h1iIItkf9BspoieCh&#10;CTMJJhuFJEdIRZG/8uaxFU4lLWS1d2fT/f+Dld8PP5HpmiaBMysMNfxJDYF9hoEV+cVlNKh3vqS8&#10;R0eZYaCbmBzFevcA8pdnFu5bYXfqDhH6VomaCBbxZfbi6YjjI8i2/wY1VRL7AAloaNBEQPKDETo1&#10;53huTmQj6fDmal5cLziTdFVcXN0sFqmCKKfHDn34osCwGFQcqfcJXBwefIhkRDmlxFoWNrrrUv87&#10;+88BJcaTRD7yHZmHYTuczNhCfSQZCOM40WeioAX8zVlPo1RxSz+Hs+6rJSPi1E0BTsF2CoSV9LDi&#10;gbMxvA/jdO4d6l1LuJPVd2TWRich0dWRw4klDUfSdxrkOH0v9ynr7+dd/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0naTQ0gAAAAQBAAAPAAAAAAAAAAEAIAAAACIAAABkcnMvZG93bnJldi54bWxQ&#10;SwECFAAUAAAACACHTuJATWgBc/0BAAAEBAAADgAAAAAAAAABACAAAAAhAQAAZHJzL2Uyb0RvYy54&#10;bWxQSwUGAAAAAAYABgBZAQAAkAU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clear" w:pos="4153"/>
        <w:tab w:val="clear" w:pos="8306"/>
      </w:tabs>
      <w:jc w:val="both"/>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FABFC452"/>
    <w:multiLevelType w:val="singleLevel"/>
    <w:tmpl w:val="FABFC452"/>
    <w:lvl w:ilvl="0" w:tentative="0">
      <w:start w:val="1"/>
      <w:numFmt w:val="decimal"/>
      <w:lvlText w:val="%1."/>
      <w:lvlJc w:val="right"/>
      <w:pPr>
        <w:ind w:left="420" w:hanging="420"/>
      </w:pPr>
      <w:rPr>
        <w:rFonts w:hint="eastAsia"/>
      </w:rPr>
    </w:lvl>
  </w:abstractNum>
  <w:abstractNum w:abstractNumId="3">
    <w:nsid w:val="097E5B2C"/>
    <w:multiLevelType w:val="multilevel"/>
    <w:tmpl w:val="097E5B2C"/>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E5C5CA2"/>
    <w:multiLevelType w:val="multilevel"/>
    <w:tmpl w:val="1E5C5CA2"/>
    <w:lvl w:ilvl="0" w:tentative="0">
      <w:start w:val="1"/>
      <w:numFmt w:val="decimal"/>
      <w:lvlText w:val="（%1）"/>
      <w:lvlJc w:val="left"/>
      <w:pPr>
        <w:ind w:left="900" w:hanging="420"/>
      </w:pPr>
      <w:rPr>
        <w:rFonts w:hint="eastAsia"/>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95A283C"/>
    <w:multiLevelType w:val="multilevel"/>
    <w:tmpl w:val="295A283C"/>
    <w:lvl w:ilvl="0" w:tentative="0">
      <w:start w:val="1"/>
      <w:numFmt w:val="decimal"/>
      <w:lvlText w:val="（%1）"/>
      <w:lvlJc w:val="left"/>
      <w:pPr>
        <w:ind w:left="900" w:hanging="420"/>
      </w:pPr>
      <w:rPr>
        <w:rFonts w:hint="eastAsia"/>
      </w:rPr>
    </w:lvl>
    <w:lvl w:ilvl="1" w:tentative="0">
      <w:start w:val="3"/>
      <w:numFmt w:val="bullet"/>
      <w:lvlText w:val="▲"/>
      <w:lvlJc w:val="left"/>
      <w:pPr>
        <w:ind w:left="1620" w:hanging="720"/>
      </w:pPr>
      <w:rPr>
        <w:rFonts w:hint="eastAsia" w:ascii="宋体" w:hAnsi="宋体" w:eastAsia="宋体" w:cs="宋体"/>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B7C7841"/>
    <w:multiLevelType w:val="multilevel"/>
    <w:tmpl w:val="2B7C784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8">
    <w:nsid w:val="320D666A"/>
    <w:multiLevelType w:val="multilevel"/>
    <w:tmpl w:val="320D666A"/>
    <w:lvl w:ilvl="0" w:tentative="0">
      <w:start w:val="1"/>
      <w:numFmt w:val="decimal"/>
      <w:lvlText w:val="%1."/>
      <w:lvlJc w:val="right"/>
      <w:pPr>
        <w:ind w:left="420" w:hanging="420"/>
      </w:pPr>
      <w:rPr>
        <w:rFonts w:hint="eastAsia"/>
      </w:rPr>
    </w:lvl>
    <w:lvl w:ilvl="1" w:tentative="0">
      <w:start w:val="1"/>
      <w:numFmt w:val="decimal"/>
      <w:lvlText w:val="%2."/>
      <w:lvlJc w:val="righ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8EC77AC"/>
    <w:multiLevelType w:val="multilevel"/>
    <w:tmpl w:val="38EC77AC"/>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0">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A3177FA"/>
    <w:multiLevelType w:val="multilevel"/>
    <w:tmpl w:val="4A3177FA"/>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410FF8"/>
    <w:multiLevelType w:val="multilevel"/>
    <w:tmpl w:val="57410FF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8906492"/>
    <w:multiLevelType w:val="multilevel"/>
    <w:tmpl w:val="58906492"/>
    <w:lvl w:ilvl="0" w:tentative="0">
      <w:start w:val="1"/>
      <w:numFmt w:val="decimal"/>
      <w:lvlText w:val="%1."/>
      <w:lvlJc w:val="righ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591E10B6"/>
    <w:multiLevelType w:val="multilevel"/>
    <w:tmpl w:val="591E10B6"/>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6">
    <w:nsid w:val="5B5B7F6A"/>
    <w:multiLevelType w:val="multilevel"/>
    <w:tmpl w:val="5B5B7F6A"/>
    <w:lvl w:ilvl="0" w:tentative="0">
      <w:start w:val="1"/>
      <w:numFmt w:val="decimal"/>
      <w:lvlText w:val="%1"/>
      <w:lvlJc w:val="left"/>
      <w:pPr>
        <w:ind w:left="4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D804704"/>
    <w:multiLevelType w:val="singleLevel"/>
    <w:tmpl w:val="5D804704"/>
    <w:lvl w:ilvl="0" w:tentative="0">
      <w:start w:val="1"/>
      <w:numFmt w:val="chineseCounting"/>
      <w:suff w:val="nothing"/>
      <w:lvlText w:val="%1、"/>
      <w:lvlJc w:val="left"/>
    </w:lvl>
  </w:abstractNum>
  <w:abstractNum w:abstractNumId="18">
    <w:nsid w:val="5D804826"/>
    <w:multiLevelType w:val="singleLevel"/>
    <w:tmpl w:val="5D804826"/>
    <w:lvl w:ilvl="0" w:tentative="0">
      <w:start w:val="1"/>
      <w:numFmt w:val="decimal"/>
      <w:suff w:val="nothing"/>
      <w:lvlText w:val="%1."/>
      <w:lvlJc w:val="left"/>
    </w:lvl>
  </w:abstractNum>
  <w:abstractNum w:abstractNumId="19">
    <w:nsid w:val="5E095C0A"/>
    <w:multiLevelType w:val="multilevel"/>
    <w:tmpl w:val="5E095C0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12"/>
  </w:num>
  <w:num w:numId="3">
    <w:abstractNumId w:val="19"/>
  </w:num>
  <w:num w:numId="4">
    <w:abstractNumId w:val="2"/>
  </w:num>
  <w:num w:numId="5">
    <w:abstractNumId w:val="6"/>
  </w:num>
  <w:num w:numId="6">
    <w:abstractNumId w:val="13"/>
  </w:num>
  <w:num w:numId="7">
    <w:abstractNumId w:val="4"/>
  </w:num>
  <w:num w:numId="8">
    <w:abstractNumId w:val="5"/>
  </w:num>
  <w:num w:numId="9">
    <w:abstractNumId w:val="3"/>
  </w:num>
  <w:num w:numId="10">
    <w:abstractNumId w:val="14"/>
  </w:num>
  <w:num w:numId="11">
    <w:abstractNumId w:val="15"/>
  </w:num>
  <w:num w:numId="12">
    <w:abstractNumId w:val="9"/>
  </w:num>
  <w:num w:numId="13">
    <w:abstractNumId w:val="8"/>
  </w:num>
  <w:num w:numId="14">
    <w:abstractNumId w:val="16"/>
  </w:num>
  <w:num w:numId="15">
    <w:abstractNumId w:val="17"/>
  </w:num>
  <w:num w:numId="16">
    <w:abstractNumId w:val="11"/>
  </w:num>
  <w:num w:numId="17">
    <w:abstractNumId w:val="7"/>
  </w:num>
  <w:num w:numId="18">
    <w:abstractNumId w:val="10"/>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85F"/>
    <w:rsid w:val="00072AED"/>
    <w:rsid w:val="00072B56"/>
    <w:rsid w:val="00072D2B"/>
    <w:rsid w:val="00072D51"/>
    <w:rsid w:val="000730B1"/>
    <w:rsid w:val="00073860"/>
    <w:rsid w:val="000738EA"/>
    <w:rsid w:val="00074078"/>
    <w:rsid w:val="00074312"/>
    <w:rsid w:val="00075B15"/>
    <w:rsid w:val="00075D0E"/>
    <w:rsid w:val="00075F6A"/>
    <w:rsid w:val="00076159"/>
    <w:rsid w:val="0007616C"/>
    <w:rsid w:val="000763B5"/>
    <w:rsid w:val="000763F3"/>
    <w:rsid w:val="000766D2"/>
    <w:rsid w:val="00076801"/>
    <w:rsid w:val="00077577"/>
    <w:rsid w:val="00077607"/>
    <w:rsid w:val="00077756"/>
    <w:rsid w:val="00077B7F"/>
    <w:rsid w:val="000800CB"/>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8AB"/>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5FC"/>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0ED"/>
    <w:rsid w:val="00173631"/>
    <w:rsid w:val="0017372D"/>
    <w:rsid w:val="00173826"/>
    <w:rsid w:val="00173C58"/>
    <w:rsid w:val="00173E59"/>
    <w:rsid w:val="001741DC"/>
    <w:rsid w:val="00174C4F"/>
    <w:rsid w:val="00174F57"/>
    <w:rsid w:val="00175078"/>
    <w:rsid w:val="001755DC"/>
    <w:rsid w:val="0017601E"/>
    <w:rsid w:val="00176AA6"/>
    <w:rsid w:val="00177063"/>
    <w:rsid w:val="001777D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2DB"/>
    <w:rsid w:val="00191459"/>
    <w:rsid w:val="00191603"/>
    <w:rsid w:val="0019173E"/>
    <w:rsid w:val="0019174E"/>
    <w:rsid w:val="0019196B"/>
    <w:rsid w:val="001923D5"/>
    <w:rsid w:val="00192991"/>
    <w:rsid w:val="001932C4"/>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169"/>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F68"/>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800"/>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39C"/>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BDF"/>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C24"/>
    <w:rsid w:val="00266DE1"/>
    <w:rsid w:val="00267A92"/>
    <w:rsid w:val="00267E43"/>
    <w:rsid w:val="00270282"/>
    <w:rsid w:val="00270780"/>
    <w:rsid w:val="00270CF6"/>
    <w:rsid w:val="00271097"/>
    <w:rsid w:val="00271C53"/>
    <w:rsid w:val="0027244F"/>
    <w:rsid w:val="00273052"/>
    <w:rsid w:val="00273574"/>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1FAF"/>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C1D"/>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9B9"/>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108"/>
    <w:rsid w:val="002F647C"/>
    <w:rsid w:val="002F6C6B"/>
    <w:rsid w:val="002F6CB0"/>
    <w:rsid w:val="002F6EFF"/>
    <w:rsid w:val="002F7DF0"/>
    <w:rsid w:val="002F7FAF"/>
    <w:rsid w:val="00300573"/>
    <w:rsid w:val="003025FE"/>
    <w:rsid w:val="00302A27"/>
    <w:rsid w:val="00303AB6"/>
    <w:rsid w:val="00304640"/>
    <w:rsid w:val="00304AC1"/>
    <w:rsid w:val="00305090"/>
    <w:rsid w:val="00305445"/>
    <w:rsid w:val="00305454"/>
    <w:rsid w:val="00305B9F"/>
    <w:rsid w:val="00305E21"/>
    <w:rsid w:val="003066C6"/>
    <w:rsid w:val="003066FA"/>
    <w:rsid w:val="0030691D"/>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5A0"/>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164"/>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5BF"/>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408"/>
    <w:rsid w:val="003F42FF"/>
    <w:rsid w:val="003F4B48"/>
    <w:rsid w:val="003F4DDC"/>
    <w:rsid w:val="003F56B8"/>
    <w:rsid w:val="003F5F1A"/>
    <w:rsid w:val="003F6327"/>
    <w:rsid w:val="003F7425"/>
    <w:rsid w:val="003F765B"/>
    <w:rsid w:val="003F7CB8"/>
    <w:rsid w:val="00400CB4"/>
    <w:rsid w:val="00401386"/>
    <w:rsid w:val="004013E6"/>
    <w:rsid w:val="00401E31"/>
    <w:rsid w:val="0040254B"/>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D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BBF"/>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357"/>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6E48"/>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6A2"/>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3FE"/>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951"/>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2EC8"/>
    <w:rsid w:val="0064330A"/>
    <w:rsid w:val="00643F89"/>
    <w:rsid w:val="00644334"/>
    <w:rsid w:val="0064487C"/>
    <w:rsid w:val="00644BED"/>
    <w:rsid w:val="00644E2E"/>
    <w:rsid w:val="00645A3A"/>
    <w:rsid w:val="00645B87"/>
    <w:rsid w:val="00645CB4"/>
    <w:rsid w:val="00646084"/>
    <w:rsid w:val="006468ED"/>
    <w:rsid w:val="00646C4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AAF"/>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313"/>
    <w:rsid w:val="006C6A51"/>
    <w:rsid w:val="006C6EBD"/>
    <w:rsid w:val="006C7341"/>
    <w:rsid w:val="006C7E04"/>
    <w:rsid w:val="006C7F79"/>
    <w:rsid w:val="006D0004"/>
    <w:rsid w:val="006D015F"/>
    <w:rsid w:val="006D060E"/>
    <w:rsid w:val="006D0681"/>
    <w:rsid w:val="006D0A80"/>
    <w:rsid w:val="006D0AE8"/>
    <w:rsid w:val="006D135C"/>
    <w:rsid w:val="006D1B7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14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0E8"/>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B73"/>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9FF"/>
    <w:rsid w:val="00797D73"/>
    <w:rsid w:val="007A006C"/>
    <w:rsid w:val="007A0789"/>
    <w:rsid w:val="007A130E"/>
    <w:rsid w:val="007A18B1"/>
    <w:rsid w:val="007A1BBD"/>
    <w:rsid w:val="007A1F08"/>
    <w:rsid w:val="007A2555"/>
    <w:rsid w:val="007A25FA"/>
    <w:rsid w:val="007A2C3E"/>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8AC"/>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FA5"/>
    <w:rsid w:val="007E53D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A41"/>
    <w:rsid w:val="008320D2"/>
    <w:rsid w:val="008321CE"/>
    <w:rsid w:val="0083257C"/>
    <w:rsid w:val="0083261B"/>
    <w:rsid w:val="00832B44"/>
    <w:rsid w:val="00832EC9"/>
    <w:rsid w:val="00833307"/>
    <w:rsid w:val="00833583"/>
    <w:rsid w:val="00833B5B"/>
    <w:rsid w:val="00833E9A"/>
    <w:rsid w:val="00834FEF"/>
    <w:rsid w:val="00836323"/>
    <w:rsid w:val="008379B6"/>
    <w:rsid w:val="00837D3D"/>
    <w:rsid w:val="00837E9B"/>
    <w:rsid w:val="008404AA"/>
    <w:rsid w:val="008406D7"/>
    <w:rsid w:val="0084074F"/>
    <w:rsid w:val="008407BA"/>
    <w:rsid w:val="00840AA3"/>
    <w:rsid w:val="00840AAC"/>
    <w:rsid w:val="0084101C"/>
    <w:rsid w:val="0084159B"/>
    <w:rsid w:val="0084181B"/>
    <w:rsid w:val="00841F29"/>
    <w:rsid w:val="008425CC"/>
    <w:rsid w:val="00842DC2"/>
    <w:rsid w:val="00842FD3"/>
    <w:rsid w:val="0084357B"/>
    <w:rsid w:val="008465B4"/>
    <w:rsid w:val="00846D25"/>
    <w:rsid w:val="00850013"/>
    <w:rsid w:val="008500DD"/>
    <w:rsid w:val="00850A0A"/>
    <w:rsid w:val="00850A94"/>
    <w:rsid w:val="00851E96"/>
    <w:rsid w:val="00851F1C"/>
    <w:rsid w:val="00852FA5"/>
    <w:rsid w:val="008530DC"/>
    <w:rsid w:val="00853F7D"/>
    <w:rsid w:val="0085517F"/>
    <w:rsid w:val="0085562D"/>
    <w:rsid w:val="00855A78"/>
    <w:rsid w:val="008560E1"/>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C19"/>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6EA"/>
    <w:rsid w:val="00931AB8"/>
    <w:rsid w:val="00931C19"/>
    <w:rsid w:val="00931C63"/>
    <w:rsid w:val="00931D10"/>
    <w:rsid w:val="0093218A"/>
    <w:rsid w:val="009334CE"/>
    <w:rsid w:val="0093386D"/>
    <w:rsid w:val="00934C8E"/>
    <w:rsid w:val="00934DD7"/>
    <w:rsid w:val="00935194"/>
    <w:rsid w:val="00936935"/>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2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1AA"/>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46F"/>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DA"/>
    <w:rsid w:val="00A526CE"/>
    <w:rsid w:val="00A53CE6"/>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D9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AB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582"/>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37"/>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1A"/>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AF"/>
    <w:rsid w:val="00B56ECA"/>
    <w:rsid w:val="00B57093"/>
    <w:rsid w:val="00B57B5D"/>
    <w:rsid w:val="00B60613"/>
    <w:rsid w:val="00B61AEC"/>
    <w:rsid w:val="00B622A8"/>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20"/>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6FDB"/>
    <w:rsid w:val="00B9789D"/>
    <w:rsid w:val="00B97A4C"/>
    <w:rsid w:val="00BA050E"/>
    <w:rsid w:val="00BA1289"/>
    <w:rsid w:val="00BA14B2"/>
    <w:rsid w:val="00BA15DC"/>
    <w:rsid w:val="00BA1E2F"/>
    <w:rsid w:val="00BA1EB8"/>
    <w:rsid w:val="00BA2C82"/>
    <w:rsid w:val="00BA30F1"/>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E6"/>
    <w:rsid w:val="00BB47A3"/>
    <w:rsid w:val="00BB481E"/>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353"/>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33"/>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4B3"/>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0FF9"/>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32"/>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BD"/>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9"/>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787"/>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B7C"/>
    <w:rsid w:val="00DA0175"/>
    <w:rsid w:val="00DA099C"/>
    <w:rsid w:val="00DA0F18"/>
    <w:rsid w:val="00DA2125"/>
    <w:rsid w:val="00DA21EC"/>
    <w:rsid w:val="00DA24DE"/>
    <w:rsid w:val="00DA270C"/>
    <w:rsid w:val="00DA281F"/>
    <w:rsid w:val="00DA3C5B"/>
    <w:rsid w:val="00DA3D23"/>
    <w:rsid w:val="00DA4A61"/>
    <w:rsid w:val="00DA53CC"/>
    <w:rsid w:val="00DA5AFE"/>
    <w:rsid w:val="00DA61AB"/>
    <w:rsid w:val="00DA61CD"/>
    <w:rsid w:val="00DA6EE2"/>
    <w:rsid w:val="00DA718A"/>
    <w:rsid w:val="00DA78CF"/>
    <w:rsid w:val="00DA78D5"/>
    <w:rsid w:val="00DA7A89"/>
    <w:rsid w:val="00DA7BF4"/>
    <w:rsid w:val="00DB052F"/>
    <w:rsid w:val="00DB14D3"/>
    <w:rsid w:val="00DB154B"/>
    <w:rsid w:val="00DB1969"/>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1E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239"/>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8CF"/>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E9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F85"/>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C4C9F"/>
    <w:rsid w:val="013D1A7E"/>
    <w:rsid w:val="0155173E"/>
    <w:rsid w:val="0168356F"/>
    <w:rsid w:val="019F7441"/>
    <w:rsid w:val="01A319FB"/>
    <w:rsid w:val="01B37585"/>
    <w:rsid w:val="01D55165"/>
    <w:rsid w:val="01DF6BF8"/>
    <w:rsid w:val="01EB4211"/>
    <w:rsid w:val="01EC2C57"/>
    <w:rsid w:val="02151639"/>
    <w:rsid w:val="026B2E25"/>
    <w:rsid w:val="02824D4D"/>
    <w:rsid w:val="02C46BBB"/>
    <w:rsid w:val="02CE3442"/>
    <w:rsid w:val="02D23086"/>
    <w:rsid w:val="02DC4B10"/>
    <w:rsid w:val="02DD76CE"/>
    <w:rsid w:val="02F36323"/>
    <w:rsid w:val="02F5619C"/>
    <w:rsid w:val="03200295"/>
    <w:rsid w:val="03201783"/>
    <w:rsid w:val="0326446A"/>
    <w:rsid w:val="032D5555"/>
    <w:rsid w:val="036634D2"/>
    <w:rsid w:val="037B371D"/>
    <w:rsid w:val="037B41DE"/>
    <w:rsid w:val="03B77F2C"/>
    <w:rsid w:val="03DD35E4"/>
    <w:rsid w:val="04076900"/>
    <w:rsid w:val="041A5A3B"/>
    <w:rsid w:val="042311BA"/>
    <w:rsid w:val="042B157A"/>
    <w:rsid w:val="043164D2"/>
    <w:rsid w:val="0449709D"/>
    <w:rsid w:val="048F763B"/>
    <w:rsid w:val="049F330E"/>
    <w:rsid w:val="04AA775C"/>
    <w:rsid w:val="04AF1889"/>
    <w:rsid w:val="04CA06D2"/>
    <w:rsid w:val="04F66F48"/>
    <w:rsid w:val="050F7C41"/>
    <w:rsid w:val="05251E14"/>
    <w:rsid w:val="052A53FB"/>
    <w:rsid w:val="0533087A"/>
    <w:rsid w:val="054B2EBB"/>
    <w:rsid w:val="05541A7D"/>
    <w:rsid w:val="055D43D2"/>
    <w:rsid w:val="05A16594"/>
    <w:rsid w:val="05A7762D"/>
    <w:rsid w:val="05CA44E8"/>
    <w:rsid w:val="06011897"/>
    <w:rsid w:val="060E5941"/>
    <w:rsid w:val="06110FAF"/>
    <w:rsid w:val="06336531"/>
    <w:rsid w:val="06493CA7"/>
    <w:rsid w:val="065A6178"/>
    <w:rsid w:val="066F1CF3"/>
    <w:rsid w:val="06930BB8"/>
    <w:rsid w:val="06DC1F3F"/>
    <w:rsid w:val="07022415"/>
    <w:rsid w:val="07245D42"/>
    <w:rsid w:val="07264C62"/>
    <w:rsid w:val="07513407"/>
    <w:rsid w:val="075D5951"/>
    <w:rsid w:val="077855B9"/>
    <w:rsid w:val="0779354C"/>
    <w:rsid w:val="079F6195"/>
    <w:rsid w:val="07A729F6"/>
    <w:rsid w:val="07B40C6E"/>
    <w:rsid w:val="07D15156"/>
    <w:rsid w:val="07D61AFF"/>
    <w:rsid w:val="07E66F84"/>
    <w:rsid w:val="08061376"/>
    <w:rsid w:val="080D354F"/>
    <w:rsid w:val="082A6473"/>
    <w:rsid w:val="08452D77"/>
    <w:rsid w:val="086401F8"/>
    <w:rsid w:val="08751CAA"/>
    <w:rsid w:val="087E4C40"/>
    <w:rsid w:val="088274F0"/>
    <w:rsid w:val="08AA4CC9"/>
    <w:rsid w:val="08D66AD6"/>
    <w:rsid w:val="08DA33A3"/>
    <w:rsid w:val="08E80F13"/>
    <w:rsid w:val="092B34F0"/>
    <w:rsid w:val="09335624"/>
    <w:rsid w:val="0944690F"/>
    <w:rsid w:val="09505E60"/>
    <w:rsid w:val="09535675"/>
    <w:rsid w:val="095D7CBE"/>
    <w:rsid w:val="095F057D"/>
    <w:rsid w:val="09642282"/>
    <w:rsid w:val="09733572"/>
    <w:rsid w:val="09772C16"/>
    <w:rsid w:val="098353B5"/>
    <w:rsid w:val="09921684"/>
    <w:rsid w:val="09A92330"/>
    <w:rsid w:val="09B06B87"/>
    <w:rsid w:val="09C13146"/>
    <w:rsid w:val="09E04166"/>
    <w:rsid w:val="0A022E04"/>
    <w:rsid w:val="0A1C0718"/>
    <w:rsid w:val="0A2E2D1E"/>
    <w:rsid w:val="0A3E7710"/>
    <w:rsid w:val="0A5B7E63"/>
    <w:rsid w:val="0A5C3149"/>
    <w:rsid w:val="0A82266F"/>
    <w:rsid w:val="0A8A7C8B"/>
    <w:rsid w:val="0AA374A5"/>
    <w:rsid w:val="0AA51080"/>
    <w:rsid w:val="0AAB7649"/>
    <w:rsid w:val="0ABC5606"/>
    <w:rsid w:val="0AE012BD"/>
    <w:rsid w:val="0AEE6ECB"/>
    <w:rsid w:val="0B012ED1"/>
    <w:rsid w:val="0B2E376B"/>
    <w:rsid w:val="0B30404E"/>
    <w:rsid w:val="0B4C6C14"/>
    <w:rsid w:val="0B631A88"/>
    <w:rsid w:val="0B683D45"/>
    <w:rsid w:val="0B7F3F11"/>
    <w:rsid w:val="0B7F3FC7"/>
    <w:rsid w:val="0B884417"/>
    <w:rsid w:val="0B973B9D"/>
    <w:rsid w:val="0B9B3571"/>
    <w:rsid w:val="0BDE0321"/>
    <w:rsid w:val="0BF6188C"/>
    <w:rsid w:val="0BF64210"/>
    <w:rsid w:val="0BF73C91"/>
    <w:rsid w:val="0C0E5D5C"/>
    <w:rsid w:val="0C170175"/>
    <w:rsid w:val="0C1A1C88"/>
    <w:rsid w:val="0C5433A9"/>
    <w:rsid w:val="0C571A41"/>
    <w:rsid w:val="0C5C1171"/>
    <w:rsid w:val="0C5E1CBC"/>
    <w:rsid w:val="0C615B50"/>
    <w:rsid w:val="0C794C63"/>
    <w:rsid w:val="0C8445DA"/>
    <w:rsid w:val="0C87121B"/>
    <w:rsid w:val="0CBA4FBD"/>
    <w:rsid w:val="0CBC43C2"/>
    <w:rsid w:val="0CC007F7"/>
    <w:rsid w:val="0CD60B29"/>
    <w:rsid w:val="0CDA49FC"/>
    <w:rsid w:val="0CFE707A"/>
    <w:rsid w:val="0D063BDA"/>
    <w:rsid w:val="0D08375F"/>
    <w:rsid w:val="0D184CFB"/>
    <w:rsid w:val="0D1E7791"/>
    <w:rsid w:val="0D4A7419"/>
    <w:rsid w:val="0D800120"/>
    <w:rsid w:val="0D827401"/>
    <w:rsid w:val="0D84094E"/>
    <w:rsid w:val="0D8A00E9"/>
    <w:rsid w:val="0D8D589E"/>
    <w:rsid w:val="0DA01C73"/>
    <w:rsid w:val="0DA848DF"/>
    <w:rsid w:val="0DD63300"/>
    <w:rsid w:val="0DF50604"/>
    <w:rsid w:val="0DF702FE"/>
    <w:rsid w:val="0E060E51"/>
    <w:rsid w:val="0E0C355A"/>
    <w:rsid w:val="0E512AC2"/>
    <w:rsid w:val="0E550E35"/>
    <w:rsid w:val="0E5604B2"/>
    <w:rsid w:val="0E5E6115"/>
    <w:rsid w:val="0E6D5D79"/>
    <w:rsid w:val="0E841B78"/>
    <w:rsid w:val="0E865DB1"/>
    <w:rsid w:val="0E9D0089"/>
    <w:rsid w:val="0EB803EE"/>
    <w:rsid w:val="0EF94D4B"/>
    <w:rsid w:val="0F014840"/>
    <w:rsid w:val="0F1152ED"/>
    <w:rsid w:val="0F285729"/>
    <w:rsid w:val="0F4958DC"/>
    <w:rsid w:val="0F4B0B32"/>
    <w:rsid w:val="0F515DF7"/>
    <w:rsid w:val="0F596BA8"/>
    <w:rsid w:val="0F622BA6"/>
    <w:rsid w:val="0F6248D2"/>
    <w:rsid w:val="0F693536"/>
    <w:rsid w:val="0F7554C5"/>
    <w:rsid w:val="0F7B0511"/>
    <w:rsid w:val="0F7B76D9"/>
    <w:rsid w:val="0F816ACD"/>
    <w:rsid w:val="0F9832DB"/>
    <w:rsid w:val="0FBF3FD2"/>
    <w:rsid w:val="0FBF7FF3"/>
    <w:rsid w:val="0FE73920"/>
    <w:rsid w:val="0FE73EE9"/>
    <w:rsid w:val="0FFD54BA"/>
    <w:rsid w:val="10043AE6"/>
    <w:rsid w:val="103F4D41"/>
    <w:rsid w:val="10646583"/>
    <w:rsid w:val="107D4B15"/>
    <w:rsid w:val="107D65A4"/>
    <w:rsid w:val="108414CF"/>
    <w:rsid w:val="108A3C80"/>
    <w:rsid w:val="10AA73F0"/>
    <w:rsid w:val="10C26171"/>
    <w:rsid w:val="10F33360"/>
    <w:rsid w:val="10FC16EA"/>
    <w:rsid w:val="110F1D40"/>
    <w:rsid w:val="11266F33"/>
    <w:rsid w:val="112B0A3D"/>
    <w:rsid w:val="1134112C"/>
    <w:rsid w:val="11507B96"/>
    <w:rsid w:val="11525A28"/>
    <w:rsid w:val="115343AE"/>
    <w:rsid w:val="118963A1"/>
    <w:rsid w:val="11C6522A"/>
    <w:rsid w:val="11DC71F8"/>
    <w:rsid w:val="11E104CC"/>
    <w:rsid w:val="11E20309"/>
    <w:rsid w:val="12255233"/>
    <w:rsid w:val="122816D4"/>
    <w:rsid w:val="12530213"/>
    <w:rsid w:val="127723A9"/>
    <w:rsid w:val="12862074"/>
    <w:rsid w:val="12883966"/>
    <w:rsid w:val="128C2C5C"/>
    <w:rsid w:val="129E45B4"/>
    <w:rsid w:val="12AA761C"/>
    <w:rsid w:val="12D81596"/>
    <w:rsid w:val="13072A44"/>
    <w:rsid w:val="130F424C"/>
    <w:rsid w:val="135F4BE2"/>
    <w:rsid w:val="139B1A0A"/>
    <w:rsid w:val="139D25C7"/>
    <w:rsid w:val="13BF3CE4"/>
    <w:rsid w:val="13E23345"/>
    <w:rsid w:val="13E34051"/>
    <w:rsid w:val="14043309"/>
    <w:rsid w:val="141008D8"/>
    <w:rsid w:val="14125FE6"/>
    <w:rsid w:val="141630B0"/>
    <w:rsid w:val="14165B51"/>
    <w:rsid w:val="146D271E"/>
    <w:rsid w:val="148E5707"/>
    <w:rsid w:val="14982588"/>
    <w:rsid w:val="14991C55"/>
    <w:rsid w:val="149A5AD9"/>
    <w:rsid w:val="14A7619D"/>
    <w:rsid w:val="14BE3364"/>
    <w:rsid w:val="14DF23EA"/>
    <w:rsid w:val="14EA71B5"/>
    <w:rsid w:val="14F06FC3"/>
    <w:rsid w:val="14F873AE"/>
    <w:rsid w:val="150536C3"/>
    <w:rsid w:val="150C1963"/>
    <w:rsid w:val="151447A0"/>
    <w:rsid w:val="154A6454"/>
    <w:rsid w:val="15762120"/>
    <w:rsid w:val="157C1F60"/>
    <w:rsid w:val="163E55E1"/>
    <w:rsid w:val="166A18FC"/>
    <w:rsid w:val="16864176"/>
    <w:rsid w:val="169F2681"/>
    <w:rsid w:val="16A8729C"/>
    <w:rsid w:val="16B33777"/>
    <w:rsid w:val="16BC70A7"/>
    <w:rsid w:val="16C6339E"/>
    <w:rsid w:val="16EF3B2B"/>
    <w:rsid w:val="16F3515A"/>
    <w:rsid w:val="17020624"/>
    <w:rsid w:val="172F2D79"/>
    <w:rsid w:val="173E004E"/>
    <w:rsid w:val="17557BEF"/>
    <w:rsid w:val="176E6E17"/>
    <w:rsid w:val="17984446"/>
    <w:rsid w:val="17D349C1"/>
    <w:rsid w:val="1830729E"/>
    <w:rsid w:val="18371EB1"/>
    <w:rsid w:val="186E4F56"/>
    <w:rsid w:val="186E53E9"/>
    <w:rsid w:val="1870062C"/>
    <w:rsid w:val="187F5606"/>
    <w:rsid w:val="18817102"/>
    <w:rsid w:val="18830A15"/>
    <w:rsid w:val="18852B28"/>
    <w:rsid w:val="188B5321"/>
    <w:rsid w:val="18A94431"/>
    <w:rsid w:val="18AD308A"/>
    <w:rsid w:val="18C33745"/>
    <w:rsid w:val="18DF7E53"/>
    <w:rsid w:val="19137AFC"/>
    <w:rsid w:val="1963776C"/>
    <w:rsid w:val="19932372"/>
    <w:rsid w:val="199B1288"/>
    <w:rsid w:val="19A20DD5"/>
    <w:rsid w:val="19AE03F1"/>
    <w:rsid w:val="19BE1321"/>
    <w:rsid w:val="19C914F1"/>
    <w:rsid w:val="1A071A03"/>
    <w:rsid w:val="1A1F16AE"/>
    <w:rsid w:val="1A3B5C77"/>
    <w:rsid w:val="1A4062D0"/>
    <w:rsid w:val="1A984BAD"/>
    <w:rsid w:val="1AAC1FB7"/>
    <w:rsid w:val="1AB8220E"/>
    <w:rsid w:val="1AE4166C"/>
    <w:rsid w:val="1AF06CFB"/>
    <w:rsid w:val="1AF11B8D"/>
    <w:rsid w:val="1AFA36AB"/>
    <w:rsid w:val="1B0F42BF"/>
    <w:rsid w:val="1B11359C"/>
    <w:rsid w:val="1B2A271F"/>
    <w:rsid w:val="1B490BB9"/>
    <w:rsid w:val="1B530544"/>
    <w:rsid w:val="1B591FEF"/>
    <w:rsid w:val="1B713184"/>
    <w:rsid w:val="1B7D5CFD"/>
    <w:rsid w:val="1BA209CF"/>
    <w:rsid w:val="1BB20793"/>
    <w:rsid w:val="1BB4777D"/>
    <w:rsid w:val="1BD75AB8"/>
    <w:rsid w:val="1BF142A3"/>
    <w:rsid w:val="1BF61C33"/>
    <w:rsid w:val="1C0459C2"/>
    <w:rsid w:val="1C1B3B4A"/>
    <w:rsid w:val="1C283598"/>
    <w:rsid w:val="1C88086E"/>
    <w:rsid w:val="1D06114A"/>
    <w:rsid w:val="1D266CE1"/>
    <w:rsid w:val="1D3963AF"/>
    <w:rsid w:val="1D396C3A"/>
    <w:rsid w:val="1D6A673C"/>
    <w:rsid w:val="1D9247AE"/>
    <w:rsid w:val="1DA33CD3"/>
    <w:rsid w:val="1DB567EC"/>
    <w:rsid w:val="1DC57B03"/>
    <w:rsid w:val="1DCA47FF"/>
    <w:rsid w:val="1DF51A98"/>
    <w:rsid w:val="1DFE0D7B"/>
    <w:rsid w:val="1E3D060F"/>
    <w:rsid w:val="1E3F7D2E"/>
    <w:rsid w:val="1E4134E4"/>
    <w:rsid w:val="1E5062B3"/>
    <w:rsid w:val="1E523514"/>
    <w:rsid w:val="1E686B46"/>
    <w:rsid w:val="1E714A66"/>
    <w:rsid w:val="1E802593"/>
    <w:rsid w:val="1EA703CC"/>
    <w:rsid w:val="1EB7330C"/>
    <w:rsid w:val="1EC14F1F"/>
    <w:rsid w:val="1EF93289"/>
    <w:rsid w:val="1F0A0FF3"/>
    <w:rsid w:val="1F26058A"/>
    <w:rsid w:val="1F2E17AC"/>
    <w:rsid w:val="1F5771FF"/>
    <w:rsid w:val="1F745498"/>
    <w:rsid w:val="1FD75D28"/>
    <w:rsid w:val="1FE868A9"/>
    <w:rsid w:val="20034907"/>
    <w:rsid w:val="20173E4B"/>
    <w:rsid w:val="20181590"/>
    <w:rsid w:val="201E1C36"/>
    <w:rsid w:val="20380D25"/>
    <w:rsid w:val="204E48BC"/>
    <w:rsid w:val="20631369"/>
    <w:rsid w:val="206D0D55"/>
    <w:rsid w:val="207E2E19"/>
    <w:rsid w:val="208921B3"/>
    <w:rsid w:val="20973DEB"/>
    <w:rsid w:val="20B26522"/>
    <w:rsid w:val="20B44310"/>
    <w:rsid w:val="20E86114"/>
    <w:rsid w:val="211116EB"/>
    <w:rsid w:val="21431023"/>
    <w:rsid w:val="216133FC"/>
    <w:rsid w:val="2161415A"/>
    <w:rsid w:val="21BC2207"/>
    <w:rsid w:val="21D56769"/>
    <w:rsid w:val="21E52EF3"/>
    <w:rsid w:val="21FB5D7B"/>
    <w:rsid w:val="220B1C3D"/>
    <w:rsid w:val="221D1D20"/>
    <w:rsid w:val="22334A87"/>
    <w:rsid w:val="22357EE6"/>
    <w:rsid w:val="22430860"/>
    <w:rsid w:val="224654C1"/>
    <w:rsid w:val="22BE6801"/>
    <w:rsid w:val="22C26C62"/>
    <w:rsid w:val="22DF450F"/>
    <w:rsid w:val="22EC428E"/>
    <w:rsid w:val="233500BF"/>
    <w:rsid w:val="23377FF7"/>
    <w:rsid w:val="234B6811"/>
    <w:rsid w:val="236B425F"/>
    <w:rsid w:val="23836192"/>
    <w:rsid w:val="23901F29"/>
    <w:rsid w:val="239C0061"/>
    <w:rsid w:val="23A91BB2"/>
    <w:rsid w:val="23B908A4"/>
    <w:rsid w:val="23E17175"/>
    <w:rsid w:val="23E95BEF"/>
    <w:rsid w:val="23FD0064"/>
    <w:rsid w:val="245375B0"/>
    <w:rsid w:val="24642C0A"/>
    <w:rsid w:val="246D0A09"/>
    <w:rsid w:val="24B22173"/>
    <w:rsid w:val="24B95AD9"/>
    <w:rsid w:val="24BE24DA"/>
    <w:rsid w:val="24CF5825"/>
    <w:rsid w:val="24D34D10"/>
    <w:rsid w:val="24D663E6"/>
    <w:rsid w:val="24D77F2B"/>
    <w:rsid w:val="24DB5972"/>
    <w:rsid w:val="24DE5462"/>
    <w:rsid w:val="24E16027"/>
    <w:rsid w:val="25205589"/>
    <w:rsid w:val="25530F16"/>
    <w:rsid w:val="257B2A9D"/>
    <w:rsid w:val="258B00E2"/>
    <w:rsid w:val="25A917A6"/>
    <w:rsid w:val="25B847B0"/>
    <w:rsid w:val="25BE27CC"/>
    <w:rsid w:val="25F74A5C"/>
    <w:rsid w:val="26072EAB"/>
    <w:rsid w:val="261C6242"/>
    <w:rsid w:val="2628662C"/>
    <w:rsid w:val="262D45DE"/>
    <w:rsid w:val="2634523F"/>
    <w:rsid w:val="264A0EBF"/>
    <w:rsid w:val="264A61BF"/>
    <w:rsid w:val="2662090A"/>
    <w:rsid w:val="26832765"/>
    <w:rsid w:val="26A53EF9"/>
    <w:rsid w:val="26A94201"/>
    <w:rsid w:val="26AC274F"/>
    <w:rsid w:val="27044A29"/>
    <w:rsid w:val="27056071"/>
    <w:rsid w:val="2708260B"/>
    <w:rsid w:val="271D34C8"/>
    <w:rsid w:val="275029D6"/>
    <w:rsid w:val="276142BF"/>
    <w:rsid w:val="277272C6"/>
    <w:rsid w:val="27783712"/>
    <w:rsid w:val="27907362"/>
    <w:rsid w:val="27B41A90"/>
    <w:rsid w:val="27E965F8"/>
    <w:rsid w:val="27EE00B2"/>
    <w:rsid w:val="28333E1D"/>
    <w:rsid w:val="283C6C0F"/>
    <w:rsid w:val="28454BD6"/>
    <w:rsid w:val="28455253"/>
    <w:rsid w:val="28527841"/>
    <w:rsid w:val="28551971"/>
    <w:rsid w:val="285B1C53"/>
    <w:rsid w:val="287750D2"/>
    <w:rsid w:val="2895356C"/>
    <w:rsid w:val="289F7086"/>
    <w:rsid w:val="28C32028"/>
    <w:rsid w:val="28CC490F"/>
    <w:rsid w:val="28DE40AA"/>
    <w:rsid w:val="291D5E98"/>
    <w:rsid w:val="29345E77"/>
    <w:rsid w:val="294B0DAC"/>
    <w:rsid w:val="294C65AD"/>
    <w:rsid w:val="29806583"/>
    <w:rsid w:val="298B3C4C"/>
    <w:rsid w:val="29A61752"/>
    <w:rsid w:val="29BC17BF"/>
    <w:rsid w:val="29D46E34"/>
    <w:rsid w:val="29ED5BA4"/>
    <w:rsid w:val="29F26D24"/>
    <w:rsid w:val="2A15033F"/>
    <w:rsid w:val="2A1662C1"/>
    <w:rsid w:val="2A18617C"/>
    <w:rsid w:val="2A1C7367"/>
    <w:rsid w:val="2A2815FA"/>
    <w:rsid w:val="2A533BD4"/>
    <w:rsid w:val="2A6D6092"/>
    <w:rsid w:val="2A7204D1"/>
    <w:rsid w:val="2A7711EF"/>
    <w:rsid w:val="2A7D76B4"/>
    <w:rsid w:val="2AB20A53"/>
    <w:rsid w:val="2B2D055E"/>
    <w:rsid w:val="2B437463"/>
    <w:rsid w:val="2B751F10"/>
    <w:rsid w:val="2B7807EE"/>
    <w:rsid w:val="2B945009"/>
    <w:rsid w:val="2BBF00EC"/>
    <w:rsid w:val="2BC37CFD"/>
    <w:rsid w:val="2BC902B3"/>
    <w:rsid w:val="2BD12DED"/>
    <w:rsid w:val="2BD5237F"/>
    <w:rsid w:val="2BE536CE"/>
    <w:rsid w:val="2BE53806"/>
    <w:rsid w:val="2BE758D9"/>
    <w:rsid w:val="2BE772F2"/>
    <w:rsid w:val="2C09049E"/>
    <w:rsid w:val="2C0A653C"/>
    <w:rsid w:val="2C191F85"/>
    <w:rsid w:val="2C4712C3"/>
    <w:rsid w:val="2C5646F4"/>
    <w:rsid w:val="2C6742DB"/>
    <w:rsid w:val="2C874F6F"/>
    <w:rsid w:val="2CA32A1F"/>
    <w:rsid w:val="2CE82D6F"/>
    <w:rsid w:val="2D0210E4"/>
    <w:rsid w:val="2D115742"/>
    <w:rsid w:val="2D343236"/>
    <w:rsid w:val="2D5C086B"/>
    <w:rsid w:val="2D823314"/>
    <w:rsid w:val="2D855015"/>
    <w:rsid w:val="2D8A5593"/>
    <w:rsid w:val="2D9078D1"/>
    <w:rsid w:val="2D9214E0"/>
    <w:rsid w:val="2DD15014"/>
    <w:rsid w:val="2DF50400"/>
    <w:rsid w:val="2DF72DE4"/>
    <w:rsid w:val="2E0220AF"/>
    <w:rsid w:val="2E0E6DB8"/>
    <w:rsid w:val="2E1F22C0"/>
    <w:rsid w:val="2E3A0AC8"/>
    <w:rsid w:val="2E455766"/>
    <w:rsid w:val="2E4B082A"/>
    <w:rsid w:val="2E5D4E86"/>
    <w:rsid w:val="2E5D790B"/>
    <w:rsid w:val="2E9A3C18"/>
    <w:rsid w:val="2EBB0FEE"/>
    <w:rsid w:val="2EC22DD3"/>
    <w:rsid w:val="2EC63002"/>
    <w:rsid w:val="2EE364E6"/>
    <w:rsid w:val="2EF73856"/>
    <w:rsid w:val="2EFD2AE1"/>
    <w:rsid w:val="2F0A6B38"/>
    <w:rsid w:val="2F3B2DD2"/>
    <w:rsid w:val="2F6F7335"/>
    <w:rsid w:val="2F93773A"/>
    <w:rsid w:val="2F946CCB"/>
    <w:rsid w:val="2FC50513"/>
    <w:rsid w:val="2FD25781"/>
    <w:rsid w:val="2FDB0057"/>
    <w:rsid w:val="2FDC2C0E"/>
    <w:rsid w:val="2FE56CCF"/>
    <w:rsid w:val="2FFD5044"/>
    <w:rsid w:val="2FFD7934"/>
    <w:rsid w:val="30733ACD"/>
    <w:rsid w:val="3075311F"/>
    <w:rsid w:val="308C3862"/>
    <w:rsid w:val="309379D8"/>
    <w:rsid w:val="30942ED7"/>
    <w:rsid w:val="30A270F7"/>
    <w:rsid w:val="30DF1478"/>
    <w:rsid w:val="30EC586F"/>
    <w:rsid w:val="311213ED"/>
    <w:rsid w:val="31294542"/>
    <w:rsid w:val="31392E33"/>
    <w:rsid w:val="319C6071"/>
    <w:rsid w:val="31A863E0"/>
    <w:rsid w:val="31AC537E"/>
    <w:rsid w:val="31E3679B"/>
    <w:rsid w:val="31E732FD"/>
    <w:rsid w:val="32162851"/>
    <w:rsid w:val="32312825"/>
    <w:rsid w:val="32517576"/>
    <w:rsid w:val="32970153"/>
    <w:rsid w:val="32BE5C2C"/>
    <w:rsid w:val="32ED07A3"/>
    <w:rsid w:val="32FB6478"/>
    <w:rsid w:val="330E2F43"/>
    <w:rsid w:val="33263B3F"/>
    <w:rsid w:val="336963EB"/>
    <w:rsid w:val="33816EEB"/>
    <w:rsid w:val="33854E0E"/>
    <w:rsid w:val="338F52EF"/>
    <w:rsid w:val="33C05D99"/>
    <w:rsid w:val="33C85258"/>
    <w:rsid w:val="33D07D96"/>
    <w:rsid w:val="33EB55CD"/>
    <w:rsid w:val="33EC4C02"/>
    <w:rsid w:val="340D2360"/>
    <w:rsid w:val="3410665D"/>
    <w:rsid w:val="34211214"/>
    <w:rsid w:val="342E63AB"/>
    <w:rsid w:val="34711E4F"/>
    <w:rsid w:val="34915D87"/>
    <w:rsid w:val="34950E68"/>
    <w:rsid w:val="34986E94"/>
    <w:rsid w:val="34AF62C9"/>
    <w:rsid w:val="34CB4388"/>
    <w:rsid w:val="34FA6E12"/>
    <w:rsid w:val="34FE01D5"/>
    <w:rsid w:val="35397FFA"/>
    <w:rsid w:val="35656A2D"/>
    <w:rsid w:val="35772B1A"/>
    <w:rsid w:val="35837AE5"/>
    <w:rsid w:val="35861B07"/>
    <w:rsid w:val="358D5588"/>
    <w:rsid w:val="35C05806"/>
    <w:rsid w:val="35C42453"/>
    <w:rsid w:val="361B3215"/>
    <w:rsid w:val="363A3B40"/>
    <w:rsid w:val="365302AE"/>
    <w:rsid w:val="36547850"/>
    <w:rsid w:val="36607A0A"/>
    <w:rsid w:val="366529DF"/>
    <w:rsid w:val="366E227C"/>
    <w:rsid w:val="366F2E0D"/>
    <w:rsid w:val="36735F09"/>
    <w:rsid w:val="3676329D"/>
    <w:rsid w:val="367B6A5C"/>
    <w:rsid w:val="36A52284"/>
    <w:rsid w:val="36A74ADA"/>
    <w:rsid w:val="36AD60D5"/>
    <w:rsid w:val="36B224F9"/>
    <w:rsid w:val="36C3116B"/>
    <w:rsid w:val="36EC0CC9"/>
    <w:rsid w:val="371E7AD1"/>
    <w:rsid w:val="37300A9A"/>
    <w:rsid w:val="3734210D"/>
    <w:rsid w:val="373F410B"/>
    <w:rsid w:val="37463BED"/>
    <w:rsid w:val="37C25306"/>
    <w:rsid w:val="37EE7094"/>
    <w:rsid w:val="38296C89"/>
    <w:rsid w:val="383002EB"/>
    <w:rsid w:val="38586797"/>
    <w:rsid w:val="38797966"/>
    <w:rsid w:val="387D48E7"/>
    <w:rsid w:val="388243AC"/>
    <w:rsid w:val="38855EC9"/>
    <w:rsid w:val="388801F5"/>
    <w:rsid w:val="388D77A1"/>
    <w:rsid w:val="3894610C"/>
    <w:rsid w:val="38B113F5"/>
    <w:rsid w:val="38BC0149"/>
    <w:rsid w:val="38D87D1C"/>
    <w:rsid w:val="38E22CFA"/>
    <w:rsid w:val="39165BBB"/>
    <w:rsid w:val="39565BF3"/>
    <w:rsid w:val="39636459"/>
    <w:rsid w:val="396B7F6C"/>
    <w:rsid w:val="39AC0A66"/>
    <w:rsid w:val="39B417A9"/>
    <w:rsid w:val="39BC7260"/>
    <w:rsid w:val="39F05100"/>
    <w:rsid w:val="39F94929"/>
    <w:rsid w:val="39FC5695"/>
    <w:rsid w:val="3A006D8E"/>
    <w:rsid w:val="3A206388"/>
    <w:rsid w:val="3A3651E5"/>
    <w:rsid w:val="3A6B67E3"/>
    <w:rsid w:val="3A744481"/>
    <w:rsid w:val="3A8C7BEF"/>
    <w:rsid w:val="3A906246"/>
    <w:rsid w:val="3A9E53BA"/>
    <w:rsid w:val="3AA83519"/>
    <w:rsid w:val="3AC011B1"/>
    <w:rsid w:val="3AE004A0"/>
    <w:rsid w:val="3B2349B7"/>
    <w:rsid w:val="3B3C7E67"/>
    <w:rsid w:val="3B3FC59C"/>
    <w:rsid w:val="3B616CFF"/>
    <w:rsid w:val="3B6259F6"/>
    <w:rsid w:val="3B720C0D"/>
    <w:rsid w:val="3B976654"/>
    <w:rsid w:val="3BAF42E8"/>
    <w:rsid w:val="3BB6355F"/>
    <w:rsid w:val="3BC01EFC"/>
    <w:rsid w:val="3BCA786A"/>
    <w:rsid w:val="3BD31E2F"/>
    <w:rsid w:val="3BD87EB4"/>
    <w:rsid w:val="3BF15831"/>
    <w:rsid w:val="3C105946"/>
    <w:rsid w:val="3C471448"/>
    <w:rsid w:val="3C5F759A"/>
    <w:rsid w:val="3C62784F"/>
    <w:rsid w:val="3C6C525A"/>
    <w:rsid w:val="3CAD649B"/>
    <w:rsid w:val="3CC33275"/>
    <w:rsid w:val="3CC34D87"/>
    <w:rsid w:val="3CCB5CFD"/>
    <w:rsid w:val="3CCE23CB"/>
    <w:rsid w:val="3CD17D17"/>
    <w:rsid w:val="3CE90B95"/>
    <w:rsid w:val="3D095B46"/>
    <w:rsid w:val="3D0C108D"/>
    <w:rsid w:val="3D130D7B"/>
    <w:rsid w:val="3D380D30"/>
    <w:rsid w:val="3D3C7F39"/>
    <w:rsid w:val="3D440F09"/>
    <w:rsid w:val="3D4504A0"/>
    <w:rsid w:val="3D4A070B"/>
    <w:rsid w:val="3D6F6425"/>
    <w:rsid w:val="3D8734BB"/>
    <w:rsid w:val="3D9A11D4"/>
    <w:rsid w:val="3DA16D89"/>
    <w:rsid w:val="3DA364BE"/>
    <w:rsid w:val="3DDB7149"/>
    <w:rsid w:val="3DE041CB"/>
    <w:rsid w:val="3E0D48F6"/>
    <w:rsid w:val="3E1868B4"/>
    <w:rsid w:val="3E377251"/>
    <w:rsid w:val="3E42664B"/>
    <w:rsid w:val="3E4B4F87"/>
    <w:rsid w:val="3E5661DC"/>
    <w:rsid w:val="3E5A7334"/>
    <w:rsid w:val="3E7B5D6B"/>
    <w:rsid w:val="3E843E66"/>
    <w:rsid w:val="3E8F51FE"/>
    <w:rsid w:val="3E926F87"/>
    <w:rsid w:val="3E9A59DE"/>
    <w:rsid w:val="3EAF4836"/>
    <w:rsid w:val="3EC335FB"/>
    <w:rsid w:val="3EC33DFA"/>
    <w:rsid w:val="3EC84D62"/>
    <w:rsid w:val="3ED045C8"/>
    <w:rsid w:val="3EE712F7"/>
    <w:rsid w:val="3EE85404"/>
    <w:rsid w:val="3F060E16"/>
    <w:rsid w:val="3F173D18"/>
    <w:rsid w:val="3F1C4A39"/>
    <w:rsid w:val="3F1D1096"/>
    <w:rsid w:val="3F2F0234"/>
    <w:rsid w:val="3F485DF7"/>
    <w:rsid w:val="3F605988"/>
    <w:rsid w:val="3F6363FE"/>
    <w:rsid w:val="3F756B8F"/>
    <w:rsid w:val="3F8F60F8"/>
    <w:rsid w:val="3F95482B"/>
    <w:rsid w:val="3FA46AC7"/>
    <w:rsid w:val="3FA57E6B"/>
    <w:rsid w:val="3FBA4D6C"/>
    <w:rsid w:val="3FBB4411"/>
    <w:rsid w:val="401021B3"/>
    <w:rsid w:val="4019356B"/>
    <w:rsid w:val="40275AB8"/>
    <w:rsid w:val="4046605F"/>
    <w:rsid w:val="40592157"/>
    <w:rsid w:val="40674A44"/>
    <w:rsid w:val="406E1CAE"/>
    <w:rsid w:val="40764AFE"/>
    <w:rsid w:val="407A39D5"/>
    <w:rsid w:val="40817E61"/>
    <w:rsid w:val="40A0133A"/>
    <w:rsid w:val="40C31A53"/>
    <w:rsid w:val="40FF545D"/>
    <w:rsid w:val="410067C8"/>
    <w:rsid w:val="41193901"/>
    <w:rsid w:val="411B1C87"/>
    <w:rsid w:val="41836C1F"/>
    <w:rsid w:val="418F0D2A"/>
    <w:rsid w:val="419929E5"/>
    <w:rsid w:val="419D1005"/>
    <w:rsid w:val="41D01505"/>
    <w:rsid w:val="41E9396D"/>
    <w:rsid w:val="42474939"/>
    <w:rsid w:val="424C3C57"/>
    <w:rsid w:val="42613FF3"/>
    <w:rsid w:val="42654F91"/>
    <w:rsid w:val="42660D96"/>
    <w:rsid w:val="428667D2"/>
    <w:rsid w:val="429A368A"/>
    <w:rsid w:val="429A6A15"/>
    <w:rsid w:val="42CD1CE0"/>
    <w:rsid w:val="42E1381E"/>
    <w:rsid w:val="42E45EE2"/>
    <w:rsid w:val="42ED6459"/>
    <w:rsid w:val="42F16C31"/>
    <w:rsid w:val="42FE58DD"/>
    <w:rsid w:val="43004C12"/>
    <w:rsid w:val="43174B3D"/>
    <w:rsid w:val="431C3DDE"/>
    <w:rsid w:val="43354997"/>
    <w:rsid w:val="434B790E"/>
    <w:rsid w:val="434D1CD9"/>
    <w:rsid w:val="4360274F"/>
    <w:rsid w:val="43977AB6"/>
    <w:rsid w:val="43A10553"/>
    <w:rsid w:val="43A251F2"/>
    <w:rsid w:val="43A3342B"/>
    <w:rsid w:val="43C77C27"/>
    <w:rsid w:val="43DE09EE"/>
    <w:rsid w:val="43FE2833"/>
    <w:rsid w:val="44002FAD"/>
    <w:rsid w:val="44657104"/>
    <w:rsid w:val="449101DD"/>
    <w:rsid w:val="44B10046"/>
    <w:rsid w:val="44BA722D"/>
    <w:rsid w:val="44DE1391"/>
    <w:rsid w:val="44F96CD2"/>
    <w:rsid w:val="45106B70"/>
    <w:rsid w:val="45172FA5"/>
    <w:rsid w:val="451B225C"/>
    <w:rsid w:val="452410C9"/>
    <w:rsid w:val="45317DFB"/>
    <w:rsid w:val="45482758"/>
    <w:rsid w:val="456D3CE4"/>
    <w:rsid w:val="4579042C"/>
    <w:rsid w:val="457F0571"/>
    <w:rsid w:val="45851176"/>
    <w:rsid w:val="45883496"/>
    <w:rsid w:val="45C63B94"/>
    <w:rsid w:val="45D74E30"/>
    <w:rsid w:val="460A332B"/>
    <w:rsid w:val="460E7DA5"/>
    <w:rsid w:val="46402205"/>
    <w:rsid w:val="46422483"/>
    <w:rsid w:val="4659254A"/>
    <w:rsid w:val="465B0637"/>
    <w:rsid w:val="465E3F0D"/>
    <w:rsid w:val="466A16E6"/>
    <w:rsid w:val="466A3861"/>
    <w:rsid w:val="467B69ED"/>
    <w:rsid w:val="467D0B0F"/>
    <w:rsid w:val="46893F2B"/>
    <w:rsid w:val="46C4686E"/>
    <w:rsid w:val="46D2790F"/>
    <w:rsid w:val="46D85D5E"/>
    <w:rsid w:val="46DA136D"/>
    <w:rsid w:val="477B778F"/>
    <w:rsid w:val="477F61D9"/>
    <w:rsid w:val="478203EC"/>
    <w:rsid w:val="47AB6B38"/>
    <w:rsid w:val="47B025FA"/>
    <w:rsid w:val="47FE483C"/>
    <w:rsid w:val="4809698F"/>
    <w:rsid w:val="4811697D"/>
    <w:rsid w:val="48505CB1"/>
    <w:rsid w:val="487A3E25"/>
    <w:rsid w:val="488B5503"/>
    <w:rsid w:val="48937E21"/>
    <w:rsid w:val="489A0361"/>
    <w:rsid w:val="48AD6A8D"/>
    <w:rsid w:val="48B94FF3"/>
    <w:rsid w:val="48E37AAB"/>
    <w:rsid w:val="48FD4B4C"/>
    <w:rsid w:val="49061243"/>
    <w:rsid w:val="490A68E0"/>
    <w:rsid w:val="491055FE"/>
    <w:rsid w:val="493B0160"/>
    <w:rsid w:val="495A44E3"/>
    <w:rsid w:val="495F5B3E"/>
    <w:rsid w:val="496D7CED"/>
    <w:rsid w:val="496F77D7"/>
    <w:rsid w:val="497654FD"/>
    <w:rsid w:val="49834C69"/>
    <w:rsid w:val="498E313A"/>
    <w:rsid w:val="49B64211"/>
    <w:rsid w:val="49DE7602"/>
    <w:rsid w:val="49F6167F"/>
    <w:rsid w:val="4A064FA0"/>
    <w:rsid w:val="4A0909A1"/>
    <w:rsid w:val="4A16615C"/>
    <w:rsid w:val="4A4424D7"/>
    <w:rsid w:val="4A492443"/>
    <w:rsid w:val="4A5939C6"/>
    <w:rsid w:val="4A9F106C"/>
    <w:rsid w:val="4AB82D0F"/>
    <w:rsid w:val="4ABB17CB"/>
    <w:rsid w:val="4AEB7664"/>
    <w:rsid w:val="4AFD7C19"/>
    <w:rsid w:val="4B0567D1"/>
    <w:rsid w:val="4B1C363A"/>
    <w:rsid w:val="4B236AAE"/>
    <w:rsid w:val="4B2C34E5"/>
    <w:rsid w:val="4B5F07FC"/>
    <w:rsid w:val="4B707271"/>
    <w:rsid w:val="4B9739F7"/>
    <w:rsid w:val="4BEE2503"/>
    <w:rsid w:val="4BEF5BF8"/>
    <w:rsid w:val="4C245A30"/>
    <w:rsid w:val="4C4D4AF8"/>
    <w:rsid w:val="4C503B9A"/>
    <w:rsid w:val="4C736329"/>
    <w:rsid w:val="4C77015F"/>
    <w:rsid w:val="4C7C718B"/>
    <w:rsid w:val="4C9A4AA6"/>
    <w:rsid w:val="4CAD4F46"/>
    <w:rsid w:val="4CB6685F"/>
    <w:rsid w:val="4CC32A17"/>
    <w:rsid w:val="4CC367FE"/>
    <w:rsid w:val="4CD670E4"/>
    <w:rsid w:val="4D077F3C"/>
    <w:rsid w:val="4D123355"/>
    <w:rsid w:val="4D2A3B31"/>
    <w:rsid w:val="4D312C52"/>
    <w:rsid w:val="4D73233C"/>
    <w:rsid w:val="4D844549"/>
    <w:rsid w:val="4D905305"/>
    <w:rsid w:val="4D964A72"/>
    <w:rsid w:val="4D9C1254"/>
    <w:rsid w:val="4DC36632"/>
    <w:rsid w:val="4DF55F07"/>
    <w:rsid w:val="4DFC0584"/>
    <w:rsid w:val="4E2903AD"/>
    <w:rsid w:val="4E6544E7"/>
    <w:rsid w:val="4E793892"/>
    <w:rsid w:val="4E800872"/>
    <w:rsid w:val="4EB63AF8"/>
    <w:rsid w:val="4EC569ED"/>
    <w:rsid w:val="4ED331A0"/>
    <w:rsid w:val="4ED50EA1"/>
    <w:rsid w:val="4EDF24BE"/>
    <w:rsid w:val="4EE259CC"/>
    <w:rsid w:val="4EEC050C"/>
    <w:rsid w:val="4F104EC3"/>
    <w:rsid w:val="4F2C625F"/>
    <w:rsid w:val="4F316A07"/>
    <w:rsid w:val="4F336227"/>
    <w:rsid w:val="4F47354A"/>
    <w:rsid w:val="4F5A3249"/>
    <w:rsid w:val="4F685283"/>
    <w:rsid w:val="4F6C4386"/>
    <w:rsid w:val="4F705F4F"/>
    <w:rsid w:val="4F710CA8"/>
    <w:rsid w:val="4F911C54"/>
    <w:rsid w:val="4FA91919"/>
    <w:rsid w:val="4FD45CB9"/>
    <w:rsid w:val="4FE625E0"/>
    <w:rsid w:val="4FE94F10"/>
    <w:rsid w:val="5021480F"/>
    <w:rsid w:val="502D0EC8"/>
    <w:rsid w:val="5042613A"/>
    <w:rsid w:val="505A2E5A"/>
    <w:rsid w:val="506932DB"/>
    <w:rsid w:val="507B4C0C"/>
    <w:rsid w:val="50962ECB"/>
    <w:rsid w:val="50A42E38"/>
    <w:rsid w:val="50A4577F"/>
    <w:rsid w:val="50B73D1F"/>
    <w:rsid w:val="50BD5BC9"/>
    <w:rsid w:val="50C11EEE"/>
    <w:rsid w:val="50E6043D"/>
    <w:rsid w:val="50E97CFC"/>
    <w:rsid w:val="50FA4028"/>
    <w:rsid w:val="510D65B7"/>
    <w:rsid w:val="511157AB"/>
    <w:rsid w:val="51363DAD"/>
    <w:rsid w:val="5142540C"/>
    <w:rsid w:val="515B7CB7"/>
    <w:rsid w:val="517A1653"/>
    <w:rsid w:val="518832C8"/>
    <w:rsid w:val="51A0432A"/>
    <w:rsid w:val="51A86090"/>
    <w:rsid w:val="51AC406F"/>
    <w:rsid w:val="51B278FC"/>
    <w:rsid w:val="51B7396D"/>
    <w:rsid w:val="51E657D3"/>
    <w:rsid w:val="51E82F6F"/>
    <w:rsid w:val="520E2446"/>
    <w:rsid w:val="52270757"/>
    <w:rsid w:val="522E4CC3"/>
    <w:rsid w:val="5244713B"/>
    <w:rsid w:val="52615633"/>
    <w:rsid w:val="52977FD4"/>
    <w:rsid w:val="52A25790"/>
    <w:rsid w:val="52A96B6F"/>
    <w:rsid w:val="52B21B59"/>
    <w:rsid w:val="52B45975"/>
    <w:rsid w:val="52D94AA4"/>
    <w:rsid w:val="52EA3A62"/>
    <w:rsid w:val="52F50BB8"/>
    <w:rsid w:val="53097272"/>
    <w:rsid w:val="53395B77"/>
    <w:rsid w:val="53513CED"/>
    <w:rsid w:val="53544462"/>
    <w:rsid w:val="53554555"/>
    <w:rsid w:val="5368152B"/>
    <w:rsid w:val="53946913"/>
    <w:rsid w:val="5397158E"/>
    <w:rsid w:val="53AB34E5"/>
    <w:rsid w:val="53CC11E3"/>
    <w:rsid w:val="53D5512C"/>
    <w:rsid w:val="53EF7A35"/>
    <w:rsid w:val="54013861"/>
    <w:rsid w:val="54487265"/>
    <w:rsid w:val="544D6070"/>
    <w:rsid w:val="54605E1E"/>
    <w:rsid w:val="54A169A9"/>
    <w:rsid w:val="54B3506A"/>
    <w:rsid w:val="54B4570E"/>
    <w:rsid w:val="54CA0D16"/>
    <w:rsid w:val="54DD4057"/>
    <w:rsid w:val="54E7490F"/>
    <w:rsid w:val="54F47F43"/>
    <w:rsid w:val="550764A4"/>
    <w:rsid w:val="550B2BF6"/>
    <w:rsid w:val="55214EB5"/>
    <w:rsid w:val="55364EFD"/>
    <w:rsid w:val="555D4828"/>
    <w:rsid w:val="557A4C8B"/>
    <w:rsid w:val="558931E1"/>
    <w:rsid w:val="55923347"/>
    <w:rsid w:val="55925180"/>
    <w:rsid w:val="55983B1B"/>
    <w:rsid w:val="55A8376B"/>
    <w:rsid w:val="55DC29B6"/>
    <w:rsid w:val="55DD4241"/>
    <w:rsid w:val="560862DF"/>
    <w:rsid w:val="56121AEF"/>
    <w:rsid w:val="563C3541"/>
    <w:rsid w:val="566B6D1E"/>
    <w:rsid w:val="569F6AC7"/>
    <w:rsid w:val="56B55774"/>
    <w:rsid w:val="56E235EF"/>
    <w:rsid w:val="57032A2C"/>
    <w:rsid w:val="570F5219"/>
    <w:rsid w:val="57291F31"/>
    <w:rsid w:val="57591C2C"/>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EA58F1"/>
    <w:rsid w:val="584A29BD"/>
    <w:rsid w:val="58917D2F"/>
    <w:rsid w:val="5894085C"/>
    <w:rsid w:val="58AE4F0C"/>
    <w:rsid w:val="58B85899"/>
    <w:rsid w:val="58DA6665"/>
    <w:rsid w:val="58E3481A"/>
    <w:rsid w:val="58E363A9"/>
    <w:rsid w:val="590935BD"/>
    <w:rsid w:val="590E29AC"/>
    <w:rsid w:val="595E1678"/>
    <w:rsid w:val="596D5BD4"/>
    <w:rsid w:val="597E3DD8"/>
    <w:rsid w:val="59A269BC"/>
    <w:rsid w:val="59D634DF"/>
    <w:rsid w:val="59F80043"/>
    <w:rsid w:val="5A0904C1"/>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CF2987"/>
    <w:rsid w:val="5AD63A24"/>
    <w:rsid w:val="5AEA5EB6"/>
    <w:rsid w:val="5AEA62E5"/>
    <w:rsid w:val="5AFF3461"/>
    <w:rsid w:val="5B052729"/>
    <w:rsid w:val="5B1511F3"/>
    <w:rsid w:val="5B167F88"/>
    <w:rsid w:val="5B2E1A1D"/>
    <w:rsid w:val="5B317CC1"/>
    <w:rsid w:val="5B5A77FB"/>
    <w:rsid w:val="5B6B0A58"/>
    <w:rsid w:val="5B843A1C"/>
    <w:rsid w:val="5B873E3F"/>
    <w:rsid w:val="5B897053"/>
    <w:rsid w:val="5B8B2954"/>
    <w:rsid w:val="5BA83A02"/>
    <w:rsid w:val="5BAF4E87"/>
    <w:rsid w:val="5C02690E"/>
    <w:rsid w:val="5C196DA7"/>
    <w:rsid w:val="5C1D0043"/>
    <w:rsid w:val="5C295359"/>
    <w:rsid w:val="5C2A048C"/>
    <w:rsid w:val="5C80234E"/>
    <w:rsid w:val="5C8A680C"/>
    <w:rsid w:val="5CA644DC"/>
    <w:rsid w:val="5CE01922"/>
    <w:rsid w:val="5D0C4701"/>
    <w:rsid w:val="5D0F0395"/>
    <w:rsid w:val="5D221076"/>
    <w:rsid w:val="5D397964"/>
    <w:rsid w:val="5D4635C9"/>
    <w:rsid w:val="5D5A391C"/>
    <w:rsid w:val="5D5F10C0"/>
    <w:rsid w:val="5D891B7B"/>
    <w:rsid w:val="5DA35AD2"/>
    <w:rsid w:val="5DA50AE3"/>
    <w:rsid w:val="5DAA5DD8"/>
    <w:rsid w:val="5DAD38EE"/>
    <w:rsid w:val="5DCE5EE9"/>
    <w:rsid w:val="5DEC120A"/>
    <w:rsid w:val="5E006862"/>
    <w:rsid w:val="5E0207B9"/>
    <w:rsid w:val="5E0B0AD6"/>
    <w:rsid w:val="5E176F9E"/>
    <w:rsid w:val="5E1834A1"/>
    <w:rsid w:val="5E261785"/>
    <w:rsid w:val="5E4A7017"/>
    <w:rsid w:val="5E4F2952"/>
    <w:rsid w:val="5E5408D8"/>
    <w:rsid w:val="5E552BBA"/>
    <w:rsid w:val="5E610D01"/>
    <w:rsid w:val="5E611C10"/>
    <w:rsid w:val="5E655CD1"/>
    <w:rsid w:val="5EA31D4C"/>
    <w:rsid w:val="5EFC7377"/>
    <w:rsid w:val="5F06174D"/>
    <w:rsid w:val="5F3A3602"/>
    <w:rsid w:val="5F6277C6"/>
    <w:rsid w:val="5F6D0B1D"/>
    <w:rsid w:val="5F6FF5AD"/>
    <w:rsid w:val="5F8D0B82"/>
    <w:rsid w:val="5FAC7CA9"/>
    <w:rsid w:val="5FB46F10"/>
    <w:rsid w:val="5FBC4C67"/>
    <w:rsid w:val="5FCC5339"/>
    <w:rsid w:val="5FE34A5B"/>
    <w:rsid w:val="5FFE1E36"/>
    <w:rsid w:val="600502B2"/>
    <w:rsid w:val="60232584"/>
    <w:rsid w:val="602C4E9D"/>
    <w:rsid w:val="6030561C"/>
    <w:rsid w:val="6060009F"/>
    <w:rsid w:val="607330CE"/>
    <w:rsid w:val="60825176"/>
    <w:rsid w:val="609F2AC4"/>
    <w:rsid w:val="60ED3E90"/>
    <w:rsid w:val="60FA2EE8"/>
    <w:rsid w:val="61054A27"/>
    <w:rsid w:val="610A52BC"/>
    <w:rsid w:val="611D2366"/>
    <w:rsid w:val="61401BAF"/>
    <w:rsid w:val="61421856"/>
    <w:rsid w:val="614F0BA7"/>
    <w:rsid w:val="615227C4"/>
    <w:rsid w:val="615F4C5A"/>
    <w:rsid w:val="61654E3F"/>
    <w:rsid w:val="61655CDB"/>
    <w:rsid w:val="61721216"/>
    <w:rsid w:val="6182292A"/>
    <w:rsid w:val="618D5C6B"/>
    <w:rsid w:val="619F7F92"/>
    <w:rsid w:val="61B60EF8"/>
    <w:rsid w:val="61F94C26"/>
    <w:rsid w:val="62000E56"/>
    <w:rsid w:val="620A1913"/>
    <w:rsid w:val="620F54F9"/>
    <w:rsid w:val="62330149"/>
    <w:rsid w:val="624E346D"/>
    <w:rsid w:val="624F3E49"/>
    <w:rsid w:val="62632286"/>
    <w:rsid w:val="62885958"/>
    <w:rsid w:val="628E759D"/>
    <w:rsid w:val="62B674A5"/>
    <w:rsid w:val="62F40B65"/>
    <w:rsid w:val="62FC2CFE"/>
    <w:rsid w:val="63024505"/>
    <w:rsid w:val="63027A37"/>
    <w:rsid w:val="632C6FB1"/>
    <w:rsid w:val="633D721D"/>
    <w:rsid w:val="635B1DB5"/>
    <w:rsid w:val="636B0439"/>
    <w:rsid w:val="63711FED"/>
    <w:rsid w:val="63880DDC"/>
    <w:rsid w:val="638D750D"/>
    <w:rsid w:val="63AC6CC0"/>
    <w:rsid w:val="63D066D2"/>
    <w:rsid w:val="64055776"/>
    <w:rsid w:val="640C0875"/>
    <w:rsid w:val="64240056"/>
    <w:rsid w:val="643E143A"/>
    <w:rsid w:val="644C4B9D"/>
    <w:rsid w:val="646C4E42"/>
    <w:rsid w:val="648B6EEF"/>
    <w:rsid w:val="648C1B70"/>
    <w:rsid w:val="64C158BF"/>
    <w:rsid w:val="64C27B00"/>
    <w:rsid w:val="64CE2EAA"/>
    <w:rsid w:val="64D66A7C"/>
    <w:rsid w:val="653C3090"/>
    <w:rsid w:val="65405CCA"/>
    <w:rsid w:val="654A7E87"/>
    <w:rsid w:val="655A3BEA"/>
    <w:rsid w:val="65854376"/>
    <w:rsid w:val="658767BE"/>
    <w:rsid w:val="65892531"/>
    <w:rsid w:val="65AC02DD"/>
    <w:rsid w:val="65BA52F7"/>
    <w:rsid w:val="66097CE7"/>
    <w:rsid w:val="66195831"/>
    <w:rsid w:val="662B5A52"/>
    <w:rsid w:val="662D6DA8"/>
    <w:rsid w:val="662E75B1"/>
    <w:rsid w:val="66342C2E"/>
    <w:rsid w:val="663E784C"/>
    <w:rsid w:val="667A09B7"/>
    <w:rsid w:val="668B6A45"/>
    <w:rsid w:val="66A45BDC"/>
    <w:rsid w:val="66C74351"/>
    <w:rsid w:val="672F3F24"/>
    <w:rsid w:val="673E055F"/>
    <w:rsid w:val="67551CE3"/>
    <w:rsid w:val="67837EB7"/>
    <w:rsid w:val="679413D5"/>
    <w:rsid w:val="679B2025"/>
    <w:rsid w:val="67A22552"/>
    <w:rsid w:val="67B22DCC"/>
    <w:rsid w:val="67BE71AA"/>
    <w:rsid w:val="67D90273"/>
    <w:rsid w:val="67DE5875"/>
    <w:rsid w:val="67E55852"/>
    <w:rsid w:val="67EB1AB4"/>
    <w:rsid w:val="67FA1285"/>
    <w:rsid w:val="68134F6C"/>
    <w:rsid w:val="68551F4F"/>
    <w:rsid w:val="685847A6"/>
    <w:rsid w:val="687C10C9"/>
    <w:rsid w:val="68840C16"/>
    <w:rsid w:val="68876EFB"/>
    <w:rsid w:val="68884654"/>
    <w:rsid w:val="689F444F"/>
    <w:rsid w:val="68B96DBB"/>
    <w:rsid w:val="68BB37A7"/>
    <w:rsid w:val="68CA2805"/>
    <w:rsid w:val="68E937A3"/>
    <w:rsid w:val="68FC4E55"/>
    <w:rsid w:val="69195537"/>
    <w:rsid w:val="69196B57"/>
    <w:rsid w:val="693E15D3"/>
    <w:rsid w:val="694E7060"/>
    <w:rsid w:val="69627681"/>
    <w:rsid w:val="69701FBE"/>
    <w:rsid w:val="6977531D"/>
    <w:rsid w:val="697B1F3A"/>
    <w:rsid w:val="69A1344C"/>
    <w:rsid w:val="69A53598"/>
    <w:rsid w:val="69C83966"/>
    <w:rsid w:val="69CC2BFF"/>
    <w:rsid w:val="69D97139"/>
    <w:rsid w:val="69FD55B8"/>
    <w:rsid w:val="6A0B1C62"/>
    <w:rsid w:val="6A2406C8"/>
    <w:rsid w:val="6A2C3AC3"/>
    <w:rsid w:val="6A4B7311"/>
    <w:rsid w:val="6A824745"/>
    <w:rsid w:val="6A8453C5"/>
    <w:rsid w:val="6A9A6657"/>
    <w:rsid w:val="6ADE0BD1"/>
    <w:rsid w:val="6AE96859"/>
    <w:rsid w:val="6B147746"/>
    <w:rsid w:val="6B24787C"/>
    <w:rsid w:val="6B380B3D"/>
    <w:rsid w:val="6B532C57"/>
    <w:rsid w:val="6B573233"/>
    <w:rsid w:val="6B5B6274"/>
    <w:rsid w:val="6B935D53"/>
    <w:rsid w:val="6BF61946"/>
    <w:rsid w:val="6C045D31"/>
    <w:rsid w:val="6C133194"/>
    <w:rsid w:val="6C196F71"/>
    <w:rsid w:val="6C226FCB"/>
    <w:rsid w:val="6C2D1656"/>
    <w:rsid w:val="6C31226F"/>
    <w:rsid w:val="6C4455E8"/>
    <w:rsid w:val="6C514E57"/>
    <w:rsid w:val="6C552D20"/>
    <w:rsid w:val="6C552F0B"/>
    <w:rsid w:val="6C57287F"/>
    <w:rsid w:val="6C8C67B7"/>
    <w:rsid w:val="6C9D744C"/>
    <w:rsid w:val="6CB12CD1"/>
    <w:rsid w:val="6CB67382"/>
    <w:rsid w:val="6CC03428"/>
    <w:rsid w:val="6D0117D2"/>
    <w:rsid w:val="6D167928"/>
    <w:rsid w:val="6D26299B"/>
    <w:rsid w:val="6D4772EC"/>
    <w:rsid w:val="6D686003"/>
    <w:rsid w:val="6D9078AF"/>
    <w:rsid w:val="6DA22A30"/>
    <w:rsid w:val="6DAA3FEF"/>
    <w:rsid w:val="6DBF2DB2"/>
    <w:rsid w:val="6DC0172B"/>
    <w:rsid w:val="6DCB690C"/>
    <w:rsid w:val="6DD076C6"/>
    <w:rsid w:val="6DD41A5B"/>
    <w:rsid w:val="6DF43C2E"/>
    <w:rsid w:val="6DF51CA3"/>
    <w:rsid w:val="6E005A2B"/>
    <w:rsid w:val="6E0863D3"/>
    <w:rsid w:val="6E810E11"/>
    <w:rsid w:val="6E8335BD"/>
    <w:rsid w:val="6E8E12EF"/>
    <w:rsid w:val="6E925436"/>
    <w:rsid w:val="6E972936"/>
    <w:rsid w:val="6ED446C5"/>
    <w:rsid w:val="6F0C3442"/>
    <w:rsid w:val="6F2A7D94"/>
    <w:rsid w:val="6F5E0A5B"/>
    <w:rsid w:val="6F730377"/>
    <w:rsid w:val="6F8331F1"/>
    <w:rsid w:val="6F8A0F8C"/>
    <w:rsid w:val="6FA50580"/>
    <w:rsid w:val="6FAE1A09"/>
    <w:rsid w:val="6FD44A65"/>
    <w:rsid w:val="6FD75BF8"/>
    <w:rsid w:val="70206492"/>
    <w:rsid w:val="70703A03"/>
    <w:rsid w:val="707723D0"/>
    <w:rsid w:val="70A23B47"/>
    <w:rsid w:val="70BF3010"/>
    <w:rsid w:val="70E5507E"/>
    <w:rsid w:val="70F5661B"/>
    <w:rsid w:val="70FE5BF1"/>
    <w:rsid w:val="70FF5B11"/>
    <w:rsid w:val="71084023"/>
    <w:rsid w:val="710E183A"/>
    <w:rsid w:val="71360107"/>
    <w:rsid w:val="713B688E"/>
    <w:rsid w:val="7151750C"/>
    <w:rsid w:val="715E0C29"/>
    <w:rsid w:val="719F0989"/>
    <w:rsid w:val="71A265F4"/>
    <w:rsid w:val="71B675CD"/>
    <w:rsid w:val="71D050E9"/>
    <w:rsid w:val="71D43752"/>
    <w:rsid w:val="71F1796A"/>
    <w:rsid w:val="720C45CB"/>
    <w:rsid w:val="72132D4D"/>
    <w:rsid w:val="72154626"/>
    <w:rsid w:val="72262B5D"/>
    <w:rsid w:val="72283FF7"/>
    <w:rsid w:val="722E7212"/>
    <w:rsid w:val="723A0474"/>
    <w:rsid w:val="725923E4"/>
    <w:rsid w:val="72777EDD"/>
    <w:rsid w:val="72864BF7"/>
    <w:rsid w:val="729023FC"/>
    <w:rsid w:val="72B14F0E"/>
    <w:rsid w:val="72B62B48"/>
    <w:rsid w:val="72CE1FD6"/>
    <w:rsid w:val="73286404"/>
    <w:rsid w:val="73460898"/>
    <w:rsid w:val="735F5178"/>
    <w:rsid w:val="73843880"/>
    <w:rsid w:val="73B24F01"/>
    <w:rsid w:val="73B95C72"/>
    <w:rsid w:val="73BE1EF1"/>
    <w:rsid w:val="73C0646E"/>
    <w:rsid w:val="73D239B1"/>
    <w:rsid w:val="73D96AEE"/>
    <w:rsid w:val="73E6120B"/>
    <w:rsid w:val="740F0CE2"/>
    <w:rsid w:val="741A3737"/>
    <w:rsid w:val="742222F5"/>
    <w:rsid w:val="74271D8C"/>
    <w:rsid w:val="74476126"/>
    <w:rsid w:val="744A77F6"/>
    <w:rsid w:val="7463243A"/>
    <w:rsid w:val="74706664"/>
    <w:rsid w:val="747F3682"/>
    <w:rsid w:val="749C4185"/>
    <w:rsid w:val="75067759"/>
    <w:rsid w:val="751D32D3"/>
    <w:rsid w:val="752E6DCD"/>
    <w:rsid w:val="754405BD"/>
    <w:rsid w:val="754F2B6C"/>
    <w:rsid w:val="7551380D"/>
    <w:rsid w:val="75600BE5"/>
    <w:rsid w:val="7562246F"/>
    <w:rsid w:val="7564475C"/>
    <w:rsid w:val="7583797F"/>
    <w:rsid w:val="75CD5DE4"/>
    <w:rsid w:val="75D20F1D"/>
    <w:rsid w:val="75DA2C18"/>
    <w:rsid w:val="75F54412"/>
    <w:rsid w:val="761D08E0"/>
    <w:rsid w:val="763A5CD8"/>
    <w:rsid w:val="765D347C"/>
    <w:rsid w:val="76826699"/>
    <w:rsid w:val="76C87133"/>
    <w:rsid w:val="76CD08D5"/>
    <w:rsid w:val="76DB4B92"/>
    <w:rsid w:val="77052AA4"/>
    <w:rsid w:val="77136511"/>
    <w:rsid w:val="77315B09"/>
    <w:rsid w:val="77340A39"/>
    <w:rsid w:val="77351FD0"/>
    <w:rsid w:val="77472422"/>
    <w:rsid w:val="777F31F2"/>
    <w:rsid w:val="77866A24"/>
    <w:rsid w:val="778F3C27"/>
    <w:rsid w:val="779C6247"/>
    <w:rsid w:val="77CE2599"/>
    <w:rsid w:val="77D1700D"/>
    <w:rsid w:val="77DF044B"/>
    <w:rsid w:val="77EC04CC"/>
    <w:rsid w:val="77ED2B68"/>
    <w:rsid w:val="77FDDB5F"/>
    <w:rsid w:val="78063EE4"/>
    <w:rsid w:val="781A0520"/>
    <w:rsid w:val="78775729"/>
    <w:rsid w:val="78A42DB0"/>
    <w:rsid w:val="78A656AB"/>
    <w:rsid w:val="78B2245C"/>
    <w:rsid w:val="78C51ED0"/>
    <w:rsid w:val="78E172CC"/>
    <w:rsid w:val="78E201F2"/>
    <w:rsid w:val="78EA1D1F"/>
    <w:rsid w:val="7904172F"/>
    <w:rsid w:val="790F7E27"/>
    <w:rsid w:val="792A231A"/>
    <w:rsid w:val="79316829"/>
    <w:rsid w:val="79475498"/>
    <w:rsid w:val="79720531"/>
    <w:rsid w:val="797E66A9"/>
    <w:rsid w:val="79A97383"/>
    <w:rsid w:val="79B7342D"/>
    <w:rsid w:val="79D35D8D"/>
    <w:rsid w:val="79E27E8B"/>
    <w:rsid w:val="79F850CE"/>
    <w:rsid w:val="79FD443C"/>
    <w:rsid w:val="7A1D1975"/>
    <w:rsid w:val="7A307068"/>
    <w:rsid w:val="7A3E5150"/>
    <w:rsid w:val="7A4670D6"/>
    <w:rsid w:val="7A534B63"/>
    <w:rsid w:val="7A615382"/>
    <w:rsid w:val="7A67303B"/>
    <w:rsid w:val="7AAB1D04"/>
    <w:rsid w:val="7ABA4368"/>
    <w:rsid w:val="7AD05746"/>
    <w:rsid w:val="7B080600"/>
    <w:rsid w:val="7B161097"/>
    <w:rsid w:val="7B200376"/>
    <w:rsid w:val="7B2173E8"/>
    <w:rsid w:val="7B257FFD"/>
    <w:rsid w:val="7B343476"/>
    <w:rsid w:val="7B5A2978"/>
    <w:rsid w:val="7B5A7E4C"/>
    <w:rsid w:val="7B5F37C3"/>
    <w:rsid w:val="7B667AF9"/>
    <w:rsid w:val="7B7468F8"/>
    <w:rsid w:val="7B7C1ABA"/>
    <w:rsid w:val="7BC30888"/>
    <w:rsid w:val="7BEE0103"/>
    <w:rsid w:val="7BF56183"/>
    <w:rsid w:val="7C0A0FE4"/>
    <w:rsid w:val="7C14589E"/>
    <w:rsid w:val="7C1A1F01"/>
    <w:rsid w:val="7C254906"/>
    <w:rsid w:val="7C30396B"/>
    <w:rsid w:val="7C590818"/>
    <w:rsid w:val="7C6FCA9D"/>
    <w:rsid w:val="7C7C10F6"/>
    <w:rsid w:val="7C853BEA"/>
    <w:rsid w:val="7C881368"/>
    <w:rsid w:val="7C9C54FA"/>
    <w:rsid w:val="7CE27788"/>
    <w:rsid w:val="7CE5569E"/>
    <w:rsid w:val="7D0C32F1"/>
    <w:rsid w:val="7D0F408D"/>
    <w:rsid w:val="7D491C6C"/>
    <w:rsid w:val="7D5429C0"/>
    <w:rsid w:val="7D6E6D43"/>
    <w:rsid w:val="7D7E1AD8"/>
    <w:rsid w:val="7DB57A34"/>
    <w:rsid w:val="7DE60973"/>
    <w:rsid w:val="7DEF0916"/>
    <w:rsid w:val="7DF74B1D"/>
    <w:rsid w:val="7E1E5218"/>
    <w:rsid w:val="7E290672"/>
    <w:rsid w:val="7E532133"/>
    <w:rsid w:val="7E662156"/>
    <w:rsid w:val="7E8D00FD"/>
    <w:rsid w:val="7E924985"/>
    <w:rsid w:val="7E9A4E1F"/>
    <w:rsid w:val="7EA7723A"/>
    <w:rsid w:val="7EC9775F"/>
    <w:rsid w:val="7ED02A96"/>
    <w:rsid w:val="7EF56FBB"/>
    <w:rsid w:val="7F0768EB"/>
    <w:rsid w:val="7F143BEC"/>
    <w:rsid w:val="7F28097A"/>
    <w:rsid w:val="7F5A23C9"/>
    <w:rsid w:val="7F715AF2"/>
    <w:rsid w:val="7F886E69"/>
    <w:rsid w:val="7FF62872"/>
    <w:rsid w:val="7FFA4FF3"/>
    <w:rsid w:val="BB7FA927"/>
    <w:rsid w:val="DEFFAD92"/>
    <w:rsid w:val="DF8B5375"/>
    <w:rsid w:val="F5FFD31F"/>
    <w:rsid w:val="FA47BF2E"/>
    <w:rsid w:val="FA7DB66F"/>
    <w:rsid w:val="FEEF3596"/>
    <w:rsid w:val="FFF7D9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styleId="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_Style 2"/>
    <w:basedOn w:val="1"/>
    <w:qFormat/>
    <w:uiPriority w:val="0"/>
    <w:pPr>
      <w:ind w:firstLine="200" w:firstLineChars="200"/>
    </w:pPr>
    <w:rPr>
      <w:rFonts w:ascii="Calibri" w:hAnsi="Calibri"/>
      <w:sz w:val="28"/>
    </w:rPr>
  </w:style>
  <w:style w:type="paragraph" w:styleId="26">
    <w:name w:val="Body Text Indent"/>
    <w:basedOn w:val="1"/>
    <w:next w:val="27"/>
    <w:link w:val="270"/>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 w:val="24"/>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4"/>
    <w:qFormat/>
    <w:uiPriority w:val="0"/>
    <w:rPr>
      <w:sz w:val="18"/>
      <w:szCs w:val="18"/>
    </w:rPr>
  </w:style>
  <w:style w:type="paragraph" w:styleId="42">
    <w:name w:val="footer"/>
    <w:basedOn w:val="1"/>
    <w:link w:val="388"/>
    <w:qFormat/>
    <w:uiPriority w:val="99"/>
    <w:pPr>
      <w:tabs>
        <w:tab w:val="center" w:pos="4153"/>
        <w:tab w:val="right" w:pos="8306"/>
      </w:tabs>
      <w:snapToGrid w:val="0"/>
      <w:jc w:val="left"/>
    </w:pPr>
    <w:rPr>
      <w:sz w:val="18"/>
      <w:szCs w:val="18"/>
    </w:rPr>
  </w:style>
  <w:style w:type="paragraph" w:styleId="43">
    <w:name w:val="header"/>
    <w:basedOn w:val="1"/>
    <w:next w:val="30"/>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qFormat/>
    <w:uiPriority w:val="0"/>
    <w:rPr>
      <w:b/>
      <w:bCs/>
    </w:rPr>
  </w:style>
  <w:style w:type="paragraph" w:styleId="63">
    <w:name w:val="Body Text First Indent"/>
    <w:basedOn w:val="24"/>
    <w:next w:val="1"/>
    <w:link w:val="326"/>
    <w:qFormat/>
    <w:uiPriority w:val="0"/>
    <w:pPr>
      <w:ind w:firstLine="420"/>
    </w:pPr>
    <w:rPr>
      <w:rFonts w:hAnsi="Calibri" w:cs="Times New Roman"/>
      <w:snapToGrid/>
      <w:szCs w:val="20"/>
    </w:rPr>
  </w:style>
  <w:style w:type="paragraph" w:styleId="64">
    <w:name w:val="Body Text First Indent 2"/>
    <w:basedOn w:val="26"/>
    <w:next w:val="1"/>
    <w:link w:val="127"/>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basedOn w:val="72"/>
    <w:qFormat/>
    <w:uiPriority w:val="99"/>
    <w:rPr>
      <w:rFonts w:ascii="Times New Roman" w:hAnsi="Times New Roman" w:eastAsia="宋体" w:cs="Times New Roman"/>
      <w:kern w:val="2"/>
      <w:sz w:val="21"/>
      <w:szCs w:val="24"/>
      <w:lang w:val="en-US" w:eastAsia="zh-CN" w:bidi="ar-SA"/>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8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4">
    <w:name w:val="[Normal]"/>
    <w:qFormat/>
    <w:uiPriority w:val="99"/>
    <w:rPr>
      <w:rFonts w:ascii="宋体" w:hAnsi="宋体" w:eastAsia="宋体" w:cs="Times New Roman"/>
      <w:sz w:val="24"/>
      <w:szCs w:val="22"/>
      <w:lang w:val="zh-CN" w:eastAsia="zh-CN" w:bidi="ar-SA"/>
    </w:rPr>
  </w:style>
  <w:style w:type="paragraph" w:customStyle="1" w:styleId="85">
    <w:name w:val="Default"/>
    <w:next w:val="86"/>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4"/>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2"/>
    <w:qFormat/>
    <w:uiPriority w:val="0"/>
    <w:rPr>
      <w:rFonts w:ascii="Arial" w:hAnsi="Arial" w:eastAsia="黑体" w:cs="Arial"/>
      <w:snapToGrid w:val="0"/>
      <w:kern w:val="0"/>
      <w:szCs w:val="21"/>
    </w:rPr>
  </w:style>
  <w:style w:type="character" w:customStyle="1" w:styleId="131">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9"/>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99"/>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8"/>
    <w:qFormat/>
    <w:uiPriority w:val="0"/>
    <w:rPr>
      <w:rFonts w:ascii="宋体"/>
      <w:kern w:val="2"/>
      <w:sz w:val="24"/>
      <w:szCs w:val="21"/>
      <w:lang w:val="zh-CN"/>
    </w:rPr>
  </w:style>
  <w:style w:type="character" w:customStyle="1" w:styleId="188">
    <w:name w:val="标题 9 Char"/>
    <w:link w:val="12"/>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1"/>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2"/>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5"/>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9"/>
    <w:qFormat/>
    <w:uiPriority w:val="0"/>
    <w:rPr>
      <w:rFonts w:ascii="黑体" w:hAnsi="Courier New" w:eastAsia="黑体"/>
    </w:rPr>
  </w:style>
  <w:style w:type="character" w:customStyle="1" w:styleId="307">
    <w:name w:val="正文文本 2 Char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0"/>
    <w:qFormat/>
    <w:uiPriority w:val="0"/>
    <w:rPr>
      <w:b/>
      <w:bCs/>
      <w:kern w:val="2"/>
      <w:sz w:val="24"/>
      <w:szCs w:val="24"/>
    </w:rPr>
  </w:style>
  <w:style w:type="character" w:customStyle="1" w:styleId="313">
    <w:name w:val="正文文本缩进 2 Char"/>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3"/>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7"/>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qFormat/>
    <w:uiPriority w:val="0"/>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2"/>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5"/>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8"/>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5"/>
    <w:next w:val="85"/>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5"/>
    <w:next w:val="85"/>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8">
    <w:name w:val="纯文本3"/>
    <w:basedOn w:val="1"/>
    <w:qFormat/>
    <w:uiPriority w:val="0"/>
    <w:pPr>
      <w:textAlignment w:val="baseline"/>
    </w:pPr>
    <w:rPr>
      <w:rFonts w:ascii="宋体" w:hAnsi="Courier New" w:eastAsia="楷体_GB2312"/>
      <w:sz w:val="26"/>
      <w:szCs w:val="20"/>
    </w:rPr>
  </w:style>
  <w:style w:type="paragraph" w:customStyle="1" w:styleId="96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2">
    <w:name w:val="NormalCharacter"/>
    <w:qFormat/>
    <w:uiPriority w:val="0"/>
    <w:rPr>
      <w:kern w:val="2"/>
      <w:sz w:val="21"/>
      <w:szCs w:val="24"/>
      <w:lang w:val="en-US" w:eastAsia="zh-CN" w:bidi="ar-SA"/>
    </w:rPr>
  </w:style>
  <w:style w:type="character" w:customStyle="1" w:styleId="973">
    <w:name w:val="UserStyle_12"/>
    <w:qFormat/>
    <w:uiPriority w:val="0"/>
    <w:rPr>
      <w:kern w:val="2"/>
      <w:sz w:val="21"/>
      <w:szCs w:val="24"/>
      <w:lang w:val="en-US" w:eastAsia="zh-CN" w:bidi="ar-SA"/>
    </w:rPr>
  </w:style>
  <w:style w:type="paragraph" w:customStyle="1" w:styleId="974">
    <w:name w:val="BodyText"/>
    <w:basedOn w:val="1"/>
    <w:next w:val="975"/>
    <w:qFormat/>
    <w:uiPriority w:val="0"/>
    <w:pPr>
      <w:spacing w:after="120"/>
      <w:textAlignment w:val="baseline"/>
    </w:pPr>
    <w:rPr>
      <w:rFonts w:ascii="Calibri" w:hAnsi="Calibri"/>
    </w:rPr>
  </w:style>
  <w:style w:type="paragraph" w:customStyle="1" w:styleId="975">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styleId="976">
    <w:name w:val="No Spacing"/>
    <w:basedOn w:val="1"/>
    <w:qFormat/>
    <w:uiPriority w:val="1"/>
    <w:rPr>
      <w:szCs w:val="22"/>
    </w:rPr>
  </w:style>
  <w:style w:type="paragraph" w:customStyle="1" w:styleId="977">
    <w:name w:val="纯文本4"/>
    <w:basedOn w:val="1"/>
    <w:qFormat/>
    <w:uiPriority w:val="0"/>
    <w:pPr>
      <w:textAlignment w:val="baseline"/>
    </w:pPr>
    <w:rPr>
      <w:rFonts w:ascii="宋体" w:hAnsi="Courier New" w:eastAsia="楷体_GB2312"/>
      <w:sz w:val="26"/>
      <w:szCs w:val="20"/>
    </w:rPr>
  </w:style>
  <w:style w:type="paragraph" w:customStyle="1" w:styleId="978">
    <w:name w:val="封面第一行"/>
    <w:basedOn w:val="1"/>
    <w:qFormat/>
    <w:uiPriority w:val="0"/>
    <w:pPr>
      <w:spacing w:line="360" w:lineRule="auto"/>
      <w:jc w:val="center"/>
    </w:pPr>
    <w:rPr>
      <w:rFonts w:ascii="黑体" w:hAnsi="宋体" w:eastAsia="黑体" w:cs="宋体"/>
      <w:sz w:val="56"/>
      <w:szCs w:val="20"/>
    </w:rPr>
  </w:style>
  <w:style w:type="paragraph" w:customStyle="1" w:styleId="979">
    <w:name w:val="纯文本41"/>
    <w:basedOn w:val="1"/>
    <w:qFormat/>
    <w:uiPriority w:val="0"/>
    <w:pPr>
      <w:textAlignment w:val="baseline"/>
    </w:pPr>
    <w:rPr>
      <w:rFonts w:ascii="宋体" w:hAnsi="Courier New" w:eastAsia="楷体_GB2312"/>
      <w:sz w:val="26"/>
      <w:szCs w:val="20"/>
    </w:rPr>
  </w:style>
  <w:style w:type="paragraph" w:customStyle="1" w:styleId="980">
    <w:name w:val="表格正文"/>
    <w:basedOn w:val="1"/>
    <w:qFormat/>
    <w:uiPriority w:val="0"/>
    <w:rPr>
      <w:rFonts w:ascii="宋体" w:hAnsi="宋体"/>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50</Pages>
  <Words>27692</Words>
  <Characters>29256</Characters>
  <Lines>216</Lines>
  <Paragraphs>61</Paragraphs>
  <TotalTime>1</TotalTime>
  <ScaleCrop>false</ScaleCrop>
  <LinksUpToDate>false</LinksUpToDate>
  <CharactersWithSpaces>31721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2023-03-20T06:38:00Z</dcterms:created>
  <dc:creator>玥</dc:creator>
  <cp:lastModifiedBy>9</cp:lastModifiedBy>
  <cp:lastPrinted>2022-09-07T17:05:00Z</cp:lastPrinted>
  <dcterms:modified xsi:type="dcterms:W3CDTF">2023-05-12T02:23:51Z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05345BB495D84A679F7D7F1F9D56735A_13</vt:lpwstr>
  </property>
  <property fmtid="{D5CDD505-2E9C-101B-9397-08002B2CF9AE}" pid="5" name="commondata">
    <vt:lpwstr>eyJoZGlkIjoiMGMzMTVmNWQ0ZWUwMDFhMGMxMjI0ODY0ODBlMmFiN2UifQ==</vt:lpwstr>
  </property>
</Properties>
</file>