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spacing w:line="360" w:lineRule="auto"/>
        <w:jc w:val="center"/>
        <w:rPr>
          <w:rFonts w:ascii="仿宋" w:hAnsi="仿宋" w:eastAsia="仿宋" w:cs="仿宋_GB2312"/>
          <w:b/>
          <w:sz w:val="24"/>
          <w:highlight w:val="none"/>
        </w:rPr>
      </w:pPr>
    </w:p>
    <w:p>
      <w:pPr>
        <w:spacing w:line="1160" w:lineRule="exact"/>
        <w:jc w:val="center"/>
        <w:rPr>
          <w:rFonts w:ascii="宋体" w:hAnsi="宋体"/>
          <w:b/>
          <w:sz w:val="56"/>
          <w:szCs w:val="56"/>
          <w:highlight w:val="none"/>
        </w:rPr>
      </w:pPr>
      <w:bookmarkStart w:id="0" w:name="_Hlt67893495"/>
      <w:bookmarkEnd w:id="0"/>
      <w:r>
        <w:rPr>
          <w:rFonts w:hint="eastAsia" w:ascii="宋体" w:hAnsi="宋体"/>
          <w:b/>
          <w:sz w:val="52"/>
          <w:szCs w:val="52"/>
          <w:highlight w:val="none"/>
        </w:rPr>
        <w:t>浙江省嘉善县第一人民医院新一代信息系统建设项目（二期）</w:t>
      </w:r>
    </w:p>
    <w:p>
      <w:pPr>
        <w:spacing w:before="120" w:beforeLines="50"/>
        <w:rPr>
          <w:rFonts w:ascii="宋体" w:hAnsi="宋体"/>
          <w:sz w:val="72"/>
          <w:szCs w:val="72"/>
          <w:highlight w:val="none"/>
        </w:rPr>
      </w:pPr>
    </w:p>
    <w:p>
      <w:pPr>
        <w:spacing w:before="120" w:beforeLines="50"/>
        <w:rPr>
          <w:rFonts w:ascii="宋体" w:hAnsi="宋体"/>
          <w:sz w:val="72"/>
          <w:szCs w:val="72"/>
          <w:highlight w:val="none"/>
        </w:rPr>
      </w:pPr>
    </w:p>
    <w:p>
      <w:pPr>
        <w:spacing w:before="120" w:beforeLines="50"/>
        <w:rPr>
          <w:rFonts w:ascii="宋体" w:hAnsi="宋体"/>
          <w:sz w:val="72"/>
          <w:szCs w:val="72"/>
          <w:highlight w:val="none"/>
        </w:rPr>
      </w:pPr>
    </w:p>
    <w:p>
      <w:pPr>
        <w:spacing w:before="120" w:beforeLines="50"/>
        <w:jc w:val="center"/>
        <w:rPr>
          <w:rFonts w:ascii="宋体" w:hAnsi="宋体"/>
          <w:sz w:val="72"/>
          <w:szCs w:val="72"/>
          <w:highlight w:val="none"/>
        </w:rPr>
      </w:pPr>
      <w:r>
        <w:rPr>
          <w:rFonts w:hint="eastAsia" w:ascii="宋体" w:hAnsi="宋体"/>
          <w:sz w:val="72"/>
          <w:szCs w:val="72"/>
          <w:highlight w:val="none"/>
        </w:rPr>
        <w:t>公开招标文件</w:t>
      </w:r>
    </w:p>
    <w:p>
      <w:pPr>
        <w:pStyle w:val="25"/>
        <w:rPr>
          <w:highlight w:val="none"/>
        </w:rPr>
      </w:pPr>
    </w:p>
    <w:p>
      <w:pPr>
        <w:snapToGrid w:val="0"/>
        <w:spacing w:before="120" w:beforeLines="50" w:line="360" w:lineRule="auto"/>
        <w:jc w:val="center"/>
        <w:rPr>
          <w:rFonts w:ascii="宋体" w:hAnsi="宋体"/>
          <w:sz w:val="30"/>
          <w:szCs w:val="72"/>
          <w:highlight w:val="none"/>
        </w:rPr>
      </w:pPr>
    </w:p>
    <w:p>
      <w:pPr>
        <w:snapToGrid w:val="0"/>
        <w:spacing w:before="120" w:beforeLines="50" w:line="360" w:lineRule="auto"/>
        <w:rPr>
          <w:rFonts w:ascii="宋体" w:hAnsi="宋体"/>
          <w:sz w:val="30"/>
          <w:szCs w:val="72"/>
          <w:highlight w:val="none"/>
        </w:rPr>
      </w:pPr>
    </w:p>
    <w:p>
      <w:pPr>
        <w:pStyle w:val="35"/>
        <w:snapToGrid w:val="0"/>
        <w:spacing w:before="120" w:after="120" w:line="360" w:lineRule="auto"/>
        <w:rPr>
          <w:b/>
          <w:sz w:val="30"/>
          <w:szCs w:val="30"/>
          <w:highlight w:val="none"/>
        </w:rPr>
      </w:pPr>
    </w:p>
    <w:p>
      <w:pPr>
        <w:pStyle w:val="35"/>
        <w:snapToGrid w:val="0"/>
        <w:spacing w:before="120" w:after="120" w:line="360" w:lineRule="auto"/>
        <w:jc w:val="left"/>
        <w:rPr>
          <w:b/>
          <w:sz w:val="30"/>
          <w:szCs w:val="30"/>
          <w:highlight w:val="none"/>
        </w:rPr>
      </w:pPr>
    </w:p>
    <w:p>
      <w:pPr>
        <w:pStyle w:val="35"/>
        <w:snapToGrid w:val="0"/>
        <w:spacing w:before="120" w:after="120" w:line="360" w:lineRule="auto"/>
        <w:jc w:val="left"/>
        <w:rPr>
          <w:b/>
          <w:sz w:val="30"/>
          <w:szCs w:val="30"/>
          <w:highlight w:val="none"/>
        </w:rPr>
      </w:pPr>
      <w:r>
        <w:rPr>
          <w:b/>
          <w:sz w:val="30"/>
          <w:szCs w:val="30"/>
          <w:highlight w:val="none"/>
        </w:rPr>
        <w:t>项目编号：</w:t>
      </w:r>
      <w:r>
        <w:rPr>
          <w:rFonts w:hint="eastAsia" w:hAnsi="宋体"/>
          <w:b/>
          <w:sz w:val="30"/>
          <w:szCs w:val="48"/>
          <w:highlight w:val="none"/>
        </w:rPr>
        <w:t>JXYJ2023001(G)</w:t>
      </w:r>
    </w:p>
    <w:p>
      <w:pPr>
        <w:pStyle w:val="35"/>
        <w:snapToGrid w:val="0"/>
        <w:spacing w:before="120" w:after="120" w:line="360" w:lineRule="auto"/>
        <w:jc w:val="left"/>
        <w:rPr>
          <w:b/>
          <w:sz w:val="30"/>
          <w:szCs w:val="30"/>
          <w:highlight w:val="none"/>
        </w:rPr>
      </w:pPr>
      <w:r>
        <w:rPr>
          <w:rFonts w:hint="eastAsia"/>
          <w:b/>
          <w:sz w:val="30"/>
          <w:szCs w:val="30"/>
          <w:highlight w:val="none"/>
        </w:rPr>
        <w:t>项目名称：浙江省嘉善县第一人民医院新一代信息系统建设项目（二期）</w:t>
      </w:r>
    </w:p>
    <w:p>
      <w:pPr>
        <w:pStyle w:val="35"/>
        <w:snapToGrid w:val="0"/>
        <w:spacing w:before="120" w:after="120" w:line="360" w:lineRule="auto"/>
        <w:jc w:val="left"/>
        <w:rPr>
          <w:rFonts w:hAnsi="宋体"/>
          <w:b/>
          <w:sz w:val="30"/>
          <w:szCs w:val="30"/>
          <w:highlight w:val="none"/>
        </w:rPr>
      </w:pPr>
      <w:r>
        <w:rPr>
          <w:b/>
          <w:sz w:val="30"/>
          <w:szCs w:val="30"/>
          <w:highlight w:val="none"/>
        </w:rPr>
        <w:t>采购</w:t>
      </w:r>
      <w:r>
        <w:rPr>
          <w:rFonts w:hint="eastAsia"/>
          <w:b/>
          <w:sz w:val="30"/>
          <w:szCs w:val="30"/>
          <w:highlight w:val="none"/>
        </w:rPr>
        <w:t>单位</w:t>
      </w:r>
      <w:r>
        <w:rPr>
          <w:b/>
          <w:sz w:val="30"/>
          <w:szCs w:val="30"/>
          <w:highlight w:val="none"/>
        </w:rPr>
        <w:t>：</w:t>
      </w:r>
      <w:r>
        <w:rPr>
          <w:rFonts w:hint="eastAsia"/>
          <w:b/>
          <w:sz w:val="30"/>
          <w:szCs w:val="30"/>
          <w:highlight w:val="none"/>
        </w:rPr>
        <w:t>浙江省嘉善县第一人民医院</w:t>
      </w:r>
    </w:p>
    <w:p>
      <w:pPr>
        <w:pStyle w:val="35"/>
        <w:snapToGrid w:val="0"/>
        <w:spacing w:before="120" w:after="120" w:line="360" w:lineRule="auto"/>
        <w:jc w:val="left"/>
        <w:rPr>
          <w:rFonts w:hAnsi="宋体"/>
          <w:b/>
          <w:bCs/>
          <w:sz w:val="30"/>
          <w:szCs w:val="30"/>
          <w:highlight w:val="none"/>
        </w:rPr>
      </w:pPr>
      <w:r>
        <w:rPr>
          <w:rFonts w:hint="eastAsia"/>
          <w:b/>
          <w:sz w:val="30"/>
          <w:szCs w:val="30"/>
          <w:highlight w:val="none"/>
        </w:rPr>
        <w:t>采购代理机构</w:t>
      </w:r>
      <w:r>
        <w:rPr>
          <w:b/>
          <w:sz w:val="30"/>
          <w:szCs w:val="30"/>
          <w:highlight w:val="none"/>
        </w:rPr>
        <w:t>：</w:t>
      </w:r>
      <w:r>
        <w:rPr>
          <w:rFonts w:hint="eastAsia"/>
          <w:b/>
          <w:sz w:val="30"/>
          <w:szCs w:val="30"/>
          <w:highlight w:val="none"/>
        </w:rPr>
        <w:t>嘉兴市银建工程咨询评估有限公司</w:t>
      </w:r>
    </w:p>
    <w:p>
      <w:pPr>
        <w:spacing w:line="360" w:lineRule="auto"/>
        <w:jc w:val="center"/>
        <w:rPr>
          <w:rFonts w:ascii="仿宋" w:hAnsi="仿宋" w:eastAsia="仿宋" w:cs="仿宋_GB2312"/>
          <w:sz w:val="24"/>
          <w:highlight w:val="none"/>
        </w:rPr>
      </w:pPr>
      <w:r>
        <w:rPr>
          <w:rFonts w:hint="eastAsia" w:ascii="宋体" w:hAnsi="宋体"/>
          <w:b/>
          <w:bCs/>
          <w:w w:val="95"/>
          <w:sz w:val="30"/>
          <w:szCs w:val="30"/>
          <w:highlight w:val="none"/>
        </w:rPr>
        <w:t>2023年</w:t>
      </w:r>
      <w:r>
        <w:rPr>
          <w:rFonts w:hint="eastAsia" w:ascii="宋体" w:hAnsi="宋体"/>
          <w:b/>
          <w:bCs/>
          <w:w w:val="95"/>
          <w:sz w:val="30"/>
          <w:szCs w:val="30"/>
          <w:highlight w:val="none"/>
          <w:lang w:val="en-US" w:eastAsia="zh-CN"/>
        </w:rPr>
        <w:t>2</w:t>
      </w:r>
      <w:r>
        <w:rPr>
          <w:rFonts w:hint="eastAsia" w:ascii="宋体" w:hAnsi="宋体"/>
          <w:b/>
          <w:bCs/>
          <w:w w:val="95"/>
          <w:sz w:val="30"/>
          <w:szCs w:val="30"/>
          <w:highlight w:val="none"/>
        </w:rPr>
        <w:t>月</w:t>
      </w:r>
    </w:p>
    <w:p>
      <w:pPr>
        <w:rPr>
          <w:rFonts w:ascii="仿宋" w:hAnsi="仿宋" w:eastAsia="仿宋" w:cs="仿宋_GB2312"/>
          <w:sz w:val="24"/>
          <w:highlight w:val="none"/>
        </w:rPr>
        <w:sectPr>
          <w:headerReference r:id="rId3" w:type="default"/>
          <w:footerReference r:id="rId4" w:type="even"/>
          <w:pgSz w:w="11906" w:h="16838"/>
          <w:pgMar w:top="680" w:right="1418" w:bottom="468" w:left="1418" w:header="851" w:footer="992" w:gutter="0"/>
          <w:cols w:space="720" w:num="1"/>
          <w:titlePg/>
          <w:docGrid w:linePitch="312" w:charSpace="0"/>
        </w:sectPr>
      </w:pPr>
    </w:p>
    <w:p>
      <w:pPr>
        <w:pStyle w:val="35"/>
        <w:spacing w:before="120" w:after="120" w:line="600" w:lineRule="exact"/>
        <w:rPr>
          <w:rFonts w:ascii="创艺简标宋" w:hAnsi="宋体" w:eastAsia="创艺简标宋"/>
          <w:b/>
          <w:sz w:val="44"/>
          <w:szCs w:val="44"/>
          <w:highlight w:val="none"/>
        </w:rPr>
      </w:pPr>
      <w:bookmarkStart w:id="1" w:name="_Hlt91233176"/>
      <w:bookmarkEnd w:id="1"/>
      <w:bookmarkStart w:id="2" w:name="_Toc91899869"/>
    </w:p>
    <w:p>
      <w:pPr>
        <w:pStyle w:val="35"/>
        <w:spacing w:before="120" w:after="120" w:line="600" w:lineRule="exact"/>
        <w:jc w:val="center"/>
        <w:rPr>
          <w:rFonts w:hAnsi="宋体" w:cs="宋体"/>
          <w:b/>
          <w:sz w:val="44"/>
          <w:szCs w:val="44"/>
          <w:highlight w:val="none"/>
        </w:rPr>
      </w:pPr>
    </w:p>
    <w:p>
      <w:pPr>
        <w:pStyle w:val="35"/>
        <w:spacing w:before="120" w:after="120" w:line="600" w:lineRule="exact"/>
        <w:jc w:val="center"/>
        <w:rPr>
          <w:rFonts w:hAnsi="宋体" w:cs="宋体"/>
          <w:b/>
          <w:sz w:val="44"/>
          <w:szCs w:val="44"/>
          <w:highlight w:val="none"/>
        </w:rPr>
      </w:pPr>
      <w:r>
        <w:rPr>
          <w:rFonts w:hint="eastAsia" w:hAnsi="宋体" w:cs="宋体"/>
          <w:b/>
          <w:sz w:val="44"/>
          <w:szCs w:val="44"/>
          <w:highlight w:val="none"/>
        </w:rPr>
        <w:t>目    录</w:t>
      </w:r>
    </w:p>
    <w:p>
      <w:pPr>
        <w:pStyle w:val="35"/>
        <w:tabs>
          <w:tab w:val="left" w:pos="6645"/>
        </w:tabs>
        <w:spacing w:before="120" w:after="120" w:line="600" w:lineRule="exact"/>
        <w:jc w:val="left"/>
        <w:rPr>
          <w:rFonts w:ascii="创艺简标宋" w:hAnsi="宋体" w:eastAsia="创艺简标宋"/>
          <w:b/>
          <w:sz w:val="44"/>
          <w:szCs w:val="44"/>
          <w:highlight w:val="none"/>
        </w:rPr>
      </w:pPr>
      <w:r>
        <w:rPr>
          <w:rFonts w:ascii="创艺简标宋" w:hAnsi="宋体" w:eastAsia="创艺简标宋"/>
          <w:b/>
          <w:sz w:val="44"/>
          <w:szCs w:val="44"/>
          <w:highlight w:val="none"/>
        </w:rPr>
        <w:tab/>
      </w:r>
    </w:p>
    <w:p>
      <w:pPr>
        <w:pStyle w:val="45"/>
        <w:tabs>
          <w:tab w:val="right" w:leader="dot" w:pos="8834"/>
        </w:tabs>
        <w:spacing w:line="480" w:lineRule="auto"/>
        <w:rPr>
          <w:b/>
          <w:sz w:val="32"/>
          <w:szCs w:val="32"/>
          <w:highlight w:val="none"/>
        </w:rPr>
      </w:pPr>
      <w:r>
        <w:rPr>
          <w:b/>
          <w:sz w:val="32"/>
          <w:szCs w:val="32"/>
          <w:highlight w:val="none"/>
        </w:rPr>
        <w:fldChar w:fldCharType="begin"/>
      </w:r>
      <w:r>
        <w:rPr>
          <w:b/>
          <w:sz w:val="32"/>
          <w:szCs w:val="32"/>
          <w:highlight w:val="none"/>
        </w:rPr>
        <w:instrText xml:space="preserve"> TOC \o "1-1" \h \z \u </w:instrText>
      </w:r>
      <w:r>
        <w:rPr>
          <w:b/>
          <w:sz w:val="32"/>
          <w:szCs w:val="32"/>
          <w:highlight w:val="none"/>
        </w:rPr>
        <w:fldChar w:fldCharType="separate"/>
      </w:r>
      <w:r>
        <w:rPr>
          <w:highlight w:val="none"/>
        </w:rPr>
        <w:fldChar w:fldCharType="begin"/>
      </w:r>
      <w:r>
        <w:rPr>
          <w:highlight w:val="none"/>
        </w:rPr>
        <w:instrText xml:space="preserve"> HYPERLINK \l "_Toc406402981" </w:instrText>
      </w:r>
      <w:r>
        <w:rPr>
          <w:highlight w:val="none"/>
        </w:rPr>
        <w:fldChar w:fldCharType="separate"/>
      </w:r>
      <w:r>
        <w:rPr>
          <w:rStyle w:val="82"/>
          <w:rFonts w:hint="eastAsia"/>
          <w:b/>
          <w:sz w:val="32"/>
          <w:szCs w:val="32"/>
          <w:highlight w:val="none"/>
        </w:rPr>
        <w:t>第一章</w:t>
      </w:r>
      <w:r>
        <w:rPr>
          <w:rStyle w:val="82"/>
          <w:b/>
          <w:sz w:val="32"/>
          <w:szCs w:val="32"/>
          <w:highlight w:val="none"/>
        </w:rPr>
        <w:t xml:space="preserve">  </w:t>
      </w:r>
      <w:r>
        <w:rPr>
          <w:rStyle w:val="82"/>
          <w:rFonts w:hint="eastAsia"/>
          <w:b/>
          <w:sz w:val="32"/>
          <w:szCs w:val="32"/>
          <w:highlight w:val="none"/>
        </w:rPr>
        <w:t>公开招标采购公告</w:t>
      </w:r>
      <w:r>
        <w:rPr>
          <w:b/>
          <w:sz w:val="32"/>
          <w:szCs w:val="32"/>
          <w:highlight w:val="none"/>
        </w:rPr>
        <w:tab/>
      </w:r>
      <w:r>
        <w:rPr>
          <w:rFonts w:hint="eastAsia"/>
          <w:b/>
          <w:sz w:val="32"/>
          <w:szCs w:val="32"/>
          <w:highlight w:val="none"/>
        </w:rPr>
        <w:t>3</w:t>
      </w:r>
      <w:r>
        <w:rPr>
          <w:rFonts w:hint="eastAsia"/>
          <w:b/>
          <w:sz w:val="32"/>
          <w:szCs w:val="32"/>
          <w:highlight w:val="none"/>
        </w:rPr>
        <w:fldChar w:fldCharType="end"/>
      </w:r>
    </w:p>
    <w:p>
      <w:pPr>
        <w:pStyle w:val="45"/>
        <w:tabs>
          <w:tab w:val="right" w:leader="dot" w:pos="8834"/>
        </w:tabs>
        <w:spacing w:line="480" w:lineRule="auto"/>
        <w:rPr>
          <w:b/>
          <w:sz w:val="32"/>
          <w:szCs w:val="32"/>
          <w:highlight w:val="none"/>
        </w:rPr>
      </w:pPr>
      <w:r>
        <w:rPr>
          <w:highlight w:val="none"/>
        </w:rPr>
        <w:fldChar w:fldCharType="begin"/>
      </w:r>
      <w:r>
        <w:rPr>
          <w:highlight w:val="none"/>
        </w:rPr>
        <w:instrText xml:space="preserve"> HYPERLINK \l "_Toc406402982" </w:instrText>
      </w:r>
      <w:r>
        <w:rPr>
          <w:highlight w:val="none"/>
        </w:rPr>
        <w:fldChar w:fldCharType="separate"/>
      </w:r>
      <w:r>
        <w:rPr>
          <w:rStyle w:val="82"/>
          <w:rFonts w:hint="eastAsia"/>
          <w:b/>
          <w:sz w:val="32"/>
          <w:szCs w:val="32"/>
          <w:highlight w:val="none"/>
        </w:rPr>
        <w:t>第二章</w:t>
      </w:r>
      <w:r>
        <w:rPr>
          <w:rStyle w:val="82"/>
          <w:b/>
          <w:sz w:val="32"/>
          <w:szCs w:val="32"/>
          <w:highlight w:val="none"/>
        </w:rPr>
        <w:t xml:space="preserve">  </w:t>
      </w:r>
      <w:r>
        <w:rPr>
          <w:rStyle w:val="82"/>
          <w:rFonts w:hint="eastAsia"/>
          <w:b/>
          <w:sz w:val="32"/>
          <w:szCs w:val="32"/>
          <w:highlight w:val="none"/>
        </w:rPr>
        <w:t>招标需求</w:t>
      </w:r>
      <w:r>
        <w:rPr>
          <w:b/>
          <w:sz w:val="32"/>
          <w:szCs w:val="32"/>
          <w:highlight w:val="none"/>
        </w:rPr>
        <w:tab/>
      </w:r>
      <w:r>
        <w:rPr>
          <w:rFonts w:hint="eastAsia"/>
          <w:b/>
          <w:sz w:val="32"/>
          <w:szCs w:val="32"/>
          <w:highlight w:val="none"/>
        </w:rPr>
        <w:t>7</w:t>
      </w:r>
      <w:r>
        <w:rPr>
          <w:rFonts w:hint="eastAsia"/>
          <w:b/>
          <w:sz w:val="32"/>
          <w:szCs w:val="32"/>
          <w:highlight w:val="none"/>
        </w:rPr>
        <w:fldChar w:fldCharType="end"/>
      </w:r>
    </w:p>
    <w:p>
      <w:pPr>
        <w:pStyle w:val="45"/>
        <w:tabs>
          <w:tab w:val="right" w:leader="dot" w:pos="8834"/>
        </w:tabs>
        <w:spacing w:line="480" w:lineRule="auto"/>
        <w:rPr>
          <w:b/>
          <w:sz w:val="32"/>
          <w:szCs w:val="32"/>
          <w:highlight w:val="none"/>
        </w:rPr>
      </w:pPr>
      <w:r>
        <w:rPr>
          <w:highlight w:val="none"/>
        </w:rPr>
        <w:fldChar w:fldCharType="begin"/>
      </w:r>
      <w:r>
        <w:rPr>
          <w:highlight w:val="none"/>
        </w:rPr>
        <w:instrText xml:space="preserve"> HYPERLINK \l "_Toc406402986" </w:instrText>
      </w:r>
      <w:r>
        <w:rPr>
          <w:highlight w:val="none"/>
        </w:rPr>
        <w:fldChar w:fldCharType="separate"/>
      </w:r>
      <w:r>
        <w:rPr>
          <w:rStyle w:val="82"/>
          <w:rFonts w:hint="eastAsia"/>
          <w:b/>
          <w:sz w:val="32"/>
          <w:szCs w:val="32"/>
          <w:highlight w:val="none"/>
        </w:rPr>
        <w:t>第三章</w:t>
      </w:r>
      <w:r>
        <w:rPr>
          <w:rStyle w:val="82"/>
          <w:b/>
          <w:sz w:val="32"/>
          <w:szCs w:val="32"/>
          <w:highlight w:val="none"/>
        </w:rPr>
        <w:t xml:space="preserve">  </w:t>
      </w:r>
      <w:r>
        <w:rPr>
          <w:rStyle w:val="82"/>
          <w:rFonts w:hint="eastAsia"/>
          <w:b/>
          <w:sz w:val="32"/>
          <w:szCs w:val="32"/>
          <w:highlight w:val="none"/>
        </w:rPr>
        <w:t>投标人须知</w:t>
      </w:r>
      <w:r>
        <w:rPr>
          <w:b/>
          <w:sz w:val="32"/>
          <w:szCs w:val="32"/>
          <w:highlight w:val="none"/>
        </w:rPr>
        <w:tab/>
      </w:r>
      <w:r>
        <w:rPr>
          <w:rFonts w:hint="eastAsia"/>
          <w:b/>
          <w:sz w:val="32"/>
          <w:szCs w:val="32"/>
          <w:highlight w:val="none"/>
        </w:rPr>
        <w:t>1</w:t>
      </w:r>
      <w:r>
        <w:rPr>
          <w:rFonts w:hint="eastAsia"/>
          <w:b/>
          <w:sz w:val="32"/>
          <w:szCs w:val="32"/>
          <w:highlight w:val="none"/>
        </w:rPr>
        <w:fldChar w:fldCharType="end"/>
      </w:r>
      <w:r>
        <w:rPr>
          <w:rFonts w:hint="eastAsia"/>
          <w:b/>
          <w:sz w:val="32"/>
          <w:szCs w:val="32"/>
          <w:highlight w:val="none"/>
          <w:lang w:val="en-US" w:eastAsia="zh-CN"/>
        </w:rPr>
        <w:t>50</w:t>
      </w:r>
    </w:p>
    <w:p>
      <w:pPr>
        <w:pStyle w:val="45"/>
        <w:tabs>
          <w:tab w:val="right" w:leader="dot" w:pos="8834"/>
        </w:tabs>
        <w:spacing w:line="480" w:lineRule="auto"/>
        <w:rPr>
          <w:rFonts w:hint="eastAsia" w:eastAsia="宋体"/>
          <w:b/>
          <w:sz w:val="32"/>
          <w:szCs w:val="32"/>
          <w:highlight w:val="none"/>
          <w:lang w:val="en-US" w:eastAsia="zh-CN"/>
        </w:rPr>
      </w:pPr>
      <w:r>
        <w:rPr>
          <w:highlight w:val="none"/>
        </w:rPr>
        <w:fldChar w:fldCharType="begin"/>
      </w:r>
      <w:r>
        <w:rPr>
          <w:highlight w:val="none"/>
        </w:rPr>
        <w:instrText xml:space="preserve"> HYPERLINK \l "_Toc406402996" </w:instrText>
      </w:r>
      <w:r>
        <w:rPr>
          <w:highlight w:val="none"/>
        </w:rPr>
        <w:fldChar w:fldCharType="separate"/>
      </w:r>
      <w:r>
        <w:rPr>
          <w:rStyle w:val="82"/>
          <w:rFonts w:hint="eastAsia"/>
          <w:b/>
          <w:sz w:val="32"/>
          <w:szCs w:val="32"/>
          <w:highlight w:val="none"/>
        </w:rPr>
        <w:t xml:space="preserve">第四章 </w:t>
      </w:r>
      <w:r>
        <w:rPr>
          <w:rStyle w:val="82"/>
          <w:b/>
          <w:sz w:val="32"/>
          <w:szCs w:val="32"/>
          <w:highlight w:val="none"/>
        </w:rPr>
        <w:t xml:space="preserve"> </w:t>
      </w:r>
      <w:r>
        <w:rPr>
          <w:rStyle w:val="82"/>
          <w:rFonts w:hint="eastAsia"/>
          <w:b/>
          <w:sz w:val="32"/>
          <w:szCs w:val="32"/>
          <w:highlight w:val="none"/>
        </w:rPr>
        <w:t>评标办法及评分标准</w:t>
      </w:r>
      <w:r>
        <w:rPr>
          <w:b/>
          <w:sz w:val="32"/>
          <w:szCs w:val="32"/>
          <w:highlight w:val="none"/>
        </w:rPr>
        <w:tab/>
      </w:r>
      <w:r>
        <w:rPr>
          <w:rFonts w:hint="eastAsia"/>
          <w:b/>
          <w:sz w:val="32"/>
          <w:szCs w:val="32"/>
          <w:highlight w:val="none"/>
          <w:lang w:val="en-US" w:eastAsia="zh-CN"/>
        </w:rPr>
        <w:t>1</w:t>
      </w:r>
      <w:r>
        <w:rPr>
          <w:rFonts w:hint="eastAsia"/>
          <w:b/>
          <w:sz w:val="32"/>
          <w:szCs w:val="32"/>
          <w:highlight w:val="none"/>
        </w:rPr>
        <w:fldChar w:fldCharType="end"/>
      </w:r>
      <w:r>
        <w:rPr>
          <w:rFonts w:hint="eastAsia"/>
          <w:b/>
          <w:sz w:val="32"/>
          <w:szCs w:val="32"/>
          <w:highlight w:val="none"/>
        </w:rPr>
        <w:t>6</w:t>
      </w:r>
      <w:r>
        <w:rPr>
          <w:rFonts w:hint="eastAsia"/>
          <w:b/>
          <w:sz w:val="32"/>
          <w:szCs w:val="32"/>
          <w:highlight w:val="none"/>
          <w:lang w:val="en-US" w:eastAsia="zh-CN"/>
        </w:rPr>
        <w:t>7</w:t>
      </w:r>
    </w:p>
    <w:p>
      <w:pPr>
        <w:pStyle w:val="45"/>
        <w:tabs>
          <w:tab w:val="right" w:leader="dot" w:pos="8834"/>
        </w:tabs>
        <w:spacing w:line="480" w:lineRule="auto"/>
        <w:rPr>
          <w:b/>
          <w:sz w:val="32"/>
          <w:szCs w:val="32"/>
          <w:highlight w:val="none"/>
        </w:rPr>
      </w:pPr>
      <w:r>
        <w:rPr>
          <w:highlight w:val="none"/>
        </w:rPr>
        <w:fldChar w:fldCharType="begin"/>
      </w:r>
      <w:r>
        <w:rPr>
          <w:highlight w:val="none"/>
        </w:rPr>
        <w:instrText xml:space="preserve"> HYPERLINK \l "_Toc406402998" </w:instrText>
      </w:r>
      <w:r>
        <w:rPr>
          <w:highlight w:val="none"/>
        </w:rPr>
        <w:fldChar w:fldCharType="separate"/>
      </w:r>
      <w:r>
        <w:rPr>
          <w:rStyle w:val="82"/>
          <w:rFonts w:hint="eastAsia"/>
          <w:b/>
          <w:sz w:val="32"/>
          <w:szCs w:val="32"/>
          <w:highlight w:val="none"/>
        </w:rPr>
        <w:t>第五章</w:t>
      </w:r>
      <w:r>
        <w:rPr>
          <w:rStyle w:val="82"/>
          <w:b/>
          <w:sz w:val="32"/>
          <w:szCs w:val="32"/>
          <w:highlight w:val="none"/>
        </w:rPr>
        <w:t xml:space="preserve">  </w:t>
      </w:r>
      <w:r>
        <w:rPr>
          <w:rStyle w:val="82"/>
          <w:rFonts w:hint="eastAsia"/>
          <w:b/>
          <w:sz w:val="32"/>
          <w:szCs w:val="32"/>
          <w:highlight w:val="none"/>
        </w:rPr>
        <w:t>嘉善县政府采购合同（</w:t>
      </w:r>
      <w:bookmarkStart w:id="3" w:name="_Hlt497308216"/>
      <w:r>
        <w:rPr>
          <w:rStyle w:val="82"/>
          <w:rFonts w:hint="eastAsia"/>
          <w:b/>
          <w:sz w:val="32"/>
          <w:szCs w:val="32"/>
          <w:highlight w:val="none"/>
        </w:rPr>
        <w:t>指</w:t>
      </w:r>
      <w:bookmarkEnd w:id="3"/>
      <w:bookmarkStart w:id="4" w:name="_Hlt497308220"/>
      <w:r>
        <w:rPr>
          <w:rStyle w:val="82"/>
          <w:rFonts w:hint="eastAsia"/>
          <w:b/>
          <w:sz w:val="32"/>
          <w:szCs w:val="32"/>
          <w:highlight w:val="none"/>
        </w:rPr>
        <w:t>引</w:t>
      </w:r>
      <w:bookmarkEnd w:id="4"/>
      <w:r>
        <w:rPr>
          <w:rStyle w:val="82"/>
          <w:rFonts w:hint="eastAsia"/>
          <w:b/>
          <w:sz w:val="32"/>
          <w:szCs w:val="32"/>
          <w:highlight w:val="none"/>
        </w:rPr>
        <w:t>）</w:t>
      </w:r>
      <w:bookmarkStart w:id="5" w:name="_Hlt497308212"/>
      <w:bookmarkStart w:id="6" w:name="_Hlt497308213"/>
      <w:r>
        <w:rPr>
          <w:b/>
          <w:sz w:val="32"/>
          <w:szCs w:val="32"/>
          <w:highlight w:val="none"/>
        </w:rPr>
        <w:tab/>
      </w:r>
      <w:bookmarkEnd w:id="5"/>
      <w:bookmarkEnd w:id="6"/>
      <w:r>
        <w:rPr>
          <w:rFonts w:hint="eastAsia"/>
          <w:b/>
          <w:sz w:val="32"/>
          <w:szCs w:val="32"/>
          <w:highlight w:val="none"/>
          <w:lang w:val="en-US" w:eastAsia="zh-CN"/>
        </w:rPr>
        <w:t>1</w:t>
      </w:r>
      <w:r>
        <w:rPr>
          <w:rFonts w:hint="eastAsia"/>
          <w:b/>
          <w:sz w:val="32"/>
          <w:szCs w:val="32"/>
          <w:highlight w:val="none"/>
        </w:rPr>
        <w:fldChar w:fldCharType="end"/>
      </w:r>
      <w:r>
        <w:rPr>
          <w:rFonts w:hint="eastAsia"/>
          <w:b/>
          <w:sz w:val="32"/>
          <w:szCs w:val="32"/>
          <w:highlight w:val="none"/>
          <w:lang w:val="en-US" w:eastAsia="zh-CN"/>
        </w:rPr>
        <w:t>71</w:t>
      </w:r>
    </w:p>
    <w:p>
      <w:pPr>
        <w:pStyle w:val="45"/>
        <w:tabs>
          <w:tab w:val="right" w:leader="dot" w:pos="8834"/>
        </w:tabs>
        <w:spacing w:line="480" w:lineRule="auto"/>
        <w:rPr>
          <w:b/>
          <w:sz w:val="32"/>
          <w:szCs w:val="32"/>
          <w:highlight w:val="none"/>
        </w:rPr>
      </w:pPr>
      <w:r>
        <w:rPr>
          <w:highlight w:val="none"/>
        </w:rPr>
        <w:fldChar w:fldCharType="begin"/>
      </w:r>
      <w:r>
        <w:rPr>
          <w:highlight w:val="none"/>
        </w:rPr>
        <w:instrText xml:space="preserve"> HYPERLINK \l "_Toc406403000" </w:instrText>
      </w:r>
      <w:r>
        <w:rPr>
          <w:highlight w:val="none"/>
        </w:rPr>
        <w:fldChar w:fldCharType="separate"/>
      </w:r>
      <w:r>
        <w:rPr>
          <w:rStyle w:val="82"/>
          <w:rFonts w:hint="eastAsia"/>
          <w:b/>
          <w:sz w:val="32"/>
          <w:szCs w:val="32"/>
          <w:highlight w:val="none"/>
        </w:rPr>
        <w:t>第六章　投标文件格式</w:t>
      </w:r>
      <w:r>
        <w:rPr>
          <w:b/>
          <w:sz w:val="32"/>
          <w:szCs w:val="32"/>
          <w:highlight w:val="none"/>
        </w:rPr>
        <w:tab/>
      </w:r>
      <w:r>
        <w:rPr>
          <w:b/>
          <w:sz w:val="32"/>
          <w:szCs w:val="32"/>
          <w:highlight w:val="none"/>
        </w:rPr>
        <w:fldChar w:fldCharType="end"/>
      </w:r>
      <w:r>
        <w:rPr>
          <w:rFonts w:hint="eastAsia"/>
          <w:b/>
          <w:sz w:val="32"/>
          <w:szCs w:val="32"/>
          <w:highlight w:val="none"/>
          <w:lang w:val="en-US" w:eastAsia="zh-CN"/>
        </w:rPr>
        <w:t>176</w:t>
      </w:r>
    </w:p>
    <w:p>
      <w:pPr>
        <w:pStyle w:val="45"/>
        <w:tabs>
          <w:tab w:val="right" w:leader="dot" w:pos="8834"/>
        </w:tabs>
        <w:spacing w:line="480" w:lineRule="auto"/>
        <w:rPr>
          <w:b/>
          <w:sz w:val="32"/>
          <w:szCs w:val="32"/>
          <w:highlight w:val="none"/>
        </w:rPr>
      </w:pPr>
    </w:p>
    <w:p>
      <w:pPr>
        <w:pStyle w:val="45"/>
        <w:tabs>
          <w:tab w:val="right" w:leader="dot" w:pos="8834"/>
        </w:tabs>
        <w:spacing w:line="480" w:lineRule="auto"/>
        <w:rPr>
          <w:b/>
          <w:sz w:val="32"/>
          <w:szCs w:val="32"/>
          <w:highlight w:val="none"/>
        </w:rPr>
      </w:pPr>
    </w:p>
    <w:p>
      <w:pPr>
        <w:pStyle w:val="45"/>
        <w:tabs>
          <w:tab w:val="right" w:leader="dot" w:pos="8834"/>
        </w:tabs>
        <w:spacing w:line="480" w:lineRule="auto"/>
        <w:rPr>
          <w:b/>
          <w:sz w:val="32"/>
          <w:szCs w:val="32"/>
          <w:highlight w:val="none"/>
        </w:rPr>
      </w:pPr>
    </w:p>
    <w:p>
      <w:pPr>
        <w:pStyle w:val="45"/>
        <w:tabs>
          <w:tab w:val="right" w:leader="dot" w:pos="8834"/>
        </w:tabs>
        <w:spacing w:line="480" w:lineRule="auto"/>
        <w:rPr>
          <w:b/>
          <w:sz w:val="32"/>
          <w:szCs w:val="32"/>
          <w:highlight w:val="none"/>
        </w:rPr>
      </w:pPr>
    </w:p>
    <w:p>
      <w:pPr>
        <w:spacing w:line="360" w:lineRule="auto"/>
        <w:ind w:firstLine="480" w:firstLineChars="229"/>
        <w:rPr>
          <w:rFonts w:ascii="仿宋" w:hAnsi="仿宋" w:eastAsia="仿宋" w:cs="仿宋_GB2312"/>
          <w:sz w:val="24"/>
          <w:highlight w:val="none"/>
        </w:rPr>
      </w:pPr>
      <w:r>
        <w:rPr>
          <w:szCs w:val="32"/>
          <w:highlight w:val="none"/>
        </w:rPr>
        <w:fldChar w:fldCharType="end"/>
      </w: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rPr>
          <w:rFonts w:ascii="仿宋" w:hAnsi="仿宋" w:eastAsia="仿宋" w:cs="仿宋_GB2312"/>
          <w:sz w:val="24"/>
          <w:highlight w:val="none"/>
        </w:rPr>
      </w:pPr>
    </w:p>
    <w:bookmarkEnd w:id="2"/>
    <w:p>
      <w:pPr>
        <w:adjustRightInd/>
        <w:spacing w:line="360" w:lineRule="auto"/>
        <w:jc w:val="center"/>
        <w:outlineLvl w:val="0"/>
        <w:rPr>
          <w:rFonts w:ascii="仿宋" w:hAnsi="仿宋" w:eastAsia="仿宋" w:cs="仿宋_GB2312"/>
          <w:b/>
          <w:sz w:val="36"/>
          <w:szCs w:val="20"/>
          <w:highlight w:val="none"/>
        </w:rPr>
      </w:pPr>
      <w:bookmarkStart w:id="7" w:name="_Hlt74649545"/>
      <w:bookmarkEnd w:id="7"/>
      <w:bookmarkStart w:id="8" w:name="_Hlt74728647"/>
      <w:bookmarkEnd w:id="8"/>
      <w:bookmarkStart w:id="9" w:name="_Hlt74707423"/>
      <w:bookmarkEnd w:id="9"/>
      <w:bookmarkStart w:id="10" w:name="_Hlt74729822"/>
      <w:bookmarkEnd w:id="10"/>
      <w:bookmarkStart w:id="11" w:name="第二部分"/>
      <w:bookmarkStart w:id="12" w:name="_Toc91899870"/>
      <w:bookmarkStart w:id="13" w:name="_Toc91899871"/>
    </w:p>
    <w:p>
      <w:pPr>
        <w:adjustRightInd/>
        <w:spacing w:line="360" w:lineRule="auto"/>
        <w:jc w:val="center"/>
        <w:outlineLvl w:val="0"/>
        <w:rPr>
          <w:rFonts w:ascii="仿宋_GB2312" w:hAnsi="仿宋" w:eastAsia="仿宋_GB2312" w:cs="仿宋_GB2312"/>
          <w:b/>
          <w:sz w:val="36"/>
          <w:szCs w:val="20"/>
          <w:highlight w:val="none"/>
        </w:rPr>
      </w:pPr>
      <w:r>
        <w:rPr>
          <w:rFonts w:hint="eastAsia" w:ascii="仿宋" w:hAnsi="仿宋" w:eastAsia="仿宋" w:cs="仿宋_GB2312"/>
          <w:b/>
          <w:sz w:val="36"/>
          <w:szCs w:val="20"/>
          <w:highlight w:val="none"/>
        </w:rPr>
        <w:t>第一章</w:t>
      </w:r>
      <w:r>
        <w:rPr>
          <w:rFonts w:ascii="仿宋" w:hAnsi="仿宋" w:eastAsia="仿宋" w:cs="仿宋_GB2312"/>
          <w:b/>
          <w:sz w:val="36"/>
          <w:szCs w:val="20"/>
          <w:highlight w:val="none"/>
        </w:rPr>
        <w:t xml:space="preserve"> </w:t>
      </w:r>
      <w:r>
        <w:rPr>
          <w:rFonts w:hint="eastAsia" w:ascii="仿宋" w:hAnsi="仿宋" w:eastAsia="仿宋" w:cs="仿宋_GB2312"/>
          <w:b/>
          <w:sz w:val="36"/>
          <w:szCs w:val="20"/>
          <w:highlight w:val="none"/>
        </w:rPr>
        <w:t>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u w:val="single"/>
        </w:rPr>
      </w:pPr>
      <w:r>
        <w:rPr>
          <w:rFonts w:hint="eastAsia" w:ascii="仿宋_GB2312" w:hAnsi="仿宋" w:eastAsia="仿宋_GB2312" w:cs="仿宋_GB2312"/>
          <w:sz w:val="24"/>
          <w:highlight w:val="none"/>
          <w:u w:val="single"/>
        </w:rPr>
        <w:t>（浙江省嘉善县第一人民医院新一代信息系统建设项目（二期））</w:t>
      </w:r>
      <w:r>
        <w:rPr>
          <w:rFonts w:hint="eastAsia" w:ascii="仿宋_GB2312" w:hAnsi="仿宋" w:eastAsia="仿宋_GB2312"/>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82"/>
          <w:rFonts w:ascii="仿宋_GB2312" w:hAnsi="仿宋" w:eastAsia="仿宋_GB2312"/>
          <w:sz w:val="24"/>
          <w:highlight w:val="none"/>
        </w:rPr>
        <w:t>https://www.zcygov.cn/）获取（下载）招标文件，并于</w:t>
      </w:r>
      <w:r>
        <w:rPr>
          <w:rFonts w:hint="eastAsia" w:ascii="仿宋_GB2312" w:hAnsi="仿宋" w:eastAsia="仿宋_GB2312"/>
          <w:sz w:val="24"/>
          <w:highlight w:val="none"/>
          <w:u w:val="single"/>
        </w:rPr>
        <w:t>2023年</w:t>
      </w:r>
      <w:r>
        <w:rPr>
          <w:rFonts w:hint="eastAsia" w:ascii="仿宋_GB2312" w:hAnsi="仿宋" w:eastAsia="仿宋_GB2312"/>
          <w:sz w:val="24"/>
          <w:highlight w:val="none"/>
          <w:u w:val="single"/>
          <w:lang w:val="en-US" w:eastAsia="zh-CN"/>
        </w:rPr>
        <w:t>2</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24</w:t>
      </w:r>
      <w:r>
        <w:rPr>
          <w:rFonts w:hint="eastAsia" w:ascii="仿宋_GB2312" w:hAnsi="仿宋" w:eastAsia="仿宋_GB2312"/>
          <w:sz w:val="24"/>
          <w:highlight w:val="none"/>
          <w:u w:val="single"/>
        </w:rPr>
        <w:t>日9点30分</w:t>
      </w:r>
      <w:r>
        <w:rPr>
          <w:rFonts w:hint="eastAsia" w:ascii="仿宋_GB2312" w:hAnsi="仿宋" w:eastAsia="仿宋_GB2312"/>
          <w:bCs/>
          <w:sz w:val="24"/>
          <w:highlight w:val="none"/>
          <w:u w:val="single"/>
        </w:rPr>
        <w:t>00秒</w:t>
      </w:r>
      <w:r>
        <w:rPr>
          <w:rFonts w:hint="eastAsia" w:ascii="仿宋_GB2312" w:hAnsi="仿宋" w:eastAsia="仿宋_GB2312"/>
          <w:bCs/>
          <w:sz w:val="24"/>
          <w:highlight w:val="none"/>
          <w:u w:val="singl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一、项目基本情况</w:t>
      </w:r>
      <w:r>
        <w:rPr>
          <w:rFonts w:ascii="仿宋_GB2312" w:hAnsi="仿宋" w:eastAsia="仿宋_GB2312"/>
          <w:b/>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hint="eastAsia" w:ascii="仿宋_GB2312" w:hAnsi="仿宋" w:eastAsia="仿宋_GB2312"/>
          <w:b/>
          <w:sz w:val="24"/>
          <w:highlight w:val="none"/>
        </w:rPr>
        <w:t>项目编号：JXYJ2023001(G)</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ascii="仿宋_GB2312" w:hAnsi="仿宋" w:eastAsia="仿宋_GB2312"/>
          <w:b/>
          <w:sz w:val="24"/>
          <w:highlight w:val="none"/>
        </w:rPr>
        <w:t xml:space="preserve"> 项目名称：</w:t>
      </w:r>
      <w:r>
        <w:rPr>
          <w:rFonts w:hint="eastAsia" w:ascii="仿宋_GB2312" w:hAnsi="仿宋" w:eastAsia="仿宋_GB2312"/>
          <w:b/>
          <w:sz w:val="24"/>
          <w:highlight w:val="none"/>
        </w:rPr>
        <w:t>浙江省嘉善县第一人民医院新一代信息系统建设项目（二期）</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ascii="仿宋_GB2312" w:hAnsi="仿宋" w:eastAsia="仿宋_GB2312"/>
          <w:b/>
          <w:sz w:val="24"/>
          <w:highlight w:val="none"/>
        </w:rPr>
        <w:t xml:space="preserve"> 预算金额（元）：</w:t>
      </w:r>
      <w:r>
        <w:rPr>
          <w:rFonts w:hint="eastAsia" w:ascii="仿宋_GB2312" w:hAnsi="仿宋" w:eastAsia="仿宋_GB2312"/>
          <w:b/>
          <w:sz w:val="24"/>
          <w:highlight w:val="none"/>
        </w:rPr>
        <w:t>23500000</w:t>
      </w:r>
      <w:r>
        <w:rPr>
          <w:rFonts w:ascii="仿宋_GB2312" w:hAnsi="仿宋" w:eastAsia="仿宋_GB2312"/>
          <w:sz w:val="24"/>
          <w:highlight w:val="none"/>
        </w:rPr>
        <w:t xml:space="preserve"> </w:t>
      </w:r>
      <w:r>
        <w:rPr>
          <w:rFonts w:hint="eastAsia" w:ascii="仿宋_GB2312" w:hAnsi="仿宋" w:eastAsia="仿宋_GB2312"/>
          <w:sz w:val="24"/>
          <w:highlight w:val="none"/>
        </w:rPr>
        <w:t xml:space="preserve"> </w:t>
      </w:r>
    </w:p>
    <w:p>
      <w:pPr>
        <w:spacing w:line="360" w:lineRule="auto"/>
        <w:ind w:firstLine="480"/>
        <w:rPr>
          <w:rFonts w:ascii="仿宋_GB2312" w:hAnsi="仿宋" w:eastAsia="仿宋_GB2312"/>
          <w:sz w:val="24"/>
          <w:highlight w:val="none"/>
        </w:rPr>
      </w:pPr>
      <w:r>
        <w:rPr>
          <w:rFonts w:hint="eastAsia" w:ascii="仿宋_GB2312" w:hAnsi="仿宋" w:eastAsia="仿宋_GB2312"/>
          <w:b/>
          <w:sz w:val="24"/>
          <w:highlight w:val="none"/>
        </w:rPr>
        <w:t>最高限价（元）：22100000</w:t>
      </w:r>
      <w:r>
        <w:rPr>
          <w:rFonts w:hint="eastAsia" w:ascii="仿宋_GB2312" w:hAnsi="仿宋" w:eastAsia="仿宋_GB2312"/>
          <w:sz w:val="24"/>
          <w:highlight w:val="none"/>
        </w:rPr>
        <w:t xml:space="preserve"> </w:t>
      </w:r>
    </w:p>
    <w:p>
      <w:pPr>
        <w:pStyle w:val="16"/>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snapToGrid/>
          <w:color w:val="auto"/>
          <w:kern w:val="2"/>
          <w:sz w:val="24"/>
          <w:szCs w:val="24"/>
          <w:highlight w:val="none"/>
        </w:rPr>
        <w:t>详见招标文件第二章招标需求。</w:t>
      </w:r>
    </w:p>
    <w:p>
      <w:pPr>
        <w:pStyle w:val="16"/>
        <w:spacing w:line="360" w:lineRule="auto"/>
        <w:ind w:firstLine="480"/>
        <w:rPr>
          <w:rFonts w:ascii="仿宋_GB2312" w:hAnsi="仿宋" w:eastAsia="仿宋_GB2312"/>
          <w:highlight w:val="none"/>
        </w:rPr>
      </w:pPr>
      <w:r>
        <w:rPr>
          <w:rFonts w:hint="eastAsia" w:ascii="仿宋_GB2312" w:hAnsi="仿宋" w:eastAsia="仿宋_GB2312"/>
          <w:b/>
          <w:sz w:val="24"/>
          <w:szCs w:val="18"/>
          <w:highlight w:val="none"/>
        </w:rPr>
        <w:t>合同履约期限</w:t>
      </w:r>
      <w:r>
        <w:rPr>
          <w:rFonts w:hint="eastAsia" w:ascii="仿宋_GB2312" w:hAnsi="仿宋" w:eastAsia="仿宋_GB2312"/>
          <w:b/>
          <w:highlight w:val="none"/>
        </w:rPr>
        <w:t>：</w:t>
      </w:r>
      <w:r>
        <w:rPr>
          <w:rFonts w:hint="eastAsia" w:ascii="仿宋" w:hAnsi="仿宋" w:eastAsia="仿宋" w:cs="仿宋_GB2312"/>
          <w:snapToGrid w:val="0"/>
          <w:color w:val="auto"/>
          <w:kern w:val="28"/>
          <w:sz w:val="24"/>
          <w:szCs w:val="20"/>
          <w:highlight w:val="none"/>
          <w:lang w:val="en-US" w:eastAsia="zh-CN" w:bidi="ar-SA"/>
        </w:rPr>
        <w:t>合同签订后10个月内完成本项目系统建设，经安装完成、测试通过后，进入试运行及培训，并通过采购人组织验收确认合格，正式交付使用，进入维保期</w:t>
      </w:r>
    </w:p>
    <w:p>
      <w:pPr>
        <w:pStyle w:val="16"/>
        <w:spacing w:line="360" w:lineRule="auto"/>
        <w:ind w:firstLine="480"/>
        <w:rPr>
          <w:rFonts w:ascii="仿宋_GB2312" w:hAnsi="仿宋" w:eastAsia="仿宋_GB2312"/>
          <w:b/>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二、申请人的资格要求：</w:t>
      </w:r>
    </w:p>
    <w:p>
      <w:pPr>
        <w:spacing w:line="360" w:lineRule="auto"/>
        <w:ind w:firstLine="48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1.</w:t>
      </w:r>
      <w:r>
        <w:rPr>
          <w:rFonts w:hint="eastAsia" w:ascii="仿宋" w:hAnsi="仿宋" w:eastAsia="仿宋" w:cs="仿宋_GB2312"/>
          <w:snapToGrid w:val="0"/>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 xml:space="preserve">    2.</w:t>
      </w:r>
      <w:r>
        <w:rPr>
          <w:rFonts w:hint="eastAsia" w:ascii="仿宋" w:hAnsi="仿宋" w:eastAsia="仿宋" w:cs="仿宋_GB2312"/>
          <w:snapToGrid w:val="0"/>
          <w:kern w:val="28"/>
          <w:sz w:val="24"/>
          <w:szCs w:val="20"/>
          <w:highlight w:val="none"/>
        </w:rPr>
        <w:t>落实政府采购政策需满足的资格要求：</w:t>
      </w:r>
    </w:p>
    <w:p>
      <w:pPr>
        <w:spacing w:line="360"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highlight w:val="none"/>
          </w:rPr>
          <w:id w:val="1928616923"/>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highlight w:val="none"/>
            </w:rPr>
            <w:t></w:t>
          </w:r>
        </w:sdtContent>
      </w:sdt>
      <w:r>
        <w:rPr>
          <w:rFonts w:hint="eastAsia" w:ascii="仿宋_GB2312" w:hAnsi="仿宋" w:eastAsia="仿宋_GB2312"/>
          <w:sz w:val="24"/>
          <w:highlight w:val="none"/>
        </w:rPr>
        <w:t>无；</w:t>
      </w:r>
    </w:p>
    <w:p>
      <w:pPr>
        <w:spacing w:line="360"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highlight w:val="none"/>
          </w:rPr>
          <w:id w:val="-1024704304"/>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hint="eastAsia" w:ascii="仿宋_GB2312" w:hAnsi="仿宋" w:eastAsia="仿宋_GB2312" w:cs="Arial"/>
          <w:kern w:val="0"/>
          <w:sz w:val="24"/>
          <w:highlight w:val="none"/>
        </w:rPr>
        <w:t>专</w:t>
      </w:r>
      <w:r>
        <w:rPr>
          <w:rFonts w:hint="eastAsia" w:ascii="仿宋_GB2312" w:hAnsi="仿宋" w:eastAsia="仿宋_GB2312"/>
          <w:sz w:val="24"/>
          <w:highlight w:val="none"/>
        </w:rPr>
        <w:t>门面向中小企业</w:t>
      </w:r>
    </w:p>
    <w:p>
      <w:pPr>
        <w:spacing w:line="360" w:lineRule="auto"/>
        <w:ind w:firstLine="897" w:firstLineChars="374"/>
        <w:rPr>
          <w:rFonts w:ascii="仿宋_GB2312" w:hAnsi="仿宋" w:eastAsia="仿宋_GB2312"/>
          <w:sz w:val="24"/>
          <w:highlight w:val="none"/>
          <w:u w:val="single"/>
        </w:rPr>
      </w:pPr>
      <w:sdt>
        <w:sdtPr>
          <w:rPr>
            <w:rFonts w:hint="eastAsia" w:ascii="仿宋_GB2312" w:hAnsi="仿宋" w:eastAsia="仿宋_GB2312" w:cs="Arial"/>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hint="eastAsia" w:ascii="仿宋_GB2312" w:hAnsi="仿宋" w:eastAsia="仿宋_GB2312"/>
          <w:sz w:val="24"/>
          <w:highlight w:val="none"/>
        </w:rPr>
        <w:t>货物全部由符合政策要求的中小企业制造，提供中小企业声明函；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货物全部由符合政策要求的小微企业制造，提供中小企业声明函；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333685401"/>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服务全部由符合政策要求的中小企业承接，提供中小企业声明函；</w:t>
      </w:r>
    </w:p>
    <w:p>
      <w:pPr>
        <w:spacing w:line="360" w:lineRule="auto"/>
        <w:ind w:firstLine="897" w:firstLineChars="374"/>
        <w:rPr>
          <w:highlight w:val="none"/>
        </w:rPr>
      </w:pPr>
      <w:sdt>
        <w:sdtPr>
          <w:rPr>
            <w:rFonts w:hint="eastAsia" w:ascii="仿宋_GB2312" w:hAnsi="仿宋" w:eastAsia="仿宋_GB2312" w:cs="Arial"/>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服务全部由符合政策要求的小微企业承接，提供中小企业声明函；</w:t>
      </w:r>
    </w:p>
    <w:p>
      <w:pPr>
        <w:spacing w:line="360" w:lineRule="auto"/>
        <w:ind w:firstLine="480" w:firstLineChars="200"/>
        <w:rPr>
          <w:rFonts w:ascii="仿宋" w:hAnsi="仿宋" w:eastAsia="仿宋"/>
          <w:sz w:val="24"/>
          <w:highlight w:val="none"/>
        </w:rPr>
      </w:pPr>
      <w:sdt>
        <w:sdtPr>
          <w:rPr>
            <w:rFonts w:hint="eastAsia" w:ascii="仿宋_GB2312" w:hAnsi="仿宋" w:eastAsia="仿宋_GB2312" w:cs="Arial"/>
            <w:kern w:val="0"/>
            <w:sz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要求以联合体形式参加，提供联合协议和中小企业声明函，联合协议中中小企业合同金额应当达到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 w:hAnsi="仿宋" w:eastAsia="仿宋"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sdt>
        <w:sdtPr>
          <w:rPr>
            <w:rFonts w:hint="eastAsia" w:ascii="仿宋_GB2312" w:hAnsi="仿宋" w:eastAsia="仿宋_GB2312" w:cs="Arial"/>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 w:hAnsi="仿宋" w:eastAsia="仿宋"/>
          <w:sz w:val="24"/>
          <w:highlight w:val="none"/>
        </w:rPr>
        <w:t>要求合同分包，提供分包意向协议和中小企业声明函，分包意向协议中中小企业合同金额应当达到</w:t>
      </w:r>
      <w:r>
        <w:rPr>
          <w:rFonts w:hint="eastAsia" w:ascii="仿宋_GB2312" w:hAnsi="仿宋" w:eastAsia="仿宋_GB2312"/>
          <w:sz w:val="24"/>
          <w:highlight w:val="none"/>
        </w:rPr>
        <w:t>达到</w:t>
      </w:r>
      <w:r>
        <w:rPr>
          <w:rFonts w:ascii="仿宋_GB2312" w:hAnsi="仿宋" w:eastAsia="仿宋_GB2312"/>
          <w:sz w:val="24"/>
          <w:highlight w:val="none"/>
          <w:u w:val="single"/>
        </w:rPr>
        <w:t xml:space="preserve">  </w:t>
      </w:r>
      <w:r>
        <w:rPr>
          <w:rFonts w:ascii="仿宋_GB2312" w:hAnsi="仿宋" w:eastAsia="仿宋_GB2312"/>
          <w:sz w:val="24"/>
          <w:highlight w:val="none"/>
        </w:rPr>
        <w:t xml:space="preserve">% </w:t>
      </w:r>
      <w:r>
        <w:rPr>
          <w:rFonts w:hint="eastAsia" w:ascii="仿宋_GB2312" w:hAnsi="仿宋" w:eastAsia="仿宋_GB2312"/>
          <w:sz w:val="24"/>
          <w:highlight w:val="none"/>
        </w:rPr>
        <w:t>，小微企业合同金额应当达到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 ;</w:t>
      </w:r>
      <w:r>
        <w:rPr>
          <w:rFonts w:hint="eastAsia" w:ascii="仿宋" w:hAnsi="仿宋" w:eastAsia="仿宋"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sz w:val="24"/>
          <w:highlight w:val="none"/>
        </w:rPr>
        <w:t>；</w:t>
      </w:r>
    </w:p>
    <w:p>
      <w:pPr>
        <w:snapToGrid w:val="0"/>
        <w:spacing w:line="360" w:lineRule="auto"/>
        <w:ind w:firstLine="512" w:firstLineChars="200"/>
        <w:rPr>
          <w:rFonts w:ascii="仿宋_GB2312" w:hAnsi="仿宋" w:eastAsia="仿宋_GB2312" w:cs="仿宋_GB2312"/>
          <w:sz w:val="24"/>
          <w:highlight w:val="none"/>
        </w:rPr>
      </w:pPr>
      <w:r>
        <w:rPr>
          <w:rFonts w:hint="eastAsia" w:ascii="仿宋" w:hAnsi="仿宋" w:eastAsia="仿宋" w:cs="宋体"/>
          <w:spacing w:val="8"/>
          <w:kern w:val="0"/>
          <w:sz w:val="24"/>
          <w:highlight w:val="none"/>
        </w:rPr>
        <w:t>3.本项目的特定资格要求：无；</w:t>
      </w:r>
    </w:p>
    <w:p>
      <w:pPr>
        <w:spacing w:line="360" w:lineRule="auto"/>
        <w:ind w:firstLine="512" w:firstLineChars="200"/>
        <w:rPr>
          <w:rFonts w:ascii="仿宋" w:hAnsi="仿宋" w:eastAsia="仿宋" w:cs="宋体"/>
          <w:spacing w:val="8"/>
          <w:kern w:val="0"/>
          <w:sz w:val="24"/>
          <w:highlight w:val="none"/>
        </w:rPr>
      </w:pPr>
      <w:r>
        <w:rPr>
          <w:rFonts w:hint="eastAsia" w:ascii="仿宋" w:hAnsi="仿宋" w:eastAsia="仿宋" w:cs="宋体"/>
          <w:spacing w:val="8"/>
          <w:kern w:val="0"/>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三、获取招标文件</w:t>
      </w:r>
      <w:r>
        <w:rPr>
          <w:rFonts w:ascii="仿宋_GB2312" w:hAnsi="仿宋" w:eastAsia="仿宋_GB2312"/>
          <w:b/>
          <w:sz w:val="24"/>
          <w:highlight w:val="non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u w:val="single"/>
        </w:rPr>
        <w:t>2023年</w:t>
      </w:r>
      <w:r>
        <w:rPr>
          <w:rFonts w:hint="eastAsia" w:ascii="仿宋_GB2312" w:hAnsi="仿宋" w:eastAsia="仿宋_GB2312"/>
          <w:sz w:val="24"/>
          <w:highlight w:val="none"/>
          <w:u w:val="single"/>
          <w:lang w:val="en-US" w:eastAsia="zh-CN"/>
        </w:rPr>
        <w:t>2</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24</w:t>
      </w:r>
      <w:r>
        <w:rPr>
          <w:rFonts w:hint="eastAsia"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Fonts w:hint="eastAsia" w:ascii="仿宋_GB2312" w:hAnsi="仿宋" w:eastAsia="仿宋_GB2312"/>
          <w:sz w:val="24"/>
          <w:highlight w:val="none"/>
          <w:u w:val="single"/>
        </w:rPr>
        <w:t>2023年</w:t>
      </w:r>
      <w:r>
        <w:rPr>
          <w:rFonts w:hint="eastAsia" w:ascii="仿宋_GB2312" w:hAnsi="仿宋" w:eastAsia="仿宋_GB2312"/>
          <w:sz w:val="24"/>
          <w:highlight w:val="none"/>
          <w:u w:val="single"/>
          <w:lang w:val="en-US" w:eastAsia="zh-CN"/>
        </w:rPr>
        <w:t>2</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24</w:t>
      </w:r>
      <w:r>
        <w:rPr>
          <w:rFonts w:hint="eastAsia" w:ascii="仿宋_GB2312" w:hAnsi="仿宋" w:eastAsia="仿宋_GB2312"/>
          <w:sz w:val="24"/>
          <w:highlight w:val="none"/>
          <w:u w:val="single"/>
        </w:rPr>
        <w:t>日9点30分</w:t>
      </w:r>
      <w:r>
        <w:rPr>
          <w:rFonts w:hint="eastAsia" w:ascii="仿宋_GB2312" w:hAnsi="仿宋" w:eastAsia="仿宋_GB2312"/>
          <w:bCs/>
          <w:sz w:val="24"/>
          <w:highlight w:val="none"/>
          <w:u w:val="single"/>
        </w:rPr>
        <w:t xml:space="preserve"> </w:t>
      </w:r>
      <w:r>
        <w:rPr>
          <w:rFonts w:hint="eastAsia" w:ascii="仿宋_GB2312" w:hAnsi="仿宋" w:eastAsia="仿宋_GB2312"/>
          <w:sz w:val="24"/>
          <w:highlight w:val="none"/>
        </w:rPr>
        <w:t>（北京时间）</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rPr>
        <w:t>2023年</w:t>
      </w:r>
      <w:r>
        <w:rPr>
          <w:rFonts w:hint="eastAsia" w:ascii="仿宋_GB2312" w:hAnsi="仿宋" w:eastAsia="仿宋_GB2312"/>
          <w:sz w:val="24"/>
          <w:highlight w:val="none"/>
          <w:u w:val="single"/>
          <w:lang w:val="en-US" w:eastAsia="zh-CN"/>
        </w:rPr>
        <w:t>2</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24</w:t>
      </w:r>
      <w:r>
        <w:rPr>
          <w:rFonts w:hint="eastAsia" w:ascii="仿宋_GB2312" w:hAnsi="仿宋" w:eastAsia="仿宋_GB2312"/>
          <w:sz w:val="24"/>
          <w:highlight w:val="none"/>
          <w:u w:val="single"/>
        </w:rPr>
        <w:t>日9点30分</w:t>
      </w:r>
      <w:r>
        <w:rPr>
          <w:rFonts w:hint="eastAsia" w:ascii="仿宋_GB2312" w:hAnsi="仿宋" w:eastAsia="仿宋_GB2312"/>
          <w:bCs/>
          <w:sz w:val="24"/>
          <w:highlight w:val="none"/>
          <w:u w:val="singl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开标地点（网址）：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pPr>
        <w:spacing w:line="360" w:lineRule="auto"/>
        <w:rPr>
          <w:rFonts w:ascii="仿宋_GB2312" w:hAnsi="仿宋" w:eastAsia="仿宋_GB2312"/>
          <w:sz w:val="24"/>
          <w:highlight w:val="none"/>
        </w:rPr>
      </w:pPr>
      <w:r>
        <w:rPr>
          <w:rFonts w:hint="eastAsia" w:ascii="仿宋_GB2312" w:hAnsi="仿宋" w:eastAsia="仿宋_GB2312"/>
          <w:b/>
          <w:sz w:val="24"/>
          <w:highlight w:val="none"/>
        </w:rPr>
        <w:t>五、公告期限</w:t>
      </w:r>
      <w:r>
        <w:rPr>
          <w:rFonts w:ascii="仿宋_GB2312" w:hAnsi="仿宋" w:eastAsia="仿宋_GB2312"/>
          <w:b/>
          <w:sz w:val="24"/>
          <w:highlight w:val="none"/>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自本公告发布之日起</w:t>
      </w:r>
      <w:r>
        <w:rPr>
          <w:rFonts w:ascii="仿宋_GB2312" w:hAnsi="仿宋" w:eastAsia="仿宋_GB2312"/>
          <w:sz w:val="24"/>
          <w:highlight w:val="none"/>
        </w:rPr>
        <w:t>5个工作日。</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六、其他补充事宜</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highlight w:val="none"/>
        </w:rPr>
      </w:pPr>
      <w:r>
        <w:rPr>
          <w:rFonts w:hint="eastAsia" w:ascii="仿宋_GB2312" w:hAnsi="仿宋" w:eastAsia="仿宋_GB2312"/>
          <w:sz w:val="24"/>
          <w:highlight w:val="none"/>
        </w:rPr>
        <w:t>4.其他事项：</w:t>
      </w:r>
      <w:r>
        <w:rPr>
          <w:rFonts w:hint="eastAsia" w:ascii="仿宋_GB2312" w:hAnsi="仿宋" w:eastAsia="仿宋_GB2312" w:cs="仿宋_GB2312"/>
          <w:sz w:val="24"/>
          <w:highlight w:val="none"/>
        </w:rPr>
        <w:t>①</w:t>
      </w:r>
      <w:r>
        <w:rPr>
          <w:rFonts w:ascii="仿宋_GB2312" w:hAnsi="仿宋" w:eastAsia="仿宋_GB2312" w:cs="仿宋_GB2312"/>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sz w:val="24"/>
          <w:highlight w:val="none"/>
        </w:rPr>
        <w:t>；②</w:t>
      </w:r>
      <w:r>
        <w:rPr>
          <w:rFonts w:ascii="仿宋_GB2312" w:hAnsi="仿宋" w:eastAsia="仿宋_GB2312" w:cs="仿宋_GB2312"/>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highlight w:val="none"/>
        </w:rPr>
        <w:t>采云电子交易客户端”</w:t>
      </w:r>
      <w:r>
        <w:rPr>
          <w:rFonts w:ascii="仿宋_GB2312" w:hAnsi="仿宋" w:eastAsia="仿宋_GB2312" w:cs="仿宋_GB2312"/>
          <w:sz w:val="24"/>
          <w:highlight w:val="none"/>
        </w:rPr>
        <w:t>----前往“浙江政府采购网-下载专区-电子交易客户端”进行下载并安装</w:t>
      </w:r>
      <w:r>
        <w:rPr>
          <w:rFonts w:hint="eastAsia" w:ascii="仿宋_GB2312" w:hAnsi="仿宋" w:eastAsia="仿宋_GB2312" w:cs="仿宋_GB2312"/>
          <w:sz w:val="24"/>
          <w:highlight w:val="none"/>
        </w:rPr>
        <w:t>；③</w:t>
      </w:r>
      <w:r>
        <w:rPr>
          <w:rFonts w:ascii="仿宋_GB2312" w:hAnsi="仿宋" w:eastAsia="仿宋_GB2312" w:cs="仿宋_GB2312"/>
          <w:sz w:val="24"/>
          <w:highlight w:val="none"/>
        </w:rPr>
        <w:t>招标文件的获取：使用账号登录或者使用CA登录政</w:t>
      </w:r>
      <w:r>
        <w:rPr>
          <w:rFonts w:hint="eastAsia" w:ascii="仿宋_GB2312" w:hAnsi="仿宋" w:eastAsia="仿宋_GB2312" w:cs="仿宋_GB2312"/>
          <w:sz w:val="24"/>
          <w:highlight w:val="none"/>
        </w:rPr>
        <w:t>采云平台；进入“项目采购”应用，在获取采购文件菜单中选择项目，获取招标文件；④</w:t>
      </w:r>
      <w:r>
        <w:rPr>
          <w:rFonts w:ascii="仿宋_GB2312" w:hAnsi="仿宋" w:eastAsia="仿宋_GB2312" w:cs="仿宋_GB2312"/>
          <w:sz w:val="24"/>
          <w:highlight w:val="none"/>
        </w:rPr>
        <w:t>投标文件的制作：在“政</w:t>
      </w:r>
      <w:r>
        <w:rPr>
          <w:rFonts w:hint="eastAsia" w:ascii="仿宋_GB2312" w:hAnsi="仿宋" w:eastAsia="仿宋_GB2312" w:cs="仿宋_GB2312"/>
          <w:sz w:val="24"/>
          <w:highlight w:val="none"/>
        </w:rPr>
        <w:t>采云电子交易客户端”中完成“填写基本信息”、“导入投标文件”、“标书关联”、“标书检查”、“电子签名”、“生成电子标书”等操作；</w:t>
      </w:r>
      <w:r>
        <w:rPr>
          <w:rFonts w:hint="eastAsia" w:ascii="仿宋_GB2312" w:hAnsi="仿宋" w:eastAsia="仿宋_GB2312"/>
          <w:sz w:val="24"/>
          <w:highlight w:val="none"/>
        </w:rPr>
        <w:t>⑤</w:t>
      </w:r>
      <w:r>
        <w:rPr>
          <w:rFonts w:ascii="仿宋_GB2312" w:hAnsi="仿宋" w:eastAsia="仿宋_GB2312"/>
          <w:sz w:val="24"/>
          <w:highlight w:val="none"/>
        </w:rPr>
        <w:t>采购人、采购机构将依托政</w:t>
      </w:r>
      <w:r>
        <w:rPr>
          <w:rFonts w:hint="eastAsia" w:ascii="仿宋_GB2312" w:hAnsi="仿宋" w:eastAsia="仿宋_GB2312"/>
          <w:sz w:val="24"/>
          <w:highlight w:val="none"/>
        </w:rPr>
        <w:t>采云平台完成本项目的电子交易活动，平台不接受未按上述方式获取招标文件的供应商进行投标活动；⑥</w:t>
      </w:r>
      <w:r>
        <w:rPr>
          <w:rFonts w:ascii="仿宋_GB2312" w:hAnsi="仿宋" w:eastAsia="仿宋_GB2312"/>
          <w:sz w:val="24"/>
          <w:highlight w:val="none"/>
        </w:rPr>
        <w:t>对未按上述方式获取招标文件的供应商对该文件提出的质疑，采购人或采购代理机构将</w:t>
      </w:r>
      <w:r>
        <w:rPr>
          <w:rFonts w:hint="eastAsia" w:ascii="仿宋_GB2312" w:hAnsi="仿宋" w:eastAsia="仿宋_GB2312"/>
          <w:sz w:val="24"/>
          <w:highlight w:val="none"/>
        </w:rPr>
        <w:t>不予处理；⑦</w:t>
      </w:r>
      <w:r>
        <w:rPr>
          <w:rFonts w:ascii="仿宋_GB2312" w:hAnsi="仿宋" w:eastAsia="仿宋_GB2312"/>
          <w:sz w:val="24"/>
          <w:highlight w:val="none"/>
        </w:rPr>
        <w:t>不提供招标文件纸质版</w:t>
      </w:r>
      <w:r>
        <w:rPr>
          <w:rFonts w:hint="eastAsia" w:ascii="仿宋_GB2312" w:hAnsi="仿宋" w:eastAsia="仿宋_GB2312"/>
          <w:sz w:val="24"/>
          <w:highlight w:val="none"/>
        </w:rPr>
        <w:t>；</w:t>
      </w:r>
      <w:r>
        <w:rPr>
          <w:rFonts w:hint="eastAsia" w:ascii="仿宋_GB2312" w:hAnsi="仿宋" w:eastAsia="仿宋_GB2312" w:cs="仿宋_GB2312"/>
          <w:sz w:val="24"/>
          <w:highlight w:val="none"/>
        </w:rPr>
        <w:t>⑧</w:t>
      </w:r>
      <w:r>
        <w:rPr>
          <w:rFonts w:ascii="仿宋_GB2312" w:hAnsi="仿宋" w:eastAsia="仿宋_GB2312" w:cs="仿宋_GB2312"/>
          <w:sz w:val="24"/>
          <w:highlight w:val="none"/>
        </w:rPr>
        <w:t>投标文件的传输递交：投标人在投标截止时间前将加密的投标文件上传至政府采购云平台，还可以在投标截止时间前直接提交或者以邮政快递方式递交备份投标文件1份</w:t>
      </w:r>
      <w:r>
        <w:rPr>
          <w:rFonts w:hint="eastAsia" w:ascii="仿宋_GB2312" w:hAnsi="仿宋" w:eastAsia="仿宋_GB2312" w:cs="仿宋_GB2312"/>
          <w:sz w:val="24"/>
          <w:highlight w:val="none"/>
        </w:rPr>
        <w:t>【地址：</w:t>
      </w:r>
      <w:r>
        <w:rPr>
          <w:rFonts w:hint="eastAsia" w:ascii="仿宋_GB2312" w:hAnsi="仿宋" w:eastAsia="仿宋_GB2312"/>
          <w:sz w:val="24"/>
          <w:highlight w:val="none"/>
        </w:rPr>
        <w:t>嘉善县阳光东路185号善商大厦1号（东）楼21层嘉兴市银建工程咨询评估有限公司招标代理部</w:t>
      </w:r>
      <w:r>
        <w:rPr>
          <w:rFonts w:hint="eastAsia" w:ascii="仿宋_GB2312" w:hAnsi="仿宋" w:eastAsia="仿宋_GB2312" w:cs="仿宋_GB2312"/>
          <w:sz w:val="24"/>
          <w:highlight w:val="none"/>
        </w:rPr>
        <w:t>；收件人：王佳浩；电话：0573-84211066；快递寄出同时，项目被授权代表须以邮件方式将快递单号、项目名称、公司名称、被授权代表姓名及联系方式等内容（邮件格式为：项目编号+快递单号+公司名称+被授权代表姓名及联系方式）发送至采购代理机构联系人邮箱(735621524@qq.com)。如供应商选择快递费到付，采购代理机构将拒签。】</w:t>
      </w:r>
      <w:r>
        <w:rPr>
          <w:rFonts w:ascii="仿宋_GB2312" w:hAnsi="仿宋" w:eastAsia="仿宋_GB2312" w:cs="仿宋_GB2312"/>
          <w:sz w:val="24"/>
          <w:highlight w:val="none"/>
        </w:rPr>
        <w:t>备份投标文件的制作、存储、密封详见招标文件第</w:t>
      </w:r>
      <w:r>
        <w:rPr>
          <w:rFonts w:hint="eastAsia" w:ascii="仿宋_GB2312" w:hAnsi="仿宋" w:eastAsia="仿宋_GB2312" w:cs="仿宋_GB2312"/>
          <w:sz w:val="24"/>
          <w:highlight w:val="none"/>
        </w:rPr>
        <w:t>三章</w:t>
      </w:r>
      <w:r>
        <w:rPr>
          <w:rFonts w:ascii="仿宋_GB2312" w:hAnsi="仿宋" w:eastAsia="仿宋_GB2312" w:cs="仿宋_GB2312"/>
          <w:sz w:val="24"/>
          <w:highlight w:val="none"/>
        </w:rPr>
        <w:t>—“备份投标文件”</w:t>
      </w:r>
      <w:r>
        <w:rPr>
          <w:rFonts w:hint="eastAsia" w:ascii="仿宋_GB2312" w:hAnsi="仿宋" w:eastAsia="仿宋_GB2312" w:cs="仿宋_GB2312"/>
          <w:sz w:val="24"/>
          <w:highlight w:val="none"/>
        </w:rPr>
        <w:t>；</w:t>
      </w:r>
      <w:r>
        <w:rPr>
          <w:rFonts w:hint="eastAsia" w:ascii="仿宋_GB2312" w:hAnsi="仿宋" w:eastAsia="仿宋_GB2312"/>
          <w:sz w:val="24"/>
          <w:highlight w:val="none"/>
        </w:rPr>
        <w:t>⑨</w:t>
      </w:r>
      <w:r>
        <w:rPr>
          <w:rFonts w:hint="eastAsia" w:ascii="仿宋_GB2312" w:hAnsi="仿宋" w:eastAsia="仿宋_GB2312" w:cs="仿宋_GB2312"/>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highlight w:val="none"/>
        </w:rPr>
        <w:t>具体操作指南：详见政</w:t>
      </w:r>
      <w:r>
        <w:rPr>
          <w:rFonts w:hint="eastAsia" w:ascii="仿宋_GB2312" w:hAnsi="仿宋" w:eastAsia="仿宋_GB2312" w:cs="仿宋_GB2312"/>
          <w:sz w:val="24"/>
          <w:highlight w:val="none"/>
        </w:rPr>
        <w:t>采云平台“服务中心</w:t>
      </w:r>
      <w:r>
        <w:rPr>
          <w:rFonts w:ascii="仿宋_GB2312" w:hAnsi="仿宋" w:eastAsia="仿宋_GB2312" w:cs="仿宋_GB2312"/>
          <w:sz w:val="24"/>
          <w:highlight w:val="none"/>
        </w:rPr>
        <w:t>-帮助文档-项目采购-操作流程-电子招投标-政府采购项目电子交易管理操作指南-供应商”。</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七、对本次招标提出询问，请按以下方式联系</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1.采购人信息</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rPr>
        <w:t>浙江省嘉善县第一人民医院</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rPr>
        <w:t>浙江省嘉善县罗星街道体育南路1218号</w:t>
      </w:r>
      <w:r>
        <w:rPr>
          <w:rFonts w:ascii="仿宋_GB2312" w:hAnsi="仿宋" w:eastAsia="仿宋_GB2312"/>
          <w:sz w:val="24"/>
          <w:highlight w:val="none"/>
        </w:rPr>
        <w:t xml:space="preserve">      </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项目联系人（询问）：胡先生</w:t>
      </w:r>
      <w:r>
        <w:rPr>
          <w:rFonts w:ascii="仿宋_GB2312" w:hAnsi="仿宋" w:eastAsia="仿宋_GB2312"/>
          <w:sz w:val="24"/>
          <w:highlight w:val="none"/>
        </w:rPr>
        <w:t xml:space="preserve"> </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宋体" w:hAnsi="宋体" w:cs="宋体"/>
          <w:color w:val="000000"/>
          <w:sz w:val="24"/>
          <w:highlight w:val="none"/>
        </w:rPr>
        <w:t>0573-84289956</w:t>
      </w:r>
      <w:r>
        <w:rPr>
          <w:rFonts w:hint="eastAsia" w:ascii="仿宋_GB2312" w:hAnsi="仿宋" w:eastAsia="仿宋_GB2312"/>
          <w:sz w:val="24"/>
          <w:highlight w:val="none"/>
        </w:rPr>
        <w:t xml:space="preserve"> </w:t>
      </w:r>
    </w:p>
    <w:p>
      <w:pPr>
        <w:spacing w:line="360" w:lineRule="auto"/>
        <w:rPr>
          <w:rFonts w:ascii="仿宋" w:hAnsi="仿宋" w:eastAsia="仿宋"/>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rPr>
        <w:t>严先生</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rPr>
        <w:t xml:space="preserve">0573-84039637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2.采购代理机构信息            </w:t>
      </w:r>
    </w:p>
    <w:p>
      <w:pPr>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名</w:t>
      </w:r>
      <w:r>
        <w:rPr>
          <w:rFonts w:ascii="仿宋_GB2312" w:hAnsi="仿宋" w:eastAsia="仿宋_GB2312"/>
          <w:sz w:val="24"/>
          <w:highlight w:val="none"/>
        </w:rPr>
        <w:t xml:space="preserve">    </w:t>
      </w:r>
      <w:r>
        <w:rPr>
          <w:rFonts w:hint="eastAsia" w:ascii="仿宋_GB2312" w:hAnsi="仿宋" w:eastAsia="仿宋_GB2312"/>
          <w:sz w:val="24"/>
          <w:highlight w:val="none"/>
        </w:rPr>
        <w:t>称：嘉兴市银建工程咨询评估有限公司</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址：嘉善县阳光东路185号善商大厦1号（东）楼21层</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传    真：</w:t>
      </w:r>
      <w:r>
        <w:rPr>
          <w:rFonts w:hint="eastAsia" w:ascii="仿宋_GB2312" w:hAnsi="仿宋" w:eastAsia="仿宋_GB2312"/>
          <w:sz w:val="24"/>
          <w:highlight w:val="none"/>
        </w:rPr>
        <w:t>0573-84971199</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项目联系人（询问）：</w:t>
      </w:r>
      <w:r>
        <w:rPr>
          <w:rFonts w:hint="eastAsia" w:ascii="仿宋_GB2312" w:hAnsi="仿宋" w:eastAsia="仿宋_GB2312"/>
          <w:sz w:val="24"/>
          <w:highlight w:val="none"/>
        </w:rPr>
        <w:t>王佳浩</w:t>
      </w:r>
      <w:r>
        <w:rPr>
          <w:rFonts w:hint="eastAsia" w:ascii="仿宋" w:hAnsi="仿宋" w:eastAsia="仿宋"/>
          <w:sz w:val="24"/>
          <w:highlight w:val="none"/>
        </w:rPr>
        <w:t xml:space="preserve"> </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rPr>
        <w:t xml:space="preserve">0573-84211066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rPr>
        <w:t>俞鸿婷</w:t>
      </w:r>
      <w:r>
        <w:rPr>
          <w:rFonts w:hint="eastAsia" w:ascii="仿宋" w:hAnsi="仿宋" w:eastAsia="仿宋"/>
          <w:sz w:val="24"/>
          <w:highlight w:val="none"/>
        </w:rPr>
        <w:t xml:space="preserve"> </w:t>
      </w:r>
      <w:r>
        <w:rPr>
          <w:rFonts w:ascii="仿宋_GB2312" w:hAnsi="仿宋" w:eastAsia="仿宋_GB2312"/>
          <w:sz w:val="24"/>
          <w:highlight w:val="none"/>
        </w:rPr>
        <w:t xml:space="preserve">            </w:t>
      </w:r>
    </w:p>
    <w:p>
      <w:pPr>
        <w:spacing w:line="360" w:lineRule="auto"/>
        <w:rPr>
          <w:rFonts w:ascii="仿宋" w:hAnsi="仿宋" w:eastAsia="仿宋"/>
          <w:sz w:val="24"/>
          <w:highlight w:val="none"/>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rPr>
        <w:t>0573-842110</w:t>
      </w:r>
      <w:r>
        <w:rPr>
          <w:rFonts w:hint="eastAsia" w:ascii="仿宋_GB2312" w:hAnsi="仿宋" w:eastAsia="仿宋_GB2312"/>
          <w:sz w:val="24"/>
          <w:highlight w:val="none"/>
          <w:lang w:val="en-US" w:eastAsia="zh-CN"/>
        </w:rPr>
        <w:t>66</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3.同级政府采购监督管理部门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rPr>
        <w:t>嘉善县财政局</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rPr>
        <w:t xml:space="preserve">嘉善县解放东路318号 </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  传    真：</w:t>
      </w:r>
      <w:r>
        <w:rPr>
          <w:rFonts w:hint="eastAsia" w:ascii="仿宋_GB2312" w:hAnsi="仿宋" w:eastAsia="仿宋_GB2312"/>
          <w:sz w:val="24"/>
          <w:highlight w:val="none"/>
        </w:rPr>
        <w:t xml:space="preserve">0573-84122528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联系人 ：</w:t>
      </w:r>
      <w:r>
        <w:rPr>
          <w:rFonts w:hint="eastAsia" w:ascii="仿宋_GB2312" w:hAnsi="仿宋" w:eastAsia="仿宋_GB2312"/>
          <w:sz w:val="24"/>
          <w:highlight w:val="none"/>
        </w:rPr>
        <w:t xml:space="preserve">刘先生 </w:t>
      </w:r>
      <w:r>
        <w:rPr>
          <w:rFonts w:ascii="仿宋_GB2312" w:hAnsi="仿宋" w:eastAsia="仿宋_GB2312"/>
          <w:sz w:val="24"/>
          <w:highlight w:val="none"/>
        </w:rPr>
        <w:t xml:space="preserve">   </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监督投诉电话：</w:t>
      </w:r>
      <w:r>
        <w:rPr>
          <w:rFonts w:hint="eastAsia" w:ascii="仿宋_GB2312" w:hAnsi="仿宋" w:eastAsia="仿宋_GB2312"/>
          <w:sz w:val="24"/>
          <w:highlight w:val="none"/>
        </w:rPr>
        <w:t xml:space="preserve">0573-84122310 </w:t>
      </w:r>
      <w:r>
        <w:rPr>
          <w:rFonts w:ascii="仿宋_GB2312" w:hAnsi="仿宋" w:eastAsia="仿宋_GB2312"/>
          <w:sz w:val="24"/>
          <w:highlight w:val="none"/>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若对项目采购电子交易系统操作有疑问，可登录政采云（</w:t>
      </w:r>
      <w:r>
        <w:rPr>
          <w:rFonts w:ascii="仿宋_GB2312" w:hAnsi="仿宋" w:eastAsia="仿宋_GB2312"/>
          <w:sz w:val="24"/>
          <w:highlight w:val="none"/>
        </w:rPr>
        <w:t>https://www.zcygov.cn/），点击右侧咨询小采，获取采小蜜智能服务管家帮助，或拨打政</w:t>
      </w:r>
      <w:r>
        <w:rPr>
          <w:rFonts w:hint="eastAsia" w:ascii="仿宋_GB2312" w:hAnsi="仿宋" w:eastAsia="仿宋_GB2312"/>
          <w:sz w:val="24"/>
          <w:highlight w:val="none"/>
        </w:rPr>
        <w:t>采云服务热线</w:t>
      </w:r>
      <w:r>
        <w:rPr>
          <w:rFonts w:ascii="仿宋_GB2312" w:hAnsi="仿宋" w:eastAsia="仿宋_GB2312"/>
          <w:sz w:val="24"/>
          <w:highlight w:val="none"/>
        </w:rPr>
        <w:t>400-881-7190获取热线服务帮助。</w:t>
      </w:r>
    </w:p>
    <w:p>
      <w:pPr>
        <w:spacing w:line="360" w:lineRule="auto"/>
        <w:ind w:firstLine="480" w:firstLineChars="200"/>
        <w:rPr>
          <w:rFonts w:ascii="仿宋_GB2312" w:hAnsi="仿宋" w:eastAsia="仿宋_GB2312"/>
          <w:sz w:val="24"/>
          <w:highlight w:val="none"/>
        </w:rPr>
        <w:sectPr>
          <w:footerReference r:id="rId6" w:type="first"/>
          <w:footerReference r:id="rId5" w:type="default"/>
          <w:pgSz w:w="11906" w:h="16838"/>
          <w:pgMar w:top="680" w:right="1418" w:bottom="468" w:left="1418" w:header="851" w:footer="992" w:gutter="0"/>
          <w:pgNumType w:start="2"/>
          <w:cols w:space="720" w:num="1"/>
          <w:titlePg/>
          <w:docGrid w:linePitch="312" w:charSpace="0"/>
        </w:sectPr>
      </w:pPr>
      <w:r>
        <w:rPr>
          <w:rFonts w:ascii="仿宋_GB2312" w:hAnsi="仿宋" w:eastAsia="仿宋_GB2312"/>
          <w:sz w:val="24"/>
          <w:highlight w:val="none"/>
        </w:rPr>
        <w:t>CA问题联系电话（人工）：</w:t>
      </w:r>
      <w:r>
        <w:rPr>
          <w:rFonts w:hint="eastAsia" w:ascii="仿宋_GB2312" w:hAnsi="仿宋" w:eastAsia="仿宋_GB2312"/>
          <w:sz w:val="24"/>
          <w:highlight w:val="none"/>
        </w:rPr>
        <w:t>汇信</w:t>
      </w:r>
      <w:r>
        <w:rPr>
          <w:rFonts w:ascii="仿宋_GB2312" w:hAnsi="仿宋" w:eastAsia="仿宋_GB2312"/>
          <w:sz w:val="24"/>
          <w:highlight w:val="none"/>
        </w:rPr>
        <w:t>CA 400-888-4636；天谷CA 400-087-8198。</w:t>
      </w:r>
    </w:p>
    <w:p>
      <w:pPr>
        <w:numPr>
          <w:ilvl w:val="0"/>
          <w:numId w:val="1"/>
        </w:numPr>
        <w:adjustRightInd/>
        <w:spacing w:line="336" w:lineRule="auto"/>
        <w:jc w:val="center"/>
        <w:outlineLvl w:val="0"/>
        <w:rPr>
          <w:rFonts w:ascii="仿宋" w:hAnsi="仿宋" w:eastAsia="仿宋" w:cs="仿宋_GB2312"/>
          <w:b/>
          <w:sz w:val="36"/>
          <w:szCs w:val="20"/>
          <w:highlight w:val="none"/>
        </w:rPr>
      </w:pPr>
      <w:r>
        <w:rPr>
          <w:rFonts w:hint="eastAsia" w:ascii="仿宋" w:hAnsi="仿宋" w:eastAsia="仿宋" w:cs="仿宋_GB2312"/>
          <w:b/>
          <w:sz w:val="36"/>
          <w:szCs w:val="20"/>
          <w:highlight w:val="none"/>
        </w:rPr>
        <w:t>招标需求</w:t>
      </w:r>
    </w:p>
    <w:p>
      <w:pPr>
        <w:pStyle w:val="4"/>
        <w:rPr>
          <w:highlight w:val="none"/>
        </w:rPr>
      </w:pPr>
      <w:r>
        <w:rPr>
          <w:rFonts w:hint="eastAsia"/>
          <w:highlight w:val="none"/>
        </w:rPr>
        <w:t>项目建设背景</w:t>
      </w:r>
    </w:p>
    <w:p>
      <w:pPr>
        <w:pStyle w:val="980"/>
        <w:ind w:firstLine="480"/>
        <w:rPr>
          <w:rFonts w:ascii="宋体" w:hAnsi="宋体"/>
          <w:sz w:val="24"/>
          <w:szCs w:val="24"/>
          <w:highlight w:val="none"/>
        </w:rPr>
      </w:pPr>
      <w:r>
        <w:rPr>
          <w:rFonts w:hint="eastAsia" w:ascii="宋体" w:hAnsi="宋体"/>
          <w:sz w:val="24"/>
          <w:szCs w:val="24"/>
          <w:highlight w:val="none"/>
        </w:rPr>
        <w:t>在公立医院改革与发展的整体战略部署下，按照“整体规划，急用先行，分步实施”的原则，充分借鉴国内先进医院信息化建设成果与经验，按照“智慧医疗”的理念和“国内先进、省内领先”的目标，建立统一的数据、技术和管理标准，项目建设满足医院未来5-8年发展要求。</w:t>
      </w:r>
    </w:p>
    <w:p>
      <w:pPr>
        <w:pStyle w:val="980"/>
        <w:ind w:firstLine="480"/>
        <w:rPr>
          <w:rFonts w:ascii="宋体" w:hAnsi="宋体"/>
          <w:sz w:val="24"/>
          <w:szCs w:val="24"/>
          <w:highlight w:val="none"/>
        </w:rPr>
      </w:pPr>
      <w:r>
        <w:rPr>
          <w:rFonts w:hint="eastAsia" w:ascii="宋体" w:hAnsi="宋体"/>
          <w:sz w:val="24"/>
          <w:szCs w:val="24"/>
          <w:highlight w:val="none"/>
        </w:rPr>
        <w:t>目前我国医疗健康服务领域都面临人口老龄化加速、医疗健康服务需求持续增长、医疗资源有限以及地区分布不平衡、医保资金短缺等一系列挑战。对国家而言，构建中国特色创新型医疗健康服务体系已经成为医改当下的首要任务。中国特色创新型医疗健康服务体系，通过医药卫生综合体制改革，融合新兴技术应用所创造的一系列系统性的新型医疗健康服务模式。在国务院办公厅《关于推动公立医院高质量发展的意见》的背景下，我院信息化建设将建立智慧医疗、智慧服务、智慧管理“三位一体”的智慧医院信息系统，紧跟国家“十四五”战略规划。</w:t>
      </w:r>
    </w:p>
    <w:p>
      <w:pPr>
        <w:pStyle w:val="980"/>
        <w:ind w:firstLine="480"/>
        <w:rPr>
          <w:rFonts w:ascii="宋体" w:hAnsi="宋体"/>
          <w:sz w:val="24"/>
          <w:szCs w:val="24"/>
          <w:highlight w:val="none"/>
        </w:rPr>
      </w:pPr>
      <w:r>
        <w:rPr>
          <w:rFonts w:hint="eastAsia" w:ascii="宋体" w:hAnsi="宋体"/>
          <w:sz w:val="24"/>
          <w:szCs w:val="24"/>
          <w:highlight w:val="none"/>
        </w:rPr>
        <w:t>我院将电子病历分级评价、互联互通测评及医院智慧服务分级评价等要求作为指引，以评促建，以评促改。使医院信息化建设向着有序、标准、规范化前进。</w:t>
      </w:r>
    </w:p>
    <w:p>
      <w:pPr>
        <w:pStyle w:val="980"/>
        <w:ind w:firstLine="480"/>
        <w:rPr>
          <w:rFonts w:ascii="宋体" w:hAnsi="宋体"/>
          <w:sz w:val="24"/>
          <w:szCs w:val="24"/>
          <w:highlight w:val="none"/>
        </w:rPr>
      </w:pPr>
      <w:r>
        <w:rPr>
          <w:rFonts w:hint="eastAsia" w:ascii="宋体" w:hAnsi="宋体"/>
          <w:sz w:val="24"/>
          <w:szCs w:val="24"/>
          <w:highlight w:val="none"/>
        </w:rPr>
        <w:t>医院为多院区建设模式，第一人民医院和第二人民医院级别不同，医保收费均有所差异，202</w:t>
      </w:r>
      <w:r>
        <w:rPr>
          <w:rFonts w:ascii="宋体" w:hAnsi="宋体"/>
          <w:sz w:val="24"/>
          <w:szCs w:val="24"/>
          <w:highlight w:val="none"/>
        </w:rPr>
        <w:t>2</w:t>
      </w:r>
      <w:r>
        <w:rPr>
          <w:rFonts w:hint="eastAsia" w:ascii="宋体" w:hAnsi="宋体"/>
          <w:sz w:val="24"/>
          <w:szCs w:val="24"/>
          <w:highlight w:val="none"/>
        </w:rPr>
        <w:t>年医院上线了新的临床一体化信息系统，此次主要采购医院运营管理类及其他系统。同时实现一院多区的运营模式接入嘉善县第二人民医院（嘉善县第一人民医院北部分院），实现一院多区运营模式。软件部署架构采用多院区融合，垂直化管理，避免重复建设、保护前期软件投资、确保多院区的数据一致性，达到业务同质化，管理同质化，流程同质化兼顾多院区人员的使用习惯，保证项目实施及应用效果。</w:t>
      </w:r>
    </w:p>
    <w:p>
      <w:pPr>
        <w:pStyle w:val="4"/>
        <w:rPr>
          <w:highlight w:val="none"/>
        </w:rPr>
      </w:pPr>
      <w:bookmarkStart w:id="14" w:name="_Toc30984"/>
      <w:r>
        <w:rPr>
          <w:rFonts w:hint="eastAsia"/>
          <w:highlight w:val="none"/>
        </w:rPr>
        <w:t>总体建设要求</w:t>
      </w:r>
    </w:p>
    <w:p>
      <w:pPr>
        <w:pStyle w:val="980"/>
        <w:ind w:firstLine="480"/>
        <w:rPr>
          <w:rFonts w:ascii="宋体" w:hAnsi="宋体"/>
          <w:sz w:val="24"/>
          <w:szCs w:val="24"/>
          <w:highlight w:val="none"/>
        </w:rPr>
      </w:pPr>
      <w:r>
        <w:rPr>
          <w:rFonts w:hint="eastAsia" w:ascii="宋体" w:hAnsi="宋体"/>
          <w:sz w:val="24"/>
          <w:szCs w:val="24"/>
          <w:highlight w:val="none"/>
        </w:rPr>
        <w:t>第一人民医院需达到电子病历应用水平五级、互联互通四甲标准要求。通过信息系统建设实现多院区的业务流程、实现多院区信息互联互通共享集成，为院方提供精益化管理的信息支撑平台。</w:t>
      </w:r>
    </w:p>
    <w:p>
      <w:pPr>
        <w:pStyle w:val="980"/>
        <w:ind w:firstLine="480"/>
        <w:jc w:val="both"/>
        <w:rPr>
          <w:rFonts w:ascii="宋体" w:hAnsi="宋体"/>
          <w:sz w:val="24"/>
          <w:szCs w:val="24"/>
          <w:highlight w:val="none"/>
        </w:rPr>
      </w:pPr>
      <w:r>
        <w:rPr>
          <w:rFonts w:hint="eastAsia" w:ascii="宋体" w:hAnsi="宋体"/>
          <w:sz w:val="24"/>
          <w:szCs w:val="24"/>
          <w:highlight w:val="none"/>
        </w:rPr>
        <w:t>信息系统系统需</w:t>
      </w:r>
      <w:r>
        <w:rPr>
          <w:rFonts w:hint="eastAsia" w:ascii="宋体" w:hAnsi="宋体"/>
          <w:sz w:val="24"/>
          <w:szCs w:val="24"/>
          <w:highlight w:val="none"/>
          <w:lang w:bidi="ar"/>
        </w:rPr>
        <w:t>符合HL7、ICD-10、DICOM、IHE等国际标准，满足检验检查结果互认、智慧医保、HIS贯通等相关政策要求。</w:t>
      </w:r>
      <w:r>
        <w:rPr>
          <w:rFonts w:hint="eastAsia" w:ascii="宋体" w:hAnsi="宋体"/>
          <w:sz w:val="24"/>
          <w:szCs w:val="24"/>
          <w:highlight w:val="none"/>
        </w:rPr>
        <w:t>采用微服务架构设计，通过微服务实现这些各系统之间的数据集成，应用集成和用户界面集成。通过大数据技术实现数据的清洗，治理和分析利用。基于微服务的设计，支持功能模块之间进行独立扩展、独立部署，方便功能模块之间的扩展。</w:t>
      </w:r>
    </w:p>
    <w:p>
      <w:pPr>
        <w:pStyle w:val="980"/>
        <w:ind w:firstLine="480"/>
        <w:jc w:val="both"/>
        <w:rPr>
          <w:rFonts w:ascii="宋体" w:hAnsi="宋体"/>
          <w:sz w:val="24"/>
          <w:szCs w:val="24"/>
          <w:highlight w:val="none"/>
        </w:rPr>
      </w:pPr>
      <w:r>
        <w:rPr>
          <w:rFonts w:hint="eastAsia" w:ascii="宋体" w:hAnsi="宋体"/>
          <w:sz w:val="24"/>
          <w:szCs w:val="24"/>
          <w:highlight w:val="none"/>
        </w:rPr>
        <w:t>考虑到系统的整体规范、方便易用、稳定可靠等特性，在总体设计上对系统提出如下需求：</w:t>
      </w:r>
    </w:p>
    <w:p>
      <w:pPr>
        <w:pStyle w:val="980"/>
        <w:ind w:firstLine="480"/>
        <w:rPr>
          <w:rFonts w:ascii="宋体" w:hAnsi="宋体"/>
          <w:sz w:val="24"/>
          <w:szCs w:val="24"/>
          <w:highlight w:val="none"/>
        </w:rPr>
      </w:pPr>
      <w:r>
        <w:rPr>
          <w:rFonts w:hint="eastAsia" w:ascii="宋体" w:hAnsi="宋体"/>
          <w:sz w:val="24"/>
          <w:szCs w:val="24"/>
          <w:highlight w:val="none"/>
        </w:rPr>
        <w:t>（一）可用性</w:t>
      </w:r>
    </w:p>
    <w:p>
      <w:pPr>
        <w:pStyle w:val="980"/>
        <w:ind w:firstLine="480"/>
        <w:jc w:val="both"/>
        <w:rPr>
          <w:rFonts w:ascii="宋体" w:hAnsi="宋体"/>
          <w:sz w:val="24"/>
          <w:szCs w:val="24"/>
          <w:highlight w:val="none"/>
        </w:rPr>
      </w:pPr>
      <w:r>
        <w:rPr>
          <w:rFonts w:hint="eastAsia" w:ascii="宋体" w:hAnsi="宋体"/>
          <w:sz w:val="24"/>
          <w:szCs w:val="24"/>
          <w:highlight w:val="none"/>
        </w:rPr>
        <w:t>系统能够完成所要求的所有功能操作，同时具有良好的运行速度，有较高的数据承载能力，在网络稳定的环境下操作性界面单一操作的系统响应时间小于5秒；整个系统平均年故障时间应控制在8小时以内，即可用性达到99.9%，操作平均响应时间不超过5秒。</w:t>
      </w:r>
    </w:p>
    <w:p>
      <w:pPr>
        <w:pStyle w:val="980"/>
        <w:ind w:firstLine="480"/>
        <w:rPr>
          <w:rFonts w:ascii="宋体" w:hAnsi="宋体"/>
          <w:sz w:val="24"/>
          <w:szCs w:val="24"/>
          <w:highlight w:val="none"/>
        </w:rPr>
      </w:pPr>
      <w:r>
        <w:rPr>
          <w:rFonts w:hint="eastAsia" w:ascii="宋体" w:hAnsi="宋体"/>
          <w:sz w:val="24"/>
          <w:szCs w:val="24"/>
          <w:highlight w:val="none"/>
        </w:rPr>
        <w:t>（二）稳定性</w:t>
      </w:r>
    </w:p>
    <w:p>
      <w:pPr>
        <w:pStyle w:val="980"/>
        <w:ind w:firstLine="480"/>
        <w:jc w:val="both"/>
        <w:rPr>
          <w:rFonts w:ascii="宋体" w:hAnsi="宋体"/>
          <w:sz w:val="24"/>
          <w:szCs w:val="24"/>
          <w:highlight w:val="none"/>
        </w:rPr>
      </w:pPr>
      <w:r>
        <w:rPr>
          <w:rFonts w:hint="eastAsia" w:ascii="宋体" w:hAnsi="宋体"/>
          <w:sz w:val="24"/>
          <w:szCs w:val="24"/>
          <w:highlight w:val="none"/>
        </w:rPr>
        <w:t>数据的定期安全备份，防止误操作，权限设置合理，网络、数据安全，有完善的灾难应急功能和恢复能力，系统应提供7×24小时的连续运行，平均年故障时间：&lt;1天，平均故障修复时间：&lt;30分钟；各业务系统对用户的操作顺序、输入的数据进行正确性检查，并以显著方式提示错误信息。系统需有出错处理机制，当系统运行过程中发生错误时，系统将明确提示错误信息并指导用户按照系统错误处理手册进行处理。系统应提供运行监视和故障恢复机制，建立系统运行日志文件，能跟踪系统的所有操作。系统配备软件异常处理措施。</w:t>
      </w:r>
    </w:p>
    <w:p>
      <w:pPr>
        <w:pStyle w:val="980"/>
        <w:ind w:firstLine="480"/>
        <w:rPr>
          <w:rFonts w:ascii="宋体" w:hAnsi="宋体"/>
          <w:sz w:val="24"/>
          <w:szCs w:val="24"/>
          <w:highlight w:val="none"/>
        </w:rPr>
      </w:pPr>
      <w:r>
        <w:rPr>
          <w:rFonts w:hint="eastAsia" w:ascii="宋体" w:hAnsi="宋体"/>
          <w:sz w:val="24"/>
          <w:szCs w:val="24"/>
          <w:highlight w:val="none"/>
        </w:rPr>
        <w:t>（三）易用性</w:t>
      </w:r>
    </w:p>
    <w:p>
      <w:pPr>
        <w:pStyle w:val="980"/>
        <w:ind w:firstLine="480"/>
        <w:jc w:val="both"/>
        <w:rPr>
          <w:rFonts w:ascii="宋体" w:hAnsi="宋体"/>
          <w:sz w:val="24"/>
          <w:szCs w:val="24"/>
          <w:highlight w:val="none"/>
        </w:rPr>
      </w:pPr>
      <w:r>
        <w:rPr>
          <w:rFonts w:hint="eastAsia" w:ascii="宋体" w:hAnsi="宋体"/>
          <w:sz w:val="24"/>
          <w:szCs w:val="24"/>
          <w:highlight w:val="none"/>
        </w:rPr>
        <w:t>系统用户界面友好，主页应满足个性化设置，功能模块可根据用户角色不同、用户的工作任务不同而实现自由定制。系统使用操作简便。操作人员对照使用说明书就可操作，或者略经培训就可方便操作；通过提供下拉菜单、弹出页面等多种展现方式，以及更多的快捷方式（快捷键、右键菜单等），减少用户机械操作。页面跳转过程中能够保存页面信息。提供完善的联机帮助，所有操作菜单和提示信息全部使用中文。对于常用不变的数据项、重复数据项、可枚举的数据项、自动产生的数据项，应设置为缺省值或自动提供，以减少用户录入。</w:t>
      </w:r>
    </w:p>
    <w:p>
      <w:pPr>
        <w:pStyle w:val="980"/>
        <w:ind w:firstLine="480"/>
        <w:rPr>
          <w:rFonts w:ascii="宋体" w:hAnsi="宋体"/>
          <w:sz w:val="24"/>
          <w:szCs w:val="24"/>
          <w:highlight w:val="none"/>
        </w:rPr>
      </w:pPr>
      <w:r>
        <w:rPr>
          <w:rFonts w:hint="eastAsia" w:ascii="宋体" w:hAnsi="宋体"/>
          <w:sz w:val="24"/>
          <w:szCs w:val="24"/>
          <w:highlight w:val="none"/>
        </w:rPr>
        <w:t>（四）可维护性</w:t>
      </w:r>
    </w:p>
    <w:p>
      <w:pPr>
        <w:pStyle w:val="980"/>
        <w:ind w:firstLine="480"/>
        <w:jc w:val="both"/>
        <w:rPr>
          <w:rFonts w:ascii="宋体" w:hAnsi="宋体"/>
          <w:sz w:val="24"/>
          <w:szCs w:val="24"/>
          <w:highlight w:val="none"/>
        </w:rPr>
      </w:pPr>
      <w:r>
        <w:rPr>
          <w:rFonts w:hint="eastAsia" w:ascii="宋体" w:hAnsi="宋体"/>
          <w:sz w:val="24"/>
          <w:szCs w:val="24"/>
          <w:highlight w:val="none"/>
        </w:rPr>
        <w:t>易于管理，系统维护方便，能够方便快速的将数据转入系统，系统必须是构件化、面向对象的，可做到灵活扩展。提供服务器系统管理与维护、操作系统管理与维护、应用系统软件管理与维护、数据库管理与维护以及数据库备份、应用系统备份、灾难事件处理与解决实施方案等。为系统中多个功能平台提供可视化的管理界面，允许部分用户进行设置。</w:t>
      </w:r>
    </w:p>
    <w:p>
      <w:pPr>
        <w:pStyle w:val="980"/>
        <w:ind w:firstLine="480"/>
        <w:rPr>
          <w:rFonts w:ascii="宋体" w:hAnsi="宋体"/>
          <w:sz w:val="24"/>
          <w:szCs w:val="24"/>
          <w:highlight w:val="none"/>
        </w:rPr>
      </w:pPr>
      <w:r>
        <w:rPr>
          <w:rFonts w:hint="eastAsia" w:ascii="宋体" w:hAnsi="宋体"/>
          <w:sz w:val="24"/>
          <w:szCs w:val="24"/>
          <w:highlight w:val="none"/>
        </w:rPr>
        <w:t>（五）可扩展性</w:t>
      </w:r>
    </w:p>
    <w:p>
      <w:pPr>
        <w:pStyle w:val="980"/>
        <w:ind w:firstLine="480"/>
        <w:jc w:val="both"/>
        <w:rPr>
          <w:rFonts w:ascii="宋体" w:hAnsi="宋体"/>
          <w:sz w:val="24"/>
          <w:szCs w:val="24"/>
          <w:highlight w:val="none"/>
        </w:rPr>
      </w:pPr>
      <w:r>
        <w:rPr>
          <w:rFonts w:hint="eastAsia" w:ascii="宋体" w:hAnsi="宋体"/>
          <w:sz w:val="24"/>
          <w:szCs w:val="24"/>
          <w:highlight w:val="none"/>
        </w:rPr>
        <w:t>系统在设计过程中充分考虑可扩充性，能根据技术发展和业务需求的增加不断升级扩展。系统充分考虑可能的扩展内容，为其提供接口，并考虑多院区形式的院区扩展。</w:t>
      </w:r>
    </w:p>
    <w:p>
      <w:pPr>
        <w:pStyle w:val="980"/>
        <w:ind w:firstLine="480"/>
        <w:jc w:val="both"/>
        <w:rPr>
          <w:rFonts w:ascii="宋体" w:hAnsi="宋体"/>
          <w:sz w:val="24"/>
          <w:szCs w:val="24"/>
          <w:highlight w:val="none"/>
        </w:rPr>
      </w:pPr>
      <w:r>
        <w:rPr>
          <w:rFonts w:hint="eastAsia" w:ascii="宋体" w:hAnsi="宋体"/>
          <w:sz w:val="24"/>
          <w:szCs w:val="24"/>
          <w:highlight w:val="none"/>
        </w:rPr>
        <w:t>（六）延续性</w:t>
      </w:r>
    </w:p>
    <w:p>
      <w:pPr>
        <w:pStyle w:val="980"/>
        <w:ind w:firstLine="480"/>
        <w:jc w:val="both"/>
        <w:rPr>
          <w:rFonts w:ascii="宋体" w:hAnsi="宋体"/>
          <w:sz w:val="24"/>
          <w:szCs w:val="24"/>
          <w:highlight w:val="none"/>
        </w:rPr>
      </w:pPr>
      <w:r>
        <w:rPr>
          <w:rFonts w:hint="eastAsia" w:ascii="宋体" w:hAnsi="宋体"/>
          <w:sz w:val="24"/>
          <w:szCs w:val="24"/>
          <w:highlight w:val="none"/>
        </w:rPr>
        <w:t>系统建设过程中需保证历史数据及接口延续性，保证历史数据不丢失直接沿用，保证两院区数据对接完整不缺失。</w:t>
      </w:r>
    </w:p>
    <w:p>
      <w:pPr>
        <w:pStyle w:val="4"/>
        <w:rPr>
          <w:highlight w:val="none"/>
        </w:rPr>
      </w:pPr>
      <w:r>
        <w:rPr>
          <w:rFonts w:hint="eastAsia"/>
          <w:highlight w:val="none"/>
        </w:rPr>
        <w:t>信息化建设清单</w:t>
      </w:r>
    </w:p>
    <w:tbl>
      <w:tblPr>
        <w:tblStyle w:val="64"/>
        <w:tblW w:w="892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374"/>
        <w:gridCol w:w="4252"/>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40" w:type="dxa"/>
            <w:shd w:val="clear" w:color="000000" w:fill="auto"/>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2374" w:type="dxa"/>
            <w:shd w:val="clear" w:color="000000" w:fill="auto"/>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分类</w:t>
            </w:r>
          </w:p>
        </w:tc>
        <w:tc>
          <w:tcPr>
            <w:tcW w:w="4252" w:type="dxa"/>
            <w:shd w:val="clear" w:color="000000" w:fill="auto"/>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建设内容</w:t>
            </w:r>
          </w:p>
        </w:tc>
        <w:tc>
          <w:tcPr>
            <w:tcW w:w="851" w:type="dxa"/>
            <w:shd w:val="clear" w:color="000000" w:fill="auto"/>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数量</w:t>
            </w:r>
          </w:p>
        </w:tc>
        <w:tc>
          <w:tcPr>
            <w:tcW w:w="709" w:type="dxa"/>
            <w:shd w:val="clear" w:color="000000" w:fill="auto"/>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restart"/>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互联互通评级</w:t>
            </w: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信息集成平台升级</w:t>
            </w:r>
          </w:p>
        </w:tc>
        <w:tc>
          <w:tcPr>
            <w:tcW w:w="851"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数据中心ODS</w:t>
            </w:r>
          </w:p>
        </w:tc>
        <w:tc>
          <w:tcPr>
            <w:tcW w:w="851"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临床数据中心CDR</w:t>
            </w:r>
          </w:p>
        </w:tc>
        <w:tc>
          <w:tcPr>
            <w:tcW w:w="851"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互联互通标准化评级服务（四甲）</w:t>
            </w:r>
          </w:p>
        </w:tc>
        <w:tc>
          <w:tcPr>
            <w:tcW w:w="851"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restart"/>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电子病历评级</w:t>
            </w:r>
          </w:p>
        </w:tc>
        <w:tc>
          <w:tcPr>
            <w:tcW w:w="4252" w:type="dxa"/>
            <w:shd w:val="clear" w:color="auto" w:fill="auto"/>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闭环流程追溯管理系统</w:t>
            </w:r>
          </w:p>
        </w:tc>
        <w:tc>
          <w:tcPr>
            <w:tcW w:w="851"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kern w:val="0"/>
                <w:sz w:val="24"/>
                <w:highlight w:val="none"/>
              </w:rPr>
            </w:pPr>
            <w:r>
              <w:rPr>
                <w:rFonts w:hint="eastAsia" w:ascii="宋体" w:hAnsi="宋体" w:cs="宋体"/>
                <w:kern w:val="0"/>
                <w:sz w:val="24"/>
                <w:highlight w:val="none"/>
              </w:rPr>
              <w:t>电子病历标准化评级服务（五级）</w:t>
            </w:r>
          </w:p>
        </w:tc>
        <w:tc>
          <w:tcPr>
            <w:tcW w:w="851"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restart"/>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运营</w:t>
            </w: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公用支持系统</w:t>
            </w:r>
          </w:p>
        </w:tc>
        <w:tc>
          <w:tcPr>
            <w:tcW w:w="851"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门办管理系统</w:t>
            </w:r>
          </w:p>
        </w:tc>
        <w:tc>
          <w:tcPr>
            <w:tcW w:w="851"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门诊药房运行系统</w:t>
            </w:r>
          </w:p>
        </w:tc>
        <w:tc>
          <w:tcPr>
            <w:tcW w:w="851"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住院药房运行系统</w:t>
            </w:r>
          </w:p>
        </w:tc>
        <w:tc>
          <w:tcPr>
            <w:tcW w:w="851"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门诊中药房系统</w:t>
            </w:r>
          </w:p>
        </w:tc>
        <w:tc>
          <w:tcPr>
            <w:tcW w:w="851"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急诊药房系统</w:t>
            </w:r>
          </w:p>
        </w:tc>
        <w:tc>
          <w:tcPr>
            <w:tcW w:w="851"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西成药库系统</w:t>
            </w:r>
          </w:p>
        </w:tc>
        <w:tc>
          <w:tcPr>
            <w:tcW w:w="851"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中药库系统</w:t>
            </w:r>
          </w:p>
        </w:tc>
        <w:tc>
          <w:tcPr>
            <w:tcW w:w="851"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挂号收费系统</w:t>
            </w:r>
          </w:p>
        </w:tc>
        <w:tc>
          <w:tcPr>
            <w:tcW w:w="851"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住院收费系统</w:t>
            </w:r>
          </w:p>
        </w:tc>
        <w:tc>
          <w:tcPr>
            <w:tcW w:w="851"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住院入出转系统</w:t>
            </w:r>
          </w:p>
        </w:tc>
        <w:tc>
          <w:tcPr>
            <w:tcW w:w="851"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医技计费系统</w:t>
            </w:r>
          </w:p>
        </w:tc>
        <w:tc>
          <w:tcPr>
            <w:tcW w:w="851"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静脉输液配置中心管理系统</w:t>
            </w:r>
          </w:p>
        </w:tc>
        <w:tc>
          <w:tcPr>
            <w:tcW w:w="851"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报表中心</w:t>
            </w:r>
          </w:p>
        </w:tc>
        <w:tc>
          <w:tcPr>
            <w:tcW w:w="851"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医共体成员</w:t>
            </w:r>
          </w:p>
        </w:tc>
        <w:tc>
          <w:tcPr>
            <w:tcW w:w="4252" w:type="dxa"/>
            <w:shd w:val="clear" w:color="auto" w:fill="auto"/>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北部分院信息一体化建设</w:t>
            </w:r>
          </w:p>
        </w:tc>
        <w:tc>
          <w:tcPr>
            <w:tcW w:w="851"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管理</w:t>
            </w:r>
          </w:p>
        </w:tc>
        <w:tc>
          <w:tcPr>
            <w:tcW w:w="4252" w:type="dxa"/>
            <w:shd w:val="clear" w:color="auto" w:fill="auto"/>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医务管理系统</w:t>
            </w:r>
          </w:p>
        </w:tc>
        <w:tc>
          <w:tcPr>
            <w:tcW w:w="851"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restart"/>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其他系统</w:t>
            </w:r>
          </w:p>
        </w:tc>
        <w:tc>
          <w:tcPr>
            <w:tcW w:w="4252" w:type="dxa"/>
            <w:shd w:val="clear" w:color="000000" w:fill="FFFFFF"/>
            <w:vAlign w:val="center"/>
          </w:tcPr>
          <w:p>
            <w:pPr>
              <w:widowControl/>
              <w:jc w:val="left"/>
              <w:rPr>
                <w:rFonts w:ascii="宋体" w:hAnsi="宋体" w:cs="宋体"/>
                <w:kern w:val="0"/>
                <w:sz w:val="24"/>
                <w:highlight w:val="none"/>
              </w:rPr>
            </w:pPr>
            <w:r>
              <w:rPr>
                <w:rFonts w:hint="eastAsia" w:ascii="宋体" w:hAnsi="宋体" w:cs="宋体"/>
                <w:kern w:val="0"/>
                <w:sz w:val="24"/>
                <w:highlight w:val="none"/>
              </w:rPr>
              <w:t>院科成本核算系统</w:t>
            </w:r>
          </w:p>
        </w:tc>
        <w:tc>
          <w:tcPr>
            <w:tcW w:w="851"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auto" w:fill="auto"/>
            <w:noWrap/>
            <w:vAlign w:val="center"/>
          </w:tcPr>
          <w:p>
            <w:pPr>
              <w:widowControl/>
              <w:jc w:val="left"/>
              <w:rPr>
                <w:rFonts w:ascii="宋体" w:hAnsi="宋体" w:cs="宋体"/>
                <w:kern w:val="0"/>
                <w:sz w:val="24"/>
                <w:highlight w:val="none"/>
              </w:rPr>
            </w:pPr>
            <w:r>
              <w:rPr>
                <w:rFonts w:hint="eastAsia" w:ascii="宋体" w:hAnsi="宋体" w:cs="宋体"/>
                <w:kern w:val="0"/>
                <w:sz w:val="24"/>
                <w:highlight w:val="none"/>
              </w:rPr>
              <w:t>VTE管理系统</w:t>
            </w:r>
          </w:p>
        </w:tc>
        <w:tc>
          <w:tcPr>
            <w:tcW w:w="851"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auto" w:fill="auto"/>
            <w:noWrap/>
            <w:vAlign w:val="center"/>
          </w:tcPr>
          <w:p>
            <w:pPr>
              <w:widowControl/>
              <w:jc w:val="left"/>
              <w:rPr>
                <w:rFonts w:ascii="宋体" w:hAnsi="宋体" w:cs="宋体"/>
                <w:kern w:val="0"/>
                <w:sz w:val="24"/>
                <w:highlight w:val="none"/>
              </w:rPr>
            </w:pPr>
            <w:r>
              <w:rPr>
                <w:rFonts w:hint="eastAsia" w:ascii="宋体" w:hAnsi="宋体" w:cs="宋体"/>
                <w:kern w:val="0"/>
                <w:sz w:val="24"/>
                <w:highlight w:val="none"/>
              </w:rPr>
              <w:t>营养膳食管理系统</w:t>
            </w:r>
          </w:p>
        </w:tc>
        <w:tc>
          <w:tcPr>
            <w:tcW w:w="851"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vAlign w:val="center"/>
          </w:tcPr>
          <w:p>
            <w:pPr>
              <w:widowControl/>
              <w:jc w:val="left"/>
              <w:rPr>
                <w:rFonts w:ascii="宋体" w:hAnsi="宋体" w:cs="宋体"/>
                <w:kern w:val="0"/>
                <w:sz w:val="24"/>
                <w:highlight w:val="none"/>
              </w:rPr>
            </w:pPr>
            <w:r>
              <w:rPr>
                <w:rFonts w:hint="eastAsia" w:ascii="宋体" w:hAnsi="宋体" w:cs="宋体"/>
                <w:kern w:val="0"/>
                <w:sz w:val="24"/>
                <w:highlight w:val="none"/>
              </w:rPr>
              <w:t>后勤物资管理系统升级</w:t>
            </w:r>
          </w:p>
        </w:tc>
        <w:tc>
          <w:tcPr>
            <w:tcW w:w="851"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000000"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kern w:val="0"/>
                <w:sz w:val="24"/>
                <w:highlight w:val="none"/>
              </w:rPr>
            </w:pPr>
            <w:r>
              <w:rPr>
                <w:rFonts w:hint="eastAsia" w:ascii="宋体" w:hAnsi="宋体" w:cs="宋体"/>
                <w:kern w:val="0"/>
                <w:sz w:val="24"/>
                <w:highlight w:val="none"/>
              </w:rPr>
              <w:t>前置审方管理系统</w:t>
            </w:r>
          </w:p>
        </w:tc>
        <w:tc>
          <w:tcPr>
            <w:tcW w:w="851"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kern w:val="0"/>
                <w:sz w:val="24"/>
                <w:highlight w:val="none"/>
              </w:rPr>
            </w:pPr>
            <w:r>
              <w:rPr>
                <w:rFonts w:hint="eastAsia" w:ascii="宋体" w:hAnsi="宋体" w:cs="宋体"/>
                <w:kern w:val="0"/>
                <w:sz w:val="24"/>
                <w:highlight w:val="none"/>
              </w:rPr>
              <w:t>CA电子签名</w:t>
            </w:r>
          </w:p>
        </w:tc>
        <w:tc>
          <w:tcPr>
            <w:tcW w:w="851"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kern w:val="0"/>
                <w:sz w:val="24"/>
                <w:highlight w:val="none"/>
              </w:rPr>
            </w:pPr>
            <w:r>
              <w:rPr>
                <w:rFonts w:hint="eastAsia" w:ascii="宋体" w:hAnsi="宋体" w:cs="宋体"/>
                <w:kern w:val="0"/>
                <w:sz w:val="24"/>
                <w:highlight w:val="none"/>
              </w:rPr>
              <w:t>临床辅助诊断CDSS系统</w:t>
            </w:r>
          </w:p>
        </w:tc>
        <w:tc>
          <w:tcPr>
            <w:tcW w:w="851"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kern w:val="0"/>
                <w:sz w:val="24"/>
                <w:highlight w:val="none"/>
              </w:rPr>
            </w:pPr>
            <w:r>
              <w:rPr>
                <w:rFonts w:hint="eastAsia" w:ascii="宋体" w:hAnsi="宋体" w:cs="宋体"/>
                <w:kern w:val="0"/>
                <w:sz w:val="24"/>
                <w:highlight w:val="none"/>
              </w:rPr>
              <w:t>AI病历质检系统</w:t>
            </w:r>
          </w:p>
        </w:tc>
        <w:tc>
          <w:tcPr>
            <w:tcW w:w="851"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auto" w:fill="auto"/>
            <w:noWrap/>
            <w:vAlign w:val="center"/>
          </w:tcPr>
          <w:p>
            <w:pPr>
              <w:widowControl/>
              <w:jc w:val="left"/>
              <w:rPr>
                <w:rFonts w:ascii="宋体" w:hAnsi="宋体" w:cs="宋体"/>
                <w:kern w:val="0"/>
                <w:sz w:val="24"/>
                <w:highlight w:val="none"/>
              </w:rPr>
            </w:pPr>
            <w:r>
              <w:rPr>
                <w:rFonts w:hint="eastAsia" w:ascii="宋体" w:hAnsi="宋体" w:cs="宋体"/>
                <w:kern w:val="0"/>
                <w:sz w:val="24"/>
                <w:highlight w:val="none"/>
              </w:rPr>
              <w:t>单病种管理系统</w:t>
            </w:r>
          </w:p>
        </w:tc>
        <w:tc>
          <w:tcPr>
            <w:tcW w:w="851"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auto" w:fill="auto"/>
            <w:noWrap/>
            <w:vAlign w:val="center"/>
          </w:tcPr>
          <w:p>
            <w:pPr>
              <w:widowControl/>
              <w:jc w:val="left"/>
              <w:rPr>
                <w:rFonts w:ascii="宋体" w:hAnsi="宋体" w:cs="宋体"/>
                <w:kern w:val="0"/>
                <w:sz w:val="24"/>
                <w:highlight w:val="none"/>
              </w:rPr>
            </w:pPr>
            <w:r>
              <w:rPr>
                <w:rFonts w:hint="eastAsia" w:ascii="宋体" w:hAnsi="宋体" w:cs="宋体"/>
                <w:kern w:val="0"/>
                <w:sz w:val="24"/>
                <w:highlight w:val="none"/>
              </w:rPr>
              <w:t>报表制作工具</w:t>
            </w:r>
          </w:p>
        </w:tc>
        <w:tc>
          <w:tcPr>
            <w:tcW w:w="851"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auto" w:fill="auto"/>
            <w:noWrap/>
            <w:vAlign w:val="center"/>
          </w:tcPr>
          <w:p>
            <w:pPr>
              <w:widowControl/>
              <w:jc w:val="left"/>
              <w:rPr>
                <w:rFonts w:ascii="宋体" w:hAnsi="宋体" w:cs="宋体"/>
                <w:kern w:val="0"/>
                <w:sz w:val="24"/>
                <w:highlight w:val="none"/>
              </w:rPr>
            </w:pPr>
            <w:r>
              <w:rPr>
                <w:rFonts w:hint="eastAsia" w:ascii="宋体" w:hAnsi="宋体" w:cs="宋体"/>
                <w:kern w:val="0"/>
                <w:sz w:val="24"/>
                <w:highlight w:val="none"/>
              </w:rPr>
              <w:t>纸质病历扫描系统</w:t>
            </w:r>
          </w:p>
        </w:tc>
        <w:tc>
          <w:tcPr>
            <w:tcW w:w="851"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kern w:val="0"/>
                <w:sz w:val="24"/>
                <w:highlight w:val="none"/>
              </w:rPr>
            </w:pPr>
            <w:r>
              <w:rPr>
                <w:rFonts w:hint="eastAsia" w:ascii="宋体" w:hAnsi="宋体" w:cs="宋体"/>
                <w:kern w:val="0"/>
                <w:sz w:val="24"/>
                <w:highlight w:val="none"/>
              </w:rPr>
              <w:t>在线诊疗系统</w:t>
            </w:r>
          </w:p>
        </w:tc>
        <w:tc>
          <w:tcPr>
            <w:tcW w:w="851"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restart"/>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接口对接</w:t>
            </w: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手麻监护系统</w:t>
            </w:r>
          </w:p>
        </w:tc>
        <w:tc>
          <w:tcPr>
            <w:tcW w:w="851" w:type="dxa"/>
            <w:vMerge w:val="restart"/>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709" w:type="dxa"/>
            <w:vMerge w:val="restart"/>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血透管理系统</w:t>
            </w:r>
          </w:p>
        </w:tc>
        <w:tc>
          <w:tcPr>
            <w:tcW w:w="851" w:type="dxa"/>
            <w:vMerge w:val="continue"/>
            <w:shd w:val="clear" w:color="auto" w:fill="auto"/>
            <w:noWrap/>
            <w:vAlign w:val="center"/>
          </w:tcPr>
          <w:p>
            <w:pPr>
              <w:jc w:val="center"/>
              <w:rPr>
                <w:rFonts w:ascii="宋体" w:hAnsi="宋体" w:cs="宋体"/>
                <w:color w:val="000000"/>
                <w:kern w:val="0"/>
                <w:sz w:val="24"/>
                <w:highlight w:val="none"/>
              </w:rPr>
            </w:pPr>
          </w:p>
        </w:tc>
        <w:tc>
          <w:tcPr>
            <w:tcW w:w="709" w:type="dxa"/>
            <w:vMerge w:val="continue"/>
            <w:shd w:val="clear" w:color="auto" w:fill="auto"/>
            <w:vAlign w:val="center"/>
          </w:tcPr>
          <w:p>
            <w:pPr>
              <w:jc w:val="cente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病案管理系统</w:t>
            </w:r>
          </w:p>
        </w:tc>
        <w:tc>
          <w:tcPr>
            <w:tcW w:w="851" w:type="dxa"/>
            <w:vMerge w:val="continue"/>
            <w:shd w:val="clear" w:color="auto" w:fill="auto"/>
            <w:noWrap/>
            <w:vAlign w:val="center"/>
          </w:tcPr>
          <w:p>
            <w:pPr>
              <w:jc w:val="center"/>
              <w:rPr>
                <w:rFonts w:ascii="宋体" w:hAnsi="宋体" w:cs="宋体"/>
                <w:color w:val="000000"/>
                <w:kern w:val="0"/>
                <w:sz w:val="24"/>
                <w:highlight w:val="none"/>
              </w:rPr>
            </w:pPr>
          </w:p>
        </w:tc>
        <w:tc>
          <w:tcPr>
            <w:tcW w:w="709" w:type="dxa"/>
            <w:vMerge w:val="continue"/>
            <w:shd w:val="clear" w:color="auto" w:fill="auto"/>
            <w:vAlign w:val="center"/>
          </w:tcPr>
          <w:p>
            <w:pPr>
              <w:jc w:val="cente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消毒供应室系统</w:t>
            </w:r>
          </w:p>
        </w:tc>
        <w:tc>
          <w:tcPr>
            <w:tcW w:w="851" w:type="dxa"/>
            <w:vMerge w:val="continue"/>
            <w:shd w:val="clear" w:color="auto" w:fill="auto"/>
            <w:noWrap/>
            <w:vAlign w:val="center"/>
          </w:tcPr>
          <w:p>
            <w:pPr>
              <w:jc w:val="center"/>
              <w:rPr>
                <w:rFonts w:ascii="宋体" w:hAnsi="宋体" w:cs="宋体"/>
                <w:color w:val="000000"/>
                <w:kern w:val="0"/>
                <w:sz w:val="24"/>
                <w:highlight w:val="none"/>
              </w:rPr>
            </w:pPr>
          </w:p>
        </w:tc>
        <w:tc>
          <w:tcPr>
            <w:tcW w:w="709" w:type="dxa"/>
            <w:vMerge w:val="continue"/>
            <w:shd w:val="clear" w:color="auto" w:fill="auto"/>
            <w:vAlign w:val="center"/>
          </w:tcPr>
          <w:p>
            <w:pPr>
              <w:jc w:val="cente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物资管理系统</w:t>
            </w:r>
          </w:p>
        </w:tc>
        <w:tc>
          <w:tcPr>
            <w:tcW w:w="851" w:type="dxa"/>
            <w:vMerge w:val="continue"/>
            <w:shd w:val="clear" w:color="auto" w:fill="auto"/>
            <w:noWrap/>
            <w:vAlign w:val="center"/>
          </w:tcPr>
          <w:p>
            <w:pPr>
              <w:jc w:val="center"/>
              <w:rPr>
                <w:rFonts w:ascii="宋体" w:hAnsi="宋体" w:cs="宋体"/>
                <w:color w:val="000000"/>
                <w:kern w:val="0"/>
                <w:sz w:val="24"/>
                <w:highlight w:val="none"/>
              </w:rPr>
            </w:pPr>
          </w:p>
        </w:tc>
        <w:tc>
          <w:tcPr>
            <w:tcW w:w="709" w:type="dxa"/>
            <w:vMerge w:val="continue"/>
            <w:shd w:val="clear" w:color="auto" w:fill="auto"/>
            <w:vAlign w:val="center"/>
          </w:tcPr>
          <w:p>
            <w:pPr>
              <w:jc w:val="cente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护理管理系统</w:t>
            </w:r>
          </w:p>
        </w:tc>
        <w:tc>
          <w:tcPr>
            <w:tcW w:w="851" w:type="dxa"/>
            <w:vMerge w:val="continue"/>
            <w:shd w:val="clear" w:color="auto" w:fill="auto"/>
            <w:noWrap/>
            <w:vAlign w:val="center"/>
          </w:tcPr>
          <w:p>
            <w:pPr>
              <w:jc w:val="center"/>
              <w:rPr>
                <w:rFonts w:ascii="宋体" w:hAnsi="宋体" w:cs="宋体"/>
                <w:color w:val="000000"/>
                <w:kern w:val="0"/>
                <w:sz w:val="24"/>
                <w:highlight w:val="none"/>
              </w:rPr>
            </w:pPr>
          </w:p>
        </w:tc>
        <w:tc>
          <w:tcPr>
            <w:tcW w:w="709" w:type="dxa"/>
            <w:vMerge w:val="continue"/>
            <w:shd w:val="clear" w:color="auto" w:fill="auto"/>
            <w:vAlign w:val="center"/>
          </w:tcPr>
          <w:p>
            <w:pPr>
              <w:jc w:val="cente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随访与满意度评价系统</w:t>
            </w:r>
          </w:p>
        </w:tc>
        <w:tc>
          <w:tcPr>
            <w:tcW w:w="851" w:type="dxa"/>
            <w:vMerge w:val="continue"/>
            <w:shd w:val="clear" w:color="auto" w:fill="auto"/>
            <w:noWrap/>
            <w:vAlign w:val="center"/>
          </w:tcPr>
          <w:p>
            <w:pPr>
              <w:jc w:val="center"/>
              <w:rPr>
                <w:rFonts w:ascii="宋体" w:hAnsi="宋体" w:cs="宋体"/>
                <w:color w:val="000000"/>
                <w:kern w:val="0"/>
                <w:sz w:val="24"/>
                <w:highlight w:val="none"/>
              </w:rPr>
            </w:pPr>
          </w:p>
        </w:tc>
        <w:tc>
          <w:tcPr>
            <w:tcW w:w="709" w:type="dxa"/>
            <w:vMerge w:val="continue"/>
            <w:shd w:val="clear" w:color="auto" w:fill="auto"/>
            <w:vAlign w:val="center"/>
          </w:tcPr>
          <w:p>
            <w:pPr>
              <w:jc w:val="cente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与急救系统对接</w:t>
            </w:r>
          </w:p>
        </w:tc>
        <w:tc>
          <w:tcPr>
            <w:tcW w:w="851" w:type="dxa"/>
            <w:vMerge w:val="continue"/>
            <w:shd w:val="clear" w:color="auto" w:fill="auto"/>
            <w:noWrap/>
            <w:vAlign w:val="center"/>
          </w:tcPr>
          <w:p>
            <w:pPr>
              <w:jc w:val="center"/>
              <w:rPr>
                <w:rFonts w:ascii="宋体" w:hAnsi="宋体" w:cs="宋体"/>
                <w:color w:val="000000"/>
                <w:kern w:val="0"/>
                <w:sz w:val="24"/>
                <w:highlight w:val="none"/>
              </w:rPr>
            </w:pPr>
          </w:p>
        </w:tc>
        <w:tc>
          <w:tcPr>
            <w:tcW w:w="709" w:type="dxa"/>
            <w:vMerge w:val="continue"/>
            <w:shd w:val="clear" w:color="auto" w:fill="auto"/>
            <w:vAlign w:val="center"/>
          </w:tcPr>
          <w:p>
            <w:pPr>
              <w:jc w:val="cente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体检管理系统</w:t>
            </w:r>
          </w:p>
        </w:tc>
        <w:tc>
          <w:tcPr>
            <w:tcW w:w="851" w:type="dxa"/>
            <w:vMerge w:val="continue"/>
            <w:shd w:val="clear" w:color="auto" w:fill="auto"/>
            <w:noWrap/>
            <w:vAlign w:val="center"/>
          </w:tcPr>
          <w:p>
            <w:pPr>
              <w:jc w:val="center"/>
              <w:rPr>
                <w:rFonts w:ascii="宋体" w:hAnsi="宋体" w:cs="宋体"/>
                <w:color w:val="000000"/>
                <w:kern w:val="0"/>
                <w:sz w:val="24"/>
                <w:highlight w:val="none"/>
              </w:rPr>
            </w:pPr>
          </w:p>
        </w:tc>
        <w:tc>
          <w:tcPr>
            <w:tcW w:w="709" w:type="dxa"/>
            <w:vMerge w:val="continue"/>
            <w:shd w:val="clear" w:color="auto" w:fill="auto"/>
            <w:vAlign w:val="center"/>
          </w:tcPr>
          <w:p>
            <w:pPr>
              <w:jc w:val="cente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FF0000"/>
                <w:kern w:val="0"/>
                <w:sz w:val="24"/>
                <w:highlight w:val="none"/>
              </w:rPr>
            </w:pPr>
            <w:r>
              <w:rPr>
                <w:rFonts w:hint="eastAsia" w:ascii="宋体" w:hAnsi="宋体" w:cs="宋体"/>
                <w:kern w:val="0"/>
                <w:sz w:val="24"/>
                <w:highlight w:val="none"/>
              </w:rPr>
              <w:t>血糖管理系统</w:t>
            </w:r>
          </w:p>
        </w:tc>
        <w:tc>
          <w:tcPr>
            <w:tcW w:w="851" w:type="dxa"/>
            <w:vMerge w:val="continue"/>
            <w:shd w:val="clear" w:color="auto" w:fill="auto"/>
            <w:noWrap/>
            <w:vAlign w:val="center"/>
          </w:tcPr>
          <w:p>
            <w:pPr>
              <w:jc w:val="center"/>
              <w:rPr>
                <w:rFonts w:ascii="宋体" w:hAnsi="宋体" w:cs="宋体"/>
                <w:color w:val="000000"/>
                <w:kern w:val="0"/>
                <w:sz w:val="24"/>
                <w:highlight w:val="none"/>
              </w:rPr>
            </w:pPr>
          </w:p>
        </w:tc>
        <w:tc>
          <w:tcPr>
            <w:tcW w:w="709" w:type="dxa"/>
            <w:vMerge w:val="continue"/>
            <w:shd w:val="clear" w:color="auto" w:fill="auto"/>
            <w:vAlign w:val="center"/>
          </w:tcPr>
          <w:p>
            <w:pPr>
              <w:jc w:val="cente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绩效管理系统</w:t>
            </w:r>
          </w:p>
        </w:tc>
        <w:tc>
          <w:tcPr>
            <w:tcW w:w="851" w:type="dxa"/>
            <w:vMerge w:val="continue"/>
            <w:shd w:val="clear" w:color="auto" w:fill="auto"/>
            <w:noWrap/>
            <w:vAlign w:val="center"/>
          </w:tcPr>
          <w:p>
            <w:pPr>
              <w:jc w:val="center"/>
              <w:rPr>
                <w:rFonts w:ascii="宋体" w:hAnsi="宋体" w:cs="宋体"/>
                <w:color w:val="000000"/>
                <w:kern w:val="0"/>
                <w:sz w:val="24"/>
                <w:highlight w:val="none"/>
              </w:rPr>
            </w:pPr>
          </w:p>
        </w:tc>
        <w:tc>
          <w:tcPr>
            <w:tcW w:w="709" w:type="dxa"/>
            <w:vMerge w:val="continue"/>
            <w:shd w:val="clear" w:color="auto" w:fill="auto"/>
            <w:vAlign w:val="center"/>
          </w:tcPr>
          <w:p>
            <w:pPr>
              <w:jc w:val="cente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财务管理软件</w:t>
            </w:r>
          </w:p>
        </w:tc>
        <w:tc>
          <w:tcPr>
            <w:tcW w:w="851" w:type="dxa"/>
            <w:vMerge w:val="continue"/>
            <w:shd w:val="clear" w:color="auto" w:fill="auto"/>
            <w:noWrap/>
            <w:vAlign w:val="center"/>
          </w:tcPr>
          <w:p>
            <w:pPr>
              <w:jc w:val="center"/>
              <w:rPr>
                <w:rFonts w:ascii="宋体" w:hAnsi="宋体" w:cs="宋体"/>
                <w:color w:val="000000"/>
                <w:kern w:val="0"/>
                <w:sz w:val="24"/>
                <w:highlight w:val="none"/>
              </w:rPr>
            </w:pPr>
          </w:p>
        </w:tc>
        <w:tc>
          <w:tcPr>
            <w:tcW w:w="709" w:type="dxa"/>
            <w:vMerge w:val="continue"/>
            <w:shd w:val="clear" w:color="auto" w:fill="auto"/>
            <w:vAlign w:val="center"/>
          </w:tcPr>
          <w:p>
            <w:pPr>
              <w:jc w:val="cente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疾病报卡系统</w:t>
            </w:r>
          </w:p>
        </w:tc>
        <w:tc>
          <w:tcPr>
            <w:tcW w:w="851" w:type="dxa"/>
            <w:vMerge w:val="continue"/>
            <w:shd w:val="clear" w:color="auto" w:fill="auto"/>
            <w:noWrap/>
            <w:vAlign w:val="center"/>
          </w:tcPr>
          <w:p>
            <w:pPr>
              <w:jc w:val="center"/>
              <w:rPr>
                <w:rFonts w:ascii="宋体" w:hAnsi="宋体" w:cs="宋体"/>
                <w:color w:val="000000"/>
                <w:kern w:val="0"/>
                <w:sz w:val="24"/>
                <w:highlight w:val="none"/>
              </w:rPr>
            </w:pPr>
          </w:p>
        </w:tc>
        <w:tc>
          <w:tcPr>
            <w:tcW w:w="709" w:type="dxa"/>
            <w:vMerge w:val="continue"/>
            <w:shd w:val="clear" w:color="auto" w:fill="auto"/>
            <w:vAlign w:val="center"/>
          </w:tcPr>
          <w:p>
            <w:pPr>
              <w:jc w:val="cente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合理用药系统</w:t>
            </w:r>
          </w:p>
        </w:tc>
        <w:tc>
          <w:tcPr>
            <w:tcW w:w="851" w:type="dxa"/>
            <w:vMerge w:val="continue"/>
            <w:shd w:val="clear" w:color="auto" w:fill="auto"/>
            <w:noWrap/>
            <w:vAlign w:val="center"/>
          </w:tcPr>
          <w:p>
            <w:pPr>
              <w:jc w:val="center"/>
              <w:rPr>
                <w:rFonts w:ascii="宋体" w:hAnsi="宋体" w:cs="宋体"/>
                <w:color w:val="000000"/>
                <w:kern w:val="0"/>
                <w:sz w:val="24"/>
                <w:highlight w:val="none"/>
              </w:rPr>
            </w:pPr>
          </w:p>
        </w:tc>
        <w:tc>
          <w:tcPr>
            <w:tcW w:w="709" w:type="dxa"/>
            <w:vMerge w:val="continue"/>
            <w:shd w:val="clear" w:color="auto" w:fill="auto"/>
            <w:vAlign w:val="center"/>
          </w:tcPr>
          <w:p>
            <w:pPr>
              <w:jc w:val="cente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院内感染监测系统</w:t>
            </w:r>
          </w:p>
        </w:tc>
        <w:tc>
          <w:tcPr>
            <w:tcW w:w="851" w:type="dxa"/>
            <w:vMerge w:val="continue"/>
            <w:shd w:val="clear" w:color="auto" w:fill="auto"/>
            <w:noWrap/>
            <w:vAlign w:val="center"/>
          </w:tcPr>
          <w:p>
            <w:pPr>
              <w:jc w:val="center"/>
              <w:rPr>
                <w:rFonts w:ascii="宋体" w:hAnsi="宋体" w:cs="宋体"/>
                <w:color w:val="000000"/>
                <w:kern w:val="0"/>
                <w:sz w:val="24"/>
                <w:highlight w:val="none"/>
              </w:rPr>
            </w:pPr>
          </w:p>
        </w:tc>
        <w:tc>
          <w:tcPr>
            <w:tcW w:w="709" w:type="dxa"/>
            <w:vMerge w:val="continue"/>
            <w:shd w:val="clear" w:color="auto" w:fill="auto"/>
            <w:vAlign w:val="center"/>
          </w:tcPr>
          <w:p>
            <w:pPr>
              <w:jc w:val="cente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门诊抗菌药物管理系统</w:t>
            </w:r>
          </w:p>
        </w:tc>
        <w:tc>
          <w:tcPr>
            <w:tcW w:w="851" w:type="dxa"/>
            <w:vMerge w:val="continue"/>
            <w:shd w:val="clear" w:color="auto" w:fill="auto"/>
            <w:noWrap/>
            <w:vAlign w:val="center"/>
          </w:tcPr>
          <w:p>
            <w:pPr>
              <w:jc w:val="center"/>
              <w:rPr>
                <w:rFonts w:ascii="宋体" w:hAnsi="宋体" w:cs="宋体"/>
                <w:color w:val="000000"/>
                <w:kern w:val="0"/>
                <w:sz w:val="24"/>
                <w:highlight w:val="none"/>
              </w:rPr>
            </w:pPr>
          </w:p>
        </w:tc>
        <w:tc>
          <w:tcPr>
            <w:tcW w:w="709" w:type="dxa"/>
            <w:vMerge w:val="continue"/>
            <w:shd w:val="clear" w:color="auto" w:fill="auto"/>
            <w:vAlign w:val="center"/>
          </w:tcPr>
          <w:p>
            <w:pPr>
              <w:jc w:val="cente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包药机系统</w:t>
            </w:r>
          </w:p>
        </w:tc>
        <w:tc>
          <w:tcPr>
            <w:tcW w:w="851" w:type="dxa"/>
            <w:vMerge w:val="continue"/>
            <w:shd w:val="clear" w:color="auto" w:fill="auto"/>
            <w:noWrap/>
            <w:vAlign w:val="center"/>
          </w:tcPr>
          <w:p>
            <w:pPr>
              <w:jc w:val="center"/>
              <w:rPr>
                <w:rFonts w:ascii="宋体" w:hAnsi="宋体" w:cs="宋体"/>
                <w:color w:val="000000"/>
                <w:kern w:val="0"/>
                <w:sz w:val="24"/>
                <w:highlight w:val="none"/>
              </w:rPr>
            </w:pPr>
          </w:p>
        </w:tc>
        <w:tc>
          <w:tcPr>
            <w:tcW w:w="709" w:type="dxa"/>
            <w:vMerge w:val="continue"/>
            <w:shd w:val="clear" w:color="auto" w:fill="auto"/>
            <w:vAlign w:val="center"/>
          </w:tcPr>
          <w:p>
            <w:pPr>
              <w:jc w:val="cente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发药机系统</w:t>
            </w:r>
          </w:p>
        </w:tc>
        <w:tc>
          <w:tcPr>
            <w:tcW w:w="851" w:type="dxa"/>
            <w:vMerge w:val="continue"/>
            <w:shd w:val="clear" w:color="auto" w:fill="auto"/>
            <w:noWrap/>
            <w:vAlign w:val="center"/>
          </w:tcPr>
          <w:p>
            <w:pPr>
              <w:jc w:val="center"/>
              <w:rPr>
                <w:rFonts w:ascii="宋体" w:hAnsi="宋体" w:cs="宋体"/>
                <w:color w:val="000000"/>
                <w:kern w:val="0"/>
                <w:sz w:val="24"/>
                <w:highlight w:val="none"/>
              </w:rPr>
            </w:pPr>
          </w:p>
        </w:tc>
        <w:tc>
          <w:tcPr>
            <w:tcW w:w="709" w:type="dxa"/>
            <w:vMerge w:val="continue"/>
            <w:shd w:val="clear" w:color="auto" w:fill="auto"/>
            <w:vAlign w:val="center"/>
          </w:tcPr>
          <w:p>
            <w:pPr>
              <w:jc w:val="cente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0" w:type="dxa"/>
            <w:shd w:val="clear" w:color="auto" w:fill="auto"/>
            <w:noWrap/>
            <w:vAlign w:val="center"/>
          </w:tcPr>
          <w:p>
            <w:pPr>
              <w:pStyle w:val="267"/>
              <w:widowControl/>
              <w:numPr>
                <w:ilvl w:val="0"/>
                <w:numId w:val="2"/>
              </w:numPr>
              <w:ind w:firstLineChars="0"/>
              <w:jc w:val="center"/>
              <w:rPr>
                <w:rFonts w:ascii="宋体" w:hAnsi="宋体" w:cs="宋体"/>
                <w:color w:val="000000"/>
                <w:kern w:val="0"/>
                <w:highlight w:val="none"/>
              </w:rPr>
            </w:pPr>
          </w:p>
        </w:tc>
        <w:tc>
          <w:tcPr>
            <w:tcW w:w="2374" w:type="dxa"/>
            <w:vMerge w:val="continue"/>
            <w:vAlign w:val="center"/>
          </w:tcPr>
          <w:p>
            <w:pPr>
              <w:widowControl/>
              <w:jc w:val="left"/>
              <w:rPr>
                <w:rFonts w:ascii="宋体" w:hAnsi="宋体" w:cs="宋体"/>
                <w:color w:val="000000"/>
                <w:kern w:val="0"/>
                <w:sz w:val="24"/>
                <w:highlight w:val="none"/>
              </w:rPr>
            </w:pPr>
          </w:p>
        </w:tc>
        <w:tc>
          <w:tcPr>
            <w:tcW w:w="4252" w:type="dxa"/>
            <w:shd w:val="clear" w:color="000000"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智慧病房系统</w:t>
            </w:r>
          </w:p>
        </w:tc>
        <w:tc>
          <w:tcPr>
            <w:tcW w:w="851" w:type="dxa"/>
            <w:vMerge w:val="continue"/>
            <w:shd w:val="clear" w:color="auto" w:fill="auto"/>
            <w:noWrap/>
            <w:vAlign w:val="center"/>
          </w:tcPr>
          <w:p>
            <w:pPr>
              <w:widowControl/>
              <w:jc w:val="center"/>
              <w:rPr>
                <w:rFonts w:ascii="宋体" w:hAnsi="宋体" w:cs="宋体"/>
                <w:color w:val="000000"/>
                <w:kern w:val="0"/>
                <w:sz w:val="24"/>
                <w:highlight w:val="none"/>
              </w:rPr>
            </w:pPr>
          </w:p>
        </w:tc>
        <w:tc>
          <w:tcPr>
            <w:tcW w:w="709" w:type="dxa"/>
            <w:vMerge w:val="continue"/>
            <w:shd w:val="clear" w:color="auto" w:fill="auto"/>
            <w:vAlign w:val="center"/>
          </w:tcPr>
          <w:p>
            <w:pPr>
              <w:widowControl/>
              <w:jc w:val="center"/>
              <w:rPr>
                <w:rFonts w:ascii="宋体" w:hAnsi="宋体" w:cs="宋体"/>
                <w:color w:val="000000"/>
                <w:kern w:val="0"/>
                <w:sz w:val="24"/>
                <w:highlight w:val="none"/>
              </w:rPr>
            </w:pPr>
          </w:p>
        </w:tc>
      </w:tr>
    </w:tbl>
    <w:p>
      <w:pPr>
        <w:rPr>
          <w:highlight w:val="none"/>
        </w:rPr>
      </w:pPr>
    </w:p>
    <w:p>
      <w:pPr>
        <w:pStyle w:val="4"/>
        <w:rPr>
          <w:highlight w:val="none"/>
        </w:rPr>
      </w:pPr>
      <w:r>
        <w:rPr>
          <w:rFonts w:hint="eastAsia"/>
          <w:highlight w:val="none"/>
        </w:rPr>
        <w:t>详细技术要求</w:t>
      </w:r>
    </w:p>
    <w:p>
      <w:pPr>
        <w:pStyle w:val="5"/>
        <w:ind w:firstLine="161" w:firstLineChars="50"/>
        <w:rPr>
          <w:highlight w:val="none"/>
        </w:rPr>
      </w:pPr>
      <w:r>
        <w:rPr>
          <w:rFonts w:hint="eastAsia"/>
          <w:highlight w:val="none"/>
        </w:rPr>
        <w:t>互联互通评级</w:t>
      </w:r>
    </w:p>
    <w:p>
      <w:pPr>
        <w:pStyle w:val="6"/>
        <w:ind w:firstLine="281"/>
        <w:rPr>
          <w:highlight w:val="none"/>
        </w:rPr>
      </w:pPr>
      <w:r>
        <w:rPr>
          <w:rFonts w:hint="eastAsia"/>
          <w:highlight w:val="none"/>
        </w:rPr>
        <w:t>信息集成平台升级</w:t>
      </w:r>
    </w:p>
    <w:p>
      <w:pPr>
        <w:pStyle w:val="721"/>
        <w:ind w:firstLine="480"/>
        <w:rPr>
          <w:rFonts w:ascii="仿宋" w:hAnsi="仿宋"/>
          <w:b/>
          <w:highlight w:val="none"/>
        </w:rPr>
      </w:pPr>
      <w:r>
        <w:rPr>
          <w:rFonts w:hint="eastAsia" w:ascii="仿宋" w:hAnsi="仿宋"/>
          <w:b/>
          <w:highlight w:val="none"/>
        </w:rPr>
        <w:t>1、数据支撑平台（数据转换与清洗平台）</w:t>
      </w:r>
    </w:p>
    <w:p>
      <w:pPr>
        <w:pStyle w:val="721"/>
        <w:ind w:firstLine="480"/>
        <w:rPr>
          <w:rFonts w:ascii="仿宋" w:hAnsi="仿宋"/>
          <w:highlight w:val="none"/>
        </w:rPr>
      </w:pPr>
      <w:r>
        <w:rPr>
          <w:rFonts w:hint="eastAsia" w:ascii="仿宋" w:hAnsi="仿宋"/>
          <w:highlight w:val="none"/>
        </w:rPr>
        <w:t>辅助大数据应用的源端数据接入、转换、传输及管理平台，支持多平台、异构，集数据质控、差异补偿及自动化预警于一体的稳定可控国产化数据支撑平台。</w:t>
      </w:r>
    </w:p>
    <w:p>
      <w:pPr>
        <w:pStyle w:val="721"/>
        <w:ind w:firstLine="480"/>
        <w:rPr>
          <w:rFonts w:ascii="仿宋" w:hAnsi="仿宋"/>
          <w:b/>
          <w:highlight w:val="none"/>
        </w:rPr>
      </w:pPr>
      <w:r>
        <w:rPr>
          <w:rFonts w:ascii="仿宋" w:hAnsi="仿宋"/>
          <w:b/>
          <w:highlight w:val="none"/>
        </w:rPr>
        <w:t>整体要求</w:t>
      </w:r>
    </w:p>
    <w:p>
      <w:pPr>
        <w:pStyle w:val="721"/>
        <w:ind w:firstLine="480"/>
        <w:rPr>
          <w:rFonts w:ascii="仿宋" w:hAnsi="仿宋"/>
          <w:highlight w:val="none"/>
        </w:rPr>
      </w:pPr>
      <w:r>
        <w:rPr>
          <w:rFonts w:hint="eastAsia" w:ascii="仿宋" w:hAnsi="仿宋"/>
          <w:highlight w:val="none"/>
        </w:rPr>
        <w:t>自主研发软件，</w:t>
      </w:r>
      <w:r>
        <w:rPr>
          <w:rFonts w:ascii="仿宋" w:hAnsi="仿宋"/>
          <w:highlight w:val="none"/>
        </w:rPr>
        <w:t>不采用任何第三方同步软件功能（比如ogg、dsg等），</w:t>
      </w:r>
      <w:r>
        <w:rPr>
          <w:rFonts w:hint="eastAsia" w:ascii="仿宋" w:hAnsi="仿宋"/>
          <w:highlight w:val="none"/>
        </w:rPr>
        <w:t>非OEM产品。</w:t>
      </w:r>
    </w:p>
    <w:p>
      <w:pPr>
        <w:pStyle w:val="721"/>
        <w:ind w:firstLine="480"/>
        <w:rPr>
          <w:rFonts w:ascii="仿宋" w:hAnsi="仿宋"/>
          <w:b/>
          <w:highlight w:val="none"/>
        </w:rPr>
      </w:pPr>
      <w:r>
        <w:rPr>
          <w:rFonts w:ascii="仿宋" w:hAnsi="仿宋"/>
          <w:b/>
          <w:highlight w:val="none"/>
        </w:rPr>
        <w:t>多层级</w:t>
      </w:r>
      <w:r>
        <w:rPr>
          <w:rFonts w:ascii="仿宋" w:hAnsi="仿宋"/>
          <w:b/>
          <w:highlight w:val="none"/>
        </w:rPr>
        <w:tab/>
      </w:r>
    </w:p>
    <w:p>
      <w:pPr>
        <w:pStyle w:val="721"/>
        <w:ind w:firstLine="480"/>
        <w:rPr>
          <w:rFonts w:ascii="仿宋" w:hAnsi="仿宋"/>
          <w:highlight w:val="none"/>
        </w:rPr>
      </w:pPr>
      <w:r>
        <w:rPr>
          <w:rFonts w:hint="eastAsia" w:ascii="仿宋" w:hAnsi="仿宋"/>
          <w:highlight w:val="none"/>
        </w:rPr>
        <w:t>支持多层级配置，可多层级数据上传；下级单位往上传输数据过程，</w:t>
      </w:r>
      <w:r>
        <w:rPr>
          <w:rFonts w:ascii="仿宋" w:hAnsi="仿宋"/>
          <w:highlight w:val="none"/>
        </w:rPr>
        <w:t>无损传输，过程中</w:t>
      </w:r>
      <w:r>
        <w:rPr>
          <w:rFonts w:hint="eastAsia" w:ascii="仿宋" w:hAnsi="仿宋"/>
          <w:highlight w:val="none"/>
        </w:rPr>
        <w:t>可防止数据篡改。</w:t>
      </w:r>
    </w:p>
    <w:p>
      <w:pPr>
        <w:pStyle w:val="721"/>
        <w:ind w:firstLine="480"/>
        <w:rPr>
          <w:rFonts w:ascii="仿宋" w:hAnsi="仿宋"/>
          <w:b/>
          <w:highlight w:val="none"/>
        </w:rPr>
      </w:pPr>
      <w:r>
        <w:rPr>
          <w:rFonts w:ascii="仿宋" w:hAnsi="仿宋"/>
          <w:b/>
          <w:highlight w:val="none"/>
        </w:rPr>
        <w:t>添加时间戳</w:t>
      </w:r>
    </w:p>
    <w:p>
      <w:pPr>
        <w:pStyle w:val="721"/>
        <w:ind w:firstLine="480"/>
        <w:rPr>
          <w:rFonts w:ascii="仿宋" w:hAnsi="仿宋"/>
          <w:highlight w:val="none"/>
        </w:rPr>
      </w:pPr>
      <w:r>
        <w:rPr>
          <w:rFonts w:hint="eastAsia" w:ascii="仿宋" w:hAnsi="仿宋"/>
          <w:highlight w:val="none"/>
        </w:rPr>
        <w:t>要求落地中心数据库的数据必须有落地时间戳</w:t>
      </w:r>
      <w:r>
        <w:rPr>
          <w:rFonts w:ascii="仿宋" w:hAnsi="仿宋"/>
          <w:highlight w:val="none"/>
        </w:rPr>
        <w:t>和操作类型，均需要支持WEB界面管理。</w:t>
      </w:r>
    </w:p>
    <w:p>
      <w:pPr>
        <w:pStyle w:val="721"/>
        <w:ind w:firstLine="480"/>
        <w:rPr>
          <w:rFonts w:ascii="仿宋" w:hAnsi="仿宋"/>
          <w:b/>
          <w:highlight w:val="none"/>
        </w:rPr>
      </w:pPr>
      <w:r>
        <w:rPr>
          <w:rFonts w:ascii="仿宋" w:hAnsi="仿宋"/>
          <w:b/>
          <w:highlight w:val="none"/>
        </w:rPr>
        <w:t>自动检测</w:t>
      </w:r>
    </w:p>
    <w:p>
      <w:pPr>
        <w:pStyle w:val="721"/>
        <w:ind w:firstLine="480"/>
        <w:rPr>
          <w:rFonts w:ascii="仿宋" w:hAnsi="仿宋"/>
          <w:highlight w:val="none"/>
        </w:rPr>
      </w:pPr>
      <w:r>
        <w:rPr>
          <w:rFonts w:hint="eastAsia" w:ascii="仿宋" w:hAnsi="仿宋"/>
          <w:highlight w:val="none"/>
        </w:rPr>
        <w:t>支持对于同步作业的运行环境进行检查，检查项包括：数据源连接、网络延时、源库字符集、数据源抽取权限、日志校验、附加日志校验等，当</w:t>
      </w:r>
      <w:r>
        <w:rPr>
          <w:rFonts w:ascii="仿宋" w:hAnsi="仿宋"/>
          <w:highlight w:val="none"/>
        </w:rPr>
        <w:t>遇到故障</w:t>
      </w:r>
      <w:r>
        <w:rPr>
          <w:rFonts w:hint="eastAsia" w:ascii="仿宋" w:hAnsi="仿宋"/>
          <w:highlight w:val="none"/>
        </w:rPr>
        <w:t>不通过时，</w:t>
      </w:r>
      <w:r>
        <w:rPr>
          <w:rFonts w:ascii="仿宋" w:hAnsi="仿宋"/>
          <w:highlight w:val="none"/>
        </w:rPr>
        <w:t>先按设定的重试次数进行重新同步，若无法同步完成，需将错误暂存日志并继续同步其他批次数据，不影响同步过程，并对异常同步数据触发预警及处理建议，以上内容均需要支持WEB界面管理。</w:t>
      </w:r>
    </w:p>
    <w:p>
      <w:pPr>
        <w:pStyle w:val="721"/>
        <w:ind w:firstLine="480"/>
        <w:rPr>
          <w:rFonts w:ascii="仿宋" w:hAnsi="仿宋"/>
          <w:b/>
          <w:highlight w:val="none"/>
        </w:rPr>
      </w:pPr>
      <w:r>
        <w:rPr>
          <w:rFonts w:ascii="仿宋" w:hAnsi="仿宋"/>
          <w:b/>
          <w:highlight w:val="none"/>
        </w:rPr>
        <w:t>DDL同步支持</w:t>
      </w:r>
    </w:p>
    <w:p>
      <w:pPr>
        <w:pStyle w:val="721"/>
        <w:ind w:firstLine="480"/>
        <w:rPr>
          <w:rFonts w:ascii="仿宋" w:hAnsi="仿宋"/>
          <w:highlight w:val="none"/>
        </w:rPr>
      </w:pPr>
      <w:r>
        <w:rPr>
          <w:rFonts w:hint="eastAsia" w:ascii="仿宋" w:hAnsi="仿宋"/>
          <w:highlight w:val="none"/>
        </w:rPr>
        <w:t>表结构发生变化时</w:t>
      </w:r>
      <w:r>
        <w:rPr>
          <w:rFonts w:ascii="仿宋" w:hAnsi="仿宋"/>
          <w:highlight w:val="none"/>
        </w:rPr>
        <w:t>实时、</w:t>
      </w:r>
      <w:r>
        <w:rPr>
          <w:rFonts w:hint="eastAsia" w:ascii="仿宋" w:hAnsi="仿宋"/>
          <w:highlight w:val="none"/>
        </w:rPr>
        <w:t>自动同步，保证源端与数仓的表结构完全一致。</w:t>
      </w:r>
    </w:p>
    <w:p>
      <w:pPr>
        <w:pStyle w:val="721"/>
        <w:ind w:firstLine="480"/>
        <w:rPr>
          <w:rFonts w:ascii="仿宋" w:hAnsi="仿宋"/>
          <w:b/>
          <w:highlight w:val="none"/>
        </w:rPr>
      </w:pPr>
      <w:r>
        <w:rPr>
          <w:rFonts w:ascii="仿宋" w:hAnsi="仿宋"/>
          <w:b/>
          <w:highlight w:val="none"/>
        </w:rPr>
        <w:t>表格配置</w:t>
      </w:r>
      <w:r>
        <w:rPr>
          <w:rFonts w:ascii="仿宋" w:hAnsi="仿宋"/>
          <w:b/>
          <w:highlight w:val="none"/>
        </w:rPr>
        <w:tab/>
      </w:r>
    </w:p>
    <w:p>
      <w:pPr>
        <w:pStyle w:val="721"/>
        <w:ind w:firstLine="480"/>
        <w:rPr>
          <w:rFonts w:ascii="仿宋" w:hAnsi="仿宋"/>
          <w:highlight w:val="none"/>
        </w:rPr>
      </w:pPr>
      <w:r>
        <w:rPr>
          <w:rFonts w:hint="eastAsia" w:ascii="仿宋" w:hAnsi="仿宋"/>
          <w:highlight w:val="none"/>
        </w:rPr>
        <w:t>支持对于同步的表格进行映射配置，以适配多源集中到单一目标的表格重复问题。</w:t>
      </w:r>
    </w:p>
    <w:p>
      <w:pPr>
        <w:pStyle w:val="721"/>
        <w:ind w:firstLine="480"/>
        <w:rPr>
          <w:rFonts w:ascii="仿宋" w:hAnsi="仿宋"/>
          <w:b/>
          <w:highlight w:val="none"/>
        </w:rPr>
      </w:pPr>
      <w:r>
        <w:rPr>
          <w:rFonts w:ascii="仿宋" w:hAnsi="仿宋"/>
          <w:b/>
          <w:highlight w:val="none"/>
        </w:rPr>
        <w:t>跨用户授权</w:t>
      </w:r>
      <w:r>
        <w:rPr>
          <w:rFonts w:ascii="仿宋" w:hAnsi="仿宋"/>
          <w:b/>
          <w:highlight w:val="none"/>
        </w:rPr>
        <w:tab/>
      </w:r>
    </w:p>
    <w:p>
      <w:pPr>
        <w:pStyle w:val="721"/>
        <w:ind w:firstLine="480"/>
        <w:rPr>
          <w:rFonts w:ascii="仿宋" w:hAnsi="仿宋"/>
          <w:highlight w:val="none"/>
        </w:rPr>
      </w:pPr>
      <w:r>
        <w:rPr>
          <w:rFonts w:hint="eastAsia" w:ascii="仿宋" w:hAnsi="仿宋"/>
          <w:highlight w:val="none"/>
        </w:rPr>
        <w:t>支持对业务的访问权限控制，禁止直接访问业务库，只针对所需要同步表进行查询授权，在保证正常同步的基础上保证数据安全性。</w:t>
      </w:r>
    </w:p>
    <w:p>
      <w:pPr>
        <w:pStyle w:val="721"/>
        <w:ind w:firstLine="480"/>
        <w:rPr>
          <w:rFonts w:ascii="仿宋" w:hAnsi="仿宋"/>
          <w:b/>
          <w:highlight w:val="none"/>
        </w:rPr>
      </w:pPr>
      <w:r>
        <w:rPr>
          <w:rFonts w:ascii="仿宋" w:hAnsi="仿宋"/>
          <w:b/>
          <w:highlight w:val="none"/>
        </w:rPr>
        <w:t>数据脱敏</w:t>
      </w:r>
    </w:p>
    <w:p>
      <w:pPr>
        <w:pStyle w:val="721"/>
        <w:ind w:firstLine="480"/>
        <w:rPr>
          <w:rFonts w:ascii="仿宋" w:hAnsi="仿宋"/>
          <w:highlight w:val="none"/>
        </w:rPr>
      </w:pPr>
      <w:r>
        <w:rPr>
          <w:rFonts w:hint="eastAsia" w:ascii="仿宋" w:hAnsi="仿宋"/>
          <w:highlight w:val="none"/>
        </w:rPr>
        <w:t>针对敏感性的数据在同步期间进行数据脱敏，可针对表和表中字段进行规则配置，</w:t>
      </w:r>
      <w:r>
        <w:rPr>
          <w:rFonts w:ascii="仿宋" w:hAnsi="仿宋"/>
          <w:highlight w:val="none"/>
        </w:rPr>
        <w:t>经过脱敏后落地库上即为脱敏数据，</w:t>
      </w:r>
      <w:r>
        <w:rPr>
          <w:rFonts w:hint="eastAsia" w:ascii="仿宋" w:hAnsi="仿宋"/>
          <w:highlight w:val="none"/>
        </w:rPr>
        <w:t>实现隐私数据的可靠保护。</w:t>
      </w:r>
    </w:p>
    <w:p>
      <w:pPr>
        <w:pStyle w:val="721"/>
        <w:ind w:firstLine="480"/>
        <w:rPr>
          <w:rFonts w:ascii="仿宋" w:hAnsi="仿宋"/>
          <w:b/>
          <w:highlight w:val="none"/>
        </w:rPr>
      </w:pPr>
      <w:r>
        <w:rPr>
          <w:rFonts w:ascii="仿宋" w:hAnsi="仿宋"/>
          <w:b/>
          <w:highlight w:val="none"/>
        </w:rPr>
        <w:t>增量指标</w:t>
      </w:r>
    </w:p>
    <w:p>
      <w:pPr>
        <w:pStyle w:val="721"/>
        <w:ind w:firstLine="480"/>
        <w:rPr>
          <w:rFonts w:ascii="仿宋" w:hAnsi="仿宋"/>
          <w:highlight w:val="none"/>
        </w:rPr>
      </w:pPr>
      <w:r>
        <w:rPr>
          <w:rFonts w:hint="eastAsia" w:ascii="仿宋" w:hAnsi="仿宋"/>
          <w:highlight w:val="none"/>
        </w:rPr>
        <w:t>要求使用数据库自带CDC捕捉机制记录数据的操作类型和先后顺序，根据主键和操作类型进行数据增量同步，在主键发生变动时保证增量数据的一致性。</w:t>
      </w:r>
    </w:p>
    <w:p>
      <w:pPr>
        <w:pStyle w:val="721"/>
        <w:ind w:firstLine="480"/>
        <w:rPr>
          <w:rFonts w:ascii="仿宋" w:hAnsi="仿宋"/>
          <w:b/>
          <w:highlight w:val="none"/>
        </w:rPr>
      </w:pPr>
      <w:r>
        <w:rPr>
          <w:rFonts w:ascii="仿宋" w:hAnsi="仿宋"/>
          <w:b/>
          <w:highlight w:val="none"/>
        </w:rPr>
        <w:t>一致性</w:t>
      </w:r>
      <w:r>
        <w:rPr>
          <w:rFonts w:ascii="仿宋" w:hAnsi="仿宋"/>
          <w:b/>
          <w:highlight w:val="none"/>
        </w:rPr>
        <w:tab/>
      </w:r>
    </w:p>
    <w:p>
      <w:pPr>
        <w:pStyle w:val="721"/>
        <w:ind w:firstLine="480"/>
        <w:rPr>
          <w:rFonts w:ascii="仿宋" w:hAnsi="仿宋"/>
          <w:highlight w:val="none"/>
        </w:rPr>
      </w:pPr>
      <w:r>
        <w:rPr>
          <w:rFonts w:hint="eastAsia" w:ascii="仿宋" w:hAnsi="仿宋"/>
          <w:highlight w:val="none"/>
        </w:rPr>
        <w:t>支持对于源删除数据在目标进行逻辑删除。</w:t>
      </w:r>
    </w:p>
    <w:p>
      <w:pPr>
        <w:pStyle w:val="721"/>
        <w:ind w:firstLine="480"/>
        <w:rPr>
          <w:rFonts w:ascii="仿宋" w:hAnsi="仿宋"/>
          <w:highlight w:val="none"/>
        </w:rPr>
      </w:pPr>
      <w:r>
        <w:rPr>
          <w:rFonts w:hint="eastAsia" w:ascii="仿宋" w:hAnsi="仿宋"/>
          <w:highlight w:val="none"/>
        </w:rPr>
        <w:t>支持源数据主键发生变动时保证增量数据的同步。</w:t>
      </w:r>
    </w:p>
    <w:p>
      <w:pPr>
        <w:pStyle w:val="721"/>
        <w:ind w:firstLine="480"/>
        <w:rPr>
          <w:rFonts w:ascii="仿宋" w:hAnsi="仿宋"/>
          <w:b/>
          <w:highlight w:val="none"/>
        </w:rPr>
      </w:pPr>
      <w:r>
        <w:rPr>
          <w:rFonts w:ascii="仿宋" w:hAnsi="仿宋"/>
          <w:b/>
          <w:highlight w:val="none"/>
        </w:rPr>
        <w:t>实时性</w:t>
      </w:r>
      <w:r>
        <w:rPr>
          <w:rFonts w:ascii="仿宋" w:hAnsi="仿宋"/>
          <w:b/>
          <w:highlight w:val="none"/>
        </w:rPr>
        <w:tab/>
      </w:r>
    </w:p>
    <w:p>
      <w:pPr>
        <w:pStyle w:val="721"/>
        <w:ind w:firstLine="480"/>
        <w:rPr>
          <w:rFonts w:ascii="仿宋" w:hAnsi="仿宋"/>
          <w:highlight w:val="none"/>
        </w:rPr>
      </w:pPr>
      <w:r>
        <w:rPr>
          <w:rFonts w:hint="eastAsia" w:ascii="仿宋" w:hAnsi="仿宋"/>
          <w:highlight w:val="none"/>
        </w:rPr>
        <w:t>实时同步延迟时间不超过15秒。</w:t>
      </w:r>
    </w:p>
    <w:p>
      <w:pPr>
        <w:pStyle w:val="721"/>
        <w:ind w:firstLine="480"/>
        <w:rPr>
          <w:rFonts w:ascii="仿宋" w:hAnsi="仿宋"/>
          <w:b/>
          <w:highlight w:val="none"/>
        </w:rPr>
      </w:pPr>
      <w:r>
        <w:rPr>
          <w:rFonts w:ascii="仿宋" w:hAnsi="仿宋"/>
          <w:b/>
          <w:highlight w:val="none"/>
        </w:rPr>
        <w:t>容错性</w:t>
      </w:r>
      <w:r>
        <w:rPr>
          <w:rFonts w:ascii="仿宋" w:hAnsi="仿宋"/>
          <w:b/>
          <w:highlight w:val="none"/>
        </w:rPr>
        <w:tab/>
      </w:r>
    </w:p>
    <w:p>
      <w:pPr>
        <w:pStyle w:val="721"/>
        <w:ind w:firstLine="480"/>
        <w:rPr>
          <w:rFonts w:ascii="仿宋" w:hAnsi="仿宋"/>
          <w:highlight w:val="none"/>
        </w:rPr>
      </w:pPr>
      <w:r>
        <w:rPr>
          <w:rFonts w:hint="eastAsia" w:ascii="仿宋" w:hAnsi="仿宋"/>
          <w:highlight w:val="none"/>
        </w:rPr>
        <w:t>当下级单位往上层传输数据的过程中，因网络故障中断情况下，恢复后可自动恢复传输，并保证数据一致性。</w:t>
      </w:r>
    </w:p>
    <w:p>
      <w:pPr>
        <w:pStyle w:val="721"/>
        <w:ind w:firstLine="480"/>
        <w:rPr>
          <w:rFonts w:ascii="仿宋" w:hAnsi="仿宋"/>
          <w:b/>
          <w:highlight w:val="none"/>
        </w:rPr>
      </w:pPr>
      <w:r>
        <w:rPr>
          <w:rFonts w:ascii="仿宋" w:hAnsi="仿宋"/>
          <w:b/>
          <w:highlight w:val="none"/>
        </w:rPr>
        <w:t>性能要求</w:t>
      </w:r>
      <w:r>
        <w:rPr>
          <w:rFonts w:ascii="仿宋" w:hAnsi="仿宋"/>
          <w:b/>
          <w:highlight w:val="none"/>
        </w:rPr>
        <w:tab/>
      </w:r>
    </w:p>
    <w:p>
      <w:pPr>
        <w:pStyle w:val="721"/>
        <w:ind w:firstLine="480"/>
        <w:rPr>
          <w:rFonts w:ascii="仿宋" w:hAnsi="仿宋"/>
          <w:highlight w:val="none"/>
        </w:rPr>
      </w:pPr>
      <w:r>
        <w:rPr>
          <w:rFonts w:hint="eastAsia" w:ascii="仿宋" w:hAnsi="仿宋"/>
          <w:highlight w:val="none"/>
        </w:rPr>
        <w:t>对生产业务系统的性能损耗影响平均不得超过生产业务服务器总体的性能的5%。</w:t>
      </w:r>
    </w:p>
    <w:p>
      <w:pPr>
        <w:pStyle w:val="721"/>
        <w:ind w:firstLine="480"/>
        <w:rPr>
          <w:rFonts w:ascii="仿宋" w:hAnsi="仿宋"/>
          <w:b/>
          <w:highlight w:val="none"/>
        </w:rPr>
      </w:pPr>
      <w:r>
        <w:rPr>
          <w:rFonts w:ascii="仿宋" w:hAnsi="仿宋"/>
          <w:b/>
          <w:highlight w:val="none"/>
        </w:rPr>
        <w:t>质控</w:t>
      </w:r>
    </w:p>
    <w:p>
      <w:pPr>
        <w:pStyle w:val="721"/>
        <w:ind w:firstLine="480"/>
        <w:rPr>
          <w:rFonts w:ascii="仿宋" w:hAnsi="仿宋"/>
          <w:highlight w:val="none"/>
        </w:rPr>
      </w:pPr>
      <w:r>
        <w:rPr>
          <w:rFonts w:hint="eastAsia" w:ascii="仿宋" w:hAnsi="仿宋"/>
          <w:highlight w:val="none"/>
        </w:rPr>
        <w:t>要求可以设置质控的时间范围，需质控的字段，质控方式等质控策略，并根据所设置的质控策略，对所同步的数据和源数据进行HASH比对，并对质控结果进行钉钉提醒。</w:t>
      </w:r>
    </w:p>
    <w:p>
      <w:pPr>
        <w:pStyle w:val="721"/>
        <w:ind w:firstLine="480"/>
        <w:rPr>
          <w:rFonts w:ascii="仿宋" w:hAnsi="仿宋"/>
          <w:highlight w:val="none"/>
        </w:rPr>
      </w:pPr>
      <w:r>
        <w:rPr>
          <w:rFonts w:hint="eastAsia" w:ascii="仿宋" w:hAnsi="仿宋"/>
          <w:highlight w:val="none"/>
        </w:rPr>
        <w:t>要求有页面可以手动进行质控并可以查看质控结果。</w:t>
      </w:r>
    </w:p>
    <w:p>
      <w:pPr>
        <w:pStyle w:val="721"/>
        <w:ind w:firstLine="480"/>
        <w:rPr>
          <w:rFonts w:ascii="仿宋" w:hAnsi="仿宋"/>
          <w:highlight w:val="none"/>
        </w:rPr>
      </w:pPr>
      <w:r>
        <w:rPr>
          <w:rFonts w:hint="eastAsia" w:ascii="仿宋" w:hAnsi="仿宋"/>
          <w:highlight w:val="none"/>
        </w:rPr>
        <w:t>要求支持定时自动执行数据质控。</w:t>
      </w:r>
    </w:p>
    <w:p>
      <w:pPr>
        <w:pStyle w:val="721"/>
        <w:ind w:firstLine="480"/>
        <w:rPr>
          <w:rFonts w:ascii="仿宋" w:hAnsi="仿宋"/>
          <w:b/>
          <w:highlight w:val="none"/>
        </w:rPr>
      </w:pPr>
      <w:r>
        <w:rPr>
          <w:rFonts w:ascii="仿宋" w:hAnsi="仿宋"/>
          <w:b/>
          <w:highlight w:val="none"/>
        </w:rPr>
        <w:t>补偿机制</w:t>
      </w:r>
    </w:p>
    <w:p>
      <w:pPr>
        <w:pStyle w:val="721"/>
        <w:ind w:firstLine="480"/>
        <w:rPr>
          <w:rFonts w:ascii="仿宋" w:hAnsi="仿宋"/>
          <w:highlight w:val="none"/>
        </w:rPr>
      </w:pPr>
      <w:r>
        <w:rPr>
          <w:rFonts w:hint="eastAsia" w:ascii="仿宋" w:hAnsi="仿宋"/>
          <w:highlight w:val="none"/>
        </w:rPr>
        <w:t>要求对质控结果数据不完全匹配的，可以在</w:t>
      </w:r>
      <w:r>
        <w:rPr>
          <w:rFonts w:ascii="仿宋" w:hAnsi="仿宋"/>
          <w:highlight w:val="none"/>
        </w:rPr>
        <w:t>WEB</w:t>
      </w:r>
      <w:r>
        <w:rPr>
          <w:rFonts w:hint="eastAsia" w:ascii="仿宋" w:hAnsi="仿宋"/>
          <w:highlight w:val="none"/>
        </w:rPr>
        <w:t>页面上进行补偿。</w:t>
      </w:r>
    </w:p>
    <w:p>
      <w:pPr>
        <w:pStyle w:val="721"/>
        <w:ind w:firstLine="480"/>
        <w:rPr>
          <w:rFonts w:ascii="仿宋" w:hAnsi="仿宋"/>
          <w:highlight w:val="none"/>
        </w:rPr>
      </w:pPr>
      <w:r>
        <w:rPr>
          <w:rFonts w:hint="eastAsia" w:ascii="仿宋" w:hAnsi="仿宋"/>
          <w:highlight w:val="none"/>
        </w:rPr>
        <w:t>补偿只针对于不匹配的数据</w:t>
      </w:r>
      <w:r>
        <w:rPr>
          <w:rFonts w:ascii="仿宋" w:hAnsi="仿宋"/>
          <w:highlight w:val="none"/>
        </w:rPr>
        <w:t>,而非每次全量同步</w:t>
      </w:r>
      <w:r>
        <w:rPr>
          <w:rFonts w:hint="eastAsia" w:ascii="仿宋" w:hAnsi="仿宋"/>
          <w:highlight w:val="none"/>
        </w:rPr>
        <w:t>。</w:t>
      </w:r>
    </w:p>
    <w:p>
      <w:pPr>
        <w:pStyle w:val="721"/>
        <w:ind w:firstLine="480"/>
        <w:rPr>
          <w:rFonts w:ascii="仿宋" w:hAnsi="仿宋"/>
          <w:b/>
          <w:highlight w:val="none"/>
        </w:rPr>
      </w:pPr>
      <w:r>
        <w:rPr>
          <w:rFonts w:ascii="仿宋" w:hAnsi="仿宋"/>
          <w:b/>
          <w:highlight w:val="none"/>
        </w:rPr>
        <w:t>预警</w:t>
      </w:r>
      <w:r>
        <w:rPr>
          <w:rFonts w:ascii="仿宋" w:hAnsi="仿宋"/>
          <w:b/>
          <w:highlight w:val="none"/>
        </w:rPr>
        <w:tab/>
      </w:r>
    </w:p>
    <w:p>
      <w:pPr>
        <w:pStyle w:val="721"/>
        <w:ind w:firstLine="480"/>
        <w:rPr>
          <w:rFonts w:ascii="仿宋" w:hAnsi="仿宋"/>
          <w:highlight w:val="none"/>
        </w:rPr>
      </w:pPr>
      <w:r>
        <w:rPr>
          <w:rFonts w:hint="eastAsia" w:ascii="仿宋" w:hAnsi="仿宋"/>
          <w:highlight w:val="none"/>
        </w:rPr>
        <w:t>要求提供增量同步异常，表结构变化，质控结果，软件运行状况等预警提醒，提醒方式采用钉钉，支持多层级预警。</w:t>
      </w:r>
    </w:p>
    <w:p>
      <w:pPr>
        <w:pStyle w:val="721"/>
        <w:ind w:firstLine="480"/>
        <w:rPr>
          <w:rFonts w:ascii="仿宋" w:hAnsi="仿宋"/>
          <w:b/>
          <w:highlight w:val="none"/>
        </w:rPr>
      </w:pPr>
      <w:r>
        <w:rPr>
          <w:rFonts w:ascii="仿宋" w:hAnsi="仿宋"/>
          <w:b/>
          <w:highlight w:val="none"/>
        </w:rPr>
        <w:t>监控</w:t>
      </w:r>
      <w:r>
        <w:rPr>
          <w:rFonts w:ascii="仿宋" w:hAnsi="仿宋"/>
          <w:b/>
          <w:highlight w:val="none"/>
        </w:rPr>
        <w:tab/>
      </w:r>
    </w:p>
    <w:p>
      <w:pPr>
        <w:pStyle w:val="721"/>
        <w:ind w:firstLine="480"/>
        <w:rPr>
          <w:rFonts w:ascii="仿宋" w:hAnsi="仿宋"/>
          <w:highlight w:val="none"/>
        </w:rPr>
      </w:pPr>
      <w:r>
        <w:rPr>
          <w:rFonts w:hint="eastAsia" w:ascii="仿宋" w:hAnsi="仿宋"/>
          <w:highlight w:val="none"/>
        </w:rPr>
        <w:t>时间监控数据同步系统的运行情况，系统出现异常在一分钟内进行钉钉提醒。</w:t>
      </w:r>
    </w:p>
    <w:p>
      <w:pPr>
        <w:pStyle w:val="721"/>
        <w:ind w:firstLine="480"/>
        <w:rPr>
          <w:rFonts w:ascii="仿宋" w:hAnsi="仿宋"/>
          <w:b/>
          <w:highlight w:val="none"/>
        </w:rPr>
      </w:pPr>
      <w:r>
        <w:rPr>
          <w:rFonts w:ascii="仿宋" w:hAnsi="仿宋"/>
          <w:b/>
          <w:highlight w:val="none"/>
        </w:rPr>
        <w:t>同步日志</w:t>
      </w:r>
    </w:p>
    <w:p>
      <w:pPr>
        <w:pStyle w:val="721"/>
        <w:ind w:firstLine="480"/>
        <w:rPr>
          <w:rFonts w:ascii="仿宋" w:hAnsi="仿宋"/>
          <w:highlight w:val="none"/>
        </w:rPr>
      </w:pPr>
      <w:r>
        <w:rPr>
          <w:rFonts w:hint="eastAsia" w:ascii="仿宋" w:hAnsi="仿宋"/>
          <w:highlight w:val="none"/>
        </w:rPr>
        <w:t>要求记录每张表每次同步的时间，同步耗时，同步数量，同步是否成功等信息。</w:t>
      </w:r>
    </w:p>
    <w:p>
      <w:pPr>
        <w:pStyle w:val="721"/>
        <w:ind w:firstLine="480"/>
        <w:rPr>
          <w:rFonts w:ascii="仿宋" w:hAnsi="仿宋"/>
          <w:highlight w:val="none"/>
        </w:rPr>
      </w:pPr>
      <w:r>
        <w:rPr>
          <w:rFonts w:hint="eastAsia" w:ascii="仿宋" w:hAnsi="仿宋"/>
          <w:highlight w:val="none"/>
        </w:rPr>
        <w:t>支持记录同步过程中插入目标失败的错误记录，并在页面中进行展现，包括失败记录相应的DML语句。</w:t>
      </w:r>
    </w:p>
    <w:p>
      <w:pPr>
        <w:pStyle w:val="721"/>
        <w:ind w:firstLine="480"/>
        <w:rPr>
          <w:rFonts w:ascii="仿宋" w:hAnsi="仿宋"/>
          <w:highlight w:val="none"/>
        </w:rPr>
      </w:pPr>
      <w:r>
        <w:rPr>
          <w:rFonts w:hint="eastAsia" w:ascii="仿宋" w:hAnsi="仿宋"/>
          <w:highlight w:val="none"/>
        </w:rPr>
        <w:t>要求支持页面查看。</w:t>
      </w:r>
    </w:p>
    <w:p>
      <w:pPr>
        <w:pStyle w:val="721"/>
        <w:ind w:firstLine="480"/>
        <w:rPr>
          <w:rFonts w:ascii="仿宋" w:hAnsi="仿宋"/>
          <w:b/>
          <w:highlight w:val="none"/>
        </w:rPr>
      </w:pPr>
      <w:r>
        <w:rPr>
          <w:rFonts w:ascii="仿宋" w:hAnsi="仿宋"/>
          <w:b/>
          <w:highlight w:val="none"/>
        </w:rPr>
        <w:t>作业调度</w:t>
      </w:r>
      <w:r>
        <w:rPr>
          <w:rFonts w:ascii="仿宋" w:hAnsi="仿宋"/>
          <w:b/>
          <w:highlight w:val="none"/>
        </w:rPr>
        <w:tab/>
      </w:r>
    </w:p>
    <w:p>
      <w:pPr>
        <w:pStyle w:val="721"/>
        <w:ind w:firstLine="480"/>
        <w:rPr>
          <w:rFonts w:ascii="仿宋" w:hAnsi="仿宋"/>
          <w:highlight w:val="none"/>
        </w:rPr>
      </w:pPr>
      <w:r>
        <w:rPr>
          <w:rFonts w:hint="eastAsia" w:ascii="仿宋" w:hAnsi="仿宋"/>
          <w:highlight w:val="none"/>
        </w:rPr>
        <w:t>支持用户根据实际使用情况对于增量同步作业进行自定义调度，支持调度粒度包括月、周、天、时、分、秒。</w:t>
      </w:r>
    </w:p>
    <w:p>
      <w:pPr>
        <w:pStyle w:val="721"/>
        <w:ind w:firstLine="480"/>
        <w:rPr>
          <w:rFonts w:ascii="仿宋" w:hAnsi="仿宋"/>
          <w:b/>
          <w:highlight w:val="none"/>
        </w:rPr>
      </w:pPr>
      <w:r>
        <w:rPr>
          <w:rFonts w:ascii="仿宋" w:hAnsi="仿宋"/>
          <w:b/>
          <w:highlight w:val="none"/>
        </w:rPr>
        <w:t>数据库支持</w:t>
      </w:r>
      <w:r>
        <w:rPr>
          <w:rFonts w:ascii="仿宋" w:hAnsi="仿宋"/>
          <w:b/>
          <w:highlight w:val="none"/>
        </w:rPr>
        <w:tab/>
      </w:r>
    </w:p>
    <w:p>
      <w:pPr>
        <w:pStyle w:val="721"/>
        <w:ind w:firstLine="480"/>
        <w:rPr>
          <w:rFonts w:ascii="仿宋" w:hAnsi="仿宋"/>
          <w:highlight w:val="none"/>
        </w:rPr>
      </w:pPr>
      <w:r>
        <w:rPr>
          <w:rFonts w:hint="eastAsia" w:ascii="仿宋" w:hAnsi="仿宋"/>
          <w:highlight w:val="none"/>
        </w:rPr>
        <w:t>支持对Oracle、SQLServer、MySQL、Postgresql、Greenplum等数据库,支持异构数据源之间的数据同步，并自动进行数据类型的转化，且允许用户</w:t>
      </w:r>
      <w:r>
        <w:rPr>
          <w:rFonts w:ascii="仿宋" w:hAnsi="仿宋"/>
          <w:highlight w:val="none"/>
        </w:rPr>
        <w:t>通过在WEB页面上操作调整</w:t>
      </w:r>
      <w:r>
        <w:rPr>
          <w:rFonts w:hint="eastAsia" w:ascii="仿宋" w:hAnsi="仿宋"/>
          <w:highlight w:val="none"/>
        </w:rPr>
        <w:t>。</w:t>
      </w:r>
    </w:p>
    <w:p>
      <w:pPr>
        <w:pStyle w:val="721"/>
        <w:ind w:firstLine="480"/>
        <w:rPr>
          <w:rFonts w:ascii="仿宋" w:hAnsi="仿宋"/>
          <w:b/>
          <w:highlight w:val="none"/>
        </w:rPr>
      </w:pPr>
      <w:r>
        <w:rPr>
          <w:rFonts w:ascii="仿宋" w:hAnsi="仿宋"/>
          <w:b/>
          <w:highlight w:val="none"/>
        </w:rPr>
        <w:t>部署要求</w:t>
      </w:r>
      <w:r>
        <w:rPr>
          <w:rFonts w:ascii="仿宋" w:hAnsi="仿宋"/>
          <w:b/>
          <w:highlight w:val="none"/>
        </w:rPr>
        <w:tab/>
      </w:r>
    </w:p>
    <w:p>
      <w:pPr>
        <w:pStyle w:val="721"/>
        <w:ind w:firstLine="480"/>
        <w:rPr>
          <w:rFonts w:ascii="仿宋" w:hAnsi="仿宋"/>
          <w:highlight w:val="none"/>
        </w:rPr>
      </w:pPr>
      <w:r>
        <w:rPr>
          <w:rFonts w:hint="eastAsia" w:ascii="仿宋" w:hAnsi="仿宋"/>
          <w:highlight w:val="none"/>
        </w:rPr>
        <w:t>要求软件安装过程中，无需改造生产主机上的文件系统，无需更改系统卷配置。</w:t>
      </w:r>
    </w:p>
    <w:p>
      <w:pPr>
        <w:pStyle w:val="721"/>
        <w:ind w:firstLine="480"/>
        <w:rPr>
          <w:rFonts w:ascii="仿宋" w:hAnsi="仿宋"/>
          <w:highlight w:val="none"/>
        </w:rPr>
      </w:pPr>
      <w:r>
        <w:rPr>
          <w:rFonts w:hint="eastAsia" w:ascii="仿宋" w:hAnsi="仿宋"/>
          <w:highlight w:val="none"/>
        </w:rPr>
        <w:t>支持针对部署在小型机，X86物理服务器，虚拟及和云主机上。</w:t>
      </w:r>
    </w:p>
    <w:p>
      <w:pPr>
        <w:pStyle w:val="721"/>
        <w:ind w:firstLine="480"/>
        <w:rPr>
          <w:rFonts w:ascii="仿宋" w:hAnsi="仿宋"/>
          <w:highlight w:val="none"/>
        </w:rPr>
      </w:pPr>
      <w:r>
        <w:rPr>
          <w:rFonts w:hint="eastAsia" w:ascii="仿宋" w:hAnsi="仿宋"/>
          <w:highlight w:val="none"/>
        </w:rPr>
        <w:t>支持部署在Windows和Linux等操作系统下</w:t>
      </w:r>
      <w:r>
        <w:rPr>
          <w:rFonts w:ascii="仿宋" w:hAnsi="仿宋"/>
          <w:highlight w:val="none"/>
        </w:rPr>
        <w:t>。</w:t>
      </w:r>
    </w:p>
    <w:p>
      <w:pPr>
        <w:pStyle w:val="721"/>
        <w:ind w:firstLine="480"/>
        <w:rPr>
          <w:rFonts w:ascii="仿宋" w:hAnsi="仿宋"/>
          <w:highlight w:val="none"/>
        </w:rPr>
      </w:pPr>
      <w:r>
        <w:rPr>
          <w:rFonts w:hint="eastAsia" w:ascii="仿宋" w:hAnsi="仿宋"/>
          <w:highlight w:val="none"/>
        </w:rPr>
        <w:t>支持docker部署</w:t>
      </w:r>
      <w:r>
        <w:rPr>
          <w:rFonts w:ascii="仿宋" w:hAnsi="仿宋"/>
          <w:highlight w:val="none"/>
        </w:rPr>
        <w:t>及k8s管理。</w:t>
      </w:r>
    </w:p>
    <w:p>
      <w:pPr>
        <w:pStyle w:val="721"/>
        <w:ind w:firstLine="480"/>
        <w:rPr>
          <w:rFonts w:ascii="仿宋" w:hAnsi="仿宋"/>
          <w:highlight w:val="none"/>
        </w:rPr>
      </w:pPr>
      <w:r>
        <w:rPr>
          <w:rFonts w:hint="eastAsia" w:ascii="仿宋" w:hAnsi="仿宋"/>
          <w:highlight w:val="none"/>
        </w:rPr>
        <w:t>软件部署完后，无需重启或中断业务即可生效。</w:t>
      </w:r>
    </w:p>
    <w:p>
      <w:pPr>
        <w:pStyle w:val="721"/>
        <w:ind w:firstLine="480"/>
        <w:rPr>
          <w:rFonts w:ascii="仿宋" w:hAnsi="仿宋"/>
          <w:b/>
          <w:highlight w:val="none"/>
        </w:rPr>
      </w:pPr>
      <w:r>
        <w:rPr>
          <w:rFonts w:hint="eastAsia" w:ascii="仿宋" w:hAnsi="仿宋"/>
          <w:b/>
          <w:highlight w:val="none"/>
        </w:rPr>
        <w:t>2、元数据管理平台</w:t>
      </w:r>
    </w:p>
    <w:p>
      <w:pPr>
        <w:pStyle w:val="721"/>
        <w:ind w:firstLine="480"/>
        <w:rPr>
          <w:rFonts w:ascii="仿宋" w:hAnsi="仿宋"/>
          <w:highlight w:val="none"/>
        </w:rPr>
      </w:pPr>
      <w:r>
        <w:rPr>
          <w:rFonts w:hint="eastAsia" w:ascii="仿宋" w:hAnsi="仿宋"/>
          <w:highlight w:val="none"/>
        </w:rPr>
        <w:t>通过对业务指标、业务术语、业务规则、业务含义等业务信息进行描述、定位、检索、评估、分析，协助技术或者业务人员了解业务含义、业务指标取数据口径和影响范围等，形成一套规范元数据模型</w:t>
      </w:r>
      <w:r>
        <w:rPr>
          <w:rFonts w:ascii="仿宋" w:hAnsi="仿宋"/>
          <w:highlight w:val="none"/>
        </w:rPr>
        <w:t>,统一的数据标准。</w:t>
      </w:r>
    </w:p>
    <w:p>
      <w:pPr>
        <w:pStyle w:val="721"/>
        <w:ind w:firstLine="480"/>
        <w:rPr>
          <w:rFonts w:ascii="仿宋" w:hAnsi="仿宋"/>
          <w:b/>
          <w:highlight w:val="none"/>
        </w:rPr>
      </w:pPr>
      <w:r>
        <w:rPr>
          <w:rFonts w:ascii="仿宋" w:hAnsi="仿宋"/>
          <w:b/>
          <w:highlight w:val="none"/>
        </w:rPr>
        <w:t>数据源</w:t>
      </w:r>
      <w:r>
        <w:rPr>
          <w:rFonts w:ascii="仿宋" w:hAnsi="仿宋"/>
          <w:b/>
          <w:highlight w:val="none"/>
        </w:rPr>
        <w:tab/>
      </w:r>
    </w:p>
    <w:p>
      <w:pPr>
        <w:pStyle w:val="721"/>
        <w:ind w:firstLine="480"/>
        <w:rPr>
          <w:rFonts w:ascii="仿宋" w:hAnsi="仿宋"/>
          <w:highlight w:val="none"/>
        </w:rPr>
      </w:pPr>
      <w:r>
        <w:rPr>
          <w:rFonts w:hint="eastAsia" w:ascii="仿宋" w:hAnsi="仿宋"/>
          <w:highlight w:val="none"/>
        </w:rPr>
        <w:t>支持</w:t>
      </w:r>
      <w:r>
        <w:rPr>
          <w:rFonts w:ascii="仿宋" w:hAnsi="仿宋"/>
          <w:highlight w:val="none"/>
        </w:rPr>
        <w:t>Oracle、SQL Server、DB2、MySQL等多种数据源配置</w:t>
      </w:r>
      <w:r>
        <w:rPr>
          <w:rFonts w:hint="eastAsia" w:ascii="仿宋" w:hAnsi="仿宋"/>
          <w:highlight w:val="none"/>
        </w:rPr>
        <w:t>。</w:t>
      </w:r>
    </w:p>
    <w:p>
      <w:pPr>
        <w:pStyle w:val="721"/>
        <w:ind w:firstLine="480"/>
        <w:rPr>
          <w:rFonts w:ascii="仿宋" w:hAnsi="仿宋"/>
          <w:b/>
          <w:highlight w:val="none"/>
        </w:rPr>
      </w:pPr>
      <w:r>
        <w:rPr>
          <w:rFonts w:ascii="仿宋" w:hAnsi="仿宋"/>
          <w:b/>
          <w:highlight w:val="none"/>
        </w:rPr>
        <w:t>指标沉淀</w:t>
      </w:r>
    </w:p>
    <w:p>
      <w:pPr>
        <w:pStyle w:val="721"/>
        <w:ind w:firstLine="480"/>
        <w:rPr>
          <w:rFonts w:ascii="仿宋" w:hAnsi="仿宋"/>
          <w:highlight w:val="none"/>
        </w:rPr>
      </w:pPr>
      <w:r>
        <w:rPr>
          <w:rFonts w:ascii="仿宋" w:hAnsi="仿宋"/>
          <w:highlight w:val="none"/>
        </w:rPr>
        <w:t>指标需涵盖医疗、公卫、基层以及任意第三方自定义指标。</w:t>
      </w:r>
    </w:p>
    <w:p>
      <w:pPr>
        <w:pStyle w:val="721"/>
        <w:ind w:firstLine="480"/>
        <w:rPr>
          <w:rFonts w:ascii="仿宋" w:hAnsi="仿宋"/>
          <w:highlight w:val="none"/>
        </w:rPr>
      </w:pPr>
      <w:r>
        <w:rPr>
          <w:rFonts w:hint="eastAsia" w:ascii="仿宋" w:hAnsi="仿宋"/>
          <w:highlight w:val="none"/>
        </w:rPr>
        <w:t>支持每个指标多种政策文件维护。</w:t>
      </w:r>
    </w:p>
    <w:p>
      <w:pPr>
        <w:pStyle w:val="721"/>
        <w:ind w:firstLine="480"/>
        <w:rPr>
          <w:rFonts w:ascii="仿宋" w:hAnsi="仿宋"/>
          <w:highlight w:val="none"/>
        </w:rPr>
      </w:pPr>
      <w:r>
        <w:rPr>
          <w:rFonts w:hint="eastAsia" w:ascii="仿宋" w:hAnsi="仿宋"/>
          <w:highlight w:val="none"/>
        </w:rPr>
        <w:t>要求自带</w:t>
      </w:r>
      <w:r>
        <w:rPr>
          <w:rFonts w:ascii="仿宋" w:hAnsi="仿宋"/>
          <w:highlight w:val="none"/>
        </w:rPr>
        <w:t>指标，包含国家</w:t>
      </w:r>
      <w:r>
        <w:rPr>
          <w:rFonts w:hint="eastAsia" w:ascii="仿宋" w:hAnsi="仿宋"/>
          <w:highlight w:val="none"/>
        </w:rPr>
        <w:t>和</w:t>
      </w:r>
      <w:r>
        <w:rPr>
          <w:rFonts w:ascii="仿宋" w:hAnsi="仿宋"/>
          <w:highlight w:val="none"/>
        </w:rPr>
        <w:t>省级文件指标，如三级综合医院医疗质量管理与控制、三级公立（中医）医院绩效考核指标、浙江省绩效考核等</w:t>
      </w:r>
      <w:r>
        <w:rPr>
          <w:rFonts w:hint="eastAsia" w:ascii="仿宋" w:hAnsi="仿宋"/>
          <w:highlight w:val="none"/>
        </w:rPr>
        <w:t>。</w:t>
      </w:r>
    </w:p>
    <w:p>
      <w:pPr>
        <w:pStyle w:val="721"/>
        <w:ind w:firstLine="480"/>
        <w:rPr>
          <w:rFonts w:ascii="仿宋" w:hAnsi="仿宋"/>
          <w:b/>
          <w:highlight w:val="none"/>
        </w:rPr>
      </w:pPr>
      <w:r>
        <w:rPr>
          <w:rFonts w:hint="eastAsia" w:ascii="仿宋" w:hAnsi="仿宋"/>
          <w:b/>
          <w:highlight w:val="none"/>
        </w:rPr>
        <w:t>指标配置</w:t>
      </w:r>
    </w:p>
    <w:p>
      <w:pPr>
        <w:pStyle w:val="721"/>
        <w:ind w:firstLine="480"/>
        <w:rPr>
          <w:rFonts w:ascii="仿宋" w:hAnsi="仿宋"/>
          <w:highlight w:val="none"/>
        </w:rPr>
      </w:pPr>
      <w:r>
        <w:rPr>
          <w:rFonts w:hint="eastAsia" w:ascii="仿宋" w:hAnsi="仿宋"/>
          <w:highlight w:val="none"/>
        </w:rPr>
        <w:t>支持指标分类的多层级配置，并可以增、删、改、查。</w:t>
      </w:r>
    </w:p>
    <w:p>
      <w:pPr>
        <w:pStyle w:val="721"/>
        <w:ind w:firstLine="480"/>
        <w:rPr>
          <w:rFonts w:ascii="仿宋" w:hAnsi="仿宋"/>
          <w:highlight w:val="none"/>
        </w:rPr>
      </w:pPr>
      <w:r>
        <w:rPr>
          <w:rFonts w:hint="eastAsia" w:ascii="仿宋" w:hAnsi="仿宋"/>
          <w:highlight w:val="none"/>
        </w:rPr>
        <w:t>支持指标的基础属性维护（如计算规则、指标说明等）。</w:t>
      </w:r>
    </w:p>
    <w:p>
      <w:pPr>
        <w:pStyle w:val="721"/>
        <w:ind w:firstLine="480"/>
        <w:rPr>
          <w:rFonts w:ascii="仿宋" w:hAnsi="仿宋"/>
          <w:highlight w:val="none"/>
        </w:rPr>
      </w:pPr>
      <w:r>
        <w:rPr>
          <w:rFonts w:hint="eastAsia" w:ascii="仿宋" w:hAnsi="仿宋"/>
          <w:highlight w:val="none"/>
        </w:rPr>
        <w:t>支持指标按照来源、是否预警、是否作废等进行查询。</w:t>
      </w:r>
    </w:p>
    <w:p>
      <w:pPr>
        <w:pStyle w:val="721"/>
        <w:ind w:firstLine="480"/>
        <w:rPr>
          <w:rFonts w:ascii="仿宋" w:hAnsi="仿宋"/>
          <w:b/>
          <w:highlight w:val="none"/>
        </w:rPr>
      </w:pPr>
      <w:r>
        <w:rPr>
          <w:rFonts w:hint="eastAsia" w:ascii="仿宋" w:hAnsi="仿宋"/>
          <w:b/>
          <w:highlight w:val="none"/>
        </w:rPr>
        <w:t>指标计算</w:t>
      </w:r>
    </w:p>
    <w:p>
      <w:pPr>
        <w:pStyle w:val="721"/>
        <w:ind w:firstLine="480"/>
        <w:rPr>
          <w:rFonts w:ascii="仿宋" w:hAnsi="仿宋"/>
          <w:highlight w:val="none"/>
        </w:rPr>
      </w:pPr>
      <w:r>
        <w:rPr>
          <w:rFonts w:hint="eastAsia" w:ascii="仿宋" w:hAnsi="仿宋"/>
          <w:highlight w:val="none"/>
        </w:rPr>
        <w:t>支持综合指标的公式维护，自动形成应用中计算公式。</w:t>
      </w:r>
    </w:p>
    <w:p>
      <w:pPr>
        <w:pStyle w:val="721"/>
        <w:ind w:firstLine="480"/>
        <w:rPr>
          <w:rFonts w:ascii="仿宋" w:hAnsi="仿宋"/>
          <w:b/>
          <w:highlight w:val="none"/>
        </w:rPr>
      </w:pPr>
      <w:r>
        <w:rPr>
          <w:rFonts w:hint="eastAsia" w:ascii="仿宋" w:hAnsi="仿宋"/>
          <w:b/>
          <w:highlight w:val="none"/>
        </w:rPr>
        <w:t>支持多口径配置</w:t>
      </w:r>
    </w:p>
    <w:p>
      <w:pPr>
        <w:pStyle w:val="721"/>
        <w:ind w:firstLine="480"/>
        <w:rPr>
          <w:rFonts w:ascii="仿宋" w:hAnsi="仿宋"/>
          <w:highlight w:val="none"/>
        </w:rPr>
      </w:pPr>
      <w:r>
        <w:rPr>
          <w:rFonts w:hint="eastAsia" w:ascii="仿宋" w:hAnsi="仿宋"/>
          <w:highlight w:val="none"/>
        </w:rPr>
        <w:t>支持指标多种采集口径的配置，如应用中采用该口径，在</w:t>
      </w:r>
      <w:r>
        <w:rPr>
          <w:rFonts w:ascii="仿宋" w:hAnsi="仿宋"/>
          <w:highlight w:val="none"/>
        </w:rPr>
        <w:t>tab中进行标识</w:t>
      </w:r>
      <w:r>
        <w:rPr>
          <w:rFonts w:hint="eastAsia" w:ascii="仿宋" w:hAnsi="仿宋"/>
          <w:highlight w:val="none"/>
        </w:rPr>
        <w:t>。</w:t>
      </w:r>
    </w:p>
    <w:p>
      <w:pPr>
        <w:pStyle w:val="721"/>
        <w:ind w:firstLine="480"/>
        <w:rPr>
          <w:rFonts w:ascii="仿宋" w:hAnsi="仿宋"/>
          <w:b/>
          <w:highlight w:val="none"/>
        </w:rPr>
      </w:pPr>
      <w:r>
        <w:rPr>
          <w:rFonts w:hint="eastAsia" w:ascii="仿宋" w:hAnsi="仿宋"/>
          <w:b/>
          <w:highlight w:val="none"/>
        </w:rPr>
        <w:t>采集规则配置</w:t>
      </w:r>
    </w:p>
    <w:p>
      <w:pPr>
        <w:pStyle w:val="721"/>
        <w:ind w:firstLine="480"/>
        <w:rPr>
          <w:rFonts w:ascii="仿宋" w:hAnsi="仿宋"/>
          <w:highlight w:val="none"/>
        </w:rPr>
      </w:pPr>
      <w:r>
        <w:rPr>
          <w:rFonts w:hint="eastAsia" w:ascii="仿宋" w:hAnsi="仿宋"/>
          <w:highlight w:val="none"/>
        </w:rPr>
        <w:t>支持通过页面对指标采集规则进行调整。</w:t>
      </w:r>
    </w:p>
    <w:p>
      <w:pPr>
        <w:pStyle w:val="721"/>
        <w:ind w:firstLine="480"/>
        <w:rPr>
          <w:rFonts w:ascii="仿宋" w:hAnsi="仿宋"/>
          <w:b/>
          <w:highlight w:val="none"/>
        </w:rPr>
      </w:pPr>
      <w:r>
        <w:rPr>
          <w:rFonts w:hint="eastAsia" w:ascii="仿宋" w:hAnsi="仿宋"/>
          <w:b/>
          <w:highlight w:val="none"/>
        </w:rPr>
        <w:t>指标来源全流程支持</w:t>
      </w:r>
    </w:p>
    <w:p>
      <w:pPr>
        <w:pStyle w:val="721"/>
        <w:ind w:firstLine="480"/>
        <w:rPr>
          <w:rFonts w:ascii="仿宋" w:hAnsi="仿宋"/>
          <w:highlight w:val="none"/>
        </w:rPr>
      </w:pPr>
      <w:r>
        <w:rPr>
          <w:rFonts w:hint="eastAsia" w:ascii="仿宋" w:hAnsi="仿宋"/>
          <w:highlight w:val="none"/>
        </w:rPr>
        <w:t>支持指标由业务库到落地数据中心整个流程的追溯，做到业务人员可进行数据核对。</w:t>
      </w:r>
    </w:p>
    <w:p>
      <w:pPr>
        <w:pStyle w:val="721"/>
        <w:ind w:firstLine="480"/>
        <w:rPr>
          <w:rFonts w:ascii="仿宋" w:hAnsi="仿宋"/>
          <w:b/>
          <w:highlight w:val="none"/>
        </w:rPr>
      </w:pPr>
      <w:r>
        <w:rPr>
          <w:rFonts w:hint="eastAsia" w:ascii="仿宋" w:hAnsi="仿宋"/>
          <w:b/>
          <w:highlight w:val="none"/>
        </w:rPr>
        <w:t>多层级预警</w:t>
      </w:r>
    </w:p>
    <w:p>
      <w:pPr>
        <w:pStyle w:val="721"/>
        <w:ind w:firstLine="480"/>
        <w:rPr>
          <w:rFonts w:ascii="仿宋" w:hAnsi="仿宋"/>
          <w:highlight w:val="none"/>
        </w:rPr>
      </w:pPr>
      <w:r>
        <w:rPr>
          <w:rFonts w:hint="eastAsia" w:ascii="仿宋" w:hAnsi="仿宋"/>
          <w:highlight w:val="none"/>
        </w:rPr>
        <w:t>支持对于指标进行告警配置，包括各个层级（院区、科室、医生），告警是否开启等配置信息。</w:t>
      </w:r>
    </w:p>
    <w:p>
      <w:pPr>
        <w:pStyle w:val="721"/>
        <w:ind w:firstLine="480"/>
        <w:rPr>
          <w:rFonts w:ascii="仿宋" w:hAnsi="仿宋"/>
          <w:b/>
          <w:highlight w:val="none"/>
        </w:rPr>
      </w:pPr>
      <w:r>
        <w:rPr>
          <w:rFonts w:ascii="仿宋" w:hAnsi="仿宋"/>
          <w:b/>
          <w:highlight w:val="none"/>
        </w:rPr>
        <w:t>指标应用</w:t>
      </w:r>
    </w:p>
    <w:p>
      <w:pPr>
        <w:pStyle w:val="721"/>
        <w:ind w:firstLine="480"/>
        <w:rPr>
          <w:rFonts w:ascii="仿宋" w:hAnsi="仿宋"/>
          <w:highlight w:val="none"/>
        </w:rPr>
      </w:pPr>
      <w:r>
        <w:rPr>
          <w:rFonts w:hint="eastAsia" w:ascii="仿宋" w:hAnsi="仿宋"/>
          <w:highlight w:val="none"/>
        </w:rPr>
        <w:t>支持针对指标按照主题、应用进行多层级维护。</w:t>
      </w:r>
    </w:p>
    <w:p>
      <w:pPr>
        <w:pStyle w:val="721"/>
        <w:ind w:firstLine="480"/>
        <w:rPr>
          <w:rFonts w:ascii="仿宋" w:hAnsi="仿宋"/>
          <w:highlight w:val="none"/>
        </w:rPr>
      </w:pPr>
      <w:r>
        <w:rPr>
          <w:rFonts w:hint="eastAsia" w:ascii="仿宋" w:hAnsi="仿宋"/>
          <w:highlight w:val="none"/>
        </w:rPr>
        <w:t>支持在某一主题或者应用下可以统一切换指标口径，保证指标在应用中口径保持一致。</w:t>
      </w:r>
    </w:p>
    <w:p>
      <w:pPr>
        <w:pStyle w:val="721"/>
        <w:ind w:firstLine="480"/>
        <w:rPr>
          <w:rFonts w:ascii="仿宋" w:hAnsi="仿宋"/>
          <w:highlight w:val="none"/>
        </w:rPr>
      </w:pPr>
      <w:r>
        <w:rPr>
          <w:rFonts w:hint="eastAsia" w:ascii="仿宋" w:hAnsi="仿宋"/>
          <w:highlight w:val="none"/>
        </w:rPr>
        <w:t>支持查询在哪些应用或者主题下该口径指标。</w:t>
      </w:r>
    </w:p>
    <w:p>
      <w:pPr>
        <w:pStyle w:val="721"/>
        <w:ind w:firstLine="480"/>
        <w:rPr>
          <w:rFonts w:ascii="仿宋" w:hAnsi="仿宋"/>
          <w:highlight w:val="none"/>
        </w:rPr>
      </w:pPr>
      <w:r>
        <w:rPr>
          <w:rFonts w:hint="eastAsia" w:ascii="仿宋" w:hAnsi="仿宋"/>
          <w:highlight w:val="none"/>
        </w:rPr>
        <w:t>支持通过页面进行指标数据值的核对，可以某个时间点或是某个时间段，在数据不一致的情况下，可以选择数据重采或者指标口径调整。</w:t>
      </w:r>
    </w:p>
    <w:p>
      <w:pPr>
        <w:pStyle w:val="721"/>
        <w:ind w:firstLine="480"/>
        <w:rPr>
          <w:rFonts w:ascii="仿宋" w:hAnsi="仿宋"/>
          <w:b/>
          <w:highlight w:val="none"/>
        </w:rPr>
      </w:pPr>
      <w:r>
        <w:rPr>
          <w:rFonts w:hint="eastAsia" w:ascii="仿宋" w:hAnsi="仿宋"/>
          <w:b/>
          <w:highlight w:val="none"/>
        </w:rPr>
        <w:t>三端联动</w:t>
      </w:r>
    </w:p>
    <w:p>
      <w:pPr>
        <w:pStyle w:val="721"/>
        <w:ind w:firstLine="480"/>
        <w:rPr>
          <w:rFonts w:ascii="仿宋" w:hAnsi="仿宋"/>
          <w:highlight w:val="none"/>
        </w:rPr>
      </w:pPr>
      <w:r>
        <w:rPr>
          <w:rFonts w:hint="eastAsia" w:ascii="仿宋" w:hAnsi="仿宋"/>
          <w:highlight w:val="none"/>
        </w:rPr>
        <w:t>支持三端联动，即</w:t>
      </w:r>
      <w:r>
        <w:rPr>
          <w:rFonts w:ascii="仿宋" w:hAnsi="仿宋"/>
          <w:highlight w:val="none"/>
        </w:rPr>
        <w:t>PC</w:t>
      </w:r>
      <w:r>
        <w:rPr>
          <w:rFonts w:hint="eastAsia" w:ascii="仿宋" w:hAnsi="仿宋"/>
          <w:highlight w:val="none"/>
        </w:rPr>
        <w:t>、</w:t>
      </w:r>
      <w:r>
        <w:rPr>
          <w:rFonts w:ascii="仿宋" w:hAnsi="仿宋"/>
          <w:highlight w:val="none"/>
        </w:rPr>
        <w:t>APP</w:t>
      </w:r>
      <w:r>
        <w:rPr>
          <w:rFonts w:hint="eastAsia" w:ascii="仿宋" w:hAnsi="仿宋"/>
          <w:highlight w:val="none"/>
        </w:rPr>
        <w:t>、大屏三端取数统一来源，数值一致。</w:t>
      </w:r>
    </w:p>
    <w:p>
      <w:pPr>
        <w:pStyle w:val="721"/>
        <w:ind w:firstLine="480"/>
        <w:rPr>
          <w:rFonts w:ascii="仿宋" w:hAnsi="仿宋"/>
          <w:b/>
          <w:highlight w:val="none"/>
        </w:rPr>
      </w:pPr>
      <w:r>
        <w:rPr>
          <w:rFonts w:hint="eastAsia" w:ascii="仿宋" w:hAnsi="仿宋"/>
          <w:b/>
          <w:highlight w:val="none"/>
        </w:rPr>
        <w:t>基础要求</w:t>
      </w:r>
    </w:p>
    <w:p>
      <w:pPr>
        <w:pStyle w:val="721"/>
        <w:ind w:firstLine="480"/>
        <w:rPr>
          <w:rFonts w:ascii="仿宋" w:hAnsi="仿宋"/>
          <w:highlight w:val="none"/>
        </w:rPr>
      </w:pPr>
      <w:r>
        <w:rPr>
          <w:rFonts w:hint="eastAsia" w:ascii="仿宋" w:hAnsi="仿宋"/>
          <w:highlight w:val="none"/>
        </w:rPr>
        <w:t>基于</w:t>
      </w:r>
      <w:r>
        <w:rPr>
          <w:rFonts w:ascii="仿宋" w:hAnsi="仿宋"/>
          <w:highlight w:val="none"/>
        </w:rPr>
        <w:t>自主开发web客户端架构，非OEM。</w:t>
      </w:r>
    </w:p>
    <w:p>
      <w:pPr>
        <w:pStyle w:val="721"/>
        <w:ind w:firstLine="480"/>
        <w:rPr>
          <w:rFonts w:ascii="仿宋" w:hAnsi="仿宋"/>
          <w:b/>
          <w:highlight w:val="none"/>
        </w:rPr>
      </w:pPr>
      <w:r>
        <w:rPr>
          <w:rFonts w:hint="eastAsia" w:ascii="仿宋" w:hAnsi="仿宋"/>
          <w:b/>
          <w:highlight w:val="none"/>
        </w:rPr>
        <w:t>指标搜索</w:t>
      </w:r>
    </w:p>
    <w:p>
      <w:pPr>
        <w:pStyle w:val="721"/>
        <w:ind w:firstLine="480"/>
        <w:rPr>
          <w:rFonts w:ascii="仿宋" w:hAnsi="仿宋"/>
          <w:highlight w:val="none"/>
        </w:rPr>
      </w:pPr>
      <w:r>
        <w:rPr>
          <w:rFonts w:ascii="仿宋" w:hAnsi="仿宋"/>
          <w:highlight w:val="none"/>
        </w:rPr>
        <w:t>提供指标</w:t>
      </w:r>
      <w:r>
        <w:rPr>
          <w:rFonts w:hint="eastAsia" w:ascii="仿宋" w:hAnsi="仿宋"/>
          <w:highlight w:val="none"/>
        </w:rPr>
        <w:t>搜索</w:t>
      </w:r>
      <w:r>
        <w:rPr>
          <w:rFonts w:ascii="仿宋" w:hAnsi="仿宋"/>
          <w:highlight w:val="none"/>
        </w:rPr>
        <w:t>功能，自动匹配指标类别、政策文件、具体指标、口径等。</w:t>
      </w:r>
    </w:p>
    <w:p>
      <w:pPr>
        <w:pStyle w:val="721"/>
        <w:ind w:firstLine="480"/>
        <w:rPr>
          <w:rFonts w:ascii="仿宋" w:hAnsi="仿宋"/>
          <w:b/>
          <w:highlight w:val="none"/>
        </w:rPr>
      </w:pPr>
      <w:r>
        <w:rPr>
          <w:rFonts w:hint="eastAsia" w:ascii="仿宋" w:hAnsi="仿宋"/>
          <w:b/>
          <w:highlight w:val="none"/>
        </w:rPr>
        <w:t>接口开放</w:t>
      </w:r>
    </w:p>
    <w:p>
      <w:pPr>
        <w:pStyle w:val="721"/>
        <w:ind w:firstLine="480"/>
        <w:rPr>
          <w:rFonts w:ascii="仿宋" w:hAnsi="仿宋"/>
          <w:highlight w:val="none"/>
        </w:rPr>
      </w:pPr>
      <w:r>
        <w:rPr>
          <w:rFonts w:hint="eastAsia" w:ascii="仿宋" w:hAnsi="仿宋"/>
          <w:highlight w:val="none"/>
        </w:rPr>
        <w:t>提供接口开放</w:t>
      </w:r>
      <w:r>
        <w:rPr>
          <w:rFonts w:ascii="仿宋" w:hAnsi="仿宋"/>
          <w:highlight w:val="none"/>
        </w:rPr>
        <w:t>，便于</w:t>
      </w:r>
      <w:r>
        <w:rPr>
          <w:rFonts w:hint="eastAsia" w:ascii="仿宋" w:hAnsi="仿宋"/>
          <w:highlight w:val="none"/>
        </w:rPr>
        <w:t>集成</w:t>
      </w:r>
      <w:r>
        <w:rPr>
          <w:rFonts w:ascii="仿宋" w:hAnsi="仿宋"/>
          <w:highlight w:val="none"/>
        </w:rPr>
        <w:t>到第三方系统</w:t>
      </w:r>
      <w:r>
        <w:rPr>
          <w:rFonts w:hint="eastAsia" w:ascii="仿宋" w:hAnsi="仿宋"/>
          <w:highlight w:val="none"/>
        </w:rPr>
        <w:t>。</w:t>
      </w:r>
    </w:p>
    <w:p>
      <w:pPr>
        <w:pStyle w:val="721"/>
        <w:ind w:firstLine="480"/>
        <w:rPr>
          <w:rFonts w:ascii="仿宋" w:hAnsi="仿宋"/>
          <w:b/>
          <w:highlight w:val="none"/>
        </w:rPr>
      </w:pPr>
      <w:r>
        <w:rPr>
          <w:rFonts w:hint="eastAsia" w:ascii="仿宋" w:hAnsi="仿宋"/>
          <w:b/>
          <w:highlight w:val="none"/>
        </w:rPr>
        <w:t>3、运营数据中心（可视化调度）</w:t>
      </w:r>
    </w:p>
    <w:p>
      <w:pPr>
        <w:pStyle w:val="721"/>
        <w:ind w:firstLine="480"/>
        <w:rPr>
          <w:rFonts w:ascii="仿宋" w:hAnsi="仿宋"/>
          <w:highlight w:val="none"/>
        </w:rPr>
      </w:pPr>
      <w:r>
        <w:rPr>
          <w:rFonts w:hint="eastAsia" w:ascii="仿宋" w:hAnsi="仿宋"/>
          <w:highlight w:val="none"/>
        </w:rPr>
        <w:t>通过运营管理分析可以有效地整合各部门业务数据，统一对信息进行利用和管理，提供统一的数据视图和综合管理分析支撑环境，为医院各部门和相关管理部门提供报表、分析应用和所需的数据，支持医院可视化调度。</w:t>
      </w:r>
    </w:p>
    <w:p>
      <w:pPr>
        <w:pStyle w:val="721"/>
        <w:ind w:firstLine="480"/>
        <w:rPr>
          <w:rFonts w:ascii="仿宋" w:hAnsi="仿宋"/>
          <w:b/>
          <w:highlight w:val="none"/>
        </w:rPr>
      </w:pPr>
      <w:r>
        <w:rPr>
          <w:rFonts w:hint="eastAsia" w:ascii="仿宋" w:hAnsi="仿宋"/>
          <w:b/>
          <w:highlight w:val="none"/>
        </w:rPr>
        <w:t>综合监管</w:t>
      </w:r>
    </w:p>
    <w:p>
      <w:pPr>
        <w:pStyle w:val="721"/>
        <w:ind w:firstLine="480"/>
        <w:rPr>
          <w:rFonts w:ascii="仿宋" w:hAnsi="仿宋"/>
          <w:highlight w:val="none"/>
        </w:rPr>
      </w:pPr>
      <w:r>
        <w:rPr>
          <w:rFonts w:hint="eastAsia" w:ascii="仿宋" w:hAnsi="仿宋"/>
          <w:highlight w:val="none"/>
        </w:rPr>
        <w:t>对医院的总体运营情况进行分析，帮助医院的管理者和相关部门，实时了解医院运营状态。总体运营分析要求包括以下分析内容：</w:t>
      </w:r>
    </w:p>
    <w:p>
      <w:pPr>
        <w:pStyle w:val="721"/>
        <w:numPr>
          <w:ilvl w:val="0"/>
          <w:numId w:val="3"/>
        </w:numPr>
        <w:ind w:firstLineChars="0"/>
        <w:rPr>
          <w:rFonts w:ascii="仿宋" w:hAnsi="仿宋"/>
          <w:highlight w:val="none"/>
        </w:rPr>
      </w:pPr>
      <w:r>
        <w:rPr>
          <w:rFonts w:ascii="仿宋" w:hAnsi="仿宋"/>
          <w:highlight w:val="none"/>
        </w:rPr>
        <w:t></w:t>
      </w:r>
      <w:r>
        <w:rPr>
          <w:rFonts w:ascii="仿宋" w:hAnsi="仿宋"/>
          <w:highlight w:val="none"/>
        </w:rPr>
        <w:tab/>
      </w:r>
      <w:r>
        <w:rPr>
          <w:rFonts w:hint="eastAsia" w:ascii="仿宋" w:hAnsi="仿宋"/>
          <w:highlight w:val="none"/>
        </w:rPr>
        <w:t>医院主管领导仪表板（驾驶舱）</w:t>
      </w:r>
    </w:p>
    <w:p>
      <w:pPr>
        <w:pStyle w:val="721"/>
        <w:numPr>
          <w:ilvl w:val="0"/>
          <w:numId w:val="3"/>
        </w:numPr>
        <w:ind w:firstLineChars="0"/>
        <w:rPr>
          <w:rFonts w:ascii="仿宋" w:hAnsi="仿宋"/>
          <w:highlight w:val="none"/>
        </w:rPr>
      </w:pPr>
      <w:r>
        <w:rPr>
          <w:rFonts w:ascii="仿宋" w:hAnsi="仿宋"/>
          <w:highlight w:val="none"/>
        </w:rPr>
        <w:t></w:t>
      </w:r>
      <w:r>
        <w:rPr>
          <w:rFonts w:ascii="仿宋" w:hAnsi="仿宋"/>
          <w:highlight w:val="none"/>
        </w:rPr>
        <w:tab/>
      </w:r>
      <w:r>
        <w:rPr>
          <w:rFonts w:hint="eastAsia" w:ascii="仿宋" w:hAnsi="仿宋"/>
          <w:highlight w:val="none"/>
        </w:rPr>
        <w:t>运营分析（日、月、季、年）</w:t>
      </w:r>
    </w:p>
    <w:p>
      <w:pPr>
        <w:pStyle w:val="721"/>
        <w:numPr>
          <w:ilvl w:val="0"/>
          <w:numId w:val="3"/>
        </w:numPr>
        <w:ind w:firstLineChars="0"/>
        <w:rPr>
          <w:rFonts w:ascii="仿宋" w:hAnsi="仿宋"/>
          <w:highlight w:val="none"/>
        </w:rPr>
      </w:pPr>
      <w:r>
        <w:rPr>
          <w:rFonts w:ascii="仿宋" w:hAnsi="仿宋"/>
          <w:highlight w:val="none"/>
        </w:rPr>
        <w:t></w:t>
      </w:r>
      <w:r>
        <w:rPr>
          <w:rFonts w:ascii="仿宋" w:hAnsi="仿宋"/>
          <w:highlight w:val="none"/>
        </w:rPr>
        <w:tab/>
      </w:r>
      <w:r>
        <w:rPr>
          <w:rFonts w:hint="eastAsia" w:ascii="仿宋" w:hAnsi="仿宋"/>
          <w:highlight w:val="none"/>
        </w:rPr>
        <w:t>全院收入报表</w:t>
      </w:r>
    </w:p>
    <w:p>
      <w:pPr>
        <w:pStyle w:val="721"/>
        <w:ind w:firstLine="480"/>
        <w:rPr>
          <w:rFonts w:ascii="仿宋" w:hAnsi="仿宋"/>
          <w:b/>
          <w:highlight w:val="none"/>
        </w:rPr>
      </w:pPr>
      <w:r>
        <w:rPr>
          <w:rFonts w:hint="eastAsia" w:ascii="仿宋" w:hAnsi="仿宋"/>
          <w:b/>
          <w:highlight w:val="none"/>
        </w:rPr>
        <w:t>住院业务分析</w:t>
      </w:r>
    </w:p>
    <w:p>
      <w:pPr>
        <w:pStyle w:val="721"/>
        <w:ind w:firstLine="480"/>
        <w:rPr>
          <w:rFonts w:ascii="仿宋" w:hAnsi="仿宋"/>
          <w:highlight w:val="none"/>
        </w:rPr>
      </w:pPr>
      <w:r>
        <w:rPr>
          <w:rFonts w:hint="eastAsia" w:ascii="仿宋" w:hAnsi="仿宋"/>
          <w:highlight w:val="none"/>
        </w:rPr>
        <w:t>从住院科室/医生/护士工作量，住院手术，用药情况，临床路径，费用信息分析住院情况，为住院绩效和规范提供分析和决策依据。主要要点：患者安全分析，住院病人费用结构分析，住院用药情况分析，住院工作量统计分析。如进行：</w:t>
      </w:r>
    </w:p>
    <w:p>
      <w:pPr>
        <w:pStyle w:val="721"/>
        <w:numPr>
          <w:ilvl w:val="0"/>
          <w:numId w:val="4"/>
        </w:numPr>
        <w:ind w:firstLineChars="0"/>
        <w:rPr>
          <w:rFonts w:ascii="仿宋" w:hAnsi="仿宋"/>
          <w:highlight w:val="none"/>
        </w:rPr>
      </w:pPr>
      <w:r>
        <w:rPr>
          <w:rFonts w:ascii="仿宋" w:hAnsi="仿宋"/>
          <w:highlight w:val="none"/>
        </w:rPr>
        <w:t></w:t>
      </w:r>
      <w:r>
        <w:rPr>
          <w:rFonts w:ascii="仿宋" w:hAnsi="仿宋"/>
          <w:highlight w:val="none"/>
        </w:rPr>
        <w:tab/>
      </w:r>
      <w:r>
        <w:rPr>
          <w:rFonts w:hint="eastAsia" w:ascii="仿宋" w:hAnsi="仿宋"/>
          <w:highlight w:val="none"/>
        </w:rPr>
        <w:t>住院收入报表</w:t>
      </w:r>
    </w:p>
    <w:p>
      <w:pPr>
        <w:pStyle w:val="721"/>
        <w:numPr>
          <w:ilvl w:val="0"/>
          <w:numId w:val="4"/>
        </w:numPr>
        <w:ind w:firstLineChars="0"/>
        <w:rPr>
          <w:rFonts w:ascii="仿宋" w:hAnsi="仿宋"/>
          <w:highlight w:val="none"/>
        </w:rPr>
      </w:pPr>
      <w:r>
        <w:rPr>
          <w:rFonts w:ascii="仿宋" w:hAnsi="仿宋"/>
          <w:highlight w:val="none"/>
        </w:rPr>
        <w:t></w:t>
      </w:r>
      <w:r>
        <w:rPr>
          <w:rFonts w:ascii="仿宋" w:hAnsi="仿宋"/>
          <w:highlight w:val="none"/>
        </w:rPr>
        <w:tab/>
      </w:r>
      <w:r>
        <w:rPr>
          <w:rFonts w:hint="eastAsia" w:ascii="仿宋" w:hAnsi="仿宋"/>
          <w:highlight w:val="none"/>
        </w:rPr>
        <w:t>住院均费分析</w:t>
      </w:r>
    </w:p>
    <w:p>
      <w:pPr>
        <w:pStyle w:val="721"/>
        <w:numPr>
          <w:ilvl w:val="0"/>
          <w:numId w:val="4"/>
        </w:numPr>
        <w:ind w:firstLineChars="0"/>
        <w:rPr>
          <w:rFonts w:ascii="仿宋" w:hAnsi="仿宋"/>
          <w:highlight w:val="none"/>
        </w:rPr>
      </w:pPr>
      <w:r>
        <w:rPr>
          <w:rFonts w:ascii="仿宋" w:hAnsi="仿宋"/>
          <w:highlight w:val="none"/>
        </w:rPr>
        <w:t></w:t>
      </w:r>
      <w:r>
        <w:rPr>
          <w:rFonts w:ascii="仿宋" w:hAnsi="仿宋"/>
          <w:highlight w:val="none"/>
        </w:rPr>
        <w:tab/>
      </w:r>
      <w:r>
        <w:rPr>
          <w:rFonts w:hint="eastAsia" w:ascii="仿宋" w:hAnsi="仿宋"/>
          <w:highlight w:val="none"/>
        </w:rPr>
        <w:t>住院收入核算项目明细报表</w:t>
      </w:r>
    </w:p>
    <w:p>
      <w:pPr>
        <w:pStyle w:val="721"/>
        <w:numPr>
          <w:ilvl w:val="0"/>
          <w:numId w:val="4"/>
        </w:numPr>
        <w:ind w:firstLineChars="0"/>
        <w:rPr>
          <w:rFonts w:ascii="仿宋" w:hAnsi="仿宋"/>
          <w:highlight w:val="none"/>
        </w:rPr>
      </w:pPr>
      <w:r>
        <w:rPr>
          <w:rFonts w:ascii="仿宋" w:hAnsi="仿宋"/>
          <w:highlight w:val="none"/>
        </w:rPr>
        <w:t></w:t>
      </w:r>
      <w:r>
        <w:rPr>
          <w:rFonts w:ascii="仿宋" w:hAnsi="仿宋"/>
          <w:highlight w:val="none"/>
        </w:rPr>
        <w:tab/>
      </w:r>
      <w:r>
        <w:rPr>
          <w:rFonts w:hint="eastAsia" w:ascii="仿宋" w:hAnsi="仿宋"/>
          <w:highlight w:val="none"/>
        </w:rPr>
        <w:t>住院病人分析</w:t>
      </w:r>
    </w:p>
    <w:p>
      <w:pPr>
        <w:pStyle w:val="721"/>
        <w:ind w:firstLine="480"/>
        <w:rPr>
          <w:rFonts w:ascii="仿宋" w:hAnsi="仿宋"/>
          <w:b/>
          <w:highlight w:val="none"/>
        </w:rPr>
      </w:pPr>
      <w:r>
        <w:rPr>
          <w:rFonts w:hint="eastAsia" w:ascii="仿宋" w:hAnsi="仿宋"/>
          <w:b/>
          <w:highlight w:val="none"/>
        </w:rPr>
        <w:t>门诊业务分析</w:t>
      </w:r>
    </w:p>
    <w:p>
      <w:pPr>
        <w:pStyle w:val="721"/>
        <w:ind w:firstLine="480"/>
        <w:rPr>
          <w:rFonts w:ascii="仿宋" w:hAnsi="仿宋"/>
          <w:highlight w:val="none"/>
        </w:rPr>
      </w:pPr>
      <w:r>
        <w:rPr>
          <w:rFonts w:hint="eastAsia" w:ascii="仿宋" w:hAnsi="仿宋"/>
          <w:highlight w:val="none"/>
        </w:rPr>
        <w:t>从科室/医生/护士工作量，年/月度分析、费用信息、人次分析门诊情况。为优化门诊流程、考核绩效提供分析和决策依据。主要要点：就诊病人分析，就诊时间趋势闭环分析，门诊用药情况分析，门诊工作量统计分析，急诊分析。如：</w:t>
      </w:r>
    </w:p>
    <w:p>
      <w:pPr>
        <w:pStyle w:val="721"/>
        <w:numPr>
          <w:ilvl w:val="0"/>
          <w:numId w:val="5"/>
        </w:numPr>
        <w:ind w:firstLineChars="0"/>
        <w:rPr>
          <w:rFonts w:ascii="仿宋" w:hAnsi="仿宋"/>
          <w:highlight w:val="none"/>
        </w:rPr>
      </w:pPr>
      <w:r>
        <w:rPr>
          <w:rFonts w:ascii="仿宋" w:hAnsi="仿宋"/>
          <w:highlight w:val="none"/>
        </w:rPr>
        <w:t></w:t>
      </w:r>
      <w:r>
        <w:rPr>
          <w:rFonts w:ascii="仿宋" w:hAnsi="仿宋"/>
          <w:highlight w:val="none"/>
        </w:rPr>
        <w:tab/>
      </w:r>
      <w:r>
        <w:rPr>
          <w:rFonts w:hint="eastAsia" w:ascii="仿宋" w:hAnsi="仿宋"/>
          <w:highlight w:val="none"/>
        </w:rPr>
        <w:t>门诊费用分析</w:t>
      </w:r>
    </w:p>
    <w:p>
      <w:pPr>
        <w:pStyle w:val="721"/>
        <w:numPr>
          <w:ilvl w:val="0"/>
          <w:numId w:val="5"/>
        </w:numPr>
        <w:ind w:firstLineChars="0"/>
        <w:rPr>
          <w:rFonts w:ascii="仿宋" w:hAnsi="仿宋"/>
          <w:highlight w:val="none"/>
        </w:rPr>
      </w:pPr>
      <w:r>
        <w:rPr>
          <w:rFonts w:ascii="仿宋" w:hAnsi="仿宋"/>
          <w:highlight w:val="none"/>
        </w:rPr>
        <w:t></w:t>
      </w:r>
      <w:r>
        <w:rPr>
          <w:rFonts w:ascii="仿宋" w:hAnsi="仿宋"/>
          <w:highlight w:val="none"/>
        </w:rPr>
        <w:tab/>
      </w:r>
      <w:r>
        <w:rPr>
          <w:rFonts w:hint="eastAsia" w:ascii="仿宋" w:hAnsi="仿宋"/>
          <w:highlight w:val="none"/>
        </w:rPr>
        <w:t>门诊均费分析</w:t>
      </w:r>
    </w:p>
    <w:p>
      <w:pPr>
        <w:pStyle w:val="721"/>
        <w:numPr>
          <w:ilvl w:val="0"/>
          <w:numId w:val="5"/>
        </w:numPr>
        <w:ind w:firstLineChars="0"/>
        <w:rPr>
          <w:rFonts w:ascii="仿宋" w:hAnsi="仿宋"/>
          <w:highlight w:val="none"/>
        </w:rPr>
      </w:pPr>
      <w:r>
        <w:rPr>
          <w:rFonts w:ascii="仿宋" w:hAnsi="仿宋"/>
          <w:highlight w:val="none"/>
        </w:rPr>
        <w:t></w:t>
      </w:r>
      <w:r>
        <w:rPr>
          <w:rFonts w:ascii="仿宋" w:hAnsi="仿宋"/>
          <w:highlight w:val="none"/>
        </w:rPr>
        <w:tab/>
      </w:r>
      <w:r>
        <w:rPr>
          <w:rFonts w:hint="eastAsia" w:ascii="仿宋" w:hAnsi="仿宋"/>
          <w:highlight w:val="none"/>
        </w:rPr>
        <w:t>门诊效率分析</w:t>
      </w:r>
    </w:p>
    <w:p>
      <w:pPr>
        <w:pStyle w:val="721"/>
        <w:ind w:firstLine="480"/>
        <w:rPr>
          <w:rFonts w:ascii="仿宋" w:hAnsi="仿宋"/>
          <w:b/>
          <w:highlight w:val="none"/>
        </w:rPr>
      </w:pPr>
      <w:r>
        <w:rPr>
          <w:rFonts w:hint="eastAsia" w:ascii="仿宋" w:hAnsi="仿宋"/>
          <w:b/>
          <w:highlight w:val="none"/>
        </w:rPr>
        <w:t>手术业务分析</w:t>
      </w:r>
    </w:p>
    <w:p>
      <w:pPr>
        <w:pStyle w:val="721"/>
        <w:ind w:firstLine="480"/>
        <w:rPr>
          <w:rFonts w:ascii="仿宋" w:hAnsi="仿宋"/>
          <w:highlight w:val="none"/>
        </w:rPr>
      </w:pPr>
      <w:r>
        <w:rPr>
          <w:rFonts w:hint="eastAsia" w:ascii="仿宋" w:hAnsi="仿宋"/>
          <w:highlight w:val="none"/>
        </w:rPr>
        <w:t>从手术的例数、医生，手术用药情况多方面进行分析，主要包括：切口手术抗菌用药情况分析，各类手术例数分析，医生手术工作量分析等。</w:t>
      </w:r>
    </w:p>
    <w:p>
      <w:pPr>
        <w:pStyle w:val="721"/>
        <w:ind w:firstLine="480"/>
        <w:rPr>
          <w:rFonts w:ascii="仿宋" w:hAnsi="仿宋"/>
          <w:b/>
          <w:highlight w:val="none"/>
        </w:rPr>
      </w:pPr>
      <w:r>
        <w:rPr>
          <w:rFonts w:hint="eastAsia" w:ascii="仿宋" w:hAnsi="仿宋"/>
          <w:b/>
          <w:highlight w:val="none"/>
        </w:rPr>
        <w:t>其他监管</w:t>
      </w:r>
    </w:p>
    <w:p>
      <w:pPr>
        <w:pStyle w:val="721"/>
        <w:ind w:firstLine="480"/>
        <w:rPr>
          <w:rFonts w:ascii="仿宋" w:hAnsi="仿宋"/>
          <w:highlight w:val="none"/>
        </w:rPr>
      </w:pPr>
      <w:r>
        <w:rPr>
          <w:rFonts w:hint="eastAsia" w:ascii="仿宋" w:hAnsi="仿宋"/>
          <w:highlight w:val="none"/>
        </w:rPr>
        <w:t>1.</w:t>
      </w:r>
      <w:r>
        <w:rPr>
          <w:rFonts w:hint="eastAsia" w:ascii="仿宋" w:hAnsi="仿宋"/>
          <w:highlight w:val="none"/>
        </w:rPr>
        <w:tab/>
      </w:r>
      <w:r>
        <w:rPr>
          <w:rFonts w:hint="eastAsia" w:ascii="仿宋" w:hAnsi="仿宋"/>
          <w:highlight w:val="none"/>
        </w:rPr>
        <w:t>资源配置</w:t>
      </w:r>
    </w:p>
    <w:p>
      <w:pPr>
        <w:pStyle w:val="721"/>
        <w:ind w:firstLine="480"/>
        <w:rPr>
          <w:rFonts w:ascii="仿宋" w:hAnsi="仿宋"/>
          <w:highlight w:val="none"/>
        </w:rPr>
      </w:pPr>
      <w:r>
        <w:rPr>
          <w:rFonts w:hint="eastAsia" w:ascii="仿宋" w:hAnsi="仿宋"/>
          <w:highlight w:val="none"/>
        </w:rPr>
        <w:t>对医院的资源配置进行分析，主要包括床位数、人员数等。</w:t>
      </w:r>
    </w:p>
    <w:p>
      <w:pPr>
        <w:pStyle w:val="721"/>
        <w:ind w:firstLine="480"/>
        <w:rPr>
          <w:rFonts w:ascii="仿宋" w:hAnsi="仿宋"/>
          <w:highlight w:val="none"/>
        </w:rPr>
      </w:pPr>
      <w:r>
        <w:rPr>
          <w:rFonts w:hint="eastAsia" w:ascii="仿宋" w:hAnsi="仿宋"/>
          <w:highlight w:val="none"/>
        </w:rPr>
        <w:t>2.</w:t>
      </w:r>
      <w:r>
        <w:rPr>
          <w:rFonts w:hint="eastAsia" w:ascii="仿宋" w:hAnsi="仿宋"/>
          <w:highlight w:val="none"/>
        </w:rPr>
        <w:tab/>
      </w:r>
      <w:r>
        <w:rPr>
          <w:rFonts w:hint="eastAsia" w:ascii="仿宋" w:hAnsi="仿宋"/>
          <w:highlight w:val="none"/>
        </w:rPr>
        <w:t>患者负担</w:t>
      </w:r>
    </w:p>
    <w:p>
      <w:pPr>
        <w:pStyle w:val="721"/>
        <w:ind w:firstLine="480"/>
        <w:rPr>
          <w:rFonts w:ascii="仿宋" w:hAnsi="仿宋"/>
          <w:highlight w:val="none"/>
        </w:rPr>
      </w:pPr>
      <w:r>
        <w:rPr>
          <w:rFonts w:hint="eastAsia" w:ascii="仿宋" w:hAnsi="仿宋"/>
          <w:highlight w:val="none"/>
        </w:rPr>
        <w:t>从门诊、住院均费，以及检查、药品占比对患者负担进行分析。</w:t>
      </w:r>
    </w:p>
    <w:p>
      <w:pPr>
        <w:pStyle w:val="721"/>
        <w:ind w:firstLine="480"/>
        <w:rPr>
          <w:rFonts w:ascii="仿宋" w:hAnsi="仿宋"/>
          <w:highlight w:val="none"/>
        </w:rPr>
      </w:pPr>
      <w:r>
        <w:rPr>
          <w:rFonts w:hint="eastAsia" w:ascii="仿宋" w:hAnsi="仿宋"/>
          <w:highlight w:val="none"/>
        </w:rPr>
        <w:t>3.</w:t>
      </w:r>
      <w:r>
        <w:rPr>
          <w:rFonts w:hint="eastAsia" w:ascii="仿宋" w:hAnsi="仿宋"/>
          <w:highlight w:val="none"/>
        </w:rPr>
        <w:tab/>
      </w:r>
      <w:r>
        <w:rPr>
          <w:rFonts w:hint="eastAsia" w:ascii="仿宋" w:hAnsi="仿宋"/>
          <w:highlight w:val="none"/>
        </w:rPr>
        <w:t>工作负荷</w:t>
      </w:r>
    </w:p>
    <w:p>
      <w:pPr>
        <w:pStyle w:val="721"/>
        <w:ind w:firstLine="480"/>
        <w:rPr>
          <w:rFonts w:ascii="仿宋" w:hAnsi="仿宋"/>
          <w:highlight w:val="none"/>
        </w:rPr>
      </w:pPr>
      <w:r>
        <w:rPr>
          <w:rFonts w:hint="eastAsia" w:ascii="仿宋" w:hAnsi="仿宋"/>
          <w:highlight w:val="none"/>
        </w:rPr>
        <w:t>从住院科室/医生工作量，住院人次、门诊人次情况，为住院绩效和规范提供分析和决策依据。</w:t>
      </w:r>
    </w:p>
    <w:p>
      <w:pPr>
        <w:pStyle w:val="721"/>
        <w:ind w:firstLine="480"/>
        <w:rPr>
          <w:rFonts w:ascii="仿宋" w:hAnsi="仿宋"/>
          <w:highlight w:val="none"/>
        </w:rPr>
      </w:pPr>
      <w:r>
        <w:rPr>
          <w:rFonts w:hint="eastAsia" w:ascii="仿宋" w:hAnsi="仿宋"/>
          <w:highlight w:val="none"/>
        </w:rPr>
        <w:t>4.</w:t>
      </w:r>
      <w:r>
        <w:rPr>
          <w:rFonts w:hint="eastAsia" w:ascii="仿宋" w:hAnsi="仿宋"/>
          <w:highlight w:val="none"/>
        </w:rPr>
        <w:tab/>
      </w:r>
      <w:r>
        <w:rPr>
          <w:rFonts w:hint="eastAsia" w:ascii="仿宋" w:hAnsi="仿宋"/>
          <w:highlight w:val="none"/>
        </w:rPr>
        <w:t>医疗质量</w:t>
      </w:r>
    </w:p>
    <w:p>
      <w:pPr>
        <w:pStyle w:val="721"/>
        <w:ind w:firstLine="480"/>
        <w:rPr>
          <w:rFonts w:ascii="仿宋" w:hAnsi="仿宋"/>
          <w:highlight w:val="none"/>
        </w:rPr>
      </w:pPr>
      <w:r>
        <w:rPr>
          <w:rFonts w:hint="eastAsia" w:ascii="仿宋" w:hAnsi="仿宋"/>
          <w:highlight w:val="none"/>
        </w:rPr>
        <w:t>从死亡、治愈人次、ICU、重返、感染、抢救等方面对医院的医疗质量进行分析，主要进行住院治疗质量分析、18种重点疾病统计、18种重点手术统计、重症医学ICU、术后并发症、重返手术室明细、危重抢救报表等。</w:t>
      </w:r>
    </w:p>
    <w:p>
      <w:pPr>
        <w:pStyle w:val="721"/>
        <w:ind w:firstLine="480"/>
        <w:rPr>
          <w:rFonts w:ascii="仿宋" w:hAnsi="仿宋"/>
          <w:highlight w:val="none"/>
        </w:rPr>
      </w:pPr>
      <w:r>
        <w:rPr>
          <w:rFonts w:hint="eastAsia" w:ascii="仿宋" w:hAnsi="仿宋"/>
          <w:highlight w:val="none"/>
        </w:rPr>
        <w:t>5.</w:t>
      </w:r>
      <w:r>
        <w:rPr>
          <w:rFonts w:hint="eastAsia" w:ascii="仿宋" w:hAnsi="仿宋"/>
          <w:highlight w:val="none"/>
        </w:rPr>
        <w:tab/>
      </w:r>
      <w:r>
        <w:rPr>
          <w:rFonts w:hint="eastAsia" w:ascii="仿宋" w:hAnsi="仿宋"/>
          <w:highlight w:val="none"/>
        </w:rPr>
        <w:t>智慧医疗</w:t>
      </w:r>
    </w:p>
    <w:p>
      <w:pPr>
        <w:pStyle w:val="721"/>
        <w:ind w:firstLine="480"/>
        <w:rPr>
          <w:rFonts w:ascii="仿宋" w:hAnsi="仿宋"/>
          <w:highlight w:val="none"/>
        </w:rPr>
      </w:pPr>
      <w:r>
        <w:rPr>
          <w:rFonts w:hint="eastAsia" w:ascii="仿宋" w:hAnsi="仿宋"/>
          <w:highlight w:val="none"/>
        </w:rPr>
        <w:t>从科室/职工对结算人次、诊间结算率、门诊检查预约率进行统计，以及终端设备工作量统计、挂号预约到诊情况分析、分时段预约就诊情况分析、号源使用情况分析。</w:t>
      </w:r>
    </w:p>
    <w:p>
      <w:pPr>
        <w:pStyle w:val="721"/>
        <w:ind w:firstLine="480"/>
        <w:rPr>
          <w:rFonts w:ascii="仿宋" w:hAnsi="仿宋"/>
          <w:highlight w:val="none"/>
        </w:rPr>
      </w:pPr>
      <w:r>
        <w:rPr>
          <w:rFonts w:hint="eastAsia" w:ascii="仿宋" w:hAnsi="仿宋"/>
          <w:highlight w:val="none"/>
        </w:rPr>
        <w:t>6.</w:t>
      </w:r>
      <w:r>
        <w:rPr>
          <w:rFonts w:hint="eastAsia" w:ascii="仿宋" w:hAnsi="仿宋"/>
          <w:highlight w:val="none"/>
        </w:rPr>
        <w:tab/>
      </w:r>
      <w:r>
        <w:rPr>
          <w:rFonts w:hint="eastAsia" w:ascii="仿宋" w:hAnsi="仿宋"/>
          <w:highlight w:val="none"/>
        </w:rPr>
        <w:t>合理用药</w:t>
      </w:r>
    </w:p>
    <w:p>
      <w:pPr>
        <w:pStyle w:val="721"/>
        <w:ind w:firstLine="480"/>
        <w:rPr>
          <w:rFonts w:ascii="仿宋" w:hAnsi="仿宋"/>
          <w:highlight w:val="none"/>
        </w:rPr>
      </w:pPr>
      <w:r>
        <w:rPr>
          <w:rFonts w:hint="eastAsia" w:ascii="仿宋" w:hAnsi="仿宋"/>
          <w:highlight w:val="none"/>
        </w:rPr>
        <w:t>从门诊、住院科室/医生，对用药情况进行分析，为药品使用规范提供分析和决策依据。主要要点：门诊用药分析，住院用药情况分析，门诊静脉使用抗菌药物，出院患者抗菌药物使用强度，全院药品使用量和金额排名。</w:t>
      </w:r>
    </w:p>
    <w:p>
      <w:pPr>
        <w:pStyle w:val="721"/>
        <w:ind w:firstLine="480"/>
        <w:rPr>
          <w:rFonts w:ascii="仿宋" w:hAnsi="仿宋"/>
          <w:highlight w:val="none"/>
        </w:rPr>
      </w:pPr>
      <w:r>
        <w:rPr>
          <w:rFonts w:hint="eastAsia" w:ascii="仿宋" w:hAnsi="仿宋"/>
          <w:highlight w:val="none"/>
        </w:rPr>
        <w:t>7.</w:t>
      </w:r>
      <w:r>
        <w:rPr>
          <w:rFonts w:hint="eastAsia" w:ascii="仿宋" w:hAnsi="仿宋"/>
          <w:highlight w:val="none"/>
        </w:rPr>
        <w:tab/>
      </w:r>
      <w:r>
        <w:rPr>
          <w:rFonts w:hint="eastAsia" w:ascii="仿宋" w:hAnsi="仿宋"/>
          <w:highlight w:val="none"/>
        </w:rPr>
        <w:t>工作效率</w:t>
      </w:r>
    </w:p>
    <w:p>
      <w:pPr>
        <w:pStyle w:val="721"/>
        <w:ind w:firstLine="480"/>
        <w:rPr>
          <w:rFonts w:ascii="仿宋" w:hAnsi="仿宋"/>
          <w:highlight w:val="none"/>
        </w:rPr>
      </w:pPr>
      <w:r>
        <w:rPr>
          <w:rFonts w:hint="eastAsia" w:ascii="仿宋" w:hAnsi="仿宋"/>
          <w:highlight w:val="none"/>
        </w:rPr>
        <w:t>通过对出院平均住院日、开放床位数、使用率、床位周转次数等指标对住院工作效率进行分析。</w:t>
      </w:r>
    </w:p>
    <w:p>
      <w:pPr>
        <w:pStyle w:val="6"/>
        <w:rPr>
          <w:highlight w:val="none"/>
        </w:rPr>
      </w:pPr>
      <w:r>
        <w:rPr>
          <w:rFonts w:hint="eastAsia"/>
          <w:highlight w:val="none"/>
        </w:rPr>
        <w:t>数据中心ODS</w:t>
      </w:r>
    </w:p>
    <w:p>
      <w:pPr>
        <w:pStyle w:val="721"/>
        <w:ind w:firstLine="480"/>
        <w:rPr>
          <w:rFonts w:ascii="仿宋" w:hAnsi="仿宋"/>
          <w:highlight w:val="none"/>
        </w:rPr>
      </w:pPr>
      <w:r>
        <w:rPr>
          <w:rFonts w:hint="eastAsia" w:ascii="仿宋" w:hAnsi="仿宋"/>
          <w:highlight w:val="none"/>
        </w:rPr>
        <w:t>建立数据中心ODS，通过业务系统提供的视图将数据以ETL的方式采集汇总至ODS库。它可以提供数据备份、报表统计、交互服务、数据共享、应用测试等功能，在建立数据中心的过程中对数据进行处理，方便后续ETL过程增量采集数据建立数据中心。</w:t>
      </w:r>
    </w:p>
    <w:p>
      <w:pPr>
        <w:pStyle w:val="7"/>
        <w:ind w:firstLine="422" w:firstLineChars="150"/>
        <w:rPr>
          <w:highlight w:val="none"/>
        </w:rPr>
      </w:pPr>
      <w:r>
        <w:rPr>
          <w:rFonts w:hint="eastAsia"/>
          <w:highlight w:val="none"/>
        </w:rPr>
        <w:t>业务库同步</w:t>
      </w:r>
    </w:p>
    <w:p>
      <w:pPr>
        <w:pStyle w:val="721"/>
        <w:ind w:firstLine="480"/>
        <w:rPr>
          <w:rFonts w:ascii="仿宋" w:hAnsi="仿宋"/>
          <w:highlight w:val="none"/>
        </w:rPr>
      </w:pPr>
      <w:r>
        <w:rPr>
          <w:rFonts w:hint="eastAsia" w:ascii="仿宋" w:hAnsi="仿宋"/>
          <w:highlight w:val="none"/>
        </w:rPr>
        <w:t>业务库同步是基于数据支撑平台，将各个业务系统的数据实时同步到ODS数据中心库，再通过规定的标准数据集对业务数据进行数据清洗加工、数据分析发现，构建临床数据库中心、运营数据中心。业务系统包括：医院信息系统（HIS）、电子病历系统（EMR）、检验系统（LIS）、影像系统（PACS）、心电手术麻醉系统及其它检验检查类系统等。</w:t>
      </w:r>
    </w:p>
    <w:p>
      <w:pPr>
        <w:pStyle w:val="721"/>
        <w:ind w:firstLine="480"/>
        <w:rPr>
          <w:rFonts w:ascii="仿宋" w:hAnsi="仿宋"/>
          <w:highlight w:val="none"/>
        </w:rPr>
      </w:pPr>
      <w:r>
        <w:rPr>
          <w:rFonts w:hint="eastAsia" w:ascii="仿宋" w:hAnsi="仿宋"/>
          <w:highlight w:val="none"/>
        </w:rPr>
        <w:t>功能要求：</w:t>
      </w:r>
    </w:p>
    <w:p>
      <w:pPr>
        <w:pStyle w:val="721"/>
        <w:ind w:firstLine="480"/>
        <w:rPr>
          <w:rFonts w:ascii="仿宋" w:hAnsi="仿宋"/>
          <w:b/>
          <w:highlight w:val="none"/>
        </w:rPr>
      </w:pPr>
      <w:r>
        <w:rPr>
          <w:rFonts w:ascii="仿宋" w:hAnsi="仿宋"/>
          <w:b/>
          <w:highlight w:val="none"/>
        </w:rPr>
        <w:t>HIS</w:t>
      </w:r>
      <w:r>
        <w:rPr>
          <w:rFonts w:hint="eastAsia" w:ascii="仿宋" w:hAnsi="仿宋"/>
          <w:b/>
          <w:highlight w:val="none"/>
        </w:rPr>
        <w:t>库同步</w:t>
      </w:r>
    </w:p>
    <w:p>
      <w:pPr>
        <w:pStyle w:val="721"/>
        <w:ind w:firstLine="480"/>
        <w:rPr>
          <w:rFonts w:ascii="仿宋" w:hAnsi="仿宋"/>
          <w:highlight w:val="none"/>
        </w:rPr>
      </w:pPr>
      <w:r>
        <w:rPr>
          <w:rFonts w:hint="eastAsia" w:ascii="仿宋" w:hAnsi="仿宋"/>
          <w:highlight w:val="none"/>
        </w:rPr>
        <w:t>HIS系统数据范围：业务系统代码、病人过敏记录、门诊病人诊断资料、门诊病人体征信息、门诊病人问诊信息、门诊就诊信息、门诊处方信息、门诊医技信息、门诊收费信息、门诊支付信息、挂号排班、挂号预约信息、挂号信息、住院病人信息、住院医嘱记录、住院医嘱执行记录、住院床位变动、转诊(院)记录、住院费用记录、住院结算明细、住院结算记录、检查申请单、检验申请单、手术申请单、病药申请单、静脉配置等。</w:t>
      </w:r>
    </w:p>
    <w:p>
      <w:pPr>
        <w:pStyle w:val="721"/>
        <w:ind w:firstLine="480"/>
        <w:rPr>
          <w:rFonts w:ascii="仿宋" w:hAnsi="仿宋"/>
          <w:b/>
          <w:highlight w:val="none"/>
        </w:rPr>
      </w:pPr>
      <w:r>
        <w:rPr>
          <w:rFonts w:hint="eastAsia" w:ascii="仿宋" w:hAnsi="仿宋"/>
          <w:b/>
          <w:highlight w:val="none"/>
        </w:rPr>
        <w:t>E</w:t>
      </w:r>
      <w:r>
        <w:rPr>
          <w:rFonts w:ascii="仿宋" w:hAnsi="仿宋"/>
          <w:b/>
          <w:highlight w:val="none"/>
        </w:rPr>
        <w:t>MR</w:t>
      </w:r>
      <w:r>
        <w:rPr>
          <w:rFonts w:hint="eastAsia" w:ascii="仿宋" w:hAnsi="仿宋"/>
          <w:b/>
          <w:highlight w:val="none"/>
        </w:rPr>
        <w:t>库同步</w:t>
      </w:r>
    </w:p>
    <w:p>
      <w:pPr>
        <w:pStyle w:val="721"/>
        <w:ind w:firstLine="480"/>
        <w:rPr>
          <w:rFonts w:ascii="仿宋" w:hAnsi="仿宋"/>
          <w:highlight w:val="none"/>
        </w:rPr>
      </w:pPr>
      <w:r>
        <w:rPr>
          <w:rFonts w:hint="eastAsia" w:ascii="仿宋" w:hAnsi="仿宋"/>
          <w:highlight w:val="none"/>
        </w:rPr>
        <w:t>EMR系统数据范围：业务系统代码表、住院病人体征信息、住院病人问诊信息、住院病人诊断资料、入院记录、出院记录、病程记录、婴儿信息、24h内入出院记录、24h内入院死亡记录、病危通知书、出院评估记录、待产记录、病人附加信息、分娩记录、高值耗材使用记录、会诊记录、护理计划记录、护理记录、护理记录明细、交接班记录、阶段小结、麻醉知情同意书、剖宫产手术记录、其它知情同意书、日常病程记录、入院评估记录、上级医师查房记录、首次病程记录、手术护理记录、手术知情同意书、术后访视记录、术后首次病程记录、术前访视记录、术前讨论、术前小结、输血知情同意书、死亡病例讨论记录、死亡记录、特殊检查治疗知情同意书、疑难病例讨论、转科记录、治疗记录等。</w:t>
      </w:r>
    </w:p>
    <w:p>
      <w:pPr>
        <w:pStyle w:val="721"/>
        <w:ind w:firstLine="480"/>
        <w:rPr>
          <w:rFonts w:ascii="仿宋" w:hAnsi="仿宋"/>
          <w:b/>
          <w:highlight w:val="none"/>
        </w:rPr>
      </w:pPr>
      <w:r>
        <w:rPr>
          <w:rFonts w:ascii="仿宋" w:hAnsi="仿宋"/>
          <w:b/>
          <w:highlight w:val="none"/>
        </w:rPr>
        <w:t>LIS、PACS、手麻</w:t>
      </w:r>
      <w:r>
        <w:rPr>
          <w:rFonts w:hint="eastAsia" w:ascii="仿宋" w:hAnsi="仿宋"/>
          <w:b/>
          <w:highlight w:val="none"/>
        </w:rPr>
        <w:t>库同步</w:t>
      </w:r>
    </w:p>
    <w:p>
      <w:pPr>
        <w:pStyle w:val="721"/>
        <w:ind w:firstLine="480"/>
        <w:rPr>
          <w:rFonts w:ascii="仿宋" w:hAnsi="仿宋"/>
          <w:highlight w:val="none"/>
        </w:rPr>
      </w:pPr>
      <w:r>
        <w:rPr>
          <w:rFonts w:ascii="仿宋" w:hAnsi="仿宋"/>
          <w:highlight w:val="none"/>
        </w:rPr>
        <w:t>LIS、PACS、手麻</w:t>
      </w:r>
      <w:r>
        <w:rPr>
          <w:rFonts w:hint="eastAsia" w:ascii="仿宋" w:hAnsi="仿宋"/>
          <w:highlight w:val="none"/>
        </w:rPr>
        <w:t>系统数据范围：业务系统代码表、病人危急值信息、检验报告、检验报告明细、细菌结果、药敏结果、检查报告、手术信息、器械包信息、麻醉信息、麻醉监测信息、用血申请信息、用血发放和输血信息等。</w:t>
      </w:r>
    </w:p>
    <w:p>
      <w:pPr>
        <w:pStyle w:val="7"/>
        <w:ind w:firstLine="422" w:firstLineChars="150"/>
        <w:rPr>
          <w:highlight w:val="none"/>
        </w:rPr>
      </w:pPr>
      <w:r>
        <w:rPr>
          <w:rFonts w:hint="eastAsia"/>
          <w:highlight w:val="none"/>
        </w:rPr>
        <w:t>B</w:t>
      </w:r>
      <w:r>
        <w:rPr>
          <w:highlight w:val="none"/>
        </w:rPr>
        <w:t>I</w:t>
      </w:r>
      <w:r>
        <w:rPr>
          <w:rFonts w:hint="eastAsia"/>
          <w:highlight w:val="none"/>
        </w:rPr>
        <w:t>展示工具</w:t>
      </w:r>
    </w:p>
    <w:p>
      <w:pPr>
        <w:pStyle w:val="721"/>
        <w:ind w:firstLine="480"/>
        <w:rPr>
          <w:rFonts w:ascii="仿宋" w:hAnsi="仿宋"/>
          <w:highlight w:val="none"/>
        </w:rPr>
      </w:pPr>
      <w:r>
        <w:rPr>
          <w:rFonts w:hint="eastAsia" w:ascii="仿宋" w:hAnsi="仿宋"/>
          <w:highlight w:val="none"/>
        </w:rPr>
        <w:t>Web 报表工具，易学易用，功能强大，简单拖拽操作便可制作中国式复杂报表，轻松实现报表的多样化展示、交互分析、数据录入、权限管理、定时调度、打印输出、门户管理和移动应用等需求。</w:t>
      </w:r>
    </w:p>
    <w:p>
      <w:pPr>
        <w:pStyle w:val="721"/>
        <w:ind w:firstLine="480"/>
        <w:rPr>
          <w:rFonts w:ascii="仿宋" w:hAnsi="仿宋"/>
          <w:highlight w:val="none"/>
        </w:rPr>
      </w:pPr>
      <w:r>
        <w:rPr>
          <w:rFonts w:hint="eastAsia" w:ascii="仿宋" w:hAnsi="仿宋"/>
          <w:highlight w:val="none"/>
        </w:rPr>
        <w:t>1、数据整合</w:t>
      </w:r>
    </w:p>
    <w:p>
      <w:pPr>
        <w:pStyle w:val="721"/>
        <w:ind w:firstLine="480"/>
        <w:rPr>
          <w:rFonts w:ascii="仿宋" w:hAnsi="仿宋"/>
          <w:highlight w:val="none"/>
        </w:rPr>
      </w:pPr>
      <w:r>
        <w:rPr>
          <w:rFonts w:hint="eastAsia" w:ascii="仿宋" w:hAnsi="仿宋"/>
          <w:highlight w:val="none"/>
        </w:rPr>
        <w:t>多数据关联，跨资料库跨资料表取数，简单应用多业务系统资料，集中相关业务资料于一张报表，让更多资料应用于经营分析和业务控制。</w:t>
      </w:r>
    </w:p>
    <w:p>
      <w:pPr>
        <w:pStyle w:val="721"/>
        <w:ind w:firstLine="480"/>
        <w:rPr>
          <w:rFonts w:ascii="仿宋" w:hAnsi="仿宋"/>
          <w:highlight w:val="none"/>
        </w:rPr>
      </w:pPr>
      <w:r>
        <w:rPr>
          <w:rFonts w:hint="eastAsia" w:ascii="仿宋" w:hAnsi="仿宋"/>
          <w:highlight w:val="none"/>
        </w:rPr>
        <w:t>2、数据采集及建模分析</w:t>
      </w:r>
    </w:p>
    <w:p>
      <w:pPr>
        <w:pStyle w:val="721"/>
        <w:ind w:firstLine="480"/>
        <w:rPr>
          <w:rFonts w:ascii="仿宋" w:hAnsi="仿宋"/>
          <w:highlight w:val="none"/>
        </w:rPr>
      </w:pPr>
      <w:r>
        <w:rPr>
          <w:rFonts w:hint="eastAsia" w:ascii="仿宋" w:hAnsi="仿宋"/>
          <w:highlight w:val="none"/>
        </w:rPr>
        <w:t>通过报表设计器，简单灵活设计所需报表。通过报表协同作业与管理系统，进行报表统一访问和管理，实现各种业务主题分析、资料填报等。</w:t>
      </w:r>
    </w:p>
    <w:p>
      <w:pPr>
        <w:pStyle w:val="721"/>
        <w:ind w:firstLine="480"/>
        <w:rPr>
          <w:rFonts w:ascii="仿宋" w:hAnsi="仿宋"/>
          <w:highlight w:val="none"/>
        </w:rPr>
      </w:pPr>
      <w:r>
        <w:rPr>
          <w:rFonts w:hint="eastAsia" w:ascii="仿宋" w:hAnsi="仿宋"/>
          <w:highlight w:val="none"/>
        </w:rPr>
        <w:t>3、数据展示</w:t>
      </w:r>
    </w:p>
    <w:p>
      <w:pPr>
        <w:pStyle w:val="721"/>
        <w:ind w:firstLine="480"/>
        <w:rPr>
          <w:rFonts w:ascii="仿宋" w:hAnsi="仿宋"/>
          <w:highlight w:val="none"/>
        </w:rPr>
      </w:pPr>
      <w:r>
        <w:rPr>
          <w:rFonts w:hint="eastAsia" w:ascii="仿宋" w:hAnsi="仿宋"/>
          <w:highlight w:val="none"/>
        </w:rPr>
        <w:t>通过 PC 端或移动设备访问报表，进行丰富 多样的图表分析、钻取分析、多维度分析、 自定义分析、及时分析等，更好的阅读报表资料，发现资料价值</w:t>
      </w:r>
    </w:p>
    <w:p>
      <w:pPr>
        <w:pStyle w:val="721"/>
        <w:ind w:firstLine="480"/>
        <w:rPr>
          <w:rFonts w:ascii="仿宋" w:hAnsi="仿宋"/>
          <w:highlight w:val="none"/>
        </w:rPr>
      </w:pPr>
      <w:r>
        <w:rPr>
          <w:rFonts w:hint="eastAsia" w:ascii="仿宋" w:hAnsi="仿宋"/>
          <w:highlight w:val="none"/>
        </w:rPr>
        <w:t>功能要求：</w:t>
      </w:r>
    </w:p>
    <w:p>
      <w:pPr>
        <w:pStyle w:val="721"/>
        <w:numPr>
          <w:ilvl w:val="0"/>
          <w:numId w:val="6"/>
        </w:numPr>
        <w:ind w:firstLineChars="0"/>
        <w:rPr>
          <w:rFonts w:ascii="仿宋" w:hAnsi="仿宋"/>
          <w:highlight w:val="none"/>
        </w:rPr>
      </w:pPr>
      <w:r>
        <w:rPr>
          <w:rFonts w:hint="eastAsia" w:ascii="仿宋" w:hAnsi="仿宋"/>
          <w:highlight w:val="none"/>
        </w:rPr>
        <w:t>数据支持：支持多种数据库和类型，并提供了异构数据源模型，使得同一张报表的数据可以来源于同一数据库的多个不同表，或多个不同数据库</w:t>
      </w:r>
    </w:p>
    <w:p>
      <w:pPr>
        <w:pStyle w:val="721"/>
        <w:numPr>
          <w:ilvl w:val="0"/>
          <w:numId w:val="6"/>
        </w:numPr>
        <w:ind w:firstLineChars="0"/>
        <w:rPr>
          <w:rFonts w:ascii="仿宋" w:hAnsi="仿宋"/>
          <w:highlight w:val="none"/>
        </w:rPr>
      </w:pPr>
      <w:r>
        <w:rPr>
          <w:rFonts w:hint="eastAsia" w:ascii="仿宋" w:hAnsi="仿宋"/>
          <w:highlight w:val="none"/>
        </w:rPr>
        <w:t>复杂报表处理：提供行列对称、分组分页分栏、动态格间运算、聚合报表等一系列功能</w:t>
      </w:r>
    </w:p>
    <w:p>
      <w:pPr>
        <w:pStyle w:val="721"/>
        <w:numPr>
          <w:ilvl w:val="0"/>
          <w:numId w:val="6"/>
        </w:numPr>
        <w:ind w:firstLineChars="0"/>
        <w:rPr>
          <w:rFonts w:ascii="仿宋" w:hAnsi="仿宋"/>
          <w:highlight w:val="none"/>
        </w:rPr>
      </w:pPr>
      <w:r>
        <w:rPr>
          <w:rFonts w:hint="eastAsia" w:ascii="仿宋" w:hAnsi="仿宋"/>
          <w:highlight w:val="none"/>
        </w:rPr>
        <w:t>图表：自主研发H5图表，19种图表大类和超过50种图表样式</w:t>
      </w:r>
    </w:p>
    <w:p>
      <w:pPr>
        <w:pStyle w:val="721"/>
        <w:numPr>
          <w:ilvl w:val="0"/>
          <w:numId w:val="6"/>
        </w:numPr>
        <w:ind w:firstLineChars="0"/>
        <w:rPr>
          <w:rFonts w:ascii="仿宋" w:hAnsi="仿宋"/>
          <w:highlight w:val="none"/>
        </w:rPr>
      </w:pPr>
      <w:r>
        <w:rPr>
          <w:rFonts w:hint="eastAsia" w:ascii="仿宋" w:hAnsi="仿宋"/>
          <w:highlight w:val="none"/>
        </w:rPr>
        <w:t>决策报表：响应式布局，组件独立自由刷新，适用于构建管理驾驶舱</w:t>
      </w:r>
    </w:p>
    <w:p>
      <w:pPr>
        <w:pStyle w:val="721"/>
        <w:numPr>
          <w:ilvl w:val="0"/>
          <w:numId w:val="6"/>
        </w:numPr>
        <w:ind w:firstLineChars="0"/>
        <w:rPr>
          <w:rFonts w:ascii="仿宋" w:hAnsi="仿宋"/>
          <w:highlight w:val="none"/>
        </w:rPr>
      </w:pPr>
      <w:r>
        <w:rPr>
          <w:rFonts w:hint="eastAsia" w:ascii="仿宋" w:hAnsi="仿宋"/>
          <w:highlight w:val="none"/>
        </w:rPr>
        <w:t>交互分析：图表联动、数据联动、多维数据钻取、任意组合钻取、无限层次钻取、多维数据分析、及时分析、控件查询</w:t>
      </w:r>
    </w:p>
    <w:p>
      <w:pPr>
        <w:pStyle w:val="721"/>
        <w:numPr>
          <w:ilvl w:val="0"/>
          <w:numId w:val="6"/>
        </w:numPr>
        <w:ind w:firstLineChars="0"/>
        <w:rPr>
          <w:rFonts w:ascii="仿宋" w:hAnsi="仿宋"/>
          <w:highlight w:val="none"/>
        </w:rPr>
      </w:pPr>
      <w:r>
        <w:rPr>
          <w:rFonts w:hint="eastAsia" w:ascii="仿宋" w:hAnsi="仿宋"/>
          <w:highlight w:val="none"/>
        </w:rPr>
        <w:t>参数控件：可视化参数配置，丰富的参数控件，自定义各类高级数据筛查</w:t>
      </w:r>
    </w:p>
    <w:p>
      <w:pPr>
        <w:pStyle w:val="721"/>
        <w:numPr>
          <w:ilvl w:val="0"/>
          <w:numId w:val="6"/>
        </w:numPr>
        <w:ind w:firstLineChars="0"/>
        <w:rPr>
          <w:rFonts w:ascii="仿宋" w:hAnsi="仿宋"/>
          <w:highlight w:val="none"/>
        </w:rPr>
      </w:pPr>
      <w:r>
        <w:rPr>
          <w:rFonts w:hint="eastAsia" w:ascii="仿宋" w:hAnsi="仿宋"/>
          <w:highlight w:val="none"/>
        </w:rPr>
        <w:t>数据填报：支持多样式数据录入，校验，多级流转，支持多Sheet填报，分页填报、批量Excel导入等</w:t>
      </w:r>
    </w:p>
    <w:p>
      <w:pPr>
        <w:pStyle w:val="721"/>
        <w:numPr>
          <w:ilvl w:val="0"/>
          <w:numId w:val="6"/>
        </w:numPr>
        <w:ind w:firstLineChars="0"/>
        <w:rPr>
          <w:rFonts w:ascii="仿宋" w:hAnsi="仿宋"/>
          <w:highlight w:val="none"/>
        </w:rPr>
      </w:pPr>
      <w:r>
        <w:rPr>
          <w:rFonts w:hint="eastAsia" w:ascii="仿宋" w:hAnsi="仿宋"/>
          <w:highlight w:val="none"/>
        </w:rPr>
        <w:t>打印输出：支持所有主流的打印方式以及文件输出类型，支持属性自定义</w:t>
      </w:r>
    </w:p>
    <w:p>
      <w:pPr>
        <w:pStyle w:val="721"/>
        <w:numPr>
          <w:ilvl w:val="0"/>
          <w:numId w:val="6"/>
        </w:numPr>
        <w:ind w:firstLineChars="0"/>
        <w:rPr>
          <w:rFonts w:ascii="仿宋" w:hAnsi="仿宋"/>
          <w:highlight w:val="none"/>
        </w:rPr>
      </w:pPr>
      <w:r>
        <w:rPr>
          <w:rFonts w:hint="eastAsia" w:ascii="仿宋" w:hAnsi="仿宋"/>
          <w:highlight w:val="none"/>
        </w:rPr>
        <w:t>移动应用：原生与H5两种方式，支持OEM，支持与微信，钉钉集成</w:t>
      </w:r>
    </w:p>
    <w:p>
      <w:pPr>
        <w:pStyle w:val="721"/>
        <w:numPr>
          <w:ilvl w:val="0"/>
          <w:numId w:val="6"/>
        </w:numPr>
        <w:ind w:firstLineChars="0"/>
        <w:rPr>
          <w:rFonts w:ascii="仿宋" w:hAnsi="仿宋"/>
          <w:highlight w:val="none"/>
        </w:rPr>
      </w:pPr>
      <w:r>
        <w:rPr>
          <w:rFonts w:hint="eastAsia" w:ascii="仿宋" w:hAnsi="仿宋"/>
          <w:highlight w:val="none"/>
        </w:rPr>
        <w:t>大屏应用：大屏幕上的数据化管理驾驶舱</w:t>
      </w:r>
    </w:p>
    <w:p>
      <w:pPr>
        <w:pStyle w:val="721"/>
        <w:numPr>
          <w:ilvl w:val="0"/>
          <w:numId w:val="6"/>
        </w:numPr>
        <w:ind w:firstLineChars="0"/>
        <w:rPr>
          <w:rFonts w:ascii="仿宋" w:hAnsi="仿宋"/>
          <w:highlight w:val="none"/>
        </w:rPr>
      </w:pPr>
      <w:r>
        <w:rPr>
          <w:rFonts w:hint="eastAsia" w:ascii="仿宋" w:hAnsi="仿宋"/>
          <w:highlight w:val="none"/>
        </w:rPr>
        <w:t>权限控制：丰富的权限认证方式和细致的权限粒度控制方案,更可方便实现单点登录</w:t>
      </w:r>
    </w:p>
    <w:p>
      <w:pPr>
        <w:pStyle w:val="7"/>
        <w:ind w:firstLine="422" w:firstLineChars="150"/>
        <w:rPr>
          <w:highlight w:val="none"/>
        </w:rPr>
      </w:pPr>
      <w:r>
        <w:rPr>
          <w:rFonts w:hint="eastAsia"/>
          <w:highlight w:val="none"/>
        </w:rPr>
        <w:t>E</w:t>
      </w:r>
      <w:r>
        <w:rPr>
          <w:highlight w:val="none"/>
        </w:rPr>
        <w:t>TL</w:t>
      </w:r>
      <w:r>
        <w:rPr>
          <w:rFonts w:hint="eastAsia"/>
          <w:highlight w:val="none"/>
        </w:rPr>
        <w:t>工具系统</w:t>
      </w:r>
    </w:p>
    <w:p>
      <w:pPr>
        <w:pStyle w:val="721"/>
        <w:ind w:firstLine="480"/>
        <w:rPr>
          <w:rFonts w:ascii="仿宋" w:hAnsi="仿宋"/>
          <w:highlight w:val="none"/>
        </w:rPr>
      </w:pPr>
      <w:r>
        <w:rPr>
          <w:rFonts w:hint="eastAsia" w:ascii="仿宋" w:hAnsi="仿宋"/>
          <w:highlight w:val="none"/>
        </w:rPr>
        <w:t>数据同步的方式：</w:t>
      </w:r>
    </w:p>
    <w:p>
      <w:pPr>
        <w:pStyle w:val="721"/>
        <w:ind w:firstLine="480"/>
        <w:rPr>
          <w:rFonts w:ascii="仿宋" w:hAnsi="仿宋"/>
          <w:highlight w:val="none"/>
        </w:rPr>
      </w:pPr>
      <w:r>
        <w:rPr>
          <w:rFonts w:hint="eastAsia" w:ascii="仿宋" w:hAnsi="仿宋"/>
          <w:highlight w:val="none"/>
        </w:rPr>
        <w:t>1、在线同步</w:t>
      </w:r>
    </w:p>
    <w:p>
      <w:pPr>
        <w:pStyle w:val="721"/>
        <w:ind w:firstLine="480"/>
        <w:rPr>
          <w:rFonts w:ascii="仿宋" w:hAnsi="仿宋"/>
          <w:highlight w:val="none"/>
        </w:rPr>
      </w:pPr>
      <w:r>
        <w:rPr>
          <w:rFonts w:ascii="仿宋" w:hAnsi="仿宋"/>
          <w:highlight w:val="none"/>
        </w:rPr>
        <w:t>ODS操作库</w:t>
      </w:r>
      <w:r>
        <w:rPr>
          <w:rFonts w:hint="eastAsia" w:ascii="仿宋" w:hAnsi="仿宋"/>
          <w:highlight w:val="none"/>
        </w:rPr>
        <w:t>依然对应用层系统提供数据服务，在数据不断发生变化的情况下将变化数据同步到其他目的库。这里面的变化包括插入、更新、删除。</w:t>
      </w:r>
    </w:p>
    <w:p>
      <w:pPr>
        <w:pStyle w:val="721"/>
        <w:ind w:firstLine="480"/>
        <w:rPr>
          <w:rFonts w:ascii="仿宋" w:hAnsi="仿宋"/>
          <w:highlight w:val="none"/>
        </w:rPr>
      </w:pPr>
      <w:r>
        <w:rPr>
          <w:rFonts w:hint="eastAsia" w:ascii="仿宋" w:hAnsi="仿宋"/>
          <w:highlight w:val="none"/>
        </w:rPr>
        <w:t>2、全量同步和增量同步</w:t>
      </w:r>
    </w:p>
    <w:p>
      <w:pPr>
        <w:pStyle w:val="721"/>
        <w:ind w:firstLine="480"/>
        <w:rPr>
          <w:rFonts w:ascii="仿宋" w:hAnsi="仿宋"/>
          <w:highlight w:val="none"/>
        </w:rPr>
      </w:pPr>
      <w:r>
        <w:rPr>
          <w:rFonts w:hint="eastAsia" w:ascii="仿宋" w:hAnsi="仿宋"/>
          <w:highlight w:val="none"/>
        </w:rPr>
        <w:t>第一次数据同步采用全量同步，将当前可以看到的源表上的所有数据一次性全部同步到目的库表（源表数量可能非常大）。而后面针对变化的数据，再进行增量同步。</w:t>
      </w:r>
    </w:p>
    <w:p>
      <w:pPr>
        <w:pStyle w:val="721"/>
        <w:ind w:firstLine="480"/>
        <w:rPr>
          <w:rFonts w:ascii="仿宋" w:hAnsi="仿宋"/>
          <w:highlight w:val="none"/>
        </w:rPr>
      </w:pPr>
      <w:r>
        <w:rPr>
          <w:rFonts w:hint="eastAsia" w:ascii="仿宋" w:hAnsi="仿宋"/>
          <w:highlight w:val="none"/>
        </w:rPr>
        <w:t>该</w:t>
      </w:r>
      <w:r>
        <w:rPr>
          <w:rFonts w:ascii="仿宋" w:hAnsi="仿宋"/>
          <w:highlight w:val="none"/>
        </w:rPr>
        <w:t>服务通过ETL</w:t>
      </w:r>
      <w:r>
        <w:rPr>
          <w:rFonts w:hint="eastAsia" w:ascii="仿宋" w:hAnsi="仿宋"/>
          <w:highlight w:val="none"/>
        </w:rPr>
        <w:t>技术</w:t>
      </w:r>
      <w:r>
        <w:rPr>
          <w:rFonts w:ascii="仿宋" w:hAnsi="仿宋"/>
          <w:highlight w:val="none"/>
        </w:rPr>
        <w:t>，</w:t>
      </w:r>
      <w:r>
        <w:rPr>
          <w:rFonts w:hint="eastAsia" w:ascii="仿宋" w:hAnsi="仿宋"/>
          <w:highlight w:val="none"/>
        </w:rPr>
        <w:t>将ODS</w:t>
      </w:r>
      <w:r>
        <w:rPr>
          <w:rFonts w:ascii="仿宋" w:hAnsi="仿宋"/>
          <w:highlight w:val="none"/>
        </w:rPr>
        <w:t>备份统计数据中心中的数据，</w:t>
      </w:r>
      <w:r>
        <w:rPr>
          <w:rFonts w:hint="eastAsia" w:ascii="仿宋" w:hAnsi="仿宋"/>
          <w:highlight w:val="none"/>
        </w:rPr>
        <w:t>增量抓取</w:t>
      </w:r>
      <w:r>
        <w:rPr>
          <w:rFonts w:ascii="仿宋" w:hAnsi="仿宋"/>
          <w:highlight w:val="none"/>
        </w:rPr>
        <w:t>、清洗、转化为标准数据集之后，加载到CDR与ODR数据中心。</w:t>
      </w:r>
    </w:p>
    <w:p>
      <w:pPr>
        <w:pStyle w:val="721"/>
        <w:ind w:firstLine="480"/>
        <w:rPr>
          <w:rFonts w:ascii="仿宋" w:hAnsi="仿宋"/>
          <w:highlight w:val="none"/>
        </w:rPr>
      </w:pPr>
      <w:r>
        <w:rPr>
          <w:rFonts w:ascii="仿宋" w:hAnsi="仿宋"/>
          <w:highlight w:val="none"/>
        </w:rPr>
        <w:t>ETL是英文 Extract-Transform-Load 的</w:t>
      </w:r>
      <w:r>
        <w:rPr>
          <w:rFonts w:hint="eastAsia" w:ascii="仿宋" w:hAnsi="仿宋"/>
          <w:highlight w:val="none"/>
        </w:rPr>
        <w:t>缩写</w:t>
      </w:r>
      <w:r>
        <w:rPr>
          <w:rFonts w:ascii="仿宋" w:hAnsi="仿宋"/>
          <w:highlight w:val="none"/>
        </w:rPr>
        <w:t>，用来描述将数据从来源端经过萃取（extract）、转置（transform）、加载（load）至目的端的过程</w:t>
      </w:r>
      <w:r>
        <w:rPr>
          <w:rFonts w:hint="eastAsia" w:ascii="仿宋" w:hAnsi="仿宋"/>
          <w:highlight w:val="none"/>
        </w:rPr>
        <w:t>，为了实现这些功能，ETL工具会进行一些功能上的扩充，例如工作流、调度引擎、规则引擎、脚本支持、统计信息等。</w:t>
      </w:r>
    </w:p>
    <w:p>
      <w:pPr>
        <w:pStyle w:val="721"/>
        <w:ind w:firstLine="480"/>
        <w:rPr>
          <w:rFonts w:ascii="仿宋" w:hAnsi="仿宋"/>
          <w:highlight w:val="none"/>
        </w:rPr>
      </w:pPr>
      <w:r>
        <w:rPr>
          <w:rFonts w:ascii="仿宋" w:hAnsi="仿宋"/>
          <w:highlight w:val="none"/>
        </w:rPr>
        <w:t>ETL的源端是ODS操作库，目标端是ODR、CDR数据中心。</w:t>
      </w:r>
    </w:p>
    <w:p>
      <w:pPr>
        <w:pStyle w:val="721"/>
        <w:ind w:firstLine="480"/>
        <w:rPr>
          <w:rFonts w:ascii="仿宋" w:hAnsi="仿宋"/>
          <w:highlight w:val="none"/>
        </w:rPr>
      </w:pPr>
      <w:r>
        <w:rPr>
          <w:rFonts w:hint="eastAsia" w:ascii="仿宋" w:hAnsi="仿宋"/>
          <w:highlight w:val="none"/>
        </w:rPr>
        <w:t>功能要求：</w:t>
      </w:r>
    </w:p>
    <w:p>
      <w:pPr>
        <w:pStyle w:val="721"/>
        <w:ind w:firstLine="480"/>
        <w:rPr>
          <w:rFonts w:ascii="仿宋" w:hAnsi="仿宋"/>
          <w:b/>
          <w:highlight w:val="none"/>
        </w:rPr>
      </w:pPr>
      <w:bookmarkStart w:id="15" w:name="_Toc71377158"/>
      <w:bookmarkStart w:id="16" w:name="_Toc99367671"/>
      <w:r>
        <w:rPr>
          <w:rFonts w:hint="eastAsia" w:ascii="仿宋" w:hAnsi="仿宋"/>
          <w:b/>
          <w:highlight w:val="none"/>
        </w:rPr>
        <w:t>Extract</w:t>
      </w:r>
      <w:bookmarkEnd w:id="15"/>
      <w:bookmarkEnd w:id="16"/>
    </w:p>
    <w:p>
      <w:pPr>
        <w:pStyle w:val="721"/>
        <w:ind w:firstLine="480"/>
        <w:rPr>
          <w:rFonts w:ascii="仿宋" w:hAnsi="仿宋"/>
          <w:highlight w:val="none"/>
        </w:rPr>
      </w:pPr>
      <w:r>
        <w:rPr>
          <w:rFonts w:hint="eastAsia" w:ascii="仿宋" w:hAnsi="仿宋"/>
          <w:highlight w:val="none"/>
        </w:rPr>
        <w:t>从数据源获取数据。在数据抽取时，尽量将没用的数据，不对的数据在抽取时过滤掉，格式等不符合的转换掉。如果源系统对自己的性能要求比较高，则用对源系统打扰尽量少的方式获取，然后再做处理。涉及到的功能主要有：</w:t>
      </w:r>
    </w:p>
    <w:p>
      <w:pPr>
        <w:pStyle w:val="721"/>
        <w:ind w:firstLine="480"/>
        <w:rPr>
          <w:rFonts w:ascii="仿宋" w:hAnsi="仿宋"/>
          <w:highlight w:val="none"/>
        </w:rPr>
      </w:pPr>
      <w:r>
        <w:rPr>
          <w:rFonts w:hint="eastAsia" w:ascii="仿宋" w:hAnsi="仿宋"/>
          <w:highlight w:val="none"/>
        </w:rPr>
        <w:t>范围过滤：抽取表中所有数据或者根据时间抽取相应数据</w:t>
      </w:r>
    </w:p>
    <w:p>
      <w:pPr>
        <w:pStyle w:val="721"/>
        <w:ind w:firstLine="480"/>
        <w:rPr>
          <w:rFonts w:ascii="仿宋" w:hAnsi="仿宋"/>
          <w:highlight w:val="none"/>
        </w:rPr>
      </w:pPr>
      <w:r>
        <w:rPr>
          <w:rFonts w:hint="eastAsia" w:ascii="仿宋" w:hAnsi="仿宋"/>
          <w:highlight w:val="none"/>
        </w:rPr>
        <w:t>字段过滤：只抽取需要的字段，不需要的就不用管</w:t>
      </w:r>
    </w:p>
    <w:p>
      <w:pPr>
        <w:pStyle w:val="721"/>
        <w:ind w:firstLine="480"/>
        <w:rPr>
          <w:rFonts w:ascii="仿宋" w:hAnsi="仿宋"/>
          <w:highlight w:val="none"/>
        </w:rPr>
      </w:pPr>
      <w:r>
        <w:rPr>
          <w:rFonts w:hint="eastAsia" w:ascii="仿宋" w:hAnsi="仿宋"/>
          <w:highlight w:val="none"/>
        </w:rPr>
        <w:t>条件过滤：根据抽取条件抽取数据</w:t>
      </w:r>
    </w:p>
    <w:p>
      <w:pPr>
        <w:pStyle w:val="721"/>
        <w:ind w:firstLine="480"/>
        <w:rPr>
          <w:rFonts w:ascii="仿宋" w:hAnsi="仿宋"/>
          <w:highlight w:val="none"/>
        </w:rPr>
      </w:pPr>
      <w:r>
        <w:rPr>
          <w:rFonts w:hint="eastAsia" w:ascii="仿宋" w:hAnsi="仿宋"/>
          <w:highlight w:val="none"/>
        </w:rPr>
        <w:t>格式转换：特别是时间格式，最好是做成统一格式</w:t>
      </w:r>
    </w:p>
    <w:p>
      <w:pPr>
        <w:pStyle w:val="721"/>
        <w:ind w:firstLine="480"/>
        <w:rPr>
          <w:rFonts w:ascii="仿宋" w:hAnsi="仿宋"/>
          <w:highlight w:val="none"/>
        </w:rPr>
      </w:pPr>
      <w:r>
        <w:rPr>
          <w:rFonts w:hint="eastAsia" w:ascii="仿宋" w:hAnsi="仿宋"/>
          <w:highlight w:val="none"/>
        </w:rPr>
        <w:t>赋缺省值：对于空的部分数据，根据需要赋一个缺省值</w:t>
      </w:r>
    </w:p>
    <w:p>
      <w:pPr>
        <w:pStyle w:val="721"/>
        <w:ind w:firstLine="480"/>
        <w:rPr>
          <w:rFonts w:ascii="仿宋" w:hAnsi="仿宋"/>
          <w:highlight w:val="none"/>
        </w:rPr>
      </w:pPr>
      <w:r>
        <w:rPr>
          <w:rFonts w:hint="eastAsia" w:ascii="仿宋" w:hAnsi="仿宋"/>
          <w:highlight w:val="none"/>
        </w:rPr>
        <w:t>类型变换：如将number类型转换为varchar类型</w:t>
      </w:r>
    </w:p>
    <w:p>
      <w:pPr>
        <w:pStyle w:val="721"/>
        <w:ind w:firstLine="480"/>
        <w:rPr>
          <w:rFonts w:ascii="仿宋" w:hAnsi="仿宋"/>
          <w:highlight w:val="none"/>
        </w:rPr>
      </w:pPr>
      <w:r>
        <w:rPr>
          <w:rFonts w:hint="eastAsia" w:ascii="仿宋" w:hAnsi="仿宋"/>
          <w:highlight w:val="none"/>
        </w:rPr>
        <w:t>代码转换：就是将在不同源系统中同一含义不同的编码表示转换成统一的编码表示，如将代表性别“男”的'N'，'0'转换成'M'</w:t>
      </w:r>
    </w:p>
    <w:p>
      <w:pPr>
        <w:pStyle w:val="721"/>
        <w:ind w:firstLine="480"/>
        <w:rPr>
          <w:rFonts w:ascii="仿宋" w:hAnsi="仿宋"/>
          <w:highlight w:val="none"/>
        </w:rPr>
      </w:pPr>
      <w:r>
        <w:rPr>
          <w:rFonts w:hint="eastAsia" w:ascii="仿宋" w:hAnsi="仿宋"/>
          <w:highlight w:val="none"/>
        </w:rPr>
        <w:t>数值转换：就是度量单位的转换</w:t>
      </w:r>
    </w:p>
    <w:p>
      <w:pPr>
        <w:pStyle w:val="721"/>
        <w:ind w:firstLine="480"/>
        <w:rPr>
          <w:rFonts w:ascii="仿宋" w:hAnsi="仿宋"/>
          <w:b/>
          <w:highlight w:val="none"/>
        </w:rPr>
      </w:pPr>
      <w:bookmarkStart w:id="17" w:name="_Toc99367672"/>
      <w:bookmarkStart w:id="18" w:name="_Toc71377159"/>
      <w:r>
        <w:rPr>
          <w:rFonts w:hint="eastAsia" w:ascii="仿宋" w:hAnsi="仿宋"/>
          <w:b/>
          <w:highlight w:val="none"/>
        </w:rPr>
        <w:t>Transform</w:t>
      </w:r>
      <w:bookmarkEnd w:id="17"/>
      <w:bookmarkEnd w:id="18"/>
    </w:p>
    <w:p>
      <w:pPr>
        <w:pStyle w:val="721"/>
        <w:ind w:firstLine="480"/>
        <w:rPr>
          <w:rFonts w:ascii="仿宋" w:hAnsi="仿宋"/>
          <w:highlight w:val="none"/>
        </w:rPr>
      </w:pPr>
      <w:r>
        <w:rPr>
          <w:rFonts w:hint="eastAsia" w:ascii="仿宋" w:hAnsi="仿宋"/>
          <w:highlight w:val="none"/>
        </w:rPr>
        <w:t>将抽取的数据，进行一定的处理，生成目标表所需要的格式、内容。涉及到的处理主要有：</w:t>
      </w:r>
    </w:p>
    <w:p>
      <w:pPr>
        <w:pStyle w:val="721"/>
        <w:ind w:firstLine="480"/>
        <w:rPr>
          <w:rFonts w:ascii="仿宋" w:hAnsi="仿宋"/>
          <w:highlight w:val="none"/>
        </w:rPr>
      </w:pPr>
      <w:r>
        <w:rPr>
          <w:rFonts w:hint="eastAsia" w:ascii="仿宋" w:hAnsi="仿宋"/>
          <w:highlight w:val="none"/>
        </w:rPr>
        <w:t>字段合并、拆分：字段合并就是将多个字段合并成一个字段；拆分就是将一个字段拆成多个字段</w:t>
      </w:r>
    </w:p>
    <w:p>
      <w:pPr>
        <w:pStyle w:val="721"/>
        <w:ind w:firstLine="480"/>
        <w:rPr>
          <w:rFonts w:ascii="仿宋" w:hAnsi="仿宋"/>
          <w:highlight w:val="none"/>
        </w:rPr>
      </w:pPr>
      <w:r>
        <w:rPr>
          <w:rFonts w:hint="eastAsia" w:ascii="仿宋" w:hAnsi="仿宋"/>
          <w:highlight w:val="none"/>
        </w:rPr>
        <w:t>数据翻译：就是不同的数据集进行关联，从另一个数据集中得到所需要的部分数据</w:t>
      </w:r>
    </w:p>
    <w:p>
      <w:pPr>
        <w:pStyle w:val="721"/>
        <w:ind w:firstLine="480"/>
        <w:rPr>
          <w:rFonts w:ascii="仿宋" w:hAnsi="仿宋"/>
          <w:highlight w:val="none"/>
        </w:rPr>
      </w:pPr>
      <w:r>
        <w:rPr>
          <w:rFonts w:hint="eastAsia" w:ascii="仿宋" w:hAnsi="仿宋"/>
          <w:highlight w:val="none"/>
        </w:rPr>
        <w:t>数据聚合：就是做一些sum,max等操作</w:t>
      </w:r>
    </w:p>
    <w:p>
      <w:pPr>
        <w:pStyle w:val="721"/>
        <w:ind w:firstLine="480"/>
        <w:rPr>
          <w:rFonts w:ascii="仿宋" w:hAnsi="仿宋"/>
          <w:highlight w:val="none"/>
        </w:rPr>
      </w:pPr>
      <w:r>
        <w:rPr>
          <w:rFonts w:hint="eastAsia" w:ascii="仿宋" w:hAnsi="仿宋"/>
          <w:highlight w:val="none"/>
        </w:rPr>
        <w:t>数据合并：相当于数据库中的merge</w:t>
      </w:r>
    </w:p>
    <w:p>
      <w:pPr>
        <w:pStyle w:val="721"/>
        <w:ind w:firstLine="480"/>
        <w:rPr>
          <w:rFonts w:ascii="仿宋" w:hAnsi="仿宋"/>
          <w:highlight w:val="none"/>
        </w:rPr>
      </w:pPr>
      <w:r>
        <w:rPr>
          <w:rFonts w:hint="eastAsia" w:ascii="仿宋" w:hAnsi="仿宋"/>
          <w:highlight w:val="none"/>
        </w:rPr>
        <w:t>行列转换：需要将某些数据转换成行，或者是将行转换成列</w:t>
      </w:r>
    </w:p>
    <w:p>
      <w:pPr>
        <w:pStyle w:val="721"/>
        <w:ind w:firstLine="480"/>
        <w:rPr>
          <w:rFonts w:ascii="仿宋" w:hAnsi="仿宋"/>
          <w:highlight w:val="none"/>
        </w:rPr>
      </w:pPr>
      <w:r>
        <w:rPr>
          <w:rFonts w:hint="eastAsia" w:ascii="仿宋" w:hAnsi="仿宋"/>
          <w:highlight w:val="none"/>
        </w:rPr>
        <w:t>参照完整性检查：对于数据中的参照完整性，入库前需要进行关联等方式检查其参照完整性</w:t>
      </w:r>
    </w:p>
    <w:p>
      <w:pPr>
        <w:pStyle w:val="721"/>
        <w:ind w:firstLine="480"/>
        <w:rPr>
          <w:rFonts w:ascii="仿宋" w:hAnsi="仿宋"/>
          <w:highlight w:val="none"/>
        </w:rPr>
      </w:pPr>
      <w:r>
        <w:rPr>
          <w:rFonts w:hint="eastAsia" w:ascii="仿宋" w:hAnsi="仿宋"/>
          <w:highlight w:val="none"/>
        </w:rPr>
        <w:t>唯一性检查：对数据进行去重操作</w:t>
      </w:r>
    </w:p>
    <w:p>
      <w:pPr>
        <w:pStyle w:val="721"/>
        <w:ind w:firstLine="480"/>
        <w:rPr>
          <w:rFonts w:ascii="仿宋" w:hAnsi="仿宋"/>
          <w:b/>
          <w:highlight w:val="none"/>
        </w:rPr>
      </w:pPr>
      <w:bookmarkStart w:id="19" w:name="_Toc99367673"/>
      <w:bookmarkStart w:id="20" w:name="_Toc71377160"/>
      <w:r>
        <w:rPr>
          <w:rFonts w:hint="eastAsia" w:ascii="仿宋" w:hAnsi="仿宋"/>
          <w:b/>
          <w:highlight w:val="none"/>
        </w:rPr>
        <w:t>Load</w:t>
      </w:r>
      <w:bookmarkEnd w:id="19"/>
      <w:bookmarkEnd w:id="20"/>
    </w:p>
    <w:p>
      <w:pPr>
        <w:pStyle w:val="721"/>
        <w:ind w:firstLine="480"/>
        <w:rPr>
          <w:rFonts w:ascii="仿宋" w:hAnsi="仿宋"/>
          <w:highlight w:val="none"/>
        </w:rPr>
      </w:pPr>
      <w:r>
        <w:rPr>
          <w:rFonts w:hint="eastAsia" w:ascii="仿宋" w:hAnsi="仿宋"/>
          <w:highlight w:val="none"/>
        </w:rPr>
        <w:t>将数据入库，如果经过</w:t>
      </w:r>
      <w:r>
        <w:rPr>
          <w:rFonts w:ascii="仿宋" w:hAnsi="仿宋"/>
          <w:highlight w:val="none"/>
        </w:rPr>
        <w:t>前面</w:t>
      </w:r>
      <w:r>
        <w:rPr>
          <w:rFonts w:hint="eastAsia" w:ascii="仿宋" w:hAnsi="仿宋"/>
          <w:highlight w:val="none"/>
        </w:rPr>
        <w:t>的</w:t>
      </w:r>
      <w:r>
        <w:rPr>
          <w:rFonts w:ascii="仿宋" w:hAnsi="仿宋"/>
          <w:highlight w:val="none"/>
        </w:rPr>
        <w:t>ET过程</w:t>
      </w:r>
      <w:r>
        <w:rPr>
          <w:rFonts w:hint="eastAsia" w:ascii="仿宋" w:hAnsi="仿宋"/>
          <w:highlight w:val="none"/>
        </w:rPr>
        <w:t>，数据就可以直接入库了。主要</w:t>
      </w:r>
      <w:r>
        <w:rPr>
          <w:rFonts w:ascii="仿宋" w:hAnsi="仿宋"/>
          <w:highlight w:val="none"/>
        </w:rPr>
        <w:t>包含的功能如下：</w:t>
      </w:r>
    </w:p>
    <w:p>
      <w:pPr>
        <w:pStyle w:val="721"/>
        <w:ind w:firstLine="480"/>
        <w:rPr>
          <w:rFonts w:ascii="仿宋" w:hAnsi="仿宋"/>
          <w:highlight w:val="none"/>
        </w:rPr>
      </w:pPr>
      <w:r>
        <w:rPr>
          <w:rFonts w:hint="eastAsia" w:ascii="仿宋" w:hAnsi="仿宋"/>
          <w:highlight w:val="none"/>
        </w:rPr>
        <w:t>更新入库：对数据库中的记录进行更新</w:t>
      </w:r>
    </w:p>
    <w:p>
      <w:pPr>
        <w:pStyle w:val="721"/>
        <w:ind w:firstLine="480"/>
        <w:rPr>
          <w:rFonts w:ascii="仿宋" w:hAnsi="仿宋"/>
          <w:highlight w:val="none"/>
        </w:rPr>
      </w:pPr>
      <w:r>
        <w:rPr>
          <w:rFonts w:hint="eastAsia" w:ascii="仿宋" w:hAnsi="仿宋"/>
          <w:highlight w:val="none"/>
        </w:rPr>
        <w:t>插入：就是将数据直接入库</w:t>
      </w:r>
    </w:p>
    <w:p>
      <w:pPr>
        <w:pStyle w:val="721"/>
        <w:ind w:firstLine="480"/>
        <w:rPr>
          <w:rFonts w:ascii="仿宋" w:hAnsi="仿宋"/>
          <w:highlight w:val="none"/>
        </w:rPr>
      </w:pPr>
      <w:r>
        <w:rPr>
          <w:rFonts w:hint="eastAsia" w:ascii="仿宋" w:hAnsi="仿宋"/>
          <w:highlight w:val="none"/>
        </w:rPr>
        <w:t>刷新：将表中的数据清空，然后入库</w:t>
      </w:r>
    </w:p>
    <w:p>
      <w:pPr>
        <w:pStyle w:val="721"/>
        <w:ind w:firstLine="480"/>
        <w:rPr>
          <w:rFonts w:ascii="仿宋" w:hAnsi="仿宋"/>
          <w:highlight w:val="none"/>
        </w:rPr>
      </w:pPr>
      <w:r>
        <w:rPr>
          <w:rFonts w:hint="eastAsia" w:ascii="仿宋" w:hAnsi="仿宋"/>
          <w:highlight w:val="none"/>
        </w:rPr>
        <w:t>部分刷新：将表中的部分数据清除，然后入库</w:t>
      </w:r>
    </w:p>
    <w:p>
      <w:pPr>
        <w:pStyle w:val="721"/>
        <w:ind w:firstLine="480"/>
        <w:rPr>
          <w:rFonts w:ascii="仿宋" w:hAnsi="仿宋"/>
          <w:b/>
          <w:highlight w:val="none"/>
        </w:rPr>
      </w:pPr>
      <w:bookmarkStart w:id="21" w:name="_Toc99367674"/>
      <w:bookmarkStart w:id="22" w:name="_Toc71377161"/>
      <w:r>
        <w:rPr>
          <w:rFonts w:ascii="仿宋" w:hAnsi="仿宋"/>
          <w:b/>
          <w:highlight w:val="none"/>
        </w:rPr>
        <w:t>JOB调度</w:t>
      </w:r>
      <w:bookmarkEnd w:id="21"/>
      <w:bookmarkEnd w:id="22"/>
    </w:p>
    <w:p>
      <w:pPr>
        <w:pStyle w:val="721"/>
        <w:ind w:firstLine="480"/>
        <w:rPr>
          <w:rFonts w:ascii="仿宋" w:hAnsi="仿宋"/>
          <w:highlight w:val="none"/>
        </w:rPr>
      </w:pPr>
      <w:r>
        <w:rPr>
          <w:rFonts w:hint="eastAsia" w:ascii="仿宋" w:hAnsi="仿宋"/>
          <w:highlight w:val="none"/>
        </w:rPr>
        <w:t>调度是ETL的灵魂，ETL调度的设计，决定了ETL所能实现的功能以及灵活性，也决定了其他ETL部分工作量的大小。调度涉及到的问题主要有优先级，顺序乱序执行，出错处理，重传处理，调度监控。</w:t>
      </w:r>
    </w:p>
    <w:p>
      <w:pPr>
        <w:pStyle w:val="721"/>
        <w:ind w:firstLine="480"/>
        <w:rPr>
          <w:rFonts w:ascii="仿宋" w:hAnsi="仿宋"/>
          <w:highlight w:val="none"/>
        </w:rPr>
      </w:pPr>
      <w:r>
        <w:rPr>
          <w:rFonts w:hint="eastAsia" w:ascii="仿宋" w:hAnsi="仿宋"/>
          <w:highlight w:val="none"/>
        </w:rPr>
        <w:t>优先级：任务之间执行的先后紧急顺序，将DS Job分为几个优先级，同一优先级或者不同优先级的JOB间有依赖、互斥等关系。</w:t>
      </w:r>
    </w:p>
    <w:p>
      <w:pPr>
        <w:pStyle w:val="721"/>
        <w:ind w:firstLine="480"/>
        <w:rPr>
          <w:rFonts w:ascii="仿宋" w:hAnsi="仿宋"/>
          <w:highlight w:val="none"/>
        </w:rPr>
      </w:pPr>
      <w:r>
        <w:rPr>
          <w:rFonts w:hint="eastAsia" w:ascii="仿宋" w:hAnsi="仿宋"/>
          <w:highlight w:val="none"/>
        </w:rPr>
        <w:t>顺序乱序执行：顺序就是按照时间的先后顺序加载，而乱序则可以不按照时间顺序执行，主要是一些高频率JOB，异常情况不适合人工处理。</w:t>
      </w:r>
    </w:p>
    <w:p>
      <w:pPr>
        <w:pStyle w:val="721"/>
        <w:ind w:firstLine="480"/>
        <w:rPr>
          <w:rFonts w:ascii="仿宋" w:hAnsi="仿宋"/>
          <w:highlight w:val="none"/>
        </w:rPr>
      </w:pPr>
      <w:r>
        <w:rPr>
          <w:rFonts w:hint="eastAsia" w:ascii="仿宋" w:hAnsi="仿宋"/>
          <w:highlight w:val="none"/>
        </w:rPr>
        <w:t>出错处理、重传处理：要求整个ETL支持重做。</w:t>
      </w:r>
    </w:p>
    <w:p>
      <w:pPr>
        <w:pStyle w:val="721"/>
        <w:ind w:firstLine="480"/>
        <w:rPr>
          <w:rFonts w:ascii="仿宋" w:hAnsi="仿宋"/>
          <w:highlight w:val="none"/>
        </w:rPr>
      </w:pPr>
      <w:r>
        <w:rPr>
          <w:rFonts w:hint="eastAsia" w:ascii="仿宋" w:hAnsi="仿宋"/>
          <w:highlight w:val="none"/>
        </w:rPr>
        <w:t>调度监控：对ETL的处理结果和重要步骤进行记录，通过邮件或短信通知相关负责人。</w:t>
      </w:r>
    </w:p>
    <w:p>
      <w:pPr>
        <w:pStyle w:val="6"/>
        <w:rPr>
          <w:highlight w:val="none"/>
        </w:rPr>
      </w:pPr>
      <w:r>
        <w:rPr>
          <w:highlight w:val="none"/>
        </w:rPr>
        <w:t>临床数据中心</w:t>
      </w:r>
      <w:r>
        <w:rPr>
          <w:rFonts w:hint="eastAsia"/>
          <w:highlight w:val="none"/>
        </w:rPr>
        <w:t>CDR</w:t>
      </w:r>
    </w:p>
    <w:p>
      <w:pPr>
        <w:pStyle w:val="7"/>
        <w:ind w:firstLine="422" w:firstLineChars="150"/>
        <w:rPr>
          <w:highlight w:val="none"/>
        </w:rPr>
      </w:pPr>
      <w:r>
        <w:rPr>
          <w:rFonts w:hint="eastAsia"/>
          <w:highlight w:val="none"/>
        </w:rPr>
        <w:t>患者360视图</w:t>
      </w:r>
      <w:r>
        <w:rPr>
          <w:rFonts w:hint="eastAsia"/>
          <w:highlight w:val="none"/>
        </w:rPr>
        <w:tab/>
      </w:r>
      <w:r>
        <w:rPr>
          <w:rFonts w:hint="eastAsia"/>
          <w:highlight w:val="none"/>
        </w:rPr>
        <w:tab/>
      </w:r>
    </w:p>
    <w:p>
      <w:pPr>
        <w:pStyle w:val="721"/>
        <w:ind w:firstLine="480"/>
        <w:rPr>
          <w:rFonts w:ascii="仿宋" w:hAnsi="仿宋"/>
          <w:highlight w:val="none"/>
        </w:rPr>
      </w:pPr>
      <w:r>
        <w:rPr>
          <w:rFonts w:hint="eastAsia" w:ascii="仿宋" w:hAnsi="仿宋"/>
          <w:highlight w:val="none"/>
        </w:rPr>
        <w:t>患者360</w:t>
      </w:r>
      <w:r>
        <w:rPr>
          <w:rFonts w:ascii="仿宋" w:hAnsi="仿宋"/>
          <w:highlight w:val="none"/>
        </w:rPr>
        <w:t>视图以合适的UI集中展示医疗活动中需要的客观数据，提供全过程医疗数据的图表化表达，实现对各种医学影像（超声、X光、CT、MRI等）、心电、麻醉监护数据、手术、医嘱、用血、检验、舌像、脉象信息等多种医疗数据的综合阅览分析，为临床医护人员提供统一的、完整的、单一界面的数据整合视图，使医护人员在大量有参考价值的信息基础上，开展下一步的诊疗活动。集成视图打破院区、科室、系统的数据界限，实现医院的信息资产收益最大化。</w:t>
      </w:r>
    </w:p>
    <w:p>
      <w:pPr>
        <w:pStyle w:val="721"/>
        <w:ind w:firstLine="480"/>
        <w:rPr>
          <w:rFonts w:ascii="仿宋" w:hAnsi="仿宋"/>
          <w:b/>
          <w:highlight w:val="none"/>
        </w:rPr>
      </w:pPr>
      <w:r>
        <w:rPr>
          <w:rFonts w:hint="eastAsia" w:ascii="仿宋" w:hAnsi="仿宋"/>
          <w:b/>
          <w:highlight w:val="none"/>
        </w:rPr>
        <w:t>功能要求：</w:t>
      </w:r>
    </w:p>
    <w:p>
      <w:pPr>
        <w:pStyle w:val="721"/>
        <w:numPr>
          <w:ilvl w:val="0"/>
          <w:numId w:val="7"/>
        </w:numPr>
        <w:ind w:firstLineChars="0"/>
        <w:rPr>
          <w:rFonts w:ascii="仿宋" w:hAnsi="仿宋"/>
          <w:highlight w:val="none"/>
        </w:rPr>
      </w:pPr>
      <w:r>
        <w:rPr>
          <w:rFonts w:ascii="仿宋" w:hAnsi="仿宋"/>
          <w:highlight w:val="none"/>
        </w:rPr>
        <w:t>单一界面，方便、准确、快捷的将病人各种资料整合展示；</w:t>
      </w:r>
    </w:p>
    <w:p>
      <w:pPr>
        <w:pStyle w:val="721"/>
        <w:numPr>
          <w:ilvl w:val="0"/>
          <w:numId w:val="7"/>
        </w:numPr>
        <w:ind w:firstLineChars="0"/>
        <w:rPr>
          <w:rFonts w:ascii="仿宋" w:hAnsi="仿宋"/>
          <w:highlight w:val="none"/>
        </w:rPr>
      </w:pPr>
      <w:r>
        <w:rPr>
          <w:rFonts w:ascii="仿宋" w:hAnsi="仿宋"/>
          <w:highlight w:val="none"/>
        </w:rPr>
        <w:t>提供方便的局部视图数据放大功能；</w:t>
      </w:r>
    </w:p>
    <w:p>
      <w:pPr>
        <w:pStyle w:val="721"/>
        <w:numPr>
          <w:ilvl w:val="0"/>
          <w:numId w:val="7"/>
        </w:numPr>
        <w:ind w:firstLineChars="0"/>
        <w:rPr>
          <w:rFonts w:ascii="仿宋" w:hAnsi="仿宋"/>
          <w:highlight w:val="none"/>
        </w:rPr>
      </w:pPr>
      <w:r>
        <w:rPr>
          <w:rFonts w:ascii="仿宋" w:hAnsi="仿宋"/>
          <w:highlight w:val="none"/>
        </w:rPr>
        <w:t>提供查阅历次就诊医疗记录的功能，包含门诊、住院、体检；</w:t>
      </w:r>
    </w:p>
    <w:p>
      <w:pPr>
        <w:pStyle w:val="721"/>
        <w:numPr>
          <w:ilvl w:val="0"/>
          <w:numId w:val="7"/>
        </w:numPr>
        <w:ind w:firstLineChars="0"/>
        <w:rPr>
          <w:rFonts w:ascii="仿宋" w:hAnsi="仿宋"/>
          <w:highlight w:val="none"/>
        </w:rPr>
      </w:pPr>
      <w:r>
        <w:rPr>
          <w:rFonts w:ascii="仿宋" w:hAnsi="仿宋"/>
          <w:highlight w:val="none"/>
        </w:rPr>
        <w:t>集中显示患者既往疾病诊断、既往手术室史、药物过敏史、不良反应史；</w:t>
      </w:r>
    </w:p>
    <w:p>
      <w:pPr>
        <w:pStyle w:val="721"/>
        <w:numPr>
          <w:ilvl w:val="0"/>
          <w:numId w:val="7"/>
        </w:numPr>
        <w:ind w:firstLineChars="0"/>
        <w:rPr>
          <w:rFonts w:ascii="仿宋" w:hAnsi="仿宋"/>
          <w:highlight w:val="none"/>
        </w:rPr>
      </w:pPr>
      <w:r>
        <w:rPr>
          <w:rFonts w:ascii="仿宋" w:hAnsi="仿宋"/>
          <w:highlight w:val="none"/>
        </w:rPr>
        <w:t>提供查阅各类检查、检验报告，检验项目提供参考值，突出显示超出范围值的结果，有同类历史检验项目的，提供图形化比较展现；</w:t>
      </w:r>
    </w:p>
    <w:p>
      <w:pPr>
        <w:pStyle w:val="721"/>
        <w:numPr>
          <w:ilvl w:val="0"/>
          <w:numId w:val="7"/>
        </w:numPr>
        <w:ind w:firstLineChars="0"/>
        <w:rPr>
          <w:rFonts w:ascii="仿宋" w:hAnsi="仿宋"/>
          <w:highlight w:val="none"/>
        </w:rPr>
      </w:pPr>
      <w:r>
        <w:rPr>
          <w:rFonts w:ascii="仿宋" w:hAnsi="仿宋"/>
          <w:highlight w:val="none"/>
        </w:rPr>
        <w:t>集成影像展现功能；</w:t>
      </w:r>
    </w:p>
    <w:p>
      <w:pPr>
        <w:pStyle w:val="721"/>
        <w:numPr>
          <w:ilvl w:val="0"/>
          <w:numId w:val="7"/>
        </w:numPr>
        <w:ind w:firstLineChars="0"/>
        <w:rPr>
          <w:rFonts w:ascii="仿宋" w:hAnsi="仿宋"/>
          <w:highlight w:val="none"/>
        </w:rPr>
      </w:pPr>
      <w:r>
        <w:rPr>
          <w:rFonts w:ascii="仿宋" w:hAnsi="仿宋"/>
          <w:highlight w:val="none"/>
        </w:rPr>
        <w:t>提供查阅各类检查、检验执行状态的查询，主动生成各类提醒，如危急值、异常值；</w:t>
      </w:r>
    </w:p>
    <w:p>
      <w:pPr>
        <w:pStyle w:val="721"/>
        <w:numPr>
          <w:ilvl w:val="0"/>
          <w:numId w:val="7"/>
        </w:numPr>
        <w:ind w:firstLineChars="0"/>
        <w:rPr>
          <w:rFonts w:ascii="仿宋" w:hAnsi="仿宋"/>
          <w:highlight w:val="none"/>
        </w:rPr>
      </w:pPr>
      <w:r>
        <w:rPr>
          <w:rFonts w:ascii="仿宋" w:hAnsi="仿宋"/>
          <w:highlight w:val="none"/>
        </w:rPr>
        <w:t>图表化展示生命体征和监护数据、麻醉数据；</w:t>
      </w:r>
    </w:p>
    <w:p>
      <w:pPr>
        <w:pStyle w:val="721"/>
        <w:numPr>
          <w:ilvl w:val="0"/>
          <w:numId w:val="7"/>
        </w:numPr>
        <w:ind w:firstLineChars="0"/>
        <w:rPr>
          <w:rFonts w:ascii="仿宋" w:hAnsi="仿宋"/>
          <w:highlight w:val="none"/>
        </w:rPr>
      </w:pPr>
      <w:r>
        <w:rPr>
          <w:rFonts w:ascii="仿宋" w:hAnsi="仿宋"/>
          <w:highlight w:val="none"/>
        </w:rPr>
        <w:t>集成视图提供完善、丰富的调用接口，供业务系统集成使用；</w:t>
      </w:r>
    </w:p>
    <w:p>
      <w:pPr>
        <w:pStyle w:val="721"/>
        <w:numPr>
          <w:ilvl w:val="0"/>
          <w:numId w:val="7"/>
        </w:numPr>
        <w:ind w:firstLineChars="0"/>
        <w:rPr>
          <w:rFonts w:ascii="仿宋" w:hAnsi="仿宋"/>
          <w:highlight w:val="none"/>
        </w:rPr>
      </w:pPr>
      <w:r>
        <w:rPr>
          <w:rFonts w:ascii="仿宋" w:hAnsi="仿宋"/>
          <w:highlight w:val="none"/>
        </w:rPr>
        <w:t>提供所有病历文档的浏览；</w:t>
      </w:r>
    </w:p>
    <w:p>
      <w:pPr>
        <w:pStyle w:val="721"/>
        <w:numPr>
          <w:ilvl w:val="0"/>
          <w:numId w:val="7"/>
        </w:numPr>
        <w:ind w:firstLineChars="0"/>
        <w:rPr>
          <w:rFonts w:ascii="仿宋" w:hAnsi="仿宋"/>
          <w:highlight w:val="none"/>
        </w:rPr>
      </w:pPr>
      <w:r>
        <w:rPr>
          <w:rFonts w:ascii="仿宋" w:hAnsi="仿宋"/>
          <w:highlight w:val="none"/>
        </w:rPr>
        <w:t>提供医嘱动态展示功能；</w:t>
      </w:r>
    </w:p>
    <w:p>
      <w:pPr>
        <w:pStyle w:val="721"/>
        <w:numPr>
          <w:ilvl w:val="0"/>
          <w:numId w:val="7"/>
        </w:numPr>
        <w:ind w:firstLineChars="0"/>
        <w:rPr>
          <w:rFonts w:ascii="仿宋" w:hAnsi="仿宋"/>
          <w:highlight w:val="none"/>
        </w:rPr>
      </w:pPr>
      <w:r>
        <w:rPr>
          <w:rFonts w:ascii="仿宋" w:hAnsi="仿宋"/>
          <w:highlight w:val="none"/>
        </w:rPr>
        <w:t>具备完善的权限管理和审核机制；</w:t>
      </w:r>
    </w:p>
    <w:p>
      <w:pPr>
        <w:pStyle w:val="721"/>
        <w:numPr>
          <w:ilvl w:val="0"/>
          <w:numId w:val="7"/>
        </w:numPr>
        <w:ind w:firstLineChars="0"/>
        <w:rPr>
          <w:rFonts w:ascii="仿宋" w:hAnsi="仿宋"/>
          <w:highlight w:val="none"/>
        </w:rPr>
      </w:pPr>
      <w:r>
        <w:rPr>
          <w:rFonts w:ascii="仿宋" w:hAnsi="仿宋"/>
          <w:highlight w:val="none"/>
        </w:rPr>
        <w:t>支持界面定制，针对不同专科配置视图；</w:t>
      </w:r>
    </w:p>
    <w:p>
      <w:pPr>
        <w:pStyle w:val="721"/>
        <w:numPr>
          <w:ilvl w:val="0"/>
          <w:numId w:val="7"/>
        </w:numPr>
        <w:ind w:firstLineChars="0"/>
        <w:rPr>
          <w:rFonts w:ascii="仿宋" w:hAnsi="仿宋"/>
          <w:highlight w:val="none"/>
        </w:rPr>
      </w:pPr>
      <w:r>
        <w:rPr>
          <w:rFonts w:ascii="仿宋" w:hAnsi="仿宋"/>
          <w:highlight w:val="none"/>
        </w:rPr>
        <w:t>基于组件化、插件化的思想进行设计、开发，确保系统的稳健和持续发展</w:t>
      </w:r>
      <w:r>
        <w:rPr>
          <w:rFonts w:hint="eastAsia" w:ascii="仿宋" w:hAnsi="仿宋"/>
          <w:highlight w:val="none"/>
        </w:rPr>
        <w:t>。</w:t>
      </w:r>
    </w:p>
    <w:p>
      <w:pPr>
        <w:pStyle w:val="7"/>
        <w:ind w:firstLine="422" w:firstLineChars="150"/>
        <w:rPr>
          <w:highlight w:val="none"/>
        </w:rPr>
      </w:pPr>
      <w:r>
        <w:rPr>
          <w:rFonts w:hint="eastAsia"/>
          <w:highlight w:val="none"/>
        </w:rPr>
        <w:t>临床检索</w:t>
      </w:r>
    </w:p>
    <w:p>
      <w:pPr>
        <w:pStyle w:val="721"/>
        <w:ind w:firstLine="480"/>
        <w:rPr>
          <w:rFonts w:ascii="仿宋" w:hAnsi="仿宋"/>
          <w:highlight w:val="none"/>
        </w:rPr>
      </w:pPr>
      <w:r>
        <w:rPr>
          <w:rFonts w:hint="eastAsia" w:ascii="仿宋" w:hAnsi="仿宋"/>
          <w:highlight w:val="none"/>
        </w:rPr>
        <w:t>1、综合查询：</w:t>
      </w:r>
    </w:p>
    <w:p>
      <w:pPr>
        <w:pStyle w:val="721"/>
        <w:ind w:firstLine="480"/>
        <w:rPr>
          <w:rFonts w:ascii="仿宋" w:hAnsi="仿宋"/>
          <w:highlight w:val="none"/>
        </w:rPr>
      </w:pPr>
      <w:r>
        <w:rPr>
          <w:rFonts w:hint="eastAsia" w:ascii="仿宋" w:hAnsi="仿宋"/>
          <w:highlight w:val="none"/>
        </w:rPr>
        <w:t>根据临床数据自定义查询方案，记录历史搜索记录，可快速定位查询。</w:t>
      </w:r>
    </w:p>
    <w:p>
      <w:pPr>
        <w:pStyle w:val="721"/>
        <w:ind w:firstLine="480"/>
        <w:rPr>
          <w:rFonts w:ascii="仿宋" w:hAnsi="仿宋"/>
          <w:highlight w:val="none"/>
        </w:rPr>
      </w:pPr>
      <w:r>
        <w:rPr>
          <w:rFonts w:hint="eastAsia" w:ascii="仿宋" w:hAnsi="仿宋"/>
          <w:highlight w:val="none"/>
        </w:rPr>
        <w:t>2、全文检索：</w:t>
      </w:r>
    </w:p>
    <w:p>
      <w:pPr>
        <w:pStyle w:val="721"/>
        <w:ind w:firstLine="480"/>
        <w:rPr>
          <w:rFonts w:ascii="仿宋" w:hAnsi="仿宋"/>
          <w:highlight w:val="none"/>
        </w:rPr>
      </w:pPr>
      <w:r>
        <w:rPr>
          <w:rFonts w:hint="eastAsia" w:ascii="仿宋" w:hAnsi="仿宋"/>
          <w:highlight w:val="none"/>
        </w:rPr>
        <w:t>采用搜索引擎技术，结合查询方案，根据关键字对海量病历内容进行高效快速检索，支持醒目标注并定位到病历内的关键字。</w:t>
      </w:r>
    </w:p>
    <w:p>
      <w:pPr>
        <w:pStyle w:val="721"/>
        <w:ind w:firstLine="480"/>
        <w:rPr>
          <w:rFonts w:ascii="仿宋" w:hAnsi="仿宋"/>
          <w:highlight w:val="none"/>
        </w:rPr>
      </w:pPr>
      <w:r>
        <w:rPr>
          <w:rFonts w:hint="eastAsia" w:ascii="仿宋" w:hAnsi="仿宋"/>
          <w:highlight w:val="none"/>
        </w:rPr>
        <w:t>3、数据元设置：</w:t>
      </w:r>
    </w:p>
    <w:p>
      <w:pPr>
        <w:pStyle w:val="721"/>
        <w:ind w:firstLine="480"/>
        <w:rPr>
          <w:rFonts w:ascii="仿宋" w:hAnsi="仿宋"/>
          <w:highlight w:val="none"/>
        </w:rPr>
      </w:pPr>
      <w:r>
        <w:rPr>
          <w:rFonts w:hint="eastAsia" w:ascii="仿宋" w:hAnsi="仿宋"/>
          <w:highlight w:val="none"/>
        </w:rPr>
        <w:t>设置综合查询元数据，对数据集进行归类，设置输入、输出方便创建综合查询方案。</w:t>
      </w:r>
    </w:p>
    <w:p>
      <w:pPr>
        <w:pStyle w:val="721"/>
        <w:ind w:firstLine="480"/>
        <w:rPr>
          <w:rFonts w:ascii="仿宋" w:hAnsi="仿宋"/>
          <w:highlight w:val="none"/>
        </w:rPr>
      </w:pPr>
      <w:r>
        <w:rPr>
          <w:rFonts w:hint="eastAsia" w:ascii="仿宋" w:hAnsi="仿宋"/>
          <w:highlight w:val="none"/>
        </w:rPr>
        <w:t>4、我的收藏：</w:t>
      </w:r>
    </w:p>
    <w:p>
      <w:pPr>
        <w:pStyle w:val="721"/>
        <w:ind w:firstLine="480"/>
        <w:rPr>
          <w:rFonts w:ascii="仿宋" w:hAnsi="仿宋"/>
          <w:highlight w:val="none"/>
        </w:rPr>
      </w:pPr>
      <w:r>
        <w:rPr>
          <w:rFonts w:hint="eastAsia" w:ascii="仿宋" w:hAnsi="仿宋"/>
          <w:highlight w:val="none"/>
        </w:rPr>
        <w:t>展示院区、科室、医疗组、个人收藏的病人，支持医护人员对病人长期跟踪。</w:t>
      </w:r>
    </w:p>
    <w:p>
      <w:pPr>
        <w:pStyle w:val="721"/>
        <w:ind w:firstLine="480"/>
        <w:rPr>
          <w:rFonts w:ascii="仿宋" w:hAnsi="仿宋"/>
          <w:highlight w:val="none"/>
        </w:rPr>
      </w:pPr>
      <w:r>
        <w:rPr>
          <w:rFonts w:hint="eastAsia" w:ascii="仿宋" w:hAnsi="仿宋"/>
          <w:highlight w:val="none"/>
        </w:rPr>
        <w:t>5、我的收藏夹</w:t>
      </w:r>
      <w:r>
        <w:rPr>
          <w:rFonts w:hint="eastAsia" w:ascii="仿宋" w:hAnsi="仿宋"/>
          <w:highlight w:val="none"/>
        </w:rPr>
        <w:tab/>
      </w:r>
      <w:r>
        <w:rPr>
          <w:rFonts w:hint="eastAsia" w:ascii="仿宋" w:hAnsi="仿宋"/>
          <w:highlight w:val="none"/>
        </w:rPr>
        <w:t>：</w:t>
      </w:r>
    </w:p>
    <w:p>
      <w:pPr>
        <w:pStyle w:val="721"/>
        <w:ind w:firstLine="480"/>
        <w:rPr>
          <w:rFonts w:ascii="仿宋" w:hAnsi="仿宋"/>
          <w:highlight w:val="none"/>
        </w:rPr>
      </w:pPr>
      <w:r>
        <w:rPr>
          <w:rFonts w:hint="eastAsia" w:ascii="仿宋" w:hAnsi="仿宋"/>
          <w:highlight w:val="none"/>
        </w:rPr>
        <w:t>院区、科室、医疗组、个人收藏夹维护。</w:t>
      </w:r>
    </w:p>
    <w:p>
      <w:pPr>
        <w:pStyle w:val="7"/>
        <w:ind w:firstLine="422" w:firstLineChars="150"/>
        <w:rPr>
          <w:highlight w:val="none"/>
        </w:rPr>
      </w:pPr>
      <w:r>
        <w:rPr>
          <w:rFonts w:hint="eastAsia"/>
          <w:highlight w:val="none"/>
        </w:rPr>
        <w:t>知识库</w:t>
      </w:r>
      <w:r>
        <w:rPr>
          <w:rFonts w:hint="eastAsia"/>
          <w:highlight w:val="none"/>
        </w:rPr>
        <w:tab/>
      </w:r>
      <w:r>
        <w:rPr>
          <w:rFonts w:hint="eastAsia"/>
          <w:highlight w:val="none"/>
        </w:rPr>
        <w:tab/>
      </w:r>
    </w:p>
    <w:p>
      <w:pPr>
        <w:pStyle w:val="721"/>
        <w:ind w:firstLine="480"/>
        <w:rPr>
          <w:rFonts w:ascii="仿宋" w:hAnsi="仿宋"/>
          <w:highlight w:val="none"/>
        </w:rPr>
      </w:pPr>
      <w:r>
        <w:rPr>
          <w:rFonts w:hint="eastAsia" w:ascii="仿宋" w:hAnsi="仿宋"/>
          <w:highlight w:val="none"/>
        </w:rPr>
        <w:t>1、药品：</w:t>
      </w:r>
    </w:p>
    <w:p>
      <w:pPr>
        <w:pStyle w:val="721"/>
        <w:ind w:firstLine="480"/>
        <w:rPr>
          <w:rFonts w:ascii="仿宋" w:hAnsi="仿宋"/>
          <w:highlight w:val="none"/>
        </w:rPr>
      </w:pPr>
      <w:r>
        <w:rPr>
          <w:rFonts w:hint="eastAsia" w:ascii="仿宋" w:hAnsi="仿宋"/>
          <w:highlight w:val="none"/>
        </w:rPr>
        <w:t>收录药品信息20000多种，包括呼吸系统用药、心血管系统用药、消化系统用药、泌尿生殖系统用药、神经系统用药等合计24个系统的药品信息。</w:t>
      </w:r>
    </w:p>
    <w:p>
      <w:pPr>
        <w:pStyle w:val="721"/>
        <w:ind w:firstLine="480"/>
        <w:rPr>
          <w:rFonts w:ascii="仿宋" w:hAnsi="仿宋"/>
          <w:highlight w:val="none"/>
        </w:rPr>
      </w:pPr>
      <w:r>
        <w:rPr>
          <w:rFonts w:hint="eastAsia" w:ascii="仿宋" w:hAnsi="仿宋"/>
          <w:highlight w:val="none"/>
        </w:rPr>
        <w:t>2、诊断：</w:t>
      </w:r>
    </w:p>
    <w:p>
      <w:pPr>
        <w:pStyle w:val="721"/>
        <w:ind w:firstLine="480"/>
        <w:rPr>
          <w:rFonts w:ascii="仿宋" w:hAnsi="仿宋"/>
          <w:highlight w:val="none"/>
        </w:rPr>
      </w:pPr>
      <w:r>
        <w:rPr>
          <w:rFonts w:hint="eastAsia" w:ascii="仿宋" w:hAnsi="仿宋"/>
          <w:highlight w:val="none"/>
        </w:rPr>
        <w:t>收录临床中西医20个学科1200余种诊断的具体信息，包括鉴别诊断、病史采集、物理检查、治疗原则及方案、辅助检查等内容。</w:t>
      </w:r>
    </w:p>
    <w:p>
      <w:pPr>
        <w:pStyle w:val="721"/>
        <w:ind w:firstLine="480"/>
        <w:rPr>
          <w:rFonts w:ascii="仿宋" w:hAnsi="仿宋"/>
          <w:highlight w:val="none"/>
        </w:rPr>
      </w:pPr>
      <w:r>
        <w:rPr>
          <w:rFonts w:hint="eastAsia" w:ascii="仿宋" w:hAnsi="仿宋"/>
          <w:highlight w:val="none"/>
        </w:rPr>
        <w:t>3、检验：</w:t>
      </w:r>
    </w:p>
    <w:p>
      <w:pPr>
        <w:pStyle w:val="721"/>
        <w:ind w:firstLine="480"/>
        <w:rPr>
          <w:rFonts w:ascii="仿宋" w:hAnsi="仿宋"/>
          <w:highlight w:val="none"/>
        </w:rPr>
      </w:pPr>
      <w:r>
        <w:rPr>
          <w:rFonts w:hint="eastAsia" w:ascii="仿宋" w:hAnsi="仿宋"/>
          <w:highlight w:val="none"/>
        </w:rPr>
        <w:t>收录检验信息3400多种，包括正常值、临床意义、注意事项、检查过程、相关疾病、相关症状等内容。</w:t>
      </w:r>
    </w:p>
    <w:p>
      <w:pPr>
        <w:pStyle w:val="721"/>
        <w:ind w:firstLine="480"/>
        <w:rPr>
          <w:rFonts w:ascii="仿宋" w:hAnsi="仿宋"/>
          <w:highlight w:val="none"/>
        </w:rPr>
      </w:pPr>
      <w:r>
        <w:rPr>
          <w:rFonts w:hint="eastAsia" w:ascii="仿宋" w:hAnsi="仿宋"/>
          <w:highlight w:val="none"/>
        </w:rPr>
        <w:t>4、检查：</w:t>
      </w:r>
    </w:p>
    <w:p>
      <w:pPr>
        <w:pStyle w:val="721"/>
        <w:ind w:firstLine="480"/>
        <w:rPr>
          <w:rFonts w:ascii="仿宋" w:hAnsi="仿宋"/>
          <w:highlight w:val="none"/>
        </w:rPr>
      </w:pPr>
      <w:r>
        <w:rPr>
          <w:rFonts w:hint="eastAsia" w:ascii="仿宋" w:hAnsi="仿宋"/>
          <w:highlight w:val="none"/>
        </w:rPr>
        <w:t>系统提供辅助检查适应症、注意事项，以及检查结果意义，可结合医生医嘱、病人情况自动推送提示信息。</w:t>
      </w:r>
    </w:p>
    <w:p>
      <w:pPr>
        <w:pStyle w:val="721"/>
        <w:ind w:firstLine="480"/>
        <w:rPr>
          <w:rFonts w:ascii="仿宋" w:hAnsi="仿宋"/>
          <w:highlight w:val="none"/>
        </w:rPr>
      </w:pPr>
      <w:r>
        <w:rPr>
          <w:rFonts w:hint="eastAsia" w:ascii="仿宋" w:hAnsi="仿宋"/>
          <w:highlight w:val="none"/>
        </w:rPr>
        <w:t>5、手术：</w:t>
      </w:r>
    </w:p>
    <w:p>
      <w:pPr>
        <w:pStyle w:val="721"/>
        <w:ind w:firstLine="480"/>
        <w:rPr>
          <w:rFonts w:ascii="仿宋" w:hAnsi="仿宋"/>
          <w:highlight w:val="none"/>
        </w:rPr>
      </w:pPr>
      <w:r>
        <w:rPr>
          <w:rFonts w:hint="eastAsia" w:ascii="仿宋" w:hAnsi="仿宋"/>
          <w:highlight w:val="none"/>
        </w:rPr>
        <w:t>收录15个科室6000余种手术记录，图文并茂。</w:t>
      </w:r>
    </w:p>
    <w:p>
      <w:pPr>
        <w:pStyle w:val="721"/>
        <w:ind w:firstLine="480"/>
        <w:rPr>
          <w:rFonts w:ascii="仿宋" w:hAnsi="仿宋"/>
          <w:highlight w:val="none"/>
        </w:rPr>
      </w:pPr>
      <w:r>
        <w:rPr>
          <w:rFonts w:hint="eastAsia" w:ascii="仿宋" w:hAnsi="仿宋"/>
          <w:highlight w:val="none"/>
        </w:rPr>
        <w:t>6、症状：</w:t>
      </w:r>
    </w:p>
    <w:p>
      <w:pPr>
        <w:pStyle w:val="721"/>
        <w:ind w:firstLine="480"/>
        <w:rPr>
          <w:rFonts w:ascii="仿宋" w:hAnsi="仿宋"/>
          <w:highlight w:val="none"/>
        </w:rPr>
      </w:pPr>
      <w:r>
        <w:rPr>
          <w:rFonts w:hint="eastAsia" w:ascii="仿宋" w:hAnsi="仿宋"/>
          <w:highlight w:val="none"/>
        </w:rPr>
        <w:t>收录按身体部位进行分类的近5700余种症状。</w:t>
      </w:r>
    </w:p>
    <w:p>
      <w:pPr>
        <w:pStyle w:val="721"/>
        <w:ind w:firstLine="480"/>
        <w:rPr>
          <w:rFonts w:ascii="仿宋" w:hAnsi="仿宋"/>
          <w:highlight w:val="none"/>
        </w:rPr>
      </w:pPr>
      <w:r>
        <w:rPr>
          <w:rFonts w:hint="eastAsia" w:ascii="仿宋" w:hAnsi="仿宋"/>
          <w:highlight w:val="none"/>
        </w:rPr>
        <w:t>7、文件库：</w:t>
      </w:r>
    </w:p>
    <w:p>
      <w:pPr>
        <w:pStyle w:val="721"/>
        <w:ind w:firstLine="480"/>
        <w:rPr>
          <w:rFonts w:ascii="仿宋" w:hAnsi="仿宋"/>
          <w:highlight w:val="none"/>
        </w:rPr>
      </w:pPr>
      <w:r>
        <w:rPr>
          <w:rFonts w:hint="eastAsia" w:ascii="仿宋" w:hAnsi="仿宋"/>
          <w:highlight w:val="none"/>
        </w:rPr>
        <w:t>收录100多个医疗规范、医保政策、医院制度、示例病历、循证证据库等文档，提供查询、上传和下载。</w:t>
      </w:r>
    </w:p>
    <w:p>
      <w:pPr>
        <w:pStyle w:val="721"/>
        <w:ind w:firstLine="480"/>
        <w:rPr>
          <w:rFonts w:ascii="仿宋" w:hAnsi="仿宋"/>
          <w:highlight w:val="none"/>
        </w:rPr>
      </w:pPr>
      <w:r>
        <w:rPr>
          <w:rFonts w:hint="eastAsia" w:ascii="仿宋" w:hAnsi="仿宋"/>
          <w:highlight w:val="none"/>
        </w:rPr>
        <w:t>8、临床路径：</w:t>
      </w:r>
    </w:p>
    <w:p>
      <w:pPr>
        <w:pStyle w:val="721"/>
        <w:ind w:firstLine="480"/>
        <w:rPr>
          <w:rFonts w:ascii="仿宋" w:hAnsi="仿宋"/>
          <w:highlight w:val="none"/>
        </w:rPr>
      </w:pPr>
      <w:r>
        <w:rPr>
          <w:rFonts w:hint="eastAsia" w:ascii="仿宋" w:hAnsi="仿宋"/>
          <w:highlight w:val="none"/>
        </w:rPr>
        <w:t>收录22个专业95个病种的最新中西医临床路径信息。</w:t>
      </w:r>
    </w:p>
    <w:p>
      <w:pPr>
        <w:pStyle w:val="7"/>
        <w:ind w:firstLine="422" w:firstLineChars="150"/>
        <w:rPr>
          <w:highlight w:val="none"/>
        </w:rPr>
      </w:pPr>
      <w:r>
        <w:rPr>
          <w:rFonts w:hint="eastAsia"/>
          <w:highlight w:val="none"/>
        </w:rPr>
        <w:t>CDA文档库</w:t>
      </w:r>
    </w:p>
    <w:p>
      <w:pPr>
        <w:pStyle w:val="721"/>
        <w:ind w:firstLine="480"/>
        <w:rPr>
          <w:rFonts w:ascii="仿宋" w:hAnsi="仿宋"/>
          <w:highlight w:val="none"/>
        </w:rPr>
      </w:pPr>
      <w:r>
        <w:rPr>
          <w:rFonts w:hint="eastAsia" w:ascii="仿宋" w:hAnsi="仿宋"/>
          <w:highlight w:val="none"/>
        </w:rPr>
        <w:t>支持CDA文档</w:t>
      </w:r>
      <w:r>
        <w:rPr>
          <w:rFonts w:ascii="仿宋" w:hAnsi="仿宋"/>
          <w:highlight w:val="none"/>
        </w:rPr>
        <w:t>中心管理</w:t>
      </w:r>
      <w:r>
        <w:rPr>
          <w:rFonts w:hint="eastAsia" w:ascii="仿宋" w:hAnsi="仿宋"/>
          <w:highlight w:val="none"/>
        </w:rPr>
        <w:t>满足</w:t>
      </w:r>
      <w:r>
        <w:rPr>
          <w:rFonts w:ascii="仿宋" w:hAnsi="仿宋"/>
          <w:highlight w:val="none"/>
        </w:rPr>
        <w:t>互联互通评测要求。</w:t>
      </w:r>
    </w:p>
    <w:p>
      <w:pPr>
        <w:pStyle w:val="721"/>
        <w:numPr>
          <w:ilvl w:val="0"/>
          <w:numId w:val="8"/>
        </w:numPr>
        <w:ind w:firstLineChars="0"/>
        <w:rPr>
          <w:rFonts w:ascii="仿宋" w:hAnsi="仿宋"/>
          <w:highlight w:val="none"/>
        </w:rPr>
      </w:pPr>
      <w:r>
        <w:rPr>
          <w:rFonts w:hint="eastAsia" w:ascii="仿宋" w:hAnsi="仿宋"/>
          <w:highlight w:val="none"/>
        </w:rPr>
        <w:t>共享文档浏览器</w:t>
      </w:r>
      <w:r>
        <w:rPr>
          <w:rFonts w:hint="eastAsia" w:ascii="仿宋" w:hAnsi="仿宋"/>
          <w:highlight w:val="none"/>
        </w:rPr>
        <w:tab/>
      </w:r>
      <w:r>
        <w:rPr>
          <w:rFonts w:hint="eastAsia" w:ascii="仿宋" w:hAnsi="仿宋"/>
          <w:highlight w:val="none"/>
        </w:rPr>
        <w:t>以卫计委标准的53类共享文档格式展示共享文档；</w:t>
      </w:r>
    </w:p>
    <w:p>
      <w:pPr>
        <w:pStyle w:val="721"/>
        <w:numPr>
          <w:ilvl w:val="0"/>
          <w:numId w:val="8"/>
        </w:numPr>
        <w:ind w:firstLineChars="0"/>
        <w:rPr>
          <w:rFonts w:ascii="仿宋" w:hAnsi="仿宋"/>
          <w:highlight w:val="none"/>
        </w:rPr>
      </w:pPr>
      <w:r>
        <w:rPr>
          <w:rFonts w:hint="eastAsia" w:ascii="仿宋" w:hAnsi="仿宋"/>
          <w:highlight w:val="none"/>
        </w:rPr>
        <w:t>共享文档配置器</w:t>
      </w:r>
      <w:r>
        <w:rPr>
          <w:rFonts w:hint="eastAsia" w:ascii="仿宋" w:hAnsi="仿宋"/>
          <w:highlight w:val="none"/>
        </w:rPr>
        <w:tab/>
      </w:r>
      <w:r>
        <w:rPr>
          <w:rFonts w:hint="eastAsia" w:ascii="仿宋" w:hAnsi="仿宋"/>
          <w:highlight w:val="none"/>
        </w:rPr>
        <w:t>提供共享文档样式配置；</w:t>
      </w:r>
    </w:p>
    <w:p>
      <w:pPr>
        <w:pStyle w:val="721"/>
        <w:numPr>
          <w:ilvl w:val="0"/>
          <w:numId w:val="8"/>
        </w:numPr>
        <w:ind w:firstLineChars="0"/>
        <w:rPr>
          <w:rFonts w:ascii="仿宋" w:hAnsi="仿宋"/>
          <w:highlight w:val="none"/>
        </w:rPr>
      </w:pPr>
      <w:r>
        <w:rPr>
          <w:rFonts w:hint="eastAsia" w:ascii="仿宋" w:hAnsi="仿宋"/>
          <w:highlight w:val="none"/>
        </w:rPr>
        <w:t>共享文档浏览日志</w:t>
      </w:r>
      <w:r>
        <w:rPr>
          <w:rFonts w:hint="eastAsia" w:ascii="仿宋" w:hAnsi="仿宋"/>
          <w:highlight w:val="none"/>
        </w:rPr>
        <w:tab/>
      </w:r>
      <w:r>
        <w:rPr>
          <w:rFonts w:hint="eastAsia" w:ascii="仿宋" w:hAnsi="仿宋"/>
          <w:highlight w:val="none"/>
        </w:rPr>
        <w:t>统计查询共享文档浏览量；</w:t>
      </w:r>
    </w:p>
    <w:p>
      <w:pPr>
        <w:pStyle w:val="721"/>
        <w:numPr>
          <w:ilvl w:val="0"/>
          <w:numId w:val="8"/>
        </w:numPr>
        <w:ind w:firstLineChars="0"/>
        <w:rPr>
          <w:rFonts w:ascii="仿宋" w:hAnsi="仿宋"/>
          <w:highlight w:val="none"/>
        </w:rPr>
      </w:pPr>
      <w:r>
        <w:rPr>
          <w:rFonts w:hint="eastAsia" w:ascii="仿宋" w:hAnsi="仿宋"/>
          <w:highlight w:val="none"/>
        </w:rPr>
        <w:t>共享文档统计</w:t>
      </w:r>
      <w:r>
        <w:rPr>
          <w:rFonts w:hint="eastAsia" w:ascii="仿宋" w:hAnsi="仿宋"/>
          <w:highlight w:val="none"/>
        </w:rPr>
        <w:tab/>
      </w:r>
      <w:r>
        <w:rPr>
          <w:rFonts w:hint="eastAsia" w:ascii="仿宋" w:hAnsi="仿宋"/>
          <w:highlight w:val="none"/>
        </w:rPr>
        <w:t>统计53类共享文档注册生成量；</w:t>
      </w:r>
    </w:p>
    <w:p>
      <w:pPr>
        <w:pStyle w:val="721"/>
        <w:numPr>
          <w:ilvl w:val="0"/>
          <w:numId w:val="8"/>
        </w:numPr>
        <w:ind w:firstLineChars="0"/>
        <w:rPr>
          <w:rFonts w:ascii="仿宋" w:hAnsi="仿宋"/>
          <w:highlight w:val="none"/>
        </w:rPr>
      </w:pPr>
      <w:r>
        <w:rPr>
          <w:rFonts w:hint="eastAsia" w:ascii="仿宋" w:hAnsi="仿宋"/>
          <w:highlight w:val="none"/>
        </w:rPr>
        <w:t>共享文档组件</w:t>
      </w:r>
      <w:r>
        <w:rPr>
          <w:rFonts w:hint="eastAsia" w:ascii="仿宋" w:hAnsi="仿宋"/>
          <w:highlight w:val="none"/>
        </w:rPr>
        <w:tab/>
      </w:r>
      <w:r>
        <w:rPr>
          <w:rFonts w:hint="eastAsia" w:ascii="仿宋" w:hAnsi="仿宋"/>
          <w:highlight w:val="none"/>
        </w:rPr>
        <w:t>提供服务组件生成共享文档，支持业务系统调用；</w:t>
      </w:r>
    </w:p>
    <w:p>
      <w:pPr>
        <w:pStyle w:val="721"/>
        <w:numPr>
          <w:ilvl w:val="0"/>
          <w:numId w:val="8"/>
        </w:numPr>
        <w:ind w:firstLineChars="0"/>
        <w:rPr>
          <w:rFonts w:ascii="仿宋" w:hAnsi="仿宋"/>
          <w:highlight w:val="none"/>
        </w:rPr>
      </w:pPr>
      <w:r>
        <w:rPr>
          <w:rFonts w:hint="eastAsia" w:ascii="仿宋" w:hAnsi="仿宋"/>
          <w:highlight w:val="none"/>
        </w:rPr>
        <w:t>共享文档隐私配置</w:t>
      </w:r>
      <w:r>
        <w:rPr>
          <w:rFonts w:hint="eastAsia" w:ascii="仿宋" w:hAnsi="仿宋"/>
          <w:highlight w:val="none"/>
        </w:rPr>
        <w:tab/>
      </w:r>
      <w:r>
        <w:rPr>
          <w:rFonts w:hint="eastAsia" w:ascii="仿宋" w:hAnsi="仿宋"/>
          <w:highlight w:val="none"/>
        </w:rPr>
        <w:t>提供隐私保护等级设置，支持文档级及元素级隐私设置；</w:t>
      </w:r>
    </w:p>
    <w:p>
      <w:pPr>
        <w:pStyle w:val="721"/>
        <w:numPr>
          <w:ilvl w:val="0"/>
          <w:numId w:val="8"/>
        </w:numPr>
        <w:ind w:firstLineChars="0"/>
        <w:rPr>
          <w:rFonts w:ascii="仿宋" w:hAnsi="仿宋"/>
          <w:highlight w:val="none"/>
        </w:rPr>
      </w:pPr>
      <w:r>
        <w:rPr>
          <w:rFonts w:hint="eastAsia" w:ascii="仿宋" w:hAnsi="仿宋"/>
          <w:highlight w:val="none"/>
        </w:rPr>
        <w:t>交互服务配置</w:t>
      </w:r>
      <w:r>
        <w:rPr>
          <w:rFonts w:hint="eastAsia" w:ascii="仿宋" w:hAnsi="仿宋"/>
          <w:highlight w:val="none"/>
        </w:rPr>
        <w:tab/>
      </w:r>
      <w:r>
        <w:rPr>
          <w:rFonts w:hint="eastAsia" w:ascii="仿宋" w:hAnsi="仿宋"/>
          <w:highlight w:val="none"/>
        </w:rPr>
        <w:t>配置卫计委标准的V3交互服务；</w:t>
      </w:r>
    </w:p>
    <w:p>
      <w:pPr>
        <w:pStyle w:val="721"/>
        <w:numPr>
          <w:ilvl w:val="0"/>
          <w:numId w:val="8"/>
        </w:numPr>
        <w:ind w:firstLineChars="0"/>
        <w:rPr>
          <w:rFonts w:ascii="仿宋" w:hAnsi="仿宋"/>
          <w:highlight w:val="none"/>
        </w:rPr>
      </w:pPr>
      <w:r>
        <w:rPr>
          <w:rFonts w:hint="eastAsia" w:ascii="仿宋" w:hAnsi="仿宋"/>
          <w:highlight w:val="none"/>
        </w:rPr>
        <w:t>交互服务统计</w:t>
      </w:r>
      <w:r>
        <w:rPr>
          <w:rFonts w:hint="eastAsia" w:ascii="仿宋" w:hAnsi="仿宋"/>
          <w:highlight w:val="none"/>
        </w:rPr>
        <w:tab/>
      </w:r>
      <w:r>
        <w:rPr>
          <w:rFonts w:hint="eastAsia" w:ascii="仿宋" w:hAnsi="仿宋"/>
          <w:highlight w:val="none"/>
        </w:rPr>
        <w:t>统计卫计委标准交互服务调用量；</w:t>
      </w:r>
    </w:p>
    <w:p>
      <w:pPr>
        <w:pStyle w:val="721"/>
        <w:numPr>
          <w:ilvl w:val="0"/>
          <w:numId w:val="8"/>
        </w:numPr>
        <w:ind w:firstLineChars="0"/>
        <w:rPr>
          <w:rFonts w:ascii="仿宋" w:hAnsi="仿宋"/>
          <w:highlight w:val="none"/>
        </w:rPr>
      </w:pPr>
      <w:r>
        <w:rPr>
          <w:rFonts w:hint="eastAsia" w:ascii="仿宋" w:hAnsi="仿宋"/>
          <w:highlight w:val="none"/>
        </w:rPr>
        <w:t>交互服务日志</w:t>
      </w:r>
      <w:r>
        <w:rPr>
          <w:rFonts w:hint="eastAsia" w:ascii="仿宋" w:hAnsi="仿宋"/>
          <w:highlight w:val="none"/>
        </w:rPr>
        <w:tab/>
      </w:r>
      <w:r>
        <w:rPr>
          <w:rFonts w:hint="eastAsia" w:ascii="仿宋" w:hAnsi="仿宋"/>
          <w:highlight w:val="none"/>
        </w:rPr>
        <w:t>查询卫计委标准交互服务日志。</w:t>
      </w:r>
    </w:p>
    <w:p>
      <w:pPr>
        <w:pStyle w:val="6"/>
        <w:rPr>
          <w:highlight w:val="none"/>
        </w:rPr>
      </w:pPr>
      <w:r>
        <w:rPr>
          <w:rFonts w:hint="eastAsia"/>
          <w:highlight w:val="none"/>
        </w:rPr>
        <w:t>互联互通标准化评级服务（四甲）</w:t>
      </w:r>
    </w:p>
    <w:p>
      <w:pPr>
        <w:rPr>
          <w:rFonts w:ascii="仿宋" w:hAnsi="仿宋"/>
          <w:highlight w:val="none"/>
        </w:rPr>
      </w:pPr>
      <w:r>
        <w:rPr>
          <w:rFonts w:hint="eastAsia" w:ascii="宋体" w:hAnsi="宋体"/>
          <w:sz w:val="24"/>
          <w:highlight w:val="none"/>
        </w:rPr>
        <w:t>服务范围：嘉善县第一人民医院</w:t>
      </w:r>
    </w:p>
    <w:p>
      <w:pPr>
        <w:rPr>
          <w:highlight w:val="none"/>
        </w:rPr>
      </w:pPr>
    </w:p>
    <w:p>
      <w:pPr>
        <w:pStyle w:val="721"/>
        <w:ind w:firstLineChars="0"/>
        <w:rPr>
          <w:rFonts w:ascii="仿宋" w:hAnsi="仿宋"/>
          <w:highlight w:val="none"/>
        </w:rPr>
      </w:pPr>
      <w:r>
        <w:rPr>
          <w:rFonts w:hint="eastAsia" w:ascii="仿宋" w:hAnsi="仿宋"/>
          <w:highlight w:val="none"/>
        </w:rPr>
        <w:t>针对嘉善县第一人民医院互联互通评级要求需提供：</w:t>
      </w:r>
    </w:p>
    <w:p>
      <w:pPr>
        <w:pStyle w:val="721"/>
        <w:numPr>
          <w:ilvl w:val="0"/>
          <w:numId w:val="9"/>
        </w:numPr>
        <w:ind w:firstLineChars="0"/>
        <w:rPr>
          <w:rFonts w:ascii="仿宋" w:hAnsi="仿宋"/>
          <w:highlight w:val="none"/>
        </w:rPr>
      </w:pPr>
      <w:bookmarkStart w:id="23" w:name="_Hlk119592549"/>
      <w:r>
        <w:rPr>
          <w:rFonts w:hint="eastAsia" w:ascii="仿宋" w:hAnsi="仿宋"/>
          <w:highlight w:val="none"/>
        </w:rPr>
        <w:t>项目早期咨询及调研；</w:t>
      </w:r>
    </w:p>
    <w:p>
      <w:pPr>
        <w:pStyle w:val="721"/>
        <w:numPr>
          <w:ilvl w:val="0"/>
          <w:numId w:val="9"/>
        </w:numPr>
        <w:ind w:firstLineChars="0"/>
        <w:rPr>
          <w:rFonts w:ascii="仿宋" w:hAnsi="仿宋"/>
          <w:highlight w:val="none"/>
        </w:rPr>
      </w:pPr>
      <w:r>
        <w:rPr>
          <w:rFonts w:hint="eastAsia" w:ascii="仿宋" w:hAnsi="仿宋"/>
          <w:highlight w:val="none"/>
        </w:rPr>
        <w:t>互联互通报名辅导；</w:t>
      </w:r>
    </w:p>
    <w:p>
      <w:pPr>
        <w:pStyle w:val="721"/>
        <w:numPr>
          <w:ilvl w:val="0"/>
          <w:numId w:val="9"/>
        </w:numPr>
        <w:ind w:firstLineChars="0"/>
        <w:rPr>
          <w:rFonts w:ascii="仿宋" w:hAnsi="仿宋"/>
          <w:highlight w:val="none"/>
        </w:rPr>
      </w:pPr>
      <w:r>
        <w:rPr>
          <w:rFonts w:hint="eastAsia" w:ascii="仿宋" w:hAnsi="仿宋"/>
          <w:highlight w:val="none"/>
        </w:rPr>
        <w:t>互联互通文审辅导；</w:t>
      </w:r>
    </w:p>
    <w:p>
      <w:pPr>
        <w:pStyle w:val="721"/>
        <w:numPr>
          <w:ilvl w:val="0"/>
          <w:numId w:val="9"/>
        </w:numPr>
        <w:ind w:firstLineChars="0"/>
        <w:rPr>
          <w:rFonts w:ascii="仿宋" w:hAnsi="仿宋"/>
          <w:highlight w:val="none"/>
        </w:rPr>
      </w:pPr>
      <w:r>
        <w:rPr>
          <w:rFonts w:hint="eastAsia" w:ascii="仿宋" w:hAnsi="仿宋"/>
          <w:highlight w:val="none"/>
        </w:rPr>
        <w:t>预评审及正式评审；</w:t>
      </w:r>
    </w:p>
    <w:p>
      <w:pPr>
        <w:pStyle w:val="721"/>
        <w:numPr>
          <w:ilvl w:val="0"/>
          <w:numId w:val="9"/>
        </w:numPr>
        <w:ind w:firstLineChars="0"/>
        <w:rPr>
          <w:rFonts w:ascii="仿宋" w:hAnsi="仿宋"/>
          <w:highlight w:val="none"/>
        </w:rPr>
      </w:pPr>
      <w:r>
        <w:rPr>
          <w:rFonts w:hint="eastAsia" w:ascii="仿宋" w:hAnsi="仿宋"/>
          <w:highlight w:val="none"/>
        </w:rPr>
        <w:t>评审知识库管理。</w:t>
      </w:r>
    </w:p>
    <w:bookmarkEnd w:id="23"/>
    <w:p>
      <w:pPr>
        <w:pStyle w:val="5"/>
        <w:rPr>
          <w:highlight w:val="none"/>
        </w:rPr>
      </w:pPr>
      <w:r>
        <w:rPr>
          <w:rFonts w:hint="eastAsia"/>
          <w:highlight w:val="none"/>
        </w:rPr>
        <w:t>电子病历评级</w:t>
      </w:r>
    </w:p>
    <w:p>
      <w:pPr>
        <w:pStyle w:val="6"/>
        <w:ind w:firstLine="281"/>
        <w:rPr>
          <w:highlight w:val="none"/>
        </w:rPr>
      </w:pPr>
      <w:r>
        <w:rPr>
          <w:rFonts w:hint="eastAsia"/>
          <w:highlight w:val="none"/>
        </w:rPr>
        <w:t>闭环流程追溯管理系统</w:t>
      </w:r>
    </w:p>
    <w:p>
      <w:pPr>
        <w:pStyle w:val="721"/>
        <w:ind w:firstLine="480"/>
        <w:rPr>
          <w:rFonts w:ascii="仿宋" w:hAnsi="仿宋"/>
          <w:highlight w:val="none"/>
        </w:rPr>
      </w:pPr>
      <w:r>
        <w:rPr>
          <w:rFonts w:hint="eastAsia" w:ascii="仿宋" w:hAnsi="仿宋"/>
          <w:highlight w:val="none"/>
        </w:rPr>
        <w:t>现在越来越多的医院都在加快步骤实现系统的信息化，医院有几十甚至上百个子系统，由于业务需要，这些子系统之间彼此点对点相互对接，在这样的情况下，各子系统间标准不一，不仅连接代价大，还容易造成数据不完整的情况，这就需要一个互联互通的系统，采用统一的数据标准将这些所有的系统管理起来。真正以病人为核心，把整个链条串到一起。比如从门诊医生开出医嘱，到药房买药，或者包药机发药，确认病人身份，以及整个电子流程的完整记录，随时可以查到每个环节到底是哪里发生了什么问题，这样的系统就叫闭环管理。</w:t>
      </w:r>
    </w:p>
    <w:p>
      <w:pPr>
        <w:pStyle w:val="721"/>
        <w:ind w:firstLine="480"/>
        <w:rPr>
          <w:rFonts w:ascii="仿宋" w:hAnsi="仿宋"/>
          <w:highlight w:val="none"/>
        </w:rPr>
      </w:pPr>
      <w:r>
        <w:rPr>
          <w:rFonts w:hint="eastAsia" w:ascii="仿宋" w:hAnsi="仿宋"/>
          <w:highlight w:val="none"/>
        </w:rPr>
        <w:t>闭环管理，记录各项闭环中的关键节点时间和操作人等信息，使所有节点可追溯，方便管理人员后期监督查看，提高操作人员责任意识和医院管理。</w:t>
      </w:r>
    </w:p>
    <w:p>
      <w:pPr>
        <w:pStyle w:val="721"/>
        <w:ind w:firstLine="480"/>
        <w:rPr>
          <w:rFonts w:ascii="仿宋" w:hAnsi="仿宋"/>
          <w:highlight w:val="none"/>
        </w:rPr>
      </w:pPr>
      <w:r>
        <w:rPr>
          <w:rFonts w:hint="eastAsia" w:ascii="仿宋" w:hAnsi="仿宋"/>
          <w:highlight w:val="none"/>
        </w:rPr>
        <w:t>1、支持患者住院常规检验标本在各个医疗服务点上的人员、时间和状态的集中采集，节点包含：检验申请开立、检验申请撤回、医嘱审核、医嘱作废、医嘱执行、试管条码打印、标本采集、标本运送、标本签收、标本入库、上机检测、初始报告、报告审核、报告撤销、报告发布。</w:t>
      </w:r>
    </w:p>
    <w:p>
      <w:pPr>
        <w:pStyle w:val="721"/>
        <w:ind w:firstLine="480"/>
        <w:rPr>
          <w:rFonts w:ascii="仿宋" w:hAnsi="仿宋"/>
          <w:highlight w:val="none"/>
        </w:rPr>
      </w:pPr>
      <w:r>
        <w:rPr>
          <w:rFonts w:ascii="仿宋" w:hAnsi="仿宋"/>
          <w:highlight w:val="none"/>
        </w:rPr>
        <w:t>2</w:t>
      </w:r>
      <w:r>
        <w:rPr>
          <w:rFonts w:hint="eastAsia" w:ascii="仿宋" w:hAnsi="仿宋"/>
          <w:highlight w:val="none"/>
        </w:rPr>
        <w:t>、支持患者口服药医嘱的在各个医疗服务点上的人员、时间和状态的集中采集，节点包含：医嘱下达、医嘱撤回、医嘱审核、医嘱作废（</w:t>
      </w:r>
      <w:r>
        <w:rPr>
          <w:rFonts w:ascii="仿宋" w:hAnsi="仿宋"/>
          <w:highlight w:val="none"/>
        </w:rPr>
        <w:t>DC</w:t>
      </w:r>
      <w:r>
        <w:rPr>
          <w:rFonts w:hint="eastAsia" w:ascii="仿宋" w:hAnsi="仿宋"/>
          <w:highlight w:val="none"/>
        </w:rPr>
        <w:t>）、医嘱执行、药师审核自动审核通过、药师审核人工审核通过、药师审核不通过、住院药房发药、自助机包药、住院药房摆药、配送装箱、配送转运、配送签收、服药执行、停止医嘱、停止审核。</w:t>
      </w:r>
    </w:p>
    <w:p>
      <w:pPr>
        <w:pStyle w:val="721"/>
        <w:ind w:firstLine="480"/>
        <w:rPr>
          <w:rFonts w:ascii="仿宋" w:hAnsi="仿宋"/>
          <w:highlight w:val="none"/>
        </w:rPr>
      </w:pPr>
      <w:r>
        <w:rPr>
          <w:rFonts w:ascii="仿宋" w:hAnsi="仿宋"/>
          <w:highlight w:val="none"/>
        </w:rPr>
        <w:t>3</w:t>
      </w:r>
      <w:r>
        <w:rPr>
          <w:rFonts w:hint="eastAsia" w:ascii="仿宋" w:hAnsi="仿宋"/>
          <w:highlight w:val="none"/>
        </w:rPr>
        <w:t>、支持患者输液医嘱（无静配）的在各个医疗服务点上的人员、时间和状态的集中采集，节点包含：医嘱下达、医嘱撤回、医嘱审核、医嘱作废（</w:t>
      </w:r>
      <w:r>
        <w:rPr>
          <w:rFonts w:ascii="仿宋" w:hAnsi="仿宋"/>
          <w:highlight w:val="none"/>
        </w:rPr>
        <w:t>DC</w:t>
      </w:r>
      <w:r>
        <w:rPr>
          <w:rFonts w:hint="eastAsia" w:ascii="仿宋" w:hAnsi="仿宋"/>
          <w:highlight w:val="none"/>
        </w:rPr>
        <w:t>）、医嘱执行、药师审核自动审核通过、药师审核人工审核通过、药师审核不通过、住院药房发药、配送装箱、配送转运、配送签收、皮试开始、皮试结束、输液执行、输液巡视、输液停止、输液执行完毕、停止医嘱、停止审核、护士上报输液不良反应、职能部门处理、归档。</w:t>
      </w:r>
    </w:p>
    <w:p>
      <w:pPr>
        <w:pStyle w:val="721"/>
        <w:ind w:firstLine="480"/>
        <w:rPr>
          <w:rFonts w:ascii="仿宋" w:hAnsi="仿宋"/>
          <w:highlight w:val="none"/>
        </w:rPr>
      </w:pPr>
      <w:r>
        <w:rPr>
          <w:rFonts w:ascii="仿宋" w:hAnsi="仿宋"/>
          <w:highlight w:val="none"/>
        </w:rPr>
        <w:t>4</w:t>
      </w:r>
      <w:r>
        <w:rPr>
          <w:rFonts w:hint="eastAsia" w:ascii="仿宋" w:hAnsi="仿宋"/>
          <w:highlight w:val="none"/>
        </w:rPr>
        <w:t>、支持患者检验危急值在各个医疗服务点上的人员、时间和状态的集中采集，节点包含：危急值生成、危急值复核、危急值发布医生接收、医生处理危急值、危急值处理反馈、危急值医技确认。</w:t>
      </w:r>
    </w:p>
    <w:p>
      <w:pPr>
        <w:pStyle w:val="6"/>
        <w:ind w:firstLine="281"/>
        <w:rPr>
          <w:highlight w:val="none"/>
        </w:rPr>
      </w:pPr>
      <w:r>
        <w:rPr>
          <w:rFonts w:hint="eastAsia"/>
          <w:highlight w:val="none"/>
        </w:rPr>
        <w:t>电子病历标准化评级服务（五级）</w:t>
      </w:r>
    </w:p>
    <w:p>
      <w:pPr>
        <w:rPr>
          <w:rFonts w:ascii="仿宋" w:hAnsi="仿宋"/>
          <w:highlight w:val="none"/>
        </w:rPr>
      </w:pPr>
      <w:r>
        <w:rPr>
          <w:rFonts w:hint="eastAsia"/>
          <w:highlight w:val="none"/>
          <w:lang w:val="zh-CN"/>
        </w:rPr>
        <w:t xml:space="preserve"> </w:t>
      </w:r>
      <w:r>
        <w:rPr>
          <w:rFonts w:ascii="宋体" w:hAnsi="宋体"/>
          <w:sz w:val="24"/>
          <w:highlight w:val="none"/>
        </w:rPr>
        <w:t xml:space="preserve"> </w:t>
      </w:r>
      <w:r>
        <w:rPr>
          <w:rFonts w:hint="eastAsia" w:ascii="宋体" w:hAnsi="宋体"/>
          <w:sz w:val="24"/>
          <w:highlight w:val="none"/>
        </w:rPr>
        <w:t>服务范围：嘉善县第一人民医院</w:t>
      </w:r>
    </w:p>
    <w:p>
      <w:pPr>
        <w:pStyle w:val="2"/>
        <w:rPr>
          <w:highlight w:val="none"/>
        </w:rPr>
      </w:pPr>
    </w:p>
    <w:p>
      <w:pPr>
        <w:pStyle w:val="721"/>
        <w:numPr>
          <w:ilvl w:val="0"/>
          <w:numId w:val="10"/>
        </w:numPr>
        <w:ind w:firstLineChars="0"/>
        <w:rPr>
          <w:rFonts w:ascii="仿宋" w:hAnsi="仿宋"/>
          <w:highlight w:val="none"/>
        </w:rPr>
      </w:pPr>
      <w:r>
        <w:rPr>
          <w:rFonts w:hint="eastAsia" w:ascii="仿宋" w:hAnsi="仿宋"/>
          <w:highlight w:val="none"/>
        </w:rPr>
        <w:t>项目早期咨询及调研；</w:t>
      </w:r>
    </w:p>
    <w:p>
      <w:pPr>
        <w:pStyle w:val="721"/>
        <w:numPr>
          <w:ilvl w:val="0"/>
          <w:numId w:val="10"/>
        </w:numPr>
        <w:ind w:firstLineChars="0"/>
        <w:rPr>
          <w:rFonts w:ascii="仿宋" w:hAnsi="仿宋"/>
          <w:highlight w:val="none"/>
        </w:rPr>
      </w:pPr>
      <w:r>
        <w:rPr>
          <w:rFonts w:hint="eastAsia" w:ascii="仿宋" w:hAnsi="仿宋"/>
          <w:highlight w:val="none"/>
        </w:rPr>
        <w:t>提供电子病历评测助手系统功能；</w:t>
      </w:r>
    </w:p>
    <w:p>
      <w:pPr>
        <w:pStyle w:val="721"/>
        <w:numPr>
          <w:ilvl w:val="0"/>
          <w:numId w:val="10"/>
        </w:numPr>
        <w:ind w:firstLineChars="0"/>
        <w:rPr>
          <w:rFonts w:ascii="仿宋" w:hAnsi="仿宋"/>
          <w:highlight w:val="none"/>
        </w:rPr>
      </w:pPr>
      <w:r>
        <w:rPr>
          <w:rFonts w:hint="eastAsia" w:ascii="仿宋" w:hAnsi="仿宋"/>
          <w:highlight w:val="none"/>
        </w:rPr>
        <w:t>电子病历报名辅导；</w:t>
      </w:r>
    </w:p>
    <w:p>
      <w:pPr>
        <w:pStyle w:val="721"/>
        <w:numPr>
          <w:ilvl w:val="0"/>
          <w:numId w:val="10"/>
        </w:numPr>
        <w:ind w:firstLineChars="0"/>
        <w:rPr>
          <w:rFonts w:ascii="仿宋" w:hAnsi="仿宋"/>
          <w:highlight w:val="none"/>
        </w:rPr>
      </w:pPr>
      <w:r>
        <w:rPr>
          <w:rFonts w:hint="eastAsia" w:ascii="仿宋" w:hAnsi="仿宋"/>
          <w:highlight w:val="none"/>
        </w:rPr>
        <w:t>电子病历文审辅导；</w:t>
      </w:r>
    </w:p>
    <w:p>
      <w:pPr>
        <w:pStyle w:val="721"/>
        <w:numPr>
          <w:ilvl w:val="0"/>
          <w:numId w:val="10"/>
        </w:numPr>
        <w:ind w:firstLineChars="0"/>
        <w:rPr>
          <w:rFonts w:ascii="仿宋" w:hAnsi="仿宋"/>
          <w:highlight w:val="none"/>
        </w:rPr>
      </w:pPr>
      <w:r>
        <w:rPr>
          <w:rFonts w:hint="eastAsia" w:ascii="仿宋" w:hAnsi="仿宋"/>
          <w:highlight w:val="none"/>
        </w:rPr>
        <w:t>预评审及正式评审；</w:t>
      </w:r>
    </w:p>
    <w:p>
      <w:pPr>
        <w:pStyle w:val="721"/>
        <w:numPr>
          <w:ilvl w:val="0"/>
          <w:numId w:val="10"/>
        </w:numPr>
        <w:ind w:firstLineChars="0"/>
        <w:rPr>
          <w:rFonts w:ascii="仿宋" w:hAnsi="仿宋"/>
          <w:highlight w:val="none"/>
        </w:rPr>
      </w:pPr>
      <w:r>
        <w:rPr>
          <w:rFonts w:hint="eastAsia" w:ascii="仿宋" w:hAnsi="仿宋"/>
          <w:highlight w:val="none"/>
        </w:rPr>
        <w:t>评审知识库管理。</w:t>
      </w:r>
    </w:p>
    <w:p>
      <w:pPr>
        <w:pStyle w:val="5"/>
        <w:rPr>
          <w:highlight w:val="none"/>
        </w:rPr>
      </w:pPr>
      <w:r>
        <w:rPr>
          <w:rFonts w:hint="eastAsia"/>
          <w:highlight w:val="none"/>
        </w:rPr>
        <w:t>运营</w:t>
      </w:r>
    </w:p>
    <w:p>
      <w:pPr>
        <w:pStyle w:val="6"/>
        <w:ind w:firstLine="281"/>
        <w:rPr>
          <w:highlight w:val="none"/>
        </w:rPr>
      </w:pPr>
      <w:r>
        <w:rPr>
          <w:rFonts w:hint="eastAsia"/>
          <w:highlight w:val="none"/>
        </w:rPr>
        <w:t>公用支持系统</w:t>
      </w:r>
    </w:p>
    <w:p>
      <w:pPr>
        <w:snapToGrid w:val="0"/>
        <w:ind w:firstLine="480" w:firstLineChars="200"/>
        <w:rPr>
          <w:rFonts w:ascii="宋体" w:hAnsi="宋体"/>
          <w:sz w:val="24"/>
          <w:highlight w:val="none"/>
        </w:rPr>
      </w:pPr>
      <w:r>
        <w:rPr>
          <w:rFonts w:hint="eastAsia" w:ascii="宋体" w:hAnsi="宋体"/>
          <w:sz w:val="24"/>
          <w:highlight w:val="none"/>
        </w:rPr>
        <w:t>整个HIS系统的支持系统，为其它系统提供基础数据，完成各种基础数据的设置与维护工作。</w:t>
      </w:r>
    </w:p>
    <w:p>
      <w:pPr>
        <w:snapToGrid w:val="0"/>
        <w:rPr>
          <w:rFonts w:ascii="宋体" w:hAnsi="宋体"/>
          <w:b/>
          <w:sz w:val="24"/>
          <w:highlight w:val="none"/>
        </w:rPr>
      </w:pPr>
      <w:r>
        <w:rPr>
          <w:rFonts w:ascii="宋体" w:hAnsi="宋体"/>
          <w:b/>
          <w:sz w:val="24"/>
          <w:highlight w:val="none"/>
        </w:rPr>
        <w:t>功能要求：</w:t>
      </w:r>
    </w:p>
    <w:p>
      <w:pPr>
        <w:pStyle w:val="721"/>
        <w:numPr>
          <w:ilvl w:val="0"/>
          <w:numId w:val="11"/>
        </w:numPr>
        <w:ind w:firstLineChars="0"/>
        <w:rPr>
          <w:szCs w:val="24"/>
          <w:highlight w:val="none"/>
        </w:rPr>
      </w:pPr>
      <w:r>
        <w:rPr>
          <w:rFonts w:hint="eastAsia"/>
          <w:szCs w:val="24"/>
          <w:highlight w:val="none"/>
        </w:rPr>
        <w:t>对各应用子系统基本信息的统一管理；</w:t>
      </w:r>
    </w:p>
    <w:p>
      <w:pPr>
        <w:pStyle w:val="721"/>
        <w:numPr>
          <w:ilvl w:val="0"/>
          <w:numId w:val="11"/>
        </w:numPr>
        <w:ind w:firstLineChars="0"/>
        <w:rPr>
          <w:szCs w:val="24"/>
          <w:highlight w:val="none"/>
        </w:rPr>
      </w:pPr>
      <w:r>
        <w:rPr>
          <w:rFonts w:hint="eastAsia"/>
          <w:szCs w:val="24"/>
          <w:highlight w:val="none"/>
        </w:rPr>
        <w:t>方便公费比例、公费人员的设置；</w:t>
      </w:r>
    </w:p>
    <w:p>
      <w:pPr>
        <w:pStyle w:val="721"/>
        <w:numPr>
          <w:ilvl w:val="0"/>
          <w:numId w:val="11"/>
        </w:numPr>
        <w:ind w:firstLineChars="0"/>
        <w:rPr>
          <w:szCs w:val="24"/>
          <w:highlight w:val="none"/>
        </w:rPr>
      </w:pPr>
      <w:r>
        <w:rPr>
          <w:rFonts w:hint="eastAsia"/>
          <w:szCs w:val="24"/>
          <w:highlight w:val="none"/>
        </w:rPr>
        <w:t>各系统参数化设置无须改动原程序；</w:t>
      </w:r>
    </w:p>
    <w:p>
      <w:pPr>
        <w:pStyle w:val="721"/>
        <w:numPr>
          <w:ilvl w:val="0"/>
          <w:numId w:val="11"/>
        </w:numPr>
        <w:ind w:firstLineChars="0"/>
        <w:rPr>
          <w:szCs w:val="24"/>
          <w:highlight w:val="none"/>
        </w:rPr>
      </w:pPr>
      <w:r>
        <w:rPr>
          <w:rFonts w:hint="eastAsia"/>
          <w:szCs w:val="24"/>
          <w:highlight w:val="none"/>
        </w:rPr>
        <w:t>标准、统一的代码设置，包括费用性质、科室代码、自负比例、收费项目、公费病人、单位代码、公用代码及本院职工代码等设置和维护；</w:t>
      </w:r>
    </w:p>
    <w:p>
      <w:pPr>
        <w:pStyle w:val="721"/>
        <w:numPr>
          <w:ilvl w:val="0"/>
          <w:numId w:val="11"/>
        </w:numPr>
        <w:ind w:firstLineChars="0"/>
        <w:rPr>
          <w:szCs w:val="24"/>
          <w:highlight w:val="none"/>
        </w:rPr>
      </w:pPr>
      <w:r>
        <w:rPr>
          <w:rFonts w:hint="eastAsia"/>
          <w:szCs w:val="24"/>
          <w:highlight w:val="none"/>
        </w:rPr>
        <w:t>方便系统管理及技术支持维护人员设置各种参数，监管、保证系统的正常稳定运行。</w:t>
      </w:r>
    </w:p>
    <w:p>
      <w:pPr>
        <w:pStyle w:val="6"/>
        <w:ind w:firstLine="281"/>
        <w:rPr>
          <w:highlight w:val="none"/>
        </w:rPr>
      </w:pPr>
      <w:r>
        <w:rPr>
          <w:rFonts w:hint="eastAsia"/>
          <w:highlight w:val="none"/>
        </w:rPr>
        <w:t>门办管理系统</w:t>
      </w:r>
    </w:p>
    <w:p>
      <w:pPr>
        <w:pStyle w:val="721"/>
        <w:ind w:firstLine="480"/>
        <w:rPr>
          <w:rFonts w:asciiTheme="minorEastAsia" w:hAnsiTheme="minorEastAsia" w:eastAsiaTheme="minorEastAsia"/>
          <w:highlight w:val="none"/>
        </w:rPr>
      </w:pPr>
      <w:r>
        <w:rPr>
          <w:rFonts w:asciiTheme="minorEastAsia" w:hAnsiTheme="minorEastAsia" w:eastAsiaTheme="minorEastAsia"/>
          <w:highlight w:val="none"/>
        </w:rPr>
        <w:t>门办管理</w:t>
      </w:r>
      <w:r>
        <w:rPr>
          <w:rFonts w:hint="eastAsia" w:asciiTheme="minorEastAsia" w:hAnsiTheme="minorEastAsia" w:eastAsiaTheme="minorEastAsia"/>
          <w:highlight w:val="none"/>
        </w:rPr>
        <w:t>系统负责门诊日常的管理和协调工作，规范门诊诊疗秩序，加强病人隐私保护，改进医疗作风，改善服务态度，提高服务质量，实施多种形式的预约诊疗服务和分时段服务，合理安排各科专科专家门诊，检查门诊各科医生出诊和到岗情况，根据各科病人就诊数量增调医生。</w:t>
      </w:r>
    </w:p>
    <w:p>
      <w:pPr>
        <w:pStyle w:val="721"/>
        <w:ind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功能要求：</w:t>
      </w:r>
    </w:p>
    <w:p>
      <w:pPr>
        <w:pStyle w:val="721"/>
        <w:numPr>
          <w:ilvl w:val="0"/>
          <w:numId w:val="12"/>
        </w:numPr>
        <w:ind w:left="90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排班管理</w:t>
      </w:r>
    </w:p>
    <w:p>
      <w:pPr>
        <w:pStyle w:val="721"/>
        <w:numPr>
          <w:ilvl w:val="0"/>
          <w:numId w:val="13"/>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一周排班模板</w:t>
      </w:r>
    </w:p>
    <w:p>
      <w:pPr>
        <w:pStyle w:val="721"/>
        <w:numPr>
          <w:ilvl w:val="0"/>
          <w:numId w:val="14"/>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可切换查看不同院区不同科室医生的排班信息。</w:t>
      </w:r>
    </w:p>
    <w:p>
      <w:pPr>
        <w:pStyle w:val="721"/>
        <w:numPr>
          <w:ilvl w:val="0"/>
          <w:numId w:val="14"/>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根据挂号科室、挂号医生进行检索，检索后直接定位到该科室该医生的排班信息或者根据检索条件检索到该医生的所有排班信息。</w:t>
      </w:r>
    </w:p>
    <w:p>
      <w:pPr>
        <w:pStyle w:val="721"/>
        <w:numPr>
          <w:ilvl w:val="0"/>
          <w:numId w:val="14"/>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新增医生长期排班，若有维护好的基础数据，可同步基础数据。</w:t>
      </w:r>
    </w:p>
    <w:p>
      <w:pPr>
        <w:pStyle w:val="721"/>
        <w:numPr>
          <w:ilvl w:val="0"/>
          <w:numId w:val="14"/>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查看医生的排班号源和就诊时间及预约方式是否正确，若不正确允许修改。</w:t>
      </w:r>
    </w:p>
    <w:p>
      <w:pPr>
        <w:pStyle w:val="721"/>
        <w:numPr>
          <w:ilvl w:val="0"/>
          <w:numId w:val="14"/>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可删除医生的长期排班，删除时检测该医生的长期排班是否已有预约，并发送第三方通知平台。</w:t>
      </w:r>
    </w:p>
    <w:p>
      <w:pPr>
        <w:pStyle w:val="721"/>
        <w:numPr>
          <w:ilvl w:val="0"/>
          <w:numId w:val="14"/>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修改长期排班：修改长期排班后根据启用日期生效，就诊时间和预约方式同步更新；</w:t>
      </w:r>
    </w:p>
    <w:p>
      <w:pPr>
        <w:pStyle w:val="721"/>
        <w:numPr>
          <w:ilvl w:val="0"/>
          <w:numId w:val="14"/>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临时修改排班：修改长期排班中的某一天号源，仅当天有效，就诊时间和预约方式不变。</w:t>
      </w:r>
    </w:p>
    <w:p>
      <w:pPr>
        <w:pStyle w:val="721"/>
        <w:numPr>
          <w:ilvl w:val="0"/>
          <w:numId w:val="13"/>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ab/>
      </w:r>
      <w:r>
        <w:rPr>
          <w:rFonts w:hint="eastAsia" w:asciiTheme="minorEastAsia" w:hAnsiTheme="minorEastAsia" w:eastAsiaTheme="minorEastAsia"/>
          <w:b/>
          <w:bCs/>
          <w:highlight w:val="none"/>
        </w:rPr>
        <w:t>一周排班</w:t>
      </w:r>
    </w:p>
    <w:p>
      <w:pPr>
        <w:pStyle w:val="721"/>
        <w:numPr>
          <w:ilvl w:val="0"/>
          <w:numId w:val="15"/>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在已生成的排班基础上新增医生临时排班并根据所维护的基础数据同步限号数和预约方式。</w:t>
      </w:r>
    </w:p>
    <w:p>
      <w:pPr>
        <w:pStyle w:val="721"/>
        <w:numPr>
          <w:ilvl w:val="0"/>
          <w:numId w:val="15"/>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临时停诊：可将医生排班进行某天临时停诊，停诊时检测患者有无预约，并发送第三方通知平台。</w:t>
      </w:r>
    </w:p>
    <w:p>
      <w:pPr>
        <w:pStyle w:val="721"/>
        <w:numPr>
          <w:ilvl w:val="0"/>
          <w:numId w:val="13"/>
        </w:numPr>
        <w:ind w:left="900" w:firstLineChars="0"/>
        <w:rPr>
          <w:rFonts w:asciiTheme="minorEastAsia" w:hAnsiTheme="minorEastAsia" w:eastAsiaTheme="minorEastAsia"/>
          <w:highlight w:val="none"/>
        </w:rPr>
      </w:pPr>
      <w:r>
        <w:rPr>
          <w:rFonts w:hint="eastAsia" w:asciiTheme="minorEastAsia" w:hAnsiTheme="minorEastAsia" w:eastAsiaTheme="minorEastAsia"/>
          <w:b/>
          <w:bCs/>
          <w:highlight w:val="none"/>
        </w:rPr>
        <w:t>特殊排班</w:t>
      </w:r>
      <w:r>
        <w:rPr>
          <w:rFonts w:hint="eastAsia" w:asciiTheme="minorEastAsia" w:hAnsiTheme="minorEastAsia" w:eastAsiaTheme="minorEastAsia"/>
          <w:highlight w:val="none"/>
        </w:rPr>
        <w:tab/>
      </w:r>
    </w:p>
    <w:p>
      <w:pPr>
        <w:pStyle w:val="721"/>
        <w:numPr>
          <w:ilvl w:val="0"/>
          <w:numId w:val="16"/>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新增某一段时间的临时排班：可新增医生某一段时间的临时排班并根据所选模板维护好对应的就诊时间和预约方式，过期自动失效。</w:t>
      </w:r>
    </w:p>
    <w:p>
      <w:pPr>
        <w:pStyle w:val="721"/>
        <w:numPr>
          <w:ilvl w:val="0"/>
          <w:numId w:val="16"/>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节假日排班：可根据所选院区和科室一键切换节假日排班（就诊时间和预约方式同步更改，仅当天有效，不影响长期排班）。</w:t>
      </w:r>
    </w:p>
    <w:p>
      <w:pPr>
        <w:pStyle w:val="721"/>
        <w:numPr>
          <w:ilvl w:val="0"/>
          <w:numId w:val="16"/>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批量临时停诊：可根据院区、科室、医生、挂号类别、停诊时间（或时间段）进行批量临时停诊。</w:t>
      </w:r>
    </w:p>
    <w:p>
      <w:pPr>
        <w:pStyle w:val="721"/>
        <w:numPr>
          <w:ilvl w:val="0"/>
          <w:numId w:val="13"/>
        </w:numPr>
        <w:ind w:left="900" w:firstLineChars="0"/>
        <w:rPr>
          <w:rFonts w:asciiTheme="minorEastAsia" w:hAnsiTheme="minorEastAsia" w:eastAsiaTheme="minorEastAsia"/>
          <w:highlight w:val="none"/>
        </w:rPr>
      </w:pPr>
      <w:r>
        <w:rPr>
          <w:rFonts w:hint="eastAsia" w:asciiTheme="minorEastAsia" w:hAnsiTheme="minorEastAsia" w:eastAsiaTheme="minorEastAsia"/>
          <w:b/>
          <w:bCs/>
          <w:highlight w:val="none"/>
        </w:rPr>
        <w:t>排班基础设置</w:t>
      </w:r>
      <w:r>
        <w:rPr>
          <w:rFonts w:hint="eastAsia" w:asciiTheme="minorEastAsia" w:hAnsiTheme="minorEastAsia" w:eastAsiaTheme="minorEastAsia"/>
          <w:highlight w:val="none"/>
        </w:rPr>
        <w:tab/>
      </w:r>
    </w:p>
    <w:p>
      <w:pPr>
        <w:pStyle w:val="721"/>
        <w:numPr>
          <w:ilvl w:val="0"/>
          <w:numId w:val="17"/>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可提前将挂号类别、限号数、最高限号数、就诊时间、预约方式以模板的形式维护好，增改时双击即可关联号源、就诊时间和预约方式。</w:t>
      </w:r>
    </w:p>
    <w:p>
      <w:pPr>
        <w:pStyle w:val="721"/>
        <w:numPr>
          <w:ilvl w:val="0"/>
          <w:numId w:val="12"/>
        </w:numPr>
        <w:ind w:left="90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门诊管理</w:t>
      </w:r>
      <w:r>
        <w:rPr>
          <w:rFonts w:hint="eastAsia" w:asciiTheme="minorEastAsia" w:hAnsiTheme="minorEastAsia" w:eastAsiaTheme="minorEastAsia"/>
          <w:b/>
          <w:highlight w:val="none"/>
        </w:rPr>
        <w:tab/>
      </w:r>
    </w:p>
    <w:p>
      <w:pPr>
        <w:pStyle w:val="721"/>
        <w:numPr>
          <w:ilvl w:val="0"/>
          <w:numId w:val="18"/>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诊室信息维护</w:t>
      </w:r>
      <w:r>
        <w:rPr>
          <w:rFonts w:hint="eastAsia" w:asciiTheme="minorEastAsia" w:hAnsiTheme="minorEastAsia" w:eastAsiaTheme="minorEastAsia"/>
          <w:b/>
          <w:bCs/>
          <w:highlight w:val="none"/>
        </w:rPr>
        <w:tab/>
      </w:r>
    </w:p>
    <w:p>
      <w:pPr>
        <w:pStyle w:val="721"/>
        <w:numPr>
          <w:ilvl w:val="0"/>
          <w:numId w:val="17"/>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维护门诊科室对应的诊室名称、输入码、候诊和就诊区域。</w:t>
      </w:r>
    </w:p>
    <w:p>
      <w:pPr>
        <w:pStyle w:val="721"/>
        <w:numPr>
          <w:ilvl w:val="0"/>
          <w:numId w:val="18"/>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医疗证明</w:t>
      </w:r>
    </w:p>
    <w:p>
      <w:pPr>
        <w:pStyle w:val="721"/>
        <w:numPr>
          <w:ilvl w:val="0"/>
          <w:numId w:val="17"/>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根据日期筛选患者查询审批医疗证明。</w:t>
      </w:r>
    </w:p>
    <w:p>
      <w:pPr>
        <w:pStyle w:val="721"/>
        <w:numPr>
          <w:ilvl w:val="0"/>
          <w:numId w:val="12"/>
        </w:numPr>
        <w:ind w:left="90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综合查询</w:t>
      </w:r>
    </w:p>
    <w:p>
      <w:pPr>
        <w:pStyle w:val="721"/>
        <w:numPr>
          <w:ilvl w:val="0"/>
          <w:numId w:val="19"/>
        </w:numPr>
        <w:ind w:left="763" w:hanging="283"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预约查询</w:t>
      </w:r>
      <w:r>
        <w:rPr>
          <w:rFonts w:hint="eastAsia" w:asciiTheme="minorEastAsia" w:hAnsiTheme="minorEastAsia" w:eastAsiaTheme="minorEastAsia"/>
          <w:b/>
          <w:bCs/>
          <w:highlight w:val="none"/>
        </w:rPr>
        <w:tab/>
      </w:r>
    </w:p>
    <w:p>
      <w:pPr>
        <w:pStyle w:val="721"/>
        <w:numPr>
          <w:ilvl w:val="0"/>
          <w:numId w:val="17"/>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可根据院区、科室、医生、预约时间查询预约信息并进行取消预约和发送短信的操作。</w:t>
      </w:r>
    </w:p>
    <w:p>
      <w:pPr>
        <w:pStyle w:val="721"/>
        <w:numPr>
          <w:ilvl w:val="0"/>
          <w:numId w:val="19"/>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显示设置</w:t>
      </w:r>
    </w:p>
    <w:p>
      <w:pPr>
        <w:pStyle w:val="721"/>
        <w:numPr>
          <w:ilvl w:val="0"/>
          <w:numId w:val="17"/>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工作人员可根据实际需要配置预约查询时显示的字段。</w:t>
      </w:r>
    </w:p>
    <w:p>
      <w:pPr>
        <w:pStyle w:val="721"/>
        <w:numPr>
          <w:ilvl w:val="0"/>
          <w:numId w:val="19"/>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操作记录</w:t>
      </w:r>
      <w:r>
        <w:rPr>
          <w:rFonts w:hint="eastAsia" w:asciiTheme="minorEastAsia" w:hAnsiTheme="minorEastAsia" w:eastAsiaTheme="minorEastAsia"/>
          <w:b/>
          <w:bCs/>
          <w:highlight w:val="none"/>
        </w:rPr>
        <w:tab/>
      </w:r>
    </w:p>
    <w:p>
      <w:pPr>
        <w:pStyle w:val="721"/>
        <w:numPr>
          <w:ilvl w:val="0"/>
          <w:numId w:val="17"/>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可查看工作人员每一条增删改的操作记录。</w:t>
      </w:r>
    </w:p>
    <w:p>
      <w:pPr>
        <w:pStyle w:val="721"/>
        <w:numPr>
          <w:ilvl w:val="0"/>
          <w:numId w:val="12"/>
        </w:numPr>
        <w:ind w:left="90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停诊审核</w:t>
      </w:r>
      <w:r>
        <w:rPr>
          <w:rFonts w:hint="eastAsia" w:asciiTheme="minorEastAsia" w:hAnsiTheme="minorEastAsia" w:eastAsiaTheme="minorEastAsia"/>
          <w:b/>
          <w:highlight w:val="none"/>
        </w:rPr>
        <w:tab/>
      </w:r>
    </w:p>
    <w:p>
      <w:pPr>
        <w:pStyle w:val="721"/>
        <w:numPr>
          <w:ilvl w:val="0"/>
          <w:numId w:val="20"/>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停诊审批</w:t>
      </w:r>
      <w:r>
        <w:rPr>
          <w:rFonts w:hint="eastAsia" w:asciiTheme="minorEastAsia" w:hAnsiTheme="minorEastAsia" w:eastAsiaTheme="minorEastAsia"/>
          <w:b/>
          <w:bCs/>
          <w:highlight w:val="none"/>
        </w:rPr>
        <w:tab/>
      </w:r>
    </w:p>
    <w:p>
      <w:pPr>
        <w:pStyle w:val="721"/>
        <w:numPr>
          <w:ilvl w:val="0"/>
          <w:numId w:val="17"/>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通过门诊医生站或其他方式申请停诊后门办工作人员审核即可，若审核通过同步检测停诊当天患者有无预约，若有跳转到预约查询页发送通知。</w:t>
      </w:r>
    </w:p>
    <w:p>
      <w:pPr>
        <w:pStyle w:val="6"/>
        <w:ind w:firstLine="281"/>
        <w:rPr>
          <w:highlight w:val="none"/>
        </w:rPr>
      </w:pPr>
      <w:r>
        <w:rPr>
          <w:rFonts w:hint="eastAsia"/>
          <w:highlight w:val="none"/>
        </w:rPr>
        <w:t>门诊药房运行系统</w:t>
      </w:r>
    </w:p>
    <w:p>
      <w:pPr>
        <w:pStyle w:val="721"/>
        <w:ind w:firstLine="480"/>
        <w:rPr>
          <w:rFonts w:asciiTheme="minorEastAsia" w:hAnsiTheme="minorEastAsia" w:eastAsiaTheme="minorEastAsia"/>
          <w:highlight w:val="none"/>
        </w:rPr>
      </w:pPr>
      <w:r>
        <w:rPr>
          <w:rFonts w:hint="eastAsia" w:asciiTheme="minorEastAsia" w:hAnsiTheme="minorEastAsia" w:eastAsiaTheme="minorEastAsia"/>
          <w:highlight w:val="none"/>
        </w:rPr>
        <w:t>门诊药房系统是协助门诊药房药师进行药品库存管理，完成门诊病人发药的前后台管理，后台进行自动打印处方单、注射单、输液单、口服单等，前台进行审核发药、取消发药、退药、取消退药、已发药查询、未发药查询等功能；根据门诊医师处方进行药品发药管理的系统；其主要任务药品出入库、发药、盘点和有效期管理，并支持各种数据查询功能。</w:t>
      </w:r>
    </w:p>
    <w:p>
      <w:pPr>
        <w:pStyle w:val="721"/>
        <w:ind w:left="900" w:firstLine="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功能要求：</w:t>
      </w:r>
    </w:p>
    <w:p>
      <w:pPr>
        <w:pStyle w:val="721"/>
        <w:numPr>
          <w:ilvl w:val="0"/>
          <w:numId w:val="21"/>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发药处理</w:t>
      </w:r>
    </w:p>
    <w:p>
      <w:pPr>
        <w:pStyle w:val="721"/>
        <w:numPr>
          <w:ilvl w:val="0"/>
          <w:numId w:val="22"/>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门诊发药</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支持对已收费的门诊处方进行发药功能；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支持按不同条件进行检索查看患者待发处方信息的功能；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支持多选处方发药的功能；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支持查询患者发药记录的功能；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支持按药品检索发药记录的功能；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支持为患者取消发药、退药、取消退药的功能。</w:t>
      </w:r>
    </w:p>
    <w:p>
      <w:pPr>
        <w:pStyle w:val="721"/>
        <w:numPr>
          <w:ilvl w:val="0"/>
          <w:numId w:val="21"/>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库存管理</w:t>
      </w:r>
    </w:p>
    <w:p>
      <w:pPr>
        <w:pStyle w:val="721"/>
        <w:numPr>
          <w:ilvl w:val="0"/>
          <w:numId w:val="24"/>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药品入库</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支持新增、修改、删除入库单据的功能；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支持按条件检索入库单据记录的功能；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支持药品入库自动记账功能。</w:t>
      </w:r>
    </w:p>
    <w:p>
      <w:pPr>
        <w:pStyle w:val="721"/>
        <w:numPr>
          <w:ilvl w:val="0"/>
          <w:numId w:val="24"/>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药品出库</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支持新增、修改、删除出库单据的功能；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支持按条件检索出库单据记录的功能；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支持药品出库自动记账功能。</w:t>
      </w:r>
    </w:p>
    <w:p>
      <w:pPr>
        <w:pStyle w:val="721"/>
        <w:numPr>
          <w:ilvl w:val="0"/>
          <w:numId w:val="24"/>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药品请领</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支持向不同库房进行药品请领的功能；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支持药品请领自动记账。</w:t>
      </w:r>
    </w:p>
    <w:p>
      <w:pPr>
        <w:pStyle w:val="721"/>
        <w:numPr>
          <w:ilvl w:val="0"/>
          <w:numId w:val="21"/>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基础设置</w:t>
      </w:r>
    </w:p>
    <w:p>
      <w:pPr>
        <w:pStyle w:val="721"/>
        <w:numPr>
          <w:ilvl w:val="0"/>
          <w:numId w:val="2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药品盘存</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支持药品盘点的功能；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支持按不同条件批量导入明细数据的功能。</w:t>
      </w:r>
    </w:p>
    <w:p>
      <w:pPr>
        <w:pStyle w:val="721"/>
        <w:numPr>
          <w:ilvl w:val="0"/>
          <w:numId w:val="2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期末结转</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支持为库房会计进行财务期间的结转处理的功能。</w:t>
      </w:r>
    </w:p>
    <w:p>
      <w:pPr>
        <w:pStyle w:val="721"/>
        <w:numPr>
          <w:ilvl w:val="0"/>
          <w:numId w:val="2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药品采购</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支持按日期查询采购计划单，可新增、修改、删除采购计划单。</w:t>
      </w:r>
    </w:p>
    <w:p>
      <w:pPr>
        <w:pStyle w:val="721"/>
        <w:numPr>
          <w:ilvl w:val="0"/>
          <w:numId w:val="2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报损管理</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支持药库房工作人员对药品进行报损操作的功能。</w:t>
      </w:r>
    </w:p>
    <w:p>
      <w:pPr>
        <w:pStyle w:val="721"/>
        <w:numPr>
          <w:ilvl w:val="0"/>
          <w:numId w:val="2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借还药</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支持为科室或个人进行借还药操作的功能。</w:t>
      </w:r>
    </w:p>
    <w:p>
      <w:pPr>
        <w:pStyle w:val="721"/>
        <w:numPr>
          <w:ilvl w:val="0"/>
          <w:numId w:val="2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效期管理</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支持按筛选条件对效期将近的药品进行查询的功能；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支持对效期药品进行退库的功能；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支持对不同效期的药品进行区分显示。</w:t>
      </w:r>
    </w:p>
    <w:p>
      <w:pPr>
        <w:pStyle w:val="721"/>
        <w:numPr>
          <w:ilvl w:val="0"/>
          <w:numId w:val="2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药品字典维护</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支持新增、删除、修改药品信息的功能。</w:t>
      </w:r>
    </w:p>
    <w:p>
      <w:pPr>
        <w:pStyle w:val="721"/>
        <w:numPr>
          <w:ilvl w:val="0"/>
          <w:numId w:val="2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药品类别维护</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支持新增、删除、修改药品类别的功能。</w:t>
      </w:r>
    </w:p>
    <w:p>
      <w:pPr>
        <w:pStyle w:val="721"/>
        <w:numPr>
          <w:ilvl w:val="0"/>
          <w:numId w:val="2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药品基础数据维护</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支持药品基本信息维护的功能，主要包括：药品产地、供货单位、调拨单位、药品招标单位等。</w:t>
      </w:r>
    </w:p>
    <w:p>
      <w:pPr>
        <w:pStyle w:val="721"/>
        <w:numPr>
          <w:ilvl w:val="0"/>
          <w:numId w:val="2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高级数据维护</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支持维护出入库方式、统计药品分类、库存上下限、药品摆放位置的功能。</w:t>
      </w:r>
    </w:p>
    <w:p>
      <w:pPr>
        <w:pStyle w:val="721"/>
        <w:numPr>
          <w:ilvl w:val="0"/>
          <w:numId w:val="2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规格设置</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支持维护药品的最小规格转换、增加中间规格的功能。</w:t>
      </w:r>
    </w:p>
    <w:p>
      <w:pPr>
        <w:pStyle w:val="721"/>
        <w:numPr>
          <w:ilvl w:val="0"/>
          <w:numId w:val="2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月报</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支持药库房统计一段时间内的药品收支情况的功能。</w:t>
      </w:r>
    </w:p>
    <w:p>
      <w:pPr>
        <w:pStyle w:val="721"/>
        <w:numPr>
          <w:ilvl w:val="0"/>
          <w:numId w:val="21"/>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查询统计</w:t>
      </w:r>
    </w:p>
    <w:p>
      <w:pPr>
        <w:pStyle w:val="721"/>
        <w:numPr>
          <w:ilvl w:val="0"/>
          <w:numId w:val="26"/>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处方查询</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支持查询处方发放情况的功能。</w:t>
      </w:r>
    </w:p>
    <w:p>
      <w:pPr>
        <w:pStyle w:val="721"/>
        <w:numPr>
          <w:ilvl w:val="0"/>
          <w:numId w:val="26"/>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药品账簿查询</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支持药品流水账目的功能。</w:t>
      </w:r>
    </w:p>
    <w:p>
      <w:pPr>
        <w:pStyle w:val="721"/>
        <w:numPr>
          <w:ilvl w:val="0"/>
          <w:numId w:val="26"/>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库存查询</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支持药库房查看药品库存情况的功能。</w:t>
      </w:r>
    </w:p>
    <w:p>
      <w:pPr>
        <w:pStyle w:val="6"/>
        <w:ind w:firstLine="281"/>
        <w:rPr>
          <w:highlight w:val="none"/>
        </w:rPr>
      </w:pPr>
      <w:r>
        <w:rPr>
          <w:rFonts w:hint="eastAsia"/>
          <w:highlight w:val="none"/>
        </w:rPr>
        <w:t>住院药房运行系统</w:t>
      </w:r>
    </w:p>
    <w:p>
      <w:pPr>
        <w:pStyle w:val="721"/>
        <w:ind w:left="480" w:firstLine="480"/>
        <w:rPr>
          <w:rFonts w:asciiTheme="minorEastAsia" w:hAnsiTheme="minorEastAsia" w:eastAsiaTheme="minorEastAsia"/>
          <w:highlight w:val="none"/>
        </w:rPr>
      </w:pPr>
      <w:r>
        <w:rPr>
          <w:rFonts w:hint="eastAsia" w:asciiTheme="minorEastAsia" w:hAnsiTheme="minorEastAsia" w:eastAsiaTheme="minorEastAsia"/>
          <w:highlight w:val="none"/>
        </w:rPr>
        <w:t>住院药房系统是协助住院药房药师进行药品库存管理，完成长期、临时的针剂、片剂、大输液等药品的摆药和发放、退药功能，其主要任务药品出入库、发药、盘点和有效期管理，并支持各种数据查询功能。</w:t>
      </w:r>
    </w:p>
    <w:p>
      <w:pPr>
        <w:pStyle w:val="721"/>
        <w:ind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功能要求：</w:t>
      </w:r>
    </w:p>
    <w:p>
      <w:pPr>
        <w:pStyle w:val="721"/>
        <w:numPr>
          <w:ilvl w:val="0"/>
          <w:numId w:val="27"/>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发药处理</w:t>
      </w:r>
    </w:p>
    <w:p>
      <w:pPr>
        <w:pStyle w:val="721"/>
        <w:numPr>
          <w:ilvl w:val="0"/>
          <w:numId w:val="28"/>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住院发药</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支持病区按不同方式进行发药操作；</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支持按病区进行汇总发药的功能；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支持按医嘱明细进行发药的功能；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支持病区退药确认的功能；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支持查看病区发药情况的功能。</w:t>
      </w:r>
    </w:p>
    <w:p>
      <w:pPr>
        <w:pStyle w:val="721"/>
        <w:numPr>
          <w:ilvl w:val="0"/>
          <w:numId w:val="27"/>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库存管理</w:t>
      </w:r>
    </w:p>
    <w:p>
      <w:pPr>
        <w:pStyle w:val="721"/>
        <w:numPr>
          <w:ilvl w:val="0"/>
          <w:numId w:val="29"/>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药品入库</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支持新增、修改、删除入库单据的功能；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支持按条件检索入库单据记录的功能；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支持药品入库自动记账功能。</w:t>
      </w:r>
    </w:p>
    <w:p>
      <w:pPr>
        <w:pStyle w:val="721"/>
        <w:numPr>
          <w:ilvl w:val="0"/>
          <w:numId w:val="29"/>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药品出库</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支持新增、修改、删除出库单据的功能；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支持按条件检索出库单据记录的功能；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支持药品出库自动记账功能。</w:t>
      </w:r>
    </w:p>
    <w:p>
      <w:pPr>
        <w:pStyle w:val="721"/>
        <w:numPr>
          <w:ilvl w:val="0"/>
          <w:numId w:val="29"/>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药品请领</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支持向不同库房进行药品请领的功能；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支持药品请领自动记账。</w:t>
      </w:r>
    </w:p>
    <w:p>
      <w:pPr>
        <w:pStyle w:val="721"/>
        <w:numPr>
          <w:ilvl w:val="0"/>
          <w:numId w:val="29"/>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药品调价</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支持对药品进行调价操作的功能；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支持按不同条件批量导入明细数据的功能；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支持自动监控尾差不平并给予提示。</w:t>
      </w:r>
    </w:p>
    <w:p>
      <w:pPr>
        <w:pStyle w:val="721"/>
        <w:numPr>
          <w:ilvl w:val="0"/>
          <w:numId w:val="27"/>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基础设置</w:t>
      </w:r>
    </w:p>
    <w:p>
      <w:pPr>
        <w:pStyle w:val="721"/>
        <w:numPr>
          <w:ilvl w:val="0"/>
          <w:numId w:val="30"/>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药品盘存</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支持药品盘点的功能；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支持按不同条件批量导入明细数据的功能。</w:t>
      </w:r>
    </w:p>
    <w:p>
      <w:pPr>
        <w:pStyle w:val="721"/>
        <w:numPr>
          <w:ilvl w:val="0"/>
          <w:numId w:val="30"/>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期末结转</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支持为库房会计进行财务期间的结转处理的功能。</w:t>
      </w:r>
    </w:p>
    <w:p>
      <w:pPr>
        <w:pStyle w:val="721"/>
        <w:numPr>
          <w:ilvl w:val="0"/>
          <w:numId w:val="30"/>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药品采购</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支持按日期查询采购计划单，可新增、修改、删除采购计划单。</w:t>
      </w:r>
    </w:p>
    <w:p>
      <w:pPr>
        <w:pStyle w:val="721"/>
        <w:numPr>
          <w:ilvl w:val="0"/>
          <w:numId w:val="30"/>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报损管理</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支持药库房工作人员对药品进行报损操作的功能。</w:t>
      </w:r>
    </w:p>
    <w:p>
      <w:pPr>
        <w:pStyle w:val="721"/>
        <w:numPr>
          <w:ilvl w:val="0"/>
          <w:numId w:val="30"/>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借还药</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支持为科室或个人进行借还药操作的功能。</w:t>
      </w:r>
    </w:p>
    <w:p>
      <w:pPr>
        <w:pStyle w:val="721"/>
        <w:numPr>
          <w:ilvl w:val="0"/>
          <w:numId w:val="30"/>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效期管理</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支持按筛选条件对效期将近的药品进行查询的功能；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支持对效期药品进行退库的功能；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支持对不同效期的药品进行区分显示。</w:t>
      </w:r>
    </w:p>
    <w:p>
      <w:pPr>
        <w:pStyle w:val="721"/>
        <w:numPr>
          <w:ilvl w:val="0"/>
          <w:numId w:val="30"/>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药品字典维护</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支持新增、删除、修改药品信息的功能。</w:t>
      </w:r>
    </w:p>
    <w:p>
      <w:pPr>
        <w:pStyle w:val="721"/>
        <w:numPr>
          <w:ilvl w:val="0"/>
          <w:numId w:val="30"/>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药品类别维护</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支持新增、删除、修改药品类别的功能。</w:t>
      </w:r>
    </w:p>
    <w:p>
      <w:pPr>
        <w:pStyle w:val="721"/>
        <w:numPr>
          <w:ilvl w:val="0"/>
          <w:numId w:val="30"/>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药品基础数据维护</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支持药品基本信息维护的功能，主要包括：药品产地、供货单位、调拨单位、药品招标单位等。</w:t>
      </w:r>
    </w:p>
    <w:p>
      <w:pPr>
        <w:pStyle w:val="721"/>
        <w:numPr>
          <w:ilvl w:val="0"/>
          <w:numId w:val="30"/>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高级数据维护</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支持维护出入库方式、统计药品分类、库存上下限、药品摆放位置的功能。</w:t>
      </w:r>
    </w:p>
    <w:p>
      <w:pPr>
        <w:pStyle w:val="721"/>
        <w:numPr>
          <w:ilvl w:val="0"/>
          <w:numId w:val="30"/>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规格设置</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支持维护药品的最小规格转换、增加中间规格的功能。</w:t>
      </w:r>
    </w:p>
    <w:p>
      <w:pPr>
        <w:pStyle w:val="721"/>
        <w:numPr>
          <w:ilvl w:val="0"/>
          <w:numId w:val="30"/>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月报</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支持药库房统计一段时间内的药品收支情况的功能。</w:t>
      </w:r>
    </w:p>
    <w:p>
      <w:pPr>
        <w:pStyle w:val="721"/>
        <w:numPr>
          <w:ilvl w:val="0"/>
          <w:numId w:val="27"/>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查询统计</w:t>
      </w:r>
    </w:p>
    <w:p>
      <w:pPr>
        <w:pStyle w:val="721"/>
        <w:numPr>
          <w:ilvl w:val="0"/>
          <w:numId w:val="31"/>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处方查询</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支持查询处方发放情况的功能。</w:t>
      </w:r>
    </w:p>
    <w:p>
      <w:pPr>
        <w:pStyle w:val="721"/>
        <w:numPr>
          <w:ilvl w:val="0"/>
          <w:numId w:val="31"/>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药品账簿查询</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支持药品流水账目的功能。</w:t>
      </w:r>
    </w:p>
    <w:p>
      <w:pPr>
        <w:pStyle w:val="721"/>
        <w:numPr>
          <w:ilvl w:val="0"/>
          <w:numId w:val="31"/>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库存查询</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支持药库房查看药品库存情况的功能。</w:t>
      </w:r>
    </w:p>
    <w:p>
      <w:pPr>
        <w:pStyle w:val="6"/>
        <w:ind w:firstLine="281"/>
        <w:rPr>
          <w:highlight w:val="none"/>
        </w:rPr>
      </w:pPr>
      <w:r>
        <w:rPr>
          <w:rFonts w:hint="eastAsia"/>
          <w:highlight w:val="none"/>
        </w:rPr>
        <w:t>门诊中药房系统</w:t>
      </w:r>
    </w:p>
    <w:p>
      <w:pPr>
        <w:pStyle w:val="721"/>
        <w:ind w:firstLine="480"/>
        <w:rPr>
          <w:rFonts w:asciiTheme="minorEastAsia" w:hAnsiTheme="minorEastAsia" w:eastAsiaTheme="minorEastAsia"/>
          <w:highlight w:val="none"/>
        </w:rPr>
      </w:pPr>
      <w:r>
        <w:rPr>
          <w:rFonts w:hint="eastAsia" w:asciiTheme="minorEastAsia" w:hAnsiTheme="minorEastAsia" w:eastAsiaTheme="minorEastAsia"/>
          <w:highlight w:val="none"/>
        </w:rPr>
        <w:t>门诊中药房系统是协助中药房药师进行药品库存管理，完成长期、临时的饮片、饮片小包装、颗粒、整包颗粒、膏方等药品的摆药和发放、退药功能，其主要任务药品出入库、发药、盘点和有效期管理，并支持各种数据查询功能。</w:t>
      </w:r>
    </w:p>
    <w:p>
      <w:pPr>
        <w:pStyle w:val="721"/>
        <w:ind w:left="900" w:firstLine="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功能要求：</w:t>
      </w:r>
    </w:p>
    <w:p>
      <w:pPr>
        <w:pStyle w:val="721"/>
        <w:numPr>
          <w:ilvl w:val="0"/>
          <w:numId w:val="32"/>
        </w:numPr>
        <w:ind w:left="851"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发药处理</w:t>
      </w:r>
    </w:p>
    <w:p>
      <w:pPr>
        <w:pStyle w:val="721"/>
        <w:numPr>
          <w:ilvl w:val="0"/>
          <w:numId w:val="33"/>
        </w:numPr>
        <w:ind w:left="851"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住院发药</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支持病区按不同方式进行发药操作；</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支持按病区进行汇总发药的功能；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支持按医嘱明细进行发药的功能；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支持病区退药确认的功能；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支持查看病区发药情况的功能。</w:t>
      </w:r>
    </w:p>
    <w:p>
      <w:pPr>
        <w:pStyle w:val="721"/>
        <w:numPr>
          <w:ilvl w:val="0"/>
          <w:numId w:val="32"/>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库存管理</w:t>
      </w:r>
    </w:p>
    <w:p>
      <w:pPr>
        <w:pStyle w:val="721"/>
        <w:numPr>
          <w:ilvl w:val="0"/>
          <w:numId w:val="34"/>
        </w:numPr>
        <w:ind w:left="709" w:hanging="283"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药品入库</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支持新增、修改、删除入库单据的功能；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支持按条件检索入库单据记录的功能；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支持药品入库自动记账功能。</w:t>
      </w:r>
    </w:p>
    <w:p>
      <w:pPr>
        <w:pStyle w:val="721"/>
        <w:numPr>
          <w:ilvl w:val="0"/>
          <w:numId w:val="34"/>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药品出库</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支持新增、修改、删除出库单据的功能；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支持按条件检索出库单据记录的功能；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支持药品出库自动记账功能。</w:t>
      </w:r>
    </w:p>
    <w:p>
      <w:pPr>
        <w:pStyle w:val="721"/>
        <w:numPr>
          <w:ilvl w:val="0"/>
          <w:numId w:val="34"/>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药品请领</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支持向不同库房进行药品请领的功能；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支持药品请领自动记账。</w:t>
      </w:r>
    </w:p>
    <w:p>
      <w:pPr>
        <w:pStyle w:val="721"/>
        <w:numPr>
          <w:ilvl w:val="0"/>
          <w:numId w:val="34"/>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药品调价</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支持对药品进行调价操作的功能；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支持按不同条件批量导入明细数据的功能；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支持自动监控尾差不平并给予提示。</w:t>
      </w:r>
    </w:p>
    <w:p>
      <w:pPr>
        <w:pStyle w:val="721"/>
        <w:numPr>
          <w:ilvl w:val="0"/>
          <w:numId w:val="32"/>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基础设置</w:t>
      </w:r>
    </w:p>
    <w:p>
      <w:pPr>
        <w:pStyle w:val="721"/>
        <w:numPr>
          <w:ilvl w:val="0"/>
          <w:numId w:val="3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药品盘存</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支持药品盘点的功能；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支持按不同条件批量导入明细数据的功能。</w:t>
      </w:r>
    </w:p>
    <w:p>
      <w:pPr>
        <w:pStyle w:val="721"/>
        <w:numPr>
          <w:ilvl w:val="0"/>
          <w:numId w:val="3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期末结转</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支持为库房会计进行财务期间的结转处理的功能。</w:t>
      </w:r>
    </w:p>
    <w:p>
      <w:pPr>
        <w:pStyle w:val="721"/>
        <w:numPr>
          <w:ilvl w:val="0"/>
          <w:numId w:val="3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药品采购</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支持按日期查询采购计划单，可新增、修改、删除采购计划单。</w:t>
      </w:r>
    </w:p>
    <w:p>
      <w:pPr>
        <w:pStyle w:val="721"/>
        <w:numPr>
          <w:ilvl w:val="0"/>
          <w:numId w:val="3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报损管理</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支持药库房工作人员对药品进行报损操作的功能。</w:t>
      </w:r>
    </w:p>
    <w:p>
      <w:pPr>
        <w:pStyle w:val="721"/>
        <w:numPr>
          <w:ilvl w:val="0"/>
          <w:numId w:val="3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借还药</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支持为科室或个人进行借还药操作的功能。</w:t>
      </w:r>
    </w:p>
    <w:p>
      <w:pPr>
        <w:pStyle w:val="721"/>
        <w:numPr>
          <w:ilvl w:val="0"/>
          <w:numId w:val="3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效期管理</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支持按筛选条件对效期将近的药品进行查询的功能；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支持对效期药品进行退库的功能；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支持对不同效期的药品进行区分显示。</w:t>
      </w:r>
    </w:p>
    <w:p>
      <w:pPr>
        <w:pStyle w:val="721"/>
        <w:numPr>
          <w:ilvl w:val="0"/>
          <w:numId w:val="3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药品字典维护</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支持新增、删除、修改药品信息的功能。</w:t>
      </w:r>
    </w:p>
    <w:p>
      <w:pPr>
        <w:pStyle w:val="721"/>
        <w:numPr>
          <w:ilvl w:val="0"/>
          <w:numId w:val="3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药品类别维护</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支持新增、删除、修改药品类别的功能。</w:t>
      </w:r>
    </w:p>
    <w:p>
      <w:pPr>
        <w:pStyle w:val="721"/>
        <w:numPr>
          <w:ilvl w:val="0"/>
          <w:numId w:val="3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药品基础数据维护</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支持药品基本信息维护的功能，主要包括：药品产地、供货单位、调拨单位、药品招标单位等。</w:t>
      </w:r>
    </w:p>
    <w:p>
      <w:pPr>
        <w:pStyle w:val="721"/>
        <w:numPr>
          <w:ilvl w:val="0"/>
          <w:numId w:val="3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高级数据维护</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支持维护出入库方式、统计药品分类、库存上下限、药品摆放位置的功能。</w:t>
      </w:r>
    </w:p>
    <w:p>
      <w:pPr>
        <w:pStyle w:val="721"/>
        <w:numPr>
          <w:ilvl w:val="0"/>
          <w:numId w:val="3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规格设置</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支持维护药品的最小规格转换、增加中间规格的功能。</w:t>
      </w:r>
    </w:p>
    <w:p>
      <w:pPr>
        <w:pStyle w:val="721"/>
        <w:numPr>
          <w:ilvl w:val="0"/>
          <w:numId w:val="3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月报</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支持药库房统计一段时间内的药品收支情况的功能。</w:t>
      </w:r>
    </w:p>
    <w:p>
      <w:pPr>
        <w:pStyle w:val="721"/>
        <w:numPr>
          <w:ilvl w:val="0"/>
          <w:numId w:val="32"/>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查询统计</w:t>
      </w:r>
    </w:p>
    <w:p>
      <w:pPr>
        <w:pStyle w:val="721"/>
        <w:numPr>
          <w:ilvl w:val="0"/>
          <w:numId w:val="36"/>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处方查询</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支持查询处方发放情况的功能。</w:t>
      </w:r>
    </w:p>
    <w:p>
      <w:pPr>
        <w:pStyle w:val="721"/>
        <w:numPr>
          <w:ilvl w:val="0"/>
          <w:numId w:val="36"/>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药品账簿查询</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支持药品流水账目的功能。</w:t>
      </w:r>
    </w:p>
    <w:p>
      <w:pPr>
        <w:pStyle w:val="721"/>
        <w:numPr>
          <w:ilvl w:val="0"/>
          <w:numId w:val="36"/>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库存查询</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支持药库房查看药品库存情况的功能。</w:t>
      </w:r>
    </w:p>
    <w:p>
      <w:pPr>
        <w:pStyle w:val="6"/>
        <w:ind w:firstLine="281"/>
        <w:rPr>
          <w:highlight w:val="none"/>
        </w:rPr>
      </w:pPr>
      <w:r>
        <w:rPr>
          <w:rFonts w:hint="eastAsia"/>
          <w:highlight w:val="none"/>
        </w:rPr>
        <w:t>急诊药房系统</w:t>
      </w:r>
    </w:p>
    <w:p>
      <w:pPr>
        <w:pStyle w:val="721"/>
        <w:ind w:firstLine="480"/>
        <w:rPr>
          <w:rFonts w:asciiTheme="minorEastAsia" w:hAnsiTheme="minorEastAsia" w:eastAsiaTheme="minorEastAsia"/>
          <w:highlight w:val="none"/>
        </w:rPr>
      </w:pPr>
      <w:r>
        <w:rPr>
          <w:rFonts w:hint="eastAsia" w:asciiTheme="minorEastAsia" w:hAnsiTheme="minorEastAsia" w:eastAsiaTheme="minorEastAsia"/>
          <w:highlight w:val="none"/>
        </w:rPr>
        <w:t>急诊药房系统是协助急诊药房药师进行药品库存管理，完成急诊病人发药的前后台管理，后台进行自动打印处方单、注射单、输液单、口服单等，前台进行审核发药、取消发药、退药、取消退药、已发药查询、未发药查询等功能；根据急诊医师处方进行药品发药管理的系统；其主要任务药品出入库、发药、盘点和有效期管理，并支持各种数据查询功能。</w:t>
      </w:r>
    </w:p>
    <w:p>
      <w:pPr>
        <w:pStyle w:val="721"/>
        <w:ind w:left="900" w:firstLine="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功能要求：</w:t>
      </w:r>
    </w:p>
    <w:p>
      <w:pPr>
        <w:pStyle w:val="721"/>
        <w:numPr>
          <w:ilvl w:val="0"/>
          <w:numId w:val="37"/>
        </w:numPr>
        <w:ind w:left="42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发药处理</w:t>
      </w:r>
    </w:p>
    <w:p>
      <w:pPr>
        <w:pStyle w:val="721"/>
        <w:numPr>
          <w:ilvl w:val="0"/>
          <w:numId w:val="38"/>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急诊发药</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支持对已收费的急诊处方进行发药功能；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支持按不同条件进行检索查看患者待发处方信息的功能；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支持多选处方发药的功能；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支持查询患者发药记录的功能；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支持按药品检索发药记录的功能；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支持为患者取消发药、退药、取消退药的功能。</w:t>
      </w:r>
    </w:p>
    <w:p>
      <w:pPr>
        <w:pStyle w:val="721"/>
        <w:numPr>
          <w:ilvl w:val="0"/>
          <w:numId w:val="37"/>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库存管理</w:t>
      </w:r>
    </w:p>
    <w:p>
      <w:pPr>
        <w:pStyle w:val="721"/>
        <w:numPr>
          <w:ilvl w:val="0"/>
          <w:numId w:val="39"/>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药品入库</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支持新增、修改、删除入库单据的功能；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支持按条件检索入库单据记录的功能；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支持药品入库自动记账功能。</w:t>
      </w:r>
    </w:p>
    <w:p>
      <w:pPr>
        <w:pStyle w:val="721"/>
        <w:numPr>
          <w:ilvl w:val="0"/>
          <w:numId w:val="39"/>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药品出库</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支持新增、修改、删除出库单据的功能；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支持按条件检索出库单据记录的功能；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支持药品出库自动记账功能。</w:t>
      </w:r>
    </w:p>
    <w:p>
      <w:pPr>
        <w:pStyle w:val="721"/>
        <w:numPr>
          <w:ilvl w:val="0"/>
          <w:numId w:val="39"/>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药品请领</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支持向不同库房进行药品请领的功能；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支持药品请领自动记账。</w:t>
      </w:r>
    </w:p>
    <w:p>
      <w:pPr>
        <w:pStyle w:val="721"/>
        <w:numPr>
          <w:ilvl w:val="0"/>
          <w:numId w:val="37"/>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基础设置</w:t>
      </w:r>
    </w:p>
    <w:p>
      <w:pPr>
        <w:pStyle w:val="721"/>
        <w:numPr>
          <w:ilvl w:val="0"/>
          <w:numId w:val="40"/>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药品盘存</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支持药品盘点的功能；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支持按不同条件批量导入明细数据的功能。</w:t>
      </w:r>
    </w:p>
    <w:p>
      <w:pPr>
        <w:pStyle w:val="721"/>
        <w:numPr>
          <w:ilvl w:val="0"/>
          <w:numId w:val="40"/>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期末结转</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支持为库房会计进行财务期间的结转处理的功能。</w:t>
      </w:r>
    </w:p>
    <w:p>
      <w:pPr>
        <w:pStyle w:val="721"/>
        <w:numPr>
          <w:ilvl w:val="0"/>
          <w:numId w:val="40"/>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药品采购</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支持按日期查询采购计划单，可新增、修改、删除采购计划单。</w:t>
      </w:r>
    </w:p>
    <w:p>
      <w:pPr>
        <w:pStyle w:val="721"/>
        <w:numPr>
          <w:ilvl w:val="0"/>
          <w:numId w:val="40"/>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报损管理</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支持药库房工作人员对药品进行报损操作的功能。</w:t>
      </w:r>
    </w:p>
    <w:p>
      <w:pPr>
        <w:pStyle w:val="721"/>
        <w:numPr>
          <w:ilvl w:val="0"/>
          <w:numId w:val="40"/>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借还药</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支持为科室或个人进行借还药操作的功能。</w:t>
      </w:r>
    </w:p>
    <w:p>
      <w:pPr>
        <w:pStyle w:val="721"/>
        <w:numPr>
          <w:ilvl w:val="0"/>
          <w:numId w:val="40"/>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效期管理</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支持按筛选条件对效期将近的药品进行查询的功能；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支持对效期药品进行退库的功能；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支持对不同效期的药品进行区分显示。</w:t>
      </w:r>
    </w:p>
    <w:p>
      <w:pPr>
        <w:pStyle w:val="721"/>
        <w:numPr>
          <w:ilvl w:val="0"/>
          <w:numId w:val="40"/>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药品字典维护</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支持新增、删除、修改药品信息的功能。</w:t>
      </w:r>
    </w:p>
    <w:p>
      <w:pPr>
        <w:pStyle w:val="721"/>
        <w:numPr>
          <w:ilvl w:val="0"/>
          <w:numId w:val="40"/>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药品类别维护</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支持新增、删除、修改药品类别的功能。</w:t>
      </w:r>
    </w:p>
    <w:p>
      <w:pPr>
        <w:pStyle w:val="721"/>
        <w:numPr>
          <w:ilvl w:val="0"/>
          <w:numId w:val="40"/>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药品基础数据维护</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支持药品基本信息维护的功能，主要包括：药品产地、供货单位、调拨单位、药品招标单位等。</w:t>
      </w:r>
    </w:p>
    <w:p>
      <w:pPr>
        <w:pStyle w:val="721"/>
        <w:numPr>
          <w:ilvl w:val="0"/>
          <w:numId w:val="40"/>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高级数据维护</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支持维护出入库方式、统计药品分类、库存上下限、药品摆放位置的功能。</w:t>
      </w:r>
    </w:p>
    <w:p>
      <w:pPr>
        <w:pStyle w:val="721"/>
        <w:numPr>
          <w:ilvl w:val="0"/>
          <w:numId w:val="40"/>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规格设置</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支持维护药品的最小规格转换、增加中间规格的功能。</w:t>
      </w:r>
    </w:p>
    <w:p>
      <w:pPr>
        <w:pStyle w:val="721"/>
        <w:numPr>
          <w:ilvl w:val="0"/>
          <w:numId w:val="40"/>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月报</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支持药库房统计一段时间内的药品收支情况的功能。</w:t>
      </w:r>
    </w:p>
    <w:p>
      <w:pPr>
        <w:pStyle w:val="721"/>
        <w:numPr>
          <w:ilvl w:val="0"/>
          <w:numId w:val="37"/>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查询统计</w:t>
      </w:r>
    </w:p>
    <w:p>
      <w:pPr>
        <w:pStyle w:val="721"/>
        <w:numPr>
          <w:ilvl w:val="0"/>
          <w:numId w:val="41"/>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处方查询</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支持查询处方发放情况的功能。</w:t>
      </w:r>
    </w:p>
    <w:p>
      <w:pPr>
        <w:pStyle w:val="721"/>
        <w:numPr>
          <w:ilvl w:val="0"/>
          <w:numId w:val="41"/>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药品账簿查询</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支持药品流水账目的功能。</w:t>
      </w:r>
    </w:p>
    <w:p>
      <w:pPr>
        <w:pStyle w:val="721"/>
        <w:numPr>
          <w:ilvl w:val="0"/>
          <w:numId w:val="41"/>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库存查询</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支持药库房查看药品库存情况的功能。</w:t>
      </w:r>
    </w:p>
    <w:p>
      <w:pPr>
        <w:pStyle w:val="6"/>
        <w:ind w:firstLine="281"/>
        <w:rPr>
          <w:highlight w:val="none"/>
        </w:rPr>
      </w:pPr>
      <w:r>
        <w:rPr>
          <w:rFonts w:hint="eastAsia"/>
          <w:highlight w:val="none"/>
        </w:rPr>
        <w:t>西成药库系统</w:t>
      </w:r>
    </w:p>
    <w:p>
      <w:pPr>
        <w:pStyle w:val="721"/>
        <w:ind w:firstLine="480"/>
        <w:rPr>
          <w:rFonts w:asciiTheme="minorEastAsia" w:hAnsiTheme="minorEastAsia" w:eastAsiaTheme="minorEastAsia"/>
          <w:highlight w:val="none"/>
        </w:rPr>
      </w:pPr>
      <w:r>
        <w:rPr>
          <w:rFonts w:hint="eastAsia" w:asciiTheme="minorEastAsia" w:hAnsiTheme="minorEastAsia" w:eastAsiaTheme="minorEastAsia"/>
          <w:highlight w:val="none"/>
        </w:rPr>
        <w:t>西成药库系统是协助药剂科进行药品信息、库存和价格管理，并根据各药房的需要进行药品的采购、入库、发放管理的系统；其主要任务药品信息维护、入库、定价与调价、发放、退货、盘点、有效期和核算管理管理，并支持各种数据查询功能。</w:t>
      </w:r>
    </w:p>
    <w:p>
      <w:pPr>
        <w:pStyle w:val="721"/>
        <w:ind w:left="900" w:firstLine="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功能要求：</w:t>
      </w:r>
    </w:p>
    <w:p>
      <w:pPr>
        <w:pStyle w:val="721"/>
        <w:numPr>
          <w:ilvl w:val="0"/>
          <w:numId w:val="42"/>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库存管理</w:t>
      </w:r>
    </w:p>
    <w:p>
      <w:pPr>
        <w:pStyle w:val="721"/>
        <w:numPr>
          <w:ilvl w:val="0"/>
          <w:numId w:val="43"/>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药品入库</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支持新增、修改、删除入库单据的功能；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支持按条件检索入库单据记录的功能；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支持药品入库自动记账功能。</w:t>
      </w:r>
    </w:p>
    <w:p>
      <w:pPr>
        <w:pStyle w:val="721"/>
        <w:numPr>
          <w:ilvl w:val="0"/>
          <w:numId w:val="43"/>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药品出库</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支持新增、修改、删除出库单据的功能；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支持按条件检索出库单据记录的功能；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支持药品出库自动记账功能。</w:t>
      </w:r>
    </w:p>
    <w:p>
      <w:pPr>
        <w:pStyle w:val="721"/>
        <w:numPr>
          <w:ilvl w:val="0"/>
          <w:numId w:val="43"/>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药品请领</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支持向不同库房进行药品请领的功能；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支持药品请领自动记账功能。</w:t>
      </w:r>
    </w:p>
    <w:p>
      <w:pPr>
        <w:pStyle w:val="721"/>
        <w:numPr>
          <w:ilvl w:val="0"/>
          <w:numId w:val="43"/>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药品调价</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支持对药品进行调价操作的功能；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支持按不同条件批量导入明细数据的功能；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支持自动监控尾差不平并给予提示。</w:t>
      </w:r>
    </w:p>
    <w:p>
      <w:pPr>
        <w:pStyle w:val="721"/>
        <w:numPr>
          <w:ilvl w:val="0"/>
          <w:numId w:val="43"/>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药品盘存</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支持药品盘点的功能；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支持按不同条件批量导入明细数据的功能。</w:t>
      </w:r>
    </w:p>
    <w:p>
      <w:pPr>
        <w:pStyle w:val="721"/>
        <w:numPr>
          <w:ilvl w:val="0"/>
          <w:numId w:val="43"/>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期末结转</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支持为库房会计进行财务期间的结转处理的功能。</w:t>
      </w:r>
    </w:p>
    <w:p>
      <w:pPr>
        <w:pStyle w:val="721"/>
        <w:numPr>
          <w:ilvl w:val="0"/>
          <w:numId w:val="43"/>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药品采购</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支持自动生成采购计划及生成采购单并对接采购平台的功能；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支持按日期查询采购计划单，可新增、修改、删除采购计划单。</w:t>
      </w:r>
    </w:p>
    <w:p>
      <w:pPr>
        <w:pStyle w:val="721"/>
        <w:numPr>
          <w:ilvl w:val="0"/>
          <w:numId w:val="43"/>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应付款管理</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支持可对未付结算单进行退单、作废、未取单据、销账等功能；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支持入库单补登发票号码的功能。</w:t>
      </w:r>
    </w:p>
    <w:p>
      <w:pPr>
        <w:pStyle w:val="721"/>
        <w:numPr>
          <w:ilvl w:val="0"/>
          <w:numId w:val="43"/>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报损管理</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支持药库房工作人员对药品进行报损操作的功能。</w:t>
      </w:r>
    </w:p>
    <w:p>
      <w:pPr>
        <w:pStyle w:val="721"/>
        <w:numPr>
          <w:ilvl w:val="0"/>
          <w:numId w:val="43"/>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借还药</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支持为科室或个人进行借还药操作的功能。</w:t>
      </w:r>
    </w:p>
    <w:p>
      <w:pPr>
        <w:pStyle w:val="721"/>
        <w:numPr>
          <w:ilvl w:val="0"/>
          <w:numId w:val="43"/>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质量验收</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支持入库药品进行质量验收的功能。</w:t>
      </w:r>
    </w:p>
    <w:p>
      <w:pPr>
        <w:pStyle w:val="721"/>
        <w:numPr>
          <w:ilvl w:val="0"/>
          <w:numId w:val="43"/>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效期管理</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支持按筛选条件对效期将近的药品进行查询的功能；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支持对效期药品进行退库的功能；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支持对不同效期的药品进行区分显示。</w:t>
      </w:r>
    </w:p>
    <w:p>
      <w:pPr>
        <w:pStyle w:val="721"/>
        <w:numPr>
          <w:ilvl w:val="0"/>
          <w:numId w:val="42"/>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基础设置</w:t>
      </w:r>
    </w:p>
    <w:p>
      <w:pPr>
        <w:pStyle w:val="721"/>
        <w:numPr>
          <w:ilvl w:val="0"/>
          <w:numId w:val="44"/>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药品字典维护</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支持新增、删除、修改药品信息的功能。</w:t>
      </w:r>
    </w:p>
    <w:p>
      <w:pPr>
        <w:pStyle w:val="721"/>
        <w:numPr>
          <w:ilvl w:val="0"/>
          <w:numId w:val="44"/>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药品类别维护</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支持新增、删除、修改药品类别的功能。</w:t>
      </w:r>
    </w:p>
    <w:p>
      <w:pPr>
        <w:pStyle w:val="721"/>
        <w:numPr>
          <w:ilvl w:val="0"/>
          <w:numId w:val="44"/>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药品基础数据维护</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支持药品基本信息维护的功能，主要包括：药品产地、供货单位、调拨单位、药品招标单位等。</w:t>
      </w:r>
    </w:p>
    <w:p>
      <w:pPr>
        <w:pStyle w:val="721"/>
        <w:numPr>
          <w:ilvl w:val="0"/>
          <w:numId w:val="44"/>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高级数据维护</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支持维护出入库方式、统计药品分类、库存上下限、药品摆放位置的功能。</w:t>
      </w:r>
    </w:p>
    <w:p>
      <w:pPr>
        <w:pStyle w:val="721"/>
        <w:numPr>
          <w:ilvl w:val="0"/>
          <w:numId w:val="44"/>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规格设置</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支持维护药品的最小规格转换、增加中间规格的功能。</w:t>
      </w:r>
    </w:p>
    <w:p>
      <w:pPr>
        <w:pStyle w:val="721"/>
        <w:numPr>
          <w:ilvl w:val="0"/>
          <w:numId w:val="42"/>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查询统计</w:t>
      </w:r>
    </w:p>
    <w:p>
      <w:pPr>
        <w:pStyle w:val="721"/>
        <w:numPr>
          <w:ilvl w:val="0"/>
          <w:numId w:val="4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月报</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支持药库房统计一段时间内的药品收支情况的功能。</w:t>
      </w:r>
    </w:p>
    <w:p>
      <w:pPr>
        <w:pStyle w:val="721"/>
        <w:numPr>
          <w:ilvl w:val="0"/>
          <w:numId w:val="4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处方查询</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支持查询处方发放情况的功能。</w:t>
      </w:r>
    </w:p>
    <w:p>
      <w:pPr>
        <w:pStyle w:val="721"/>
        <w:numPr>
          <w:ilvl w:val="0"/>
          <w:numId w:val="4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药品账簿查询</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支持药品流水账目的功能。</w:t>
      </w:r>
    </w:p>
    <w:p>
      <w:pPr>
        <w:pStyle w:val="721"/>
        <w:numPr>
          <w:ilvl w:val="0"/>
          <w:numId w:val="4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库存查询</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支持药库房查看药品库存情况的功能。</w:t>
      </w:r>
    </w:p>
    <w:p>
      <w:pPr>
        <w:pStyle w:val="6"/>
        <w:ind w:firstLine="281"/>
        <w:rPr>
          <w:highlight w:val="none"/>
        </w:rPr>
      </w:pPr>
      <w:r>
        <w:rPr>
          <w:rFonts w:hint="eastAsia"/>
          <w:highlight w:val="none"/>
        </w:rPr>
        <w:t>中药库系统</w:t>
      </w:r>
    </w:p>
    <w:p>
      <w:pPr>
        <w:pStyle w:val="721"/>
        <w:ind w:firstLine="480"/>
        <w:rPr>
          <w:rFonts w:asciiTheme="minorEastAsia" w:hAnsiTheme="minorEastAsia" w:eastAsiaTheme="minorEastAsia"/>
          <w:highlight w:val="none"/>
        </w:rPr>
      </w:pPr>
      <w:r>
        <w:rPr>
          <w:rFonts w:hint="eastAsia" w:asciiTheme="minorEastAsia" w:hAnsiTheme="minorEastAsia" w:eastAsiaTheme="minorEastAsia"/>
          <w:highlight w:val="none"/>
        </w:rPr>
        <w:t>中药库系统是协助药剂科进行药品信息、库存和价格管理，并根据各药房的需要进行药品的采购、入库、发放管理的系统；其主要任务药品信息维护、入库、定价与调价、发放、退货、盘点、有效期和核算管理管理，并支持各种数据查询功能。</w:t>
      </w:r>
    </w:p>
    <w:p>
      <w:pPr>
        <w:pStyle w:val="721"/>
        <w:ind w:left="900" w:firstLine="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功能要求：</w:t>
      </w:r>
    </w:p>
    <w:p>
      <w:pPr>
        <w:pStyle w:val="721"/>
        <w:numPr>
          <w:ilvl w:val="0"/>
          <w:numId w:val="46"/>
        </w:numPr>
        <w:ind w:left="42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库存管理</w:t>
      </w:r>
    </w:p>
    <w:p>
      <w:pPr>
        <w:pStyle w:val="721"/>
        <w:numPr>
          <w:ilvl w:val="0"/>
          <w:numId w:val="47"/>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药品入库</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支持新增、修改、删除入库单据的功能；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支持按条件检索入库单据记录的功能；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支持药品入库自动记账功能。</w:t>
      </w:r>
    </w:p>
    <w:p>
      <w:pPr>
        <w:pStyle w:val="721"/>
        <w:numPr>
          <w:ilvl w:val="0"/>
          <w:numId w:val="47"/>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药品出库</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支持新增、修改、删除出库单据的功能；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支持按条件检索出库单据记录的功能；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支持药品出库自动记账功能。</w:t>
      </w:r>
    </w:p>
    <w:p>
      <w:pPr>
        <w:pStyle w:val="721"/>
        <w:numPr>
          <w:ilvl w:val="0"/>
          <w:numId w:val="47"/>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药品请领</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支持向不同库房进行药品请领的功能；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支持药品请领自动记账功能。</w:t>
      </w:r>
    </w:p>
    <w:p>
      <w:pPr>
        <w:pStyle w:val="721"/>
        <w:numPr>
          <w:ilvl w:val="0"/>
          <w:numId w:val="47"/>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药品调价</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支持对药品进行调价操作的功能；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支持按不同条件批量导入明细数据的功能；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支持自动监控尾差不平并给予提示。</w:t>
      </w:r>
    </w:p>
    <w:p>
      <w:pPr>
        <w:pStyle w:val="721"/>
        <w:numPr>
          <w:ilvl w:val="0"/>
          <w:numId w:val="47"/>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药品盘存</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支持药品盘点的功能；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支持按不同条件批量导入明细数据的功能。</w:t>
      </w:r>
    </w:p>
    <w:p>
      <w:pPr>
        <w:pStyle w:val="721"/>
        <w:numPr>
          <w:ilvl w:val="0"/>
          <w:numId w:val="47"/>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期末结转</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支持为库房会计进行财务期间的结转处理的功能。</w:t>
      </w:r>
    </w:p>
    <w:p>
      <w:pPr>
        <w:pStyle w:val="721"/>
        <w:numPr>
          <w:ilvl w:val="0"/>
          <w:numId w:val="47"/>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药品采购</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支持自动生成采购计划及生成采购单并对接采购平台的功能；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支持按日期查询采购计划单，可新增、修改、删除采购计划单。</w:t>
      </w:r>
    </w:p>
    <w:p>
      <w:pPr>
        <w:pStyle w:val="721"/>
        <w:numPr>
          <w:ilvl w:val="0"/>
          <w:numId w:val="47"/>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应付款管理</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支持可对未付结算单进行退单、作废、未取单据、销账等功能；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支持入库单补登发票号码的功能。</w:t>
      </w:r>
    </w:p>
    <w:p>
      <w:pPr>
        <w:pStyle w:val="721"/>
        <w:numPr>
          <w:ilvl w:val="0"/>
          <w:numId w:val="47"/>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报损管理</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支持药库房工作人员对药品进行报损操作的功能。</w:t>
      </w:r>
    </w:p>
    <w:p>
      <w:pPr>
        <w:pStyle w:val="721"/>
        <w:numPr>
          <w:ilvl w:val="0"/>
          <w:numId w:val="47"/>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借还药</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支持为科室或个人进行借还药操作的功能。</w:t>
      </w:r>
    </w:p>
    <w:p>
      <w:pPr>
        <w:pStyle w:val="721"/>
        <w:numPr>
          <w:ilvl w:val="0"/>
          <w:numId w:val="47"/>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质量验收</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支持入库药品进行质量验收的功能。</w:t>
      </w:r>
    </w:p>
    <w:p>
      <w:pPr>
        <w:pStyle w:val="721"/>
        <w:numPr>
          <w:ilvl w:val="0"/>
          <w:numId w:val="47"/>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效期管理</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支持按筛选条件对效期将近的药品进行查询的功能；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支持对效期药品进行退库的功能；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支持对不同效期的药品进行区分显示。</w:t>
      </w:r>
    </w:p>
    <w:p>
      <w:pPr>
        <w:pStyle w:val="721"/>
        <w:numPr>
          <w:ilvl w:val="0"/>
          <w:numId w:val="46"/>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基础设置</w:t>
      </w:r>
    </w:p>
    <w:p>
      <w:pPr>
        <w:pStyle w:val="721"/>
        <w:numPr>
          <w:ilvl w:val="0"/>
          <w:numId w:val="48"/>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药品字典维护</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支持新增、删除、修改药品信息的功能。</w:t>
      </w:r>
    </w:p>
    <w:p>
      <w:pPr>
        <w:pStyle w:val="721"/>
        <w:numPr>
          <w:ilvl w:val="0"/>
          <w:numId w:val="48"/>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药品类别维护</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支持新增、删除、修改药品类别的功能。</w:t>
      </w:r>
    </w:p>
    <w:p>
      <w:pPr>
        <w:pStyle w:val="721"/>
        <w:numPr>
          <w:ilvl w:val="0"/>
          <w:numId w:val="48"/>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药品基础数据维护</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支持药品基本信息维护的功能，主要包括：药品产地、供货单位、调拨单位、药品招标单位等。</w:t>
      </w:r>
    </w:p>
    <w:p>
      <w:pPr>
        <w:pStyle w:val="721"/>
        <w:numPr>
          <w:ilvl w:val="0"/>
          <w:numId w:val="48"/>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高级数据维护</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支持维护出入库方式、统计药品分类、库存上下限、药品摆放位置的功能。</w:t>
      </w:r>
    </w:p>
    <w:p>
      <w:pPr>
        <w:pStyle w:val="721"/>
        <w:numPr>
          <w:ilvl w:val="0"/>
          <w:numId w:val="48"/>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规格设置</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支持维护药品的最小规格转换、增加中间规格的功能。</w:t>
      </w:r>
    </w:p>
    <w:p>
      <w:pPr>
        <w:pStyle w:val="721"/>
        <w:numPr>
          <w:ilvl w:val="0"/>
          <w:numId w:val="46"/>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查询统计</w:t>
      </w:r>
    </w:p>
    <w:p>
      <w:pPr>
        <w:pStyle w:val="721"/>
        <w:numPr>
          <w:ilvl w:val="0"/>
          <w:numId w:val="4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月报</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支持药库房统计一段时间内的药品收支情况的功能。</w:t>
      </w:r>
    </w:p>
    <w:p>
      <w:pPr>
        <w:pStyle w:val="721"/>
        <w:numPr>
          <w:ilvl w:val="0"/>
          <w:numId w:val="4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处方查询</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支持查询处方发放情况的功能。</w:t>
      </w:r>
    </w:p>
    <w:p>
      <w:pPr>
        <w:pStyle w:val="721"/>
        <w:numPr>
          <w:ilvl w:val="0"/>
          <w:numId w:val="4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药品账簿查询</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支持药品流水账目的功能。</w:t>
      </w:r>
    </w:p>
    <w:p>
      <w:pPr>
        <w:pStyle w:val="721"/>
        <w:numPr>
          <w:ilvl w:val="0"/>
          <w:numId w:val="45"/>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库存查询</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支持药库房查看药品库存情况的功能。</w:t>
      </w:r>
    </w:p>
    <w:p>
      <w:pPr>
        <w:pStyle w:val="6"/>
        <w:ind w:firstLine="281"/>
        <w:rPr>
          <w:highlight w:val="none"/>
        </w:rPr>
      </w:pPr>
      <w:r>
        <w:rPr>
          <w:rFonts w:hint="eastAsia"/>
          <w:highlight w:val="none"/>
        </w:rPr>
        <w:t>挂号收费系统</w:t>
      </w:r>
    </w:p>
    <w:p>
      <w:pPr>
        <w:pStyle w:val="721"/>
        <w:ind w:firstLine="480"/>
        <w:rPr>
          <w:highlight w:val="none"/>
        </w:rPr>
      </w:pPr>
      <w:r>
        <w:rPr>
          <w:rFonts w:hint="eastAsia"/>
          <w:highlight w:val="none"/>
        </w:rPr>
        <w:t>挂号收费系统完成门诊病人基本信息的登记、修改和维护，完成门诊病人的挂号工作，是用于医院门诊挂号处工作的计算机应用程序，包括预约挂号、窗口挂号、处理号表、统计和门诊病历处理等基本功能。</w:t>
      </w:r>
    </w:p>
    <w:p>
      <w:pPr>
        <w:pStyle w:val="721"/>
        <w:ind w:left="900" w:firstLine="0" w:firstLineChars="0"/>
        <w:rPr>
          <w:b/>
          <w:bCs/>
          <w:highlight w:val="none"/>
        </w:rPr>
      </w:pPr>
      <w:r>
        <w:rPr>
          <w:rFonts w:hint="eastAsia"/>
          <w:b/>
          <w:bCs/>
          <w:highlight w:val="none"/>
        </w:rPr>
        <w:t>功能要求：</w:t>
      </w:r>
    </w:p>
    <w:p>
      <w:pPr>
        <w:pStyle w:val="721"/>
        <w:numPr>
          <w:ilvl w:val="2"/>
          <w:numId w:val="49"/>
        </w:numPr>
        <w:ind w:left="900" w:firstLineChars="0"/>
        <w:rPr>
          <w:b/>
          <w:bCs/>
          <w:highlight w:val="none"/>
        </w:rPr>
      </w:pPr>
      <w:r>
        <w:rPr>
          <w:rFonts w:hint="eastAsia"/>
          <w:b/>
          <w:bCs/>
          <w:highlight w:val="none"/>
        </w:rPr>
        <w:t>常规业务</w:t>
      </w:r>
    </w:p>
    <w:p>
      <w:pPr>
        <w:pStyle w:val="721"/>
        <w:numPr>
          <w:ilvl w:val="0"/>
          <w:numId w:val="50"/>
        </w:numPr>
        <w:ind w:left="900" w:firstLineChars="0"/>
        <w:rPr>
          <w:b/>
          <w:bCs/>
          <w:highlight w:val="none"/>
        </w:rPr>
      </w:pPr>
      <w:r>
        <w:rPr>
          <w:rFonts w:hint="eastAsia"/>
          <w:b/>
          <w:bCs/>
          <w:highlight w:val="none"/>
        </w:rPr>
        <w:t>患者建档</w:t>
      </w:r>
    </w:p>
    <w:p>
      <w:pPr>
        <w:pStyle w:val="721"/>
        <w:numPr>
          <w:ilvl w:val="0"/>
          <w:numId w:val="23"/>
        </w:numPr>
        <w:ind w:left="611" w:hanging="131" w:firstLineChars="0"/>
        <w:rPr>
          <w:highlight w:val="none"/>
        </w:rPr>
      </w:pPr>
      <w:r>
        <w:rPr>
          <w:rFonts w:hint="eastAsia"/>
          <w:highlight w:val="none"/>
        </w:rPr>
        <w:t>支持对未在本院就诊的患者进行建档操作；</w:t>
      </w:r>
    </w:p>
    <w:p>
      <w:pPr>
        <w:pStyle w:val="721"/>
        <w:numPr>
          <w:ilvl w:val="0"/>
          <w:numId w:val="23"/>
        </w:numPr>
        <w:ind w:left="611" w:hanging="131" w:firstLineChars="0"/>
        <w:rPr>
          <w:highlight w:val="none"/>
        </w:rPr>
      </w:pPr>
      <w:r>
        <w:rPr>
          <w:rFonts w:hint="eastAsia"/>
          <w:highlight w:val="none"/>
        </w:rPr>
        <w:t>支持对患者档案进行查重功能。</w:t>
      </w:r>
    </w:p>
    <w:p>
      <w:pPr>
        <w:pStyle w:val="721"/>
        <w:numPr>
          <w:ilvl w:val="0"/>
          <w:numId w:val="50"/>
        </w:numPr>
        <w:ind w:left="900" w:firstLineChars="0"/>
        <w:rPr>
          <w:b/>
          <w:bCs/>
          <w:highlight w:val="none"/>
        </w:rPr>
      </w:pPr>
      <w:r>
        <w:rPr>
          <w:rFonts w:hint="eastAsia"/>
          <w:b/>
          <w:bCs/>
          <w:highlight w:val="none"/>
        </w:rPr>
        <w:t>挂号处理</w:t>
      </w:r>
    </w:p>
    <w:p>
      <w:pPr>
        <w:pStyle w:val="721"/>
        <w:numPr>
          <w:ilvl w:val="0"/>
          <w:numId w:val="23"/>
        </w:numPr>
        <w:ind w:left="611" w:hanging="131" w:firstLineChars="0"/>
        <w:rPr>
          <w:highlight w:val="none"/>
        </w:rPr>
      </w:pPr>
      <w:r>
        <w:rPr>
          <w:rFonts w:hint="eastAsia"/>
          <w:highlight w:val="none"/>
        </w:rPr>
        <w:t>支持查看当日门诊科室排班情况；</w:t>
      </w:r>
    </w:p>
    <w:p>
      <w:pPr>
        <w:pStyle w:val="721"/>
        <w:numPr>
          <w:ilvl w:val="0"/>
          <w:numId w:val="23"/>
        </w:numPr>
        <w:ind w:left="611" w:hanging="131" w:firstLineChars="0"/>
        <w:rPr>
          <w:highlight w:val="none"/>
        </w:rPr>
      </w:pPr>
      <w:r>
        <w:rPr>
          <w:rFonts w:hint="eastAsia"/>
          <w:highlight w:val="none"/>
        </w:rPr>
        <w:t>支持对患者进行挂号操作；</w:t>
      </w:r>
    </w:p>
    <w:p>
      <w:pPr>
        <w:pStyle w:val="721"/>
        <w:numPr>
          <w:ilvl w:val="0"/>
          <w:numId w:val="23"/>
        </w:numPr>
        <w:ind w:left="611" w:hanging="131" w:firstLineChars="0"/>
        <w:rPr>
          <w:highlight w:val="none"/>
        </w:rPr>
      </w:pPr>
      <w:r>
        <w:rPr>
          <w:rFonts w:hint="eastAsia"/>
          <w:highlight w:val="none"/>
        </w:rPr>
        <w:t>支持查看患者挂号记录的功能；</w:t>
      </w:r>
    </w:p>
    <w:p>
      <w:pPr>
        <w:pStyle w:val="721"/>
        <w:numPr>
          <w:ilvl w:val="0"/>
          <w:numId w:val="23"/>
        </w:numPr>
        <w:ind w:left="611" w:hanging="131" w:firstLineChars="0"/>
        <w:rPr>
          <w:highlight w:val="none"/>
        </w:rPr>
      </w:pPr>
      <w:r>
        <w:rPr>
          <w:rFonts w:hint="eastAsia"/>
          <w:highlight w:val="none"/>
        </w:rPr>
        <w:t>支持对挂号记录进行退号的功能；</w:t>
      </w:r>
    </w:p>
    <w:p>
      <w:pPr>
        <w:pStyle w:val="721"/>
        <w:numPr>
          <w:ilvl w:val="0"/>
          <w:numId w:val="23"/>
        </w:numPr>
        <w:ind w:left="611" w:hanging="131" w:firstLineChars="0"/>
        <w:rPr>
          <w:highlight w:val="none"/>
        </w:rPr>
      </w:pPr>
      <w:r>
        <w:rPr>
          <w:rFonts w:hint="eastAsia"/>
          <w:highlight w:val="none"/>
        </w:rPr>
        <w:t>支持对挂号记录进行换号的功能；</w:t>
      </w:r>
    </w:p>
    <w:p>
      <w:pPr>
        <w:pStyle w:val="721"/>
        <w:numPr>
          <w:ilvl w:val="0"/>
          <w:numId w:val="23"/>
        </w:numPr>
        <w:ind w:left="611" w:hanging="131" w:firstLineChars="0"/>
        <w:rPr>
          <w:highlight w:val="none"/>
        </w:rPr>
      </w:pPr>
      <w:r>
        <w:rPr>
          <w:rFonts w:hint="eastAsia"/>
          <w:highlight w:val="none"/>
        </w:rPr>
        <w:t>支持查看当日挂号工作量的功能；</w:t>
      </w:r>
    </w:p>
    <w:p>
      <w:pPr>
        <w:pStyle w:val="721"/>
        <w:numPr>
          <w:ilvl w:val="0"/>
          <w:numId w:val="23"/>
        </w:numPr>
        <w:ind w:left="611" w:hanging="131" w:firstLineChars="0"/>
        <w:rPr>
          <w:highlight w:val="none"/>
        </w:rPr>
      </w:pPr>
      <w:r>
        <w:rPr>
          <w:rFonts w:hint="eastAsia"/>
          <w:highlight w:val="none"/>
        </w:rPr>
        <w:t>支持对票据进行快速维护功能；</w:t>
      </w:r>
    </w:p>
    <w:p>
      <w:pPr>
        <w:pStyle w:val="721"/>
        <w:numPr>
          <w:ilvl w:val="0"/>
          <w:numId w:val="23"/>
        </w:numPr>
        <w:ind w:left="611" w:hanging="131" w:firstLineChars="0"/>
        <w:rPr>
          <w:highlight w:val="none"/>
        </w:rPr>
      </w:pPr>
      <w:r>
        <w:rPr>
          <w:rFonts w:hint="eastAsia"/>
          <w:highlight w:val="none"/>
        </w:rPr>
        <w:t>支持不同支付类型进行结算功能；</w:t>
      </w:r>
    </w:p>
    <w:p>
      <w:pPr>
        <w:pStyle w:val="721"/>
        <w:numPr>
          <w:ilvl w:val="0"/>
          <w:numId w:val="23"/>
        </w:numPr>
        <w:ind w:left="611" w:hanging="131" w:firstLineChars="0"/>
        <w:rPr>
          <w:highlight w:val="none"/>
        </w:rPr>
      </w:pPr>
      <w:r>
        <w:rPr>
          <w:rFonts w:hint="eastAsia"/>
          <w:highlight w:val="none"/>
        </w:rPr>
        <w:t>支持根据优惠类别进行结算功能。</w:t>
      </w:r>
    </w:p>
    <w:p>
      <w:pPr>
        <w:pStyle w:val="721"/>
        <w:numPr>
          <w:ilvl w:val="2"/>
          <w:numId w:val="49"/>
        </w:numPr>
        <w:ind w:left="900" w:firstLineChars="0"/>
        <w:rPr>
          <w:b/>
          <w:bCs/>
          <w:highlight w:val="none"/>
        </w:rPr>
      </w:pPr>
      <w:r>
        <w:rPr>
          <w:rFonts w:hint="eastAsia"/>
          <w:b/>
          <w:bCs/>
          <w:highlight w:val="none"/>
        </w:rPr>
        <w:t>日报业务</w:t>
      </w:r>
    </w:p>
    <w:p>
      <w:pPr>
        <w:pStyle w:val="721"/>
        <w:numPr>
          <w:ilvl w:val="2"/>
          <w:numId w:val="51"/>
        </w:numPr>
        <w:ind w:left="900" w:firstLineChars="0"/>
        <w:rPr>
          <w:b/>
          <w:bCs/>
          <w:highlight w:val="none"/>
        </w:rPr>
      </w:pPr>
      <w:r>
        <w:rPr>
          <w:rFonts w:hint="eastAsia"/>
          <w:b/>
          <w:bCs/>
          <w:highlight w:val="none"/>
        </w:rPr>
        <w:t>挂号日报</w:t>
      </w:r>
    </w:p>
    <w:p>
      <w:pPr>
        <w:pStyle w:val="721"/>
        <w:numPr>
          <w:ilvl w:val="0"/>
          <w:numId w:val="23"/>
        </w:numPr>
        <w:ind w:left="611" w:hanging="131" w:firstLineChars="0"/>
        <w:rPr>
          <w:highlight w:val="none"/>
        </w:rPr>
      </w:pPr>
      <w:r>
        <w:rPr>
          <w:rFonts w:hint="eastAsia"/>
          <w:highlight w:val="none"/>
        </w:rPr>
        <w:t>支持查看、生成个人挂号日报的功能。</w:t>
      </w:r>
    </w:p>
    <w:p>
      <w:pPr>
        <w:pStyle w:val="721"/>
        <w:numPr>
          <w:ilvl w:val="2"/>
          <w:numId w:val="51"/>
        </w:numPr>
        <w:ind w:left="900" w:firstLineChars="0"/>
        <w:rPr>
          <w:b/>
          <w:bCs/>
          <w:highlight w:val="none"/>
        </w:rPr>
      </w:pPr>
      <w:r>
        <w:rPr>
          <w:rFonts w:hint="eastAsia"/>
          <w:b/>
          <w:bCs/>
          <w:highlight w:val="none"/>
        </w:rPr>
        <w:t>门诊日报</w:t>
      </w:r>
    </w:p>
    <w:p>
      <w:pPr>
        <w:pStyle w:val="721"/>
        <w:numPr>
          <w:ilvl w:val="0"/>
          <w:numId w:val="23"/>
        </w:numPr>
        <w:ind w:left="611" w:hanging="131" w:firstLineChars="0"/>
        <w:rPr>
          <w:highlight w:val="none"/>
        </w:rPr>
      </w:pPr>
      <w:r>
        <w:rPr>
          <w:rFonts w:hint="eastAsia"/>
          <w:highlight w:val="none"/>
        </w:rPr>
        <w:t>支持查看、生成个人门诊收费日报的功能。</w:t>
      </w:r>
    </w:p>
    <w:p>
      <w:pPr>
        <w:pStyle w:val="721"/>
        <w:numPr>
          <w:ilvl w:val="2"/>
          <w:numId w:val="51"/>
        </w:numPr>
        <w:ind w:left="900" w:firstLineChars="0"/>
        <w:rPr>
          <w:b/>
          <w:bCs/>
          <w:highlight w:val="none"/>
        </w:rPr>
      </w:pPr>
      <w:r>
        <w:rPr>
          <w:rFonts w:hint="eastAsia"/>
          <w:b/>
          <w:bCs/>
          <w:highlight w:val="none"/>
        </w:rPr>
        <w:t>挂号日报汇总</w:t>
      </w:r>
    </w:p>
    <w:p>
      <w:pPr>
        <w:pStyle w:val="721"/>
        <w:numPr>
          <w:ilvl w:val="0"/>
          <w:numId w:val="23"/>
        </w:numPr>
        <w:ind w:left="611" w:hanging="131" w:firstLineChars="0"/>
        <w:rPr>
          <w:highlight w:val="none"/>
        </w:rPr>
      </w:pPr>
      <w:r>
        <w:rPr>
          <w:rFonts w:hint="eastAsia"/>
          <w:highlight w:val="none"/>
        </w:rPr>
        <w:t>支持查询未汇总的挂号日报，进行汇总操作的功能。</w:t>
      </w:r>
    </w:p>
    <w:p>
      <w:pPr>
        <w:pStyle w:val="721"/>
        <w:numPr>
          <w:ilvl w:val="2"/>
          <w:numId w:val="51"/>
        </w:numPr>
        <w:ind w:left="900" w:firstLineChars="0"/>
        <w:rPr>
          <w:b/>
          <w:bCs/>
          <w:highlight w:val="none"/>
        </w:rPr>
      </w:pPr>
      <w:r>
        <w:rPr>
          <w:rFonts w:hint="eastAsia"/>
          <w:b/>
          <w:bCs/>
          <w:highlight w:val="none"/>
        </w:rPr>
        <w:t>门诊日报汇总</w:t>
      </w:r>
    </w:p>
    <w:p>
      <w:pPr>
        <w:pStyle w:val="721"/>
        <w:numPr>
          <w:ilvl w:val="0"/>
          <w:numId w:val="23"/>
        </w:numPr>
        <w:ind w:left="611" w:hanging="131" w:firstLineChars="0"/>
        <w:rPr>
          <w:highlight w:val="none"/>
        </w:rPr>
      </w:pPr>
      <w:r>
        <w:rPr>
          <w:rFonts w:hint="eastAsia"/>
          <w:highlight w:val="none"/>
        </w:rPr>
        <w:t>支持查询未汇总的门诊日报，进行汇总操作的功能。</w:t>
      </w:r>
    </w:p>
    <w:p>
      <w:pPr>
        <w:pStyle w:val="721"/>
        <w:numPr>
          <w:ilvl w:val="2"/>
          <w:numId w:val="49"/>
        </w:numPr>
        <w:ind w:left="900" w:firstLineChars="0"/>
        <w:rPr>
          <w:b/>
          <w:bCs/>
          <w:highlight w:val="none"/>
        </w:rPr>
      </w:pPr>
      <w:r>
        <w:rPr>
          <w:rFonts w:hint="eastAsia"/>
          <w:b/>
          <w:bCs/>
          <w:highlight w:val="none"/>
        </w:rPr>
        <w:t>基础设置</w:t>
      </w:r>
    </w:p>
    <w:p>
      <w:pPr>
        <w:pStyle w:val="721"/>
        <w:numPr>
          <w:ilvl w:val="0"/>
          <w:numId w:val="52"/>
        </w:numPr>
        <w:ind w:left="900" w:firstLineChars="0"/>
        <w:rPr>
          <w:b/>
          <w:bCs/>
          <w:highlight w:val="none"/>
        </w:rPr>
      </w:pPr>
      <w:r>
        <w:rPr>
          <w:rFonts w:hint="eastAsia"/>
          <w:b/>
          <w:bCs/>
          <w:highlight w:val="none"/>
        </w:rPr>
        <w:t>一周排班模板</w:t>
      </w:r>
    </w:p>
    <w:p>
      <w:pPr>
        <w:pStyle w:val="721"/>
        <w:numPr>
          <w:ilvl w:val="0"/>
          <w:numId w:val="23"/>
        </w:numPr>
        <w:ind w:left="611" w:hanging="131" w:firstLineChars="0"/>
        <w:rPr>
          <w:highlight w:val="none"/>
        </w:rPr>
      </w:pPr>
      <w:r>
        <w:rPr>
          <w:rFonts w:hint="eastAsia"/>
          <w:highlight w:val="none"/>
        </w:rPr>
        <w:t>支持对门诊科室进行排班维护的功能；</w:t>
      </w:r>
    </w:p>
    <w:p>
      <w:pPr>
        <w:pStyle w:val="721"/>
        <w:numPr>
          <w:ilvl w:val="0"/>
          <w:numId w:val="23"/>
        </w:numPr>
        <w:ind w:left="611" w:hanging="131" w:firstLineChars="0"/>
        <w:rPr>
          <w:highlight w:val="none"/>
        </w:rPr>
      </w:pPr>
      <w:r>
        <w:rPr>
          <w:rFonts w:hint="eastAsia"/>
          <w:highlight w:val="none"/>
        </w:rPr>
        <w:t>支持对模板信息进新增、编辑、删除功能；</w:t>
      </w:r>
    </w:p>
    <w:p>
      <w:pPr>
        <w:pStyle w:val="721"/>
        <w:numPr>
          <w:ilvl w:val="0"/>
          <w:numId w:val="23"/>
        </w:numPr>
        <w:ind w:left="611" w:hanging="131" w:firstLineChars="0"/>
        <w:rPr>
          <w:highlight w:val="none"/>
        </w:rPr>
      </w:pPr>
      <w:r>
        <w:rPr>
          <w:rFonts w:hint="eastAsia"/>
          <w:highlight w:val="none"/>
        </w:rPr>
        <w:t>切换查看科室医生排班信息：可切换查看不同院区不同科室医生的排班信息；</w:t>
      </w:r>
    </w:p>
    <w:p>
      <w:pPr>
        <w:pStyle w:val="721"/>
        <w:numPr>
          <w:ilvl w:val="0"/>
          <w:numId w:val="23"/>
        </w:numPr>
        <w:ind w:left="611" w:hanging="131" w:firstLineChars="0"/>
        <w:rPr>
          <w:highlight w:val="none"/>
        </w:rPr>
      </w:pPr>
      <w:r>
        <w:rPr>
          <w:rFonts w:hint="eastAsia"/>
          <w:highlight w:val="none"/>
        </w:rPr>
        <w:t>检索：可根据挂号科室、挂号医生、挂号类别进行检索，检索后直接定位到该科室该医生的排班信息或者根据检索条件检索到该医生的所有排班信息；</w:t>
      </w:r>
    </w:p>
    <w:p>
      <w:pPr>
        <w:pStyle w:val="721"/>
        <w:numPr>
          <w:ilvl w:val="0"/>
          <w:numId w:val="23"/>
        </w:numPr>
        <w:ind w:left="611" w:hanging="131" w:firstLineChars="0"/>
        <w:rPr>
          <w:highlight w:val="none"/>
        </w:rPr>
      </w:pPr>
      <w:r>
        <w:rPr>
          <w:rFonts w:hint="eastAsia"/>
          <w:highlight w:val="none"/>
        </w:rPr>
        <w:t>查看就诊时间和预约方式：可查看医生的排班号源和就诊时间及预约方式是否正确，若不正确允许修改，但不涉及维护好的模板；</w:t>
      </w:r>
    </w:p>
    <w:p>
      <w:pPr>
        <w:pStyle w:val="721"/>
        <w:numPr>
          <w:ilvl w:val="0"/>
          <w:numId w:val="23"/>
        </w:numPr>
        <w:ind w:left="611" w:hanging="131" w:firstLineChars="0"/>
        <w:rPr>
          <w:highlight w:val="none"/>
        </w:rPr>
      </w:pPr>
      <w:r>
        <w:rPr>
          <w:rFonts w:hint="eastAsia"/>
          <w:highlight w:val="none"/>
        </w:rPr>
        <w:t>删除长期排班：可删除医生的长期排班，删除时检测该医生的长期排班是否已有预约，若有跳转到预约查询页发送通知。</w:t>
      </w:r>
    </w:p>
    <w:p>
      <w:pPr>
        <w:pStyle w:val="721"/>
        <w:numPr>
          <w:ilvl w:val="0"/>
          <w:numId w:val="52"/>
        </w:numPr>
        <w:ind w:left="900" w:firstLineChars="0"/>
        <w:rPr>
          <w:b/>
          <w:bCs/>
          <w:highlight w:val="none"/>
        </w:rPr>
      </w:pPr>
      <w:r>
        <w:rPr>
          <w:rFonts w:hint="eastAsia"/>
          <w:b/>
          <w:bCs/>
          <w:highlight w:val="none"/>
        </w:rPr>
        <w:t>一周排班</w:t>
      </w:r>
    </w:p>
    <w:p>
      <w:pPr>
        <w:pStyle w:val="721"/>
        <w:numPr>
          <w:ilvl w:val="0"/>
          <w:numId w:val="23"/>
        </w:numPr>
        <w:ind w:left="611" w:hanging="131" w:firstLineChars="0"/>
        <w:rPr>
          <w:highlight w:val="none"/>
        </w:rPr>
      </w:pPr>
      <w:r>
        <w:rPr>
          <w:rFonts w:hint="eastAsia"/>
          <w:highlight w:val="none"/>
        </w:rPr>
        <w:t>自动生成两周排班信息功能；</w:t>
      </w:r>
    </w:p>
    <w:p>
      <w:pPr>
        <w:pStyle w:val="721"/>
        <w:numPr>
          <w:ilvl w:val="0"/>
          <w:numId w:val="23"/>
        </w:numPr>
        <w:ind w:left="611" w:hanging="131" w:firstLineChars="0"/>
        <w:rPr>
          <w:highlight w:val="none"/>
        </w:rPr>
      </w:pPr>
      <w:r>
        <w:rPr>
          <w:rFonts w:hint="eastAsia"/>
          <w:highlight w:val="none"/>
        </w:rPr>
        <w:t>支持快速增加临时排班的功能；</w:t>
      </w:r>
    </w:p>
    <w:p>
      <w:pPr>
        <w:pStyle w:val="721"/>
        <w:numPr>
          <w:ilvl w:val="0"/>
          <w:numId w:val="23"/>
        </w:numPr>
        <w:ind w:left="611" w:hanging="131" w:firstLineChars="0"/>
        <w:rPr>
          <w:highlight w:val="none"/>
        </w:rPr>
      </w:pPr>
      <w:r>
        <w:rPr>
          <w:rFonts w:hint="eastAsia"/>
          <w:highlight w:val="none"/>
        </w:rPr>
        <w:t>支持快速进行停诊、恢复停诊操作。</w:t>
      </w:r>
    </w:p>
    <w:p>
      <w:pPr>
        <w:pStyle w:val="721"/>
        <w:numPr>
          <w:ilvl w:val="0"/>
          <w:numId w:val="52"/>
        </w:numPr>
        <w:ind w:left="900" w:firstLineChars="0"/>
        <w:rPr>
          <w:b/>
          <w:bCs/>
          <w:highlight w:val="none"/>
        </w:rPr>
      </w:pPr>
      <w:r>
        <w:rPr>
          <w:rFonts w:hint="eastAsia"/>
          <w:b/>
          <w:bCs/>
          <w:highlight w:val="none"/>
        </w:rPr>
        <w:t>排班基础设置</w:t>
      </w:r>
    </w:p>
    <w:p>
      <w:pPr>
        <w:pStyle w:val="721"/>
        <w:numPr>
          <w:ilvl w:val="0"/>
          <w:numId w:val="23"/>
        </w:numPr>
        <w:ind w:left="611" w:hanging="131" w:firstLineChars="0"/>
        <w:rPr>
          <w:highlight w:val="none"/>
        </w:rPr>
      </w:pPr>
      <w:r>
        <w:rPr>
          <w:rFonts w:hint="eastAsia"/>
          <w:highlight w:val="none"/>
        </w:rPr>
        <w:t>支持新增、修改挂号类型的开诊、闭诊时间的功能；</w:t>
      </w:r>
    </w:p>
    <w:p>
      <w:pPr>
        <w:pStyle w:val="721"/>
        <w:numPr>
          <w:ilvl w:val="0"/>
          <w:numId w:val="23"/>
        </w:numPr>
        <w:ind w:left="611" w:hanging="131" w:firstLineChars="0"/>
        <w:rPr>
          <w:highlight w:val="none"/>
        </w:rPr>
      </w:pPr>
      <w:r>
        <w:rPr>
          <w:rFonts w:hint="eastAsia"/>
          <w:highlight w:val="none"/>
        </w:rPr>
        <w:t>支持根据不同挂号类型维护诊疗费、挂号费的功能；</w:t>
      </w:r>
    </w:p>
    <w:p>
      <w:pPr>
        <w:pStyle w:val="721"/>
        <w:numPr>
          <w:ilvl w:val="0"/>
          <w:numId w:val="23"/>
        </w:numPr>
        <w:ind w:left="611" w:hanging="131" w:firstLineChars="0"/>
        <w:rPr>
          <w:highlight w:val="none"/>
        </w:rPr>
      </w:pPr>
      <w:r>
        <w:rPr>
          <w:rFonts w:hint="eastAsia"/>
          <w:highlight w:val="none"/>
        </w:rPr>
        <w:t>支持根据不同挂号类型维护不用预约方式的限号功能。</w:t>
      </w:r>
    </w:p>
    <w:p>
      <w:pPr>
        <w:pStyle w:val="721"/>
        <w:numPr>
          <w:ilvl w:val="0"/>
          <w:numId w:val="52"/>
        </w:numPr>
        <w:ind w:left="900" w:firstLineChars="0"/>
        <w:rPr>
          <w:b/>
          <w:bCs/>
          <w:highlight w:val="none"/>
        </w:rPr>
      </w:pPr>
      <w:r>
        <w:rPr>
          <w:rFonts w:hint="eastAsia"/>
          <w:b/>
          <w:bCs/>
          <w:highlight w:val="none"/>
        </w:rPr>
        <w:t>特殊排班</w:t>
      </w:r>
    </w:p>
    <w:p>
      <w:pPr>
        <w:pStyle w:val="721"/>
        <w:numPr>
          <w:ilvl w:val="0"/>
          <w:numId w:val="23"/>
        </w:numPr>
        <w:ind w:left="611" w:hanging="131" w:firstLineChars="0"/>
        <w:rPr>
          <w:highlight w:val="none"/>
        </w:rPr>
      </w:pPr>
      <w:r>
        <w:rPr>
          <w:rFonts w:hint="eastAsia"/>
          <w:highlight w:val="none"/>
        </w:rPr>
        <w:t>支持查看特殊排班记录的功能；</w:t>
      </w:r>
    </w:p>
    <w:p>
      <w:pPr>
        <w:pStyle w:val="721"/>
        <w:numPr>
          <w:ilvl w:val="0"/>
          <w:numId w:val="23"/>
        </w:numPr>
        <w:ind w:left="611" w:hanging="131" w:firstLineChars="0"/>
        <w:rPr>
          <w:highlight w:val="none"/>
        </w:rPr>
      </w:pPr>
      <w:r>
        <w:rPr>
          <w:rFonts w:hint="eastAsia"/>
          <w:highlight w:val="none"/>
        </w:rPr>
        <w:t>支持新增、删除、修改特殊排班功能；</w:t>
      </w:r>
    </w:p>
    <w:p>
      <w:pPr>
        <w:pStyle w:val="721"/>
        <w:numPr>
          <w:ilvl w:val="0"/>
          <w:numId w:val="23"/>
        </w:numPr>
        <w:ind w:left="611" w:hanging="131" w:firstLineChars="0"/>
        <w:rPr>
          <w:highlight w:val="none"/>
        </w:rPr>
      </w:pPr>
      <w:r>
        <w:rPr>
          <w:rFonts w:hint="eastAsia"/>
          <w:highlight w:val="none"/>
        </w:rPr>
        <w:t>支持节假日排班功能。</w:t>
      </w:r>
    </w:p>
    <w:p>
      <w:pPr>
        <w:pStyle w:val="721"/>
        <w:numPr>
          <w:ilvl w:val="0"/>
          <w:numId w:val="52"/>
        </w:numPr>
        <w:ind w:left="900" w:firstLineChars="0"/>
        <w:rPr>
          <w:b/>
          <w:bCs/>
          <w:highlight w:val="none"/>
        </w:rPr>
      </w:pPr>
      <w:r>
        <w:rPr>
          <w:rFonts w:hint="eastAsia"/>
          <w:b/>
          <w:bCs/>
          <w:highlight w:val="none"/>
        </w:rPr>
        <w:t>票据领用</w:t>
      </w:r>
    </w:p>
    <w:p>
      <w:pPr>
        <w:pStyle w:val="721"/>
        <w:numPr>
          <w:ilvl w:val="0"/>
          <w:numId w:val="23"/>
        </w:numPr>
        <w:ind w:left="611" w:hanging="131" w:firstLineChars="0"/>
        <w:rPr>
          <w:highlight w:val="none"/>
        </w:rPr>
      </w:pPr>
      <w:r>
        <w:rPr>
          <w:rFonts w:hint="eastAsia"/>
          <w:highlight w:val="none"/>
        </w:rPr>
        <w:t>支持查看票据领用情况的功能；</w:t>
      </w:r>
    </w:p>
    <w:p>
      <w:pPr>
        <w:pStyle w:val="721"/>
        <w:numPr>
          <w:ilvl w:val="0"/>
          <w:numId w:val="23"/>
        </w:numPr>
        <w:ind w:left="611" w:hanging="131" w:firstLineChars="0"/>
        <w:rPr>
          <w:highlight w:val="none"/>
        </w:rPr>
      </w:pPr>
      <w:r>
        <w:rPr>
          <w:rFonts w:hint="eastAsia"/>
          <w:highlight w:val="none"/>
        </w:rPr>
        <w:t>支持新增、删除票据领用的功能。</w:t>
      </w:r>
    </w:p>
    <w:p>
      <w:pPr>
        <w:pStyle w:val="6"/>
        <w:ind w:firstLine="281"/>
        <w:rPr>
          <w:highlight w:val="none"/>
        </w:rPr>
      </w:pPr>
      <w:r>
        <w:rPr>
          <w:rFonts w:hint="eastAsia"/>
          <w:highlight w:val="none"/>
        </w:rPr>
        <w:t>住院收费系统</w:t>
      </w:r>
    </w:p>
    <w:p>
      <w:pPr>
        <w:pStyle w:val="721"/>
        <w:ind w:firstLine="480"/>
        <w:rPr>
          <w:b/>
          <w:bCs/>
          <w:highlight w:val="none"/>
        </w:rPr>
      </w:pPr>
      <w:r>
        <w:rPr>
          <w:rFonts w:hint="eastAsia"/>
          <w:highlight w:val="none"/>
        </w:rPr>
        <w:t>住院收费系统是用于住院病人费用管理的计算机应用程序，包括住院病人结算、费用录入、打印收费细目和发票、住院预交金管理、欠款管理等功能。能够及时准确地为患者和临床医护人员提供费用信息，及时准确地为患者办理出院手续，支持医院经济核算、提供信息共享和减轻工作人员的劳动强度</w:t>
      </w:r>
      <w:r>
        <w:rPr>
          <w:rFonts w:hint="eastAsia"/>
          <w:b/>
          <w:bCs/>
          <w:highlight w:val="none"/>
        </w:rPr>
        <w:t>。</w:t>
      </w:r>
    </w:p>
    <w:p>
      <w:pPr>
        <w:pStyle w:val="721"/>
        <w:ind w:left="900" w:firstLine="0" w:firstLineChars="0"/>
        <w:rPr>
          <w:b/>
          <w:bCs/>
          <w:highlight w:val="none"/>
        </w:rPr>
      </w:pPr>
      <w:r>
        <w:rPr>
          <w:rFonts w:hint="eastAsia"/>
          <w:b/>
          <w:bCs/>
          <w:highlight w:val="none"/>
        </w:rPr>
        <w:t>功能要求：</w:t>
      </w:r>
    </w:p>
    <w:p>
      <w:pPr>
        <w:pStyle w:val="721"/>
        <w:numPr>
          <w:ilvl w:val="0"/>
          <w:numId w:val="53"/>
        </w:numPr>
        <w:ind w:left="900" w:firstLineChars="0"/>
        <w:rPr>
          <w:b/>
          <w:bCs/>
          <w:highlight w:val="none"/>
        </w:rPr>
      </w:pPr>
      <w:r>
        <w:rPr>
          <w:rFonts w:hint="eastAsia"/>
          <w:b/>
          <w:bCs/>
          <w:highlight w:val="none"/>
        </w:rPr>
        <w:t>住院业务</w:t>
      </w:r>
    </w:p>
    <w:p>
      <w:pPr>
        <w:pStyle w:val="721"/>
        <w:numPr>
          <w:ilvl w:val="0"/>
          <w:numId w:val="54"/>
        </w:numPr>
        <w:ind w:left="900" w:firstLineChars="0"/>
        <w:rPr>
          <w:b/>
          <w:bCs/>
          <w:highlight w:val="none"/>
        </w:rPr>
      </w:pPr>
      <w:r>
        <w:rPr>
          <w:rFonts w:hint="eastAsia"/>
          <w:b/>
          <w:bCs/>
          <w:highlight w:val="none"/>
        </w:rPr>
        <w:t>入院登记</w:t>
      </w:r>
    </w:p>
    <w:p>
      <w:pPr>
        <w:pStyle w:val="721"/>
        <w:numPr>
          <w:ilvl w:val="0"/>
          <w:numId w:val="23"/>
        </w:numPr>
        <w:ind w:left="611" w:hanging="131" w:firstLineChars="0"/>
        <w:rPr>
          <w:highlight w:val="none"/>
        </w:rPr>
      </w:pPr>
      <w:r>
        <w:rPr>
          <w:rFonts w:hint="eastAsia"/>
          <w:highlight w:val="none"/>
        </w:rPr>
        <w:t>支持对入院患者进行登记操作；</w:t>
      </w:r>
    </w:p>
    <w:p>
      <w:pPr>
        <w:pStyle w:val="721"/>
        <w:numPr>
          <w:ilvl w:val="0"/>
          <w:numId w:val="23"/>
        </w:numPr>
        <w:ind w:left="611" w:hanging="131" w:firstLineChars="0"/>
        <w:rPr>
          <w:highlight w:val="none"/>
        </w:rPr>
      </w:pPr>
      <w:r>
        <w:rPr>
          <w:rFonts w:hint="eastAsia"/>
          <w:highlight w:val="none"/>
        </w:rPr>
        <w:t>支持对患者信息进行修改操作；</w:t>
      </w:r>
    </w:p>
    <w:p>
      <w:pPr>
        <w:pStyle w:val="721"/>
        <w:numPr>
          <w:ilvl w:val="0"/>
          <w:numId w:val="23"/>
        </w:numPr>
        <w:ind w:left="611" w:hanging="131" w:firstLineChars="0"/>
        <w:rPr>
          <w:highlight w:val="none"/>
        </w:rPr>
      </w:pPr>
      <w:r>
        <w:rPr>
          <w:rFonts w:hint="eastAsia"/>
          <w:highlight w:val="none"/>
        </w:rPr>
        <w:t>支持对已登记患者进行取消入院操作；</w:t>
      </w:r>
    </w:p>
    <w:p>
      <w:pPr>
        <w:pStyle w:val="721"/>
        <w:numPr>
          <w:ilvl w:val="0"/>
          <w:numId w:val="23"/>
        </w:numPr>
        <w:ind w:left="611" w:hanging="131" w:firstLineChars="0"/>
        <w:rPr>
          <w:highlight w:val="none"/>
        </w:rPr>
      </w:pPr>
      <w:r>
        <w:rPr>
          <w:rFonts w:hint="eastAsia"/>
          <w:highlight w:val="none"/>
        </w:rPr>
        <w:t>支持录入住院科室、诊断等内容的功能；</w:t>
      </w:r>
    </w:p>
    <w:p>
      <w:pPr>
        <w:pStyle w:val="721"/>
        <w:numPr>
          <w:ilvl w:val="0"/>
          <w:numId w:val="23"/>
        </w:numPr>
        <w:ind w:left="611" w:hanging="131" w:firstLineChars="0"/>
        <w:rPr>
          <w:highlight w:val="none"/>
        </w:rPr>
      </w:pPr>
      <w:r>
        <w:rPr>
          <w:rFonts w:hint="eastAsia"/>
          <w:highlight w:val="none"/>
        </w:rPr>
        <w:t>支持对患者档案进行查重功能；</w:t>
      </w:r>
    </w:p>
    <w:p>
      <w:pPr>
        <w:pStyle w:val="721"/>
        <w:numPr>
          <w:ilvl w:val="0"/>
          <w:numId w:val="23"/>
        </w:numPr>
        <w:ind w:left="611" w:hanging="131" w:firstLineChars="0"/>
        <w:rPr>
          <w:highlight w:val="none"/>
        </w:rPr>
      </w:pPr>
      <w:r>
        <w:rPr>
          <w:rFonts w:hint="eastAsia"/>
          <w:highlight w:val="none"/>
        </w:rPr>
        <w:t>支持打印患者腕带的功能。</w:t>
      </w:r>
    </w:p>
    <w:p>
      <w:pPr>
        <w:pStyle w:val="721"/>
        <w:numPr>
          <w:ilvl w:val="0"/>
          <w:numId w:val="54"/>
        </w:numPr>
        <w:ind w:left="900" w:firstLineChars="0"/>
        <w:rPr>
          <w:b/>
          <w:bCs/>
          <w:highlight w:val="none"/>
        </w:rPr>
      </w:pPr>
      <w:r>
        <w:rPr>
          <w:rFonts w:hint="eastAsia"/>
          <w:b/>
          <w:bCs/>
          <w:highlight w:val="none"/>
        </w:rPr>
        <w:t>修改首页</w:t>
      </w:r>
    </w:p>
    <w:p>
      <w:pPr>
        <w:pStyle w:val="721"/>
        <w:numPr>
          <w:ilvl w:val="0"/>
          <w:numId w:val="23"/>
        </w:numPr>
        <w:ind w:left="611" w:hanging="131" w:firstLineChars="0"/>
        <w:rPr>
          <w:highlight w:val="none"/>
        </w:rPr>
      </w:pPr>
      <w:r>
        <w:rPr>
          <w:rFonts w:hint="eastAsia"/>
          <w:highlight w:val="none"/>
        </w:rPr>
        <w:t>支持为已入院的患者的信息进行修改的功能。</w:t>
      </w:r>
    </w:p>
    <w:p>
      <w:pPr>
        <w:pStyle w:val="721"/>
        <w:numPr>
          <w:ilvl w:val="0"/>
          <w:numId w:val="54"/>
        </w:numPr>
        <w:ind w:left="900" w:firstLineChars="0"/>
        <w:rPr>
          <w:b/>
          <w:bCs/>
          <w:highlight w:val="none"/>
        </w:rPr>
      </w:pPr>
      <w:r>
        <w:rPr>
          <w:rFonts w:hint="eastAsia"/>
          <w:b/>
          <w:bCs/>
          <w:highlight w:val="none"/>
        </w:rPr>
        <w:t>取消住院</w:t>
      </w:r>
    </w:p>
    <w:p>
      <w:pPr>
        <w:pStyle w:val="721"/>
        <w:numPr>
          <w:ilvl w:val="0"/>
          <w:numId w:val="23"/>
        </w:numPr>
        <w:ind w:left="611" w:hanging="131" w:firstLineChars="0"/>
        <w:rPr>
          <w:highlight w:val="none"/>
        </w:rPr>
      </w:pPr>
      <w:r>
        <w:rPr>
          <w:rFonts w:hint="eastAsia"/>
          <w:highlight w:val="none"/>
        </w:rPr>
        <w:t>支持对患者进行取消住院的功能。</w:t>
      </w:r>
    </w:p>
    <w:p>
      <w:pPr>
        <w:pStyle w:val="721"/>
        <w:numPr>
          <w:ilvl w:val="0"/>
          <w:numId w:val="54"/>
        </w:numPr>
        <w:ind w:left="900" w:firstLineChars="0"/>
        <w:rPr>
          <w:b/>
          <w:bCs/>
          <w:highlight w:val="none"/>
        </w:rPr>
      </w:pPr>
      <w:r>
        <w:rPr>
          <w:rFonts w:hint="eastAsia"/>
          <w:b/>
          <w:bCs/>
          <w:highlight w:val="none"/>
        </w:rPr>
        <w:t>退费处理</w:t>
      </w:r>
    </w:p>
    <w:p>
      <w:pPr>
        <w:pStyle w:val="721"/>
        <w:numPr>
          <w:ilvl w:val="0"/>
          <w:numId w:val="23"/>
        </w:numPr>
        <w:ind w:left="611" w:hanging="131" w:firstLineChars="0"/>
        <w:rPr>
          <w:highlight w:val="none"/>
        </w:rPr>
      </w:pPr>
      <w:r>
        <w:rPr>
          <w:rFonts w:hint="eastAsia"/>
          <w:highlight w:val="none"/>
        </w:rPr>
        <w:t>支持对患者进行全部退费、部分退费的功能。</w:t>
      </w:r>
    </w:p>
    <w:p>
      <w:pPr>
        <w:pStyle w:val="721"/>
        <w:numPr>
          <w:ilvl w:val="0"/>
          <w:numId w:val="53"/>
        </w:numPr>
        <w:ind w:left="900" w:firstLineChars="0"/>
        <w:rPr>
          <w:b/>
          <w:bCs/>
          <w:highlight w:val="none"/>
        </w:rPr>
      </w:pPr>
      <w:r>
        <w:rPr>
          <w:rFonts w:hint="eastAsia"/>
          <w:b/>
          <w:bCs/>
          <w:highlight w:val="none"/>
        </w:rPr>
        <w:t>费用处理</w:t>
      </w:r>
    </w:p>
    <w:p>
      <w:pPr>
        <w:pStyle w:val="721"/>
        <w:numPr>
          <w:ilvl w:val="0"/>
          <w:numId w:val="55"/>
        </w:numPr>
        <w:ind w:left="900" w:firstLineChars="0"/>
        <w:rPr>
          <w:b/>
          <w:bCs/>
          <w:highlight w:val="none"/>
        </w:rPr>
      </w:pPr>
      <w:r>
        <w:rPr>
          <w:rFonts w:hint="eastAsia"/>
          <w:b/>
          <w:bCs/>
          <w:highlight w:val="none"/>
        </w:rPr>
        <w:t>住院预交款</w:t>
      </w:r>
    </w:p>
    <w:p>
      <w:pPr>
        <w:pStyle w:val="721"/>
        <w:numPr>
          <w:ilvl w:val="0"/>
          <w:numId w:val="23"/>
        </w:numPr>
        <w:ind w:left="611" w:hanging="131" w:firstLineChars="0"/>
        <w:rPr>
          <w:highlight w:val="none"/>
        </w:rPr>
      </w:pPr>
      <w:r>
        <w:rPr>
          <w:rFonts w:hint="eastAsia"/>
          <w:highlight w:val="none"/>
        </w:rPr>
        <w:t>支持为患者缴纳预交款的功能；</w:t>
      </w:r>
    </w:p>
    <w:p>
      <w:pPr>
        <w:pStyle w:val="721"/>
        <w:numPr>
          <w:ilvl w:val="0"/>
          <w:numId w:val="23"/>
        </w:numPr>
        <w:ind w:left="611" w:hanging="131" w:firstLineChars="0"/>
        <w:rPr>
          <w:highlight w:val="none"/>
        </w:rPr>
      </w:pPr>
      <w:r>
        <w:rPr>
          <w:rFonts w:hint="eastAsia"/>
          <w:highlight w:val="none"/>
        </w:rPr>
        <w:t>支持为患者缴纳的预交金进行退费处理的功能；</w:t>
      </w:r>
    </w:p>
    <w:p>
      <w:pPr>
        <w:pStyle w:val="721"/>
        <w:numPr>
          <w:ilvl w:val="0"/>
          <w:numId w:val="23"/>
        </w:numPr>
        <w:ind w:left="611" w:hanging="131" w:firstLineChars="0"/>
        <w:rPr>
          <w:highlight w:val="none"/>
        </w:rPr>
      </w:pPr>
      <w:r>
        <w:rPr>
          <w:rFonts w:hint="eastAsia"/>
          <w:highlight w:val="none"/>
        </w:rPr>
        <w:t>能够根据不同缴费类型分类显示预交款金额；</w:t>
      </w:r>
    </w:p>
    <w:p>
      <w:pPr>
        <w:pStyle w:val="721"/>
        <w:numPr>
          <w:ilvl w:val="0"/>
          <w:numId w:val="23"/>
        </w:numPr>
        <w:ind w:left="611" w:hanging="131" w:firstLineChars="0"/>
        <w:rPr>
          <w:highlight w:val="none"/>
        </w:rPr>
      </w:pPr>
      <w:r>
        <w:rPr>
          <w:rFonts w:hint="eastAsia"/>
          <w:highlight w:val="none"/>
        </w:rPr>
        <w:t>支持可以查询一段时间内的患者预交款情况；</w:t>
      </w:r>
    </w:p>
    <w:p>
      <w:pPr>
        <w:pStyle w:val="721"/>
        <w:numPr>
          <w:ilvl w:val="0"/>
          <w:numId w:val="23"/>
        </w:numPr>
        <w:ind w:left="611" w:hanging="131" w:firstLineChars="0"/>
        <w:rPr>
          <w:highlight w:val="none"/>
        </w:rPr>
      </w:pPr>
      <w:r>
        <w:rPr>
          <w:rFonts w:hint="eastAsia"/>
          <w:highlight w:val="none"/>
        </w:rPr>
        <w:t>支持查看今日预交款工作量的功能。</w:t>
      </w:r>
    </w:p>
    <w:p>
      <w:pPr>
        <w:pStyle w:val="721"/>
        <w:numPr>
          <w:ilvl w:val="0"/>
          <w:numId w:val="55"/>
        </w:numPr>
        <w:ind w:left="900" w:firstLineChars="0"/>
        <w:rPr>
          <w:b/>
          <w:bCs/>
          <w:highlight w:val="none"/>
        </w:rPr>
      </w:pPr>
      <w:r>
        <w:rPr>
          <w:rFonts w:hint="eastAsia"/>
          <w:b/>
          <w:bCs/>
          <w:highlight w:val="none"/>
        </w:rPr>
        <w:t>病人担保</w:t>
      </w:r>
    </w:p>
    <w:p>
      <w:pPr>
        <w:pStyle w:val="721"/>
        <w:numPr>
          <w:ilvl w:val="0"/>
          <w:numId w:val="23"/>
        </w:numPr>
        <w:ind w:left="611" w:hanging="131" w:firstLineChars="0"/>
        <w:rPr>
          <w:highlight w:val="none"/>
        </w:rPr>
      </w:pPr>
      <w:r>
        <w:rPr>
          <w:rFonts w:hint="eastAsia"/>
          <w:highlight w:val="none"/>
        </w:rPr>
        <w:t>支持为患者新增、删除单保记录的功能。</w:t>
      </w:r>
    </w:p>
    <w:p>
      <w:pPr>
        <w:pStyle w:val="721"/>
        <w:numPr>
          <w:ilvl w:val="0"/>
          <w:numId w:val="55"/>
        </w:numPr>
        <w:ind w:left="900" w:firstLineChars="0"/>
        <w:rPr>
          <w:b/>
          <w:bCs/>
          <w:highlight w:val="none"/>
        </w:rPr>
      </w:pPr>
      <w:r>
        <w:rPr>
          <w:rFonts w:hint="eastAsia"/>
          <w:b/>
          <w:bCs/>
          <w:highlight w:val="none"/>
        </w:rPr>
        <w:t>住院退费</w:t>
      </w:r>
    </w:p>
    <w:p>
      <w:pPr>
        <w:pStyle w:val="721"/>
        <w:numPr>
          <w:ilvl w:val="0"/>
          <w:numId w:val="23"/>
        </w:numPr>
        <w:ind w:left="611" w:hanging="131" w:firstLineChars="0"/>
        <w:rPr>
          <w:highlight w:val="none"/>
        </w:rPr>
      </w:pPr>
      <w:r>
        <w:rPr>
          <w:rFonts w:hint="eastAsia"/>
          <w:highlight w:val="none"/>
        </w:rPr>
        <w:t>支持为患者进行退费处理的功能。</w:t>
      </w:r>
    </w:p>
    <w:p>
      <w:pPr>
        <w:pStyle w:val="721"/>
        <w:numPr>
          <w:ilvl w:val="0"/>
          <w:numId w:val="55"/>
        </w:numPr>
        <w:ind w:left="900" w:firstLineChars="0"/>
        <w:rPr>
          <w:b/>
          <w:bCs/>
          <w:highlight w:val="none"/>
        </w:rPr>
      </w:pPr>
      <w:r>
        <w:rPr>
          <w:rFonts w:hint="eastAsia"/>
          <w:b/>
          <w:bCs/>
          <w:highlight w:val="none"/>
        </w:rPr>
        <w:t>费用重算</w:t>
      </w:r>
    </w:p>
    <w:p>
      <w:pPr>
        <w:pStyle w:val="721"/>
        <w:numPr>
          <w:ilvl w:val="0"/>
          <w:numId w:val="23"/>
        </w:numPr>
        <w:ind w:left="611" w:hanging="131" w:firstLineChars="0"/>
        <w:rPr>
          <w:highlight w:val="none"/>
        </w:rPr>
      </w:pPr>
      <w:r>
        <w:rPr>
          <w:rFonts w:hint="eastAsia"/>
          <w:highlight w:val="none"/>
        </w:rPr>
        <w:t>支持按项目进行批量重算的功能；</w:t>
      </w:r>
    </w:p>
    <w:p>
      <w:pPr>
        <w:pStyle w:val="721"/>
        <w:numPr>
          <w:ilvl w:val="0"/>
          <w:numId w:val="23"/>
        </w:numPr>
        <w:ind w:left="611" w:hanging="131" w:firstLineChars="0"/>
        <w:rPr>
          <w:highlight w:val="none"/>
        </w:rPr>
      </w:pPr>
      <w:r>
        <w:rPr>
          <w:rFonts w:hint="eastAsia"/>
          <w:highlight w:val="none"/>
        </w:rPr>
        <w:t>支持对出院病人进行取消结算的功能；</w:t>
      </w:r>
    </w:p>
    <w:p>
      <w:pPr>
        <w:pStyle w:val="721"/>
        <w:numPr>
          <w:ilvl w:val="0"/>
          <w:numId w:val="23"/>
        </w:numPr>
        <w:ind w:left="611" w:hanging="131" w:firstLineChars="0"/>
        <w:rPr>
          <w:highlight w:val="none"/>
        </w:rPr>
      </w:pPr>
      <w:r>
        <w:rPr>
          <w:rFonts w:hint="eastAsia"/>
          <w:highlight w:val="none"/>
        </w:rPr>
        <w:t>支持按患者进行费用重算的功能。</w:t>
      </w:r>
    </w:p>
    <w:p>
      <w:pPr>
        <w:pStyle w:val="721"/>
        <w:numPr>
          <w:ilvl w:val="0"/>
          <w:numId w:val="53"/>
        </w:numPr>
        <w:ind w:left="900" w:firstLineChars="0"/>
        <w:rPr>
          <w:b/>
          <w:bCs/>
          <w:highlight w:val="none"/>
        </w:rPr>
      </w:pPr>
      <w:r>
        <w:rPr>
          <w:rFonts w:hint="eastAsia"/>
          <w:b/>
          <w:bCs/>
          <w:highlight w:val="none"/>
        </w:rPr>
        <w:t>出院业务</w:t>
      </w:r>
    </w:p>
    <w:p>
      <w:pPr>
        <w:pStyle w:val="721"/>
        <w:numPr>
          <w:ilvl w:val="0"/>
          <w:numId w:val="56"/>
        </w:numPr>
        <w:ind w:left="900" w:firstLineChars="0"/>
        <w:rPr>
          <w:b/>
          <w:bCs/>
          <w:highlight w:val="none"/>
        </w:rPr>
      </w:pPr>
      <w:r>
        <w:rPr>
          <w:rFonts w:hint="eastAsia"/>
          <w:b/>
          <w:bCs/>
          <w:highlight w:val="none"/>
        </w:rPr>
        <w:t>病人免单</w:t>
      </w:r>
    </w:p>
    <w:p>
      <w:pPr>
        <w:pStyle w:val="721"/>
        <w:numPr>
          <w:ilvl w:val="0"/>
          <w:numId w:val="23"/>
        </w:numPr>
        <w:ind w:left="611" w:hanging="131" w:firstLineChars="0"/>
        <w:rPr>
          <w:highlight w:val="none"/>
        </w:rPr>
      </w:pPr>
      <w:r>
        <w:rPr>
          <w:rFonts w:hint="eastAsia"/>
          <w:highlight w:val="none"/>
        </w:rPr>
        <w:t>支持为患者新增、删除免单金额记录的功能。</w:t>
      </w:r>
    </w:p>
    <w:p>
      <w:pPr>
        <w:pStyle w:val="721"/>
        <w:numPr>
          <w:ilvl w:val="0"/>
          <w:numId w:val="56"/>
        </w:numPr>
        <w:ind w:left="900" w:firstLineChars="0"/>
        <w:rPr>
          <w:b/>
          <w:bCs/>
          <w:highlight w:val="none"/>
        </w:rPr>
      </w:pPr>
      <w:r>
        <w:rPr>
          <w:rFonts w:hint="eastAsia"/>
          <w:b/>
          <w:bCs/>
          <w:highlight w:val="none"/>
        </w:rPr>
        <w:t>费用结算</w:t>
      </w:r>
    </w:p>
    <w:p>
      <w:pPr>
        <w:pStyle w:val="721"/>
        <w:numPr>
          <w:ilvl w:val="0"/>
          <w:numId w:val="23"/>
        </w:numPr>
        <w:ind w:left="611" w:hanging="131" w:firstLineChars="0"/>
        <w:rPr>
          <w:highlight w:val="none"/>
        </w:rPr>
      </w:pPr>
      <w:r>
        <w:rPr>
          <w:rFonts w:hint="eastAsia"/>
          <w:highlight w:val="none"/>
        </w:rPr>
        <w:t>支持为在院患者进行中途结算的功能；</w:t>
      </w:r>
    </w:p>
    <w:p>
      <w:pPr>
        <w:pStyle w:val="721"/>
        <w:numPr>
          <w:ilvl w:val="0"/>
          <w:numId w:val="23"/>
        </w:numPr>
        <w:ind w:left="611" w:hanging="131" w:firstLineChars="0"/>
        <w:rPr>
          <w:highlight w:val="none"/>
        </w:rPr>
      </w:pPr>
      <w:r>
        <w:rPr>
          <w:rFonts w:hint="eastAsia"/>
          <w:highlight w:val="none"/>
        </w:rPr>
        <w:t>支持为预出院的患者进行出院结算的功能；</w:t>
      </w:r>
    </w:p>
    <w:p>
      <w:pPr>
        <w:pStyle w:val="721"/>
        <w:numPr>
          <w:ilvl w:val="0"/>
          <w:numId w:val="23"/>
        </w:numPr>
        <w:ind w:left="611" w:hanging="131" w:firstLineChars="0"/>
        <w:rPr>
          <w:highlight w:val="none"/>
        </w:rPr>
      </w:pPr>
      <w:r>
        <w:rPr>
          <w:rFonts w:hint="eastAsia"/>
          <w:highlight w:val="none"/>
        </w:rPr>
        <w:t>支持为患者进行费用重算的功能；</w:t>
      </w:r>
    </w:p>
    <w:p>
      <w:pPr>
        <w:pStyle w:val="721"/>
        <w:numPr>
          <w:ilvl w:val="0"/>
          <w:numId w:val="23"/>
        </w:numPr>
        <w:ind w:left="611" w:hanging="131" w:firstLineChars="0"/>
        <w:rPr>
          <w:highlight w:val="none"/>
        </w:rPr>
      </w:pPr>
      <w:r>
        <w:rPr>
          <w:rFonts w:hint="eastAsia"/>
          <w:highlight w:val="none"/>
        </w:rPr>
        <w:t>支持对患者进行按项目结算功能；</w:t>
      </w:r>
    </w:p>
    <w:p>
      <w:pPr>
        <w:pStyle w:val="721"/>
        <w:numPr>
          <w:ilvl w:val="0"/>
          <w:numId w:val="23"/>
        </w:numPr>
        <w:ind w:left="611" w:hanging="131" w:firstLineChars="0"/>
        <w:rPr>
          <w:highlight w:val="none"/>
        </w:rPr>
      </w:pPr>
      <w:r>
        <w:rPr>
          <w:rFonts w:hint="eastAsia"/>
          <w:highlight w:val="none"/>
        </w:rPr>
        <w:t>支持查看费用报表的功能。</w:t>
      </w:r>
    </w:p>
    <w:p>
      <w:pPr>
        <w:pStyle w:val="721"/>
        <w:numPr>
          <w:ilvl w:val="0"/>
          <w:numId w:val="53"/>
        </w:numPr>
        <w:ind w:left="900" w:firstLineChars="0"/>
        <w:rPr>
          <w:b/>
          <w:bCs/>
          <w:highlight w:val="none"/>
        </w:rPr>
      </w:pPr>
      <w:r>
        <w:rPr>
          <w:rFonts w:hint="eastAsia"/>
          <w:b/>
          <w:bCs/>
          <w:highlight w:val="none"/>
        </w:rPr>
        <w:t>查询统计</w:t>
      </w:r>
    </w:p>
    <w:p>
      <w:pPr>
        <w:pStyle w:val="721"/>
        <w:numPr>
          <w:ilvl w:val="0"/>
          <w:numId w:val="57"/>
        </w:numPr>
        <w:ind w:left="900" w:firstLineChars="0"/>
        <w:rPr>
          <w:b/>
          <w:bCs/>
          <w:highlight w:val="none"/>
        </w:rPr>
      </w:pPr>
      <w:r>
        <w:rPr>
          <w:rFonts w:hint="eastAsia"/>
          <w:b/>
          <w:bCs/>
          <w:highlight w:val="none"/>
        </w:rPr>
        <w:t>日费用清单</w:t>
      </w:r>
    </w:p>
    <w:p>
      <w:pPr>
        <w:pStyle w:val="721"/>
        <w:numPr>
          <w:ilvl w:val="0"/>
          <w:numId w:val="23"/>
        </w:numPr>
        <w:ind w:left="611" w:hanging="131" w:firstLineChars="0"/>
        <w:rPr>
          <w:highlight w:val="none"/>
        </w:rPr>
      </w:pPr>
      <w:r>
        <w:rPr>
          <w:rFonts w:hint="eastAsia"/>
          <w:highlight w:val="none"/>
        </w:rPr>
        <w:t>支持按病区查看患者的费用清单情况并提供打印功能。</w:t>
      </w:r>
    </w:p>
    <w:p>
      <w:pPr>
        <w:pStyle w:val="721"/>
        <w:numPr>
          <w:ilvl w:val="0"/>
          <w:numId w:val="57"/>
        </w:numPr>
        <w:ind w:left="900" w:firstLineChars="0"/>
        <w:rPr>
          <w:b/>
          <w:bCs/>
          <w:highlight w:val="none"/>
        </w:rPr>
      </w:pPr>
      <w:r>
        <w:rPr>
          <w:rFonts w:hint="eastAsia"/>
          <w:b/>
          <w:bCs/>
          <w:highlight w:val="none"/>
        </w:rPr>
        <w:t>出院病人查询</w:t>
      </w:r>
    </w:p>
    <w:p>
      <w:pPr>
        <w:pStyle w:val="721"/>
        <w:numPr>
          <w:ilvl w:val="0"/>
          <w:numId w:val="23"/>
        </w:numPr>
        <w:ind w:left="611" w:hanging="131" w:firstLineChars="0"/>
        <w:rPr>
          <w:highlight w:val="none"/>
        </w:rPr>
      </w:pPr>
      <w:r>
        <w:rPr>
          <w:rFonts w:hint="eastAsia"/>
          <w:highlight w:val="none"/>
        </w:rPr>
        <w:t>支持按条件查询出院患者记录；</w:t>
      </w:r>
    </w:p>
    <w:p>
      <w:pPr>
        <w:pStyle w:val="721"/>
        <w:numPr>
          <w:ilvl w:val="0"/>
          <w:numId w:val="23"/>
        </w:numPr>
        <w:ind w:left="611" w:hanging="131" w:firstLineChars="0"/>
        <w:rPr>
          <w:highlight w:val="none"/>
        </w:rPr>
      </w:pPr>
      <w:r>
        <w:rPr>
          <w:rFonts w:hint="eastAsia"/>
          <w:highlight w:val="none"/>
        </w:rPr>
        <w:t>支持将出院患者进行召回并重新结算的功能；</w:t>
      </w:r>
    </w:p>
    <w:p>
      <w:pPr>
        <w:pStyle w:val="721"/>
        <w:numPr>
          <w:ilvl w:val="0"/>
          <w:numId w:val="23"/>
        </w:numPr>
        <w:ind w:left="611" w:hanging="131" w:firstLineChars="0"/>
        <w:rPr>
          <w:highlight w:val="none"/>
        </w:rPr>
      </w:pPr>
      <w:r>
        <w:rPr>
          <w:rFonts w:hint="eastAsia"/>
          <w:highlight w:val="none"/>
        </w:rPr>
        <w:t>支持一段时间内出院患者查询功能；</w:t>
      </w:r>
    </w:p>
    <w:p>
      <w:pPr>
        <w:pStyle w:val="721"/>
        <w:numPr>
          <w:ilvl w:val="0"/>
          <w:numId w:val="23"/>
        </w:numPr>
        <w:ind w:left="611" w:hanging="131" w:firstLineChars="0"/>
        <w:rPr>
          <w:highlight w:val="none"/>
        </w:rPr>
      </w:pPr>
      <w:r>
        <w:rPr>
          <w:rFonts w:hint="eastAsia"/>
          <w:highlight w:val="none"/>
        </w:rPr>
        <w:t>支持对出院病人进行取消结算的功能。</w:t>
      </w:r>
    </w:p>
    <w:p>
      <w:pPr>
        <w:pStyle w:val="721"/>
        <w:numPr>
          <w:ilvl w:val="0"/>
          <w:numId w:val="53"/>
        </w:numPr>
        <w:ind w:left="900" w:firstLineChars="0"/>
        <w:rPr>
          <w:b/>
          <w:bCs/>
          <w:highlight w:val="none"/>
        </w:rPr>
      </w:pPr>
      <w:r>
        <w:rPr>
          <w:rFonts w:hint="eastAsia"/>
          <w:b/>
          <w:bCs/>
          <w:highlight w:val="none"/>
        </w:rPr>
        <w:t>收入日报</w:t>
      </w:r>
    </w:p>
    <w:p>
      <w:pPr>
        <w:pStyle w:val="721"/>
        <w:numPr>
          <w:ilvl w:val="0"/>
          <w:numId w:val="58"/>
        </w:numPr>
        <w:ind w:left="900" w:firstLineChars="0"/>
        <w:rPr>
          <w:b/>
          <w:bCs/>
          <w:highlight w:val="none"/>
        </w:rPr>
      </w:pPr>
      <w:r>
        <w:rPr>
          <w:rFonts w:hint="eastAsia"/>
          <w:b/>
          <w:bCs/>
          <w:highlight w:val="none"/>
        </w:rPr>
        <w:t>住院日报</w:t>
      </w:r>
    </w:p>
    <w:p>
      <w:pPr>
        <w:pStyle w:val="721"/>
        <w:numPr>
          <w:ilvl w:val="0"/>
          <w:numId w:val="23"/>
        </w:numPr>
        <w:ind w:left="611" w:hanging="131" w:firstLineChars="0"/>
        <w:rPr>
          <w:highlight w:val="none"/>
        </w:rPr>
      </w:pPr>
      <w:r>
        <w:rPr>
          <w:rFonts w:hint="eastAsia"/>
          <w:highlight w:val="none"/>
        </w:rPr>
        <w:t>支持生成、提交个人收费日报的功能；</w:t>
      </w:r>
    </w:p>
    <w:p>
      <w:pPr>
        <w:pStyle w:val="721"/>
        <w:numPr>
          <w:ilvl w:val="0"/>
          <w:numId w:val="23"/>
        </w:numPr>
        <w:ind w:left="611" w:hanging="131" w:firstLineChars="0"/>
        <w:rPr>
          <w:highlight w:val="none"/>
        </w:rPr>
      </w:pPr>
      <w:r>
        <w:rPr>
          <w:rFonts w:hint="eastAsia"/>
          <w:highlight w:val="none"/>
        </w:rPr>
        <w:t>支持对未提交的日报进行提交功能；</w:t>
      </w:r>
    </w:p>
    <w:p>
      <w:pPr>
        <w:pStyle w:val="721"/>
        <w:numPr>
          <w:ilvl w:val="0"/>
          <w:numId w:val="23"/>
        </w:numPr>
        <w:ind w:left="611" w:hanging="131" w:firstLineChars="0"/>
        <w:rPr>
          <w:highlight w:val="none"/>
        </w:rPr>
      </w:pPr>
      <w:r>
        <w:rPr>
          <w:rFonts w:hint="eastAsia"/>
          <w:highlight w:val="none"/>
        </w:rPr>
        <w:t>支持对已提交的日报进行取消提交并重新生成的功能。</w:t>
      </w:r>
    </w:p>
    <w:p>
      <w:pPr>
        <w:pStyle w:val="721"/>
        <w:numPr>
          <w:ilvl w:val="0"/>
          <w:numId w:val="53"/>
        </w:numPr>
        <w:ind w:left="900" w:firstLineChars="0"/>
        <w:rPr>
          <w:b/>
          <w:bCs/>
          <w:highlight w:val="none"/>
        </w:rPr>
      </w:pPr>
      <w:r>
        <w:rPr>
          <w:rFonts w:hint="eastAsia"/>
          <w:b/>
          <w:bCs/>
          <w:highlight w:val="none"/>
        </w:rPr>
        <w:t>基础设置</w:t>
      </w:r>
    </w:p>
    <w:p>
      <w:pPr>
        <w:pStyle w:val="721"/>
        <w:numPr>
          <w:ilvl w:val="0"/>
          <w:numId w:val="59"/>
        </w:numPr>
        <w:ind w:left="900" w:firstLineChars="0"/>
        <w:rPr>
          <w:b/>
          <w:bCs/>
          <w:highlight w:val="none"/>
        </w:rPr>
      </w:pPr>
      <w:r>
        <w:rPr>
          <w:rFonts w:hint="eastAsia"/>
          <w:b/>
          <w:bCs/>
          <w:highlight w:val="none"/>
        </w:rPr>
        <w:t>科室费用控制</w:t>
      </w:r>
    </w:p>
    <w:p>
      <w:pPr>
        <w:pStyle w:val="721"/>
        <w:numPr>
          <w:ilvl w:val="0"/>
          <w:numId w:val="23"/>
        </w:numPr>
        <w:ind w:left="611" w:hanging="131" w:firstLineChars="0"/>
        <w:rPr>
          <w:highlight w:val="none"/>
        </w:rPr>
      </w:pPr>
      <w:r>
        <w:rPr>
          <w:rFonts w:hint="eastAsia"/>
          <w:highlight w:val="none"/>
        </w:rPr>
        <w:t>支持根据不同的科室、费用性质按不同的类型设置费用控制的功能。</w:t>
      </w:r>
    </w:p>
    <w:p>
      <w:pPr>
        <w:pStyle w:val="721"/>
        <w:numPr>
          <w:ilvl w:val="0"/>
          <w:numId w:val="59"/>
        </w:numPr>
        <w:ind w:left="900" w:firstLineChars="0"/>
        <w:rPr>
          <w:b/>
          <w:bCs/>
          <w:highlight w:val="none"/>
        </w:rPr>
      </w:pPr>
      <w:r>
        <w:rPr>
          <w:rFonts w:hint="eastAsia"/>
          <w:b/>
          <w:bCs/>
          <w:highlight w:val="none"/>
        </w:rPr>
        <w:t>费用冻结控制点设置</w:t>
      </w:r>
    </w:p>
    <w:p>
      <w:pPr>
        <w:pStyle w:val="721"/>
        <w:numPr>
          <w:ilvl w:val="0"/>
          <w:numId w:val="23"/>
        </w:numPr>
        <w:ind w:left="611" w:hanging="131" w:firstLineChars="0"/>
        <w:rPr>
          <w:highlight w:val="none"/>
        </w:rPr>
      </w:pPr>
      <w:r>
        <w:rPr>
          <w:rFonts w:hint="eastAsia"/>
          <w:highlight w:val="none"/>
        </w:rPr>
        <w:t>支持新增、修改根据不同的功能点提供不同的控制动作的功能；</w:t>
      </w:r>
    </w:p>
    <w:p>
      <w:pPr>
        <w:pStyle w:val="721"/>
        <w:numPr>
          <w:ilvl w:val="0"/>
          <w:numId w:val="23"/>
        </w:numPr>
        <w:ind w:left="611" w:hanging="131" w:firstLineChars="0"/>
        <w:rPr>
          <w:highlight w:val="none"/>
        </w:rPr>
      </w:pPr>
      <w:r>
        <w:rPr>
          <w:rFonts w:hint="eastAsia"/>
          <w:highlight w:val="none"/>
        </w:rPr>
        <w:t>支持按不同的功能点对欠费病人进行提示。</w:t>
      </w:r>
    </w:p>
    <w:p>
      <w:pPr>
        <w:pStyle w:val="721"/>
        <w:numPr>
          <w:ilvl w:val="0"/>
          <w:numId w:val="59"/>
        </w:numPr>
        <w:ind w:left="900" w:firstLineChars="0"/>
        <w:rPr>
          <w:b/>
          <w:bCs/>
          <w:highlight w:val="none"/>
        </w:rPr>
      </w:pPr>
      <w:r>
        <w:rPr>
          <w:rFonts w:hint="eastAsia"/>
          <w:b/>
          <w:bCs/>
          <w:highlight w:val="none"/>
        </w:rPr>
        <w:t>票据管理</w:t>
      </w:r>
    </w:p>
    <w:p>
      <w:pPr>
        <w:pStyle w:val="721"/>
        <w:numPr>
          <w:ilvl w:val="0"/>
          <w:numId w:val="23"/>
        </w:numPr>
        <w:ind w:left="611" w:hanging="131" w:firstLineChars="0"/>
        <w:rPr>
          <w:highlight w:val="none"/>
        </w:rPr>
      </w:pPr>
      <w:r>
        <w:rPr>
          <w:rFonts w:hint="eastAsia"/>
          <w:highlight w:val="none"/>
        </w:rPr>
        <w:t>支持住院票据管理功能。</w:t>
      </w:r>
    </w:p>
    <w:p>
      <w:pPr>
        <w:pStyle w:val="721"/>
        <w:numPr>
          <w:ilvl w:val="0"/>
          <w:numId w:val="59"/>
        </w:numPr>
        <w:ind w:left="900" w:firstLineChars="0"/>
        <w:rPr>
          <w:b/>
          <w:bCs/>
          <w:highlight w:val="none"/>
        </w:rPr>
      </w:pPr>
      <w:r>
        <w:rPr>
          <w:rFonts w:hint="eastAsia"/>
          <w:b/>
          <w:bCs/>
          <w:highlight w:val="none"/>
        </w:rPr>
        <w:t>票据领用管理</w:t>
      </w:r>
    </w:p>
    <w:p>
      <w:pPr>
        <w:pStyle w:val="721"/>
        <w:numPr>
          <w:ilvl w:val="0"/>
          <w:numId w:val="23"/>
        </w:numPr>
        <w:ind w:left="611" w:hanging="131" w:firstLineChars="0"/>
        <w:rPr>
          <w:highlight w:val="none"/>
        </w:rPr>
      </w:pPr>
      <w:r>
        <w:rPr>
          <w:rFonts w:hint="eastAsia"/>
          <w:highlight w:val="none"/>
        </w:rPr>
        <w:t>支持查看票据领用情况的功能；</w:t>
      </w:r>
    </w:p>
    <w:p>
      <w:pPr>
        <w:pStyle w:val="721"/>
        <w:numPr>
          <w:ilvl w:val="0"/>
          <w:numId w:val="23"/>
        </w:numPr>
        <w:ind w:left="611" w:hanging="131" w:firstLineChars="0"/>
        <w:rPr>
          <w:highlight w:val="none"/>
        </w:rPr>
      </w:pPr>
      <w:r>
        <w:rPr>
          <w:rFonts w:hint="eastAsia"/>
          <w:highlight w:val="none"/>
        </w:rPr>
        <w:t>支持新增、删除票据领用的功能。</w:t>
      </w:r>
    </w:p>
    <w:p>
      <w:pPr>
        <w:pStyle w:val="721"/>
        <w:numPr>
          <w:ilvl w:val="0"/>
          <w:numId w:val="59"/>
        </w:numPr>
        <w:ind w:left="900" w:firstLineChars="0"/>
        <w:rPr>
          <w:b/>
          <w:bCs/>
          <w:highlight w:val="none"/>
        </w:rPr>
      </w:pPr>
      <w:r>
        <w:rPr>
          <w:rFonts w:hint="eastAsia"/>
          <w:b/>
          <w:bCs/>
          <w:highlight w:val="none"/>
        </w:rPr>
        <w:t>交易手工解锁</w:t>
      </w:r>
    </w:p>
    <w:p>
      <w:pPr>
        <w:pStyle w:val="721"/>
        <w:numPr>
          <w:ilvl w:val="0"/>
          <w:numId w:val="23"/>
        </w:numPr>
        <w:ind w:left="611" w:hanging="131" w:firstLineChars="0"/>
        <w:rPr>
          <w:highlight w:val="none"/>
        </w:rPr>
      </w:pPr>
      <w:r>
        <w:rPr>
          <w:rFonts w:hint="eastAsia"/>
          <w:highlight w:val="none"/>
        </w:rPr>
        <w:t>支持为锁定状态的患者提供手工解除锁定的功能。</w:t>
      </w:r>
    </w:p>
    <w:p>
      <w:pPr>
        <w:pStyle w:val="6"/>
        <w:rPr>
          <w:highlight w:val="none"/>
        </w:rPr>
      </w:pPr>
      <w:r>
        <w:rPr>
          <w:rFonts w:hint="eastAsia"/>
          <w:highlight w:val="none"/>
        </w:rPr>
        <w:t>住院入出转系统</w:t>
      </w:r>
    </w:p>
    <w:p>
      <w:pPr>
        <w:pStyle w:val="721"/>
        <w:ind w:firstLine="480"/>
        <w:rPr>
          <w:szCs w:val="24"/>
          <w:highlight w:val="none"/>
        </w:rPr>
      </w:pPr>
      <w:r>
        <w:rPr>
          <w:rFonts w:hint="eastAsia"/>
          <w:szCs w:val="24"/>
          <w:highlight w:val="none"/>
        </w:rPr>
        <w:t>住院入出转系统是用于医院住院患者登记管理的计算机应用程序，包括入院登记、床位管理、住院预交金管理、出院、转院管理等功能。医院住院处是为住院患者服务的重要窗口，要方便患者办理住院手续，严格住院预交金管理制度，支持医保患者就医。</w:t>
      </w:r>
    </w:p>
    <w:p>
      <w:pPr>
        <w:pStyle w:val="721"/>
        <w:ind w:firstLine="0" w:firstLineChars="0"/>
        <w:rPr>
          <w:b/>
          <w:szCs w:val="24"/>
          <w:highlight w:val="none"/>
        </w:rPr>
      </w:pPr>
      <w:r>
        <w:rPr>
          <w:b/>
          <w:szCs w:val="24"/>
          <w:highlight w:val="none"/>
        </w:rPr>
        <w:t>功能要求：</w:t>
      </w:r>
    </w:p>
    <w:p>
      <w:pPr>
        <w:pStyle w:val="721"/>
        <w:numPr>
          <w:ilvl w:val="0"/>
          <w:numId w:val="60"/>
        </w:numPr>
        <w:ind w:firstLineChars="0"/>
        <w:rPr>
          <w:szCs w:val="24"/>
          <w:highlight w:val="none"/>
        </w:rPr>
      </w:pPr>
      <w:r>
        <w:rPr>
          <w:rFonts w:hint="eastAsia"/>
          <w:b/>
          <w:bCs/>
          <w:szCs w:val="24"/>
          <w:highlight w:val="none"/>
        </w:rPr>
        <w:t>入院管理：</w:t>
      </w:r>
      <w:r>
        <w:rPr>
          <w:rFonts w:hint="eastAsia"/>
          <w:szCs w:val="24"/>
          <w:highlight w:val="none"/>
        </w:rPr>
        <w:t>预约入院登记、病案首页录入、打印病案首页；</w:t>
      </w:r>
    </w:p>
    <w:p>
      <w:pPr>
        <w:pStyle w:val="721"/>
        <w:numPr>
          <w:ilvl w:val="0"/>
          <w:numId w:val="60"/>
        </w:numPr>
        <w:ind w:firstLineChars="0"/>
        <w:rPr>
          <w:szCs w:val="24"/>
          <w:highlight w:val="none"/>
        </w:rPr>
      </w:pPr>
      <w:r>
        <w:rPr>
          <w:rFonts w:hint="eastAsia"/>
          <w:b/>
          <w:bCs/>
          <w:szCs w:val="24"/>
          <w:highlight w:val="none"/>
        </w:rPr>
        <w:t>预交金管理：</w:t>
      </w:r>
      <w:r>
        <w:rPr>
          <w:rFonts w:hint="eastAsia"/>
          <w:szCs w:val="24"/>
          <w:highlight w:val="none"/>
        </w:rPr>
        <w:t>交纳预交金管理，打印预交金收据凭证、按照不同方式统计预交金并打印清单、按照不同方式查询预交金并打印清单；</w:t>
      </w:r>
    </w:p>
    <w:p>
      <w:pPr>
        <w:pStyle w:val="721"/>
        <w:numPr>
          <w:ilvl w:val="0"/>
          <w:numId w:val="60"/>
        </w:numPr>
        <w:ind w:firstLineChars="0"/>
        <w:rPr>
          <w:szCs w:val="24"/>
          <w:highlight w:val="none"/>
        </w:rPr>
      </w:pPr>
      <w:r>
        <w:rPr>
          <w:rFonts w:hint="eastAsia"/>
          <w:b/>
          <w:bCs/>
          <w:szCs w:val="24"/>
          <w:highlight w:val="none"/>
        </w:rPr>
        <w:t>住院病历管理功能：</w:t>
      </w:r>
      <w:r>
        <w:rPr>
          <w:rFonts w:hint="eastAsia"/>
          <w:szCs w:val="24"/>
          <w:highlight w:val="none"/>
        </w:rPr>
        <w:t>为首次住院病人建立住院病历、病历号维护功能；</w:t>
      </w:r>
    </w:p>
    <w:p>
      <w:pPr>
        <w:pStyle w:val="721"/>
        <w:numPr>
          <w:ilvl w:val="0"/>
          <w:numId w:val="60"/>
        </w:numPr>
        <w:ind w:firstLineChars="0"/>
        <w:rPr>
          <w:szCs w:val="24"/>
          <w:highlight w:val="none"/>
        </w:rPr>
      </w:pPr>
      <w:r>
        <w:rPr>
          <w:rFonts w:hint="eastAsia"/>
          <w:b/>
          <w:bCs/>
          <w:szCs w:val="24"/>
          <w:highlight w:val="none"/>
        </w:rPr>
        <w:t>出院管理：</w:t>
      </w:r>
      <w:r>
        <w:rPr>
          <w:rFonts w:hint="eastAsia"/>
          <w:szCs w:val="24"/>
          <w:highlight w:val="none"/>
        </w:rPr>
        <w:t>出院登记、出院招回、出入院统计；</w:t>
      </w:r>
    </w:p>
    <w:p>
      <w:pPr>
        <w:pStyle w:val="721"/>
        <w:numPr>
          <w:ilvl w:val="0"/>
          <w:numId w:val="60"/>
        </w:numPr>
        <w:ind w:firstLineChars="0"/>
        <w:rPr>
          <w:szCs w:val="24"/>
          <w:highlight w:val="none"/>
        </w:rPr>
      </w:pPr>
      <w:r>
        <w:rPr>
          <w:rFonts w:hint="eastAsia"/>
          <w:b/>
          <w:bCs/>
          <w:szCs w:val="24"/>
          <w:highlight w:val="none"/>
        </w:rPr>
        <w:t>查询统计：</w:t>
      </w:r>
      <w:r>
        <w:rPr>
          <w:rFonts w:hint="eastAsia"/>
          <w:szCs w:val="24"/>
          <w:highlight w:val="none"/>
        </w:rPr>
        <w:t>查询患者的住院信息、打印清单；</w:t>
      </w:r>
    </w:p>
    <w:p>
      <w:pPr>
        <w:pStyle w:val="721"/>
        <w:numPr>
          <w:ilvl w:val="0"/>
          <w:numId w:val="60"/>
        </w:numPr>
        <w:ind w:firstLineChars="0"/>
        <w:rPr>
          <w:szCs w:val="24"/>
          <w:highlight w:val="none"/>
        </w:rPr>
      </w:pPr>
      <w:r>
        <w:rPr>
          <w:rFonts w:hint="eastAsia"/>
          <w:b/>
          <w:bCs/>
          <w:szCs w:val="24"/>
          <w:highlight w:val="none"/>
        </w:rPr>
        <w:t>床位管理功能：</w:t>
      </w:r>
      <w:r>
        <w:rPr>
          <w:rFonts w:hint="eastAsia"/>
          <w:szCs w:val="24"/>
          <w:highlight w:val="none"/>
        </w:rPr>
        <w:t>具有增加、删除、定义床位属性功能、处理病人选床、转床、转科功能；</w:t>
      </w:r>
    </w:p>
    <w:p>
      <w:pPr>
        <w:pStyle w:val="721"/>
        <w:numPr>
          <w:ilvl w:val="0"/>
          <w:numId w:val="60"/>
        </w:numPr>
        <w:ind w:firstLineChars="0"/>
        <w:rPr>
          <w:b/>
          <w:bCs/>
          <w:szCs w:val="24"/>
          <w:highlight w:val="none"/>
        </w:rPr>
      </w:pPr>
      <w:r>
        <w:rPr>
          <w:rFonts w:hint="eastAsia"/>
          <w:b/>
          <w:bCs/>
          <w:szCs w:val="24"/>
          <w:highlight w:val="none"/>
        </w:rPr>
        <w:t>用户权限管理功能。</w:t>
      </w:r>
    </w:p>
    <w:p>
      <w:pPr>
        <w:pStyle w:val="6"/>
        <w:ind w:firstLine="281"/>
        <w:rPr>
          <w:highlight w:val="none"/>
        </w:rPr>
      </w:pPr>
      <w:r>
        <w:rPr>
          <w:rFonts w:hint="eastAsia"/>
          <w:highlight w:val="none"/>
        </w:rPr>
        <w:t>医技计费系统</w:t>
      </w:r>
    </w:p>
    <w:p>
      <w:pPr>
        <w:pStyle w:val="721"/>
        <w:ind w:firstLine="480"/>
        <w:rPr>
          <w:rFonts w:asciiTheme="minorEastAsia" w:hAnsiTheme="minorEastAsia" w:eastAsiaTheme="minorEastAsia"/>
          <w:highlight w:val="none"/>
        </w:rPr>
      </w:pPr>
      <w:r>
        <w:rPr>
          <w:rFonts w:hint="eastAsia" w:asciiTheme="minorEastAsia" w:hAnsiTheme="minorEastAsia" w:eastAsiaTheme="minorEastAsia"/>
          <w:highlight w:val="none"/>
        </w:rPr>
        <w:t>完成医技科室接收医嘱、执行结果填写的管理系统。</w:t>
      </w:r>
    </w:p>
    <w:p>
      <w:pPr>
        <w:pStyle w:val="267"/>
        <w:spacing w:before="156" w:after="156"/>
        <w:ind w:left="420" w:firstLine="0" w:firstLineChars="0"/>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功能要求：</w:t>
      </w:r>
    </w:p>
    <w:p>
      <w:pPr>
        <w:pStyle w:val="721"/>
        <w:numPr>
          <w:ilvl w:val="0"/>
          <w:numId w:val="17"/>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检验扣费管理子系统实现门诊、住院病人检验收费处理。</w:t>
      </w:r>
    </w:p>
    <w:p>
      <w:pPr>
        <w:pStyle w:val="721"/>
        <w:numPr>
          <w:ilvl w:val="0"/>
          <w:numId w:val="17"/>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对于血类的检验项目可以合并收费，防止一次采血收取多次采血费。</w:t>
      </w:r>
    </w:p>
    <w:p>
      <w:pPr>
        <w:pStyle w:val="721"/>
        <w:numPr>
          <w:ilvl w:val="0"/>
          <w:numId w:val="17"/>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在开立检验申请单的同时生成费用信息，避免病人进行划价。</w:t>
      </w:r>
    </w:p>
    <w:p>
      <w:pPr>
        <w:pStyle w:val="721"/>
        <w:numPr>
          <w:ilvl w:val="0"/>
          <w:numId w:val="17"/>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对于门诊病人为了防止漏费的情况需要先收费再进行检验处理。</w:t>
      </w:r>
    </w:p>
    <w:p>
      <w:pPr>
        <w:pStyle w:val="721"/>
        <w:numPr>
          <w:ilvl w:val="0"/>
          <w:numId w:val="17"/>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住院病人可以根据参数设置在接受样本后或检验报告完成后计费。</w:t>
      </w:r>
    </w:p>
    <w:p>
      <w:pPr>
        <w:pStyle w:val="721"/>
        <w:numPr>
          <w:ilvl w:val="0"/>
          <w:numId w:val="17"/>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影像科扣费管理子系统实现门诊、住院病人医技项目的划价、收费工作。</w:t>
      </w:r>
    </w:p>
    <w:p>
      <w:pPr>
        <w:pStyle w:val="721"/>
        <w:numPr>
          <w:ilvl w:val="0"/>
          <w:numId w:val="17"/>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支持对检查项目与费用的对应功能，可以在一定程度上减少划价的次数。</w:t>
      </w:r>
    </w:p>
    <w:p>
      <w:pPr>
        <w:pStyle w:val="721"/>
        <w:numPr>
          <w:ilvl w:val="0"/>
          <w:numId w:val="17"/>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对于必须需要划价的项目支持对门诊病人、住院病人进行划价。</w:t>
      </w:r>
    </w:p>
    <w:p>
      <w:pPr>
        <w:pStyle w:val="721"/>
        <w:numPr>
          <w:ilvl w:val="0"/>
          <w:numId w:val="17"/>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门诊病人支持先收费后做检查。</w:t>
      </w:r>
    </w:p>
    <w:p>
      <w:pPr>
        <w:pStyle w:val="721"/>
        <w:numPr>
          <w:ilvl w:val="0"/>
          <w:numId w:val="17"/>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门诊绿色通道病人可以先做检查后收费。</w:t>
      </w:r>
    </w:p>
    <w:p>
      <w:pPr>
        <w:pStyle w:val="721"/>
        <w:numPr>
          <w:ilvl w:val="0"/>
          <w:numId w:val="17"/>
        </w:numPr>
        <w:ind w:left="900" w:firstLineChars="0"/>
        <w:rPr>
          <w:rFonts w:asciiTheme="minorEastAsia" w:hAnsiTheme="minorEastAsia" w:eastAsiaTheme="minorEastAsia"/>
          <w:highlight w:val="none"/>
        </w:rPr>
      </w:pPr>
      <w:r>
        <w:rPr>
          <w:rFonts w:hint="eastAsia" w:asciiTheme="minorEastAsia" w:hAnsiTheme="minorEastAsia" w:eastAsiaTheme="minorEastAsia"/>
          <w:highlight w:val="none"/>
        </w:rPr>
        <w:t>住院病人支持先收费后检查与先做检查后收费的参数控制。</w:t>
      </w:r>
    </w:p>
    <w:p>
      <w:pPr>
        <w:pStyle w:val="6"/>
        <w:ind w:firstLine="281"/>
        <w:rPr>
          <w:highlight w:val="none"/>
        </w:rPr>
      </w:pPr>
      <w:r>
        <w:rPr>
          <w:rFonts w:hint="eastAsia"/>
          <w:highlight w:val="none"/>
        </w:rPr>
        <w:t>静脉输液配置中心管理系统</w:t>
      </w:r>
    </w:p>
    <w:p>
      <w:pPr>
        <w:pStyle w:val="721"/>
        <w:ind w:firstLine="480"/>
        <w:rPr>
          <w:rFonts w:asciiTheme="minorEastAsia" w:hAnsiTheme="minorEastAsia" w:eastAsiaTheme="minorEastAsia"/>
          <w:highlight w:val="none"/>
        </w:rPr>
      </w:pPr>
      <w:r>
        <w:rPr>
          <w:rFonts w:hint="eastAsia" w:asciiTheme="minorEastAsia" w:hAnsiTheme="minorEastAsia" w:eastAsiaTheme="minorEastAsia"/>
          <w:highlight w:val="none"/>
        </w:rPr>
        <w:t>静脉输液配置中心管理系统是针对于医院药剂科的二级库房的应用系统，提供给医院的临床科室和药物配置科室使用；静脉配置中心负责对全院病人的静脉普通输液医嘱、TPN医嘱、抗肿瘤医嘱（化疗医嘱）进行配置。</w:t>
      </w:r>
    </w:p>
    <w:p>
      <w:pPr>
        <w:pStyle w:val="721"/>
        <w:ind w:left="900" w:firstLine="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功能要求：</w:t>
      </w:r>
    </w:p>
    <w:p>
      <w:pPr>
        <w:pStyle w:val="721"/>
        <w:numPr>
          <w:ilvl w:val="0"/>
          <w:numId w:val="61"/>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静脉配置</w:t>
      </w:r>
    </w:p>
    <w:p>
      <w:pPr>
        <w:pStyle w:val="721"/>
        <w:numPr>
          <w:ilvl w:val="0"/>
          <w:numId w:val="62"/>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静配审方</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支持与第三方对接实现自动审方并反馈结果的功能。</w:t>
      </w:r>
    </w:p>
    <w:p>
      <w:pPr>
        <w:pStyle w:val="721"/>
        <w:numPr>
          <w:ilvl w:val="0"/>
          <w:numId w:val="62"/>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静配接收</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支持接收时按药品批次进行自动分批的功能；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支持对病区医嘱进行手工审核的功能；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支持按不同条件进行检索查看静脉配置药品信息功能；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支持打印汇总单和药品标签的功能。</w:t>
      </w:r>
    </w:p>
    <w:p>
      <w:pPr>
        <w:pStyle w:val="721"/>
        <w:numPr>
          <w:ilvl w:val="0"/>
          <w:numId w:val="62"/>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静配摆药</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支持对已接收药品进行摆药功能；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支持按不同条件进行检索查看摆药药品信息功能。</w:t>
      </w:r>
    </w:p>
    <w:p>
      <w:pPr>
        <w:pStyle w:val="721"/>
        <w:numPr>
          <w:ilvl w:val="0"/>
          <w:numId w:val="62"/>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静配进舱</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支持对已摆药药品进行进舱功能；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支持按不同条件进行检索查看进舱药品信息功能。</w:t>
      </w:r>
    </w:p>
    <w:p>
      <w:pPr>
        <w:pStyle w:val="721"/>
        <w:numPr>
          <w:ilvl w:val="0"/>
          <w:numId w:val="62"/>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静配配药</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支持对已进舱药品进行配药功能；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支持按不同条件进行检索查看配药药品信息功能。</w:t>
      </w:r>
    </w:p>
    <w:p>
      <w:pPr>
        <w:pStyle w:val="721"/>
        <w:numPr>
          <w:ilvl w:val="0"/>
          <w:numId w:val="62"/>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静配出舱</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支持对已配药的药品进行出舱功能；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支持按不同条件进行检索查看出舱药品信息功能。</w:t>
      </w:r>
    </w:p>
    <w:p>
      <w:pPr>
        <w:pStyle w:val="721"/>
        <w:numPr>
          <w:ilvl w:val="0"/>
          <w:numId w:val="62"/>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静配配送</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支持对已出舱的药品按病区进行打包配送；</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支持按不同条件进行检索查看配送药品信息功能。</w:t>
      </w:r>
    </w:p>
    <w:p>
      <w:pPr>
        <w:pStyle w:val="721"/>
        <w:numPr>
          <w:ilvl w:val="0"/>
          <w:numId w:val="62"/>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静配批次维护</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支持按医院、病区进行批次维护的功能；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支持按液体总量进行批次设置；</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支持根据药品分类进行批次维护。</w:t>
      </w:r>
    </w:p>
    <w:p>
      <w:pPr>
        <w:pStyle w:val="721"/>
        <w:numPr>
          <w:ilvl w:val="0"/>
          <w:numId w:val="61"/>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库存管理</w:t>
      </w:r>
    </w:p>
    <w:p>
      <w:pPr>
        <w:pStyle w:val="721"/>
        <w:numPr>
          <w:ilvl w:val="0"/>
          <w:numId w:val="63"/>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药品入库</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支持新增、修改、删除入库单据的功能；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支持按条件检索入库单据记录的功能。</w:t>
      </w:r>
    </w:p>
    <w:p>
      <w:pPr>
        <w:pStyle w:val="721"/>
        <w:numPr>
          <w:ilvl w:val="0"/>
          <w:numId w:val="63"/>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药品出库</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支持新增、修改、删除出库单据的功能；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支持按条件检索出库单据记录的功能。</w:t>
      </w:r>
    </w:p>
    <w:p>
      <w:pPr>
        <w:pStyle w:val="721"/>
        <w:numPr>
          <w:ilvl w:val="0"/>
          <w:numId w:val="63"/>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药品请领</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支持向不同库房进行药品请领的功能。</w:t>
      </w:r>
    </w:p>
    <w:p>
      <w:pPr>
        <w:pStyle w:val="721"/>
        <w:numPr>
          <w:ilvl w:val="0"/>
          <w:numId w:val="63"/>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药品调价</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支持对药品进行调价操作的功能；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支持按不同条件批量导入明细数据的功能。</w:t>
      </w:r>
    </w:p>
    <w:p>
      <w:pPr>
        <w:pStyle w:val="721"/>
        <w:numPr>
          <w:ilvl w:val="0"/>
          <w:numId w:val="63"/>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药品盘存</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支持药品盘点的功能；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支持按不同条件批量导入明细数据的功能。</w:t>
      </w:r>
    </w:p>
    <w:p>
      <w:pPr>
        <w:pStyle w:val="721"/>
        <w:numPr>
          <w:ilvl w:val="0"/>
          <w:numId w:val="63"/>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期末结转</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支持为库房会计进行财务期间的结转处理的功能。</w:t>
      </w:r>
    </w:p>
    <w:p>
      <w:pPr>
        <w:pStyle w:val="721"/>
        <w:numPr>
          <w:ilvl w:val="0"/>
          <w:numId w:val="63"/>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药品采购</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支持按日期查询采购计划单，可新增、修改、删除采购计划单。</w:t>
      </w:r>
    </w:p>
    <w:p>
      <w:pPr>
        <w:pStyle w:val="721"/>
        <w:numPr>
          <w:ilvl w:val="0"/>
          <w:numId w:val="63"/>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报损管理</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支持工作人员对药品进行报损操作的功能。</w:t>
      </w:r>
    </w:p>
    <w:p>
      <w:pPr>
        <w:pStyle w:val="721"/>
        <w:numPr>
          <w:ilvl w:val="0"/>
          <w:numId w:val="63"/>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借还药</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支持为科室或个人进行借还药操作的功能。</w:t>
      </w:r>
    </w:p>
    <w:p>
      <w:pPr>
        <w:pStyle w:val="721"/>
        <w:numPr>
          <w:ilvl w:val="0"/>
          <w:numId w:val="63"/>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质量验收</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支持入库药品进行质量验收的功能。</w:t>
      </w:r>
    </w:p>
    <w:p>
      <w:pPr>
        <w:pStyle w:val="721"/>
        <w:numPr>
          <w:ilvl w:val="0"/>
          <w:numId w:val="63"/>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效期管理</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支持按筛选条件对效期将近的药品进行查询的功能；</w:t>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支持对效期药品进行退库的功能。</w:t>
      </w:r>
    </w:p>
    <w:p>
      <w:pPr>
        <w:pStyle w:val="721"/>
        <w:numPr>
          <w:ilvl w:val="0"/>
          <w:numId w:val="61"/>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查询统计</w:t>
      </w:r>
    </w:p>
    <w:p>
      <w:pPr>
        <w:pStyle w:val="721"/>
        <w:numPr>
          <w:ilvl w:val="0"/>
          <w:numId w:val="64"/>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月报</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支持统计一段时间内的药品收支情况的功能。</w:t>
      </w:r>
    </w:p>
    <w:p>
      <w:pPr>
        <w:pStyle w:val="721"/>
        <w:numPr>
          <w:ilvl w:val="0"/>
          <w:numId w:val="64"/>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药品账簿查询</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支持药品流水账目的功能。</w:t>
      </w:r>
    </w:p>
    <w:p>
      <w:pPr>
        <w:pStyle w:val="721"/>
        <w:numPr>
          <w:ilvl w:val="0"/>
          <w:numId w:val="64"/>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库存查询</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支持查看药品库存情况的功能。</w:t>
      </w:r>
    </w:p>
    <w:p>
      <w:pPr>
        <w:pStyle w:val="721"/>
        <w:numPr>
          <w:ilvl w:val="0"/>
          <w:numId w:val="64"/>
        </w:numPr>
        <w:ind w:left="900" w:firstLineChars="0"/>
        <w:rPr>
          <w:rFonts w:asciiTheme="minorEastAsia" w:hAnsiTheme="minorEastAsia" w:eastAsiaTheme="minorEastAsia"/>
          <w:b/>
          <w:bCs/>
          <w:highlight w:val="none"/>
        </w:rPr>
      </w:pPr>
      <w:r>
        <w:rPr>
          <w:rFonts w:hint="eastAsia" w:asciiTheme="minorEastAsia" w:hAnsiTheme="minorEastAsia" w:eastAsiaTheme="minorEastAsia"/>
          <w:b/>
          <w:bCs/>
          <w:highlight w:val="none"/>
        </w:rPr>
        <w:t>静配输液状态追踪</w:t>
      </w:r>
      <w:r>
        <w:rPr>
          <w:rFonts w:hint="eastAsia" w:asciiTheme="minorEastAsia" w:hAnsiTheme="minorEastAsia" w:eastAsiaTheme="minorEastAsia"/>
          <w:b/>
          <w:bCs/>
          <w:highlight w:val="none"/>
        </w:rPr>
        <w:tab/>
      </w:r>
    </w:p>
    <w:p>
      <w:pPr>
        <w:pStyle w:val="721"/>
        <w:numPr>
          <w:ilvl w:val="0"/>
          <w:numId w:val="23"/>
        </w:numPr>
        <w:ind w:left="611" w:hanging="131" w:firstLineChars="0"/>
        <w:rPr>
          <w:rFonts w:asciiTheme="minorEastAsia" w:hAnsiTheme="minorEastAsia" w:eastAsiaTheme="minorEastAsia"/>
          <w:highlight w:val="none"/>
        </w:rPr>
      </w:pPr>
      <w:r>
        <w:rPr>
          <w:rFonts w:hint="eastAsia" w:asciiTheme="minorEastAsia" w:hAnsiTheme="minorEastAsia" w:eastAsiaTheme="minorEastAsia"/>
          <w:highlight w:val="none"/>
        </w:rPr>
        <w:t>支持按病区、时间查看药品各个输液节点状态的功能。</w:t>
      </w:r>
    </w:p>
    <w:p>
      <w:pPr>
        <w:pStyle w:val="6"/>
        <w:ind w:firstLine="281"/>
        <w:rPr>
          <w:highlight w:val="none"/>
        </w:rPr>
      </w:pPr>
      <w:r>
        <w:rPr>
          <w:rFonts w:hint="eastAsia"/>
          <w:highlight w:val="none"/>
        </w:rPr>
        <w:t>报表中心</w:t>
      </w:r>
    </w:p>
    <w:p>
      <w:pPr>
        <w:pStyle w:val="721"/>
        <w:ind w:firstLine="480"/>
        <w:rPr>
          <w:szCs w:val="24"/>
          <w:highlight w:val="none"/>
        </w:rPr>
      </w:pPr>
      <w:r>
        <w:rPr>
          <w:rFonts w:hint="eastAsia"/>
          <w:szCs w:val="24"/>
          <w:highlight w:val="none"/>
        </w:rPr>
        <w:t>通过医院领导关键指标的支持，形成领导仪表盘；利用支撑各部门业务分析与统计，实现普通报表功能基础上，支持灵活的业务查询与分析；利用医疗辅助平台，辅助一线医护人员的日常工作；帮助信息管理人员梳理数据接口，提高数据质量并且保障数据安全；帮助提升医院管理水平与临床诊断，并提供动态智能化报警功能。</w:t>
      </w:r>
    </w:p>
    <w:p>
      <w:pPr>
        <w:pStyle w:val="721"/>
        <w:ind w:firstLine="0" w:firstLineChars="0"/>
        <w:rPr>
          <w:b/>
          <w:bCs/>
          <w:szCs w:val="24"/>
          <w:highlight w:val="none"/>
        </w:rPr>
      </w:pPr>
      <w:r>
        <w:rPr>
          <w:rFonts w:hint="eastAsia"/>
          <w:b/>
          <w:bCs/>
          <w:szCs w:val="24"/>
          <w:highlight w:val="none"/>
        </w:rPr>
        <w:t>功能要求：</w:t>
      </w:r>
    </w:p>
    <w:p>
      <w:pPr>
        <w:pStyle w:val="721"/>
        <w:numPr>
          <w:ilvl w:val="0"/>
          <w:numId w:val="65"/>
        </w:numPr>
        <w:ind w:firstLineChars="0"/>
        <w:rPr>
          <w:b/>
          <w:bCs/>
          <w:szCs w:val="24"/>
          <w:highlight w:val="none"/>
        </w:rPr>
      </w:pPr>
      <w:bookmarkStart w:id="24" w:name="_Toc31631893"/>
      <w:bookmarkStart w:id="25" w:name="_Toc379626583"/>
      <w:r>
        <w:rPr>
          <w:rFonts w:hint="eastAsia"/>
          <w:b/>
          <w:bCs/>
          <w:szCs w:val="24"/>
          <w:highlight w:val="none"/>
        </w:rPr>
        <w:t>总体运营分析</w:t>
      </w:r>
      <w:bookmarkEnd w:id="24"/>
      <w:bookmarkEnd w:id="25"/>
    </w:p>
    <w:p>
      <w:pPr>
        <w:pStyle w:val="721"/>
        <w:ind w:firstLine="480"/>
        <w:rPr>
          <w:szCs w:val="24"/>
          <w:highlight w:val="none"/>
        </w:rPr>
      </w:pPr>
      <w:r>
        <w:rPr>
          <w:rFonts w:hint="eastAsia"/>
          <w:szCs w:val="24"/>
          <w:highlight w:val="none"/>
        </w:rPr>
        <w:t>对医院的总体运营情况进行分析，帮助医院的管理者和相关部门，实时了解医院运营状态。总体运营分析会包括以下分析内容：</w:t>
      </w:r>
    </w:p>
    <w:p>
      <w:pPr>
        <w:pStyle w:val="267"/>
        <w:numPr>
          <w:ilvl w:val="0"/>
          <w:numId w:val="66"/>
        </w:numPr>
        <w:snapToGrid w:val="0"/>
        <w:ind w:firstLineChars="0"/>
        <w:jc w:val="left"/>
        <w:rPr>
          <w:rFonts w:ascii="宋体" w:hAnsi="宋体"/>
          <w:highlight w:val="none"/>
        </w:rPr>
      </w:pPr>
      <w:r>
        <w:rPr>
          <w:rFonts w:hint="eastAsia" w:ascii="宋体" w:hAnsi="宋体"/>
          <w:highlight w:val="none"/>
        </w:rPr>
        <w:t>医院主管领导仪表板（今日动态）</w:t>
      </w:r>
    </w:p>
    <w:p>
      <w:pPr>
        <w:pStyle w:val="267"/>
        <w:numPr>
          <w:ilvl w:val="0"/>
          <w:numId w:val="66"/>
        </w:numPr>
        <w:snapToGrid w:val="0"/>
        <w:ind w:firstLineChars="0"/>
        <w:jc w:val="left"/>
        <w:rPr>
          <w:rFonts w:ascii="宋体" w:hAnsi="宋体"/>
          <w:highlight w:val="none"/>
        </w:rPr>
      </w:pPr>
      <w:r>
        <w:rPr>
          <w:rFonts w:hint="eastAsia" w:ascii="宋体" w:hAnsi="宋体"/>
          <w:highlight w:val="none"/>
        </w:rPr>
        <w:t>月度分析</w:t>
      </w:r>
    </w:p>
    <w:p>
      <w:pPr>
        <w:pStyle w:val="267"/>
        <w:numPr>
          <w:ilvl w:val="0"/>
          <w:numId w:val="66"/>
        </w:numPr>
        <w:snapToGrid w:val="0"/>
        <w:ind w:firstLineChars="0"/>
        <w:jc w:val="left"/>
        <w:rPr>
          <w:rFonts w:ascii="宋体" w:hAnsi="宋体"/>
          <w:highlight w:val="none"/>
        </w:rPr>
      </w:pPr>
      <w:r>
        <w:rPr>
          <w:rFonts w:hint="eastAsia" w:ascii="宋体" w:hAnsi="宋体"/>
          <w:highlight w:val="none"/>
        </w:rPr>
        <w:t>年度分析</w:t>
      </w:r>
    </w:p>
    <w:p>
      <w:pPr>
        <w:pStyle w:val="721"/>
        <w:numPr>
          <w:ilvl w:val="0"/>
          <w:numId w:val="65"/>
        </w:numPr>
        <w:ind w:firstLineChars="0"/>
        <w:rPr>
          <w:b/>
          <w:bCs/>
          <w:szCs w:val="24"/>
          <w:highlight w:val="none"/>
        </w:rPr>
      </w:pPr>
      <w:bookmarkStart w:id="26" w:name="_Toc31631897"/>
      <w:r>
        <w:rPr>
          <w:rFonts w:hint="eastAsia"/>
          <w:b/>
          <w:bCs/>
          <w:szCs w:val="24"/>
          <w:highlight w:val="none"/>
        </w:rPr>
        <w:t>住院业务分析</w:t>
      </w:r>
      <w:bookmarkEnd w:id="26"/>
    </w:p>
    <w:p>
      <w:pPr>
        <w:pStyle w:val="721"/>
        <w:ind w:firstLine="480"/>
        <w:rPr>
          <w:szCs w:val="24"/>
          <w:highlight w:val="none"/>
        </w:rPr>
      </w:pPr>
      <w:r>
        <w:rPr>
          <w:rFonts w:hint="eastAsia"/>
          <w:szCs w:val="24"/>
          <w:highlight w:val="none"/>
        </w:rPr>
        <w:t>从住院科室/医生/护士工作量，住院手术，用药情况，临床路径，费用信息分析住院情况，为住院绩效和规范提供分析和决策依据。主要要点：患者安全分析，住院病人费用结构分析，住院用药情况分析，住院工作量统计分析。如进行：</w:t>
      </w:r>
    </w:p>
    <w:p>
      <w:pPr>
        <w:pStyle w:val="267"/>
        <w:numPr>
          <w:ilvl w:val="0"/>
          <w:numId w:val="66"/>
        </w:numPr>
        <w:snapToGrid w:val="0"/>
        <w:ind w:firstLineChars="0"/>
        <w:jc w:val="left"/>
        <w:rPr>
          <w:rFonts w:ascii="宋体" w:hAnsi="宋体"/>
          <w:highlight w:val="none"/>
        </w:rPr>
      </w:pPr>
      <w:r>
        <w:rPr>
          <w:rFonts w:hint="eastAsia" w:ascii="宋体" w:hAnsi="宋体"/>
          <w:highlight w:val="none"/>
        </w:rPr>
        <w:t>住院费用分析</w:t>
      </w:r>
    </w:p>
    <w:p>
      <w:pPr>
        <w:pStyle w:val="267"/>
        <w:numPr>
          <w:ilvl w:val="0"/>
          <w:numId w:val="66"/>
        </w:numPr>
        <w:snapToGrid w:val="0"/>
        <w:ind w:firstLineChars="0"/>
        <w:jc w:val="left"/>
        <w:rPr>
          <w:rFonts w:ascii="宋体" w:hAnsi="宋体"/>
          <w:highlight w:val="none"/>
        </w:rPr>
      </w:pPr>
      <w:r>
        <w:rPr>
          <w:rFonts w:hint="eastAsia" w:ascii="宋体" w:hAnsi="宋体"/>
          <w:highlight w:val="none"/>
        </w:rPr>
        <w:t>住院年度/月度分析</w:t>
      </w:r>
    </w:p>
    <w:p>
      <w:pPr>
        <w:pStyle w:val="267"/>
        <w:numPr>
          <w:ilvl w:val="0"/>
          <w:numId w:val="66"/>
        </w:numPr>
        <w:snapToGrid w:val="0"/>
        <w:ind w:firstLineChars="0"/>
        <w:jc w:val="left"/>
        <w:rPr>
          <w:rFonts w:ascii="宋体" w:hAnsi="宋体"/>
          <w:highlight w:val="none"/>
        </w:rPr>
      </w:pPr>
      <w:r>
        <w:rPr>
          <w:rFonts w:hint="eastAsia" w:ascii="宋体" w:hAnsi="宋体"/>
          <w:highlight w:val="none"/>
        </w:rPr>
        <w:t>住院病人分析</w:t>
      </w:r>
    </w:p>
    <w:p>
      <w:pPr>
        <w:pStyle w:val="721"/>
        <w:numPr>
          <w:ilvl w:val="0"/>
          <w:numId w:val="65"/>
        </w:numPr>
        <w:ind w:firstLineChars="0"/>
        <w:rPr>
          <w:b/>
          <w:bCs/>
          <w:szCs w:val="24"/>
          <w:highlight w:val="none"/>
        </w:rPr>
      </w:pPr>
      <w:bookmarkStart w:id="27" w:name="_Toc31631898"/>
      <w:r>
        <w:rPr>
          <w:rFonts w:hint="eastAsia"/>
          <w:b/>
          <w:bCs/>
          <w:szCs w:val="24"/>
          <w:highlight w:val="none"/>
        </w:rPr>
        <w:t>门诊业务分析</w:t>
      </w:r>
      <w:bookmarkEnd w:id="27"/>
    </w:p>
    <w:p>
      <w:pPr>
        <w:snapToGrid w:val="0"/>
        <w:ind w:firstLine="480" w:firstLineChars="200"/>
        <w:rPr>
          <w:rFonts w:ascii="宋体" w:hAnsi="宋体"/>
          <w:sz w:val="24"/>
          <w:highlight w:val="none"/>
        </w:rPr>
      </w:pPr>
      <w:r>
        <w:rPr>
          <w:rFonts w:hint="eastAsia" w:ascii="宋体" w:hAnsi="宋体"/>
          <w:sz w:val="24"/>
          <w:highlight w:val="none"/>
        </w:rPr>
        <w:t>从科室/医生/护士工作量，年/月度分析、费用信息、人次分析门诊情况。为优化门诊流程、考核绩效提供分析和决策依据。主要要点：就诊病人分析，就诊时间趋势闭环分析，门诊用药情况分析，门诊工作量统计分析。如：</w:t>
      </w:r>
    </w:p>
    <w:p>
      <w:pPr>
        <w:pStyle w:val="267"/>
        <w:numPr>
          <w:ilvl w:val="0"/>
          <w:numId w:val="66"/>
        </w:numPr>
        <w:snapToGrid w:val="0"/>
        <w:ind w:firstLineChars="0"/>
        <w:jc w:val="left"/>
        <w:rPr>
          <w:rFonts w:ascii="宋体" w:hAnsi="宋体"/>
          <w:highlight w:val="none"/>
        </w:rPr>
      </w:pPr>
      <w:r>
        <w:rPr>
          <w:rFonts w:hint="eastAsia" w:ascii="宋体" w:hAnsi="宋体"/>
          <w:highlight w:val="none"/>
        </w:rPr>
        <w:t>门诊费用分析</w:t>
      </w:r>
    </w:p>
    <w:p>
      <w:pPr>
        <w:pStyle w:val="267"/>
        <w:numPr>
          <w:ilvl w:val="0"/>
          <w:numId w:val="66"/>
        </w:numPr>
        <w:snapToGrid w:val="0"/>
        <w:ind w:firstLineChars="0"/>
        <w:jc w:val="left"/>
        <w:rPr>
          <w:rFonts w:ascii="宋体" w:hAnsi="宋体"/>
          <w:highlight w:val="none"/>
        </w:rPr>
      </w:pPr>
      <w:r>
        <w:rPr>
          <w:rFonts w:hint="eastAsia" w:ascii="宋体" w:hAnsi="宋体"/>
          <w:highlight w:val="none"/>
        </w:rPr>
        <w:t>门诊年度/月度分析</w:t>
      </w:r>
    </w:p>
    <w:p>
      <w:pPr>
        <w:pStyle w:val="267"/>
        <w:numPr>
          <w:ilvl w:val="0"/>
          <w:numId w:val="66"/>
        </w:numPr>
        <w:snapToGrid w:val="0"/>
        <w:ind w:firstLineChars="0"/>
        <w:jc w:val="left"/>
        <w:rPr>
          <w:rFonts w:ascii="宋体" w:hAnsi="宋体"/>
          <w:highlight w:val="none"/>
        </w:rPr>
      </w:pPr>
      <w:r>
        <w:rPr>
          <w:rFonts w:hint="eastAsia" w:ascii="宋体" w:hAnsi="宋体"/>
          <w:highlight w:val="none"/>
        </w:rPr>
        <w:t>门诊效率分析</w:t>
      </w:r>
    </w:p>
    <w:p>
      <w:pPr>
        <w:pStyle w:val="5"/>
        <w:rPr>
          <w:highlight w:val="none"/>
        </w:rPr>
      </w:pPr>
      <w:r>
        <w:rPr>
          <w:rFonts w:hint="eastAsia"/>
          <w:highlight w:val="none"/>
        </w:rPr>
        <w:t>医共体成员</w:t>
      </w:r>
    </w:p>
    <w:p>
      <w:pPr>
        <w:pStyle w:val="6"/>
        <w:rPr>
          <w:highlight w:val="none"/>
        </w:rPr>
      </w:pPr>
      <w:r>
        <w:rPr>
          <w:rFonts w:hint="eastAsia"/>
          <w:highlight w:val="none"/>
        </w:rPr>
        <w:t>北部分院信息一体化建设</w:t>
      </w:r>
    </w:p>
    <w:p>
      <w:pPr>
        <w:pStyle w:val="721"/>
        <w:ind w:firstLine="480"/>
        <w:rPr>
          <w:szCs w:val="24"/>
          <w:highlight w:val="none"/>
        </w:rPr>
      </w:pPr>
      <w:r>
        <w:rPr>
          <w:rFonts w:hint="eastAsia"/>
          <w:szCs w:val="24"/>
          <w:highlight w:val="none"/>
        </w:rPr>
        <w:t>实现本院信息系统（HIS、集成平台）直接以多院区的形式扩展至嘉善二院使用。</w:t>
      </w:r>
    </w:p>
    <w:p>
      <w:pPr>
        <w:pStyle w:val="721"/>
        <w:ind w:firstLine="480"/>
        <w:rPr>
          <w:szCs w:val="24"/>
          <w:highlight w:val="none"/>
        </w:rPr>
      </w:pPr>
      <w:r>
        <w:rPr>
          <w:rFonts w:hint="eastAsia"/>
          <w:szCs w:val="24"/>
          <w:highlight w:val="none"/>
        </w:rPr>
        <w:t>本次项目建设的信息系统涉及两个院区交互，为一体化设计，最终交付的产品要求能在两个院区实施上线，且满足医院集中一体化管理的模式。</w:t>
      </w:r>
    </w:p>
    <w:p>
      <w:pPr>
        <w:pStyle w:val="721"/>
        <w:ind w:firstLine="480"/>
        <w:rPr>
          <w:szCs w:val="24"/>
          <w:highlight w:val="none"/>
        </w:rPr>
      </w:pPr>
      <w:r>
        <w:rPr>
          <w:rFonts w:hint="eastAsia"/>
          <w:szCs w:val="24"/>
          <w:highlight w:val="none"/>
        </w:rPr>
        <w:t>为确保系统上线后，两个院区和今后可能拓展托管的其他院区基础数据的一致性，数据的标准化管理主要包括如下几个方面：基础数据字典，基础码表，诊疗项目，药品，材料、机构、人员等基本信息的统一性；全院系统用户信息的统一性，系统用户统一管理，单点登录，统一授权和认证等统一性；全院患者信息的统一性，包括患者信息的唯一标识等统一性；全院支付的统一性，在“一院两区”层面实现集中支付。另一方面，由于全院的业务包括门急诊业务，收费管理，住院管理，药库药房管理，预约业务等都可以在各院区使用。因此本项目将系统的开发分为三个部分，分别完成平台层面和院区业务层面的开发，三个部分划分如下：</w:t>
      </w:r>
    </w:p>
    <w:p>
      <w:pPr>
        <w:pStyle w:val="721"/>
        <w:ind w:firstLine="480"/>
        <w:rPr>
          <w:szCs w:val="24"/>
          <w:highlight w:val="none"/>
        </w:rPr>
      </w:pPr>
      <w:r>
        <w:rPr>
          <w:rFonts w:hint="eastAsia"/>
          <w:szCs w:val="24"/>
          <w:highlight w:val="none"/>
        </w:rPr>
        <w:t>集成平台多院区改造：原有的信息集成平台ESB服务为单节点部署，只支持第一人民医院现有的业务系统交互，为满足后续多院区发展需求，本次项目需要对信息集成平台做适配性改造，扩展多节点部署，统一多院区数据对接标准化，配置环境变量完成多院区部署。</w:t>
      </w:r>
    </w:p>
    <w:p>
      <w:pPr>
        <w:pStyle w:val="721"/>
        <w:ind w:firstLine="480"/>
        <w:rPr>
          <w:szCs w:val="24"/>
          <w:highlight w:val="none"/>
        </w:rPr>
      </w:pPr>
      <w:r>
        <w:rPr>
          <w:rFonts w:hint="eastAsia"/>
          <w:szCs w:val="24"/>
          <w:highlight w:val="none"/>
        </w:rPr>
        <w:t>HIS系统嘉善二院部署及新业务功能开发：现有的HIS系统为单院区的运行模式，为了更好的提高医疗效率，改善用户体验，本次项目需要对现有HIS信息系统进行多院区适配性改造。满足后续多院区医院发展需求，及一体化大方向，本次项目需要对HIS系统进行迭代升级，同时要求升级迭代后的系统满足“一院多区”的运行模式。</w:t>
      </w:r>
    </w:p>
    <w:p>
      <w:pPr>
        <w:pStyle w:val="721"/>
        <w:ind w:firstLine="480"/>
        <w:rPr>
          <w:b/>
          <w:bCs/>
          <w:szCs w:val="24"/>
          <w:highlight w:val="none"/>
        </w:rPr>
      </w:pPr>
      <w:r>
        <w:rPr>
          <w:rFonts w:hint="eastAsia"/>
          <w:b/>
          <w:bCs/>
          <w:szCs w:val="24"/>
          <w:highlight w:val="none"/>
        </w:rPr>
        <w:t>北部分院移动护理系统</w:t>
      </w:r>
    </w:p>
    <w:p>
      <w:pPr>
        <w:pStyle w:val="721"/>
        <w:ind w:firstLine="480"/>
        <w:rPr>
          <w:szCs w:val="24"/>
          <w:highlight w:val="none"/>
        </w:rPr>
      </w:pPr>
      <w:r>
        <w:rPr>
          <w:rFonts w:hint="eastAsia"/>
          <w:szCs w:val="24"/>
          <w:highlight w:val="none"/>
        </w:rPr>
        <w:t>北部分院移动护理需支持：</w:t>
      </w:r>
    </w:p>
    <w:p>
      <w:pPr>
        <w:pStyle w:val="721"/>
        <w:numPr>
          <w:ilvl w:val="0"/>
          <w:numId w:val="67"/>
        </w:numPr>
        <w:ind w:left="900" w:firstLineChars="0"/>
        <w:rPr>
          <w:b/>
          <w:szCs w:val="24"/>
          <w:highlight w:val="none"/>
        </w:rPr>
      </w:pPr>
      <w:r>
        <w:rPr>
          <w:rFonts w:hint="eastAsia"/>
          <w:b/>
          <w:szCs w:val="24"/>
          <w:highlight w:val="none"/>
        </w:rPr>
        <w:t>患者管理</w:t>
      </w:r>
      <w:r>
        <w:rPr>
          <w:rFonts w:hint="eastAsia"/>
          <w:b/>
          <w:szCs w:val="24"/>
          <w:highlight w:val="none"/>
        </w:rPr>
        <w:tab/>
      </w:r>
    </w:p>
    <w:p>
      <w:pPr>
        <w:pStyle w:val="721"/>
        <w:numPr>
          <w:ilvl w:val="0"/>
          <w:numId w:val="68"/>
        </w:numPr>
        <w:ind w:left="900" w:firstLineChars="0"/>
        <w:rPr>
          <w:b/>
          <w:bCs/>
          <w:szCs w:val="24"/>
          <w:highlight w:val="none"/>
        </w:rPr>
      </w:pPr>
      <w:r>
        <w:rPr>
          <w:rFonts w:hint="eastAsia"/>
          <w:b/>
          <w:bCs/>
          <w:szCs w:val="24"/>
          <w:highlight w:val="none"/>
        </w:rPr>
        <w:t>床位牌</w:t>
      </w:r>
      <w:r>
        <w:rPr>
          <w:rFonts w:hint="eastAsia"/>
          <w:b/>
          <w:bCs/>
          <w:szCs w:val="24"/>
          <w:highlight w:val="none"/>
        </w:rPr>
        <w:tab/>
      </w:r>
    </w:p>
    <w:p>
      <w:pPr>
        <w:pStyle w:val="721"/>
        <w:numPr>
          <w:ilvl w:val="0"/>
          <w:numId w:val="69"/>
        </w:numPr>
        <w:ind w:left="420" w:firstLine="480"/>
        <w:rPr>
          <w:szCs w:val="24"/>
          <w:highlight w:val="none"/>
        </w:rPr>
      </w:pPr>
      <w:r>
        <w:rPr>
          <w:rFonts w:hint="eastAsia"/>
          <w:szCs w:val="24"/>
          <w:highlight w:val="none"/>
        </w:rPr>
        <w:t>在病区床位上显示患者的各类信息</w:t>
      </w:r>
    </w:p>
    <w:p>
      <w:pPr>
        <w:pStyle w:val="721"/>
        <w:numPr>
          <w:ilvl w:val="0"/>
          <w:numId w:val="68"/>
        </w:numPr>
        <w:ind w:left="900" w:firstLineChars="0"/>
        <w:rPr>
          <w:b/>
          <w:bCs/>
          <w:szCs w:val="24"/>
          <w:highlight w:val="none"/>
        </w:rPr>
      </w:pPr>
      <w:r>
        <w:rPr>
          <w:rFonts w:hint="eastAsia"/>
          <w:b/>
          <w:bCs/>
          <w:szCs w:val="24"/>
          <w:highlight w:val="none"/>
        </w:rPr>
        <w:t>患者分组管理</w:t>
      </w:r>
      <w:r>
        <w:rPr>
          <w:rFonts w:hint="eastAsia"/>
          <w:b/>
          <w:bCs/>
          <w:szCs w:val="24"/>
          <w:highlight w:val="none"/>
        </w:rPr>
        <w:tab/>
      </w:r>
    </w:p>
    <w:p>
      <w:pPr>
        <w:pStyle w:val="721"/>
        <w:numPr>
          <w:ilvl w:val="0"/>
          <w:numId w:val="69"/>
        </w:numPr>
        <w:ind w:left="420" w:firstLine="480"/>
        <w:rPr>
          <w:szCs w:val="24"/>
          <w:highlight w:val="none"/>
        </w:rPr>
      </w:pPr>
      <w:r>
        <w:rPr>
          <w:rFonts w:hint="eastAsia"/>
          <w:szCs w:val="24"/>
          <w:highlight w:val="none"/>
        </w:rPr>
        <w:t>将本病区病人分配给相应责任护士</w:t>
      </w:r>
    </w:p>
    <w:p>
      <w:pPr>
        <w:pStyle w:val="721"/>
        <w:numPr>
          <w:ilvl w:val="0"/>
          <w:numId w:val="68"/>
        </w:numPr>
        <w:ind w:left="900" w:firstLineChars="0"/>
        <w:rPr>
          <w:b/>
          <w:bCs/>
          <w:szCs w:val="24"/>
          <w:highlight w:val="none"/>
        </w:rPr>
      </w:pPr>
      <w:r>
        <w:rPr>
          <w:rFonts w:hint="eastAsia"/>
          <w:b/>
          <w:bCs/>
          <w:szCs w:val="24"/>
          <w:highlight w:val="none"/>
        </w:rPr>
        <w:t>入科</w:t>
      </w:r>
      <w:r>
        <w:rPr>
          <w:rFonts w:hint="eastAsia"/>
          <w:b/>
          <w:bCs/>
          <w:szCs w:val="24"/>
          <w:highlight w:val="none"/>
        </w:rPr>
        <w:tab/>
      </w:r>
    </w:p>
    <w:p>
      <w:pPr>
        <w:pStyle w:val="721"/>
        <w:numPr>
          <w:ilvl w:val="0"/>
          <w:numId w:val="69"/>
        </w:numPr>
        <w:ind w:left="420" w:firstLine="480"/>
        <w:rPr>
          <w:szCs w:val="24"/>
          <w:highlight w:val="none"/>
        </w:rPr>
      </w:pPr>
      <w:r>
        <w:rPr>
          <w:rFonts w:hint="eastAsia"/>
          <w:szCs w:val="24"/>
          <w:highlight w:val="none"/>
        </w:rPr>
        <w:t>为新入院患者办理入科操作</w:t>
      </w:r>
    </w:p>
    <w:p>
      <w:pPr>
        <w:pStyle w:val="721"/>
        <w:numPr>
          <w:ilvl w:val="0"/>
          <w:numId w:val="68"/>
        </w:numPr>
        <w:ind w:left="900" w:firstLineChars="0"/>
        <w:rPr>
          <w:b/>
          <w:bCs/>
          <w:szCs w:val="24"/>
          <w:highlight w:val="none"/>
        </w:rPr>
      </w:pPr>
      <w:r>
        <w:rPr>
          <w:rFonts w:hint="eastAsia"/>
          <w:b/>
          <w:bCs/>
          <w:szCs w:val="24"/>
          <w:highlight w:val="none"/>
        </w:rPr>
        <w:t>转科</w:t>
      </w:r>
      <w:r>
        <w:rPr>
          <w:rFonts w:hint="eastAsia"/>
          <w:b/>
          <w:bCs/>
          <w:szCs w:val="24"/>
          <w:highlight w:val="none"/>
        </w:rPr>
        <w:tab/>
      </w:r>
    </w:p>
    <w:p>
      <w:pPr>
        <w:pStyle w:val="721"/>
        <w:numPr>
          <w:ilvl w:val="0"/>
          <w:numId w:val="69"/>
        </w:numPr>
        <w:ind w:left="420" w:firstLine="480"/>
        <w:rPr>
          <w:szCs w:val="24"/>
          <w:highlight w:val="none"/>
        </w:rPr>
      </w:pPr>
      <w:r>
        <w:rPr>
          <w:rFonts w:hint="eastAsia"/>
          <w:szCs w:val="24"/>
          <w:highlight w:val="none"/>
        </w:rPr>
        <w:t>为患者办理转科操作</w:t>
      </w:r>
    </w:p>
    <w:p>
      <w:pPr>
        <w:pStyle w:val="721"/>
        <w:numPr>
          <w:ilvl w:val="0"/>
          <w:numId w:val="68"/>
        </w:numPr>
        <w:ind w:left="900" w:firstLineChars="0"/>
        <w:rPr>
          <w:b/>
          <w:bCs/>
          <w:szCs w:val="24"/>
          <w:highlight w:val="none"/>
        </w:rPr>
      </w:pPr>
      <w:r>
        <w:rPr>
          <w:rFonts w:hint="eastAsia"/>
          <w:b/>
          <w:bCs/>
          <w:szCs w:val="24"/>
          <w:highlight w:val="none"/>
        </w:rPr>
        <w:t>患者概览</w:t>
      </w:r>
      <w:r>
        <w:rPr>
          <w:rFonts w:hint="eastAsia"/>
          <w:b/>
          <w:bCs/>
          <w:szCs w:val="24"/>
          <w:highlight w:val="none"/>
        </w:rPr>
        <w:tab/>
      </w:r>
    </w:p>
    <w:p>
      <w:pPr>
        <w:pStyle w:val="721"/>
        <w:numPr>
          <w:ilvl w:val="0"/>
          <w:numId w:val="69"/>
        </w:numPr>
        <w:ind w:left="420" w:firstLine="480"/>
        <w:rPr>
          <w:szCs w:val="24"/>
          <w:highlight w:val="none"/>
        </w:rPr>
      </w:pPr>
      <w:r>
        <w:rPr>
          <w:rFonts w:hint="eastAsia"/>
          <w:szCs w:val="24"/>
          <w:highlight w:val="none"/>
        </w:rPr>
        <w:t>将患者整个诊疗过程进行动态展示，并生成工作任务及各项重要体征评估信息</w:t>
      </w:r>
    </w:p>
    <w:p>
      <w:pPr>
        <w:pStyle w:val="721"/>
        <w:numPr>
          <w:ilvl w:val="0"/>
          <w:numId w:val="67"/>
        </w:numPr>
        <w:ind w:left="900" w:firstLineChars="0"/>
        <w:rPr>
          <w:b/>
          <w:szCs w:val="24"/>
          <w:highlight w:val="none"/>
        </w:rPr>
      </w:pPr>
      <w:r>
        <w:rPr>
          <w:rFonts w:hint="eastAsia"/>
          <w:b/>
          <w:szCs w:val="24"/>
          <w:highlight w:val="none"/>
        </w:rPr>
        <w:t>非静配闭环</w:t>
      </w:r>
    </w:p>
    <w:p>
      <w:pPr>
        <w:pStyle w:val="721"/>
        <w:numPr>
          <w:ilvl w:val="0"/>
          <w:numId w:val="70"/>
        </w:numPr>
        <w:ind w:left="900" w:firstLineChars="0"/>
        <w:rPr>
          <w:b/>
          <w:bCs/>
          <w:szCs w:val="24"/>
          <w:highlight w:val="none"/>
        </w:rPr>
      </w:pPr>
      <w:r>
        <w:rPr>
          <w:rFonts w:hint="eastAsia"/>
          <w:b/>
          <w:bCs/>
          <w:szCs w:val="24"/>
          <w:highlight w:val="none"/>
        </w:rPr>
        <w:t>输液收药核对</w:t>
      </w:r>
      <w:r>
        <w:rPr>
          <w:rFonts w:hint="eastAsia"/>
          <w:b/>
          <w:bCs/>
          <w:szCs w:val="24"/>
          <w:highlight w:val="none"/>
        </w:rPr>
        <w:tab/>
      </w:r>
    </w:p>
    <w:p>
      <w:pPr>
        <w:pStyle w:val="721"/>
        <w:numPr>
          <w:ilvl w:val="0"/>
          <w:numId w:val="71"/>
        </w:numPr>
        <w:ind w:left="420" w:firstLine="480"/>
        <w:rPr>
          <w:szCs w:val="24"/>
          <w:highlight w:val="none"/>
        </w:rPr>
      </w:pPr>
      <w:r>
        <w:rPr>
          <w:rFonts w:hint="eastAsia"/>
          <w:szCs w:val="24"/>
          <w:highlight w:val="none"/>
        </w:rPr>
        <w:t>护士对患者输液用药成组药品的扫描</w:t>
      </w:r>
    </w:p>
    <w:p>
      <w:pPr>
        <w:pStyle w:val="721"/>
        <w:numPr>
          <w:ilvl w:val="0"/>
          <w:numId w:val="70"/>
        </w:numPr>
        <w:ind w:left="900" w:firstLineChars="0"/>
        <w:rPr>
          <w:b/>
          <w:bCs/>
          <w:szCs w:val="24"/>
          <w:highlight w:val="none"/>
        </w:rPr>
      </w:pPr>
      <w:r>
        <w:rPr>
          <w:rFonts w:hint="eastAsia"/>
          <w:b/>
          <w:bCs/>
          <w:szCs w:val="24"/>
          <w:highlight w:val="none"/>
        </w:rPr>
        <w:t>输液配药扫描</w:t>
      </w:r>
    </w:p>
    <w:p>
      <w:pPr>
        <w:pStyle w:val="721"/>
        <w:numPr>
          <w:ilvl w:val="0"/>
          <w:numId w:val="71"/>
        </w:numPr>
        <w:ind w:left="420" w:firstLine="480"/>
        <w:rPr>
          <w:szCs w:val="24"/>
          <w:highlight w:val="none"/>
        </w:rPr>
      </w:pPr>
      <w:r>
        <w:rPr>
          <w:rFonts w:hint="eastAsia"/>
          <w:szCs w:val="24"/>
          <w:highlight w:val="none"/>
        </w:rPr>
        <w:t>输液配药的扫描操作</w:t>
      </w:r>
    </w:p>
    <w:p>
      <w:pPr>
        <w:pStyle w:val="721"/>
        <w:numPr>
          <w:ilvl w:val="0"/>
          <w:numId w:val="70"/>
        </w:numPr>
        <w:ind w:left="900" w:firstLineChars="0"/>
        <w:rPr>
          <w:b/>
          <w:bCs/>
          <w:szCs w:val="24"/>
          <w:highlight w:val="none"/>
        </w:rPr>
      </w:pPr>
      <w:r>
        <w:rPr>
          <w:rFonts w:hint="eastAsia"/>
          <w:b/>
          <w:bCs/>
          <w:szCs w:val="24"/>
          <w:highlight w:val="none"/>
        </w:rPr>
        <w:t>输液复核扫描</w:t>
      </w:r>
    </w:p>
    <w:p>
      <w:pPr>
        <w:pStyle w:val="721"/>
        <w:numPr>
          <w:ilvl w:val="0"/>
          <w:numId w:val="71"/>
        </w:numPr>
        <w:ind w:left="420" w:firstLine="480"/>
        <w:rPr>
          <w:szCs w:val="24"/>
          <w:highlight w:val="none"/>
        </w:rPr>
      </w:pPr>
      <w:r>
        <w:rPr>
          <w:rFonts w:hint="eastAsia"/>
          <w:szCs w:val="24"/>
          <w:highlight w:val="none"/>
        </w:rPr>
        <w:t>输液配药的复核扫描操作</w:t>
      </w:r>
    </w:p>
    <w:p>
      <w:pPr>
        <w:pStyle w:val="721"/>
        <w:numPr>
          <w:ilvl w:val="0"/>
          <w:numId w:val="70"/>
        </w:numPr>
        <w:ind w:left="900" w:firstLineChars="0"/>
        <w:rPr>
          <w:b/>
          <w:bCs/>
          <w:szCs w:val="24"/>
          <w:highlight w:val="none"/>
        </w:rPr>
      </w:pPr>
      <w:r>
        <w:rPr>
          <w:rFonts w:hint="eastAsia"/>
          <w:b/>
          <w:bCs/>
          <w:szCs w:val="24"/>
          <w:highlight w:val="none"/>
        </w:rPr>
        <w:t>输液执行核对</w:t>
      </w:r>
      <w:r>
        <w:rPr>
          <w:rFonts w:hint="eastAsia"/>
          <w:b/>
          <w:bCs/>
          <w:szCs w:val="24"/>
          <w:highlight w:val="none"/>
        </w:rPr>
        <w:tab/>
      </w:r>
    </w:p>
    <w:p>
      <w:pPr>
        <w:pStyle w:val="721"/>
        <w:numPr>
          <w:ilvl w:val="0"/>
          <w:numId w:val="71"/>
        </w:numPr>
        <w:ind w:left="420" w:firstLine="480"/>
        <w:rPr>
          <w:szCs w:val="24"/>
          <w:highlight w:val="none"/>
        </w:rPr>
      </w:pPr>
      <w:r>
        <w:rPr>
          <w:rFonts w:hint="eastAsia"/>
          <w:szCs w:val="24"/>
          <w:highlight w:val="none"/>
        </w:rPr>
        <w:t>护理人员在输液类医嘱执行前首先扫描患者腕带条码，再扫描输液瓶签上的条码，当两者匹配后继续用药（同时记录用药时间和用药人）；如不匹配进行提醒</w:t>
      </w:r>
    </w:p>
    <w:p>
      <w:pPr>
        <w:pStyle w:val="721"/>
        <w:numPr>
          <w:ilvl w:val="0"/>
          <w:numId w:val="70"/>
        </w:numPr>
        <w:ind w:left="900" w:firstLineChars="0"/>
        <w:rPr>
          <w:b/>
          <w:bCs/>
          <w:szCs w:val="24"/>
          <w:highlight w:val="none"/>
        </w:rPr>
      </w:pPr>
      <w:r>
        <w:rPr>
          <w:rFonts w:hint="eastAsia"/>
          <w:b/>
          <w:bCs/>
          <w:szCs w:val="24"/>
          <w:highlight w:val="none"/>
        </w:rPr>
        <w:t>医嘱执行巡视</w:t>
      </w:r>
    </w:p>
    <w:p>
      <w:pPr>
        <w:pStyle w:val="721"/>
        <w:numPr>
          <w:ilvl w:val="0"/>
          <w:numId w:val="71"/>
        </w:numPr>
        <w:ind w:left="420" w:firstLine="480"/>
        <w:rPr>
          <w:szCs w:val="24"/>
          <w:highlight w:val="none"/>
        </w:rPr>
      </w:pPr>
      <w:r>
        <w:rPr>
          <w:rFonts w:hint="eastAsia"/>
          <w:szCs w:val="24"/>
          <w:highlight w:val="none"/>
        </w:rPr>
        <w:t>对执行用药患者情况的查看及一般情况的基本操作，包括暂停，继续，终止，录入滴速和异常情况</w:t>
      </w:r>
    </w:p>
    <w:p>
      <w:pPr>
        <w:pStyle w:val="721"/>
        <w:numPr>
          <w:ilvl w:val="0"/>
          <w:numId w:val="67"/>
        </w:numPr>
        <w:ind w:left="900" w:firstLineChars="0"/>
        <w:rPr>
          <w:b/>
          <w:szCs w:val="24"/>
          <w:highlight w:val="none"/>
        </w:rPr>
      </w:pPr>
      <w:r>
        <w:rPr>
          <w:rFonts w:hint="eastAsia"/>
          <w:b/>
          <w:szCs w:val="24"/>
          <w:highlight w:val="none"/>
        </w:rPr>
        <w:t>静配输液闭环</w:t>
      </w:r>
    </w:p>
    <w:p>
      <w:pPr>
        <w:pStyle w:val="721"/>
        <w:numPr>
          <w:ilvl w:val="0"/>
          <w:numId w:val="72"/>
        </w:numPr>
        <w:ind w:left="900" w:firstLineChars="0"/>
        <w:rPr>
          <w:b/>
          <w:bCs/>
          <w:szCs w:val="24"/>
          <w:highlight w:val="none"/>
        </w:rPr>
      </w:pPr>
      <w:r>
        <w:rPr>
          <w:rFonts w:hint="eastAsia"/>
          <w:b/>
          <w:bCs/>
          <w:szCs w:val="24"/>
          <w:highlight w:val="none"/>
        </w:rPr>
        <w:t>病区收药</w:t>
      </w:r>
      <w:r>
        <w:rPr>
          <w:rFonts w:hint="eastAsia"/>
          <w:b/>
          <w:bCs/>
          <w:szCs w:val="24"/>
          <w:highlight w:val="none"/>
        </w:rPr>
        <w:tab/>
      </w:r>
    </w:p>
    <w:p>
      <w:pPr>
        <w:pStyle w:val="721"/>
        <w:numPr>
          <w:ilvl w:val="0"/>
          <w:numId w:val="73"/>
        </w:numPr>
        <w:ind w:left="420" w:firstLine="480"/>
        <w:rPr>
          <w:szCs w:val="24"/>
          <w:highlight w:val="none"/>
        </w:rPr>
      </w:pPr>
      <w:r>
        <w:rPr>
          <w:rFonts w:hint="eastAsia"/>
          <w:szCs w:val="24"/>
          <w:highlight w:val="none"/>
        </w:rPr>
        <w:t>静配中心配药的模式中，病区按静配中心配送批次接收药品，并记录接收批次、批次实际药品总数、接收人、接收时间</w:t>
      </w:r>
    </w:p>
    <w:p>
      <w:pPr>
        <w:pStyle w:val="721"/>
        <w:numPr>
          <w:ilvl w:val="0"/>
          <w:numId w:val="72"/>
        </w:numPr>
        <w:ind w:left="900" w:firstLineChars="0"/>
        <w:rPr>
          <w:b/>
          <w:bCs/>
          <w:szCs w:val="24"/>
          <w:highlight w:val="none"/>
        </w:rPr>
      </w:pPr>
      <w:r>
        <w:rPr>
          <w:rFonts w:hint="eastAsia"/>
          <w:b/>
          <w:bCs/>
          <w:szCs w:val="24"/>
          <w:highlight w:val="none"/>
        </w:rPr>
        <w:t>输液用药执行</w:t>
      </w:r>
      <w:r>
        <w:rPr>
          <w:rFonts w:hint="eastAsia"/>
          <w:b/>
          <w:bCs/>
          <w:szCs w:val="24"/>
          <w:highlight w:val="none"/>
        </w:rPr>
        <w:tab/>
      </w:r>
    </w:p>
    <w:p>
      <w:pPr>
        <w:pStyle w:val="721"/>
        <w:numPr>
          <w:ilvl w:val="0"/>
          <w:numId w:val="73"/>
        </w:numPr>
        <w:ind w:left="420" w:firstLine="480"/>
        <w:rPr>
          <w:szCs w:val="24"/>
          <w:highlight w:val="none"/>
        </w:rPr>
      </w:pPr>
      <w:r>
        <w:rPr>
          <w:rFonts w:hint="eastAsia"/>
          <w:szCs w:val="24"/>
          <w:highlight w:val="none"/>
        </w:rPr>
        <w:t>护理人员在输液类医嘱执行前首先扫描腕带条码，再扫描患者输液瓶签上的条码，当两者匹配后继续用药（同时记录用药时间和用药人）；如不匹配进行提醒</w:t>
      </w:r>
    </w:p>
    <w:p>
      <w:pPr>
        <w:pStyle w:val="721"/>
        <w:numPr>
          <w:ilvl w:val="0"/>
          <w:numId w:val="72"/>
        </w:numPr>
        <w:ind w:left="900" w:firstLineChars="0"/>
        <w:rPr>
          <w:b/>
          <w:bCs/>
          <w:szCs w:val="24"/>
          <w:highlight w:val="none"/>
        </w:rPr>
      </w:pPr>
      <w:r>
        <w:rPr>
          <w:rFonts w:hint="eastAsia"/>
          <w:b/>
          <w:bCs/>
          <w:szCs w:val="24"/>
          <w:highlight w:val="none"/>
        </w:rPr>
        <w:t>医嘱执行巡视</w:t>
      </w:r>
      <w:r>
        <w:rPr>
          <w:rFonts w:hint="eastAsia"/>
          <w:b/>
          <w:bCs/>
          <w:szCs w:val="24"/>
          <w:highlight w:val="none"/>
        </w:rPr>
        <w:tab/>
      </w:r>
    </w:p>
    <w:p>
      <w:pPr>
        <w:pStyle w:val="721"/>
        <w:numPr>
          <w:ilvl w:val="0"/>
          <w:numId w:val="73"/>
        </w:numPr>
        <w:ind w:left="420" w:firstLine="480"/>
        <w:rPr>
          <w:szCs w:val="24"/>
          <w:highlight w:val="none"/>
        </w:rPr>
      </w:pPr>
      <w:r>
        <w:rPr>
          <w:rFonts w:hint="eastAsia"/>
          <w:szCs w:val="24"/>
          <w:highlight w:val="none"/>
        </w:rPr>
        <w:t>对执行用药患者情况的查看及一般情况的基本操作，包括暂停，继续，终止，录入滴速和异常情况</w:t>
      </w:r>
    </w:p>
    <w:p>
      <w:pPr>
        <w:pStyle w:val="721"/>
        <w:numPr>
          <w:ilvl w:val="0"/>
          <w:numId w:val="67"/>
        </w:numPr>
        <w:ind w:left="900" w:firstLineChars="0"/>
        <w:rPr>
          <w:b/>
          <w:szCs w:val="24"/>
          <w:highlight w:val="none"/>
        </w:rPr>
      </w:pPr>
      <w:r>
        <w:rPr>
          <w:rFonts w:hint="eastAsia"/>
          <w:b/>
          <w:szCs w:val="24"/>
          <w:highlight w:val="none"/>
        </w:rPr>
        <w:t>口服药闭环</w:t>
      </w:r>
    </w:p>
    <w:p>
      <w:pPr>
        <w:pStyle w:val="721"/>
        <w:numPr>
          <w:ilvl w:val="0"/>
          <w:numId w:val="74"/>
        </w:numPr>
        <w:ind w:left="900" w:firstLineChars="0"/>
        <w:rPr>
          <w:b/>
          <w:bCs/>
          <w:szCs w:val="24"/>
          <w:highlight w:val="none"/>
        </w:rPr>
      </w:pPr>
      <w:r>
        <w:rPr>
          <w:rFonts w:hint="eastAsia"/>
          <w:b/>
          <w:bCs/>
          <w:szCs w:val="24"/>
          <w:highlight w:val="none"/>
        </w:rPr>
        <w:t>病区收药</w:t>
      </w:r>
      <w:r>
        <w:rPr>
          <w:rFonts w:hint="eastAsia"/>
          <w:b/>
          <w:bCs/>
          <w:szCs w:val="24"/>
          <w:highlight w:val="none"/>
        </w:rPr>
        <w:tab/>
      </w:r>
    </w:p>
    <w:p>
      <w:pPr>
        <w:pStyle w:val="721"/>
        <w:numPr>
          <w:ilvl w:val="0"/>
          <w:numId w:val="75"/>
        </w:numPr>
        <w:ind w:left="420" w:firstLine="480"/>
        <w:rPr>
          <w:szCs w:val="24"/>
          <w:highlight w:val="none"/>
        </w:rPr>
      </w:pPr>
      <w:r>
        <w:rPr>
          <w:rFonts w:hint="eastAsia"/>
          <w:szCs w:val="24"/>
          <w:highlight w:val="none"/>
        </w:rPr>
        <w:t>在药房自动包药机包装口服药的模式中，护士站系统和自动包药机系统对接，病区按配送批次接收药品，并记录接收批次、批次实际药品总数、接收人、接收时间</w:t>
      </w:r>
    </w:p>
    <w:p>
      <w:pPr>
        <w:pStyle w:val="721"/>
        <w:numPr>
          <w:ilvl w:val="0"/>
          <w:numId w:val="74"/>
        </w:numPr>
        <w:ind w:left="900" w:firstLineChars="0"/>
        <w:rPr>
          <w:b/>
          <w:bCs/>
          <w:szCs w:val="24"/>
          <w:highlight w:val="none"/>
        </w:rPr>
      </w:pPr>
      <w:r>
        <w:rPr>
          <w:rFonts w:hint="eastAsia"/>
          <w:b/>
          <w:bCs/>
          <w:szCs w:val="24"/>
          <w:highlight w:val="none"/>
        </w:rPr>
        <w:t>口服药用药执行</w:t>
      </w:r>
      <w:r>
        <w:rPr>
          <w:rFonts w:hint="eastAsia"/>
          <w:b/>
          <w:bCs/>
          <w:szCs w:val="24"/>
          <w:highlight w:val="none"/>
        </w:rPr>
        <w:tab/>
      </w:r>
    </w:p>
    <w:p>
      <w:pPr>
        <w:pStyle w:val="721"/>
        <w:numPr>
          <w:ilvl w:val="0"/>
          <w:numId w:val="75"/>
        </w:numPr>
        <w:ind w:left="420" w:firstLine="480"/>
        <w:rPr>
          <w:szCs w:val="24"/>
          <w:highlight w:val="none"/>
        </w:rPr>
      </w:pPr>
      <w:r>
        <w:rPr>
          <w:rFonts w:hint="eastAsia"/>
          <w:szCs w:val="24"/>
          <w:highlight w:val="none"/>
        </w:rPr>
        <w:t>护理人员在口服药医嘱执行前首先扫描腕带条码，再扫描患者口服药签上的条码，当两者匹配后继续用药（同时记录用药时间和用药人）；如不匹配进行提醒</w:t>
      </w:r>
    </w:p>
    <w:p>
      <w:pPr>
        <w:pStyle w:val="721"/>
        <w:numPr>
          <w:ilvl w:val="0"/>
          <w:numId w:val="67"/>
        </w:numPr>
        <w:ind w:left="900" w:firstLineChars="0"/>
        <w:rPr>
          <w:b/>
          <w:szCs w:val="24"/>
          <w:highlight w:val="none"/>
        </w:rPr>
      </w:pPr>
      <w:r>
        <w:rPr>
          <w:rFonts w:hint="eastAsia"/>
          <w:b/>
          <w:szCs w:val="24"/>
          <w:highlight w:val="none"/>
        </w:rPr>
        <w:t>输血闭环</w:t>
      </w:r>
    </w:p>
    <w:p>
      <w:pPr>
        <w:pStyle w:val="721"/>
        <w:numPr>
          <w:ilvl w:val="0"/>
          <w:numId w:val="76"/>
        </w:numPr>
        <w:ind w:left="900" w:firstLineChars="0"/>
        <w:rPr>
          <w:b/>
          <w:bCs/>
          <w:szCs w:val="24"/>
          <w:highlight w:val="none"/>
        </w:rPr>
      </w:pPr>
      <w:r>
        <w:rPr>
          <w:rFonts w:hint="eastAsia"/>
          <w:b/>
          <w:bCs/>
          <w:szCs w:val="24"/>
          <w:highlight w:val="none"/>
        </w:rPr>
        <w:t>取血</w:t>
      </w:r>
    </w:p>
    <w:p>
      <w:pPr>
        <w:pStyle w:val="721"/>
        <w:numPr>
          <w:ilvl w:val="0"/>
          <w:numId w:val="77"/>
        </w:numPr>
        <w:ind w:left="420" w:firstLine="480"/>
        <w:rPr>
          <w:szCs w:val="24"/>
          <w:highlight w:val="none"/>
        </w:rPr>
      </w:pPr>
      <w:r>
        <w:rPr>
          <w:rFonts w:hint="eastAsia"/>
          <w:szCs w:val="24"/>
          <w:highlight w:val="none"/>
        </w:rPr>
        <w:t>护士拿PDA去血库，扫血袋条码</w:t>
      </w:r>
    </w:p>
    <w:p>
      <w:pPr>
        <w:pStyle w:val="721"/>
        <w:numPr>
          <w:ilvl w:val="0"/>
          <w:numId w:val="76"/>
        </w:numPr>
        <w:ind w:left="900" w:firstLineChars="0"/>
        <w:rPr>
          <w:b/>
          <w:bCs/>
          <w:szCs w:val="24"/>
          <w:highlight w:val="none"/>
        </w:rPr>
      </w:pPr>
      <w:r>
        <w:rPr>
          <w:rFonts w:hint="eastAsia"/>
          <w:b/>
          <w:bCs/>
          <w:szCs w:val="24"/>
          <w:highlight w:val="none"/>
        </w:rPr>
        <w:t>收血核对</w:t>
      </w:r>
    </w:p>
    <w:p>
      <w:pPr>
        <w:pStyle w:val="721"/>
        <w:numPr>
          <w:ilvl w:val="0"/>
          <w:numId w:val="77"/>
        </w:numPr>
        <w:ind w:left="420" w:firstLine="480"/>
        <w:rPr>
          <w:szCs w:val="24"/>
          <w:highlight w:val="none"/>
        </w:rPr>
      </w:pPr>
      <w:r>
        <w:rPr>
          <w:rFonts w:hint="eastAsia"/>
          <w:szCs w:val="24"/>
          <w:highlight w:val="none"/>
        </w:rPr>
        <w:t>完成收血信息核对</w:t>
      </w:r>
    </w:p>
    <w:p>
      <w:pPr>
        <w:pStyle w:val="721"/>
        <w:numPr>
          <w:ilvl w:val="0"/>
          <w:numId w:val="76"/>
        </w:numPr>
        <w:ind w:left="900" w:firstLineChars="0"/>
        <w:rPr>
          <w:szCs w:val="24"/>
          <w:highlight w:val="none"/>
        </w:rPr>
      </w:pPr>
      <w:r>
        <w:rPr>
          <w:rFonts w:hint="eastAsia"/>
          <w:b/>
          <w:bCs/>
          <w:szCs w:val="24"/>
          <w:highlight w:val="none"/>
        </w:rPr>
        <w:t>输血前核对</w:t>
      </w:r>
      <w:r>
        <w:rPr>
          <w:rFonts w:hint="eastAsia"/>
          <w:b/>
          <w:bCs/>
          <w:szCs w:val="24"/>
          <w:highlight w:val="none"/>
        </w:rPr>
        <w:tab/>
      </w:r>
    </w:p>
    <w:p>
      <w:pPr>
        <w:pStyle w:val="721"/>
        <w:numPr>
          <w:ilvl w:val="0"/>
          <w:numId w:val="77"/>
        </w:numPr>
        <w:ind w:left="420" w:firstLine="480"/>
        <w:rPr>
          <w:szCs w:val="24"/>
          <w:highlight w:val="none"/>
        </w:rPr>
      </w:pPr>
      <w:r>
        <w:rPr>
          <w:rFonts w:hint="eastAsia"/>
          <w:szCs w:val="24"/>
          <w:highlight w:val="none"/>
        </w:rPr>
        <w:t>输血前由两名医护人员核对交叉配血报告单及血袋标签各项内容，检查血袋有无破损渗漏，血液颜色是否正常，准确无误后，护理系统记录输血前核对人、核对时间</w:t>
      </w:r>
    </w:p>
    <w:p>
      <w:pPr>
        <w:pStyle w:val="721"/>
        <w:numPr>
          <w:ilvl w:val="0"/>
          <w:numId w:val="76"/>
        </w:numPr>
        <w:ind w:left="900" w:firstLineChars="0"/>
        <w:rPr>
          <w:b/>
          <w:bCs/>
          <w:szCs w:val="24"/>
          <w:highlight w:val="none"/>
        </w:rPr>
      </w:pPr>
      <w:r>
        <w:rPr>
          <w:rFonts w:hint="eastAsia"/>
          <w:b/>
          <w:bCs/>
          <w:szCs w:val="24"/>
          <w:highlight w:val="none"/>
        </w:rPr>
        <w:t>输血执行核对</w:t>
      </w:r>
    </w:p>
    <w:p>
      <w:pPr>
        <w:pStyle w:val="721"/>
        <w:numPr>
          <w:ilvl w:val="0"/>
          <w:numId w:val="77"/>
        </w:numPr>
        <w:ind w:left="420" w:firstLine="480"/>
        <w:rPr>
          <w:szCs w:val="24"/>
          <w:highlight w:val="none"/>
        </w:rPr>
      </w:pPr>
      <w:r>
        <w:rPr>
          <w:rFonts w:hint="eastAsia"/>
          <w:szCs w:val="24"/>
          <w:highlight w:val="none"/>
        </w:rPr>
        <w:t>输血前由两名医护人员核对交叉配血报告单及血袋标签各项内容，检查血袋有无破损渗漏，血液颜色是否正常，准确无误后，扫描输血药袋上的条码，再扫描患者腕带条码，当两者匹配后继续输血（同时记录核对时间、核对人，输血时间、输血人）；如不匹配进行提醒</w:t>
      </w:r>
    </w:p>
    <w:p>
      <w:pPr>
        <w:pStyle w:val="721"/>
        <w:numPr>
          <w:ilvl w:val="0"/>
          <w:numId w:val="76"/>
        </w:numPr>
        <w:ind w:left="900" w:firstLineChars="0"/>
        <w:rPr>
          <w:b/>
          <w:bCs/>
          <w:szCs w:val="24"/>
          <w:highlight w:val="none"/>
        </w:rPr>
      </w:pPr>
      <w:r>
        <w:rPr>
          <w:rFonts w:hint="eastAsia"/>
          <w:b/>
          <w:bCs/>
          <w:szCs w:val="24"/>
          <w:highlight w:val="none"/>
        </w:rPr>
        <w:t>输血巡视</w:t>
      </w:r>
    </w:p>
    <w:p>
      <w:pPr>
        <w:pStyle w:val="721"/>
        <w:numPr>
          <w:ilvl w:val="0"/>
          <w:numId w:val="77"/>
        </w:numPr>
        <w:ind w:left="420" w:firstLine="480"/>
        <w:rPr>
          <w:szCs w:val="24"/>
          <w:highlight w:val="none"/>
        </w:rPr>
      </w:pPr>
      <w:r>
        <w:rPr>
          <w:rFonts w:hint="eastAsia"/>
          <w:szCs w:val="24"/>
          <w:highlight w:val="none"/>
        </w:rPr>
        <w:t>对执行输血患者情况的查看及一般情况的基本操作，包括暂停，继续，终止，录入异常情况</w:t>
      </w:r>
    </w:p>
    <w:p>
      <w:pPr>
        <w:pStyle w:val="721"/>
        <w:numPr>
          <w:ilvl w:val="0"/>
          <w:numId w:val="67"/>
        </w:numPr>
        <w:ind w:left="900" w:firstLineChars="0"/>
        <w:rPr>
          <w:b/>
          <w:szCs w:val="24"/>
          <w:highlight w:val="none"/>
        </w:rPr>
      </w:pPr>
      <w:r>
        <w:rPr>
          <w:rFonts w:hint="eastAsia"/>
          <w:b/>
          <w:szCs w:val="24"/>
          <w:highlight w:val="none"/>
        </w:rPr>
        <w:t>皮试闭环</w:t>
      </w:r>
      <w:r>
        <w:rPr>
          <w:rFonts w:hint="eastAsia"/>
          <w:b/>
          <w:szCs w:val="24"/>
          <w:highlight w:val="none"/>
        </w:rPr>
        <w:tab/>
      </w:r>
    </w:p>
    <w:p>
      <w:pPr>
        <w:pStyle w:val="721"/>
        <w:numPr>
          <w:ilvl w:val="0"/>
          <w:numId w:val="78"/>
        </w:numPr>
        <w:ind w:left="900" w:firstLineChars="0"/>
        <w:rPr>
          <w:b/>
          <w:bCs/>
          <w:szCs w:val="24"/>
          <w:highlight w:val="none"/>
        </w:rPr>
      </w:pPr>
      <w:r>
        <w:rPr>
          <w:rFonts w:hint="eastAsia"/>
          <w:b/>
          <w:bCs/>
          <w:szCs w:val="24"/>
          <w:highlight w:val="none"/>
        </w:rPr>
        <w:t>执行皮试医嘱</w:t>
      </w:r>
      <w:r>
        <w:rPr>
          <w:rFonts w:hint="eastAsia"/>
          <w:b/>
          <w:bCs/>
          <w:szCs w:val="24"/>
          <w:highlight w:val="none"/>
        </w:rPr>
        <w:tab/>
      </w:r>
    </w:p>
    <w:p>
      <w:pPr>
        <w:pStyle w:val="721"/>
        <w:numPr>
          <w:ilvl w:val="0"/>
          <w:numId w:val="79"/>
        </w:numPr>
        <w:ind w:left="420" w:firstLine="480"/>
        <w:rPr>
          <w:szCs w:val="24"/>
          <w:highlight w:val="none"/>
        </w:rPr>
      </w:pPr>
      <w:r>
        <w:rPr>
          <w:rFonts w:hint="eastAsia"/>
          <w:szCs w:val="24"/>
          <w:highlight w:val="none"/>
        </w:rPr>
        <w:t>护理人员在皮试医嘱执行前首先扫描医嘱标签上的条码，再扫描患者腕带条码，当两者匹配后继续用药（同时记录用药时间和用药人）；如不匹配进行提醒</w:t>
      </w:r>
    </w:p>
    <w:p>
      <w:pPr>
        <w:pStyle w:val="721"/>
        <w:numPr>
          <w:ilvl w:val="0"/>
          <w:numId w:val="78"/>
        </w:numPr>
        <w:ind w:left="900" w:firstLineChars="0"/>
        <w:rPr>
          <w:b/>
          <w:bCs/>
          <w:szCs w:val="24"/>
          <w:highlight w:val="none"/>
        </w:rPr>
      </w:pPr>
      <w:r>
        <w:rPr>
          <w:rFonts w:hint="eastAsia"/>
          <w:b/>
          <w:bCs/>
          <w:szCs w:val="24"/>
          <w:highlight w:val="none"/>
        </w:rPr>
        <w:t>皮试结果记录</w:t>
      </w:r>
    </w:p>
    <w:p>
      <w:pPr>
        <w:pStyle w:val="721"/>
        <w:numPr>
          <w:ilvl w:val="0"/>
          <w:numId w:val="79"/>
        </w:numPr>
        <w:ind w:left="420" w:firstLine="480"/>
        <w:rPr>
          <w:szCs w:val="24"/>
          <w:highlight w:val="none"/>
        </w:rPr>
      </w:pPr>
      <w:r>
        <w:rPr>
          <w:rFonts w:hint="eastAsia"/>
          <w:szCs w:val="24"/>
          <w:highlight w:val="none"/>
        </w:rPr>
        <w:t>护士将皮试结果录入</w:t>
      </w:r>
    </w:p>
    <w:p>
      <w:pPr>
        <w:pStyle w:val="721"/>
        <w:numPr>
          <w:ilvl w:val="0"/>
          <w:numId w:val="78"/>
        </w:numPr>
        <w:ind w:left="900" w:firstLineChars="0"/>
        <w:rPr>
          <w:b/>
          <w:bCs/>
          <w:szCs w:val="24"/>
          <w:highlight w:val="none"/>
        </w:rPr>
      </w:pPr>
      <w:r>
        <w:rPr>
          <w:rFonts w:hint="eastAsia"/>
          <w:b/>
          <w:bCs/>
          <w:szCs w:val="24"/>
          <w:highlight w:val="none"/>
        </w:rPr>
        <w:t>执行结果回写</w:t>
      </w:r>
      <w:r>
        <w:rPr>
          <w:rFonts w:hint="eastAsia"/>
          <w:b/>
          <w:bCs/>
          <w:szCs w:val="24"/>
          <w:highlight w:val="none"/>
        </w:rPr>
        <w:tab/>
      </w:r>
    </w:p>
    <w:p>
      <w:pPr>
        <w:pStyle w:val="721"/>
        <w:numPr>
          <w:ilvl w:val="0"/>
          <w:numId w:val="79"/>
        </w:numPr>
        <w:ind w:left="420" w:firstLine="480"/>
        <w:rPr>
          <w:szCs w:val="24"/>
          <w:highlight w:val="none"/>
        </w:rPr>
      </w:pPr>
      <w:r>
        <w:rPr>
          <w:rFonts w:hint="eastAsia"/>
          <w:szCs w:val="24"/>
          <w:highlight w:val="none"/>
        </w:rPr>
        <w:t>将执行结果回写至业务系统中</w:t>
      </w:r>
    </w:p>
    <w:p>
      <w:pPr>
        <w:pStyle w:val="721"/>
        <w:numPr>
          <w:ilvl w:val="0"/>
          <w:numId w:val="67"/>
        </w:numPr>
        <w:ind w:left="900" w:firstLineChars="0"/>
        <w:rPr>
          <w:b/>
          <w:szCs w:val="24"/>
          <w:highlight w:val="none"/>
        </w:rPr>
      </w:pPr>
      <w:r>
        <w:rPr>
          <w:rFonts w:hint="eastAsia"/>
          <w:b/>
          <w:szCs w:val="24"/>
          <w:highlight w:val="none"/>
        </w:rPr>
        <w:t>检验执行</w:t>
      </w:r>
      <w:r>
        <w:rPr>
          <w:rFonts w:hint="eastAsia"/>
          <w:b/>
          <w:szCs w:val="24"/>
          <w:highlight w:val="none"/>
        </w:rPr>
        <w:tab/>
      </w:r>
    </w:p>
    <w:p>
      <w:pPr>
        <w:pStyle w:val="721"/>
        <w:numPr>
          <w:ilvl w:val="0"/>
          <w:numId w:val="80"/>
        </w:numPr>
        <w:ind w:left="900" w:firstLineChars="0"/>
        <w:rPr>
          <w:b/>
          <w:bCs/>
          <w:szCs w:val="24"/>
          <w:highlight w:val="none"/>
        </w:rPr>
      </w:pPr>
      <w:r>
        <w:rPr>
          <w:rFonts w:hint="eastAsia"/>
          <w:b/>
          <w:bCs/>
          <w:szCs w:val="24"/>
          <w:highlight w:val="none"/>
        </w:rPr>
        <w:t>检验采集确认</w:t>
      </w:r>
      <w:r>
        <w:rPr>
          <w:rFonts w:hint="eastAsia"/>
          <w:b/>
          <w:bCs/>
          <w:szCs w:val="24"/>
          <w:highlight w:val="none"/>
        </w:rPr>
        <w:tab/>
      </w:r>
    </w:p>
    <w:p>
      <w:pPr>
        <w:pStyle w:val="721"/>
        <w:numPr>
          <w:ilvl w:val="0"/>
          <w:numId w:val="79"/>
        </w:numPr>
        <w:ind w:left="420" w:firstLine="480"/>
        <w:rPr>
          <w:szCs w:val="24"/>
          <w:highlight w:val="none"/>
        </w:rPr>
      </w:pPr>
      <w:r>
        <w:rPr>
          <w:rFonts w:hint="eastAsia"/>
          <w:szCs w:val="24"/>
          <w:highlight w:val="none"/>
        </w:rPr>
        <w:t>让护理人员对采集的标本进行手工确认及自动同步PDA数据</w:t>
      </w:r>
    </w:p>
    <w:p>
      <w:pPr>
        <w:pStyle w:val="721"/>
        <w:numPr>
          <w:ilvl w:val="0"/>
          <w:numId w:val="80"/>
        </w:numPr>
        <w:ind w:left="900" w:firstLineChars="0"/>
        <w:rPr>
          <w:b/>
          <w:bCs/>
          <w:szCs w:val="24"/>
          <w:highlight w:val="none"/>
        </w:rPr>
      </w:pPr>
      <w:r>
        <w:rPr>
          <w:rFonts w:hint="eastAsia"/>
          <w:b/>
          <w:bCs/>
          <w:szCs w:val="24"/>
          <w:highlight w:val="none"/>
        </w:rPr>
        <w:t>检验打包</w:t>
      </w:r>
    </w:p>
    <w:p>
      <w:pPr>
        <w:pStyle w:val="721"/>
        <w:numPr>
          <w:ilvl w:val="0"/>
          <w:numId w:val="79"/>
        </w:numPr>
        <w:ind w:left="420" w:firstLine="480"/>
        <w:rPr>
          <w:szCs w:val="24"/>
          <w:highlight w:val="none"/>
        </w:rPr>
      </w:pPr>
      <w:r>
        <w:rPr>
          <w:rFonts w:hint="eastAsia"/>
          <w:szCs w:val="24"/>
          <w:highlight w:val="none"/>
        </w:rPr>
        <w:t>为护理人员提供手工打包、扫码打包及重新打包的功能</w:t>
      </w:r>
    </w:p>
    <w:p>
      <w:pPr>
        <w:pStyle w:val="721"/>
        <w:numPr>
          <w:ilvl w:val="0"/>
          <w:numId w:val="80"/>
        </w:numPr>
        <w:ind w:left="900" w:firstLineChars="0"/>
        <w:rPr>
          <w:b/>
          <w:bCs/>
          <w:szCs w:val="24"/>
          <w:highlight w:val="none"/>
        </w:rPr>
      </w:pPr>
      <w:r>
        <w:rPr>
          <w:rFonts w:hint="eastAsia"/>
          <w:b/>
          <w:bCs/>
          <w:szCs w:val="24"/>
          <w:highlight w:val="none"/>
        </w:rPr>
        <w:t>检验送检</w:t>
      </w:r>
      <w:r>
        <w:rPr>
          <w:rFonts w:hint="eastAsia"/>
          <w:b/>
          <w:bCs/>
          <w:szCs w:val="24"/>
          <w:highlight w:val="none"/>
        </w:rPr>
        <w:tab/>
      </w:r>
    </w:p>
    <w:p>
      <w:pPr>
        <w:pStyle w:val="721"/>
        <w:numPr>
          <w:ilvl w:val="0"/>
          <w:numId w:val="79"/>
        </w:numPr>
        <w:ind w:left="420" w:firstLine="480"/>
        <w:rPr>
          <w:szCs w:val="24"/>
          <w:highlight w:val="none"/>
        </w:rPr>
      </w:pPr>
      <w:r>
        <w:rPr>
          <w:rFonts w:hint="eastAsia"/>
          <w:szCs w:val="24"/>
          <w:highlight w:val="none"/>
        </w:rPr>
        <w:t>护理人员完成检验打包后，交由护工送至检验科</w:t>
      </w:r>
    </w:p>
    <w:p>
      <w:pPr>
        <w:pStyle w:val="721"/>
        <w:numPr>
          <w:ilvl w:val="0"/>
          <w:numId w:val="67"/>
        </w:numPr>
        <w:ind w:left="900" w:firstLineChars="0"/>
        <w:rPr>
          <w:b/>
          <w:szCs w:val="24"/>
          <w:highlight w:val="none"/>
        </w:rPr>
      </w:pPr>
      <w:r>
        <w:rPr>
          <w:rFonts w:hint="eastAsia"/>
          <w:b/>
          <w:szCs w:val="24"/>
          <w:highlight w:val="none"/>
        </w:rPr>
        <w:t>护理文书</w:t>
      </w:r>
      <w:r>
        <w:rPr>
          <w:rFonts w:hint="eastAsia"/>
          <w:b/>
          <w:szCs w:val="24"/>
          <w:highlight w:val="none"/>
        </w:rPr>
        <w:tab/>
      </w:r>
    </w:p>
    <w:p>
      <w:pPr>
        <w:pStyle w:val="721"/>
        <w:numPr>
          <w:ilvl w:val="0"/>
          <w:numId w:val="81"/>
        </w:numPr>
        <w:ind w:left="900" w:firstLineChars="0"/>
        <w:rPr>
          <w:b/>
          <w:bCs/>
          <w:szCs w:val="24"/>
          <w:highlight w:val="none"/>
        </w:rPr>
      </w:pPr>
      <w:r>
        <w:rPr>
          <w:rFonts w:hint="eastAsia"/>
          <w:b/>
          <w:bCs/>
          <w:szCs w:val="24"/>
          <w:highlight w:val="none"/>
        </w:rPr>
        <w:t>入院评估</w:t>
      </w:r>
      <w:r>
        <w:rPr>
          <w:rFonts w:hint="eastAsia"/>
          <w:b/>
          <w:bCs/>
          <w:szCs w:val="24"/>
          <w:highlight w:val="none"/>
        </w:rPr>
        <w:tab/>
      </w:r>
    </w:p>
    <w:p>
      <w:pPr>
        <w:pStyle w:val="721"/>
        <w:numPr>
          <w:ilvl w:val="0"/>
          <w:numId w:val="79"/>
        </w:numPr>
        <w:ind w:left="420" w:firstLine="480"/>
        <w:rPr>
          <w:szCs w:val="24"/>
          <w:highlight w:val="none"/>
        </w:rPr>
      </w:pPr>
      <w:r>
        <w:rPr>
          <w:rFonts w:hint="eastAsia"/>
          <w:szCs w:val="24"/>
          <w:highlight w:val="none"/>
        </w:rPr>
        <w:t>病人入院时，对病人的意识状态、饮食、过敏史、心理等基本情况进行评估</w:t>
      </w:r>
    </w:p>
    <w:p>
      <w:pPr>
        <w:pStyle w:val="721"/>
        <w:numPr>
          <w:ilvl w:val="0"/>
          <w:numId w:val="81"/>
        </w:numPr>
        <w:ind w:left="900" w:firstLineChars="0"/>
        <w:rPr>
          <w:b/>
          <w:bCs/>
          <w:szCs w:val="24"/>
          <w:highlight w:val="none"/>
        </w:rPr>
      </w:pPr>
      <w:r>
        <w:rPr>
          <w:rFonts w:hint="eastAsia"/>
          <w:b/>
          <w:bCs/>
          <w:szCs w:val="24"/>
          <w:highlight w:val="none"/>
        </w:rPr>
        <w:t>告知书</w:t>
      </w:r>
    </w:p>
    <w:p>
      <w:pPr>
        <w:pStyle w:val="721"/>
        <w:numPr>
          <w:ilvl w:val="0"/>
          <w:numId w:val="82"/>
        </w:numPr>
        <w:ind w:left="420" w:firstLine="480"/>
        <w:rPr>
          <w:b/>
          <w:bCs/>
          <w:szCs w:val="24"/>
          <w:highlight w:val="none"/>
        </w:rPr>
      </w:pPr>
      <w:r>
        <w:rPr>
          <w:rFonts w:hint="eastAsia"/>
          <w:b/>
          <w:bCs/>
          <w:szCs w:val="24"/>
          <w:highlight w:val="none"/>
        </w:rPr>
        <w:t>患者入院告知书</w:t>
      </w:r>
      <w:r>
        <w:rPr>
          <w:rFonts w:hint="eastAsia"/>
          <w:b/>
          <w:bCs/>
          <w:szCs w:val="24"/>
          <w:highlight w:val="none"/>
        </w:rPr>
        <w:tab/>
      </w:r>
    </w:p>
    <w:p>
      <w:pPr>
        <w:pStyle w:val="721"/>
        <w:numPr>
          <w:ilvl w:val="0"/>
          <w:numId w:val="17"/>
        </w:numPr>
        <w:ind w:left="420" w:firstLine="480"/>
        <w:rPr>
          <w:szCs w:val="24"/>
          <w:highlight w:val="none"/>
        </w:rPr>
      </w:pPr>
      <w:r>
        <w:rPr>
          <w:rFonts w:hint="eastAsia"/>
          <w:szCs w:val="24"/>
          <w:highlight w:val="none"/>
        </w:rPr>
        <w:t>患者入院时，对患者进行入院告知</w:t>
      </w:r>
    </w:p>
    <w:p>
      <w:pPr>
        <w:pStyle w:val="721"/>
        <w:numPr>
          <w:ilvl w:val="0"/>
          <w:numId w:val="82"/>
        </w:numPr>
        <w:ind w:left="420" w:firstLine="480"/>
        <w:rPr>
          <w:b/>
          <w:bCs/>
          <w:szCs w:val="24"/>
          <w:highlight w:val="none"/>
        </w:rPr>
      </w:pPr>
      <w:r>
        <w:rPr>
          <w:rFonts w:hint="eastAsia"/>
          <w:b/>
          <w:bCs/>
          <w:szCs w:val="24"/>
          <w:highlight w:val="none"/>
        </w:rPr>
        <w:t>预防跌倒/坠床告知书</w:t>
      </w:r>
      <w:r>
        <w:rPr>
          <w:rFonts w:hint="eastAsia"/>
          <w:b/>
          <w:bCs/>
          <w:szCs w:val="24"/>
          <w:highlight w:val="none"/>
        </w:rPr>
        <w:tab/>
      </w:r>
    </w:p>
    <w:p>
      <w:pPr>
        <w:pStyle w:val="721"/>
        <w:numPr>
          <w:ilvl w:val="0"/>
          <w:numId w:val="17"/>
        </w:numPr>
        <w:ind w:left="420" w:firstLine="480"/>
        <w:rPr>
          <w:szCs w:val="24"/>
          <w:highlight w:val="none"/>
        </w:rPr>
      </w:pPr>
      <w:r>
        <w:rPr>
          <w:rFonts w:hint="eastAsia"/>
          <w:szCs w:val="24"/>
          <w:highlight w:val="none"/>
        </w:rPr>
        <w:t>根据跌倒评分，提供患者坠床跌倒告知书</w:t>
      </w:r>
    </w:p>
    <w:p>
      <w:pPr>
        <w:pStyle w:val="721"/>
        <w:numPr>
          <w:ilvl w:val="0"/>
          <w:numId w:val="82"/>
        </w:numPr>
        <w:ind w:left="420" w:firstLine="480"/>
        <w:rPr>
          <w:b/>
          <w:bCs/>
          <w:szCs w:val="24"/>
          <w:highlight w:val="none"/>
        </w:rPr>
      </w:pPr>
      <w:r>
        <w:rPr>
          <w:rFonts w:hint="eastAsia"/>
          <w:b/>
          <w:bCs/>
          <w:szCs w:val="24"/>
          <w:highlight w:val="none"/>
        </w:rPr>
        <w:t>PICC知情同意书</w:t>
      </w:r>
      <w:r>
        <w:rPr>
          <w:rFonts w:hint="eastAsia"/>
          <w:b/>
          <w:bCs/>
          <w:szCs w:val="24"/>
          <w:highlight w:val="none"/>
        </w:rPr>
        <w:tab/>
      </w:r>
    </w:p>
    <w:p>
      <w:pPr>
        <w:pStyle w:val="721"/>
        <w:numPr>
          <w:ilvl w:val="0"/>
          <w:numId w:val="17"/>
        </w:numPr>
        <w:ind w:left="420" w:firstLine="480"/>
        <w:rPr>
          <w:szCs w:val="24"/>
          <w:highlight w:val="none"/>
        </w:rPr>
      </w:pPr>
      <w:r>
        <w:rPr>
          <w:rFonts w:hint="eastAsia"/>
          <w:szCs w:val="24"/>
          <w:highlight w:val="none"/>
        </w:rPr>
        <w:t>对进行PICC患者签定PICC知情同意书</w:t>
      </w:r>
    </w:p>
    <w:p>
      <w:pPr>
        <w:pStyle w:val="721"/>
        <w:numPr>
          <w:ilvl w:val="0"/>
          <w:numId w:val="82"/>
        </w:numPr>
        <w:ind w:left="420" w:firstLine="480"/>
        <w:rPr>
          <w:b/>
          <w:bCs/>
          <w:szCs w:val="24"/>
          <w:highlight w:val="none"/>
        </w:rPr>
      </w:pPr>
      <w:r>
        <w:rPr>
          <w:rFonts w:hint="eastAsia"/>
          <w:b/>
          <w:bCs/>
          <w:szCs w:val="24"/>
          <w:highlight w:val="none"/>
        </w:rPr>
        <w:t>压疮高危风险告知书</w:t>
      </w:r>
      <w:r>
        <w:rPr>
          <w:rFonts w:hint="eastAsia"/>
          <w:b/>
          <w:bCs/>
          <w:szCs w:val="24"/>
          <w:highlight w:val="none"/>
        </w:rPr>
        <w:tab/>
      </w:r>
    </w:p>
    <w:p>
      <w:pPr>
        <w:pStyle w:val="721"/>
        <w:numPr>
          <w:ilvl w:val="0"/>
          <w:numId w:val="17"/>
        </w:numPr>
        <w:ind w:left="420" w:firstLine="480"/>
        <w:rPr>
          <w:szCs w:val="24"/>
          <w:highlight w:val="none"/>
        </w:rPr>
      </w:pPr>
      <w:r>
        <w:rPr>
          <w:rFonts w:hint="eastAsia"/>
          <w:szCs w:val="24"/>
          <w:highlight w:val="none"/>
        </w:rPr>
        <w:t>根据压疮评分，提供患者压疮告知书</w:t>
      </w:r>
    </w:p>
    <w:p>
      <w:pPr>
        <w:pStyle w:val="721"/>
        <w:numPr>
          <w:ilvl w:val="0"/>
          <w:numId w:val="82"/>
        </w:numPr>
        <w:ind w:left="420" w:firstLine="480"/>
        <w:rPr>
          <w:b/>
          <w:bCs/>
          <w:szCs w:val="24"/>
          <w:highlight w:val="none"/>
        </w:rPr>
      </w:pPr>
      <w:r>
        <w:rPr>
          <w:rFonts w:hint="eastAsia"/>
          <w:b/>
          <w:bCs/>
          <w:szCs w:val="24"/>
          <w:highlight w:val="none"/>
        </w:rPr>
        <w:t>疼痛告知书</w:t>
      </w:r>
      <w:r>
        <w:rPr>
          <w:rFonts w:hint="eastAsia"/>
          <w:b/>
          <w:bCs/>
          <w:szCs w:val="24"/>
          <w:highlight w:val="none"/>
        </w:rPr>
        <w:tab/>
      </w:r>
    </w:p>
    <w:p>
      <w:pPr>
        <w:pStyle w:val="721"/>
        <w:numPr>
          <w:ilvl w:val="0"/>
          <w:numId w:val="17"/>
        </w:numPr>
        <w:ind w:left="420" w:firstLine="480"/>
        <w:rPr>
          <w:szCs w:val="24"/>
          <w:highlight w:val="none"/>
        </w:rPr>
      </w:pPr>
      <w:r>
        <w:rPr>
          <w:rFonts w:hint="eastAsia"/>
          <w:szCs w:val="24"/>
          <w:highlight w:val="none"/>
        </w:rPr>
        <w:t>根据疼痛评分，提供患者疼痛告知书</w:t>
      </w:r>
    </w:p>
    <w:p>
      <w:pPr>
        <w:pStyle w:val="721"/>
        <w:numPr>
          <w:ilvl w:val="0"/>
          <w:numId w:val="82"/>
        </w:numPr>
        <w:ind w:left="420" w:firstLine="480"/>
        <w:rPr>
          <w:b/>
          <w:bCs/>
          <w:szCs w:val="24"/>
          <w:highlight w:val="none"/>
        </w:rPr>
      </w:pPr>
      <w:r>
        <w:rPr>
          <w:rFonts w:hint="eastAsia"/>
          <w:b/>
          <w:bCs/>
          <w:szCs w:val="24"/>
          <w:highlight w:val="none"/>
        </w:rPr>
        <w:t>预防深静脉血栓告知书</w:t>
      </w:r>
    </w:p>
    <w:p>
      <w:pPr>
        <w:pStyle w:val="721"/>
        <w:numPr>
          <w:ilvl w:val="0"/>
          <w:numId w:val="17"/>
        </w:numPr>
        <w:ind w:left="420" w:firstLine="480"/>
        <w:rPr>
          <w:szCs w:val="24"/>
          <w:highlight w:val="none"/>
        </w:rPr>
      </w:pPr>
      <w:r>
        <w:rPr>
          <w:rFonts w:hint="eastAsia"/>
          <w:szCs w:val="24"/>
          <w:highlight w:val="none"/>
        </w:rPr>
        <w:t>对深静脉血栓患者的告知书</w:t>
      </w:r>
    </w:p>
    <w:p>
      <w:pPr>
        <w:pStyle w:val="721"/>
        <w:numPr>
          <w:ilvl w:val="0"/>
          <w:numId w:val="82"/>
        </w:numPr>
        <w:ind w:left="420" w:firstLine="480"/>
        <w:rPr>
          <w:b/>
          <w:bCs/>
          <w:szCs w:val="24"/>
          <w:highlight w:val="none"/>
        </w:rPr>
      </w:pPr>
      <w:r>
        <w:rPr>
          <w:rFonts w:hint="eastAsia"/>
          <w:b/>
          <w:bCs/>
          <w:szCs w:val="24"/>
          <w:highlight w:val="none"/>
        </w:rPr>
        <w:t>劝阻住院患者外出告知书</w:t>
      </w:r>
      <w:r>
        <w:rPr>
          <w:rFonts w:hint="eastAsia"/>
          <w:b/>
          <w:bCs/>
          <w:szCs w:val="24"/>
          <w:highlight w:val="none"/>
        </w:rPr>
        <w:tab/>
      </w:r>
    </w:p>
    <w:p>
      <w:pPr>
        <w:pStyle w:val="721"/>
        <w:numPr>
          <w:ilvl w:val="0"/>
          <w:numId w:val="17"/>
        </w:numPr>
        <w:ind w:left="420" w:firstLine="480"/>
        <w:rPr>
          <w:szCs w:val="24"/>
          <w:highlight w:val="none"/>
        </w:rPr>
      </w:pPr>
      <w:r>
        <w:rPr>
          <w:rFonts w:hint="eastAsia"/>
          <w:szCs w:val="24"/>
          <w:highlight w:val="none"/>
        </w:rPr>
        <w:t>对住院患者外出情况进行劝阻的告知书</w:t>
      </w:r>
    </w:p>
    <w:p>
      <w:pPr>
        <w:pStyle w:val="721"/>
        <w:numPr>
          <w:ilvl w:val="0"/>
          <w:numId w:val="81"/>
        </w:numPr>
        <w:ind w:left="900" w:firstLineChars="0"/>
        <w:rPr>
          <w:b/>
          <w:bCs/>
          <w:szCs w:val="24"/>
          <w:highlight w:val="none"/>
        </w:rPr>
      </w:pPr>
      <w:r>
        <w:rPr>
          <w:rFonts w:hint="eastAsia"/>
          <w:b/>
          <w:bCs/>
          <w:szCs w:val="24"/>
          <w:highlight w:val="none"/>
        </w:rPr>
        <w:t>健康宣教</w:t>
      </w:r>
      <w:r>
        <w:rPr>
          <w:rFonts w:hint="eastAsia"/>
          <w:b/>
          <w:bCs/>
          <w:szCs w:val="24"/>
          <w:highlight w:val="none"/>
        </w:rPr>
        <w:tab/>
      </w:r>
    </w:p>
    <w:p>
      <w:pPr>
        <w:pStyle w:val="721"/>
        <w:numPr>
          <w:ilvl w:val="0"/>
          <w:numId w:val="83"/>
        </w:numPr>
        <w:ind w:left="420" w:firstLine="480"/>
        <w:rPr>
          <w:szCs w:val="24"/>
          <w:highlight w:val="none"/>
        </w:rPr>
      </w:pPr>
      <w:r>
        <w:rPr>
          <w:rFonts w:hint="eastAsia"/>
          <w:szCs w:val="24"/>
          <w:highlight w:val="none"/>
        </w:rPr>
        <w:t>支持护士手工添加宣教记录</w:t>
      </w:r>
    </w:p>
    <w:p>
      <w:pPr>
        <w:pStyle w:val="721"/>
        <w:numPr>
          <w:ilvl w:val="0"/>
          <w:numId w:val="81"/>
        </w:numPr>
        <w:ind w:left="900" w:firstLineChars="0"/>
        <w:rPr>
          <w:b/>
          <w:bCs/>
          <w:szCs w:val="24"/>
          <w:highlight w:val="none"/>
        </w:rPr>
      </w:pPr>
      <w:r>
        <w:rPr>
          <w:rFonts w:hint="eastAsia"/>
          <w:b/>
          <w:bCs/>
          <w:szCs w:val="24"/>
          <w:highlight w:val="none"/>
        </w:rPr>
        <w:t>护理评分</w:t>
      </w:r>
    </w:p>
    <w:p>
      <w:pPr>
        <w:pStyle w:val="721"/>
        <w:numPr>
          <w:ilvl w:val="0"/>
          <w:numId w:val="84"/>
        </w:numPr>
        <w:ind w:left="420" w:firstLine="480"/>
        <w:rPr>
          <w:b/>
          <w:bCs/>
          <w:szCs w:val="24"/>
          <w:highlight w:val="none"/>
        </w:rPr>
      </w:pPr>
      <w:r>
        <w:rPr>
          <w:rFonts w:hint="eastAsia"/>
          <w:b/>
          <w:bCs/>
          <w:szCs w:val="24"/>
          <w:highlight w:val="none"/>
        </w:rPr>
        <w:t>BARDEN评分</w:t>
      </w:r>
    </w:p>
    <w:p>
      <w:pPr>
        <w:pStyle w:val="721"/>
        <w:numPr>
          <w:ilvl w:val="0"/>
          <w:numId w:val="17"/>
        </w:numPr>
        <w:ind w:left="420" w:firstLine="480"/>
        <w:rPr>
          <w:szCs w:val="24"/>
          <w:highlight w:val="none"/>
        </w:rPr>
      </w:pPr>
      <w:r>
        <w:rPr>
          <w:rFonts w:hint="eastAsia"/>
          <w:szCs w:val="24"/>
          <w:highlight w:val="none"/>
        </w:rPr>
        <w:t>患者住院期间的BRADEN评分</w:t>
      </w:r>
    </w:p>
    <w:p>
      <w:pPr>
        <w:pStyle w:val="721"/>
        <w:numPr>
          <w:ilvl w:val="0"/>
          <w:numId w:val="84"/>
        </w:numPr>
        <w:ind w:left="420" w:firstLine="480"/>
        <w:rPr>
          <w:b/>
          <w:bCs/>
          <w:szCs w:val="24"/>
          <w:highlight w:val="none"/>
        </w:rPr>
      </w:pPr>
      <w:r>
        <w:rPr>
          <w:rFonts w:hint="eastAsia"/>
          <w:b/>
          <w:bCs/>
          <w:szCs w:val="24"/>
          <w:highlight w:val="none"/>
        </w:rPr>
        <w:t>GCS评分</w:t>
      </w:r>
    </w:p>
    <w:p>
      <w:pPr>
        <w:pStyle w:val="721"/>
        <w:numPr>
          <w:ilvl w:val="0"/>
          <w:numId w:val="17"/>
        </w:numPr>
        <w:ind w:left="420" w:firstLine="480"/>
        <w:rPr>
          <w:szCs w:val="24"/>
          <w:highlight w:val="none"/>
        </w:rPr>
      </w:pPr>
      <w:r>
        <w:rPr>
          <w:rFonts w:hint="eastAsia"/>
          <w:szCs w:val="24"/>
          <w:highlight w:val="none"/>
        </w:rPr>
        <w:t>患者住院期间的GCS评分</w:t>
      </w:r>
    </w:p>
    <w:p>
      <w:pPr>
        <w:pStyle w:val="721"/>
        <w:numPr>
          <w:ilvl w:val="0"/>
          <w:numId w:val="84"/>
        </w:numPr>
        <w:ind w:left="420" w:firstLine="480"/>
        <w:rPr>
          <w:b/>
          <w:bCs/>
          <w:szCs w:val="24"/>
          <w:highlight w:val="none"/>
        </w:rPr>
      </w:pPr>
      <w:r>
        <w:rPr>
          <w:rFonts w:hint="eastAsia"/>
          <w:b/>
          <w:bCs/>
          <w:szCs w:val="24"/>
          <w:highlight w:val="none"/>
        </w:rPr>
        <w:t>DVT评分</w:t>
      </w:r>
      <w:r>
        <w:rPr>
          <w:rFonts w:hint="eastAsia"/>
          <w:b/>
          <w:bCs/>
          <w:szCs w:val="24"/>
          <w:highlight w:val="none"/>
        </w:rPr>
        <w:tab/>
      </w:r>
    </w:p>
    <w:p>
      <w:pPr>
        <w:pStyle w:val="721"/>
        <w:numPr>
          <w:ilvl w:val="0"/>
          <w:numId w:val="17"/>
        </w:numPr>
        <w:ind w:left="420" w:firstLine="480"/>
        <w:rPr>
          <w:szCs w:val="24"/>
          <w:highlight w:val="none"/>
        </w:rPr>
      </w:pPr>
      <w:r>
        <w:rPr>
          <w:rFonts w:hint="eastAsia"/>
          <w:szCs w:val="24"/>
          <w:highlight w:val="none"/>
        </w:rPr>
        <w:t>患者住院期间的DVT评分</w:t>
      </w:r>
    </w:p>
    <w:p>
      <w:pPr>
        <w:pStyle w:val="721"/>
        <w:numPr>
          <w:ilvl w:val="0"/>
          <w:numId w:val="84"/>
        </w:numPr>
        <w:ind w:left="420" w:firstLine="480"/>
        <w:rPr>
          <w:b/>
          <w:bCs/>
          <w:szCs w:val="24"/>
          <w:highlight w:val="none"/>
        </w:rPr>
      </w:pPr>
      <w:r>
        <w:rPr>
          <w:rFonts w:hint="eastAsia"/>
          <w:b/>
          <w:bCs/>
          <w:szCs w:val="24"/>
          <w:highlight w:val="none"/>
        </w:rPr>
        <w:t>BARTHEL指数评分</w:t>
      </w:r>
      <w:r>
        <w:rPr>
          <w:rFonts w:hint="eastAsia"/>
          <w:b/>
          <w:bCs/>
          <w:szCs w:val="24"/>
          <w:highlight w:val="none"/>
        </w:rPr>
        <w:tab/>
      </w:r>
    </w:p>
    <w:p>
      <w:pPr>
        <w:pStyle w:val="721"/>
        <w:numPr>
          <w:ilvl w:val="0"/>
          <w:numId w:val="17"/>
        </w:numPr>
        <w:ind w:left="420" w:firstLine="480"/>
        <w:rPr>
          <w:szCs w:val="24"/>
          <w:highlight w:val="none"/>
        </w:rPr>
      </w:pPr>
      <w:r>
        <w:rPr>
          <w:rFonts w:hint="eastAsia"/>
          <w:szCs w:val="24"/>
          <w:highlight w:val="none"/>
        </w:rPr>
        <w:t>患者住院期间的Barthel指数评分</w:t>
      </w:r>
    </w:p>
    <w:p>
      <w:pPr>
        <w:pStyle w:val="721"/>
        <w:numPr>
          <w:ilvl w:val="0"/>
          <w:numId w:val="84"/>
        </w:numPr>
        <w:ind w:left="420" w:firstLine="480"/>
        <w:rPr>
          <w:b/>
          <w:bCs/>
          <w:szCs w:val="24"/>
          <w:highlight w:val="none"/>
        </w:rPr>
      </w:pPr>
      <w:r>
        <w:rPr>
          <w:rFonts w:hint="eastAsia"/>
          <w:b/>
          <w:bCs/>
          <w:szCs w:val="24"/>
          <w:highlight w:val="none"/>
        </w:rPr>
        <w:t>疼痛评分</w:t>
      </w:r>
    </w:p>
    <w:p>
      <w:pPr>
        <w:pStyle w:val="721"/>
        <w:numPr>
          <w:ilvl w:val="0"/>
          <w:numId w:val="17"/>
        </w:numPr>
        <w:ind w:left="420" w:firstLine="480"/>
        <w:rPr>
          <w:szCs w:val="24"/>
          <w:highlight w:val="none"/>
        </w:rPr>
      </w:pPr>
      <w:r>
        <w:rPr>
          <w:rFonts w:hint="eastAsia"/>
          <w:szCs w:val="24"/>
          <w:highlight w:val="none"/>
        </w:rPr>
        <w:t>患者住院期间的疼痛评分</w:t>
      </w:r>
    </w:p>
    <w:p>
      <w:pPr>
        <w:pStyle w:val="721"/>
        <w:numPr>
          <w:ilvl w:val="0"/>
          <w:numId w:val="84"/>
        </w:numPr>
        <w:ind w:left="420" w:firstLine="480"/>
        <w:rPr>
          <w:b/>
          <w:bCs/>
          <w:szCs w:val="24"/>
          <w:highlight w:val="none"/>
        </w:rPr>
      </w:pPr>
      <w:r>
        <w:rPr>
          <w:rFonts w:hint="eastAsia"/>
          <w:b/>
          <w:bCs/>
          <w:szCs w:val="24"/>
          <w:highlight w:val="none"/>
        </w:rPr>
        <w:t>跌倒/坠床评分</w:t>
      </w:r>
    </w:p>
    <w:p>
      <w:pPr>
        <w:pStyle w:val="721"/>
        <w:numPr>
          <w:ilvl w:val="0"/>
          <w:numId w:val="17"/>
        </w:numPr>
        <w:ind w:left="420" w:firstLine="480"/>
        <w:rPr>
          <w:szCs w:val="24"/>
          <w:highlight w:val="none"/>
        </w:rPr>
      </w:pPr>
      <w:r>
        <w:rPr>
          <w:rFonts w:hint="eastAsia"/>
          <w:szCs w:val="24"/>
          <w:highlight w:val="none"/>
        </w:rPr>
        <w:t>患者住院期间的跌倒/坠床评分</w:t>
      </w:r>
    </w:p>
    <w:p>
      <w:pPr>
        <w:pStyle w:val="721"/>
        <w:numPr>
          <w:ilvl w:val="0"/>
          <w:numId w:val="84"/>
        </w:numPr>
        <w:ind w:left="420" w:firstLine="480"/>
        <w:rPr>
          <w:b/>
          <w:bCs/>
          <w:szCs w:val="24"/>
          <w:highlight w:val="none"/>
        </w:rPr>
      </w:pPr>
      <w:r>
        <w:rPr>
          <w:rFonts w:hint="eastAsia"/>
          <w:b/>
          <w:bCs/>
          <w:szCs w:val="24"/>
          <w:highlight w:val="none"/>
        </w:rPr>
        <w:t>CPIS评分</w:t>
      </w:r>
      <w:r>
        <w:rPr>
          <w:rFonts w:hint="eastAsia"/>
          <w:b/>
          <w:bCs/>
          <w:szCs w:val="24"/>
          <w:highlight w:val="none"/>
        </w:rPr>
        <w:tab/>
      </w:r>
    </w:p>
    <w:p>
      <w:pPr>
        <w:pStyle w:val="721"/>
        <w:numPr>
          <w:ilvl w:val="0"/>
          <w:numId w:val="17"/>
        </w:numPr>
        <w:ind w:left="420" w:firstLine="480"/>
        <w:rPr>
          <w:szCs w:val="24"/>
          <w:highlight w:val="none"/>
        </w:rPr>
      </w:pPr>
      <w:r>
        <w:rPr>
          <w:rFonts w:hint="eastAsia"/>
          <w:szCs w:val="24"/>
          <w:highlight w:val="none"/>
        </w:rPr>
        <w:t>患者住院期间的CPIS评分</w:t>
      </w:r>
    </w:p>
    <w:p>
      <w:pPr>
        <w:pStyle w:val="721"/>
        <w:numPr>
          <w:ilvl w:val="0"/>
          <w:numId w:val="84"/>
        </w:numPr>
        <w:ind w:left="420" w:firstLine="480"/>
        <w:rPr>
          <w:b/>
          <w:bCs/>
          <w:szCs w:val="24"/>
          <w:highlight w:val="none"/>
        </w:rPr>
      </w:pPr>
      <w:r>
        <w:rPr>
          <w:rFonts w:hint="eastAsia"/>
          <w:b/>
          <w:bCs/>
          <w:szCs w:val="24"/>
          <w:highlight w:val="none"/>
        </w:rPr>
        <w:t>镇静评分</w:t>
      </w:r>
    </w:p>
    <w:p>
      <w:pPr>
        <w:pStyle w:val="721"/>
        <w:numPr>
          <w:ilvl w:val="0"/>
          <w:numId w:val="17"/>
        </w:numPr>
        <w:ind w:left="420" w:firstLine="480"/>
        <w:rPr>
          <w:szCs w:val="24"/>
          <w:highlight w:val="none"/>
        </w:rPr>
      </w:pPr>
      <w:r>
        <w:rPr>
          <w:rFonts w:hint="eastAsia"/>
          <w:szCs w:val="24"/>
          <w:highlight w:val="none"/>
        </w:rPr>
        <w:t>患者住院期间的镇静评分</w:t>
      </w:r>
    </w:p>
    <w:p>
      <w:pPr>
        <w:pStyle w:val="721"/>
        <w:numPr>
          <w:ilvl w:val="0"/>
          <w:numId w:val="84"/>
        </w:numPr>
        <w:ind w:left="420" w:firstLine="480"/>
        <w:rPr>
          <w:b/>
          <w:bCs/>
          <w:szCs w:val="24"/>
          <w:highlight w:val="none"/>
        </w:rPr>
      </w:pPr>
      <w:r>
        <w:rPr>
          <w:rFonts w:hint="eastAsia"/>
          <w:b/>
          <w:bCs/>
          <w:szCs w:val="24"/>
          <w:highlight w:val="none"/>
        </w:rPr>
        <w:t>APACHEII评分</w:t>
      </w:r>
    </w:p>
    <w:p>
      <w:pPr>
        <w:pStyle w:val="721"/>
        <w:numPr>
          <w:ilvl w:val="0"/>
          <w:numId w:val="17"/>
        </w:numPr>
        <w:ind w:left="420" w:firstLine="480"/>
        <w:rPr>
          <w:szCs w:val="24"/>
          <w:highlight w:val="none"/>
        </w:rPr>
      </w:pPr>
      <w:r>
        <w:rPr>
          <w:rFonts w:hint="eastAsia"/>
          <w:szCs w:val="24"/>
          <w:highlight w:val="none"/>
        </w:rPr>
        <w:t>患者住院期间的APACHEII评分</w:t>
      </w:r>
    </w:p>
    <w:p>
      <w:pPr>
        <w:pStyle w:val="721"/>
        <w:numPr>
          <w:ilvl w:val="0"/>
          <w:numId w:val="84"/>
        </w:numPr>
        <w:ind w:left="420" w:firstLine="480"/>
        <w:rPr>
          <w:b/>
          <w:bCs/>
          <w:szCs w:val="24"/>
          <w:highlight w:val="none"/>
        </w:rPr>
      </w:pPr>
      <w:r>
        <w:rPr>
          <w:rFonts w:hint="eastAsia"/>
          <w:b/>
          <w:bCs/>
          <w:szCs w:val="24"/>
          <w:highlight w:val="none"/>
        </w:rPr>
        <w:t>WATERLOW评分</w:t>
      </w:r>
      <w:r>
        <w:rPr>
          <w:rFonts w:hint="eastAsia"/>
          <w:b/>
          <w:bCs/>
          <w:szCs w:val="24"/>
          <w:highlight w:val="none"/>
        </w:rPr>
        <w:tab/>
      </w:r>
    </w:p>
    <w:p>
      <w:pPr>
        <w:pStyle w:val="721"/>
        <w:numPr>
          <w:ilvl w:val="0"/>
          <w:numId w:val="17"/>
        </w:numPr>
        <w:ind w:left="420" w:firstLine="480"/>
        <w:rPr>
          <w:szCs w:val="24"/>
          <w:highlight w:val="none"/>
        </w:rPr>
      </w:pPr>
      <w:r>
        <w:rPr>
          <w:rFonts w:hint="eastAsia"/>
          <w:szCs w:val="24"/>
          <w:highlight w:val="none"/>
        </w:rPr>
        <w:t>患者住院期间的WATERLOW评分</w:t>
      </w:r>
    </w:p>
    <w:p>
      <w:pPr>
        <w:pStyle w:val="721"/>
        <w:numPr>
          <w:ilvl w:val="0"/>
          <w:numId w:val="84"/>
        </w:numPr>
        <w:ind w:left="420" w:firstLine="480"/>
        <w:rPr>
          <w:b/>
          <w:bCs/>
          <w:szCs w:val="24"/>
          <w:highlight w:val="none"/>
        </w:rPr>
      </w:pPr>
      <w:r>
        <w:rPr>
          <w:rFonts w:hint="eastAsia"/>
          <w:b/>
          <w:bCs/>
          <w:szCs w:val="24"/>
          <w:highlight w:val="none"/>
        </w:rPr>
        <w:t>STEWARD苏醒评分</w:t>
      </w:r>
    </w:p>
    <w:p>
      <w:pPr>
        <w:pStyle w:val="721"/>
        <w:numPr>
          <w:ilvl w:val="0"/>
          <w:numId w:val="17"/>
        </w:numPr>
        <w:ind w:left="420" w:firstLine="480"/>
        <w:rPr>
          <w:szCs w:val="24"/>
          <w:highlight w:val="none"/>
        </w:rPr>
      </w:pPr>
      <w:r>
        <w:rPr>
          <w:rFonts w:hint="eastAsia"/>
          <w:szCs w:val="24"/>
          <w:highlight w:val="none"/>
        </w:rPr>
        <w:t>患者住院期间的STEWARD苏醒评分</w:t>
      </w:r>
    </w:p>
    <w:p>
      <w:pPr>
        <w:pStyle w:val="721"/>
        <w:numPr>
          <w:ilvl w:val="0"/>
          <w:numId w:val="84"/>
        </w:numPr>
        <w:ind w:left="420" w:firstLine="480"/>
        <w:rPr>
          <w:b/>
          <w:bCs/>
          <w:szCs w:val="24"/>
          <w:highlight w:val="none"/>
        </w:rPr>
      </w:pPr>
      <w:r>
        <w:rPr>
          <w:rFonts w:hint="eastAsia"/>
          <w:b/>
          <w:bCs/>
          <w:szCs w:val="24"/>
          <w:highlight w:val="none"/>
        </w:rPr>
        <w:t>吞咽评估</w:t>
      </w:r>
      <w:r>
        <w:rPr>
          <w:rFonts w:hint="eastAsia"/>
          <w:b/>
          <w:bCs/>
          <w:szCs w:val="24"/>
          <w:highlight w:val="none"/>
        </w:rPr>
        <w:tab/>
      </w:r>
    </w:p>
    <w:p>
      <w:pPr>
        <w:pStyle w:val="721"/>
        <w:numPr>
          <w:ilvl w:val="0"/>
          <w:numId w:val="17"/>
        </w:numPr>
        <w:ind w:left="420" w:firstLine="480"/>
        <w:rPr>
          <w:szCs w:val="24"/>
          <w:highlight w:val="none"/>
        </w:rPr>
      </w:pPr>
      <w:r>
        <w:rPr>
          <w:rFonts w:hint="eastAsia"/>
          <w:szCs w:val="24"/>
          <w:highlight w:val="none"/>
        </w:rPr>
        <w:t>患者住院期间的吞咽功能评分</w:t>
      </w:r>
    </w:p>
    <w:p>
      <w:pPr>
        <w:pStyle w:val="721"/>
        <w:numPr>
          <w:ilvl w:val="0"/>
          <w:numId w:val="84"/>
        </w:numPr>
        <w:ind w:left="420" w:firstLine="480"/>
        <w:rPr>
          <w:b/>
          <w:bCs/>
          <w:szCs w:val="24"/>
          <w:highlight w:val="none"/>
        </w:rPr>
      </w:pPr>
      <w:r>
        <w:rPr>
          <w:rFonts w:hint="eastAsia"/>
          <w:b/>
          <w:bCs/>
          <w:szCs w:val="24"/>
          <w:highlight w:val="none"/>
        </w:rPr>
        <w:t>营养评估</w:t>
      </w:r>
    </w:p>
    <w:p>
      <w:pPr>
        <w:pStyle w:val="721"/>
        <w:numPr>
          <w:ilvl w:val="0"/>
          <w:numId w:val="17"/>
        </w:numPr>
        <w:ind w:left="420" w:firstLine="480"/>
        <w:rPr>
          <w:szCs w:val="24"/>
          <w:highlight w:val="none"/>
        </w:rPr>
      </w:pPr>
      <w:r>
        <w:rPr>
          <w:rFonts w:hint="eastAsia"/>
          <w:szCs w:val="24"/>
          <w:highlight w:val="none"/>
        </w:rPr>
        <w:t>患者住院期间的营养评分</w:t>
      </w:r>
    </w:p>
    <w:p>
      <w:pPr>
        <w:pStyle w:val="721"/>
        <w:numPr>
          <w:ilvl w:val="0"/>
          <w:numId w:val="84"/>
        </w:numPr>
        <w:ind w:left="420" w:firstLine="480"/>
        <w:rPr>
          <w:b/>
          <w:bCs/>
          <w:szCs w:val="24"/>
          <w:highlight w:val="none"/>
        </w:rPr>
      </w:pPr>
      <w:r>
        <w:rPr>
          <w:rFonts w:hint="eastAsia"/>
          <w:b/>
          <w:bCs/>
          <w:szCs w:val="24"/>
          <w:highlight w:val="none"/>
        </w:rPr>
        <w:t>NORTON评分</w:t>
      </w:r>
      <w:r>
        <w:rPr>
          <w:rFonts w:hint="eastAsia"/>
          <w:b/>
          <w:bCs/>
          <w:szCs w:val="24"/>
          <w:highlight w:val="none"/>
        </w:rPr>
        <w:tab/>
      </w:r>
    </w:p>
    <w:p>
      <w:pPr>
        <w:pStyle w:val="721"/>
        <w:numPr>
          <w:ilvl w:val="0"/>
          <w:numId w:val="17"/>
        </w:numPr>
        <w:ind w:left="420" w:firstLine="480"/>
        <w:rPr>
          <w:szCs w:val="24"/>
          <w:highlight w:val="none"/>
        </w:rPr>
      </w:pPr>
      <w:r>
        <w:rPr>
          <w:rFonts w:hint="eastAsia"/>
          <w:szCs w:val="24"/>
          <w:highlight w:val="none"/>
        </w:rPr>
        <w:t>患者住院期间NORTON评分</w:t>
      </w:r>
    </w:p>
    <w:p>
      <w:pPr>
        <w:pStyle w:val="721"/>
        <w:numPr>
          <w:ilvl w:val="0"/>
          <w:numId w:val="84"/>
        </w:numPr>
        <w:ind w:left="420" w:firstLine="480"/>
        <w:rPr>
          <w:b/>
          <w:bCs/>
          <w:szCs w:val="24"/>
          <w:highlight w:val="none"/>
        </w:rPr>
      </w:pPr>
      <w:r>
        <w:rPr>
          <w:rFonts w:hint="eastAsia"/>
          <w:b/>
          <w:bCs/>
          <w:szCs w:val="24"/>
          <w:highlight w:val="none"/>
        </w:rPr>
        <w:t>评分趋势图</w:t>
      </w:r>
    </w:p>
    <w:p>
      <w:pPr>
        <w:pStyle w:val="721"/>
        <w:numPr>
          <w:ilvl w:val="0"/>
          <w:numId w:val="17"/>
        </w:numPr>
        <w:ind w:left="420" w:firstLine="480"/>
        <w:rPr>
          <w:szCs w:val="24"/>
          <w:highlight w:val="none"/>
        </w:rPr>
      </w:pPr>
      <w:r>
        <w:rPr>
          <w:rFonts w:hint="eastAsia"/>
          <w:szCs w:val="24"/>
          <w:highlight w:val="none"/>
        </w:rPr>
        <w:t>针对不同评分的图形展示</w:t>
      </w:r>
    </w:p>
    <w:p>
      <w:pPr>
        <w:pStyle w:val="721"/>
        <w:numPr>
          <w:ilvl w:val="0"/>
          <w:numId w:val="84"/>
        </w:numPr>
        <w:ind w:left="420" w:firstLine="480"/>
        <w:rPr>
          <w:b/>
          <w:bCs/>
          <w:szCs w:val="24"/>
          <w:highlight w:val="none"/>
        </w:rPr>
      </w:pPr>
      <w:r>
        <w:rPr>
          <w:rFonts w:hint="eastAsia"/>
          <w:b/>
          <w:bCs/>
          <w:szCs w:val="24"/>
          <w:highlight w:val="none"/>
        </w:rPr>
        <w:t>护理评分汇总</w:t>
      </w:r>
    </w:p>
    <w:p>
      <w:pPr>
        <w:pStyle w:val="721"/>
        <w:numPr>
          <w:ilvl w:val="0"/>
          <w:numId w:val="17"/>
        </w:numPr>
        <w:ind w:left="420" w:firstLine="480"/>
        <w:rPr>
          <w:szCs w:val="24"/>
          <w:highlight w:val="none"/>
        </w:rPr>
      </w:pPr>
      <w:r>
        <w:rPr>
          <w:rFonts w:hint="eastAsia"/>
          <w:szCs w:val="24"/>
          <w:highlight w:val="none"/>
        </w:rPr>
        <w:t>汇总患者所有评分记录</w:t>
      </w:r>
    </w:p>
    <w:p>
      <w:pPr>
        <w:pStyle w:val="721"/>
        <w:numPr>
          <w:ilvl w:val="0"/>
          <w:numId w:val="81"/>
        </w:numPr>
        <w:ind w:left="900" w:firstLineChars="0"/>
        <w:rPr>
          <w:b/>
          <w:bCs/>
          <w:szCs w:val="24"/>
          <w:highlight w:val="none"/>
        </w:rPr>
      </w:pPr>
      <w:r>
        <w:rPr>
          <w:rFonts w:hint="eastAsia"/>
          <w:b/>
          <w:bCs/>
          <w:szCs w:val="24"/>
          <w:highlight w:val="none"/>
        </w:rPr>
        <w:t>转运交接单</w:t>
      </w:r>
      <w:r>
        <w:rPr>
          <w:rFonts w:hint="eastAsia"/>
          <w:b/>
          <w:bCs/>
          <w:szCs w:val="24"/>
          <w:highlight w:val="none"/>
        </w:rPr>
        <w:tab/>
      </w:r>
    </w:p>
    <w:p>
      <w:pPr>
        <w:pStyle w:val="721"/>
        <w:numPr>
          <w:ilvl w:val="0"/>
          <w:numId w:val="85"/>
        </w:numPr>
        <w:ind w:left="420" w:firstLine="480"/>
        <w:rPr>
          <w:b/>
          <w:bCs/>
          <w:szCs w:val="24"/>
          <w:highlight w:val="none"/>
        </w:rPr>
      </w:pPr>
      <w:r>
        <w:rPr>
          <w:rFonts w:hint="eastAsia"/>
          <w:b/>
          <w:bCs/>
          <w:szCs w:val="24"/>
          <w:highlight w:val="none"/>
        </w:rPr>
        <w:t>患者转科交接单</w:t>
      </w:r>
      <w:r>
        <w:rPr>
          <w:rFonts w:hint="eastAsia"/>
          <w:b/>
          <w:bCs/>
          <w:szCs w:val="24"/>
          <w:highlight w:val="none"/>
        </w:rPr>
        <w:tab/>
      </w:r>
    </w:p>
    <w:p>
      <w:pPr>
        <w:pStyle w:val="721"/>
        <w:numPr>
          <w:ilvl w:val="0"/>
          <w:numId w:val="17"/>
        </w:numPr>
        <w:ind w:left="420" w:firstLine="480"/>
        <w:rPr>
          <w:szCs w:val="24"/>
          <w:highlight w:val="none"/>
        </w:rPr>
      </w:pPr>
      <w:r>
        <w:rPr>
          <w:rFonts w:hint="eastAsia"/>
          <w:szCs w:val="24"/>
          <w:highlight w:val="none"/>
        </w:rPr>
        <w:t>支持患者转科交接单模板配置、新增、修改功能，并自动同步PDA数据</w:t>
      </w:r>
    </w:p>
    <w:p>
      <w:pPr>
        <w:pStyle w:val="721"/>
        <w:numPr>
          <w:ilvl w:val="0"/>
          <w:numId w:val="85"/>
        </w:numPr>
        <w:ind w:left="420" w:firstLine="480"/>
        <w:rPr>
          <w:b/>
          <w:bCs/>
          <w:szCs w:val="24"/>
          <w:highlight w:val="none"/>
        </w:rPr>
      </w:pPr>
      <w:r>
        <w:rPr>
          <w:rFonts w:hint="eastAsia"/>
          <w:b/>
          <w:bCs/>
          <w:szCs w:val="24"/>
          <w:highlight w:val="none"/>
        </w:rPr>
        <w:t>手术患者转运交接单</w:t>
      </w:r>
    </w:p>
    <w:p>
      <w:pPr>
        <w:pStyle w:val="721"/>
        <w:numPr>
          <w:ilvl w:val="0"/>
          <w:numId w:val="17"/>
        </w:numPr>
        <w:ind w:left="420" w:firstLine="480"/>
        <w:rPr>
          <w:szCs w:val="24"/>
          <w:highlight w:val="none"/>
        </w:rPr>
      </w:pPr>
      <w:r>
        <w:rPr>
          <w:rFonts w:hint="eastAsia"/>
          <w:szCs w:val="24"/>
          <w:highlight w:val="none"/>
        </w:rPr>
        <w:t>支持手术患者交接单模板配置、新增、修改功能，并自动同步PDA数据</w:t>
      </w:r>
    </w:p>
    <w:p>
      <w:pPr>
        <w:pStyle w:val="721"/>
        <w:numPr>
          <w:ilvl w:val="0"/>
          <w:numId w:val="85"/>
        </w:numPr>
        <w:ind w:left="420" w:firstLine="480"/>
        <w:rPr>
          <w:b/>
          <w:bCs/>
          <w:szCs w:val="24"/>
          <w:highlight w:val="none"/>
        </w:rPr>
      </w:pPr>
      <w:r>
        <w:rPr>
          <w:rFonts w:hint="eastAsia"/>
          <w:b/>
          <w:bCs/>
          <w:szCs w:val="24"/>
          <w:highlight w:val="none"/>
        </w:rPr>
        <w:t>介入转运交接单</w:t>
      </w:r>
      <w:r>
        <w:rPr>
          <w:rFonts w:hint="eastAsia"/>
          <w:b/>
          <w:bCs/>
          <w:szCs w:val="24"/>
          <w:highlight w:val="none"/>
        </w:rPr>
        <w:tab/>
      </w:r>
    </w:p>
    <w:p>
      <w:pPr>
        <w:pStyle w:val="721"/>
        <w:numPr>
          <w:ilvl w:val="0"/>
          <w:numId w:val="17"/>
        </w:numPr>
        <w:ind w:left="420" w:firstLine="480"/>
        <w:rPr>
          <w:szCs w:val="24"/>
          <w:highlight w:val="none"/>
        </w:rPr>
      </w:pPr>
      <w:r>
        <w:rPr>
          <w:rFonts w:hint="eastAsia"/>
          <w:szCs w:val="24"/>
          <w:highlight w:val="none"/>
        </w:rPr>
        <w:t>支持介入转运交接单模板配置、新增、修改功能，并自动同步PDA数据</w:t>
      </w:r>
    </w:p>
    <w:p>
      <w:pPr>
        <w:pStyle w:val="721"/>
        <w:numPr>
          <w:ilvl w:val="0"/>
          <w:numId w:val="85"/>
        </w:numPr>
        <w:ind w:left="420" w:firstLine="480"/>
        <w:rPr>
          <w:b/>
          <w:bCs/>
          <w:szCs w:val="24"/>
          <w:highlight w:val="none"/>
        </w:rPr>
      </w:pPr>
      <w:r>
        <w:rPr>
          <w:rFonts w:hint="eastAsia"/>
          <w:b/>
          <w:bCs/>
          <w:szCs w:val="24"/>
          <w:highlight w:val="none"/>
        </w:rPr>
        <w:t>急诊患者转运交接单</w:t>
      </w:r>
      <w:r>
        <w:rPr>
          <w:rFonts w:hint="eastAsia"/>
          <w:b/>
          <w:bCs/>
          <w:szCs w:val="24"/>
          <w:highlight w:val="none"/>
        </w:rPr>
        <w:tab/>
      </w:r>
    </w:p>
    <w:p>
      <w:pPr>
        <w:pStyle w:val="721"/>
        <w:numPr>
          <w:ilvl w:val="0"/>
          <w:numId w:val="17"/>
        </w:numPr>
        <w:ind w:left="420" w:firstLine="480"/>
        <w:rPr>
          <w:szCs w:val="24"/>
          <w:highlight w:val="none"/>
        </w:rPr>
      </w:pPr>
      <w:r>
        <w:rPr>
          <w:rFonts w:hint="eastAsia"/>
          <w:szCs w:val="24"/>
          <w:highlight w:val="none"/>
        </w:rPr>
        <w:t>支持急诊患者交接单模板配置、新增、修改功能，并自动同步PDA数据</w:t>
      </w:r>
    </w:p>
    <w:p>
      <w:pPr>
        <w:pStyle w:val="721"/>
        <w:numPr>
          <w:ilvl w:val="0"/>
          <w:numId w:val="85"/>
        </w:numPr>
        <w:ind w:left="420" w:firstLine="480"/>
        <w:rPr>
          <w:b/>
          <w:bCs/>
          <w:szCs w:val="24"/>
          <w:highlight w:val="none"/>
        </w:rPr>
      </w:pPr>
      <w:r>
        <w:rPr>
          <w:rFonts w:hint="eastAsia"/>
          <w:b/>
          <w:bCs/>
          <w:szCs w:val="24"/>
          <w:highlight w:val="none"/>
        </w:rPr>
        <w:t>危重患者转运交接单</w:t>
      </w:r>
      <w:r>
        <w:rPr>
          <w:rFonts w:hint="eastAsia"/>
          <w:b/>
          <w:bCs/>
          <w:szCs w:val="24"/>
          <w:highlight w:val="none"/>
        </w:rPr>
        <w:tab/>
      </w:r>
    </w:p>
    <w:p>
      <w:pPr>
        <w:pStyle w:val="721"/>
        <w:numPr>
          <w:ilvl w:val="0"/>
          <w:numId w:val="17"/>
        </w:numPr>
        <w:ind w:left="420" w:firstLine="480"/>
        <w:rPr>
          <w:szCs w:val="24"/>
          <w:highlight w:val="none"/>
        </w:rPr>
      </w:pPr>
      <w:r>
        <w:rPr>
          <w:rFonts w:hint="eastAsia"/>
          <w:szCs w:val="24"/>
          <w:highlight w:val="none"/>
        </w:rPr>
        <w:t>支持危重患者转运交接单模板配置、新增、修改功能，并自动同步PDA数据</w:t>
      </w:r>
    </w:p>
    <w:p>
      <w:pPr>
        <w:pStyle w:val="721"/>
        <w:numPr>
          <w:ilvl w:val="0"/>
          <w:numId w:val="85"/>
        </w:numPr>
        <w:ind w:left="420" w:firstLine="480"/>
        <w:rPr>
          <w:b/>
          <w:bCs/>
          <w:szCs w:val="24"/>
          <w:highlight w:val="none"/>
        </w:rPr>
      </w:pPr>
      <w:r>
        <w:rPr>
          <w:rFonts w:hint="eastAsia"/>
          <w:b/>
          <w:bCs/>
          <w:szCs w:val="24"/>
          <w:highlight w:val="none"/>
        </w:rPr>
        <w:t>血透患者转运交接单</w:t>
      </w:r>
    </w:p>
    <w:p>
      <w:pPr>
        <w:pStyle w:val="721"/>
        <w:numPr>
          <w:ilvl w:val="0"/>
          <w:numId w:val="17"/>
        </w:numPr>
        <w:ind w:left="420" w:firstLine="480"/>
        <w:rPr>
          <w:szCs w:val="24"/>
          <w:highlight w:val="none"/>
        </w:rPr>
      </w:pPr>
      <w:r>
        <w:rPr>
          <w:rFonts w:hint="eastAsia"/>
          <w:szCs w:val="24"/>
          <w:highlight w:val="none"/>
        </w:rPr>
        <w:t>支持血透患者转运交接单模板配置、新增、修改功能，并自动同步PDA数据</w:t>
      </w:r>
    </w:p>
    <w:p>
      <w:pPr>
        <w:pStyle w:val="721"/>
        <w:numPr>
          <w:ilvl w:val="0"/>
          <w:numId w:val="85"/>
        </w:numPr>
        <w:ind w:left="420" w:firstLine="480"/>
        <w:rPr>
          <w:b/>
          <w:bCs/>
          <w:szCs w:val="24"/>
          <w:highlight w:val="none"/>
        </w:rPr>
      </w:pPr>
      <w:r>
        <w:rPr>
          <w:rFonts w:hint="eastAsia"/>
          <w:b/>
          <w:bCs/>
          <w:szCs w:val="24"/>
          <w:highlight w:val="none"/>
        </w:rPr>
        <w:t>新生儿转运交接单</w:t>
      </w:r>
    </w:p>
    <w:p>
      <w:pPr>
        <w:pStyle w:val="721"/>
        <w:numPr>
          <w:ilvl w:val="0"/>
          <w:numId w:val="17"/>
        </w:numPr>
        <w:ind w:left="420" w:firstLine="480"/>
        <w:rPr>
          <w:szCs w:val="24"/>
          <w:highlight w:val="none"/>
        </w:rPr>
      </w:pPr>
      <w:r>
        <w:rPr>
          <w:rFonts w:hint="eastAsia"/>
          <w:szCs w:val="24"/>
          <w:highlight w:val="none"/>
        </w:rPr>
        <w:t>支持新生儿转运交接单模板配置、新增、修改功能，并自动同步PDA数据</w:t>
      </w:r>
    </w:p>
    <w:p>
      <w:pPr>
        <w:pStyle w:val="721"/>
        <w:numPr>
          <w:ilvl w:val="0"/>
          <w:numId w:val="67"/>
        </w:numPr>
        <w:ind w:left="900" w:firstLineChars="0"/>
        <w:rPr>
          <w:b/>
          <w:szCs w:val="24"/>
          <w:highlight w:val="none"/>
        </w:rPr>
      </w:pPr>
      <w:r>
        <w:rPr>
          <w:rFonts w:hint="eastAsia"/>
          <w:b/>
          <w:szCs w:val="24"/>
          <w:highlight w:val="none"/>
        </w:rPr>
        <w:t>体征管理</w:t>
      </w:r>
    </w:p>
    <w:p>
      <w:pPr>
        <w:pStyle w:val="721"/>
        <w:numPr>
          <w:ilvl w:val="0"/>
          <w:numId w:val="86"/>
        </w:numPr>
        <w:ind w:left="900" w:firstLineChars="0"/>
        <w:rPr>
          <w:b/>
          <w:bCs/>
          <w:szCs w:val="24"/>
          <w:highlight w:val="none"/>
        </w:rPr>
      </w:pPr>
      <w:r>
        <w:rPr>
          <w:rFonts w:hint="eastAsia"/>
          <w:b/>
          <w:bCs/>
          <w:szCs w:val="24"/>
          <w:highlight w:val="none"/>
        </w:rPr>
        <w:t>生命体征测量记录（单人）</w:t>
      </w:r>
    </w:p>
    <w:p>
      <w:pPr>
        <w:pStyle w:val="721"/>
        <w:numPr>
          <w:ilvl w:val="0"/>
          <w:numId w:val="87"/>
        </w:numPr>
        <w:ind w:left="420" w:firstLine="480"/>
        <w:rPr>
          <w:szCs w:val="24"/>
          <w:highlight w:val="none"/>
        </w:rPr>
      </w:pPr>
      <w:r>
        <w:rPr>
          <w:rFonts w:hint="eastAsia"/>
          <w:szCs w:val="24"/>
          <w:highlight w:val="none"/>
        </w:rPr>
        <w:t>支持患者体征信息录入</w:t>
      </w:r>
    </w:p>
    <w:p>
      <w:pPr>
        <w:pStyle w:val="721"/>
        <w:numPr>
          <w:ilvl w:val="0"/>
          <w:numId w:val="86"/>
        </w:numPr>
        <w:ind w:left="900" w:firstLineChars="0"/>
        <w:rPr>
          <w:b/>
          <w:bCs/>
          <w:szCs w:val="24"/>
          <w:highlight w:val="none"/>
        </w:rPr>
      </w:pPr>
      <w:r>
        <w:rPr>
          <w:rFonts w:hint="eastAsia"/>
          <w:b/>
          <w:bCs/>
          <w:szCs w:val="24"/>
          <w:highlight w:val="none"/>
        </w:rPr>
        <w:t>血糖记录单（单人）</w:t>
      </w:r>
    </w:p>
    <w:p>
      <w:pPr>
        <w:pStyle w:val="721"/>
        <w:numPr>
          <w:ilvl w:val="0"/>
          <w:numId w:val="87"/>
        </w:numPr>
        <w:ind w:left="420" w:firstLine="480"/>
        <w:rPr>
          <w:szCs w:val="24"/>
          <w:highlight w:val="none"/>
        </w:rPr>
      </w:pPr>
      <w:r>
        <w:rPr>
          <w:rFonts w:hint="eastAsia"/>
          <w:szCs w:val="24"/>
          <w:highlight w:val="none"/>
        </w:rPr>
        <w:t>支持患者血糖测量结果录入</w:t>
      </w:r>
    </w:p>
    <w:p>
      <w:pPr>
        <w:pStyle w:val="721"/>
        <w:numPr>
          <w:ilvl w:val="0"/>
          <w:numId w:val="67"/>
        </w:numPr>
        <w:ind w:left="900" w:firstLineChars="0"/>
        <w:rPr>
          <w:b/>
          <w:szCs w:val="24"/>
          <w:highlight w:val="none"/>
        </w:rPr>
      </w:pPr>
      <w:r>
        <w:rPr>
          <w:rFonts w:hint="eastAsia"/>
          <w:b/>
          <w:szCs w:val="24"/>
          <w:highlight w:val="none"/>
        </w:rPr>
        <w:t>查询统计</w:t>
      </w:r>
    </w:p>
    <w:p>
      <w:pPr>
        <w:pStyle w:val="721"/>
        <w:numPr>
          <w:ilvl w:val="0"/>
          <w:numId w:val="88"/>
        </w:numPr>
        <w:ind w:left="900" w:firstLineChars="0"/>
        <w:rPr>
          <w:b/>
          <w:bCs/>
          <w:szCs w:val="24"/>
          <w:highlight w:val="none"/>
        </w:rPr>
      </w:pPr>
      <w:r>
        <w:rPr>
          <w:rFonts w:hint="eastAsia"/>
          <w:b/>
          <w:bCs/>
          <w:szCs w:val="24"/>
          <w:highlight w:val="none"/>
        </w:rPr>
        <w:t>医嘱查询</w:t>
      </w:r>
    </w:p>
    <w:p>
      <w:pPr>
        <w:pStyle w:val="721"/>
        <w:numPr>
          <w:ilvl w:val="0"/>
          <w:numId w:val="87"/>
        </w:numPr>
        <w:ind w:left="420" w:firstLine="480"/>
        <w:rPr>
          <w:szCs w:val="24"/>
          <w:highlight w:val="none"/>
        </w:rPr>
      </w:pPr>
      <w:r>
        <w:rPr>
          <w:rFonts w:hint="eastAsia"/>
          <w:szCs w:val="24"/>
          <w:highlight w:val="none"/>
        </w:rPr>
        <w:t>按医嘱类型、当日明细等条件查看医嘱状态、医嘱内容、开始时间等信息</w:t>
      </w:r>
    </w:p>
    <w:p>
      <w:pPr>
        <w:pStyle w:val="721"/>
        <w:ind w:firstLine="480"/>
        <w:rPr>
          <w:szCs w:val="24"/>
          <w:highlight w:val="none"/>
        </w:rPr>
      </w:pPr>
    </w:p>
    <w:p>
      <w:pPr>
        <w:pStyle w:val="5"/>
        <w:rPr>
          <w:highlight w:val="none"/>
        </w:rPr>
      </w:pPr>
      <w:r>
        <w:rPr>
          <w:rFonts w:hint="eastAsia"/>
          <w:highlight w:val="none"/>
        </w:rPr>
        <w:t>管理</w:t>
      </w:r>
    </w:p>
    <w:p>
      <w:pPr>
        <w:pStyle w:val="6"/>
        <w:rPr>
          <w:highlight w:val="none"/>
        </w:rPr>
      </w:pPr>
      <w:r>
        <w:rPr>
          <w:rFonts w:hint="eastAsia"/>
          <w:highlight w:val="none"/>
        </w:rPr>
        <w:t>医务管理系统</w:t>
      </w:r>
    </w:p>
    <w:p>
      <w:pPr>
        <w:pStyle w:val="721"/>
        <w:ind w:firstLine="0" w:firstLineChars="0"/>
        <w:rPr>
          <w:szCs w:val="24"/>
          <w:highlight w:val="none"/>
        </w:rPr>
      </w:pPr>
      <w:r>
        <w:rPr>
          <w:rFonts w:hint="eastAsia"/>
          <w:szCs w:val="24"/>
          <w:highlight w:val="none"/>
        </w:rPr>
        <w:t>建设范围：嘉善县第一人民医院及北部分院</w:t>
      </w:r>
    </w:p>
    <w:tbl>
      <w:tblPr>
        <w:tblStyle w:val="65"/>
        <w:tblW w:w="56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1395"/>
        <w:gridCol w:w="2453"/>
        <w:gridCol w:w="5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39" w:type="pct"/>
            <w:vAlign w:val="center"/>
          </w:tcPr>
          <w:p>
            <w:pPr>
              <w:pStyle w:val="24"/>
              <w:ind w:right="102"/>
              <w:jc w:val="center"/>
              <w:rPr>
                <w:rFonts w:hAnsi="宋体"/>
                <w:b/>
                <w:bCs/>
                <w:highlight w:val="none"/>
              </w:rPr>
            </w:pPr>
            <w:r>
              <w:rPr>
                <w:rFonts w:hAnsi="宋体"/>
                <w:b/>
                <w:bCs/>
                <w:w w:val="105"/>
                <w:highlight w:val="none"/>
              </w:rPr>
              <w:t>序号</w:t>
            </w:r>
          </w:p>
        </w:tc>
        <w:tc>
          <w:tcPr>
            <w:tcW w:w="662" w:type="pct"/>
            <w:vAlign w:val="center"/>
          </w:tcPr>
          <w:p>
            <w:pPr>
              <w:pStyle w:val="24"/>
              <w:ind w:right="102"/>
              <w:jc w:val="center"/>
              <w:rPr>
                <w:rFonts w:hAnsi="宋体"/>
                <w:b/>
                <w:bCs/>
                <w:highlight w:val="none"/>
              </w:rPr>
            </w:pPr>
            <w:r>
              <w:rPr>
                <w:rFonts w:hAnsi="宋体"/>
                <w:b/>
                <w:bCs/>
                <w:spacing w:val="-14"/>
                <w:w w:val="105"/>
                <w:highlight w:val="none"/>
              </w:rPr>
              <w:t>产品名称</w:t>
            </w:r>
          </w:p>
        </w:tc>
        <w:tc>
          <w:tcPr>
            <w:tcW w:w="1164" w:type="pct"/>
            <w:vAlign w:val="center"/>
          </w:tcPr>
          <w:p>
            <w:pPr>
              <w:pStyle w:val="24"/>
              <w:ind w:right="102"/>
              <w:jc w:val="center"/>
              <w:rPr>
                <w:rFonts w:hAnsi="宋体"/>
                <w:highlight w:val="none"/>
              </w:rPr>
            </w:pPr>
            <w:r>
              <w:rPr>
                <w:rFonts w:hAnsi="宋体"/>
                <w:b/>
                <w:bCs/>
                <w:spacing w:val="-7"/>
                <w:w w:val="110"/>
                <w:position w:val="2"/>
                <w:highlight w:val="none"/>
              </w:rPr>
              <w:t>指标项</w:t>
            </w:r>
          </w:p>
        </w:tc>
        <w:tc>
          <w:tcPr>
            <w:tcW w:w="2735" w:type="pct"/>
            <w:vAlign w:val="center"/>
          </w:tcPr>
          <w:p>
            <w:pPr>
              <w:pStyle w:val="24"/>
              <w:ind w:right="102"/>
              <w:jc w:val="center"/>
              <w:rPr>
                <w:rFonts w:hAnsi="宋体"/>
                <w:highlight w:val="none"/>
              </w:rPr>
            </w:pPr>
            <w:r>
              <w:rPr>
                <w:rFonts w:hAnsi="宋体"/>
                <w:b/>
                <w:bCs/>
                <w:spacing w:val="-6"/>
                <w:w w:val="110"/>
                <w:highlight w:val="none"/>
              </w:rPr>
              <w:t>功能及技术</w:t>
            </w:r>
            <w:r>
              <w:rPr>
                <w:rFonts w:hint="eastAsia" w:hAnsi="宋体"/>
                <w:b/>
                <w:bCs/>
                <w:spacing w:val="-6"/>
                <w:w w:val="110"/>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restart"/>
          </w:tcPr>
          <w:p>
            <w:pPr>
              <w:rPr>
                <w:rFonts w:ascii="宋体" w:hAnsi="宋体"/>
                <w:b/>
                <w:bCs/>
                <w:sz w:val="24"/>
                <w:highlight w:val="none"/>
              </w:rPr>
            </w:pPr>
            <w:r>
              <w:rPr>
                <w:rFonts w:ascii="宋体" w:hAnsi="宋体"/>
                <w:b/>
                <w:bCs/>
                <w:sz w:val="24"/>
                <w:highlight w:val="none"/>
              </w:rPr>
              <w:t>1</w:t>
            </w:r>
          </w:p>
        </w:tc>
        <w:tc>
          <w:tcPr>
            <w:tcW w:w="662" w:type="pct"/>
            <w:vMerge w:val="restart"/>
          </w:tcPr>
          <w:p>
            <w:pPr>
              <w:rPr>
                <w:rFonts w:ascii="宋体" w:hAnsi="宋体"/>
                <w:b/>
                <w:bCs/>
                <w:sz w:val="24"/>
                <w:highlight w:val="none"/>
              </w:rPr>
            </w:pPr>
            <w:r>
              <w:rPr>
                <w:rFonts w:hint="eastAsia" w:ascii="宋体" w:hAnsi="宋体"/>
                <w:b/>
                <w:bCs/>
                <w:sz w:val="24"/>
                <w:highlight w:val="none"/>
              </w:rPr>
              <w:t>技术档案管理</w:t>
            </w:r>
          </w:p>
        </w:tc>
        <w:tc>
          <w:tcPr>
            <w:tcW w:w="1164" w:type="pct"/>
          </w:tcPr>
          <w:p>
            <w:pPr>
              <w:rPr>
                <w:rFonts w:ascii="宋体" w:hAnsi="宋体"/>
                <w:sz w:val="24"/>
                <w:highlight w:val="none"/>
              </w:rPr>
            </w:pPr>
            <w:r>
              <w:rPr>
                <w:rFonts w:hint="eastAsia" w:ascii="宋体" w:hAnsi="宋体"/>
                <w:sz w:val="24"/>
                <w:highlight w:val="none"/>
              </w:rPr>
              <w:t>一、人员基础信息管理模块</w:t>
            </w:r>
          </w:p>
        </w:tc>
        <w:tc>
          <w:tcPr>
            <w:tcW w:w="2735" w:type="pct"/>
          </w:tcPr>
          <w:p>
            <w:pPr>
              <w:rPr>
                <w:rFonts w:ascii="宋体" w:hAnsi="宋体"/>
                <w:sz w:val="24"/>
                <w:highlight w:val="none"/>
              </w:rPr>
            </w:pPr>
            <w:r>
              <w:rPr>
                <w:rFonts w:hint="eastAsia" w:ascii="宋体" w:hAnsi="宋体"/>
                <w:sz w:val="24"/>
                <w:highlight w:val="none"/>
              </w:rPr>
              <w:t>1、实现个人录入科室录入管理员录入</w:t>
            </w:r>
          </w:p>
          <w:p>
            <w:pPr>
              <w:rPr>
                <w:rFonts w:ascii="宋体" w:hAnsi="宋体"/>
                <w:sz w:val="24"/>
                <w:highlight w:val="none"/>
              </w:rPr>
            </w:pPr>
            <w:r>
              <w:rPr>
                <w:rFonts w:hint="eastAsia" w:ascii="宋体" w:hAnsi="宋体"/>
                <w:sz w:val="24"/>
                <w:highlight w:val="none"/>
              </w:rPr>
              <w:t>2、实现科室组织架构自行设置</w:t>
            </w:r>
          </w:p>
          <w:p>
            <w:pPr>
              <w:rPr>
                <w:rFonts w:ascii="宋体" w:hAnsi="宋体"/>
                <w:sz w:val="24"/>
                <w:highlight w:val="none"/>
              </w:rPr>
            </w:pPr>
            <w:r>
              <w:rPr>
                <w:rFonts w:hint="eastAsia" w:ascii="宋体" w:hAnsi="宋体"/>
                <w:sz w:val="24"/>
                <w:highlight w:val="none"/>
              </w:rPr>
              <w:t>3、实现人员类别管理，包括身份类别，执业类别，管理类别，岗位类别。所有类别要求医院可自行编辑。</w:t>
            </w:r>
          </w:p>
          <w:p>
            <w:pPr>
              <w:rPr>
                <w:rFonts w:ascii="宋体" w:hAnsi="宋体"/>
                <w:sz w:val="24"/>
                <w:highlight w:val="none"/>
              </w:rPr>
            </w:pPr>
            <w:r>
              <w:rPr>
                <w:rFonts w:hint="eastAsia" w:ascii="宋体" w:hAnsi="宋体"/>
                <w:sz w:val="24"/>
                <w:highlight w:val="none"/>
              </w:rPr>
              <w:t>4、实现查询导出功能</w:t>
            </w:r>
          </w:p>
          <w:p>
            <w:pPr>
              <w:rPr>
                <w:rFonts w:ascii="宋体" w:hAnsi="宋体"/>
                <w:sz w:val="24"/>
                <w:highlight w:val="none"/>
              </w:rPr>
            </w:pPr>
            <w:r>
              <w:rPr>
                <w:rFonts w:hint="eastAsia" w:ascii="宋体" w:hAnsi="宋体"/>
                <w:sz w:val="24"/>
                <w:highlight w:val="none"/>
              </w:rPr>
              <w:t>5、实现图片管理功能</w:t>
            </w:r>
          </w:p>
          <w:p>
            <w:pPr>
              <w:rPr>
                <w:rFonts w:ascii="宋体" w:hAnsi="宋体"/>
                <w:sz w:val="24"/>
                <w:highlight w:val="none"/>
              </w:rPr>
            </w:pPr>
            <w:r>
              <w:rPr>
                <w:rFonts w:hint="eastAsia" w:ascii="宋体" w:hAnsi="宋体"/>
                <w:sz w:val="24"/>
                <w:highlight w:val="none"/>
              </w:rPr>
              <w:t>6、实现自动统计工龄</w:t>
            </w:r>
          </w:p>
          <w:p>
            <w:pPr>
              <w:rPr>
                <w:rFonts w:ascii="宋体" w:hAnsi="宋体"/>
                <w:sz w:val="24"/>
                <w:highlight w:val="none"/>
              </w:rPr>
            </w:pPr>
            <w:r>
              <w:rPr>
                <w:rFonts w:hint="eastAsia" w:ascii="宋体" w:hAnsi="宋体"/>
                <w:sz w:val="24"/>
                <w:highlight w:val="none"/>
              </w:rPr>
              <w:t>7、实现在职离职员工分开管理</w:t>
            </w:r>
          </w:p>
          <w:p>
            <w:pPr>
              <w:rPr>
                <w:rFonts w:ascii="宋体" w:hAnsi="宋体"/>
                <w:sz w:val="24"/>
                <w:highlight w:val="none"/>
              </w:rPr>
            </w:pPr>
            <w:r>
              <w:rPr>
                <w:rFonts w:hint="eastAsia" w:ascii="宋体" w:hAnsi="宋体"/>
                <w:sz w:val="24"/>
                <w:highlight w:val="none"/>
              </w:rPr>
              <w:t>8、实现家庭关系管理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二、工作经历管理模块</w:t>
            </w:r>
          </w:p>
        </w:tc>
        <w:tc>
          <w:tcPr>
            <w:tcW w:w="2735" w:type="pct"/>
          </w:tcPr>
          <w:p>
            <w:pPr>
              <w:rPr>
                <w:rFonts w:ascii="宋体" w:hAnsi="宋体"/>
                <w:sz w:val="24"/>
                <w:highlight w:val="none"/>
              </w:rPr>
            </w:pPr>
            <w:r>
              <w:rPr>
                <w:rFonts w:hint="eastAsia" w:ascii="宋体" w:hAnsi="宋体"/>
                <w:sz w:val="24"/>
                <w:highlight w:val="none"/>
              </w:rPr>
              <w:t>1、实现个人录入科室录入管理员录入批量录入</w:t>
            </w:r>
          </w:p>
          <w:p>
            <w:pPr>
              <w:rPr>
                <w:rFonts w:ascii="宋体" w:hAnsi="宋体"/>
                <w:sz w:val="24"/>
                <w:highlight w:val="none"/>
              </w:rPr>
            </w:pPr>
            <w:r>
              <w:rPr>
                <w:rFonts w:hint="eastAsia" w:ascii="宋体" w:hAnsi="宋体"/>
                <w:sz w:val="24"/>
                <w:highlight w:val="none"/>
              </w:rPr>
              <w:t>2、实现非本职单位的工作经历管理</w:t>
            </w:r>
          </w:p>
          <w:p>
            <w:pPr>
              <w:rPr>
                <w:rFonts w:ascii="宋体" w:hAnsi="宋体"/>
                <w:sz w:val="24"/>
                <w:highlight w:val="none"/>
              </w:rPr>
            </w:pPr>
            <w:r>
              <w:rPr>
                <w:rFonts w:hint="eastAsia" w:ascii="宋体" w:hAnsi="宋体"/>
                <w:sz w:val="24"/>
                <w:highlight w:val="none"/>
              </w:rPr>
              <w:t>3、实现本单位工作轨迹管理</w:t>
            </w:r>
          </w:p>
          <w:p>
            <w:pPr>
              <w:rPr>
                <w:rFonts w:ascii="宋体" w:hAnsi="宋体"/>
                <w:sz w:val="24"/>
                <w:highlight w:val="none"/>
              </w:rPr>
            </w:pPr>
            <w:r>
              <w:rPr>
                <w:rFonts w:hint="eastAsia" w:ascii="宋体" w:hAnsi="宋体"/>
                <w:sz w:val="24"/>
                <w:highlight w:val="none"/>
              </w:rPr>
              <w:t>4、实现查询导出功能</w:t>
            </w:r>
          </w:p>
          <w:p>
            <w:pPr>
              <w:rPr>
                <w:rFonts w:ascii="宋体" w:hAnsi="宋体"/>
                <w:sz w:val="24"/>
                <w:highlight w:val="none"/>
              </w:rPr>
            </w:pPr>
            <w:r>
              <w:rPr>
                <w:rFonts w:hint="eastAsia" w:ascii="宋体" w:hAnsi="宋体"/>
                <w:sz w:val="24"/>
                <w:highlight w:val="none"/>
              </w:rPr>
              <w:t>5、实现图片管理功能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三、学历教育经历管理模块</w:t>
            </w:r>
          </w:p>
        </w:tc>
        <w:tc>
          <w:tcPr>
            <w:tcW w:w="2735" w:type="pct"/>
          </w:tcPr>
          <w:p>
            <w:pPr>
              <w:rPr>
                <w:rFonts w:ascii="宋体" w:hAnsi="宋体"/>
                <w:sz w:val="24"/>
                <w:highlight w:val="none"/>
              </w:rPr>
            </w:pPr>
            <w:r>
              <w:rPr>
                <w:rFonts w:hint="eastAsia" w:ascii="宋体" w:hAnsi="宋体"/>
                <w:sz w:val="24"/>
                <w:highlight w:val="none"/>
              </w:rPr>
              <w:t>1、实现个人录入科室录入管理员录入批量录入</w:t>
            </w:r>
          </w:p>
          <w:p>
            <w:pPr>
              <w:rPr>
                <w:rFonts w:ascii="宋体" w:hAnsi="宋体"/>
                <w:sz w:val="24"/>
                <w:highlight w:val="none"/>
              </w:rPr>
            </w:pPr>
            <w:r>
              <w:rPr>
                <w:rFonts w:hint="eastAsia" w:ascii="宋体" w:hAnsi="宋体"/>
                <w:sz w:val="24"/>
                <w:highlight w:val="none"/>
              </w:rPr>
              <w:t>2、实现全部教育经历管理</w:t>
            </w:r>
          </w:p>
          <w:p>
            <w:pPr>
              <w:rPr>
                <w:rFonts w:ascii="宋体" w:hAnsi="宋体"/>
                <w:sz w:val="24"/>
                <w:highlight w:val="none"/>
              </w:rPr>
            </w:pPr>
            <w:r>
              <w:rPr>
                <w:rFonts w:hint="eastAsia" w:ascii="宋体" w:hAnsi="宋体"/>
                <w:sz w:val="24"/>
                <w:highlight w:val="none"/>
              </w:rPr>
              <w:t>3、实现关联员工基础信息</w:t>
            </w:r>
          </w:p>
          <w:p>
            <w:pPr>
              <w:rPr>
                <w:rFonts w:ascii="宋体" w:hAnsi="宋体"/>
                <w:sz w:val="24"/>
                <w:highlight w:val="none"/>
              </w:rPr>
            </w:pPr>
            <w:r>
              <w:rPr>
                <w:rFonts w:hint="eastAsia" w:ascii="宋体" w:hAnsi="宋体"/>
                <w:sz w:val="24"/>
                <w:highlight w:val="none"/>
              </w:rPr>
              <w:t>4、实现所有学历证书图片管理功能</w:t>
            </w:r>
          </w:p>
          <w:p>
            <w:pPr>
              <w:rPr>
                <w:rFonts w:ascii="宋体" w:hAnsi="宋体"/>
                <w:sz w:val="24"/>
                <w:highlight w:val="none"/>
              </w:rPr>
            </w:pPr>
            <w:r>
              <w:rPr>
                <w:rFonts w:hint="eastAsia" w:ascii="宋体" w:hAnsi="宋体"/>
                <w:sz w:val="24"/>
                <w:highlight w:val="none"/>
              </w:rPr>
              <w:t>5、实现查询导出功能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四、职称评聘管理模块</w:t>
            </w:r>
          </w:p>
        </w:tc>
        <w:tc>
          <w:tcPr>
            <w:tcW w:w="2735" w:type="pct"/>
          </w:tcPr>
          <w:p>
            <w:pPr>
              <w:rPr>
                <w:rFonts w:ascii="宋体" w:hAnsi="宋体"/>
                <w:sz w:val="24"/>
                <w:highlight w:val="none"/>
              </w:rPr>
            </w:pPr>
            <w:r>
              <w:rPr>
                <w:rFonts w:ascii="宋体" w:hAnsi="宋体"/>
                <w:sz w:val="24"/>
                <w:highlight w:val="none"/>
              </w:rPr>
              <w:t>1、实现个人录入科室录入管理员录入批量录入</w:t>
            </w:r>
          </w:p>
          <w:p>
            <w:pPr>
              <w:rPr>
                <w:rFonts w:ascii="宋体" w:hAnsi="宋体"/>
                <w:sz w:val="24"/>
                <w:highlight w:val="none"/>
              </w:rPr>
            </w:pPr>
            <w:r>
              <w:rPr>
                <w:rFonts w:ascii="宋体" w:hAnsi="宋体"/>
                <w:sz w:val="24"/>
                <w:highlight w:val="none"/>
              </w:rPr>
              <w:t>2、实现职称关联基础数据，关联相关一些模块如技术授权，手术授权</w:t>
            </w:r>
          </w:p>
          <w:p>
            <w:pPr>
              <w:rPr>
                <w:rFonts w:ascii="宋体" w:hAnsi="宋体"/>
                <w:sz w:val="24"/>
                <w:highlight w:val="none"/>
              </w:rPr>
            </w:pPr>
            <w:r>
              <w:rPr>
                <w:rFonts w:ascii="宋体" w:hAnsi="宋体"/>
                <w:sz w:val="24"/>
                <w:highlight w:val="none"/>
              </w:rPr>
              <w:t>3、实现职称证书图片管理功能</w:t>
            </w:r>
          </w:p>
          <w:p>
            <w:pPr>
              <w:rPr>
                <w:rFonts w:ascii="宋体" w:hAnsi="宋体"/>
                <w:sz w:val="24"/>
                <w:highlight w:val="none"/>
              </w:rPr>
            </w:pPr>
            <w:r>
              <w:rPr>
                <w:rFonts w:ascii="宋体" w:hAnsi="宋体"/>
                <w:sz w:val="24"/>
                <w:highlight w:val="none"/>
              </w:rPr>
              <w:t>4、实现查询导出功能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五、资格证书管理模块</w:t>
            </w:r>
          </w:p>
        </w:tc>
        <w:tc>
          <w:tcPr>
            <w:tcW w:w="2735" w:type="pct"/>
          </w:tcPr>
          <w:p>
            <w:pPr>
              <w:ind w:firstLine="240" w:firstLineChars="100"/>
              <w:rPr>
                <w:rFonts w:ascii="宋体" w:hAnsi="宋体"/>
                <w:sz w:val="24"/>
                <w:highlight w:val="none"/>
              </w:rPr>
            </w:pPr>
            <w:r>
              <w:rPr>
                <w:rFonts w:ascii="宋体" w:hAnsi="宋体"/>
                <w:sz w:val="24"/>
                <w:highlight w:val="none"/>
              </w:rPr>
              <w:t>1、实现个人录入科室录入管理员录入批量录入</w:t>
            </w:r>
          </w:p>
          <w:p>
            <w:pPr>
              <w:ind w:firstLine="240" w:firstLineChars="100"/>
              <w:rPr>
                <w:rFonts w:ascii="宋体" w:hAnsi="宋体"/>
                <w:sz w:val="24"/>
                <w:highlight w:val="none"/>
              </w:rPr>
            </w:pPr>
            <w:r>
              <w:rPr>
                <w:rFonts w:ascii="宋体" w:hAnsi="宋体"/>
                <w:sz w:val="24"/>
                <w:highlight w:val="none"/>
              </w:rPr>
              <w:t>2、实现证书关联基础数据</w:t>
            </w:r>
          </w:p>
          <w:p>
            <w:pPr>
              <w:ind w:firstLine="240" w:firstLineChars="100"/>
              <w:rPr>
                <w:rFonts w:ascii="宋体" w:hAnsi="宋体"/>
                <w:sz w:val="24"/>
                <w:highlight w:val="none"/>
              </w:rPr>
            </w:pPr>
            <w:r>
              <w:rPr>
                <w:rFonts w:ascii="宋体" w:hAnsi="宋体"/>
                <w:sz w:val="24"/>
                <w:highlight w:val="none"/>
              </w:rPr>
              <w:t>3、实现证书图片管理</w:t>
            </w:r>
          </w:p>
          <w:p>
            <w:pPr>
              <w:rPr>
                <w:rFonts w:ascii="宋体" w:hAnsi="宋体"/>
                <w:sz w:val="24"/>
                <w:highlight w:val="none"/>
              </w:rPr>
            </w:pPr>
            <w:r>
              <w:rPr>
                <w:rFonts w:ascii="宋体" w:hAnsi="宋体"/>
                <w:sz w:val="24"/>
                <w:highlight w:val="none"/>
              </w:rPr>
              <w:t>4、实现查询导出功能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六、代表性学术论文管理</w:t>
            </w:r>
          </w:p>
          <w:p>
            <w:pPr>
              <w:rPr>
                <w:rFonts w:ascii="宋体" w:hAnsi="宋体"/>
                <w:sz w:val="24"/>
                <w:highlight w:val="none"/>
              </w:rPr>
            </w:pPr>
          </w:p>
        </w:tc>
        <w:tc>
          <w:tcPr>
            <w:tcW w:w="2735" w:type="pct"/>
          </w:tcPr>
          <w:p>
            <w:pPr>
              <w:rPr>
                <w:rFonts w:ascii="宋体" w:hAnsi="宋体"/>
                <w:sz w:val="24"/>
                <w:highlight w:val="none"/>
              </w:rPr>
            </w:pPr>
            <w:r>
              <w:rPr>
                <w:rFonts w:hint="eastAsia" w:ascii="宋体" w:hAnsi="宋体"/>
                <w:sz w:val="24"/>
                <w:highlight w:val="none"/>
              </w:rPr>
              <w:t>1、实现个人录入科室录入管理员录入批量录入</w:t>
            </w:r>
          </w:p>
          <w:p>
            <w:pPr>
              <w:rPr>
                <w:rFonts w:ascii="宋体" w:hAnsi="宋体"/>
                <w:sz w:val="24"/>
                <w:highlight w:val="none"/>
              </w:rPr>
            </w:pPr>
            <w:r>
              <w:rPr>
                <w:rFonts w:hint="eastAsia" w:ascii="宋体" w:hAnsi="宋体"/>
                <w:sz w:val="24"/>
                <w:highlight w:val="none"/>
              </w:rPr>
              <w:t>2、实现论文相关属性的自定义修改</w:t>
            </w:r>
          </w:p>
          <w:p>
            <w:pPr>
              <w:rPr>
                <w:rFonts w:ascii="宋体" w:hAnsi="宋体"/>
                <w:sz w:val="24"/>
                <w:highlight w:val="none"/>
              </w:rPr>
            </w:pPr>
            <w:r>
              <w:rPr>
                <w:rFonts w:hint="eastAsia" w:ascii="宋体" w:hAnsi="宋体"/>
                <w:sz w:val="24"/>
                <w:highlight w:val="none"/>
              </w:rPr>
              <w:t>3、实现记录论文发表时间刊物类别期刊级别刊号增刊个案作者属性的记录和管理</w:t>
            </w:r>
          </w:p>
          <w:p>
            <w:pPr>
              <w:rPr>
                <w:rFonts w:ascii="宋体" w:hAnsi="宋体"/>
                <w:sz w:val="24"/>
                <w:highlight w:val="none"/>
              </w:rPr>
            </w:pPr>
            <w:r>
              <w:rPr>
                <w:rFonts w:ascii="宋体" w:hAnsi="宋体"/>
                <w:sz w:val="24"/>
                <w:highlight w:val="none"/>
              </w:rPr>
              <w:t>4、实现论文学分管理</w:t>
            </w:r>
          </w:p>
          <w:p>
            <w:pPr>
              <w:rPr>
                <w:rFonts w:ascii="宋体" w:hAnsi="宋体"/>
                <w:sz w:val="24"/>
                <w:highlight w:val="none"/>
              </w:rPr>
            </w:pPr>
            <w:r>
              <w:rPr>
                <w:rFonts w:ascii="宋体" w:hAnsi="宋体"/>
                <w:sz w:val="24"/>
                <w:highlight w:val="none"/>
              </w:rPr>
              <w:t>5、实现论文电子档扫描图片管理</w:t>
            </w:r>
          </w:p>
          <w:p>
            <w:pPr>
              <w:rPr>
                <w:rFonts w:ascii="宋体" w:hAnsi="宋体"/>
                <w:sz w:val="24"/>
                <w:highlight w:val="none"/>
              </w:rPr>
            </w:pPr>
            <w:r>
              <w:rPr>
                <w:rFonts w:ascii="宋体" w:hAnsi="宋体"/>
                <w:sz w:val="24"/>
                <w:highlight w:val="none"/>
              </w:rPr>
              <w:t>6、实现查询导出功能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七、专著教材管理</w:t>
            </w:r>
          </w:p>
          <w:p>
            <w:pPr>
              <w:rPr>
                <w:rFonts w:ascii="宋体" w:hAnsi="宋体"/>
                <w:sz w:val="24"/>
                <w:highlight w:val="none"/>
              </w:rPr>
            </w:pPr>
          </w:p>
        </w:tc>
        <w:tc>
          <w:tcPr>
            <w:tcW w:w="2735" w:type="pct"/>
          </w:tcPr>
          <w:p>
            <w:pPr>
              <w:rPr>
                <w:rFonts w:ascii="宋体" w:hAnsi="宋体"/>
                <w:sz w:val="24"/>
                <w:highlight w:val="none"/>
              </w:rPr>
            </w:pPr>
            <w:r>
              <w:rPr>
                <w:rFonts w:hint="eastAsia" w:ascii="宋体" w:hAnsi="宋体"/>
                <w:sz w:val="24"/>
                <w:highlight w:val="none"/>
              </w:rPr>
              <w:t>1、实现个人录入科室录入管理员录入批量录入</w:t>
            </w:r>
          </w:p>
          <w:p>
            <w:pPr>
              <w:rPr>
                <w:rFonts w:ascii="宋体" w:hAnsi="宋体"/>
                <w:sz w:val="24"/>
                <w:highlight w:val="none"/>
              </w:rPr>
            </w:pPr>
            <w:r>
              <w:rPr>
                <w:rFonts w:hint="eastAsia" w:ascii="宋体" w:hAnsi="宋体"/>
                <w:sz w:val="24"/>
                <w:highlight w:val="none"/>
              </w:rPr>
              <w:t>2、实现教材相关属性的自定义修改</w:t>
            </w:r>
          </w:p>
          <w:p>
            <w:pPr>
              <w:rPr>
                <w:rFonts w:ascii="宋体" w:hAnsi="宋体"/>
                <w:sz w:val="24"/>
                <w:highlight w:val="none"/>
              </w:rPr>
            </w:pPr>
            <w:r>
              <w:rPr>
                <w:rFonts w:hint="eastAsia" w:ascii="宋体" w:hAnsi="宋体"/>
                <w:sz w:val="24"/>
                <w:highlight w:val="none"/>
              </w:rPr>
              <w:t>3、实现教材中的出版社出版时间出版社类别作者属性的管理</w:t>
            </w:r>
          </w:p>
          <w:p>
            <w:pPr>
              <w:rPr>
                <w:rFonts w:ascii="宋体" w:hAnsi="宋体"/>
                <w:sz w:val="24"/>
                <w:highlight w:val="none"/>
              </w:rPr>
            </w:pPr>
            <w:r>
              <w:rPr>
                <w:rFonts w:hint="eastAsia" w:ascii="宋体" w:hAnsi="宋体"/>
                <w:sz w:val="24"/>
                <w:highlight w:val="none"/>
              </w:rPr>
              <w:t>4、实现论文学分管理</w:t>
            </w:r>
          </w:p>
          <w:p>
            <w:pPr>
              <w:rPr>
                <w:rFonts w:ascii="宋体" w:hAnsi="宋体"/>
                <w:sz w:val="24"/>
                <w:highlight w:val="none"/>
              </w:rPr>
            </w:pPr>
            <w:r>
              <w:rPr>
                <w:rFonts w:hint="eastAsia" w:ascii="宋体" w:hAnsi="宋体"/>
                <w:sz w:val="24"/>
                <w:highlight w:val="none"/>
              </w:rPr>
              <w:t>5、实现教材图片管理</w:t>
            </w:r>
          </w:p>
          <w:p>
            <w:pPr>
              <w:rPr>
                <w:rFonts w:ascii="宋体" w:hAnsi="宋体"/>
                <w:sz w:val="24"/>
                <w:highlight w:val="none"/>
              </w:rPr>
            </w:pPr>
            <w:r>
              <w:rPr>
                <w:rFonts w:hint="eastAsia" w:ascii="宋体" w:hAnsi="宋体"/>
                <w:sz w:val="24"/>
                <w:highlight w:val="none"/>
              </w:rPr>
              <w:t>6、实现查询导出功能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八、科研情况管理模块</w:t>
            </w:r>
          </w:p>
        </w:tc>
        <w:tc>
          <w:tcPr>
            <w:tcW w:w="2735" w:type="pct"/>
          </w:tcPr>
          <w:p>
            <w:pPr>
              <w:rPr>
                <w:rFonts w:ascii="宋体" w:hAnsi="宋体"/>
                <w:sz w:val="24"/>
                <w:highlight w:val="none"/>
              </w:rPr>
            </w:pPr>
            <w:r>
              <w:rPr>
                <w:rFonts w:ascii="宋体" w:hAnsi="宋体"/>
                <w:sz w:val="24"/>
                <w:highlight w:val="none"/>
              </w:rPr>
              <w:t>1、实现个人录入科室录入管理员录入批量录入</w:t>
            </w:r>
          </w:p>
          <w:p>
            <w:pPr>
              <w:rPr>
                <w:rFonts w:ascii="宋体" w:hAnsi="宋体"/>
                <w:sz w:val="24"/>
                <w:highlight w:val="none"/>
              </w:rPr>
            </w:pPr>
            <w:r>
              <w:rPr>
                <w:rFonts w:ascii="宋体" w:hAnsi="宋体"/>
                <w:sz w:val="24"/>
                <w:highlight w:val="none"/>
              </w:rPr>
              <w:t>2、实现科研项目的立项时间来源科研级别完成状况鉴定水平科研经费的管理</w:t>
            </w:r>
          </w:p>
          <w:p>
            <w:pPr>
              <w:rPr>
                <w:rFonts w:ascii="宋体" w:hAnsi="宋体"/>
                <w:sz w:val="24"/>
                <w:highlight w:val="none"/>
              </w:rPr>
            </w:pPr>
            <w:r>
              <w:rPr>
                <w:rFonts w:ascii="宋体" w:hAnsi="宋体"/>
                <w:sz w:val="24"/>
                <w:highlight w:val="none"/>
              </w:rPr>
              <w:t>3、实现科研项目的一些自定义属性设置</w:t>
            </w:r>
          </w:p>
          <w:p>
            <w:pPr>
              <w:rPr>
                <w:rFonts w:ascii="宋体" w:hAnsi="宋体"/>
                <w:sz w:val="24"/>
                <w:highlight w:val="none"/>
              </w:rPr>
            </w:pPr>
            <w:r>
              <w:rPr>
                <w:rFonts w:ascii="宋体" w:hAnsi="宋体"/>
                <w:sz w:val="24"/>
                <w:highlight w:val="none"/>
              </w:rPr>
              <w:t>4、实现科研项目学分管理</w:t>
            </w:r>
          </w:p>
          <w:p>
            <w:pPr>
              <w:rPr>
                <w:rFonts w:ascii="宋体" w:hAnsi="宋体"/>
                <w:sz w:val="24"/>
                <w:highlight w:val="none"/>
              </w:rPr>
            </w:pPr>
            <w:r>
              <w:rPr>
                <w:rFonts w:ascii="宋体" w:hAnsi="宋体"/>
                <w:sz w:val="24"/>
                <w:highlight w:val="none"/>
              </w:rPr>
              <w:t>5、实现科研项目相关图片证明管理</w:t>
            </w:r>
          </w:p>
          <w:p>
            <w:pPr>
              <w:rPr>
                <w:rFonts w:ascii="宋体" w:hAnsi="宋体"/>
                <w:sz w:val="24"/>
                <w:highlight w:val="none"/>
              </w:rPr>
            </w:pPr>
            <w:r>
              <w:rPr>
                <w:rFonts w:ascii="宋体" w:hAnsi="宋体"/>
                <w:sz w:val="24"/>
                <w:highlight w:val="none"/>
              </w:rPr>
              <w:t>6、实现查询导出功能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九、新技术新项目管理模块</w:t>
            </w:r>
          </w:p>
        </w:tc>
        <w:tc>
          <w:tcPr>
            <w:tcW w:w="2735" w:type="pct"/>
          </w:tcPr>
          <w:p>
            <w:pPr>
              <w:rPr>
                <w:rFonts w:ascii="宋体" w:hAnsi="宋体"/>
                <w:sz w:val="24"/>
                <w:highlight w:val="none"/>
              </w:rPr>
            </w:pPr>
            <w:r>
              <w:rPr>
                <w:rFonts w:hint="eastAsia" w:ascii="宋体" w:hAnsi="宋体"/>
                <w:sz w:val="24"/>
                <w:highlight w:val="none"/>
              </w:rPr>
              <w:t>1、实现个人录入科室录入管理员录入批量录入</w:t>
            </w:r>
          </w:p>
          <w:p>
            <w:pPr>
              <w:rPr>
                <w:rFonts w:ascii="宋体" w:hAnsi="宋体"/>
                <w:sz w:val="24"/>
                <w:highlight w:val="none"/>
              </w:rPr>
            </w:pPr>
            <w:r>
              <w:rPr>
                <w:rFonts w:hint="eastAsia" w:ascii="宋体" w:hAnsi="宋体"/>
                <w:sz w:val="24"/>
                <w:highlight w:val="none"/>
              </w:rPr>
              <w:t>2、实现完成状态完成情况的建档</w:t>
            </w:r>
          </w:p>
          <w:p>
            <w:pPr>
              <w:rPr>
                <w:rFonts w:ascii="宋体" w:hAnsi="宋体"/>
                <w:sz w:val="24"/>
                <w:highlight w:val="none"/>
              </w:rPr>
            </w:pPr>
            <w:r>
              <w:rPr>
                <w:rFonts w:hint="eastAsia" w:ascii="宋体" w:hAnsi="宋体"/>
                <w:sz w:val="24"/>
                <w:highlight w:val="none"/>
              </w:rPr>
              <w:t>3、实现自主设置属性</w:t>
            </w:r>
          </w:p>
          <w:p>
            <w:pPr>
              <w:rPr>
                <w:rFonts w:ascii="宋体" w:hAnsi="宋体"/>
                <w:sz w:val="24"/>
                <w:highlight w:val="none"/>
              </w:rPr>
            </w:pPr>
            <w:r>
              <w:rPr>
                <w:rFonts w:hint="eastAsia" w:ascii="宋体" w:hAnsi="宋体"/>
                <w:sz w:val="24"/>
                <w:highlight w:val="none"/>
              </w:rPr>
              <w:t>4、实现图片管理</w:t>
            </w:r>
          </w:p>
          <w:p>
            <w:pPr>
              <w:rPr>
                <w:rFonts w:ascii="宋体" w:hAnsi="宋体"/>
                <w:sz w:val="24"/>
                <w:highlight w:val="none"/>
              </w:rPr>
            </w:pPr>
            <w:r>
              <w:rPr>
                <w:rFonts w:hint="eastAsia" w:ascii="宋体" w:hAnsi="宋体"/>
                <w:sz w:val="24"/>
                <w:highlight w:val="none"/>
              </w:rPr>
              <w:t>5、实现查询导出</w:t>
            </w:r>
          </w:p>
          <w:p>
            <w:pPr>
              <w:rPr>
                <w:rFonts w:ascii="宋体" w:hAnsi="宋体"/>
                <w:sz w:val="24"/>
                <w:highlight w:val="none"/>
              </w:rPr>
            </w:pPr>
            <w:r>
              <w:rPr>
                <w:rFonts w:hint="eastAsia" w:ascii="宋体" w:hAnsi="宋体"/>
                <w:sz w:val="24"/>
                <w:highlight w:val="none"/>
              </w:rPr>
              <w:t>6、实现与技术授权管理系统的数据关联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十、培训情况管理模块</w:t>
            </w:r>
          </w:p>
        </w:tc>
        <w:tc>
          <w:tcPr>
            <w:tcW w:w="2735" w:type="pct"/>
          </w:tcPr>
          <w:p>
            <w:pPr>
              <w:rPr>
                <w:rFonts w:ascii="宋体" w:hAnsi="宋体"/>
                <w:sz w:val="24"/>
                <w:highlight w:val="none"/>
              </w:rPr>
            </w:pPr>
            <w:r>
              <w:rPr>
                <w:rFonts w:ascii="宋体" w:hAnsi="宋体"/>
                <w:sz w:val="24"/>
                <w:highlight w:val="none"/>
              </w:rPr>
              <w:t>1、实现个人录入科室录入管理员录入批量录入</w:t>
            </w:r>
          </w:p>
          <w:p>
            <w:pPr>
              <w:rPr>
                <w:rFonts w:ascii="宋体" w:hAnsi="宋体"/>
                <w:sz w:val="24"/>
                <w:highlight w:val="none"/>
              </w:rPr>
            </w:pPr>
            <w:r>
              <w:rPr>
                <w:rFonts w:ascii="宋体" w:hAnsi="宋体"/>
                <w:sz w:val="24"/>
                <w:highlight w:val="none"/>
              </w:rPr>
              <w:t>2、实现培训开始结束时间参与方式学习方式活动名称培训性质主办单位培训地点培训结果的管理</w:t>
            </w:r>
          </w:p>
          <w:p>
            <w:pPr>
              <w:rPr>
                <w:rFonts w:ascii="宋体" w:hAnsi="宋体"/>
                <w:sz w:val="24"/>
                <w:highlight w:val="none"/>
              </w:rPr>
            </w:pPr>
            <w:r>
              <w:rPr>
                <w:rFonts w:ascii="宋体" w:hAnsi="宋体"/>
                <w:sz w:val="24"/>
                <w:highlight w:val="none"/>
              </w:rPr>
              <w:t>3、实现培训模块的属性自定义设置</w:t>
            </w:r>
          </w:p>
          <w:p>
            <w:pPr>
              <w:rPr>
                <w:rFonts w:ascii="宋体" w:hAnsi="宋体"/>
                <w:sz w:val="24"/>
                <w:highlight w:val="none"/>
              </w:rPr>
            </w:pPr>
            <w:r>
              <w:rPr>
                <w:rFonts w:ascii="宋体" w:hAnsi="宋体"/>
                <w:sz w:val="24"/>
                <w:highlight w:val="none"/>
              </w:rPr>
              <w:t>4、实现培训相关图片文档的管理</w:t>
            </w:r>
          </w:p>
          <w:p>
            <w:pPr>
              <w:rPr>
                <w:rFonts w:ascii="宋体" w:hAnsi="宋体"/>
                <w:sz w:val="24"/>
                <w:highlight w:val="none"/>
              </w:rPr>
            </w:pPr>
            <w:r>
              <w:rPr>
                <w:rFonts w:ascii="宋体" w:hAnsi="宋体"/>
                <w:sz w:val="24"/>
                <w:highlight w:val="none"/>
              </w:rPr>
              <w:t>5、实现查询导出功能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十一、考核情况管理模块</w:t>
            </w:r>
          </w:p>
        </w:tc>
        <w:tc>
          <w:tcPr>
            <w:tcW w:w="2735" w:type="pct"/>
          </w:tcPr>
          <w:p>
            <w:pPr>
              <w:rPr>
                <w:rFonts w:ascii="宋体" w:hAnsi="宋体"/>
                <w:sz w:val="24"/>
                <w:highlight w:val="none"/>
              </w:rPr>
            </w:pPr>
            <w:r>
              <w:rPr>
                <w:rFonts w:ascii="宋体" w:hAnsi="宋体"/>
                <w:sz w:val="24"/>
                <w:highlight w:val="none"/>
              </w:rPr>
              <w:t>1、实现个人录入科室录入管理员录入批量录入</w:t>
            </w:r>
          </w:p>
          <w:p>
            <w:pPr>
              <w:rPr>
                <w:rFonts w:ascii="宋体" w:hAnsi="宋体"/>
                <w:sz w:val="24"/>
                <w:highlight w:val="none"/>
              </w:rPr>
            </w:pPr>
            <w:r>
              <w:rPr>
                <w:rFonts w:ascii="宋体" w:hAnsi="宋体"/>
                <w:sz w:val="24"/>
                <w:highlight w:val="none"/>
              </w:rPr>
              <w:t>2、实现三基考核定期考核年度考核情况的记录管理</w:t>
            </w:r>
          </w:p>
          <w:p>
            <w:pPr>
              <w:rPr>
                <w:rFonts w:ascii="宋体" w:hAnsi="宋体"/>
                <w:sz w:val="24"/>
                <w:highlight w:val="none"/>
              </w:rPr>
            </w:pPr>
            <w:r>
              <w:rPr>
                <w:rFonts w:ascii="宋体" w:hAnsi="宋体"/>
                <w:sz w:val="24"/>
                <w:highlight w:val="none"/>
              </w:rPr>
              <w:t>3、实现各类考核的自定义设置</w:t>
            </w:r>
          </w:p>
          <w:p>
            <w:pPr>
              <w:rPr>
                <w:rFonts w:ascii="宋体" w:hAnsi="宋体"/>
                <w:sz w:val="24"/>
                <w:highlight w:val="none"/>
              </w:rPr>
            </w:pPr>
            <w:r>
              <w:rPr>
                <w:rFonts w:ascii="宋体" w:hAnsi="宋体"/>
                <w:sz w:val="24"/>
                <w:highlight w:val="none"/>
              </w:rPr>
              <w:t>4、实现相关图片的管理</w:t>
            </w:r>
          </w:p>
          <w:p>
            <w:pPr>
              <w:rPr>
                <w:rFonts w:ascii="宋体" w:hAnsi="宋体"/>
                <w:sz w:val="24"/>
                <w:highlight w:val="none"/>
              </w:rPr>
            </w:pPr>
            <w:r>
              <w:rPr>
                <w:rFonts w:ascii="宋体" w:hAnsi="宋体"/>
                <w:sz w:val="24"/>
                <w:highlight w:val="none"/>
              </w:rPr>
              <w:t>5、实现查询导出功能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十二、重大医疗活动管理模块</w:t>
            </w:r>
          </w:p>
        </w:tc>
        <w:tc>
          <w:tcPr>
            <w:tcW w:w="2735" w:type="pct"/>
          </w:tcPr>
          <w:p>
            <w:pPr>
              <w:rPr>
                <w:rFonts w:ascii="宋体" w:hAnsi="宋体"/>
                <w:sz w:val="24"/>
                <w:highlight w:val="none"/>
              </w:rPr>
            </w:pPr>
            <w:r>
              <w:rPr>
                <w:rFonts w:ascii="宋体" w:hAnsi="宋体"/>
                <w:sz w:val="24"/>
                <w:highlight w:val="none"/>
              </w:rPr>
              <w:t>1、实现个人录入科室录入管理员录入批量录入</w:t>
            </w:r>
          </w:p>
          <w:p>
            <w:pPr>
              <w:rPr>
                <w:rFonts w:ascii="宋体" w:hAnsi="宋体"/>
                <w:sz w:val="24"/>
                <w:highlight w:val="none"/>
              </w:rPr>
            </w:pPr>
            <w:r>
              <w:rPr>
                <w:rFonts w:ascii="宋体" w:hAnsi="宋体"/>
                <w:sz w:val="24"/>
                <w:highlight w:val="none"/>
              </w:rPr>
              <w:t>2、实现下乡支农义诊等等医疗活动的管理</w:t>
            </w:r>
          </w:p>
          <w:p>
            <w:pPr>
              <w:rPr>
                <w:rFonts w:ascii="宋体" w:hAnsi="宋体"/>
                <w:sz w:val="24"/>
                <w:highlight w:val="none"/>
              </w:rPr>
            </w:pPr>
            <w:r>
              <w:rPr>
                <w:rFonts w:ascii="宋体" w:hAnsi="宋体"/>
                <w:sz w:val="24"/>
                <w:highlight w:val="none"/>
              </w:rPr>
              <w:t>3、实现各类医疗活动的自定义配置</w:t>
            </w:r>
          </w:p>
          <w:p>
            <w:pPr>
              <w:rPr>
                <w:rFonts w:ascii="宋体" w:hAnsi="宋体"/>
                <w:sz w:val="24"/>
                <w:highlight w:val="none"/>
              </w:rPr>
            </w:pPr>
            <w:r>
              <w:rPr>
                <w:rFonts w:ascii="宋体" w:hAnsi="宋体"/>
                <w:sz w:val="24"/>
                <w:highlight w:val="none"/>
              </w:rPr>
              <w:t>4、实现各类医疗活动时间地点形式情况的记录管理</w:t>
            </w:r>
          </w:p>
          <w:p>
            <w:pPr>
              <w:rPr>
                <w:rFonts w:ascii="宋体" w:hAnsi="宋体"/>
                <w:sz w:val="24"/>
                <w:highlight w:val="none"/>
              </w:rPr>
            </w:pPr>
            <w:r>
              <w:rPr>
                <w:rFonts w:ascii="宋体" w:hAnsi="宋体"/>
                <w:sz w:val="24"/>
                <w:highlight w:val="none"/>
              </w:rPr>
              <w:t>5、实现学分管理</w:t>
            </w:r>
          </w:p>
          <w:p>
            <w:pPr>
              <w:rPr>
                <w:rFonts w:ascii="宋体" w:hAnsi="宋体"/>
                <w:sz w:val="24"/>
                <w:highlight w:val="none"/>
              </w:rPr>
            </w:pPr>
            <w:r>
              <w:rPr>
                <w:rFonts w:ascii="宋体" w:hAnsi="宋体"/>
                <w:sz w:val="24"/>
                <w:highlight w:val="none"/>
              </w:rPr>
              <w:t>6、实现图片管理</w:t>
            </w:r>
          </w:p>
          <w:p>
            <w:pPr>
              <w:rPr>
                <w:rFonts w:ascii="宋体" w:hAnsi="宋体"/>
                <w:sz w:val="24"/>
                <w:highlight w:val="none"/>
              </w:rPr>
            </w:pPr>
            <w:r>
              <w:rPr>
                <w:rFonts w:ascii="宋体" w:hAnsi="宋体"/>
                <w:sz w:val="24"/>
                <w:highlight w:val="none"/>
              </w:rPr>
              <w:t>7、实现查询导出功能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tabs>
                <w:tab w:val="left" w:pos="1758"/>
              </w:tabs>
              <w:rPr>
                <w:rFonts w:ascii="宋体" w:hAnsi="宋体"/>
                <w:sz w:val="24"/>
                <w:highlight w:val="none"/>
              </w:rPr>
            </w:pPr>
            <w:r>
              <w:rPr>
                <w:rFonts w:hint="eastAsia" w:ascii="宋体" w:hAnsi="宋体"/>
                <w:sz w:val="24"/>
                <w:highlight w:val="none"/>
              </w:rPr>
              <w:t>十三、技术竞赛管理模块</w:t>
            </w:r>
          </w:p>
        </w:tc>
        <w:tc>
          <w:tcPr>
            <w:tcW w:w="2735" w:type="pct"/>
          </w:tcPr>
          <w:p>
            <w:pPr>
              <w:rPr>
                <w:rFonts w:ascii="宋体" w:hAnsi="宋体"/>
                <w:sz w:val="24"/>
                <w:highlight w:val="none"/>
              </w:rPr>
            </w:pPr>
            <w:r>
              <w:rPr>
                <w:rFonts w:ascii="宋体" w:hAnsi="宋体"/>
                <w:sz w:val="24"/>
                <w:highlight w:val="none"/>
              </w:rPr>
              <w:t>1、实现个人录入科室录入管理员录入批量录入</w:t>
            </w:r>
          </w:p>
          <w:p>
            <w:pPr>
              <w:rPr>
                <w:rFonts w:ascii="宋体" w:hAnsi="宋体"/>
                <w:sz w:val="24"/>
                <w:highlight w:val="none"/>
              </w:rPr>
            </w:pPr>
            <w:r>
              <w:rPr>
                <w:rFonts w:ascii="宋体" w:hAnsi="宋体"/>
                <w:sz w:val="24"/>
                <w:highlight w:val="none"/>
              </w:rPr>
              <w:t>2、实现竞赛开始结束时间比赛类型比赛地点颁奖单位比赛记录等情况的记录管理</w:t>
            </w:r>
          </w:p>
          <w:p>
            <w:pPr>
              <w:rPr>
                <w:rFonts w:ascii="宋体" w:hAnsi="宋体"/>
                <w:sz w:val="24"/>
                <w:highlight w:val="none"/>
              </w:rPr>
            </w:pPr>
            <w:r>
              <w:rPr>
                <w:rFonts w:ascii="宋体" w:hAnsi="宋体"/>
                <w:sz w:val="24"/>
                <w:highlight w:val="none"/>
              </w:rPr>
              <w:t>3、实现竞赛类型的自定义配置</w:t>
            </w:r>
          </w:p>
          <w:p>
            <w:pPr>
              <w:rPr>
                <w:rFonts w:ascii="宋体" w:hAnsi="宋体"/>
                <w:sz w:val="24"/>
                <w:highlight w:val="none"/>
              </w:rPr>
            </w:pPr>
            <w:r>
              <w:rPr>
                <w:rFonts w:ascii="宋体" w:hAnsi="宋体"/>
                <w:sz w:val="24"/>
                <w:highlight w:val="none"/>
              </w:rPr>
              <w:t>4、实现图片管理、</w:t>
            </w:r>
          </w:p>
          <w:p>
            <w:pPr>
              <w:rPr>
                <w:rFonts w:ascii="宋体" w:hAnsi="宋体"/>
                <w:sz w:val="24"/>
                <w:highlight w:val="none"/>
              </w:rPr>
            </w:pPr>
            <w:r>
              <w:rPr>
                <w:rFonts w:ascii="宋体" w:hAnsi="宋体"/>
                <w:sz w:val="24"/>
                <w:highlight w:val="none"/>
              </w:rPr>
              <w:t>5、实现查询导出功能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十四、医疗纠纷投诉管理模块</w:t>
            </w:r>
          </w:p>
        </w:tc>
        <w:tc>
          <w:tcPr>
            <w:tcW w:w="2735" w:type="pct"/>
          </w:tcPr>
          <w:p>
            <w:pPr>
              <w:rPr>
                <w:rFonts w:ascii="宋体" w:hAnsi="宋体"/>
                <w:sz w:val="24"/>
                <w:highlight w:val="none"/>
              </w:rPr>
            </w:pPr>
            <w:r>
              <w:rPr>
                <w:rFonts w:ascii="宋体" w:hAnsi="宋体"/>
                <w:sz w:val="24"/>
                <w:highlight w:val="none"/>
              </w:rPr>
              <w:t>1、实现个人录入科室录入管理员录入批量录入</w:t>
            </w:r>
          </w:p>
          <w:p>
            <w:pPr>
              <w:rPr>
                <w:rFonts w:ascii="宋体" w:hAnsi="宋体"/>
                <w:sz w:val="24"/>
                <w:highlight w:val="none"/>
              </w:rPr>
            </w:pPr>
            <w:r>
              <w:rPr>
                <w:rFonts w:ascii="宋体" w:hAnsi="宋体"/>
                <w:sz w:val="24"/>
                <w:highlight w:val="none"/>
              </w:rPr>
              <w:t>2、实现发生时间时间性质情况摘要处理情况赔偿情况等情况的记录管理</w:t>
            </w:r>
          </w:p>
          <w:p>
            <w:pPr>
              <w:rPr>
                <w:rFonts w:ascii="宋体" w:hAnsi="宋体"/>
                <w:sz w:val="24"/>
                <w:highlight w:val="none"/>
              </w:rPr>
            </w:pPr>
            <w:r>
              <w:rPr>
                <w:rFonts w:ascii="宋体" w:hAnsi="宋体"/>
                <w:sz w:val="24"/>
                <w:highlight w:val="none"/>
              </w:rPr>
              <w:t>3、实现模块的自定义设置</w:t>
            </w:r>
          </w:p>
          <w:p>
            <w:pPr>
              <w:rPr>
                <w:rFonts w:ascii="宋体" w:hAnsi="宋体"/>
                <w:sz w:val="24"/>
                <w:highlight w:val="none"/>
              </w:rPr>
            </w:pPr>
            <w:r>
              <w:rPr>
                <w:rFonts w:ascii="宋体" w:hAnsi="宋体"/>
                <w:sz w:val="24"/>
                <w:highlight w:val="none"/>
              </w:rPr>
              <w:t>4、实现图片管理</w:t>
            </w:r>
          </w:p>
          <w:p>
            <w:pPr>
              <w:rPr>
                <w:rFonts w:ascii="宋体" w:hAnsi="宋体"/>
                <w:sz w:val="24"/>
                <w:highlight w:val="none"/>
              </w:rPr>
            </w:pPr>
            <w:r>
              <w:rPr>
                <w:rFonts w:ascii="宋体" w:hAnsi="宋体"/>
                <w:sz w:val="24"/>
                <w:highlight w:val="none"/>
              </w:rPr>
              <w:t>5、实现查询导出功能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十五、外出进修学习管理模块</w:t>
            </w:r>
          </w:p>
        </w:tc>
        <w:tc>
          <w:tcPr>
            <w:tcW w:w="2735" w:type="pct"/>
          </w:tcPr>
          <w:p>
            <w:pPr>
              <w:tabs>
                <w:tab w:val="left" w:pos="1323"/>
              </w:tabs>
              <w:rPr>
                <w:rFonts w:ascii="宋体" w:hAnsi="宋体"/>
                <w:sz w:val="24"/>
                <w:highlight w:val="none"/>
              </w:rPr>
            </w:pPr>
            <w:r>
              <w:rPr>
                <w:rFonts w:ascii="宋体" w:hAnsi="宋体"/>
                <w:sz w:val="24"/>
                <w:highlight w:val="none"/>
              </w:rPr>
              <w:t>1、实现个人录入科室录入管理员录入批量录入</w:t>
            </w:r>
          </w:p>
          <w:p>
            <w:pPr>
              <w:tabs>
                <w:tab w:val="left" w:pos="1323"/>
              </w:tabs>
              <w:rPr>
                <w:rFonts w:ascii="宋体" w:hAnsi="宋体"/>
                <w:sz w:val="24"/>
                <w:highlight w:val="none"/>
              </w:rPr>
            </w:pPr>
            <w:r>
              <w:rPr>
                <w:rFonts w:ascii="宋体" w:hAnsi="宋体"/>
                <w:sz w:val="24"/>
                <w:highlight w:val="none"/>
              </w:rPr>
              <w:t>2、实现进修开始结束时间主办单位学习方式学习地点主要内容的记录管理</w:t>
            </w:r>
          </w:p>
          <w:p>
            <w:pPr>
              <w:tabs>
                <w:tab w:val="left" w:pos="1323"/>
              </w:tabs>
              <w:rPr>
                <w:rFonts w:ascii="宋体" w:hAnsi="宋体"/>
                <w:sz w:val="24"/>
                <w:highlight w:val="none"/>
              </w:rPr>
            </w:pPr>
            <w:r>
              <w:rPr>
                <w:rFonts w:ascii="宋体" w:hAnsi="宋体"/>
                <w:sz w:val="24"/>
                <w:highlight w:val="none"/>
              </w:rPr>
              <w:t>3、实现模块的自定义设置</w:t>
            </w:r>
          </w:p>
          <w:p>
            <w:pPr>
              <w:tabs>
                <w:tab w:val="left" w:pos="1323"/>
              </w:tabs>
              <w:rPr>
                <w:rFonts w:ascii="宋体" w:hAnsi="宋体"/>
                <w:sz w:val="24"/>
                <w:highlight w:val="none"/>
              </w:rPr>
            </w:pPr>
            <w:r>
              <w:rPr>
                <w:rFonts w:ascii="宋体" w:hAnsi="宋体"/>
                <w:sz w:val="24"/>
                <w:highlight w:val="none"/>
              </w:rPr>
              <w:t>4、实现图片管理</w:t>
            </w:r>
          </w:p>
          <w:p>
            <w:pPr>
              <w:tabs>
                <w:tab w:val="left" w:pos="1323"/>
              </w:tabs>
              <w:rPr>
                <w:rFonts w:ascii="宋体" w:hAnsi="宋体"/>
                <w:sz w:val="24"/>
                <w:highlight w:val="none"/>
              </w:rPr>
            </w:pPr>
            <w:r>
              <w:rPr>
                <w:rFonts w:ascii="宋体" w:hAnsi="宋体"/>
                <w:sz w:val="24"/>
                <w:highlight w:val="none"/>
              </w:rPr>
              <w:t>5、实现查询导出功能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十六、医疗技术授权情况</w:t>
            </w:r>
          </w:p>
        </w:tc>
        <w:tc>
          <w:tcPr>
            <w:tcW w:w="2735" w:type="pct"/>
          </w:tcPr>
          <w:p>
            <w:pPr>
              <w:rPr>
                <w:rFonts w:ascii="宋体" w:hAnsi="宋体"/>
                <w:sz w:val="24"/>
                <w:highlight w:val="none"/>
              </w:rPr>
            </w:pPr>
            <w:r>
              <w:rPr>
                <w:rFonts w:ascii="宋体" w:hAnsi="宋体"/>
                <w:sz w:val="24"/>
                <w:highlight w:val="none"/>
              </w:rPr>
              <w:t>1、实现个人录入科室录入管理员录入批量录入</w:t>
            </w:r>
          </w:p>
          <w:p>
            <w:pPr>
              <w:rPr>
                <w:rFonts w:ascii="宋体" w:hAnsi="宋体"/>
                <w:sz w:val="24"/>
                <w:highlight w:val="none"/>
              </w:rPr>
            </w:pPr>
            <w:r>
              <w:rPr>
                <w:rFonts w:ascii="宋体" w:hAnsi="宋体"/>
                <w:sz w:val="24"/>
                <w:highlight w:val="none"/>
              </w:rPr>
              <w:t>2、实现手术授权麻醉授权处方授权、新技术授权抗菌药物授权等等授权管理记录</w:t>
            </w:r>
          </w:p>
          <w:p>
            <w:pPr>
              <w:rPr>
                <w:rFonts w:ascii="宋体" w:hAnsi="宋体"/>
                <w:sz w:val="24"/>
                <w:highlight w:val="none"/>
              </w:rPr>
            </w:pPr>
            <w:r>
              <w:rPr>
                <w:rFonts w:ascii="宋体" w:hAnsi="宋体"/>
                <w:sz w:val="24"/>
                <w:highlight w:val="none"/>
              </w:rPr>
              <w:t>3、实现授权自定义设置</w:t>
            </w:r>
          </w:p>
          <w:p>
            <w:pPr>
              <w:rPr>
                <w:rFonts w:ascii="宋体" w:hAnsi="宋体"/>
                <w:sz w:val="24"/>
                <w:highlight w:val="none"/>
              </w:rPr>
            </w:pPr>
            <w:r>
              <w:rPr>
                <w:rFonts w:ascii="宋体" w:hAnsi="宋体"/>
                <w:sz w:val="24"/>
                <w:highlight w:val="none"/>
              </w:rPr>
              <w:t>4、实现与技术授权系统的数据关联</w:t>
            </w:r>
          </w:p>
          <w:p>
            <w:pPr>
              <w:rPr>
                <w:rFonts w:ascii="宋体" w:hAnsi="宋体"/>
                <w:sz w:val="24"/>
                <w:highlight w:val="none"/>
              </w:rPr>
            </w:pPr>
            <w:r>
              <w:rPr>
                <w:rFonts w:ascii="宋体" w:hAnsi="宋体"/>
                <w:sz w:val="24"/>
                <w:highlight w:val="none"/>
              </w:rPr>
              <w:t>5、实现图片管理</w:t>
            </w:r>
          </w:p>
          <w:p>
            <w:pPr>
              <w:rPr>
                <w:rFonts w:ascii="宋体" w:hAnsi="宋体"/>
                <w:sz w:val="24"/>
                <w:highlight w:val="none"/>
              </w:rPr>
            </w:pPr>
            <w:r>
              <w:rPr>
                <w:rFonts w:ascii="宋体" w:hAnsi="宋体"/>
                <w:sz w:val="24"/>
                <w:highlight w:val="none"/>
              </w:rPr>
              <w:t>6、实现查询导出功能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十七、各项荣誉</w:t>
            </w:r>
          </w:p>
        </w:tc>
        <w:tc>
          <w:tcPr>
            <w:tcW w:w="2735" w:type="pct"/>
          </w:tcPr>
          <w:p>
            <w:pPr>
              <w:rPr>
                <w:rFonts w:ascii="宋体" w:hAnsi="宋体"/>
                <w:sz w:val="24"/>
                <w:highlight w:val="none"/>
              </w:rPr>
            </w:pPr>
            <w:r>
              <w:rPr>
                <w:rFonts w:ascii="宋体" w:hAnsi="宋体"/>
                <w:sz w:val="24"/>
                <w:highlight w:val="none"/>
              </w:rPr>
              <w:t>1、实现个人录入科室录入管理员录入批量录入</w:t>
            </w:r>
          </w:p>
          <w:p>
            <w:pPr>
              <w:rPr>
                <w:rFonts w:ascii="宋体" w:hAnsi="宋体"/>
                <w:sz w:val="24"/>
                <w:highlight w:val="none"/>
              </w:rPr>
            </w:pPr>
            <w:r>
              <w:rPr>
                <w:rFonts w:ascii="宋体" w:hAnsi="宋体"/>
                <w:sz w:val="24"/>
                <w:highlight w:val="none"/>
              </w:rPr>
              <w:t>2、实现获得时间荣誉名称荣誉级别颁奖单位等等情况的记录管理</w:t>
            </w:r>
          </w:p>
          <w:p>
            <w:pPr>
              <w:rPr>
                <w:rFonts w:ascii="宋体" w:hAnsi="宋体"/>
                <w:sz w:val="24"/>
                <w:highlight w:val="none"/>
              </w:rPr>
            </w:pPr>
            <w:r>
              <w:rPr>
                <w:rFonts w:ascii="宋体" w:hAnsi="宋体"/>
                <w:sz w:val="24"/>
                <w:highlight w:val="none"/>
              </w:rPr>
              <w:t>3、实现自定义配置</w:t>
            </w:r>
          </w:p>
          <w:p>
            <w:pPr>
              <w:rPr>
                <w:rFonts w:ascii="宋体" w:hAnsi="宋体"/>
                <w:sz w:val="24"/>
                <w:highlight w:val="none"/>
              </w:rPr>
            </w:pPr>
            <w:r>
              <w:rPr>
                <w:rFonts w:ascii="宋体" w:hAnsi="宋体"/>
                <w:sz w:val="24"/>
                <w:highlight w:val="none"/>
              </w:rPr>
              <w:t>4、实现获奖证书图片的管理</w:t>
            </w:r>
          </w:p>
          <w:p>
            <w:pPr>
              <w:rPr>
                <w:rFonts w:ascii="宋体" w:hAnsi="宋体"/>
                <w:sz w:val="24"/>
                <w:highlight w:val="none"/>
              </w:rPr>
            </w:pPr>
            <w:r>
              <w:rPr>
                <w:rFonts w:ascii="宋体" w:hAnsi="宋体"/>
                <w:sz w:val="24"/>
                <w:highlight w:val="none"/>
              </w:rPr>
              <w:t>5、实现查询导出功能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十八、社会任职</w:t>
            </w:r>
          </w:p>
        </w:tc>
        <w:tc>
          <w:tcPr>
            <w:tcW w:w="2735" w:type="pct"/>
          </w:tcPr>
          <w:p>
            <w:pPr>
              <w:rPr>
                <w:rFonts w:ascii="宋体" w:hAnsi="宋体"/>
                <w:sz w:val="24"/>
                <w:highlight w:val="none"/>
              </w:rPr>
            </w:pPr>
            <w:r>
              <w:rPr>
                <w:rFonts w:ascii="宋体" w:hAnsi="宋体"/>
                <w:sz w:val="24"/>
                <w:highlight w:val="none"/>
              </w:rPr>
              <w:t>1、实现个人录入科室录入管理员录入批量录入</w:t>
            </w:r>
          </w:p>
          <w:p>
            <w:pPr>
              <w:rPr>
                <w:rFonts w:ascii="宋体" w:hAnsi="宋体"/>
                <w:sz w:val="24"/>
                <w:highlight w:val="none"/>
              </w:rPr>
            </w:pPr>
            <w:r>
              <w:rPr>
                <w:rFonts w:ascii="宋体" w:hAnsi="宋体"/>
                <w:sz w:val="24"/>
                <w:highlight w:val="none"/>
              </w:rPr>
              <w:t>2、实现任职时间授予名称任职情况的记录管理、</w:t>
            </w:r>
          </w:p>
          <w:p>
            <w:pPr>
              <w:rPr>
                <w:rFonts w:ascii="宋体" w:hAnsi="宋体"/>
                <w:sz w:val="24"/>
                <w:highlight w:val="none"/>
              </w:rPr>
            </w:pPr>
            <w:r>
              <w:rPr>
                <w:rFonts w:ascii="宋体" w:hAnsi="宋体"/>
                <w:sz w:val="24"/>
                <w:highlight w:val="none"/>
              </w:rPr>
              <w:t>3、实现图片管理</w:t>
            </w:r>
          </w:p>
          <w:p>
            <w:pPr>
              <w:rPr>
                <w:rFonts w:ascii="宋体" w:hAnsi="宋体"/>
                <w:sz w:val="24"/>
                <w:highlight w:val="none"/>
              </w:rPr>
            </w:pPr>
            <w:r>
              <w:rPr>
                <w:rFonts w:ascii="宋体" w:hAnsi="宋体"/>
                <w:sz w:val="24"/>
                <w:highlight w:val="none"/>
              </w:rPr>
              <w:t>4、实现查询导出功能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十九、重要学术活动管理模块</w:t>
            </w:r>
          </w:p>
        </w:tc>
        <w:tc>
          <w:tcPr>
            <w:tcW w:w="2735" w:type="pct"/>
          </w:tcPr>
          <w:p>
            <w:pPr>
              <w:rPr>
                <w:rFonts w:ascii="宋体" w:hAnsi="宋体"/>
                <w:sz w:val="24"/>
                <w:highlight w:val="none"/>
              </w:rPr>
            </w:pPr>
            <w:r>
              <w:rPr>
                <w:rFonts w:hint="eastAsia" w:ascii="宋体" w:hAnsi="宋体"/>
                <w:sz w:val="24"/>
                <w:highlight w:val="none"/>
              </w:rPr>
              <w:t>1、实现个人录入科室录入管理员录入批量录入</w:t>
            </w:r>
          </w:p>
          <w:p>
            <w:pPr>
              <w:rPr>
                <w:rFonts w:ascii="宋体" w:hAnsi="宋体"/>
                <w:sz w:val="24"/>
                <w:highlight w:val="none"/>
              </w:rPr>
            </w:pPr>
            <w:r>
              <w:rPr>
                <w:rFonts w:hint="eastAsia" w:ascii="宋体" w:hAnsi="宋体"/>
                <w:sz w:val="24"/>
                <w:highlight w:val="none"/>
              </w:rPr>
              <w:t>2、实现主办时间地点单位级别内容的记录管理</w:t>
            </w:r>
          </w:p>
          <w:p>
            <w:pPr>
              <w:rPr>
                <w:rFonts w:ascii="宋体" w:hAnsi="宋体"/>
                <w:sz w:val="24"/>
                <w:highlight w:val="none"/>
              </w:rPr>
            </w:pPr>
            <w:r>
              <w:rPr>
                <w:rFonts w:hint="eastAsia" w:ascii="宋体" w:hAnsi="宋体"/>
                <w:sz w:val="24"/>
                <w:highlight w:val="none"/>
              </w:rPr>
              <w:t>3、实现自定义设置</w:t>
            </w:r>
          </w:p>
          <w:p>
            <w:pPr>
              <w:rPr>
                <w:rFonts w:ascii="宋体" w:hAnsi="宋体"/>
                <w:sz w:val="24"/>
                <w:highlight w:val="none"/>
              </w:rPr>
            </w:pPr>
            <w:r>
              <w:rPr>
                <w:rFonts w:hint="eastAsia" w:ascii="宋体" w:hAnsi="宋体"/>
                <w:sz w:val="24"/>
                <w:highlight w:val="none"/>
              </w:rPr>
              <w:t>4、实现图片管理、</w:t>
            </w:r>
          </w:p>
          <w:p>
            <w:pPr>
              <w:rPr>
                <w:rFonts w:ascii="宋体" w:hAnsi="宋体"/>
                <w:sz w:val="24"/>
                <w:highlight w:val="none"/>
              </w:rPr>
            </w:pPr>
            <w:r>
              <w:rPr>
                <w:rFonts w:hint="eastAsia" w:ascii="宋体" w:hAnsi="宋体"/>
                <w:sz w:val="24"/>
                <w:highlight w:val="none"/>
              </w:rPr>
              <w:t>5、实现查询导出功能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二十、档案审核模块</w:t>
            </w:r>
          </w:p>
        </w:tc>
        <w:tc>
          <w:tcPr>
            <w:tcW w:w="2735" w:type="pct"/>
          </w:tcPr>
          <w:p>
            <w:pPr>
              <w:rPr>
                <w:rFonts w:ascii="宋体" w:hAnsi="宋体"/>
                <w:sz w:val="24"/>
                <w:highlight w:val="none"/>
              </w:rPr>
            </w:pPr>
            <w:r>
              <w:rPr>
                <w:rFonts w:ascii="宋体" w:hAnsi="宋体"/>
                <w:sz w:val="24"/>
                <w:highlight w:val="none"/>
              </w:rPr>
              <w:t>1、实现各职能部门的分工审核</w:t>
            </w:r>
          </w:p>
          <w:p>
            <w:pPr>
              <w:rPr>
                <w:rFonts w:ascii="宋体" w:hAnsi="宋体"/>
                <w:sz w:val="24"/>
                <w:highlight w:val="none"/>
              </w:rPr>
            </w:pPr>
            <w:r>
              <w:rPr>
                <w:rFonts w:ascii="宋体" w:hAnsi="宋体"/>
                <w:sz w:val="24"/>
                <w:highlight w:val="none"/>
              </w:rPr>
              <w:t>2、实现审核提醒功能</w:t>
            </w:r>
          </w:p>
          <w:p>
            <w:pPr>
              <w:rPr>
                <w:rFonts w:ascii="宋体" w:hAnsi="宋体"/>
                <w:sz w:val="24"/>
                <w:highlight w:val="none"/>
              </w:rPr>
            </w:pPr>
            <w:r>
              <w:rPr>
                <w:rFonts w:ascii="宋体" w:hAnsi="宋体"/>
                <w:sz w:val="24"/>
                <w:highlight w:val="none"/>
              </w:rPr>
              <w:t>3、实现审核对话功能</w:t>
            </w:r>
          </w:p>
          <w:p>
            <w:pPr>
              <w:rPr>
                <w:rFonts w:ascii="宋体" w:hAnsi="宋体"/>
                <w:sz w:val="24"/>
                <w:highlight w:val="none"/>
              </w:rPr>
            </w:pPr>
            <w:r>
              <w:rPr>
                <w:rFonts w:ascii="宋体" w:hAnsi="宋体"/>
                <w:sz w:val="24"/>
                <w:highlight w:val="none"/>
              </w:rPr>
              <w:t>4、实现审核设置功能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二十一、档案汇总模块</w:t>
            </w:r>
          </w:p>
        </w:tc>
        <w:tc>
          <w:tcPr>
            <w:tcW w:w="2735" w:type="pct"/>
          </w:tcPr>
          <w:p>
            <w:pPr>
              <w:rPr>
                <w:rFonts w:ascii="宋体" w:hAnsi="宋体"/>
                <w:sz w:val="24"/>
                <w:highlight w:val="none"/>
              </w:rPr>
            </w:pPr>
            <w:r>
              <w:rPr>
                <w:rFonts w:ascii="宋体" w:hAnsi="宋体"/>
                <w:sz w:val="24"/>
                <w:highlight w:val="none"/>
              </w:rPr>
              <w:t>1、</w:t>
            </w:r>
            <w:r>
              <w:rPr>
                <w:rFonts w:hint="eastAsia" w:ascii="宋体" w:hAnsi="宋体"/>
                <w:sz w:val="24"/>
                <w:highlight w:val="none"/>
              </w:rPr>
              <w:t>实现基本信息统计</w:t>
            </w:r>
          </w:p>
          <w:p>
            <w:pPr>
              <w:rPr>
                <w:rFonts w:ascii="宋体" w:hAnsi="宋体"/>
                <w:sz w:val="24"/>
                <w:highlight w:val="none"/>
              </w:rPr>
            </w:pPr>
            <w:r>
              <w:rPr>
                <w:rFonts w:ascii="宋体" w:hAnsi="宋体"/>
                <w:sz w:val="24"/>
                <w:highlight w:val="none"/>
              </w:rPr>
              <w:t>2、</w:t>
            </w:r>
            <w:r>
              <w:rPr>
                <w:rFonts w:hint="eastAsia" w:ascii="宋体" w:hAnsi="宋体"/>
                <w:sz w:val="24"/>
                <w:highlight w:val="none"/>
              </w:rPr>
              <w:t>实现数据汇总表统计</w:t>
            </w:r>
          </w:p>
          <w:p>
            <w:pPr>
              <w:rPr>
                <w:rFonts w:ascii="宋体" w:hAnsi="宋体"/>
                <w:sz w:val="24"/>
                <w:highlight w:val="none"/>
              </w:rPr>
            </w:pPr>
            <w:r>
              <w:rPr>
                <w:rFonts w:ascii="宋体" w:hAnsi="宋体"/>
                <w:sz w:val="24"/>
                <w:highlight w:val="none"/>
              </w:rPr>
              <w:t>3、实现按条件查询</w:t>
            </w:r>
          </w:p>
          <w:p>
            <w:pPr>
              <w:rPr>
                <w:rFonts w:ascii="宋体" w:hAnsi="宋体"/>
                <w:sz w:val="24"/>
                <w:highlight w:val="none"/>
              </w:rPr>
            </w:pPr>
            <w:r>
              <w:rPr>
                <w:rFonts w:ascii="宋体" w:hAnsi="宋体"/>
                <w:sz w:val="24"/>
                <w:highlight w:val="none"/>
              </w:rPr>
              <w:t>4、实现导出设置功能按需要导出的内容自行设置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二十二、档案分析模块</w:t>
            </w:r>
          </w:p>
        </w:tc>
        <w:tc>
          <w:tcPr>
            <w:tcW w:w="2735" w:type="pct"/>
          </w:tcPr>
          <w:p>
            <w:pPr>
              <w:rPr>
                <w:rFonts w:ascii="宋体" w:hAnsi="宋体"/>
                <w:sz w:val="24"/>
                <w:highlight w:val="none"/>
              </w:rPr>
            </w:pPr>
            <w:r>
              <w:rPr>
                <w:rFonts w:ascii="宋体" w:hAnsi="宋体"/>
                <w:sz w:val="24"/>
                <w:highlight w:val="none"/>
              </w:rPr>
              <w:t>1、实现统计功能实现自定义</w:t>
            </w:r>
          </w:p>
          <w:p>
            <w:pPr>
              <w:rPr>
                <w:rFonts w:ascii="宋体" w:hAnsi="宋体"/>
                <w:sz w:val="24"/>
                <w:highlight w:val="none"/>
              </w:rPr>
            </w:pPr>
            <w:r>
              <w:rPr>
                <w:rFonts w:ascii="宋体" w:hAnsi="宋体"/>
                <w:sz w:val="24"/>
                <w:highlight w:val="none"/>
              </w:rPr>
              <w:t>2、实现报表功能</w:t>
            </w:r>
          </w:p>
          <w:p>
            <w:pPr>
              <w:rPr>
                <w:rFonts w:ascii="宋体" w:hAnsi="宋体"/>
                <w:sz w:val="24"/>
                <w:highlight w:val="none"/>
              </w:rPr>
            </w:pPr>
            <w:r>
              <w:rPr>
                <w:rFonts w:ascii="宋体" w:hAnsi="宋体"/>
                <w:sz w:val="24"/>
                <w:highlight w:val="none"/>
              </w:rPr>
              <w:t>3、</w:t>
            </w:r>
            <w:r>
              <w:rPr>
                <w:rFonts w:hint="eastAsia" w:ascii="宋体" w:hAnsi="宋体"/>
                <w:sz w:val="24"/>
                <w:highlight w:val="none"/>
              </w:rPr>
              <w:t>实现人员一览表统计</w:t>
            </w:r>
          </w:p>
          <w:p>
            <w:pPr>
              <w:rPr>
                <w:rFonts w:ascii="宋体" w:hAnsi="宋体"/>
                <w:sz w:val="24"/>
                <w:highlight w:val="none"/>
              </w:rPr>
            </w:pPr>
            <w:r>
              <w:rPr>
                <w:rFonts w:ascii="宋体" w:hAnsi="宋体"/>
                <w:sz w:val="24"/>
                <w:highlight w:val="none"/>
              </w:rPr>
              <w:t>4、实现图表展示饼状图和柱状图等的分析结果展示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二十三、权限设置管理模块</w:t>
            </w:r>
          </w:p>
        </w:tc>
        <w:tc>
          <w:tcPr>
            <w:tcW w:w="2735" w:type="pct"/>
          </w:tcPr>
          <w:p>
            <w:pPr>
              <w:rPr>
                <w:rFonts w:ascii="宋体" w:hAnsi="宋体"/>
                <w:sz w:val="24"/>
                <w:highlight w:val="none"/>
              </w:rPr>
            </w:pPr>
            <w:r>
              <w:rPr>
                <w:rFonts w:ascii="宋体" w:hAnsi="宋体"/>
                <w:sz w:val="24"/>
                <w:highlight w:val="none"/>
              </w:rPr>
              <w:t>1、实现自动设置管理角色</w:t>
            </w:r>
          </w:p>
          <w:p>
            <w:pPr>
              <w:rPr>
                <w:rFonts w:ascii="宋体" w:hAnsi="宋体"/>
                <w:sz w:val="24"/>
                <w:highlight w:val="none"/>
              </w:rPr>
            </w:pPr>
            <w:r>
              <w:rPr>
                <w:rFonts w:ascii="宋体" w:hAnsi="宋体"/>
                <w:sz w:val="24"/>
                <w:highlight w:val="none"/>
              </w:rPr>
              <w:t>2、实现角色授权到人管理</w:t>
            </w:r>
          </w:p>
          <w:p>
            <w:pPr>
              <w:rPr>
                <w:rFonts w:ascii="宋体" w:hAnsi="宋体"/>
                <w:sz w:val="24"/>
                <w:highlight w:val="none"/>
              </w:rPr>
            </w:pPr>
            <w:r>
              <w:rPr>
                <w:rFonts w:ascii="宋体" w:hAnsi="宋体"/>
                <w:sz w:val="24"/>
                <w:highlight w:val="none"/>
              </w:rPr>
              <w:t>3、实现角色授权模块管理</w:t>
            </w:r>
          </w:p>
          <w:p>
            <w:pPr>
              <w:rPr>
                <w:rFonts w:ascii="宋体" w:hAnsi="宋体"/>
                <w:sz w:val="24"/>
                <w:highlight w:val="none"/>
              </w:rPr>
            </w:pPr>
            <w:r>
              <w:rPr>
                <w:rFonts w:ascii="宋体" w:hAnsi="宋体"/>
                <w:sz w:val="24"/>
                <w:highlight w:val="none"/>
              </w:rPr>
              <w:t>4、实现角色管理模块的编辑删除新增等授权管理</w:t>
            </w:r>
          </w:p>
          <w:p>
            <w:pPr>
              <w:rPr>
                <w:rFonts w:ascii="宋体" w:hAnsi="宋体"/>
                <w:sz w:val="24"/>
                <w:highlight w:val="none"/>
              </w:rPr>
            </w:pPr>
            <w:r>
              <w:rPr>
                <w:rFonts w:ascii="宋体" w:hAnsi="宋体"/>
                <w:sz w:val="24"/>
                <w:highlight w:val="none"/>
              </w:rPr>
              <w:t>5、实现角色管理人员数据的授权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二十四、积分功能</w:t>
            </w:r>
          </w:p>
        </w:tc>
        <w:tc>
          <w:tcPr>
            <w:tcW w:w="2735" w:type="pct"/>
          </w:tcPr>
          <w:p>
            <w:pPr>
              <w:rPr>
                <w:rFonts w:ascii="宋体" w:hAnsi="宋体"/>
                <w:sz w:val="24"/>
                <w:highlight w:val="none"/>
              </w:rPr>
            </w:pPr>
            <w:r>
              <w:rPr>
                <w:rFonts w:ascii="宋体" w:hAnsi="宋体"/>
                <w:sz w:val="24"/>
                <w:highlight w:val="none"/>
              </w:rPr>
              <w:t>1、实现各个功能模块的积分设置</w:t>
            </w:r>
          </w:p>
          <w:p>
            <w:pPr>
              <w:rPr>
                <w:rFonts w:ascii="宋体" w:hAnsi="宋体"/>
                <w:sz w:val="24"/>
                <w:highlight w:val="none"/>
              </w:rPr>
            </w:pPr>
            <w:r>
              <w:rPr>
                <w:rFonts w:ascii="宋体" w:hAnsi="宋体"/>
                <w:sz w:val="24"/>
                <w:highlight w:val="none"/>
              </w:rPr>
              <w:t>2、实现年度积分统计</w:t>
            </w:r>
          </w:p>
          <w:p>
            <w:pPr>
              <w:rPr>
                <w:rFonts w:ascii="宋体" w:hAnsi="宋体"/>
                <w:sz w:val="24"/>
                <w:highlight w:val="none"/>
              </w:rPr>
            </w:pPr>
            <w:r>
              <w:rPr>
                <w:rFonts w:ascii="宋体" w:hAnsi="宋体"/>
                <w:sz w:val="24"/>
                <w:highlight w:val="none"/>
              </w:rPr>
              <w:t>3、实现实际积分和考核积分的分开统计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restart"/>
          </w:tcPr>
          <w:p>
            <w:pPr>
              <w:pStyle w:val="24"/>
              <w:ind w:right="102"/>
              <w:rPr>
                <w:rFonts w:hAnsi="宋体"/>
                <w:b/>
                <w:bCs/>
                <w:highlight w:val="none"/>
              </w:rPr>
            </w:pPr>
            <w:r>
              <w:rPr>
                <w:rFonts w:hAnsi="宋体"/>
                <w:b/>
                <w:bCs/>
                <w:highlight w:val="none"/>
              </w:rPr>
              <w:t>2</w:t>
            </w:r>
          </w:p>
        </w:tc>
        <w:tc>
          <w:tcPr>
            <w:tcW w:w="662" w:type="pct"/>
            <w:vMerge w:val="restart"/>
          </w:tcPr>
          <w:p>
            <w:pPr>
              <w:pStyle w:val="24"/>
              <w:ind w:right="102"/>
              <w:rPr>
                <w:rFonts w:hAnsi="宋体"/>
                <w:b/>
                <w:bCs/>
                <w:highlight w:val="none"/>
              </w:rPr>
            </w:pPr>
            <w:r>
              <w:rPr>
                <w:rFonts w:hAnsi="宋体"/>
                <w:b/>
                <w:bCs/>
                <w:highlight w:val="none"/>
              </w:rPr>
              <w:t>医疗技术授权管理</w:t>
            </w:r>
          </w:p>
        </w:tc>
        <w:tc>
          <w:tcPr>
            <w:tcW w:w="1164" w:type="pct"/>
          </w:tcPr>
          <w:p>
            <w:pPr>
              <w:pStyle w:val="24"/>
              <w:ind w:right="102"/>
              <w:rPr>
                <w:rFonts w:hAnsi="宋体"/>
                <w:highlight w:val="none"/>
              </w:rPr>
            </w:pPr>
            <w:r>
              <w:rPr>
                <w:rFonts w:hint="eastAsia" w:hAnsi="宋体"/>
                <w:spacing w:val="-3"/>
                <w:highlight w:val="none"/>
              </w:rPr>
              <w:t>一</w:t>
            </w:r>
            <w:r>
              <w:rPr>
                <w:rFonts w:hAnsi="宋体"/>
                <w:spacing w:val="-3"/>
                <w:highlight w:val="none"/>
              </w:rPr>
              <w:t>、新技术授权管理</w:t>
            </w:r>
          </w:p>
        </w:tc>
        <w:tc>
          <w:tcPr>
            <w:tcW w:w="2735" w:type="pct"/>
          </w:tcPr>
          <w:p>
            <w:pPr>
              <w:rPr>
                <w:rFonts w:ascii="宋体" w:hAnsi="宋体" w:cs="宋体"/>
                <w:sz w:val="24"/>
                <w:highlight w:val="none"/>
              </w:rPr>
            </w:pPr>
            <w:r>
              <w:rPr>
                <w:rFonts w:hint="eastAsia" w:ascii="宋体" w:hAnsi="宋体" w:cs="宋体"/>
                <w:sz w:val="24"/>
                <w:highlight w:val="none"/>
              </w:rPr>
              <w:t>1、支持关联职称、职务等相关信息进行限制申请，相关表单符合国家评审要求</w:t>
            </w:r>
          </w:p>
          <w:p>
            <w:pPr>
              <w:rPr>
                <w:rFonts w:ascii="宋体" w:hAnsi="宋体" w:cs="宋体"/>
                <w:sz w:val="24"/>
                <w:highlight w:val="none"/>
              </w:rPr>
            </w:pPr>
            <w:r>
              <w:rPr>
                <w:rFonts w:hint="eastAsia" w:ascii="宋体" w:hAnsi="宋体" w:cs="宋体"/>
                <w:sz w:val="24"/>
                <w:highlight w:val="none"/>
              </w:rPr>
              <w:t xml:space="preserve">2、满足新技术审批 </w:t>
            </w:r>
            <w:r>
              <w:rPr>
                <w:rFonts w:ascii="宋体" w:hAnsi="宋体" w:cs="宋体"/>
                <w:sz w:val="24"/>
                <w:highlight w:val="none"/>
              </w:rPr>
              <w:t>自主设置审批流程</w:t>
            </w:r>
          </w:p>
          <w:p>
            <w:pPr>
              <w:rPr>
                <w:rFonts w:ascii="宋体" w:hAnsi="宋体" w:cs="宋体"/>
                <w:sz w:val="24"/>
                <w:highlight w:val="none"/>
              </w:rPr>
            </w:pPr>
            <w:r>
              <w:rPr>
                <w:rFonts w:hint="eastAsia" w:ascii="宋体" w:hAnsi="宋体" w:cs="宋体"/>
                <w:sz w:val="24"/>
                <w:highlight w:val="none"/>
              </w:rPr>
              <w:t>3、满足新技术开展情况追踪管理</w:t>
            </w:r>
          </w:p>
          <w:p>
            <w:pPr>
              <w:rPr>
                <w:rFonts w:ascii="宋体" w:hAnsi="宋体" w:cs="宋体"/>
                <w:sz w:val="24"/>
                <w:highlight w:val="none"/>
              </w:rPr>
            </w:pPr>
            <w:r>
              <w:rPr>
                <w:rFonts w:hint="eastAsia" w:ascii="宋体" w:hAnsi="宋体" w:cs="宋体"/>
                <w:sz w:val="24"/>
                <w:highlight w:val="none"/>
              </w:rPr>
              <w:t>4、满足新技术新项目中期评价、终期评价</w:t>
            </w:r>
          </w:p>
          <w:p>
            <w:pPr>
              <w:pStyle w:val="24"/>
              <w:ind w:right="102"/>
              <w:rPr>
                <w:rFonts w:hAnsi="宋体"/>
                <w:highlight w:val="none"/>
              </w:rPr>
            </w:pPr>
            <w:r>
              <w:rPr>
                <w:rFonts w:hint="eastAsia" w:hAnsi="宋体"/>
                <w:highlight w:val="none"/>
              </w:rPr>
              <w:t>5、支持新技术转常规管理</w:t>
            </w:r>
          </w:p>
          <w:p>
            <w:pPr>
              <w:pStyle w:val="24"/>
              <w:ind w:right="102"/>
              <w:rPr>
                <w:rFonts w:hAnsi="宋体"/>
                <w:highlight w:val="none"/>
              </w:rPr>
            </w:pPr>
            <w:r>
              <w:rPr>
                <w:rFonts w:hint="eastAsia" w:hAnsi="宋体"/>
                <w:highlight w:val="none"/>
              </w:rPr>
              <w:t>6、支持表单及流程支持导出、打印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pStyle w:val="24"/>
              <w:ind w:right="102"/>
              <w:rPr>
                <w:rFonts w:hAnsi="宋体"/>
                <w:b/>
                <w:bCs/>
                <w:highlight w:val="none"/>
              </w:rPr>
            </w:pPr>
          </w:p>
        </w:tc>
        <w:tc>
          <w:tcPr>
            <w:tcW w:w="662" w:type="pct"/>
            <w:vMerge w:val="continue"/>
          </w:tcPr>
          <w:p>
            <w:pPr>
              <w:pStyle w:val="24"/>
              <w:ind w:right="102"/>
              <w:rPr>
                <w:rFonts w:hAnsi="宋体"/>
                <w:b/>
                <w:bCs/>
                <w:highlight w:val="none"/>
              </w:rPr>
            </w:pPr>
          </w:p>
        </w:tc>
        <w:tc>
          <w:tcPr>
            <w:tcW w:w="1164" w:type="pct"/>
          </w:tcPr>
          <w:p>
            <w:pPr>
              <w:pStyle w:val="24"/>
              <w:ind w:right="102"/>
              <w:rPr>
                <w:rFonts w:hAnsi="宋体"/>
                <w:highlight w:val="none"/>
              </w:rPr>
            </w:pPr>
            <w:r>
              <w:rPr>
                <w:rFonts w:hint="eastAsia" w:hAnsi="宋体"/>
                <w:highlight w:val="none"/>
              </w:rPr>
              <w:t>二、</w:t>
            </w:r>
            <w:r>
              <w:rPr>
                <w:rFonts w:hint="eastAsia" w:hAnsi="宋体" w:cs="宋体"/>
                <w:highlight w:val="none"/>
              </w:rPr>
              <w:t>资质分类管理</w:t>
            </w:r>
          </w:p>
        </w:tc>
        <w:tc>
          <w:tcPr>
            <w:tcW w:w="2735" w:type="pct"/>
          </w:tcPr>
          <w:p>
            <w:pPr>
              <w:rPr>
                <w:rFonts w:ascii="宋体" w:hAnsi="宋体" w:cs="宋体"/>
                <w:sz w:val="24"/>
                <w:highlight w:val="none"/>
              </w:rPr>
            </w:pPr>
            <w:r>
              <w:rPr>
                <w:rFonts w:hint="eastAsia" w:ascii="宋体" w:hAnsi="宋体" w:cs="宋体"/>
                <w:sz w:val="24"/>
                <w:highlight w:val="none"/>
              </w:rPr>
              <w:t>1、资质分类管理中按照一般权限、药物权限、操作权限</w:t>
            </w:r>
          </w:p>
          <w:p>
            <w:pPr>
              <w:rPr>
                <w:rFonts w:ascii="宋体" w:hAnsi="宋体" w:cs="宋体"/>
                <w:sz w:val="24"/>
                <w:highlight w:val="none"/>
              </w:rPr>
            </w:pPr>
            <w:r>
              <w:rPr>
                <w:rFonts w:hint="eastAsia" w:ascii="宋体" w:hAnsi="宋体" w:cs="宋体"/>
                <w:sz w:val="24"/>
                <w:highlight w:val="none"/>
              </w:rPr>
              <w:t>2、支持根据医师职称、学历等相关要求限制权限申请</w:t>
            </w:r>
          </w:p>
          <w:p>
            <w:pPr>
              <w:rPr>
                <w:rFonts w:ascii="宋体" w:hAnsi="宋体" w:cs="宋体"/>
                <w:sz w:val="24"/>
                <w:highlight w:val="none"/>
              </w:rPr>
            </w:pPr>
            <w:r>
              <w:rPr>
                <w:rFonts w:hint="eastAsia" w:ascii="宋体" w:hAnsi="宋体" w:cs="宋体"/>
                <w:sz w:val="24"/>
                <w:highlight w:val="none"/>
              </w:rPr>
              <w:t>3、支持根据按项目查看、按人员查看、按科室查看，方便管理部门针对不用的使用环境进行管理</w:t>
            </w:r>
          </w:p>
          <w:p>
            <w:pPr>
              <w:rPr>
                <w:rFonts w:ascii="宋体" w:hAnsi="宋体" w:cs="宋体"/>
                <w:sz w:val="24"/>
                <w:highlight w:val="none"/>
              </w:rPr>
            </w:pPr>
            <w:r>
              <w:rPr>
                <w:rFonts w:hint="eastAsia" w:ascii="宋体" w:hAnsi="宋体" w:cs="宋体"/>
                <w:sz w:val="24"/>
                <w:highlight w:val="none"/>
              </w:rPr>
              <w:t>4、支持根据工号、科室、职称进行检索</w:t>
            </w:r>
          </w:p>
          <w:p>
            <w:pPr>
              <w:rPr>
                <w:rFonts w:ascii="宋体" w:hAnsi="宋体" w:cs="宋体"/>
                <w:sz w:val="24"/>
                <w:highlight w:val="none"/>
              </w:rPr>
            </w:pPr>
            <w:r>
              <w:rPr>
                <w:rFonts w:hint="eastAsia" w:ascii="宋体" w:hAnsi="宋体" w:cs="宋体"/>
                <w:sz w:val="24"/>
                <w:highlight w:val="none"/>
              </w:rPr>
              <w:t>5、支持权限导出功能</w:t>
            </w:r>
          </w:p>
          <w:p>
            <w:pPr>
              <w:rPr>
                <w:rFonts w:ascii="宋体" w:hAnsi="宋体" w:cs="宋体"/>
                <w:sz w:val="24"/>
                <w:highlight w:val="none"/>
              </w:rPr>
            </w:pPr>
            <w:r>
              <w:rPr>
                <w:rFonts w:hint="eastAsia" w:ascii="宋体" w:hAnsi="宋体" w:cs="宋体"/>
                <w:sz w:val="24"/>
                <w:highlight w:val="none"/>
              </w:rPr>
              <w:t>6、支持权限类型对应权限已授权人数查看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pStyle w:val="24"/>
              <w:ind w:right="102"/>
              <w:rPr>
                <w:rFonts w:hAnsi="宋体"/>
                <w:b/>
                <w:bCs/>
                <w:highlight w:val="none"/>
              </w:rPr>
            </w:pPr>
          </w:p>
        </w:tc>
        <w:tc>
          <w:tcPr>
            <w:tcW w:w="662" w:type="pct"/>
            <w:vMerge w:val="continue"/>
          </w:tcPr>
          <w:p>
            <w:pPr>
              <w:pStyle w:val="24"/>
              <w:ind w:right="102"/>
              <w:rPr>
                <w:rFonts w:hAnsi="宋体"/>
                <w:b/>
                <w:bCs/>
                <w:highlight w:val="none"/>
              </w:rPr>
            </w:pPr>
          </w:p>
        </w:tc>
        <w:tc>
          <w:tcPr>
            <w:tcW w:w="1164" w:type="pct"/>
          </w:tcPr>
          <w:p>
            <w:pPr>
              <w:pStyle w:val="24"/>
              <w:ind w:right="102"/>
              <w:rPr>
                <w:rFonts w:hAnsi="宋体"/>
                <w:highlight w:val="none"/>
              </w:rPr>
            </w:pPr>
            <w:r>
              <w:rPr>
                <w:rFonts w:hint="eastAsia" w:hAnsi="宋体"/>
                <w:highlight w:val="none"/>
              </w:rPr>
              <w:t>三、</w:t>
            </w:r>
            <w:r>
              <w:rPr>
                <w:rFonts w:hint="eastAsia" w:hAnsi="宋体" w:cs="宋体"/>
                <w:highlight w:val="none"/>
              </w:rPr>
              <w:t>技术分类管理</w:t>
            </w:r>
          </w:p>
        </w:tc>
        <w:tc>
          <w:tcPr>
            <w:tcW w:w="2735" w:type="pct"/>
          </w:tcPr>
          <w:p>
            <w:pPr>
              <w:rPr>
                <w:rFonts w:ascii="宋体" w:hAnsi="宋体" w:cs="宋体"/>
                <w:sz w:val="24"/>
                <w:highlight w:val="none"/>
              </w:rPr>
            </w:pPr>
            <w:r>
              <w:rPr>
                <w:rFonts w:hint="eastAsia" w:ascii="宋体" w:hAnsi="宋体" w:cs="宋体"/>
                <w:sz w:val="24"/>
                <w:highlight w:val="none"/>
              </w:rPr>
              <w:t>1、技术分类中支持按照手术权限、药品权限、限制类技术、非限制类权限等分类进行管理</w:t>
            </w:r>
          </w:p>
          <w:p>
            <w:pPr>
              <w:rPr>
                <w:rFonts w:ascii="宋体" w:hAnsi="宋体" w:cs="宋体"/>
                <w:sz w:val="24"/>
                <w:highlight w:val="none"/>
              </w:rPr>
            </w:pPr>
            <w:r>
              <w:rPr>
                <w:rFonts w:hint="eastAsia" w:ascii="宋体" w:hAnsi="宋体" w:cs="宋体"/>
                <w:sz w:val="24"/>
                <w:highlight w:val="none"/>
              </w:rPr>
              <w:t>2、限制性医疗技术管理（高风险诊疗项目管理）</w:t>
            </w:r>
          </w:p>
          <w:p>
            <w:pPr>
              <w:ind w:firstLine="240" w:firstLineChars="100"/>
              <w:rPr>
                <w:rFonts w:ascii="宋体" w:hAnsi="宋体" w:cs="宋体"/>
                <w:sz w:val="24"/>
                <w:highlight w:val="none"/>
              </w:rPr>
            </w:pPr>
            <w:r>
              <w:rPr>
                <w:rFonts w:ascii="宋体" w:hAnsi="宋体" w:cs="宋体"/>
                <w:sz w:val="24"/>
                <w:highlight w:val="none"/>
              </w:rPr>
              <w:t>A</w:t>
            </w:r>
            <w:r>
              <w:rPr>
                <w:rFonts w:hint="eastAsia" w:ascii="宋体" w:hAnsi="宋体" w:cs="宋体"/>
                <w:sz w:val="24"/>
                <w:highlight w:val="none"/>
              </w:rPr>
              <w:t>、符合国家对于医院限制性新技术申请要求</w:t>
            </w:r>
          </w:p>
          <w:p>
            <w:pPr>
              <w:ind w:firstLine="240" w:firstLineChars="100"/>
              <w:rPr>
                <w:rFonts w:ascii="宋体" w:hAnsi="宋体" w:cs="宋体"/>
                <w:sz w:val="24"/>
                <w:highlight w:val="none"/>
              </w:rPr>
            </w:pPr>
            <w:r>
              <w:rPr>
                <w:rFonts w:ascii="宋体" w:hAnsi="宋体" w:cs="宋体"/>
                <w:sz w:val="24"/>
                <w:highlight w:val="none"/>
              </w:rPr>
              <w:t>B</w:t>
            </w:r>
            <w:r>
              <w:rPr>
                <w:rFonts w:hint="eastAsia" w:ascii="宋体" w:hAnsi="宋体" w:cs="宋体"/>
                <w:sz w:val="24"/>
                <w:highlight w:val="none"/>
              </w:rPr>
              <w:t>、申请表的格式满足医院和国家要求</w:t>
            </w:r>
          </w:p>
          <w:p>
            <w:pPr>
              <w:ind w:firstLine="240" w:firstLineChars="100"/>
              <w:rPr>
                <w:rFonts w:ascii="宋体" w:hAnsi="宋体" w:cs="宋体"/>
                <w:sz w:val="24"/>
                <w:highlight w:val="none"/>
              </w:rPr>
            </w:pPr>
            <w:r>
              <w:rPr>
                <w:rFonts w:ascii="宋体" w:hAnsi="宋体" w:cs="宋体"/>
                <w:sz w:val="24"/>
                <w:highlight w:val="none"/>
              </w:rPr>
              <w:t>C</w:t>
            </w:r>
            <w:r>
              <w:rPr>
                <w:rFonts w:hint="eastAsia" w:ascii="宋体" w:hAnsi="宋体" w:cs="宋体"/>
                <w:sz w:val="24"/>
                <w:highlight w:val="none"/>
              </w:rPr>
              <w:t>、满足开展情况的统计和汇总</w:t>
            </w:r>
          </w:p>
          <w:p>
            <w:pPr>
              <w:ind w:firstLine="240" w:firstLineChars="100"/>
              <w:rPr>
                <w:rFonts w:ascii="宋体" w:hAnsi="宋体" w:cs="宋体"/>
                <w:sz w:val="24"/>
                <w:highlight w:val="none"/>
              </w:rPr>
            </w:pPr>
            <w:r>
              <w:rPr>
                <w:rFonts w:ascii="宋体" w:hAnsi="宋体" w:cs="宋体"/>
                <w:sz w:val="24"/>
                <w:highlight w:val="none"/>
              </w:rPr>
              <w:t>D</w:t>
            </w:r>
            <w:r>
              <w:rPr>
                <w:rFonts w:hint="eastAsia" w:ascii="宋体" w:hAnsi="宋体" w:cs="宋体"/>
                <w:sz w:val="24"/>
                <w:highlight w:val="none"/>
              </w:rPr>
              <w:t>、开展情况追踪管理</w:t>
            </w:r>
          </w:p>
          <w:p>
            <w:pPr>
              <w:rPr>
                <w:rFonts w:ascii="宋体" w:hAnsi="宋体" w:cs="宋体"/>
                <w:sz w:val="24"/>
                <w:highlight w:val="none"/>
              </w:rPr>
            </w:pPr>
            <w:r>
              <w:rPr>
                <w:rFonts w:hint="eastAsia" w:ascii="宋体" w:hAnsi="宋体" w:cs="宋体"/>
                <w:sz w:val="24"/>
                <w:highlight w:val="none"/>
              </w:rPr>
              <w:t>3、非限制性医疗技术（常规诊疗项目管理）</w:t>
            </w:r>
          </w:p>
          <w:p>
            <w:pPr>
              <w:rPr>
                <w:rFonts w:ascii="宋体" w:hAnsi="宋体" w:cs="宋体"/>
                <w:sz w:val="24"/>
                <w:highlight w:val="none"/>
              </w:rPr>
            </w:pPr>
            <w:r>
              <w:rPr>
                <w:rFonts w:ascii="宋体" w:hAnsi="宋体" w:cs="宋体"/>
                <w:sz w:val="24"/>
                <w:highlight w:val="none"/>
              </w:rPr>
              <w:t xml:space="preserve">  A</w:t>
            </w:r>
            <w:r>
              <w:rPr>
                <w:rFonts w:hint="eastAsia" w:ascii="宋体" w:hAnsi="宋体" w:cs="宋体"/>
                <w:sz w:val="24"/>
                <w:highlight w:val="none"/>
              </w:rPr>
              <w:t>、满足科室和管理员创建</w:t>
            </w:r>
          </w:p>
          <w:p>
            <w:pPr>
              <w:rPr>
                <w:rFonts w:ascii="宋体" w:hAnsi="宋体" w:cs="宋体"/>
                <w:sz w:val="24"/>
                <w:highlight w:val="none"/>
              </w:rPr>
            </w:pPr>
            <w:r>
              <w:rPr>
                <w:rFonts w:hint="eastAsia" w:ascii="宋体" w:hAnsi="宋体" w:cs="宋体"/>
                <w:sz w:val="24"/>
                <w:highlight w:val="none"/>
              </w:rPr>
              <w:t xml:space="preserve"> </w:t>
            </w:r>
            <w:r>
              <w:rPr>
                <w:rFonts w:ascii="宋体" w:hAnsi="宋体" w:cs="宋体"/>
                <w:sz w:val="24"/>
                <w:highlight w:val="none"/>
              </w:rPr>
              <w:t xml:space="preserve"> B</w:t>
            </w:r>
            <w:r>
              <w:rPr>
                <w:rFonts w:hint="eastAsia" w:ascii="宋体" w:hAnsi="宋体" w:cs="宋体"/>
                <w:sz w:val="24"/>
                <w:highlight w:val="none"/>
              </w:rPr>
              <w:t>、满足批量创建</w:t>
            </w:r>
          </w:p>
          <w:p>
            <w:pPr>
              <w:rPr>
                <w:rFonts w:ascii="宋体" w:hAnsi="宋体" w:cs="宋体"/>
                <w:sz w:val="24"/>
                <w:highlight w:val="none"/>
              </w:rPr>
            </w:pPr>
            <w:r>
              <w:rPr>
                <w:rFonts w:hint="eastAsia" w:ascii="宋体" w:hAnsi="宋体" w:cs="宋体"/>
                <w:sz w:val="24"/>
                <w:highlight w:val="none"/>
              </w:rPr>
              <w:t xml:space="preserve"> </w:t>
            </w:r>
            <w:r>
              <w:rPr>
                <w:rFonts w:ascii="宋体" w:hAnsi="宋体" w:cs="宋体"/>
                <w:sz w:val="24"/>
                <w:highlight w:val="none"/>
              </w:rPr>
              <w:t xml:space="preserve"> C</w:t>
            </w:r>
            <w:r>
              <w:rPr>
                <w:rFonts w:hint="eastAsia" w:ascii="宋体" w:hAnsi="宋体" w:cs="宋体"/>
                <w:sz w:val="24"/>
                <w:highlight w:val="none"/>
              </w:rPr>
              <w:t>、满足开展情况的统计和汇总</w:t>
            </w:r>
          </w:p>
          <w:p>
            <w:pPr>
              <w:rPr>
                <w:rFonts w:ascii="宋体" w:hAnsi="宋体" w:cs="宋体"/>
                <w:sz w:val="24"/>
                <w:highlight w:val="none"/>
              </w:rPr>
            </w:pPr>
            <w:r>
              <w:rPr>
                <w:rFonts w:hint="eastAsia" w:ascii="宋体" w:hAnsi="宋体" w:cs="宋体"/>
                <w:sz w:val="24"/>
                <w:highlight w:val="none"/>
              </w:rPr>
              <w:t xml:space="preserve"> </w:t>
            </w:r>
            <w:r>
              <w:rPr>
                <w:rFonts w:ascii="宋体" w:hAnsi="宋体" w:cs="宋体"/>
                <w:sz w:val="24"/>
                <w:highlight w:val="none"/>
              </w:rPr>
              <w:t xml:space="preserve"> D</w:t>
            </w:r>
            <w:r>
              <w:rPr>
                <w:rFonts w:hint="eastAsia" w:ascii="宋体" w:hAnsi="宋体" w:cs="宋体"/>
                <w:sz w:val="24"/>
                <w:highlight w:val="none"/>
              </w:rPr>
              <w:t>、开展情况追踪管理</w:t>
            </w:r>
          </w:p>
          <w:p>
            <w:pPr>
              <w:rPr>
                <w:rFonts w:ascii="宋体" w:hAnsi="宋体" w:cs="宋体"/>
                <w:sz w:val="24"/>
                <w:highlight w:val="none"/>
              </w:rPr>
            </w:pPr>
            <w:r>
              <w:rPr>
                <w:rFonts w:hint="eastAsia" w:ascii="宋体" w:hAnsi="宋体" w:cs="宋体"/>
                <w:sz w:val="24"/>
                <w:highlight w:val="none"/>
              </w:rPr>
              <w:t>4、手术授权管理</w:t>
            </w:r>
          </w:p>
          <w:p>
            <w:pPr>
              <w:ind w:firstLine="240" w:firstLineChars="100"/>
              <w:rPr>
                <w:rFonts w:ascii="宋体" w:hAnsi="宋体" w:cs="宋体"/>
                <w:sz w:val="24"/>
                <w:highlight w:val="none"/>
              </w:rPr>
            </w:pPr>
            <w:r>
              <w:rPr>
                <w:rFonts w:ascii="宋体" w:hAnsi="宋体" w:cs="宋体"/>
                <w:sz w:val="24"/>
                <w:highlight w:val="none"/>
              </w:rPr>
              <w:t>A</w:t>
            </w:r>
            <w:r>
              <w:rPr>
                <w:rFonts w:hint="eastAsia" w:ascii="宋体" w:hAnsi="宋体" w:cs="宋体"/>
                <w:sz w:val="24"/>
                <w:highlight w:val="none"/>
              </w:rPr>
              <w:t>、满足员工申请</w:t>
            </w:r>
          </w:p>
          <w:p>
            <w:pPr>
              <w:ind w:firstLine="240" w:firstLineChars="100"/>
              <w:rPr>
                <w:rFonts w:ascii="宋体" w:hAnsi="宋体" w:cs="宋体"/>
                <w:sz w:val="24"/>
                <w:highlight w:val="none"/>
              </w:rPr>
            </w:pPr>
            <w:r>
              <w:rPr>
                <w:rFonts w:ascii="宋体" w:hAnsi="宋体" w:cs="宋体"/>
                <w:sz w:val="24"/>
                <w:highlight w:val="none"/>
              </w:rPr>
              <w:t>B</w:t>
            </w:r>
            <w:r>
              <w:rPr>
                <w:rFonts w:hint="eastAsia" w:ascii="宋体" w:hAnsi="宋体" w:cs="宋体"/>
                <w:sz w:val="24"/>
                <w:highlight w:val="none"/>
              </w:rPr>
              <w:t>、满足职称关联</w:t>
            </w:r>
          </w:p>
          <w:p>
            <w:pPr>
              <w:ind w:firstLine="240" w:firstLineChars="100"/>
              <w:rPr>
                <w:rFonts w:ascii="宋体" w:hAnsi="宋体" w:cs="宋体"/>
                <w:sz w:val="24"/>
                <w:highlight w:val="none"/>
              </w:rPr>
            </w:pPr>
            <w:r>
              <w:rPr>
                <w:rFonts w:ascii="宋体" w:hAnsi="宋体" w:cs="宋体"/>
                <w:sz w:val="24"/>
                <w:highlight w:val="none"/>
              </w:rPr>
              <w:t>C</w:t>
            </w:r>
            <w:r>
              <w:rPr>
                <w:rFonts w:hint="eastAsia" w:ascii="宋体" w:hAnsi="宋体" w:cs="宋体"/>
                <w:sz w:val="24"/>
                <w:highlight w:val="none"/>
              </w:rPr>
              <w:t>、满足审批流程</w:t>
            </w:r>
          </w:p>
          <w:p>
            <w:pPr>
              <w:ind w:firstLine="240" w:firstLineChars="100"/>
              <w:rPr>
                <w:rFonts w:ascii="宋体" w:hAnsi="宋体" w:cs="宋体"/>
                <w:sz w:val="24"/>
                <w:highlight w:val="none"/>
              </w:rPr>
            </w:pPr>
            <w:r>
              <w:rPr>
                <w:rFonts w:ascii="宋体" w:hAnsi="宋体" w:cs="宋体"/>
                <w:sz w:val="24"/>
                <w:highlight w:val="none"/>
              </w:rPr>
              <w:t>D</w:t>
            </w:r>
            <w:r>
              <w:rPr>
                <w:rFonts w:hint="eastAsia" w:ascii="宋体" w:hAnsi="宋体" w:cs="宋体"/>
                <w:sz w:val="24"/>
                <w:highlight w:val="none"/>
              </w:rPr>
              <w:t>、满足批量创建</w:t>
            </w:r>
          </w:p>
          <w:p>
            <w:pPr>
              <w:pStyle w:val="267"/>
              <w:numPr>
                <w:ilvl w:val="0"/>
                <w:numId w:val="89"/>
              </w:numPr>
              <w:spacing w:after="120" w:line="276" w:lineRule="auto"/>
              <w:ind w:firstLineChars="0"/>
              <w:rPr>
                <w:rFonts w:ascii="宋体" w:hAnsi="宋体" w:cs="宋体"/>
                <w:highlight w:val="none"/>
              </w:rPr>
            </w:pPr>
            <w:r>
              <w:rPr>
                <w:rFonts w:hint="eastAsia" w:ascii="宋体" w:hAnsi="宋体" w:cs="宋体"/>
                <w:highlight w:val="none"/>
              </w:rPr>
              <w:t>手术新项目申请</w:t>
            </w:r>
          </w:p>
          <w:p>
            <w:pPr>
              <w:pStyle w:val="267"/>
              <w:numPr>
                <w:ilvl w:val="0"/>
                <w:numId w:val="89"/>
              </w:numPr>
              <w:spacing w:line="276" w:lineRule="auto"/>
              <w:ind w:firstLineChars="0"/>
              <w:rPr>
                <w:rFonts w:ascii="宋体" w:hAnsi="宋体" w:cs="宋体"/>
                <w:highlight w:val="none"/>
              </w:rPr>
            </w:pPr>
            <w:r>
              <w:rPr>
                <w:rFonts w:hint="eastAsia" w:ascii="宋体" w:hAnsi="宋体" w:cs="宋体"/>
                <w:highlight w:val="none"/>
              </w:rPr>
              <w:t>手术审批</w:t>
            </w:r>
          </w:p>
          <w:p>
            <w:pPr>
              <w:pStyle w:val="267"/>
              <w:numPr>
                <w:ilvl w:val="0"/>
                <w:numId w:val="89"/>
              </w:numPr>
              <w:spacing w:line="276" w:lineRule="auto"/>
              <w:ind w:firstLineChars="0"/>
              <w:rPr>
                <w:rFonts w:ascii="宋体" w:hAnsi="宋体" w:cs="宋体"/>
                <w:highlight w:val="none"/>
              </w:rPr>
            </w:pPr>
            <w:r>
              <w:rPr>
                <w:rFonts w:hint="eastAsia" w:ascii="宋体" w:hAnsi="宋体" w:cs="宋体"/>
                <w:highlight w:val="none"/>
              </w:rPr>
              <w:t>手术追踪管理</w:t>
            </w:r>
          </w:p>
          <w:p>
            <w:pPr>
              <w:pStyle w:val="267"/>
              <w:numPr>
                <w:ilvl w:val="0"/>
                <w:numId w:val="89"/>
              </w:numPr>
              <w:spacing w:after="120" w:line="276" w:lineRule="auto"/>
              <w:ind w:firstLineChars="0"/>
              <w:rPr>
                <w:rFonts w:ascii="宋体" w:hAnsi="宋体" w:cs="宋体"/>
                <w:highlight w:val="none"/>
              </w:rPr>
            </w:pPr>
            <w:r>
              <w:rPr>
                <w:rFonts w:hint="eastAsia" w:ascii="宋体" w:hAnsi="宋体" w:cs="宋体"/>
                <w:highlight w:val="none"/>
              </w:rPr>
              <w:t>手术项目成熟管理</w:t>
            </w:r>
          </w:p>
          <w:p>
            <w:pPr>
              <w:pStyle w:val="267"/>
              <w:numPr>
                <w:ilvl w:val="0"/>
                <w:numId w:val="89"/>
              </w:numPr>
              <w:spacing w:after="120" w:line="276" w:lineRule="auto"/>
              <w:ind w:firstLineChars="0"/>
              <w:rPr>
                <w:rFonts w:ascii="宋体" w:hAnsi="宋体" w:cs="宋体"/>
                <w:highlight w:val="none"/>
              </w:rPr>
            </w:pPr>
            <w:r>
              <w:rPr>
                <w:rFonts w:hint="eastAsia" w:ascii="宋体" w:hAnsi="宋体" w:cs="宋体"/>
                <w:highlight w:val="none"/>
              </w:rPr>
              <w:t>满足项目查看统计</w:t>
            </w:r>
          </w:p>
          <w:p>
            <w:pPr>
              <w:pStyle w:val="267"/>
              <w:numPr>
                <w:ilvl w:val="0"/>
                <w:numId w:val="89"/>
              </w:numPr>
              <w:spacing w:line="276" w:lineRule="auto"/>
              <w:ind w:firstLineChars="0"/>
              <w:rPr>
                <w:rFonts w:ascii="宋体" w:hAnsi="宋体" w:cs="宋体"/>
                <w:highlight w:val="none"/>
              </w:rPr>
            </w:pPr>
            <w:r>
              <w:rPr>
                <w:rFonts w:hint="eastAsia" w:ascii="宋体" w:hAnsi="宋体" w:cs="宋体"/>
                <w:highlight w:val="none"/>
              </w:rPr>
              <w:t>满足科室查看统计</w:t>
            </w:r>
          </w:p>
          <w:p>
            <w:pPr>
              <w:pStyle w:val="267"/>
              <w:numPr>
                <w:ilvl w:val="0"/>
                <w:numId w:val="89"/>
              </w:numPr>
              <w:spacing w:line="276" w:lineRule="auto"/>
              <w:ind w:firstLineChars="0"/>
              <w:rPr>
                <w:rFonts w:ascii="宋体" w:hAnsi="宋体" w:cs="宋体"/>
                <w:highlight w:val="none"/>
              </w:rPr>
            </w:pPr>
            <w:r>
              <w:rPr>
                <w:rFonts w:hint="eastAsia" w:ascii="宋体" w:hAnsi="宋体" w:cs="宋体"/>
                <w:highlight w:val="none"/>
              </w:rPr>
              <w:t>满足按人查看统计</w:t>
            </w:r>
          </w:p>
          <w:p>
            <w:pPr>
              <w:pStyle w:val="267"/>
              <w:numPr>
                <w:ilvl w:val="0"/>
                <w:numId w:val="89"/>
              </w:numPr>
              <w:spacing w:line="276" w:lineRule="auto"/>
              <w:ind w:firstLineChars="0"/>
              <w:rPr>
                <w:rFonts w:ascii="宋体" w:hAnsi="宋体" w:cs="宋体"/>
                <w:highlight w:val="none"/>
              </w:rPr>
            </w:pPr>
            <w:r>
              <w:rPr>
                <w:rFonts w:hint="eastAsia" w:ascii="宋体" w:hAnsi="宋体" w:cs="宋体"/>
                <w:highlight w:val="none"/>
              </w:rPr>
              <w:t>满足年度手术开展情况的统计汇总</w:t>
            </w:r>
          </w:p>
          <w:p>
            <w:pPr>
              <w:pStyle w:val="267"/>
              <w:numPr>
                <w:ilvl w:val="0"/>
                <w:numId w:val="89"/>
              </w:numPr>
              <w:spacing w:line="276" w:lineRule="auto"/>
              <w:ind w:firstLineChars="0"/>
              <w:rPr>
                <w:rFonts w:ascii="宋体" w:hAnsi="宋体" w:cs="宋体"/>
                <w:highlight w:val="none"/>
              </w:rPr>
            </w:pPr>
            <w:r>
              <w:rPr>
                <w:rFonts w:hint="eastAsia" w:ascii="宋体" w:hAnsi="宋体" w:cs="宋体"/>
                <w:highlight w:val="none"/>
              </w:rPr>
              <w:t>满足按人统计开展情况</w:t>
            </w:r>
          </w:p>
          <w:p>
            <w:pPr>
              <w:pStyle w:val="267"/>
              <w:numPr>
                <w:ilvl w:val="0"/>
                <w:numId w:val="89"/>
              </w:numPr>
              <w:spacing w:line="276" w:lineRule="auto"/>
              <w:ind w:firstLineChars="0"/>
              <w:rPr>
                <w:rFonts w:ascii="宋体" w:hAnsi="宋体" w:cs="宋体"/>
                <w:highlight w:val="none"/>
              </w:rPr>
            </w:pPr>
            <w:r>
              <w:rPr>
                <w:rFonts w:hint="eastAsia" w:ascii="宋体" w:hAnsi="宋体" w:cs="宋体"/>
                <w:highlight w:val="none"/>
              </w:rPr>
              <w:t>手术再授权管理</w:t>
            </w:r>
          </w:p>
          <w:p>
            <w:pPr>
              <w:pStyle w:val="267"/>
              <w:numPr>
                <w:ilvl w:val="0"/>
                <w:numId w:val="89"/>
              </w:numPr>
              <w:spacing w:line="276" w:lineRule="auto"/>
              <w:ind w:firstLineChars="0"/>
              <w:rPr>
                <w:rFonts w:ascii="宋体" w:hAnsi="宋体" w:cs="宋体"/>
                <w:highlight w:val="none"/>
              </w:rPr>
            </w:pPr>
            <w:r>
              <w:rPr>
                <w:rFonts w:hint="eastAsia" w:ascii="宋体" w:hAnsi="宋体" w:cs="宋体"/>
                <w:highlight w:val="none"/>
              </w:rPr>
              <w:t>按人统计每年开展手术汇总</w:t>
            </w:r>
          </w:p>
          <w:p>
            <w:pPr>
              <w:pStyle w:val="267"/>
              <w:numPr>
                <w:ilvl w:val="0"/>
                <w:numId w:val="89"/>
              </w:numPr>
              <w:spacing w:line="276" w:lineRule="auto"/>
              <w:ind w:firstLineChars="0"/>
              <w:rPr>
                <w:rFonts w:ascii="宋体" w:hAnsi="宋体" w:cs="宋体"/>
                <w:highlight w:val="none"/>
              </w:rPr>
            </w:pPr>
            <w:r>
              <w:rPr>
                <w:rFonts w:hint="eastAsia" w:ascii="宋体" w:hAnsi="宋体" w:cs="宋体"/>
                <w:highlight w:val="none"/>
              </w:rPr>
              <w:t>进行再授权或降级处理</w:t>
            </w:r>
          </w:p>
          <w:p>
            <w:pPr>
              <w:rPr>
                <w:rFonts w:ascii="宋体" w:hAnsi="宋体" w:cs="宋体"/>
                <w:sz w:val="24"/>
                <w:highlight w:val="none"/>
              </w:rPr>
            </w:pPr>
            <w:r>
              <w:rPr>
                <w:rFonts w:hint="eastAsia" w:ascii="宋体" w:hAnsi="宋体" w:cs="宋体"/>
                <w:sz w:val="24"/>
                <w:highlight w:val="none"/>
              </w:rPr>
              <w:t>5、支持根据按项目查看、按人员查看</w:t>
            </w:r>
          </w:p>
          <w:p>
            <w:pPr>
              <w:rPr>
                <w:rFonts w:ascii="宋体" w:hAnsi="宋体" w:cs="宋体"/>
                <w:sz w:val="24"/>
                <w:highlight w:val="none"/>
              </w:rPr>
            </w:pPr>
            <w:r>
              <w:rPr>
                <w:rFonts w:hint="eastAsia" w:ascii="宋体" w:hAnsi="宋体" w:cs="宋体"/>
                <w:sz w:val="24"/>
                <w:highlight w:val="none"/>
              </w:rPr>
              <w:t>6、支持开展情况查看</w:t>
            </w:r>
          </w:p>
          <w:p>
            <w:pPr>
              <w:rPr>
                <w:rFonts w:ascii="宋体" w:hAnsi="宋体" w:cs="宋体"/>
                <w:sz w:val="24"/>
                <w:highlight w:val="none"/>
              </w:rPr>
            </w:pPr>
            <w:r>
              <w:rPr>
                <w:rFonts w:hint="eastAsia" w:ascii="宋体" w:hAnsi="宋体" w:cs="宋体"/>
                <w:sz w:val="24"/>
                <w:highlight w:val="none"/>
              </w:rPr>
              <w:t>7、支持到期天数监控</w:t>
            </w:r>
          </w:p>
          <w:p>
            <w:pPr>
              <w:rPr>
                <w:rFonts w:ascii="宋体" w:hAnsi="宋体" w:cs="宋体"/>
                <w:sz w:val="24"/>
                <w:highlight w:val="none"/>
              </w:rPr>
            </w:pPr>
            <w:r>
              <w:rPr>
                <w:rFonts w:hint="eastAsia" w:ascii="宋体" w:hAnsi="宋体" w:cs="宋体"/>
                <w:sz w:val="24"/>
                <w:highlight w:val="none"/>
              </w:rPr>
              <w:t>8、支持按工号、科室、职称进行检索</w:t>
            </w:r>
          </w:p>
          <w:p>
            <w:pPr>
              <w:rPr>
                <w:rFonts w:ascii="宋体" w:hAnsi="宋体" w:cs="宋体"/>
                <w:sz w:val="24"/>
                <w:highlight w:val="none"/>
              </w:rPr>
            </w:pPr>
            <w:r>
              <w:rPr>
                <w:rFonts w:ascii="宋体" w:hAnsi="宋体" w:cs="宋体"/>
                <w:sz w:val="24"/>
                <w:highlight w:val="none"/>
              </w:rPr>
              <w:t>9</w:t>
            </w:r>
            <w:r>
              <w:rPr>
                <w:rFonts w:hint="eastAsia" w:ascii="宋体" w:hAnsi="宋体" w:cs="宋体"/>
                <w:sz w:val="24"/>
                <w:highlight w:val="none"/>
              </w:rPr>
              <w:t>、操作类权限</w:t>
            </w:r>
          </w:p>
          <w:p>
            <w:pPr>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a、腔镜操作</w:t>
            </w:r>
          </w:p>
          <w:p>
            <w:pPr>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b、介入操作</w:t>
            </w:r>
          </w:p>
          <w:p>
            <w:pPr>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c、常规技能操作</w:t>
            </w:r>
          </w:p>
          <w:p>
            <w:pPr>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0</w:t>
            </w:r>
            <w:r>
              <w:rPr>
                <w:rFonts w:hint="eastAsia" w:ascii="宋体" w:hAnsi="宋体" w:cs="宋体"/>
                <w:sz w:val="24"/>
                <w:highlight w:val="none"/>
              </w:rPr>
              <w:t>、门诊权限</w:t>
            </w:r>
          </w:p>
          <w:p>
            <w:pPr>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a、普通门诊</w:t>
            </w:r>
          </w:p>
          <w:p>
            <w:pPr>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b、专家门诊</w:t>
            </w:r>
          </w:p>
          <w:p>
            <w:pPr>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c、特需门诊</w:t>
            </w:r>
          </w:p>
          <w:p>
            <w:pPr>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w:t>
            </w:r>
            <w:r>
              <w:rPr>
                <w:rFonts w:hint="eastAsia" w:ascii="宋体" w:hAnsi="宋体" w:cs="宋体"/>
                <w:sz w:val="24"/>
                <w:highlight w:val="none"/>
              </w:rPr>
              <w:t>、处方权权限</w:t>
            </w:r>
          </w:p>
          <w:p>
            <w:pPr>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a、普通处方权</w:t>
            </w:r>
          </w:p>
          <w:p>
            <w:pPr>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b、抗菌药物处方权</w:t>
            </w:r>
          </w:p>
          <w:p>
            <w:pPr>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c、精神/麻醉药品处方权</w:t>
            </w:r>
          </w:p>
          <w:p>
            <w:pPr>
              <w:ind w:firstLine="420"/>
              <w:rPr>
                <w:rFonts w:ascii="宋体" w:hAnsi="宋体" w:cs="宋体"/>
                <w:sz w:val="24"/>
                <w:highlight w:val="none"/>
              </w:rPr>
            </w:pPr>
            <w:r>
              <w:rPr>
                <w:rFonts w:hint="eastAsia" w:ascii="宋体" w:hAnsi="宋体" w:cs="宋体"/>
                <w:sz w:val="24"/>
                <w:highlight w:val="none"/>
              </w:rPr>
              <w:t>d、抗肿瘤药物处方权</w:t>
            </w:r>
          </w:p>
          <w:p>
            <w:pPr>
              <w:ind w:firstLine="420"/>
              <w:rPr>
                <w:rFonts w:ascii="宋体" w:hAnsi="宋体" w:cs="宋体"/>
                <w:sz w:val="24"/>
                <w:highlight w:val="none"/>
              </w:rPr>
            </w:pPr>
            <w:r>
              <w:rPr>
                <w:rFonts w:hint="eastAsia" w:ascii="宋体" w:hAnsi="宋体" w:cs="宋体"/>
                <w:sz w:val="24"/>
                <w:highlight w:val="none"/>
              </w:rPr>
              <w:t xml:space="preserve">    （1）临床试验用药物</w:t>
            </w:r>
          </w:p>
          <w:p>
            <w:pPr>
              <w:ind w:firstLine="960" w:firstLineChars="400"/>
              <w:rPr>
                <w:rFonts w:ascii="宋体" w:hAnsi="宋体" w:cs="宋体"/>
                <w:sz w:val="24"/>
                <w:highlight w:val="none"/>
              </w:rPr>
            </w:pPr>
            <w:r>
              <w:rPr>
                <w:rFonts w:hint="eastAsia" w:ascii="宋体" w:hAnsi="宋体" w:cs="宋体"/>
                <w:sz w:val="24"/>
                <w:highlight w:val="none"/>
              </w:rPr>
              <w:t>（2）一般管理药物</w:t>
            </w:r>
          </w:p>
          <w:p>
            <w:pPr>
              <w:ind w:firstLine="960" w:firstLineChars="400"/>
              <w:rPr>
                <w:rFonts w:ascii="宋体" w:hAnsi="宋体" w:cs="宋体"/>
                <w:sz w:val="24"/>
                <w:highlight w:val="none"/>
              </w:rPr>
            </w:pPr>
            <w:r>
              <w:rPr>
                <w:rFonts w:hint="eastAsia" w:ascii="宋体" w:hAnsi="宋体" w:cs="宋体"/>
                <w:sz w:val="24"/>
                <w:highlight w:val="none"/>
              </w:rPr>
              <w:t>（3）特殊管理药物</w:t>
            </w:r>
          </w:p>
          <w:p>
            <w:pPr>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2</w:t>
            </w:r>
            <w:r>
              <w:rPr>
                <w:rFonts w:hint="eastAsia" w:ascii="宋体" w:hAnsi="宋体" w:cs="宋体"/>
                <w:sz w:val="24"/>
                <w:highlight w:val="none"/>
              </w:rPr>
              <w:t>、特殊资质授权（有准入条件、有收回标准、有程序）</w:t>
            </w:r>
          </w:p>
          <w:p>
            <w:pPr>
              <w:ind w:firstLine="480" w:firstLineChars="200"/>
              <w:rPr>
                <w:rFonts w:ascii="宋体" w:hAnsi="宋体" w:cs="宋体"/>
                <w:sz w:val="24"/>
                <w:highlight w:val="none"/>
              </w:rPr>
            </w:pPr>
            <w:r>
              <w:rPr>
                <w:rFonts w:hint="eastAsia" w:ascii="宋体" w:hAnsi="宋体" w:cs="宋体"/>
                <w:sz w:val="24"/>
                <w:highlight w:val="none"/>
              </w:rPr>
              <w:t>a、血液净化技术准入</w:t>
            </w:r>
          </w:p>
          <w:p>
            <w:pPr>
              <w:ind w:firstLine="480" w:firstLineChars="200"/>
              <w:rPr>
                <w:rFonts w:ascii="宋体" w:hAnsi="宋体" w:cs="宋体"/>
                <w:sz w:val="24"/>
                <w:highlight w:val="none"/>
              </w:rPr>
            </w:pPr>
            <w:r>
              <w:rPr>
                <w:rFonts w:hint="eastAsia" w:ascii="宋体" w:hAnsi="宋体" w:cs="宋体"/>
                <w:sz w:val="24"/>
                <w:highlight w:val="none"/>
              </w:rPr>
              <w:t>b、康复医学资质准入</w:t>
            </w:r>
          </w:p>
          <w:p>
            <w:pPr>
              <w:ind w:firstLine="480" w:firstLineChars="200"/>
              <w:rPr>
                <w:rFonts w:ascii="宋体" w:hAnsi="宋体" w:cs="宋体"/>
                <w:sz w:val="24"/>
                <w:highlight w:val="none"/>
              </w:rPr>
            </w:pPr>
            <w:r>
              <w:rPr>
                <w:rFonts w:hint="eastAsia" w:ascii="宋体" w:hAnsi="宋体" w:cs="宋体"/>
                <w:sz w:val="24"/>
                <w:highlight w:val="none"/>
              </w:rPr>
              <w:t>c、重症医学资质准入</w:t>
            </w:r>
          </w:p>
          <w:p>
            <w:pPr>
              <w:ind w:firstLine="480" w:firstLineChars="200"/>
              <w:rPr>
                <w:rFonts w:ascii="宋体" w:hAnsi="宋体" w:cs="宋体"/>
                <w:sz w:val="24"/>
                <w:highlight w:val="none"/>
              </w:rPr>
            </w:pPr>
            <w:r>
              <w:rPr>
                <w:rFonts w:hint="eastAsia" w:ascii="宋体" w:hAnsi="宋体" w:cs="宋体"/>
                <w:sz w:val="24"/>
                <w:highlight w:val="none"/>
              </w:rPr>
              <w:t>d、POCT授权</w:t>
            </w:r>
          </w:p>
          <w:p>
            <w:pPr>
              <w:ind w:firstLine="480" w:firstLineChars="200"/>
              <w:rPr>
                <w:rFonts w:ascii="宋体" w:hAnsi="宋体" w:cs="宋体"/>
                <w:sz w:val="24"/>
                <w:highlight w:val="none"/>
              </w:rPr>
            </w:pPr>
            <w:r>
              <w:rPr>
                <w:rFonts w:hint="eastAsia" w:ascii="宋体" w:hAnsi="宋体" w:cs="宋体"/>
                <w:sz w:val="24"/>
                <w:highlight w:val="none"/>
              </w:rPr>
              <w:t>e、中医操作技能授权</w:t>
            </w:r>
          </w:p>
          <w:p>
            <w:pPr>
              <w:ind w:firstLine="480" w:firstLineChars="200"/>
              <w:rPr>
                <w:rFonts w:ascii="宋体" w:hAnsi="宋体" w:cs="宋体"/>
                <w:sz w:val="24"/>
                <w:highlight w:val="none"/>
              </w:rPr>
            </w:pPr>
            <w:r>
              <w:rPr>
                <w:rFonts w:hint="eastAsia" w:ascii="宋体" w:hAnsi="宋体" w:cs="宋体"/>
                <w:sz w:val="24"/>
                <w:highlight w:val="none"/>
              </w:rPr>
              <w:t>f、临床医师超声仪器操作授权</w:t>
            </w:r>
          </w:p>
          <w:p>
            <w:pPr>
              <w:ind w:firstLine="480" w:firstLineChars="200"/>
              <w:rPr>
                <w:rFonts w:ascii="宋体" w:hAnsi="宋体" w:cs="宋体"/>
                <w:sz w:val="24"/>
                <w:highlight w:val="none"/>
              </w:rPr>
            </w:pPr>
            <w:r>
              <w:rPr>
                <w:rFonts w:hint="eastAsia" w:ascii="宋体" w:hAnsi="宋体" w:cs="宋体"/>
                <w:sz w:val="24"/>
                <w:highlight w:val="none"/>
              </w:rPr>
              <w:t>g、超声科医师授权</w:t>
            </w:r>
          </w:p>
          <w:p>
            <w:pPr>
              <w:rPr>
                <w:rFonts w:ascii="宋体" w:hAnsi="宋体" w:cs="宋体"/>
                <w:sz w:val="24"/>
                <w:highlight w:val="none"/>
              </w:rPr>
            </w:pPr>
            <w:r>
              <w:rPr>
                <w:rFonts w:hint="eastAsia" w:ascii="宋体" w:hAnsi="宋体" w:cs="宋体"/>
                <w:sz w:val="24"/>
                <w:highlight w:val="none"/>
              </w:rPr>
              <w:t xml:space="preserve">    （1）超声检查</w:t>
            </w:r>
          </w:p>
          <w:p>
            <w:pPr>
              <w:rPr>
                <w:rFonts w:ascii="宋体" w:hAnsi="宋体" w:cs="宋体"/>
                <w:sz w:val="24"/>
                <w:highlight w:val="none"/>
              </w:rPr>
            </w:pPr>
            <w:r>
              <w:rPr>
                <w:rFonts w:hint="eastAsia" w:ascii="宋体" w:hAnsi="宋体" w:cs="宋体"/>
                <w:sz w:val="24"/>
                <w:highlight w:val="none"/>
              </w:rPr>
              <w:t xml:space="preserve">    （2）超声引导</w:t>
            </w:r>
          </w:p>
          <w:p>
            <w:pPr>
              <w:rPr>
                <w:rFonts w:ascii="宋体" w:hAnsi="宋体" w:cs="宋体"/>
                <w:sz w:val="24"/>
                <w:highlight w:val="none"/>
              </w:rPr>
            </w:pPr>
            <w:r>
              <w:rPr>
                <w:rFonts w:hint="eastAsia" w:ascii="宋体" w:hAnsi="宋体" w:cs="宋体"/>
                <w:sz w:val="24"/>
                <w:highlight w:val="none"/>
              </w:rPr>
              <w:t xml:space="preserve">    （3）超声介入</w:t>
            </w:r>
          </w:p>
          <w:p>
            <w:pPr>
              <w:ind w:firstLine="480" w:firstLineChars="200"/>
              <w:rPr>
                <w:rFonts w:ascii="宋体" w:hAnsi="宋体" w:cs="宋体"/>
                <w:sz w:val="24"/>
                <w:highlight w:val="none"/>
              </w:rPr>
            </w:pPr>
            <w:r>
              <w:rPr>
                <w:rFonts w:hint="eastAsia" w:ascii="宋体" w:hAnsi="宋体" w:cs="宋体"/>
                <w:sz w:val="24"/>
                <w:highlight w:val="none"/>
              </w:rPr>
              <w:t>h、放射科医师授权</w:t>
            </w:r>
          </w:p>
          <w:p>
            <w:pPr>
              <w:ind w:firstLine="480" w:firstLineChars="200"/>
              <w:rPr>
                <w:rFonts w:ascii="宋体" w:hAnsi="宋体" w:cs="宋体"/>
                <w:sz w:val="24"/>
                <w:highlight w:val="none"/>
              </w:rPr>
            </w:pPr>
            <w:r>
              <w:rPr>
                <w:rFonts w:hint="eastAsia" w:ascii="宋体" w:hAnsi="宋体" w:cs="宋体"/>
                <w:sz w:val="24"/>
                <w:highlight w:val="none"/>
              </w:rPr>
              <w:t>i、放射科技师授权</w:t>
            </w:r>
          </w:p>
          <w:p>
            <w:pPr>
              <w:ind w:firstLine="480" w:firstLineChars="200"/>
              <w:rPr>
                <w:rFonts w:ascii="宋体" w:hAnsi="宋体" w:cs="宋体"/>
                <w:sz w:val="24"/>
                <w:highlight w:val="none"/>
              </w:rPr>
            </w:pPr>
            <w:r>
              <w:rPr>
                <w:rFonts w:hint="eastAsia" w:ascii="宋体" w:hAnsi="宋体" w:cs="宋体"/>
                <w:sz w:val="24"/>
                <w:highlight w:val="none"/>
              </w:rPr>
              <w:t>j、核医学医师授权</w:t>
            </w:r>
          </w:p>
          <w:p>
            <w:pPr>
              <w:ind w:firstLine="480" w:firstLineChars="200"/>
              <w:rPr>
                <w:rFonts w:ascii="宋体" w:hAnsi="宋体" w:cs="宋体"/>
                <w:sz w:val="24"/>
                <w:highlight w:val="none"/>
              </w:rPr>
            </w:pPr>
            <w:r>
              <w:rPr>
                <w:rFonts w:hint="eastAsia" w:ascii="宋体" w:hAnsi="宋体" w:cs="宋体"/>
                <w:sz w:val="24"/>
                <w:highlight w:val="none"/>
              </w:rPr>
              <w:t>k、核医学技师授权</w:t>
            </w:r>
          </w:p>
          <w:p>
            <w:pPr>
              <w:ind w:firstLine="480" w:firstLineChars="200"/>
              <w:rPr>
                <w:rFonts w:ascii="宋体" w:hAnsi="宋体" w:cs="宋体"/>
                <w:sz w:val="24"/>
                <w:highlight w:val="none"/>
              </w:rPr>
            </w:pPr>
            <w:r>
              <w:rPr>
                <w:rFonts w:hint="eastAsia" w:ascii="宋体" w:hAnsi="宋体" w:cs="宋体"/>
                <w:sz w:val="24"/>
                <w:highlight w:val="none"/>
              </w:rPr>
              <w:t>l、麻醉ASA（管理）分级授权</w:t>
            </w:r>
          </w:p>
          <w:p>
            <w:pPr>
              <w:ind w:firstLine="480" w:firstLineChars="200"/>
              <w:rPr>
                <w:rFonts w:ascii="宋体" w:hAnsi="宋体" w:cs="宋体"/>
                <w:sz w:val="24"/>
                <w:highlight w:val="none"/>
              </w:rPr>
            </w:pPr>
            <w:r>
              <w:rPr>
                <w:rFonts w:hint="eastAsia" w:ascii="宋体" w:hAnsi="宋体" w:cs="宋体"/>
                <w:sz w:val="24"/>
                <w:highlight w:val="none"/>
              </w:rPr>
              <w:t>m、麻醉特殊操作授权</w:t>
            </w:r>
          </w:p>
          <w:p>
            <w:pPr>
              <w:ind w:firstLine="480" w:firstLineChars="200"/>
              <w:rPr>
                <w:rFonts w:ascii="宋体" w:hAnsi="宋体" w:cs="宋体"/>
                <w:sz w:val="24"/>
                <w:highlight w:val="none"/>
              </w:rPr>
            </w:pPr>
            <w:r>
              <w:rPr>
                <w:rFonts w:hint="eastAsia" w:ascii="宋体" w:hAnsi="宋体" w:cs="宋体"/>
                <w:sz w:val="24"/>
                <w:highlight w:val="none"/>
              </w:rPr>
              <w:t>n、病理医师授权</w:t>
            </w:r>
          </w:p>
          <w:p>
            <w:pPr>
              <w:rPr>
                <w:rFonts w:ascii="宋体" w:hAnsi="宋体" w:cs="宋体"/>
                <w:sz w:val="24"/>
                <w:highlight w:val="none"/>
              </w:rPr>
            </w:pPr>
            <w:r>
              <w:rPr>
                <w:rFonts w:hint="eastAsia" w:ascii="宋体" w:hAnsi="宋体" w:cs="宋体"/>
                <w:sz w:val="24"/>
                <w:highlight w:val="none"/>
              </w:rPr>
              <w:t xml:space="preserve">     （1）独立出具病理报告</w:t>
            </w:r>
          </w:p>
          <w:p>
            <w:pPr>
              <w:rPr>
                <w:rFonts w:ascii="宋体" w:hAnsi="宋体" w:cs="宋体"/>
                <w:sz w:val="24"/>
                <w:highlight w:val="none"/>
              </w:rPr>
            </w:pPr>
            <w:r>
              <w:rPr>
                <w:rFonts w:hint="eastAsia" w:ascii="宋体" w:hAnsi="宋体" w:cs="宋体"/>
                <w:sz w:val="24"/>
                <w:highlight w:val="none"/>
              </w:rPr>
              <w:t xml:space="preserve">     （2）快速病理</w:t>
            </w:r>
          </w:p>
          <w:p>
            <w:pPr>
              <w:rPr>
                <w:rFonts w:ascii="宋体" w:hAnsi="宋体" w:cs="宋体"/>
                <w:sz w:val="24"/>
                <w:highlight w:val="none"/>
              </w:rPr>
            </w:pPr>
            <w:r>
              <w:rPr>
                <w:rFonts w:hint="eastAsia" w:ascii="宋体" w:hAnsi="宋体" w:cs="宋体"/>
                <w:sz w:val="24"/>
                <w:highlight w:val="none"/>
              </w:rPr>
              <w:t xml:space="preserve">     （3）尸体解剖 </w:t>
            </w:r>
          </w:p>
          <w:p>
            <w:pPr>
              <w:ind w:firstLine="480" w:firstLineChars="200"/>
              <w:rPr>
                <w:rFonts w:ascii="宋体" w:hAnsi="宋体" w:cs="宋体"/>
                <w:sz w:val="24"/>
                <w:highlight w:val="none"/>
              </w:rPr>
            </w:pPr>
            <w:r>
              <w:rPr>
                <w:rFonts w:hint="eastAsia" w:ascii="宋体" w:hAnsi="宋体" w:cs="宋体"/>
                <w:sz w:val="24"/>
                <w:highlight w:val="none"/>
              </w:rPr>
              <w:t>o、病理技师授权</w:t>
            </w:r>
          </w:p>
          <w:p>
            <w:pPr>
              <w:ind w:firstLine="480" w:firstLineChars="200"/>
              <w:rPr>
                <w:rFonts w:ascii="宋体" w:hAnsi="宋体" w:cs="宋体"/>
                <w:sz w:val="24"/>
                <w:highlight w:val="none"/>
              </w:rPr>
            </w:pPr>
            <w:r>
              <w:rPr>
                <w:rFonts w:hint="eastAsia" w:ascii="宋体" w:hAnsi="宋体" w:cs="宋体"/>
                <w:sz w:val="24"/>
                <w:highlight w:val="none"/>
              </w:rPr>
              <w:t>p、放疗医师授权</w:t>
            </w:r>
          </w:p>
          <w:p>
            <w:pPr>
              <w:ind w:firstLine="480" w:firstLineChars="200"/>
              <w:rPr>
                <w:rFonts w:ascii="宋体" w:hAnsi="宋体" w:cs="宋体"/>
                <w:sz w:val="24"/>
                <w:highlight w:val="none"/>
              </w:rPr>
            </w:pPr>
            <w:r>
              <w:rPr>
                <w:rFonts w:hint="eastAsia" w:ascii="宋体" w:hAnsi="宋体" w:cs="宋体"/>
                <w:sz w:val="24"/>
                <w:highlight w:val="none"/>
              </w:rPr>
              <w:t>q、放疗物理师授权</w:t>
            </w:r>
          </w:p>
          <w:p>
            <w:pPr>
              <w:ind w:firstLine="480" w:firstLineChars="200"/>
              <w:rPr>
                <w:rFonts w:ascii="宋体" w:hAnsi="宋体" w:cs="宋体"/>
                <w:sz w:val="24"/>
                <w:highlight w:val="none"/>
              </w:rPr>
            </w:pPr>
            <w:r>
              <w:rPr>
                <w:rFonts w:hint="eastAsia" w:ascii="宋体" w:hAnsi="宋体" w:cs="宋体"/>
                <w:sz w:val="24"/>
                <w:highlight w:val="none"/>
              </w:rPr>
              <w:t>r、放疗技师授权</w:t>
            </w:r>
          </w:p>
          <w:p>
            <w:pPr>
              <w:ind w:firstLine="480" w:firstLineChars="200"/>
              <w:rPr>
                <w:rFonts w:ascii="宋体" w:hAnsi="宋体" w:cs="宋体"/>
                <w:sz w:val="24"/>
                <w:highlight w:val="none"/>
              </w:rPr>
            </w:pPr>
            <w:r>
              <w:rPr>
                <w:rFonts w:hint="eastAsia" w:ascii="宋体" w:hAnsi="宋体" w:cs="宋体"/>
                <w:sz w:val="24"/>
                <w:highlight w:val="none"/>
              </w:rPr>
              <w:t>s、妇幼保健技术授权</w:t>
            </w:r>
          </w:p>
          <w:p>
            <w:pPr>
              <w:ind w:firstLine="480" w:firstLineChars="200"/>
              <w:rPr>
                <w:rFonts w:ascii="宋体" w:hAnsi="宋体" w:cs="宋体"/>
                <w:sz w:val="24"/>
                <w:highlight w:val="none"/>
              </w:rPr>
            </w:pPr>
            <w:r>
              <w:rPr>
                <w:rFonts w:hint="eastAsia" w:ascii="宋体" w:hAnsi="宋体" w:cs="宋体"/>
                <w:sz w:val="24"/>
                <w:highlight w:val="none"/>
              </w:rPr>
              <w:t>t、高压氧医师资质授权</w:t>
            </w:r>
          </w:p>
          <w:p>
            <w:pPr>
              <w:ind w:firstLine="480" w:firstLineChars="200"/>
              <w:rPr>
                <w:rFonts w:ascii="宋体" w:hAnsi="宋体" w:cs="宋体"/>
                <w:sz w:val="24"/>
                <w:highlight w:val="none"/>
              </w:rPr>
            </w:pPr>
            <w:r>
              <w:rPr>
                <w:rFonts w:hint="eastAsia" w:ascii="宋体" w:hAnsi="宋体" w:cs="宋体"/>
                <w:sz w:val="24"/>
                <w:highlight w:val="none"/>
              </w:rPr>
              <w:t>u、高压氧工程技术资质授权</w:t>
            </w:r>
          </w:p>
          <w:p>
            <w:pPr>
              <w:ind w:firstLine="480" w:firstLineChars="200"/>
              <w:rPr>
                <w:rFonts w:ascii="宋体" w:hAnsi="宋体" w:cs="宋体"/>
                <w:sz w:val="24"/>
                <w:highlight w:val="none"/>
              </w:rPr>
            </w:pPr>
            <w:r>
              <w:rPr>
                <w:rFonts w:hint="eastAsia" w:ascii="宋体" w:hAnsi="宋体" w:cs="宋体"/>
                <w:sz w:val="24"/>
                <w:highlight w:val="none"/>
              </w:rPr>
              <w:t>v、抗肿瘤药物配置权（药师）</w:t>
            </w:r>
          </w:p>
          <w:p>
            <w:pPr>
              <w:ind w:firstLine="480" w:firstLineChars="200"/>
              <w:rPr>
                <w:rFonts w:ascii="宋体" w:hAnsi="宋体" w:cs="宋体"/>
                <w:color w:val="FF0000"/>
                <w:sz w:val="24"/>
                <w:highlight w:val="none"/>
              </w:rPr>
            </w:pPr>
            <w:r>
              <w:rPr>
                <w:rFonts w:hint="eastAsia" w:ascii="宋体" w:hAnsi="宋体" w:cs="宋体"/>
                <w:sz w:val="24"/>
                <w:highlight w:val="none"/>
              </w:rPr>
              <w:t>w、抗肿瘤药物调配权（药师）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pStyle w:val="24"/>
              <w:ind w:right="102"/>
              <w:rPr>
                <w:rFonts w:hAnsi="宋体"/>
                <w:b/>
                <w:bCs/>
                <w:highlight w:val="none"/>
              </w:rPr>
            </w:pPr>
          </w:p>
        </w:tc>
        <w:tc>
          <w:tcPr>
            <w:tcW w:w="662" w:type="pct"/>
            <w:vMerge w:val="continue"/>
          </w:tcPr>
          <w:p>
            <w:pPr>
              <w:pStyle w:val="24"/>
              <w:ind w:right="102"/>
              <w:rPr>
                <w:rFonts w:hAnsi="宋体"/>
                <w:b/>
                <w:bCs/>
                <w:highlight w:val="none"/>
              </w:rPr>
            </w:pPr>
          </w:p>
        </w:tc>
        <w:tc>
          <w:tcPr>
            <w:tcW w:w="1164" w:type="pct"/>
          </w:tcPr>
          <w:p>
            <w:pPr>
              <w:pStyle w:val="24"/>
              <w:ind w:right="102"/>
              <w:rPr>
                <w:rFonts w:hAnsi="宋体"/>
                <w:highlight w:val="none"/>
              </w:rPr>
            </w:pPr>
            <w:r>
              <w:rPr>
                <w:rFonts w:hint="eastAsia" w:hAnsi="宋体"/>
                <w:highlight w:val="none"/>
              </w:rPr>
              <w:t>四、</w:t>
            </w:r>
            <w:r>
              <w:rPr>
                <w:rFonts w:hint="eastAsia" w:hAnsi="宋体" w:cs="宋体"/>
                <w:highlight w:val="none"/>
              </w:rPr>
              <w:t>我的授权管理</w:t>
            </w:r>
          </w:p>
        </w:tc>
        <w:tc>
          <w:tcPr>
            <w:tcW w:w="2735" w:type="pct"/>
          </w:tcPr>
          <w:p>
            <w:pPr>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、支持根据职称、学历进行限制申请</w:t>
            </w:r>
          </w:p>
          <w:p>
            <w:pPr>
              <w:rPr>
                <w:rFonts w:ascii="宋体" w:hAnsi="宋体" w:cs="宋体"/>
                <w:sz w:val="24"/>
                <w:highlight w:val="none"/>
              </w:rPr>
            </w:pPr>
            <w:r>
              <w:rPr>
                <w:rFonts w:hint="eastAsia" w:ascii="宋体" w:hAnsi="宋体" w:cs="宋体"/>
                <w:sz w:val="24"/>
                <w:highlight w:val="none"/>
              </w:rPr>
              <w:t>2、支持表单自动获取最新人员信息</w:t>
            </w:r>
          </w:p>
          <w:p>
            <w:pPr>
              <w:rPr>
                <w:rFonts w:ascii="宋体" w:hAnsi="宋体" w:cs="宋体"/>
                <w:sz w:val="24"/>
                <w:highlight w:val="none"/>
              </w:rPr>
            </w:pPr>
            <w:r>
              <w:rPr>
                <w:rFonts w:hint="eastAsia" w:ascii="宋体" w:hAnsi="宋体" w:cs="宋体"/>
                <w:sz w:val="24"/>
                <w:highlight w:val="none"/>
              </w:rPr>
              <w:t>3、支持流程查看功能</w:t>
            </w:r>
          </w:p>
          <w:p>
            <w:pPr>
              <w:rPr>
                <w:rFonts w:ascii="宋体" w:hAnsi="宋体" w:cs="宋体"/>
                <w:sz w:val="24"/>
                <w:highlight w:val="none"/>
              </w:rPr>
            </w:pPr>
            <w:r>
              <w:rPr>
                <w:rFonts w:hint="eastAsia" w:ascii="宋体" w:hAnsi="宋体" w:cs="宋体"/>
                <w:sz w:val="24"/>
                <w:highlight w:val="none"/>
              </w:rPr>
              <w:t>4、支持多线路流程管理</w:t>
            </w:r>
          </w:p>
          <w:p>
            <w:pPr>
              <w:rPr>
                <w:rFonts w:ascii="宋体" w:hAnsi="宋体" w:cs="宋体"/>
                <w:sz w:val="24"/>
                <w:highlight w:val="none"/>
              </w:rPr>
            </w:pPr>
            <w:r>
              <w:rPr>
                <w:rFonts w:hint="eastAsia" w:ascii="宋体" w:hAnsi="宋体" w:cs="宋体"/>
                <w:sz w:val="24"/>
                <w:highlight w:val="none"/>
              </w:rPr>
              <w:t>5、支持关键字、专业等信息进行查询申请</w:t>
            </w:r>
          </w:p>
          <w:p>
            <w:pPr>
              <w:rPr>
                <w:rFonts w:ascii="宋体" w:hAnsi="宋体" w:cs="宋体"/>
                <w:sz w:val="24"/>
                <w:highlight w:val="none"/>
              </w:rPr>
            </w:pPr>
            <w:r>
              <w:rPr>
                <w:rFonts w:hint="eastAsia" w:ascii="宋体" w:hAnsi="宋体" w:cs="宋体"/>
                <w:sz w:val="24"/>
                <w:highlight w:val="none"/>
              </w:rPr>
              <w:t>6、支持查看自己权限详情</w:t>
            </w:r>
          </w:p>
          <w:p>
            <w:pPr>
              <w:rPr>
                <w:rFonts w:ascii="宋体" w:hAnsi="宋体" w:cs="宋体"/>
                <w:sz w:val="24"/>
                <w:highlight w:val="none"/>
              </w:rPr>
            </w:pPr>
            <w:r>
              <w:rPr>
                <w:rFonts w:hint="eastAsia" w:ascii="宋体" w:hAnsi="宋体" w:cs="宋体"/>
                <w:sz w:val="24"/>
                <w:highlight w:val="none"/>
              </w:rPr>
              <w:t>7、支持查看被取消权限的理由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pStyle w:val="24"/>
              <w:ind w:right="102"/>
              <w:rPr>
                <w:rFonts w:hAnsi="宋体"/>
                <w:b/>
                <w:bCs/>
                <w:highlight w:val="none"/>
              </w:rPr>
            </w:pPr>
          </w:p>
        </w:tc>
        <w:tc>
          <w:tcPr>
            <w:tcW w:w="662" w:type="pct"/>
            <w:vMerge w:val="continue"/>
          </w:tcPr>
          <w:p>
            <w:pPr>
              <w:pStyle w:val="24"/>
              <w:ind w:right="102"/>
              <w:rPr>
                <w:rFonts w:hAnsi="宋体"/>
                <w:b/>
                <w:bCs/>
                <w:highlight w:val="none"/>
              </w:rPr>
            </w:pPr>
          </w:p>
        </w:tc>
        <w:tc>
          <w:tcPr>
            <w:tcW w:w="1164" w:type="pct"/>
          </w:tcPr>
          <w:p>
            <w:pPr>
              <w:pStyle w:val="24"/>
              <w:ind w:right="102"/>
              <w:rPr>
                <w:rFonts w:hAnsi="宋体"/>
                <w:highlight w:val="none"/>
              </w:rPr>
            </w:pPr>
            <w:r>
              <w:rPr>
                <w:rFonts w:hint="eastAsia" w:hAnsi="宋体"/>
                <w:highlight w:val="none"/>
              </w:rPr>
              <w:t>五、</w:t>
            </w:r>
            <w:r>
              <w:rPr>
                <w:rFonts w:hint="eastAsia" w:hAnsi="宋体" w:cs="宋体"/>
                <w:highlight w:val="none"/>
              </w:rPr>
              <w:t>授权审批管理</w:t>
            </w:r>
          </w:p>
        </w:tc>
        <w:tc>
          <w:tcPr>
            <w:tcW w:w="2735" w:type="pct"/>
          </w:tcPr>
          <w:p>
            <w:pPr>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、支持批量审核功能</w:t>
            </w:r>
          </w:p>
          <w:p>
            <w:pPr>
              <w:rPr>
                <w:rFonts w:ascii="宋体" w:hAnsi="宋体" w:cs="宋体"/>
                <w:sz w:val="24"/>
                <w:highlight w:val="none"/>
              </w:rPr>
            </w:pPr>
            <w:r>
              <w:rPr>
                <w:rFonts w:hint="eastAsia" w:ascii="宋体" w:hAnsi="宋体" w:cs="宋体"/>
                <w:sz w:val="24"/>
                <w:highlight w:val="none"/>
              </w:rPr>
              <w:t>2、支持按工号、姓名、科室、申请表单等信息进行检索</w:t>
            </w:r>
          </w:p>
          <w:p>
            <w:pPr>
              <w:rPr>
                <w:rFonts w:ascii="宋体" w:hAnsi="宋体" w:cs="宋体"/>
                <w:sz w:val="24"/>
                <w:highlight w:val="none"/>
              </w:rPr>
            </w:pPr>
            <w:r>
              <w:rPr>
                <w:rFonts w:hint="eastAsia" w:ascii="宋体" w:hAnsi="宋体" w:cs="宋体"/>
                <w:sz w:val="24"/>
                <w:highlight w:val="none"/>
              </w:rPr>
              <w:t>3、支持审批理由批复</w:t>
            </w:r>
          </w:p>
          <w:p>
            <w:pPr>
              <w:rPr>
                <w:rFonts w:ascii="宋体" w:hAnsi="宋体" w:cs="宋体"/>
                <w:sz w:val="24"/>
                <w:highlight w:val="none"/>
              </w:rPr>
            </w:pPr>
            <w:r>
              <w:rPr>
                <w:rFonts w:hint="eastAsia" w:ascii="宋体" w:hAnsi="宋体" w:cs="宋体"/>
                <w:sz w:val="24"/>
                <w:highlight w:val="none"/>
              </w:rPr>
              <w:t>4、满足角色授权专人管理</w:t>
            </w:r>
          </w:p>
          <w:p>
            <w:pPr>
              <w:rPr>
                <w:rFonts w:ascii="宋体" w:hAnsi="宋体" w:cs="宋体"/>
                <w:sz w:val="24"/>
                <w:highlight w:val="none"/>
              </w:rPr>
            </w:pPr>
            <w:r>
              <w:rPr>
                <w:rFonts w:hint="eastAsia" w:ascii="宋体" w:hAnsi="宋体" w:cs="宋体"/>
                <w:sz w:val="24"/>
                <w:highlight w:val="none"/>
              </w:rPr>
              <w:t>5、满足自定义设置审批角色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pStyle w:val="24"/>
              <w:ind w:right="102"/>
              <w:rPr>
                <w:rFonts w:hAnsi="宋体"/>
                <w:b/>
                <w:bCs/>
                <w:highlight w:val="none"/>
              </w:rPr>
            </w:pPr>
          </w:p>
        </w:tc>
        <w:tc>
          <w:tcPr>
            <w:tcW w:w="662" w:type="pct"/>
            <w:vMerge w:val="continue"/>
          </w:tcPr>
          <w:p>
            <w:pPr>
              <w:pStyle w:val="24"/>
              <w:ind w:right="102"/>
              <w:rPr>
                <w:rFonts w:hAnsi="宋体"/>
                <w:b/>
                <w:bCs/>
                <w:highlight w:val="none"/>
              </w:rPr>
            </w:pPr>
          </w:p>
        </w:tc>
        <w:tc>
          <w:tcPr>
            <w:tcW w:w="1164" w:type="pct"/>
          </w:tcPr>
          <w:p>
            <w:pPr>
              <w:pStyle w:val="24"/>
              <w:ind w:right="102"/>
              <w:rPr>
                <w:rFonts w:hAnsi="宋体"/>
                <w:highlight w:val="none"/>
              </w:rPr>
            </w:pPr>
            <w:r>
              <w:rPr>
                <w:rFonts w:hint="eastAsia" w:hAnsi="宋体"/>
                <w:highlight w:val="none"/>
              </w:rPr>
              <w:t>六、</w:t>
            </w:r>
            <w:r>
              <w:rPr>
                <w:rFonts w:hint="eastAsia" w:hAnsi="宋体" w:cs="宋体"/>
                <w:highlight w:val="none"/>
              </w:rPr>
              <w:t>授权管理</w:t>
            </w:r>
          </w:p>
        </w:tc>
        <w:tc>
          <w:tcPr>
            <w:tcW w:w="2735" w:type="pct"/>
          </w:tcPr>
          <w:p>
            <w:pPr>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、支持管理人员对医务人员直接进行授权</w:t>
            </w:r>
          </w:p>
          <w:p>
            <w:pPr>
              <w:rPr>
                <w:rFonts w:ascii="宋体" w:hAnsi="宋体" w:cs="宋体"/>
                <w:sz w:val="24"/>
                <w:highlight w:val="none"/>
              </w:rPr>
            </w:pPr>
            <w:r>
              <w:rPr>
                <w:rFonts w:hint="eastAsia" w:ascii="宋体" w:hAnsi="宋体" w:cs="宋体"/>
                <w:sz w:val="24"/>
                <w:highlight w:val="none"/>
              </w:rPr>
              <w:t>2、支持对人员进行取消授权操作，并批复取消理由</w:t>
            </w:r>
          </w:p>
          <w:p>
            <w:pPr>
              <w:rPr>
                <w:rFonts w:ascii="宋体" w:hAnsi="宋体" w:cs="宋体"/>
                <w:sz w:val="24"/>
                <w:highlight w:val="none"/>
              </w:rPr>
            </w:pPr>
            <w:r>
              <w:rPr>
                <w:rFonts w:hint="eastAsia" w:ascii="宋体" w:hAnsi="宋体" w:cs="宋体"/>
                <w:sz w:val="24"/>
                <w:highlight w:val="none"/>
              </w:rPr>
              <w:t>3、支持查看人员所有的已授权权限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pStyle w:val="24"/>
              <w:ind w:right="102"/>
              <w:rPr>
                <w:rFonts w:hAnsi="宋体"/>
                <w:b/>
                <w:bCs/>
                <w:highlight w:val="none"/>
              </w:rPr>
            </w:pPr>
          </w:p>
        </w:tc>
        <w:tc>
          <w:tcPr>
            <w:tcW w:w="662" w:type="pct"/>
            <w:vMerge w:val="continue"/>
          </w:tcPr>
          <w:p>
            <w:pPr>
              <w:pStyle w:val="24"/>
              <w:ind w:right="102"/>
              <w:rPr>
                <w:rFonts w:hAnsi="宋体"/>
                <w:b/>
                <w:bCs/>
                <w:highlight w:val="none"/>
              </w:rPr>
            </w:pPr>
          </w:p>
        </w:tc>
        <w:tc>
          <w:tcPr>
            <w:tcW w:w="1164" w:type="pct"/>
          </w:tcPr>
          <w:p>
            <w:pPr>
              <w:pStyle w:val="24"/>
              <w:ind w:right="102"/>
              <w:rPr>
                <w:rFonts w:hAnsi="宋体"/>
                <w:highlight w:val="none"/>
              </w:rPr>
            </w:pPr>
            <w:r>
              <w:rPr>
                <w:rFonts w:hint="eastAsia" w:hAnsi="宋体"/>
                <w:highlight w:val="none"/>
              </w:rPr>
              <w:t>七、授权配置管理</w:t>
            </w:r>
          </w:p>
        </w:tc>
        <w:tc>
          <w:tcPr>
            <w:tcW w:w="2735" w:type="pct"/>
          </w:tcPr>
          <w:p>
            <w:pPr>
              <w:pStyle w:val="267"/>
              <w:numPr>
                <w:ilvl w:val="0"/>
                <w:numId w:val="90"/>
              </w:numPr>
              <w:spacing w:after="120" w:line="276" w:lineRule="auto"/>
              <w:ind w:firstLineChars="0"/>
              <w:rPr>
                <w:rFonts w:ascii="宋体" w:hAnsi="宋体" w:cs="宋体"/>
                <w:highlight w:val="none"/>
              </w:rPr>
            </w:pPr>
            <w:r>
              <w:rPr>
                <w:rFonts w:hint="eastAsia" w:ascii="宋体" w:hAnsi="宋体" w:cs="宋体"/>
                <w:highlight w:val="none"/>
              </w:rPr>
              <w:t>支持技术目录库管理，根据医院实际情况进行调整；属性包括：ICD编码、ICD名称、技术名称、专业、手术等级、手术类别。</w:t>
            </w:r>
          </w:p>
          <w:p>
            <w:pPr>
              <w:pStyle w:val="267"/>
              <w:numPr>
                <w:ilvl w:val="0"/>
                <w:numId w:val="90"/>
              </w:numPr>
              <w:spacing w:after="120" w:line="276" w:lineRule="auto"/>
              <w:ind w:firstLineChars="0"/>
              <w:rPr>
                <w:rFonts w:ascii="宋体" w:hAnsi="宋体" w:cs="宋体"/>
                <w:highlight w:val="none"/>
              </w:rPr>
            </w:pPr>
            <w:r>
              <w:rPr>
                <w:rFonts w:hint="eastAsia" w:ascii="宋体" w:hAnsi="宋体" w:cs="宋体"/>
                <w:highlight w:val="none"/>
              </w:rPr>
              <w:t>支持药品目录库管理，根据医院实际情况进行调整</w:t>
            </w:r>
          </w:p>
          <w:p>
            <w:pPr>
              <w:pStyle w:val="267"/>
              <w:numPr>
                <w:ilvl w:val="0"/>
                <w:numId w:val="90"/>
              </w:numPr>
              <w:spacing w:after="120" w:line="276" w:lineRule="auto"/>
              <w:ind w:firstLineChars="0"/>
              <w:rPr>
                <w:rFonts w:ascii="宋体" w:hAnsi="宋体" w:cs="宋体"/>
                <w:highlight w:val="none"/>
              </w:rPr>
            </w:pPr>
            <w:r>
              <w:rPr>
                <w:rFonts w:hint="eastAsia" w:ascii="宋体" w:hAnsi="宋体" w:cs="宋体"/>
                <w:highlight w:val="none"/>
              </w:rPr>
              <w:t>支持表单配置，根据权限不同使用不同的申请表单</w:t>
            </w:r>
          </w:p>
          <w:p>
            <w:pPr>
              <w:pStyle w:val="267"/>
              <w:numPr>
                <w:ilvl w:val="0"/>
                <w:numId w:val="90"/>
              </w:numPr>
              <w:spacing w:after="120" w:line="276" w:lineRule="auto"/>
              <w:ind w:firstLineChars="0"/>
              <w:rPr>
                <w:rFonts w:ascii="宋体" w:hAnsi="宋体" w:cs="宋体"/>
                <w:highlight w:val="none"/>
              </w:rPr>
            </w:pPr>
            <w:r>
              <w:rPr>
                <w:rFonts w:hint="eastAsia" w:ascii="宋体" w:hAnsi="宋体" w:cs="宋体"/>
                <w:highlight w:val="none"/>
              </w:rPr>
              <w:t>支持准入项目自定义</w:t>
            </w:r>
          </w:p>
          <w:p>
            <w:pPr>
              <w:pStyle w:val="267"/>
              <w:numPr>
                <w:ilvl w:val="0"/>
                <w:numId w:val="90"/>
              </w:numPr>
              <w:spacing w:after="120" w:line="276" w:lineRule="auto"/>
              <w:ind w:firstLineChars="0"/>
              <w:rPr>
                <w:rFonts w:ascii="宋体" w:hAnsi="宋体" w:cs="宋体"/>
                <w:highlight w:val="none"/>
              </w:rPr>
            </w:pPr>
            <w:r>
              <w:rPr>
                <w:rFonts w:hint="eastAsia" w:ascii="宋体" w:hAnsi="宋体" w:cs="宋体"/>
                <w:highlight w:val="none"/>
              </w:rPr>
              <w:t>支持准入表单配置</w:t>
            </w:r>
          </w:p>
          <w:p>
            <w:pPr>
              <w:pStyle w:val="267"/>
              <w:numPr>
                <w:ilvl w:val="0"/>
                <w:numId w:val="90"/>
              </w:numPr>
              <w:spacing w:after="120" w:line="276" w:lineRule="auto"/>
              <w:ind w:firstLineChars="0"/>
              <w:rPr>
                <w:rFonts w:ascii="宋体" w:hAnsi="宋体" w:cs="宋体"/>
                <w:highlight w:val="none"/>
              </w:rPr>
            </w:pPr>
            <w:r>
              <w:rPr>
                <w:rFonts w:hint="eastAsia" w:ascii="宋体" w:hAnsi="宋体" w:cs="宋体"/>
                <w:highlight w:val="none"/>
              </w:rPr>
              <w:t>支持技术目录库表单设置，可以自定义对技术目录库字段维护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pStyle w:val="24"/>
              <w:ind w:right="102"/>
              <w:rPr>
                <w:rFonts w:hAnsi="宋体"/>
                <w:b/>
                <w:bCs/>
                <w:highlight w:val="none"/>
              </w:rPr>
            </w:pPr>
          </w:p>
        </w:tc>
        <w:tc>
          <w:tcPr>
            <w:tcW w:w="662" w:type="pct"/>
            <w:vMerge w:val="continue"/>
          </w:tcPr>
          <w:p>
            <w:pPr>
              <w:pStyle w:val="24"/>
              <w:ind w:right="102"/>
              <w:rPr>
                <w:rFonts w:hAnsi="宋体"/>
                <w:b/>
                <w:bCs/>
                <w:highlight w:val="none"/>
              </w:rPr>
            </w:pPr>
          </w:p>
        </w:tc>
        <w:tc>
          <w:tcPr>
            <w:tcW w:w="1164" w:type="pct"/>
          </w:tcPr>
          <w:p>
            <w:pPr>
              <w:pStyle w:val="24"/>
              <w:ind w:right="102"/>
              <w:rPr>
                <w:rFonts w:hAnsi="宋体"/>
                <w:highlight w:val="none"/>
              </w:rPr>
            </w:pPr>
            <w:r>
              <w:rPr>
                <w:rFonts w:hint="eastAsia" w:hAnsi="宋体"/>
                <w:highlight w:val="none"/>
              </w:rPr>
              <w:t>八、</w:t>
            </w:r>
            <w:r>
              <w:rPr>
                <w:rFonts w:hint="eastAsia" w:hAnsi="宋体" w:cs="宋体"/>
                <w:highlight w:val="none"/>
              </w:rPr>
              <w:t>授权汇总</w:t>
            </w:r>
          </w:p>
        </w:tc>
        <w:tc>
          <w:tcPr>
            <w:tcW w:w="2735" w:type="pct"/>
          </w:tcPr>
          <w:p>
            <w:pPr>
              <w:rPr>
                <w:rFonts w:ascii="宋体" w:hAnsi="宋体" w:cs="宋体"/>
                <w:sz w:val="24"/>
                <w:highlight w:val="none"/>
              </w:rPr>
            </w:pPr>
            <w:r>
              <w:rPr>
                <w:rFonts w:hint="eastAsia" w:ascii="宋体" w:hAnsi="宋体" w:cs="宋体"/>
                <w:sz w:val="24"/>
                <w:highlight w:val="none"/>
              </w:rPr>
              <w:t>1、支持查看全院人员准入授权情况</w:t>
            </w:r>
          </w:p>
          <w:p>
            <w:pPr>
              <w:rPr>
                <w:rFonts w:ascii="宋体" w:hAnsi="宋体" w:cs="宋体"/>
                <w:sz w:val="24"/>
                <w:highlight w:val="none"/>
              </w:rPr>
            </w:pPr>
            <w:r>
              <w:rPr>
                <w:rFonts w:hint="eastAsia" w:ascii="宋体" w:hAnsi="宋体" w:cs="宋体"/>
                <w:sz w:val="24"/>
                <w:highlight w:val="none"/>
              </w:rPr>
              <w:t>2、支持查看全院人员技术授权情况</w:t>
            </w:r>
          </w:p>
          <w:p>
            <w:pPr>
              <w:rPr>
                <w:rFonts w:ascii="宋体" w:hAnsi="宋体" w:cs="宋体"/>
                <w:sz w:val="24"/>
                <w:highlight w:val="none"/>
              </w:rPr>
            </w:pPr>
            <w:r>
              <w:rPr>
                <w:rFonts w:hint="eastAsia" w:ascii="宋体" w:hAnsi="宋体" w:cs="宋体"/>
                <w:sz w:val="24"/>
                <w:highlight w:val="none"/>
              </w:rPr>
              <w:t>3、支持按照表格导出</w:t>
            </w:r>
          </w:p>
          <w:p>
            <w:pPr>
              <w:rPr>
                <w:rFonts w:ascii="宋体" w:hAnsi="宋体" w:cs="宋体"/>
                <w:sz w:val="24"/>
                <w:highlight w:val="none"/>
              </w:rPr>
            </w:pPr>
            <w:r>
              <w:rPr>
                <w:rFonts w:hint="eastAsia" w:ascii="宋体" w:hAnsi="宋体" w:cs="宋体"/>
                <w:sz w:val="24"/>
                <w:highlight w:val="none"/>
              </w:rPr>
              <w:t>4、支持打印功能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39" w:type="pct"/>
            <w:vMerge w:val="restart"/>
          </w:tcPr>
          <w:p>
            <w:pPr>
              <w:pStyle w:val="24"/>
              <w:ind w:right="102"/>
              <w:rPr>
                <w:rFonts w:hAnsi="宋体"/>
                <w:b/>
                <w:bCs/>
                <w:w w:val="105"/>
                <w:highlight w:val="none"/>
              </w:rPr>
            </w:pPr>
            <w:r>
              <w:rPr>
                <w:rFonts w:hAnsi="宋体"/>
                <w:b/>
                <w:bCs/>
                <w:w w:val="105"/>
                <w:highlight w:val="none"/>
              </w:rPr>
              <w:t>3</w:t>
            </w:r>
          </w:p>
          <w:p>
            <w:pPr>
              <w:pStyle w:val="24"/>
              <w:ind w:right="102"/>
              <w:rPr>
                <w:rFonts w:hAnsi="宋体"/>
                <w:b/>
                <w:bCs/>
                <w:w w:val="105"/>
                <w:highlight w:val="none"/>
              </w:rPr>
            </w:pPr>
          </w:p>
        </w:tc>
        <w:tc>
          <w:tcPr>
            <w:tcW w:w="662" w:type="pct"/>
            <w:vMerge w:val="restart"/>
          </w:tcPr>
          <w:p>
            <w:pPr>
              <w:pStyle w:val="24"/>
              <w:ind w:right="102"/>
              <w:rPr>
                <w:rFonts w:hAnsi="宋体"/>
                <w:b/>
                <w:bCs/>
                <w:spacing w:val="-14"/>
                <w:w w:val="105"/>
                <w:highlight w:val="none"/>
              </w:rPr>
            </w:pPr>
            <w:r>
              <w:rPr>
                <w:rFonts w:hint="eastAsia" w:hAnsi="宋体"/>
                <w:b/>
                <w:bCs/>
                <w:spacing w:val="-14"/>
                <w:w w:val="105"/>
                <w:highlight w:val="none"/>
              </w:rPr>
              <w:t>医务日常管理</w:t>
            </w:r>
          </w:p>
        </w:tc>
        <w:tc>
          <w:tcPr>
            <w:tcW w:w="1164" w:type="pct"/>
          </w:tcPr>
          <w:p>
            <w:pPr>
              <w:pStyle w:val="24"/>
              <w:ind w:right="102"/>
              <w:rPr>
                <w:rFonts w:hAnsi="宋体"/>
                <w:bCs/>
                <w:spacing w:val="-6"/>
                <w:w w:val="110"/>
                <w:highlight w:val="none"/>
              </w:rPr>
            </w:pPr>
            <w:r>
              <w:rPr>
                <w:rFonts w:hint="eastAsia" w:hAnsi="宋体"/>
                <w:bCs/>
                <w:spacing w:val="-7"/>
                <w:w w:val="110"/>
                <w:position w:val="2"/>
                <w:highlight w:val="none"/>
              </w:rPr>
              <w:t>一、</w:t>
            </w:r>
            <w:r>
              <w:rPr>
                <w:rFonts w:hint="eastAsia" w:hAnsi="宋体"/>
                <w:bCs/>
                <w:spacing w:val="-6"/>
                <w:w w:val="110"/>
                <w:highlight w:val="none"/>
              </w:rPr>
              <w:t>实现各类上报管理</w:t>
            </w:r>
          </w:p>
          <w:p>
            <w:pPr>
              <w:pStyle w:val="24"/>
              <w:ind w:right="102"/>
              <w:rPr>
                <w:rFonts w:hAnsi="宋体"/>
                <w:bCs/>
                <w:spacing w:val="-7"/>
                <w:w w:val="110"/>
                <w:position w:val="2"/>
                <w:highlight w:val="none"/>
              </w:rPr>
            </w:pPr>
          </w:p>
          <w:p>
            <w:pPr>
              <w:pStyle w:val="24"/>
              <w:ind w:right="102"/>
              <w:rPr>
                <w:rFonts w:hAnsi="宋体"/>
                <w:bCs/>
                <w:spacing w:val="-7"/>
                <w:w w:val="110"/>
                <w:position w:val="2"/>
                <w:highlight w:val="none"/>
              </w:rPr>
            </w:pPr>
          </w:p>
        </w:tc>
        <w:tc>
          <w:tcPr>
            <w:tcW w:w="2735" w:type="pct"/>
          </w:tcPr>
          <w:p>
            <w:pPr>
              <w:pStyle w:val="24"/>
              <w:ind w:right="102"/>
              <w:rPr>
                <w:rFonts w:hAnsi="宋体"/>
                <w:bCs/>
                <w:spacing w:val="-7"/>
                <w:w w:val="110"/>
                <w:position w:val="2"/>
                <w:highlight w:val="none"/>
              </w:rPr>
            </w:pPr>
            <w:r>
              <w:rPr>
                <w:rFonts w:hint="eastAsia" w:hAnsi="宋体"/>
                <w:bCs/>
                <w:spacing w:val="-7"/>
                <w:w w:val="110"/>
                <w:position w:val="2"/>
                <w:highlight w:val="none"/>
              </w:rPr>
              <w:t>一、危重患者上报</w:t>
            </w:r>
          </w:p>
          <w:p>
            <w:pPr>
              <w:pStyle w:val="24"/>
              <w:ind w:right="102"/>
              <w:rPr>
                <w:rFonts w:hAnsi="宋体"/>
                <w:bCs/>
                <w:spacing w:val="-7"/>
                <w:w w:val="110"/>
                <w:position w:val="2"/>
                <w:highlight w:val="none"/>
              </w:rPr>
            </w:pPr>
            <w:r>
              <w:rPr>
                <w:rFonts w:hint="eastAsia" w:hAnsi="宋体"/>
                <w:bCs/>
                <w:spacing w:val="-7"/>
                <w:w w:val="110"/>
                <w:position w:val="2"/>
                <w:highlight w:val="none"/>
              </w:rPr>
              <w:t>二、抢救患者上报</w:t>
            </w:r>
          </w:p>
          <w:p>
            <w:pPr>
              <w:pStyle w:val="24"/>
              <w:ind w:right="102"/>
              <w:rPr>
                <w:rFonts w:hAnsi="宋体"/>
                <w:bCs/>
                <w:spacing w:val="-7"/>
                <w:w w:val="110"/>
                <w:position w:val="2"/>
                <w:highlight w:val="none"/>
              </w:rPr>
            </w:pPr>
            <w:r>
              <w:rPr>
                <w:rFonts w:hint="eastAsia" w:hAnsi="宋体"/>
                <w:bCs/>
                <w:spacing w:val="-7"/>
                <w:w w:val="110"/>
                <w:position w:val="2"/>
                <w:highlight w:val="none"/>
              </w:rPr>
              <w:t>三、死亡患者上报</w:t>
            </w:r>
          </w:p>
          <w:p>
            <w:pPr>
              <w:pStyle w:val="24"/>
              <w:ind w:right="102"/>
              <w:rPr>
                <w:rFonts w:hAnsi="宋体"/>
                <w:bCs/>
                <w:spacing w:val="-7"/>
                <w:w w:val="110"/>
                <w:position w:val="2"/>
                <w:highlight w:val="none"/>
              </w:rPr>
            </w:pPr>
            <w:r>
              <w:rPr>
                <w:rFonts w:hint="eastAsia" w:hAnsi="宋体"/>
                <w:bCs/>
                <w:spacing w:val="-7"/>
                <w:w w:val="110"/>
                <w:position w:val="2"/>
                <w:highlight w:val="none"/>
              </w:rPr>
              <w:t>四、住院超30天患者上报</w:t>
            </w:r>
          </w:p>
          <w:p>
            <w:pPr>
              <w:pStyle w:val="24"/>
              <w:ind w:right="102"/>
              <w:rPr>
                <w:rFonts w:hAnsi="宋体"/>
                <w:bCs/>
                <w:spacing w:val="-7"/>
                <w:w w:val="110"/>
                <w:position w:val="2"/>
                <w:highlight w:val="none"/>
              </w:rPr>
            </w:pPr>
            <w:r>
              <w:rPr>
                <w:rFonts w:hint="eastAsia" w:hAnsi="宋体"/>
                <w:bCs/>
                <w:spacing w:val="-7"/>
                <w:w w:val="110"/>
                <w:position w:val="2"/>
                <w:highlight w:val="none"/>
              </w:rPr>
              <w:t>五、非术后出院31天内再住院</w:t>
            </w:r>
          </w:p>
          <w:p>
            <w:pPr>
              <w:pStyle w:val="24"/>
              <w:ind w:right="102"/>
              <w:rPr>
                <w:rFonts w:hAnsi="宋体"/>
                <w:bCs/>
                <w:spacing w:val="-7"/>
                <w:w w:val="110"/>
                <w:position w:val="2"/>
                <w:highlight w:val="none"/>
              </w:rPr>
            </w:pPr>
            <w:r>
              <w:rPr>
                <w:rFonts w:hint="eastAsia" w:hAnsi="宋体"/>
                <w:bCs/>
                <w:spacing w:val="-7"/>
                <w:w w:val="110"/>
                <w:position w:val="2"/>
                <w:highlight w:val="none"/>
              </w:rPr>
              <w:t>六、术后出院31天内再住院</w:t>
            </w:r>
          </w:p>
          <w:p>
            <w:pPr>
              <w:pStyle w:val="24"/>
              <w:ind w:right="102"/>
              <w:rPr>
                <w:rFonts w:hAnsi="宋体"/>
                <w:bCs/>
                <w:spacing w:val="-7"/>
                <w:w w:val="110"/>
                <w:position w:val="2"/>
                <w:highlight w:val="none"/>
              </w:rPr>
            </w:pPr>
            <w:r>
              <w:rPr>
                <w:rFonts w:hint="eastAsia" w:hAnsi="宋体"/>
                <w:bCs/>
                <w:spacing w:val="-7"/>
                <w:w w:val="110"/>
                <w:position w:val="2"/>
                <w:highlight w:val="none"/>
              </w:rPr>
              <w:t>七、术后并发症患者上报</w:t>
            </w:r>
          </w:p>
          <w:p>
            <w:pPr>
              <w:pStyle w:val="24"/>
              <w:ind w:right="102"/>
              <w:rPr>
                <w:rFonts w:hAnsi="宋体"/>
                <w:bCs/>
                <w:spacing w:val="-7"/>
                <w:w w:val="110"/>
                <w:position w:val="2"/>
                <w:highlight w:val="none"/>
              </w:rPr>
            </w:pPr>
            <w:r>
              <w:rPr>
                <w:rFonts w:hint="eastAsia" w:hAnsi="宋体"/>
                <w:bCs/>
                <w:spacing w:val="-7"/>
                <w:w w:val="110"/>
                <w:position w:val="2"/>
                <w:highlight w:val="none"/>
              </w:rPr>
              <w:t>八、非计划再次手术患者</w:t>
            </w:r>
          </w:p>
          <w:p>
            <w:pPr>
              <w:pStyle w:val="24"/>
              <w:ind w:right="102"/>
              <w:rPr>
                <w:rFonts w:hAnsi="宋体"/>
                <w:bCs/>
                <w:spacing w:val="-7"/>
                <w:w w:val="110"/>
                <w:position w:val="2"/>
                <w:highlight w:val="none"/>
              </w:rPr>
            </w:pPr>
            <w:r>
              <w:rPr>
                <w:rFonts w:hint="eastAsia" w:hAnsi="宋体"/>
                <w:bCs/>
                <w:spacing w:val="-7"/>
                <w:w w:val="110"/>
                <w:position w:val="2"/>
                <w:highlight w:val="none"/>
              </w:rPr>
              <w:t>九、临床用血患者上报</w:t>
            </w:r>
          </w:p>
          <w:p>
            <w:pPr>
              <w:pStyle w:val="24"/>
              <w:ind w:right="102"/>
              <w:rPr>
                <w:rFonts w:hAnsi="宋体"/>
                <w:bCs/>
                <w:spacing w:val="-7"/>
                <w:w w:val="110"/>
                <w:position w:val="2"/>
                <w:highlight w:val="none"/>
              </w:rPr>
            </w:pPr>
            <w:r>
              <w:rPr>
                <w:rFonts w:hint="eastAsia" w:hAnsi="宋体"/>
                <w:bCs/>
                <w:spacing w:val="-7"/>
                <w:w w:val="110"/>
                <w:position w:val="2"/>
                <w:highlight w:val="none"/>
              </w:rPr>
              <w:t>十、会诊患者上报</w:t>
            </w:r>
          </w:p>
          <w:p>
            <w:pPr>
              <w:pStyle w:val="24"/>
              <w:ind w:right="102"/>
              <w:rPr>
                <w:rFonts w:hAnsi="宋体"/>
                <w:bCs/>
                <w:spacing w:val="-7"/>
                <w:w w:val="110"/>
                <w:position w:val="2"/>
                <w:highlight w:val="none"/>
              </w:rPr>
            </w:pPr>
            <w:r>
              <w:rPr>
                <w:rFonts w:hint="eastAsia" w:hAnsi="宋体"/>
                <w:bCs/>
                <w:spacing w:val="-7"/>
                <w:w w:val="110"/>
                <w:position w:val="2"/>
                <w:highlight w:val="none"/>
              </w:rPr>
              <w:t>十一、传染病患者上报</w:t>
            </w:r>
          </w:p>
          <w:p>
            <w:pPr>
              <w:pStyle w:val="24"/>
              <w:ind w:right="102"/>
              <w:rPr>
                <w:rFonts w:hAnsi="宋体"/>
                <w:bCs/>
                <w:spacing w:val="-7"/>
                <w:w w:val="110"/>
                <w:position w:val="2"/>
                <w:highlight w:val="none"/>
              </w:rPr>
            </w:pPr>
            <w:r>
              <w:rPr>
                <w:rFonts w:hint="eastAsia" w:hAnsi="宋体"/>
                <w:bCs/>
                <w:spacing w:val="-7"/>
                <w:w w:val="110"/>
                <w:position w:val="2"/>
                <w:highlight w:val="none"/>
              </w:rPr>
              <w:t>十二、非计划再次手术报告</w:t>
            </w:r>
          </w:p>
          <w:p>
            <w:pPr>
              <w:pStyle w:val="24"/>
              <w:ind w:right="102"/>
              <w:rPr>
                <w:rFonts w:hAnsi="宋体"/>
                <w:bCs/>
                <w:spacing w:val="-7"/>
                <w:w w:val="110"/>
                <w:position w:val="2"/>
                <w:highlight w:val="none"/>
              </w:rPr>
            </w:pPr>
            <w:r>
              <w:rPr>
                <w:rFonts w:hint="eastAsia" w:hAnsi="宋体"/>
                <w:bCs/>
                <w:spacing w:val="-7"/>
                <w:w w:val="110"/>
                <w:position w:val="2"/>
                <w:highlight w:val="none"/>
              </w:rPr>
              <w:t>十三、每月考勤上报</w:t>
            </w:r>
          </w:p>
          <w:p>
            <w:pPr>
              <w:pStyle w:val="24"/>
              <w:ind w:right="102"/>
              <w:rPr>
                <w:rFonts w:hAnsi="宋体"/>
                <w:bCs/>
                <w:spacing w:val="-7"/>
                <w:w w:val="110"/>
                <w:position w:val="2"/>
                <w:highlight w:val="none"/>
              </w:rPr>
            </w:pPr>
            <w:r>
              <w:rPr>
                <w:rFonts w:hint="eastAsia" w:hAnsi="宋体"/>
                <w:bCs/>
                <w:spacing w:val="-7"/>
                <w:w w:val="110"/>
                <w:position w:val="2"/>
                <w:highlight w:val="none"/>
              </w:rPr>
              <w:t>十四、每月备查病历上报</w:t>
            </w:r>
          </w:p>
          <w:p>
            <w:pPr>
              <w:pStyle w:val="24"/>
              <w:ind w:right="102"/>
              <w:rPr>
                <w:rFonts w:hAnsi="宋体"/>
                <w:bCs/>
                <w:spacing w:val="-7"/>
                <w:w w:val="110"/>
                <w:position w:val="2"/>
                <w:highlight w:val="none"/>
              </w:rPr>
            </w:pPr>
            <w:r>
              <w:rPr>
                <w:rFonts w:hint="eastAsia" w:hAnsi="宋体"/>
                <w:bCs/>
                <w:spacing w:val="-7"/>
                <w:w w:val="110"/>
                <w:position w:val="2"/>
                <w:highlight w:val="none"/>
              </w:rPr>
              <w:t>十五、每月检查互认上报</w:t>
            </w:r>
          </w:p>
          <w:p>
            <w:pPr>
              <w:pStyle w:val="24"/>
              <w:ind w:right="102"/>
              <w:rPr>
                <w:rFonts w:hAnsi="宋体"/>
                <w:bCs/>
                <w:spacing w:val="-6"/>
                <w:w w:val="110"/>
                <w:highlight w:val="none"/>
              </w:rPr>
            </w:pPr>
            <w:r>
              <w:rPr>
                <w:rFonts w:hint="eastAsia" w:hAnsi="宋体"/>
                <w:bCs/>
                <w:spacing w:val="-7"/>
                <w:w w:val="110"/>
                <w:position w:val="2"/>
                <w:highlight w:val="none"/>
              </w:rPr>
              <w:t>十六、超30天住院上报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Borders>
              <w:bottom w:val="single" w:color="auto" w:sz="4" w:space="0"/>
            </w:tcBorders>
          </w:tcPr>
          <w:p>
            <w:pPr>
              <w:pStyle w:val="24"/>
              <w:ind w:right="102"/>
              <w:rPr>
                <w:rFonts w:hAnsi="宋体"/>
                <w:b/>
                <w:bCs/>
                <w:w w:val="105"/>
                <w:highlight w:val="none"/>
              </w:rPr>
            </w:pPr>
          </w:p>
        </w:tc>
        <w:tc>
          <w:tcPr>
            <w:tcW w:w="662" w:type="pct"/>
            <w:vMerge w:val="continue"/>
            <w:tcBorders>
              <w:bottom w:val="single" w:color="auto" w:sz="4" w:space="0"/>
            </w:tcBorders>
          </w:tcPr>
          <w:p>
            <w:pPr>
              <w:pStyle w:val="24"/>
              <w:ind w:right="102"/>
              <w:rPr>
                <w:rFonts w:hAnsi="宋体"/>
                <w:b/>
                <w:bCs/>
                <w:spacing w:val="-14"/>
                <w:w w:val="105"/>
                <w:highlight w:val="none"/>
              </w:rPr>
            </w:pPr>
          </w:p>
        </w:tc>
        <w:tc>
          <w:tcPr>
            <w:tcW w:w="1164" w:type="pct"/>
            <w:tcBorders>
              <w:bottom w:val="single" w:color="auto" w:sz="4" w:space="0"/>
            </w:tcBorders>
          </w:tcPr>
          <w:p>
            <w:pPr>
              <w:pStyle w:val="24"/>
              <w:ind w:right="102"/>
              <w:rPr>
                <w:rFonts w:hAnsi="宋体"/>
                <w:bCs/>
                <w:spacing w:val="-7"/>
                <w:w w:val="110"/>
                <w:position w:val="2"/>
                <w:highlight w:val="none"/>
              </w:rPr>
            </w:pPr>
            <w:r>
              <w:rPr>
                <w:rFonts w:hint="eastAsia" w:hAnsi="宋体"/>
                <w:bCs/>
                <w:spacing w:val="-14"/>
                <w:w w:val="105"/>
                <w:highlight w:val="none"/>
              </w:rPr>
              <w:t>二、病历检查</w:t>
            </w:r>
          </w:p>
        </w:tc>
        <w:tc>
          <w:tcPr>
            <w:tcW w:w="2735" w:type="pct"/>
            <w:tcBorders>
              <w:bottom w:val="single" w:color="auto" w:sz="4" w:space="0"/>
            </w:tcBorders>
          </w:tcPr>
          <w:p>
            <w:pPr>
              <w:pStyle w:val="24"/>
              <w:ind w:right="102"/>
              <w:rPr>
                <w:rFonts w:hAnsi="宋体"/>
                <w:bCs/>
                <w:spacing w:val="-6"/>
                <w:w w:val="110"/>
                <w:highlight w:val="none"/>
              </w:rPr>
            </w:pPr>
            <w:r>
              <w:rPr>
                <w:rFonts w:hint="eastAsia" w:hAnsi="宋体"/>
                <w:bCs/>
                <w:spacing w:val="-7"/>
                <w:w w:val="110"/>
                <w:position w:val="2"/>
                <w:highlight w:val="none"/>
              </w:rPr>
              <w:t>一、病历检查列表</w:t>
            </w:r>
          </w:p>
          <w:p>
            <w:pPr>
              <w:pStyle w:val="24"/>
              <w:ind w:right="102"/>
              <w:rPr>
                <w:rFonts w:hAnsi="宋体"/>
                <w:bCs/>
                <w:spacing w:val="-6"/>
                <w:w w:val="110"/>
                <w:highlight w:val="none"/>
              </w:rPr>
            </w:pPr>
            <w:r>
              <w:rPr>
                <w:rFonts w:hint="eastAsia" w:hAnsi="宋体"/>
                <w:bCs/>
                <w:spacing w:val="-6"/>
                <w:w w:val="110"/>
                <w:highlight w:val="none"/>
              </w:rPr>
              <w:t>1.支持新增、编辑、删除病历检查内容</w:t>
            </w:r>
          </w:p>
          <w:p>
            <w:pPr>
              <w:pStyle w:val="24"/>
              <w:ind w:right="102"/>
              <w:rPr>
                <w:rFonts w:hAnsi="宋体"/>
                <w:bCs/>
                <w:spacing w:val="-6"/>
                <w:w w:val="110"/>
                <w:highlight w:val="none"/>
              </w:rPr>
            </w:pPr>
            <w:r>
              <w:rPr>
                <w:rFonts w:hint="eastAsia" w:hAnsi="宋体"/>
                <w:bCs/>
                <w:spacing w:val="-6"/>
                <w:w w:val="110"/>
                <w:highlight w:val="none"/>
              </w:rPr>
              <w:t>2.支持查看表单内容</w:t>
            </w:r>
          </w:p>
          <w:p>
            <w:pPr>
              <w:pStyle w:val="24"/>
              <w:ind w:right="102"/>
              <w:rPr>
                <w:rFonts w:hAnsi="宋体"/>
                <w:bCs/>
                <w:spacing w:val="-6"/>
                <w:w w:val="110"/>
                <w:highlight w:val="none"/>
              </w:rPr>
            </w:pPr>
            <w:r>
              <w:rPr>
                <w:rFonts w:hint="eastAsia" w:hAnsi="宋体"/>
                <w:bCs/>
                <w:spacing w:val="-6"/>
                <w:w w:val="110"/>
                <w:highlight w:val="none"/>
              </w:rPr>
              <w:t>4.支持按条件导出相关内容</w:t>
            </w:r>
          </w:p>
          <w:p>
            <w:pPr>
              <w:pStyle w:val="24"/>
              <w:ind w:right="102"/>
              <w:rPr>
                <w:rFonts w:hAnsi="宋体"/>
                <w:bCs/>
                <w:spacing w:val="-6"/>
                <w:w w:val="110"/>
                <w:highlight w:val="none"/>
              </w:rPr>
            </w:pPr>
            <w:r>
              <w:rPr>
                <w:rFonts w:hint="eastAsia" w:hAnsi="宋体"/>
                <w:bCs/>
                <w:spacing w:val="-7"/>
                <w:w w:val="110"/>
                <w:position w:val="2"/>
                <w:highlight w:val="none"/>
              </w:rPr>
              <w:t>二、病历检查扣分项</w:t>
            </w:r>
          </w:p>
          <w:p>
            <w:pPr>
              <w:pStyle w:val="24"/>
              <w:ind w:right="102"/>
              <w:rPr>
                <w:rFonts w:hAnsi="宋体"/>
                <w:bCs/>
                <w:spacing w:val="-6"/>
                <w:w w:val="110"/>
                <w:highlight w:val="none"/>
              </w:rPr>
            </w:pPr>
            <w:r>
              <w:rPr>
                <w:rFonts w:hint="eastAsia" w:hAnsi="宋体"/>
                <w:bCs/>
                <w:spacing w:val="-6"/>
                <w:w w:val="110"/>
                <w:highlight w:val="none"/>
              </w:rPr>
              <w:t>1.支持新增、编辑、删除扣分项目名称及扣分值</w:t>
            </w:r>
          </w:p>
          <w:p>
            <w:pPr>
              <w:pStyle w:val="24"/>
              <w:ind w:right="102"/>
              <w:rPr>
                <w:rFonts w:hAnsi="宋体"/>
                <w:bCs/>
                <w:spacing w:val="-6"/>
                <w:w w:val="110"/>
                <w:highlight w:val="none"/>
              </w:rPr>
            </w:pPr>
            <w:r>
              <w:rPr>
                <w:rFonts w:hint="eastAsia" w:hAnsi="宋体"/>
                <w:bCs/>
                <w:spacing w:val="-6"/>
                <w:w w:val="110"/>
                <w:highlight w:val="none"/>
              </w:rPr>
              <w:t>2.支持扣分项目名称及扣分值管理</w:t>
            </w:r>
          </w:p>
          <w:p>
            <w:pPr>
              <w:pStyle w:val="24"/>
              <w:ind w:right="102"/>
              <w:rPr>
                <w:rFonts w:hAnsi="宋体"/>
                <w:bCs/>
                <w:spacing w:val="-6"/>
                <w:w w:val="110"/>
                <w:highlight w:val="none"/>
              </w:rPr>
            </w:pPr>
            <w:r>
              <w:rPr>
                <w:rFonts w:hint="eastAsia" w:hAnsi="宋体"/>
                <w:bCs/>
                <w:spacing w:val="-7"/>
                <w:w w:val="110"/>
                <w:position w:val="2"/>
                <w:highlight w:val="none"/>
              </w:rPr>
              <w:t>三、病历检查项目</w:t>
            </w:r>
          </w:p>
          <w:p>
            <w:pPr>
              <w:pStyle w:val="24"/>
              <w:ind w:right="102"/>
              <w:rPr>
                <w:rFonts w:hAnsi="宋体"/>
                <w:bCs/>
                <w:spacing w:val="-6"/>
                <w:w w:val="110"/>
                <w:highlight w:val="none"/>
              </w:rPr>
            </w:pPr>
            <w:r>
              <w:rPr>
                <w:rFonts w:hint="eastAsia" w:hAnsi="宋体"/>
                <w:bCs/>
                <w:spacing w:val="-6"/>
                <w:w w:val="110"/>
                <w:highlight w:val="none"/>
              </w:rPr>
              <w:t>1.支持新增、编辑、删除病历检查大模块</w:t>
            </w:r>
          </w:p>
          <w:p>
            <w:pPr>
              <w:pStyle w:val="24"/>
              <w:ind w:right="102"/>
              <w:rPr>
                <w:rFonts w:hAnsi="宋体"/>
                <w:bCs/>
                <w:spacing w:val="-6"/>
                <w:w w:val="110"/>
                <w:highlight w:val="none"/>
              </w:rPr>
            </w:pPr>
            <w:r>
              <w:rPr>
                <w:rFonts w:hint="eastAsia" w:hAnsi="宋体"/>
                <w:bCs/>
                <w:spacing w:val="-6"/>
                <w:w w:val="110"/>
                <w:highlight w:val="none"/>
              </w:rPr>
              <w:t>2.支持在检查大模块中添加具体扣分项目</w:t>
            </w:r>
          </w:p>
          <w:p>
            <w:pPr>
              <w:pStyle w:val="24"/>
              <w:ind w:right="102"/>
              <w:rPr>
                <w:rFonts w:hAnsi="宋体"/>
                <w:bCs/>
                <w:spacing w:val="-6"/>
                <w:w w:val="110"/>
                <w:highlight w:val="none"/>
              </w:rPr>
            </w:pPr>
            <w:r>
              <w:rPr>
                <w:rFonts w:hint="eastAsia" w:hAnsi="宋体"/>
                <w:bCs/>
                <w:spacing w:val="-6"/>
                <w:w w:val="110"/>
                <w:highlight w:val="none"/>
              </w:rPr>
              <w:t>3.满足设置病历扣分项目：缺陷内容、分值类型、分值、罚款、编号、排序等</w:t>
            </w:r>
          </w:p>
          <w:p>
            <w:pPr>
              <w:pStyle w:val="24"/>
              <w:ind w:right="102"/>
              <w:rPr>
                <w:rFonts w:hAnsi="宋体"/>
                <w:bCs/>
                <w:spacing w:val="-6"/>
                <w:w w:val="110"/>
                <w:highlight w:val="none"/>
              </w:rPr>
            </w:pPr>
            <w:r>
              <w:rPr>
                <w:rFonts w:hint="eastAsia" w:hAnsi="宋体"/>
                <w:bCs/>
                <w:spacing w:val="-6"/>
                <w:w w:val="110"/>
                <w:highlight w:val="none"/>
              </w:rPr>
              <w:t>4.支持对病历检查大模块进行新增、编辑、删除描述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pStyle w:val="24"/>
              <w:ind w:right="102"/>
              <w:rPr>
                <w:rFonts w:hAnsi="宋体"/>
                <w:b/>
                <w:bCs/>
                <w:w w:val="105"/>
                <w:highlight w:val="none"/>
              </w:rPr>
            </w:pPr>
          </w:p>
        </w:tc>
        <w:tc>
          <w:tcPr>
            <w:tcW w:w="662" w:type="pct"/>
            <w:vMerge w:val="continue"/>
          </w:tcPr>
          <w:p>
            <w:pPr>
              <w:pStyle w:val="24"/>
              <w:ind w:right="102"/>
              <w:rPr>
                <w:rFonts w:hAnsi="宋体"/>
                <w:b/>
                <w:bCs/>
                <w:spacing w:val="-14"/>
                <w:w w:val="105"/>
                <w:highlight w:val="none"/>
              </w:rPr>
            </w:pPr>
          </w:p>
        </w:tc>
        <w:tc>
          <w:tcPr>
            <w:tcW w:w="1164" w:type="pct"/>
          </w:tcPr>
          <w:p>
            <w:pPr>
              <w:pStyle w:val="24"/>
              <w:ind w:right="102"/>
              <w:rPr>
                <w:rFonts w:hAnsi="宋体"/>
                <w:bCs/>
                <w:spacing w:val="-7"/>
                <w:w w:val="110"/>
                <w:position w:val="2"/>
                <w:highlight w:val="none"/>
              </w:rPr>
            </w:pPr>
            <w:r>
              <w:rPr>
                <w:rFonts w:hint="eastAsia" w:hAnsi="宋体"/>
                <w:bCs/>
                <w:spacing w:val="-14"/>
                <w:w w:val="105"/>
                <w:highlight w:val="none"/>
              </w:rPr>
              <w:t>三、重大特殊手术</w:t>
            </w:r>
          </w:p>
        </w:tc>
        <w:tc>
          <w:tcPr>
            <w:tcW w:w="2735" w:type="pct"/>
          </w:tcPr>
          <w:p>
            <w:pPr>
              <w:pStyle w:val="24"/>
              <w:ind w:right="102"/>
              <w:rPr>
                <w:rFonts w:hAnsi="宋体"/>
                <w:bCs/>
                <w:spacing w:val="-6"/>
                <w:w w:val="110"/>
                <w:highlight w:val="none"/>
              </w:rPr>
            </w:pPr>
            <w:r>
              <w:rPr>
                <w:rFonts w:hint="eastAsia" w:hAnsi="宋体"/>
                <w:bCs/>
                <w:spacing w:val="-7"/>
                <w:w w:val="110"/>
                <w:position w:val="2"/>
                <w:highlight w:val="none"/>
              </w:rPr>
              <w:t>一、重大特殊手术上报</w:t>
            </w:r>
          </w:p>
          <w:p>
            <w:pPr>
              <w:pStyle w:val="24"/>
              <w:ind w:right="102"/>
              <w:rPr>
                <w:rFonts w:hAnsi="宋体"/>
                <w:bCs/>
                <w:spacing w:val="-6"/>
                <w:w w:val="110"/>
                <w:highlight w:val="none"/>
              </w:rPr>
            </w:pPr>
            <w:r>
              <w:rPr>
                <w:rFonts w:hint="eastAsia" w:hAnsi="宋体"/>
                <w:bCs/>
                <w:spacing w:val="-6"/>
                <w:w w:val="110"/>
                <w:highlight w:val="none"/>
              </w:rPr>
              <w:t>1.支持新增重大特殊手术上报填报</w:t>
            </w:r>
          </w:p>
          <w:p>
            <w:pPr>
              <w:pStyle w:val="24"/>
              <w:ind w:right="102"/>
              <w:rPr>
                <w:rFonts w:hAnsi="宋体"/>
                <w:bCs/>
                <w:spacing w:val="-6"/>
                <w:w w:val="110"/>
                <w:highlight w:val="none"/>
              </w:rPr>
            </w:pPr>
            <w:r>
              <w:rPr>
                <w:rFonts w:hint="eastAsia" w:hAnsi="宋体"/>
                <w:bCs/>
                <w:spacing w:val="-6"/>
                <w:w w:val="110"/>
                <w:highlight w:val="none"/>
              </w:rPr>
              <w:t>2.支持填报表单编辑</w:t>
            </w:r>
          </w:p>
          <w:p>
            <w:pPr>
              <w:pStyle w:val="24"/>
              <w:ind w:right="102"/>
              <w:rPr>
                <w:rFonts w:hAnsi="宋体"/>
                <w:bCs/>
                <w:spacing w:val="-6"/>
                <w:w w:val="110"/>
                <w:highlight w:val="none"/>
              </w:rPr>
            </w:pPr>
            <w:r>
              <w:rPr>
                <w:rFonts w:hint="eastAsia" w:hAnsi="宋体"/>
                <w:bCs/>
                <w:spacing w:val="-6"/>
                <w:w w:val="110"/>
                <w:highlight w:val="none"/>
              </w:rPr>
              <w:t>3.支持删除数据功能</w:t>
            </w:r>
          </w:p>
          <w:p>
            <w:pPr>
              <w:pStyle w:val="24"/>
              <w:ind w:right="102"/>
              <w:rPr>
                <w:rFonts w:hAnsi="宋体"/>
                <w:bCs/>
                <w:spacing w:val="-6"/>
                <w:w w:val="110"/>
                <w:highlight w:val="none"/>
              </w:rPr>
            </w:pPr>
            <w:r>
              <w:rPr>
                <w:rFonts w:hint="eastAsia" w:hAnsi="宋体"/>
                <w:bCs/>
                <w:spacing w:val="-6"/>
                <w:w w:val="110"/>
                <w:highlight w:val="none"/>
              </w:rPr>
              <w:t>4.支持流程审批</w:t>
            </w:r>
          </w:p>
          <w:p>
            <w:pPr>
              <w:pStyle w:val="24"/>
              <w:ind w:right="102"/>
              <w:rPr>
                <w:rFonts w:hAnsi="宋体"/>
                <w:bCs/>
                <w:spacing w:val="-6"/>
                <w:w w:val="110"/>
                <w:highlight w:val="none"/>
              </w:rPr>
            </w:pPr>
            <w:r>
              <w:rPr>
                <w:rFonts w:hint="eastAsia" w:hAnsi="宋体"/>
                <w:bCs/>
                <w:spacing w:val="-6"/>
                <w:w w:val="110"/>
                <w:highlight w:val="none"/>
              </w:rPr>
              <w:t>5.支持按手术时间来搜索查询</w:t>
            </w:r>
          </w:p>
          <w:p>
            <w:pPr>
              <w:pStyle w:val="24"/>
              <w:ind w:right="102"/>
              <w:rPr>
                <w:rFonts w:hAnsi="宋体"/>
                <w:bCs/>
                <w:spacing w:val="-6"/>
                <w:w w:val="110"/>
                <w:highlight w:val="none"/>
              </w:rPr>
            </w:pPr>
            <w:r>
              <w:rPr>
                <w:rFonts w:hint="eastAsia" w:hAnsi="宋体"/>
                <w:bCs/>
                <w:spacing w:val="-7"/>
                <w:w w:val="110"/>
                <w:position w:val="2"/>
                <w:highlight w:val="none"/>
              </w:rPr>
              <w:t>二、重大特殊手术管理</w:t>
            </w:r>
          </w:p>
          <w:p>
            <w:pPr>
              <w:pStyle w:val="24"/>
              <w:ind w:right="102"/>
              <w:rPr>
                <w:rFonts w:hAnsi="宋体"/>
                <w:bCs/>
                <w:spacing w:val="-6"/>
                <w:w w:val="110"/>
                <w:highlight w:val="none"/>
              </w:rPr>
            </w:pPr>
            <w:r>
              <w:rPr>
                <w:rFonts w:hint="eastAsia" w:hAnsi="宋体"/>
                <w:bCs/>
                <w:spacing w:val="-6"/>
                <w:w w:val="110"/>
                <w:highlight w:val="none"/>
              </w:rPr>
              <w:t>1.支持管理员进行重大特殊手术上报填报</w:t>
            </w:r>
          </w:p>
          <w:p>
            <w:pPr>
              <w:pStyle w:val="24"/>
              <w:ind w:right="102"/>
              <w:rPr>
                <w:rFonts w:hAnsi="宋体"/>
                <w:bCs/>
                <w:spacing w:val="-6"/>
                <w:w w:val="110"/>
                <w:highlight w:val="none"/>
              </w:rPr>
            </w:pPr>
            <w:r>
              <w:rPr>
                <w:rFonts w:hint="eastAsia" w:hAnsi="宋体"/>
                <w:bCs/>
                <w:spacing w:val="-6"/>
                <w:w w:val="110"/>
                <w:highlight w:val="none"/>
              </w:rPr>
              <w:t>2.支持填报表单编辑</w:t>
            </w:r>
          </w:p>
          <w:p>
            <w:pPr>
              <w:pStyle w:val="24"/>
              <w:ind w:right="102"/>
              <w:rPr>
                <w:rFonts w:hAnsi="宋体"/>
                <w:bCs/>
                <w:spacing w:val="-6"/>
                <w:w w:val="110"/>
                <w:highlight w:val="none"/>
              </w:rPr>
            </w:pPr>
            <w:r>
              <w:rPr>
                <w:rFonts w:hint="eastAsia" w:hAnsi="宋体"/>
                <w:bCs/>
                <w:spacing w:val="-6"/>
                <w:w w:val="110"/>
                <w:highlight w:val="none"/>
              </w:rPr>
              <w:t>3.支持删除数据功能</w:t>
            </w:r>
          </w:p>
          <w:p>
            <w:pPr>
              <w:pStyle w:val="24"/>
              <w:ind w:right="102"/>
              <w:rPr>
                <w:rFonts w:hAnsi="宋体"/>
                <w:bCs/>
                <w:spacing w:val="-6"/>
                <w:w w:val="110"/>
                <w:highlight w:val="none"/>
              </w:rPr>
            </w:pPr>
            <w:r>
              <w:rPr>
                <w:rFonts w:hint="eastAsia" w:hAnsi="宋体"/>
                <w:bCs/>
                <w:spacing w:val="-6"/>
                <w:w w:val="110"/>
                <w:highlight w:val="none"/>
              </w:rPr>
              <w:t>5.支持按手术时间来搜索查询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pStyle w:val="24"/>
              <w:ind w:right="102"/>
              <w:rPr>
                <w:rFonts w:hAnsi="宋体"/>
                <w:b/>
                <w:bCs/>
                <w:w w:val="105"/>
                <w:highlight w:val="none"/>
              </w:rPr>
            </w:pPr>
          </w:p>
        </w:tc>
        <w:tc>
          <w:tcPr>
            <w:tcW w:w="662" w:type="pct"/>
            <w:vMerge w:val="continue"/>
          </w:tcPr>
          <w:p>
            <w:pPr>
              <w:pStyle w:val="24"/>
              <w:ind w:right="102"/>
              <w:rPr>
                <w:rFonts w:hAnsi="宋体"/>
                <w:b/>
                <w:bCs/>
                <w:spacing w:val="-14"/>
                <w:w w:val="105"/>
                <w:highlight w:val="none"/>
              </w:rPr>
            </w:pPr>
          </w:p>
        </w:tc>
        <w:tc>
          <w:tcPr>
            <w:tcW w:w="1164" w:type="pct"/>
          </w:tcPr>
          <w:p>
            <w:pPr>
              <w:pStyle w:val="24"/>
              <w:ind w:right="102"/>
              <w:rPr>
                <w:rFonts w:hAnsi="宋体"/>
                <w:bCs/>
                <w:spacing w:val="-7"/>
                <w:w w:val="110"/>
                <w:position w:val="2"/>
                <w:highlight w:val="none"/>
              </w:rPr>
            </w:pPr>
            <w:r>
              <w:rPr>
                <w:rFonts w:hint="eastAsia" w:hAnsi="宋体"/>
                <w:bCs/>
                <w:spacing w:val="-14"/>
                <w:w w:val="105"/>
                <w:highlight w:val="none"/>
              </w:rPr>
              <w:t>四、核心制度监管</w:t>
            </w:r>
          </w:p>
        </w:tc>
        <w:tc>
          <w:tcPr>
            <w:tcW w:w="2735" w:type="pct"/>
          </w:tcPr>
          <w:p>
            <w:pPr>
              <w:pStyle w:val="24"/>
              <w:ind w:right="102"/>
              <w:rPr>
                <w:rFonts w:hAnsi="宋体"/>
                <w:bCs/>
                <w:spacing w:val="-6"/>
                <w:w w:val="110"/>
                <w:highlight w:val="none"/>
              </w:rPr>
            </w:pPr>
            <w:r>
              <w:rPr>
                <w:rFonts w:hint="eastAsia" w:hAnsi="宋体"/>
                <w:bCs/>
                <w:spacing w:val="-7"/>
                <w:w w:val="110"/>
                <w:position w:val="2"/>
                <w:highlight w:val="none"/>
              </w:rPr>
              <w:t>一、我的核心制度监管</w:t>
            </w:r>
          </w:p>
          <w:p>
            <w:pPr>
              <w:pStyle w:val="24"/>
              <w:ind w:right="102"/>
              <w:rPr>
                <w:rFonts w:hAnsi="宋体"/>
                <w:bCs/>
                <w:spacing w:val="-6"/>
                <w:w w:val="110"/>
                <w:highlight w:val="none"/>
              </w:rPr>
            </w:pPr>
            <w:r>
              <w:rPr>
                <w:rFonts w:hint="eastAsia" w:hAnsi="宋体"/>
                <w:bCs/>
                <w:spacing w:val="-6"/>
                <w:w w:val="110"/>
                <w:highlight w:val="none"/>
              </w:rPr>
              <w:t>1.核心制度督导反馈</w:t>
            </w:r>
          </w:p>
          <w:p>
            <w:pPr>
              <w:pStyle w:val="24"/>
              <w:ind w:right="102"/>
              <w:rPr>
                <w:rFonts w:hAnsi="宋体"/>
                <w:bCs/>
                <w:spacing w:val="-6"/>
                <w:w w:val="110"/>
                <w:highlight w:val="none"/>
              </w:rPr>
            </w:pPr>
            <w:r>
              <w:rPr>
                <w:rFonts w:hint="eastAsia" w:hAnsi="宋体"/>
                <w:bCs/>
                <w:spacing w:val="-6"/>
                <w:w w:val="110"/>
                <w:highlight w:val="none"/>
              </w:rPr>
              <w:t>A．支持新增填报表单</w:t>
            </w:r>
          </w:p>
          <w:p>
            <w:pPr>
              <w:pStyle w:val="24"/>
              <w:ind w:right="102"/>
              <w:rPr>
                <w:rFonts w:hAnsi="宋体"/>
                <w:bCs/>
                <w:spacing w:val="-6"/>
                <w:w w:val="110"/>
                <w:highlight w:val="none"/>
              </w:rPr>
            </w:pPr>
            <w:r>
              <w:rPr>
                <w:rFonts w:hint="eastAsia" w:hAnsi="宋体"/>
                <w:bCs/>
                <w:spacing w:val="-6"/>
                <w:w w:val="110"/>
                <w:highlight w:val="none"/>
              </w:rPr>
              <w:t>B．支持编辑已填写表单</w:t>
            </w:r>
          </w:p>
          <w:p>
            <w:pPr>
              <w:pStyle w:val="24"/>
              <w:ind w:right="102"/>
              <w:rPr>
                <w:rFonts w:hAnsi="宋体"/>
                <w:bCs/>
                <w:spacing w:val="-6"/>
                <w:w w:val="110"/>
                <w:highlight w:val="none"/>
              </w:rPr>
            </w:pPr>
            <w:r>
              <w:rPr>
                <w:rFonts w:hint="eastAsia" w:hAnsi="宋体"/>
                <w:bCs/>
                <w:spacing w:val="-6"/>
                <w:w w:val="110"/>
                <w:highlight w:val="none"/>
              </w:rPr>
              <w:t>C. 支持删除已填报表单</w:t>
            </w:r>
          </w:p>
          <w:p>
            <w:pPr>
              <w:pStyle w:val="24"/>
              <w:ind w:right="102"/>
              <w:rPr>
                <w:rFonts w:hAnsi="宋体"/>
                <w:bCs/>
                <w:spacing w:val="-6"/>
                <w:w w:val="110"/>
                <w:highlight w:val="none"/>
              </w:rPr>
            </w:pPr>
            <w:r>
              <w:rPr>
                <w:rFonts w:hint="eastAsia" w:hAnsi="宋体"/>
                <w:bCs/>
                <w:spacing w:val="-6"/>
                <w:w w:val="110"/>
                <w:highlight w:val="none"/>
              </w:rPr>
              <w:t>2.核心制度科室执行情况及自查整改</w:t>
            </w:r>
          </w:p>
          <w:p>
            <w:pPr>
              <w:pStyle w:val="24"/>
              <w:ind w:right="102"/>
              <w:rPr>
                <w:rFonts w:hAnsi="宋体"/>
                <w:bCs/>
                <w:spacing w:val="-6"/>
                <w:w w:val="110"/>
                <w:highlight w:val="none"/>
              </w:rPr>
            </w:pPr>
            <w:r>
              <w:rPr>
                <w:rFonts w:hint="eastAsia" w:hAnsi="宋体"/>
                <w:bCs/>
                <w:spacing w:val="-6"/>
                <w:w w:val="110"/>
                <w:highlight w:val="none"/>
              </w:rPr>
              <w:t>A．支持新增填报表单</w:t>
            </w:r>
          </w:p>
          <w:p>
            <w:pPr>
              <w:pStyle w:val="24"/>
              <w:ind w:right="102"/>
              <w:rPr>
                <w:rFonts w:hAnsi="宋体"/>
                <w:bCs/>
                <w:spacing w:val="-6"/>
                <w:w w:val="110"/>
                <w:highlight w:val="none"/>
              </w:rPr>
            </w:pPr>
            <w:r>
              <w:rPr>
                <w:rFonts w:hint="eastAsia" w:hAnsi="宋体"/>
                <w:bCs/>
                <w:spacing w:val="-6"/>
                <w:w w:val="110"/>
                <w:highlight w:val="none"/>
              </w:rPr>
              <w:t>B．支持编辑已填写表单</w:t>
            </w:r>
          </w:p>
          <w:p>
            <w:pPr>
              <w:pStyle w:val="24"/>
              <w:ind w:right="102"/>
              <w:rPr>
                <w:rFonts w:hAnsi="宋体"/>
                <w:bCs/>
                <w:spacing w:val="-6"/>
                <w:w w:val="110"/>
                <w:highlight w:val="none"/>
              </w:rPr>
            </w:pPr>
            <w:r>
              <w:rPr>
                <w:rFonts w:hint="eastAsia" w:hAnsi="宋体"/>
                <w:bCs/>
                <w:spacing w:val="-6"/>
                <w:w w:val="110"/>
                <w:highlight w:val="none"/>
              </w:rPr>
              <w:t>C. 支持删除已填报表单</w:t>
            </w:r>
          </w:p>
          <w:p>
            <w:pPr>
              <w:pStyle w:val="24"/>
              <w:ind w:right="102"/>
              <w:rPr>
                <w:rFonts w:hAnsi="宋体"/>
                <w:bCs/>
                <w:spacing w:val="-6"/>
                <w:w w:val="110"/>
                <w:highlight w:val="none"/>
              </w:rPr>
            </w:pPr>
            <w:r>
              <w:rPr>
                <w:rFonts w:hint="eastAsia" w:hAnsi="宋体"/>
                <w:bCs/>
                <w:spacing w:val="-6"/>
                <w:w w:val="110"/>
                <w:highlight w:val="none"/>
              </w:rPr>
              <w:t>3.非计划再次手术审批报告</w:t>
            </w:r>
          </w:p>
          <w:p>
            <w:pPr>
              <w:pStyle w:val="24"/>
              <w:ind w:right="102"/>
              <w:rPr>
                <w:rFonts w:hAnsi="宋体"/>
                <w:bCs/>
                <w:spacing w:val="-6"/>
                <w:w w:val="110"/>
                <w:highlight w:val="none"/>
              </w:rPr>
            </w:pPr>
            <w:r>
              <w:rPr>
                <w:rFonts w:hint="eastAsia" w:hAnsi="宋体"/>
                <w:bCs/>
                <w:spacing w:val="-6"/>
                <w:w w:val="110"/>
                <w:highlight w:val="none"/>
              </w:rPr>
              <w:t>A．支持新增填报表单</w:t>
            </w:r>
          </w:p>
          <w:p>
            <w:pPr>
              <w:pStyle w:val="24"/>
              <w:ind w:right="102"/>
              <w:rPr>
                <w:rFonts w:hAnsi="宋体"/>
                <w:bCs/>
                <w:spacing w:val="-6"/>
                <w:w w:val="110"/>
                <w:highlight w:val="none"/>
              </w:rPr>
            </w:pPr>
            <w:r>
              <w:rPr>
                <w:rFonts w:hint="eastAsia" w:hAnsi="宋体"/>
                <w:bCs/>
                <w:spacing w:val="-6"/>
                <w:w w:val="110"/>
                <w:highlight w:val="none"/>
              </w:rPr>
              <w:t>B．支持编辑已填写表单</w:t>
            </w:r>
          </w:p>
          <w:p>
            <w:pPr>
              <w:pStyle w:val="24"/>
              <w:ind w:right="102"/>
              <w:rPr>
                <w:rFonts w:hAnsi="宋体"/>
                <w:bCs/>
                <w:spacing w:val="-6"/>
                <w:w w:val="110"/>
                <w:highlight w:val="none"/>
              </w:rPr>
            </w:pPr>
            <w:r>
              <w:rPr>
                <w:rFonts w:hint="eastAsia" w:hAnsi="宋体"/>
                <w:bCs/>
                <w:spacing w:val="-6"/>
                <w:w w:val="110"/>
                <w:highlight w:val="none"/>
              </w:rPr>
              <w:t>C. 支持删除已填报表单</w:t>
            </w:r>
          </w:p>
          <w:p>
            <w:pPr>
              <w:pStyle w:val="24"/>
              <w:ind w:right="102"/>
              <w:rPr>
                <w:rFonts w:hAnsi="宋体"/>
                <w:bCs/>
                <w:spacing w:val="-6"/>
                <w:w w:val="110"/>
                <w:highlight w:val="none"/>
              </w:rPr>
            </w:pPr>
            <w:r>
              <w:rPr>
                <w:rFonts w:hint="eastAsia" w:hAnsi="宋体"/>
                <w:bCs/>
                <w:spacing w:val="-6"/>
                <w:w w:val="110"/>
                <w:highlight w:val="none"/>
              </w:rPr>
              <w:t>4.非计划再次手术自查与整改登记</w:t>
            </w:r>
          </w:p>
          <w:p>
            <w:pPr>
              <w:pStyle w:val="24"/>
              <w:ind w:right="102"/>
              <w:rPr>
                <w:rFonts w:hAnsi="宋体"/>
                <w:bCs/>
                <w:spacing w:val="-6"/>
                <w:w w:val="110"/>
                <w:highlight w:val="none"/>
              </w:rPr>
            </w:pPr>
            <w:r>
              <w:rPr>
                <w:rFonts w:hint="eastAsia" w:hAnsi="宋体"/>
                <w:bCs/>
                <w:spacing w:val="-6"/>
                <w:w w:val="110"/>
                <w:highlight w:val="none"/>
              </w:rPr>
              <w:t>A．支持新增填报表单</w:t>
            </w:r>
          </w:p>
          <w:p>
            <w:pPr>
              <w:pStyle w:val="24"/>
              <w:ind w:right="102"/>
              <w:rPr>
                <w:rFonts w:hAnsi="宋体"/>
                <w:bCs/>
                <w:spacing w:val="-6"/>
                <w:w w:val="110"/>
                <w:highlight w:val="none"/>
              </w:rPr>
            </w:pPr>
            <w:r>
              <w:rPr>
                <w:rFonts w:hint="eastAsia" w:hAnsi="宋体"/>
                <w:bCs/>
                <w:spacing w:val="-6"/>
                <w:w w:val="110"/>
                <w:highlight w:val="none"/>
              </w:rPr>
              <w:t>B．支持编辑已填写表单</w:t>
            </w:r>
          </w:p>
          <w:p>
            <w:pPr>
              <w:pStyle w:val="24"/>
              <w:ind w:right="102"/>
              <w:rPr>
                <w:rFonts w:hAnsi="宋体"/>
                <w:bCs/>
                <w:spacing w:val="-6"/>
                <w:w w:val="110"/>
                <w:highlight w:val="none"/>
              </w:rPr>
            </w:pPr>
            <w:r>
              <w:rPr>
                <w:rFonts w:hint="eastAsia" w:hAnsi="宋体"/>
                <w:bCs/>
                <w:spacing w:val="-6"/>
                <w:w w:val="110"/>
                <w:highlight w:val="none"/>
              </w:rPr>
              <w:t>C. 支持删除已填报表单</w:t>
            </w:r>
          </w:p>
          <w:p>
            <w:pPr>
              <w:pStyle w:val="24"/>
              <w:ind w:right="102"/>
              <w:rPr>
                <w:rFonts w:hAnsi="宋体"/>
                <w:bCs/>
                <w:spacing w:val="-6"/>
                <w:w w:val="110"/>
                <w:highlight w:val="none"/>
              </w:rPr>
            </w:pPr>
            <w:r>
              <w:rPr>
                <w:rFonts w:hint="eastAsia" w:hAnsi="宋体"/>
                <w:bCs/>
                <w:spacing w:val="-7"/>
                <w:w w:val="110"/>
                <w:position w:val="2"/>
                <w:highlight w:val="none"/>
              </w:rPr>
              <w:t>二、核心制度监管</w:t>
            </w:r>
          </w:p>
          <w:p>
            <w:pPr>
              <w:pStyle w:val="24"/>
              <w:ind w:right="102"/>
              <w:rPr>
                <w:rFonts w:hAnsi="宋体"/>
                <w:bCs/>
                <w:spacing w:val="-6"/>
                <w:w w:val="110"/>
                <w:highlight w:val="none"/>
              </w:rPr>
            </w:pPr>
            <w:r>
              <w:rPr>
                <w:rFonts w:hint="eastAsia" w:hAnsi="宋体"/>
                <w:bCs/>
                <w:spacing w:val="-6"/>
                <w:w w:val="110"/>
                <w:highlight w:val="none"/>
              </w:rPr>
              <w:t>1.核心制度督导反馈</w:t>
            </w:r>
          </w:p>
          <w:p>
            <w:pPr>
              <w:pStyle w:val="24"/>
              <w:ind w:right="102"/>
              <w:rPr>
                <w:rFonts w:hAnsi="宋体"/>
                <w:bCs/>
                <w:spacing w:val="-6"/>
                <w:w w:val="110"/>
                <w:highlight w:val="none"/>
              </w:rPr>
            </w:pPr>
            <w:r>
              <w:rPr>
                <w:rFonts w:hint="eastAsia" w:hAnsi="宋体"/>
                <w:bCs/>
                <w:spacing w:val="-6"/>
                <w:w w:val="110"/>
                <w:highlight w:val="none"/>
              </w:rPr>
              <w:t>A．支持管理员新增填报表单</w:t>
            </w:r>
          </w:p>
          <w:p>
            <w:pPr>
              <w:pStyle w:val="24"/>
              <w:ind w:right="102"/>
              <w:rPr>
                <w:rFonts w:hAnsi="宋体"/>
                <w:bCs/>
                <w:spacing w:val="-6"/>
                <w:w w:val="110"/>
                <w:highlight w:val="none"/>
              </w:rPr>
            </w:pPr>
            <w:r>
              <w:rPr>
                <w:rFonts w:hint="eastAsia" w:hAnsi="宋体"/>
                <w:bCs/>
                <w:spacing w:val="-6"/>
                <w:w w:val="110"/>
                <w:highlight w:val="none"/>
              </w:rPr>
              <w:t>B．支持管理员编辑已填写表单</w:t>
            </w:r>
          </w:p>
          <w:p>
            <w:pPr>
              <w:pStyle w:val="24"/>
              <w:ind w:right="102"/>
              <w:rPr>
                <w:rFonts w:hAnsi="宋体"/>
                <w:bCs/>
                <w:spacing w:val="-6"/>
                <w:w w:val="110"/>
                <w:highlight w:val="none"/>
              </w:rPr>
            </w:pPr>
            <w:r>
              <w:rPr>
                <w:rFonts w:hint="eastAsia" w:hAnsi="宋体"/>
                <w:bCs/>
                <w:spacing w:val="-6"/>
                <w:w w:val="110"/>
                <w:highlight w:val="none"/>
              </w:rPr>
              <w:t>C. 支持删除已填报表单</w:t>
            </w:r>
          </w:p>
          <w:p>
            <w:pPr>
              <w:pStyle w:val="24"/>
              <w:ind w:right="102"/>
              <w:rPr>
                <w:rFonts w:hAnsi="宋体"/>
                <w:bCs/>
                <w:spacing w:val="-6"/>
                <w:w w:val="110"/>
                <w:highlight w:val="none"/>
              </w:rPr>
            </w:pPr>
            <w:r>
              <w:rPr>
                <w:rFonts w:hint="eastAsia" w:hAnsi="宋体"/>
                <w:bCs/>
                <w:spacing w:val="-6"/>
                <w:w w:val="110"/>
                <w:highlight w:val="none"/>
              </w:rPr>
              <w:t>D．满足按考核项目进行搜索查看</w:t>
            </w:r>
          </w:p>
          <w:p>
            <w:pPr>
              <w:pStyle w:val="24"/>
              <w:ind w:right="102"/>
              <w:rPr>
                <w:rFonts w:hAnsi="宋体"/>
                <w:bCs/>
                <w:spacing w:val="-6"/>
                <w:w w:val="110"/>
                <w:highlight w:val="none"/>
              </w:rPr>
            </w:pPr>
            <w:r>
              <w:rPr>
                <w:rFonts w:hint="eastAsia" w:hAnsi="宋体"/>
                <w:bCs/>
                <w:spacing w:val="-6"/>
                <w:w w:val="110"/>
                <w:highlight w:val="none"/>
              </w:rPr>
              <w:t>E．满足按考核科室进行搜索查看</w:t>
            </w:r>
          </w:p>
          <w:p>
            <w:pPr>
              <w:pStyle w:val="24"/>
              <w:ind w:right="102"/>
              <w:rPr>
                <w:rFonts w:hAnsi="宋体"/>
                <w:bCs/>
                <w:spacing w:val="-6"/>
                <w:w w:val="110"/>
                <w:highlight w:val="none"/>
              </w:rPr>
            </w:pPr>
            <w:r>
              <w:rPr>
                <w:rFonts w:hint="eastAsia" w:hAnsi="宋体"/>
                <w:bCs/>
                <w:spacing w:val="-6"/>
                <w:w w:val="110"/>
                <w:highlight w:val="none"/>
              </w:rPr>
              <w:t>F. 满足按考核时间进行搜索查看</w:t>
            </w:r>
          </w:p>
          <w:p>
            <w:pPr>
              <w:pStyle w:val="24"/>
              <w:ind w:right="102"/>
              <w:rPr>
                <w:rFonts w:hAnsi="宋体"/>
                <w:bCs/>
                <w:spacing w:val="-6"/>
                <w:w w:val="110"/>
                <w:highlight w:val="none"/>
              </w:rPr>
            </w:pPr>
            <w:r>
              <w:rPr>
                <w:rFonts w:hint="eastAsia" w:hAnsi="宋体"/>
                <w:bCs/>
                <w:spacing w:val="-6"/>
                <w:w w:val="110"/>
                <w:highlight w:val="none"/>
              </w:rPr>
              <w:t>2.核心制度科室执行情况及自查整改</w:t>
            </w:r>
          </w:p>
          <w:p>
            <w:pPr>
              <w:pStyle w:val="24"/>
              <w:ind w:right="102"/>
              <w:rPr>
                <w:rFonts w:hAnsi="宋体"/>
                <w:bCs/>
                <w:spacing w:val="-6"/>
                <w:w w:val="110"/>
                <w:highlight w:val="none"/>
              </w:rPr>
            </w:pPr>
            <w:r>
              <w:rPr>
                <w:rFonts w:hint="eastAsia" w:hAnsi="宋体"/>
                <w:bCs/>
                <w:spacing w:val="-6"/>
                <w:w w:val="110"/>
                <w:highlight w:val="none"/>
              </w:rPr>
              <w:t>A．支持管理员新增填报表单</w:t>
            </w:r>
          </w:p>
          <w:p>
            <w:pPr>
              <w:pStyle w:val="24"/>
              <w:ind w:right="102"/>
              <w:rPr>
                <w:rFonts w:hAnsi="宋体"/>
                <w:bCs/>
                <w:spacing w:val="-6"/>
                <w:w w:val="110"/>
                <w:highlight w:val="none"/>
              </w:rPr>
            </w:pPr>
            <w:r>
              <w:rPr>
                <w:rFonts w:hint="eastAsia" w:hAnsi="宋体"/>
                <w:bCs/>
                <w:spacing w:val="-6"/>
                <w:w w:val="110"/>
                <w:highlight w:val="none"/>
              </w:rPr>
              <w:t>B．支持管理员编辑已填写表单</w:t>
            </w:r>
          </w:p>
          <w:p>
            <w:pPr>
              <w:pStyle w:val="24"/>
              <w:ind w:right="102"/>
              <w:rPr>
                <w:rFonts w:hAnsi="宋体"/>
                <w:bCs/>
                <w:spacing w:val="-6"/>
                <w:w w:val="110"/>
                <w:highlight w:val="none"/>
              </w:rPr>
            </w:pPr>
            <w:r>
              <w:rPr>
                <w:rFonts w:hint="eastAsia" w:hAnsi="宋体"/>
                <w:bCs/>
                <w:spacing w:val="-6"/>
                <w:w w:val="110"/>
                <w:highlight w:val="none"/>
              </w:rPr>
              <w:t>C. 支持删除已填报表单</w:t>
            </w:r>
          </w:p>
          <w:p>
            <w:pPr>
              <w:pStyle w:val="24"/>
              <w:ind w:right="102"/>
              <w:rPr>
                <w:rFonts w:hAnsi="宋体"/>
                <w:bCs/>
                <w:spacing w:val="-6"/>
                <w:w w:val="110"/>
                <w:highlight w:val="none"/>
              </w:rPr>
            </w:pPr>
            <w:r>
              <w:rPr>
                <w:rFonts w:hint="eastAsia" w:hAnsi="宋体"/>
                <w:bCs/>
                <w:spacing w:val="-6"/>
                <w:w w:val="110"/>
                <w:highlight w:val="none"/>
              </w:rPr>
              <w:t>3.非计划再次手术审批报告</w:t>
            </w:r>
          </w:p>
          <w:p>
            <w:pPr>
              <w:pStyle w:val="24"/>
              <w:ind w:right="102"/>
              <w:rPr>
                <w:rFonts w:hAnsi="宋体"/>
                <w:bCs/>
                <w:spacing w:val="-6"/>
                <w:w w:val="110"/>
                <w:highlight w:val="none"/>
              </w:rPr>
            </w:pPr>
            <w:r>
              <w:rPr>
                <w:rFonts w:hint="eastAsia" w:hAnsi="宋体"/>
                <w:bCs/>
                <w:spacing w:val="-6"/>
                <w:w w:val="110"/>
                <w:highlight w:val="none"/>
              </w:rPr>
              <w:t>A．支持管理员新增填报表单</w:t>
            </w:r>
          </w:p>
          <w:p>
            <w:pPr>
              <w:pStyle w:val="24"/>
              <w:ind w:right="102"/>
              <w:rPr>
                <w:rFonts w:hAnsi="宋体"/>
                <w:bCs/>
                <w:spacing w:val="-6"/>
                <w:w w:val="110"/>
                <w:highlight w:val="none"/>
              </w:rPr>
            </w:pPr>
            <w:r>
              <w:rPr>
                <w:rFonts w:hint="eastAsia" w:hAnsi="宋体"/>
                <w:bCs/>
                <w:spacing w:val="-6"/>
                <w:w w:val="110"/>
                <w:highlight w:val="none"/>
              </w:rPr>
              <w:t>B．支持管理员编辑已填写表单</w:t>
            </w:r>
          </w:p>
          <w:p>
            <w:pPr>
              <w:pStyle w:val="24"/>
              <w:ind w:right="102"/>
              <w:rPr>
                <w:rFonts w:hAnsi="宋体"/>
                <w:bCs/>
                <w:spacing w:val="-6"/>
                <w:w w:val="110"/>
                <w:highlight w:val="none"/>
              </w:rPr>
            </w:pPr>
            <w:r>
              <w:rPr>
                <w:rFonts w:hint="eastAsia" w:hAnsi="宋体"/>
                <w:bCs/>
                <w:spacing w:val="-6"/>
                <w:w w:val="110"/>
                <w:highlight w:val="none"/>
              </w:rPr>
              <w:t>C. 支持删除已填报表单</w:t>
            </w:r>
          </w:p>
          <w:p>
            <w:pPr>
              <w:pStyle w:val="24"/>
              <w:ind w:right="102"/>
              <w:rPr>
                <w:rFonts w:hAnsi="宋体"/>
                <w:bCs/>
                <w:spacing w:val="-6"/>
                <w:w w:val="110"/>
                <w:highlight w:val="none"/>
              </w:rPr>
            </w:pPr>
            <w:r>
              <w:rPr>
                <w:rFonts w:hint="eastAsia" w:hAnsi="宋体"/>
                <w:bCs/>
                <w:spacing w:val="-6"/>
                <w:w w:val="110"/>
                <w:highlight w:val="none"/>
              </w:rPr>
              <w:t>4.非计划再次手术自查与整改登记</w:t>
            </w:r>
          </w:p>
          <w:p>
            <w:pPr>
              <w:pStyle w:val="24"/>
              <w:ind w:right="102"/>
              <w:rPr>
                <w:rFonts w:hAnsi="宋体"/>
                <w:bCs/>
                <w:spacing w:val="-6"/>
                <w:w w:val="110"/>
                <w:highlight w:val="none"/>
              </w:rPr>
            </w:pPr>
            <w:r>
              <w:rPr>
                <w:rFonts w:hint="eastAsia" w:hAnsi="宋体"/>
                <w:bCs/>
                <w:spacing w:val="-6"/>
                <w:w w:val="110"/>
                <w:highlight w:val="none"/>
              </w:rPr>
              <w:t>A．支持管理员新增填报表单</w:t>
            </w:r>
          </w:p>
          <w:p>
            <w:pPr>
              <w:pStyle w:val="24"/>
              <w:ind w:right="102"/>
              <w:rPr>
                <w:rFonts w:hAnsi="宋体"/>
                <w:bCs/>
                <w:spacing w:val="-6"/>
                <w:w w:val="110"/>
                <w:highlight w:val="none"/>
              </w:rPr>
            </w:pPr>
            <w:r>
              <w:rPr>
                <w:rFonts w:hint="eastAsia" w:hAnsi="宋体"/>
                <w:bCs/>
                <w:spacing w:val="-6"/>
                <w:w w:val="110"/>
                <w:highlight w:val="none"/>
              </w:rPr>
              <w:t>B．支持管理员编辑已填写表单</w:t>
            </w:r>
          </w:p>
          <w:p>
            <w:pPr>
              <w:pStyle w:val="24"/>
              <w:ind w:right="102"/>
              <w:rPr>
                <w:rFonts w:hAnsi="宋体"/>
                <w:bCs/>
                <w:spacing w:val="-6"/>
                <w:w w:val="110"/>
                <w:highlight w:val="none"/>
              </w:rPr>
            </w:pPr>
            <w:r>
              <w:rPr>
                <w:rFonts w:hint="eastAsia" w:hAnsi="宋体"/>
                <w:bCs/>
                <w:spacing w:val="-6"/>
                <w:w w:val="110"/>
                <w:highlight w:val="none"/>
              </w:rPr>
              <w:t>C. 支持删除已填报表单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pStyle w:val="24"/>
              <w:ind w:right="102"/>
              <w:rPr>
                <w:rFonts w:hAnsi="宋体"/>
                <w:b/>
                <w:bCs/>
                <w:w w:val="105"/>
                <w:highlight w:val="none"/>
              </w:rPr>
            </w:pPr>
          </w:p>
        </w:tc>
        <w:tc>
          <w:tcPr>
            <w:tcW w:w="662" w:type="pct"/>
            <w:vMerge w:val="continue"/>
          </w:tcPr>
          <w:p>
            <w:pPr>
              <w:pStyle w:val="24"/>
              <w:ind w:right="102"/>
              <w:rPr>
                <w:rFonts w:hAnsi="宋体"/>
                <w:b/>
                <w:bCs/>
                <w:spacing w:val="-14"/>
                <w:w w:val="105"/>
                <w:highlight w:val="none"/>
              </w:rPr>
            </w:pPr>
          </w:p>
        </w:tc>
        <w:tc>
          <w:tcPr>
            <w:tcW w:w="1164" w:type="pct"/>
          </w:tcPr>
          <w:p>
            <w:pPr>
              <w:pStyle w:val="24"/>
              <w:ind w:right="102"/>
              <w:rPr>
                <w:rFonts w:hAnsi="宋体"/>
                <w:bCs/>
                <w:spacing w:val="-7"/>
                <w:w w:val="110"/>
                <w:position w:val="2"/>
                <w:highlight w:val="none"/>
              </w:rPr>
            </w:pPr>
            <w:r>
              <w:rPr>
                <w:rFonts w:hint="eastAsia" w:hAnsi="宋体"/>
                <w:bCs/>
                <w:spacing w:val="-14"/>
                <w:w w:val="105"/>
                <w:highlight w:val="none"/>
              </w:rPr>
              <w:t>五、专科制度监管</w:t>
            </w:r>
          </w:p>
        </w:tc>
        <w:tc>
          <w:tcPr>
            <w:tcW w:w="2735" w:type="pct"/>
          </w:tcPr>
          <w:p>
            <w:pPr>
              <w:pStyle w:val="24"/>
              <w:ind w:right="102"/>
              <w:rPr>
                <w:rFonts w:hAnsi="宋体"/>
                <w:bCs/>
                <w:spacing w:val="-6"/>
                <w:w w:val="110"/>
                <w:highlight w:val="none"/>
              </w:rPr>
            </w:pPr>
            <w:r>
              <w:rPr>
                <w:rFonts w:hint="eastAsia" w:hAnsi="宋体"/>
                <w:bCs/>
                <w:spacing w:val="-7"/>
                <w:w w:val="110"/>
                <w:position w:val="2"/>
                <w:highlight w:val="none"/>
              </w:rPr>
              <w:t>一、我的专科制度监管</w:t>
            </w:r>
          </w:p>
          <w:p>
            <w:pPr>
              <w:pStyle w:val="24"/>
              <w:ind w:right="102"/>
              <w:rPr>
                <w:rFonts w:hAnsi="宋体"/>
                <w:bCs/>
                <w:spacing w:val="-6"/>
                <w:w w:val="110"/>
                <w:highlight w:val="none"/>
              </w:rPr>
            </w:pPr>
            <w:r>
              <w:rPr>
                <w:rFonts w:hint="eastAsia" w:hAnsi="宋体"/>
                <w:bCs/>
                <w:spacing w:val="-6"/>
                <w:w w:val="110"/>
                <w:highlight w:val="none"/>
              </w:rPr>
              <w:t>1.持续改进专项督导整改</w:t>
            </w:r>
          </w:p>
          <w:p>
            <w:pPr>
              <w:pStyle w:val="24"/>
              <w:ind w:right="102"/>
              <w:rPr>
                <w:rFonts w:hAnsi="宋体"/>
                <w:bCs/>
                <w:spacing w:val="-6"/>
                <w:w w:val="110"/>
                <w:highlight w:val="none"/>
              </w:rPr>
            </w:pPr>
            <w:r>
              <w:rPr>
                <w:rFonts w:hint="eastAsia" w:hAnsi="宋体"/>
                <w:bCs/>
                <w:spacing w:val="-6"/>
                <w:w w:val="110"/>
                <w:highlight w:val="none"/>
              </w:rPr>
              <w:t>A．支持新增填报表单</w:t>
            </w:r>
          </w:p>
          <w:p>
            <w:pPr>
              <w:pStyle w:val="24"/>
              <w:ind w:right="102"/>
              <w:rPr>
                <w:rFonts w:hAnsi="宋体"/>
                <w:bCs/>
                <w:spacing w:val="-6"/>
                <w:w w:val="110"/>
                <w:highlight w:val="none"/>
              </w:rPr>
            </w:pPr>
            <w:r>
              <w:rPr>
                <w:rFonts w:hint="eastAsia" w:hAnsi="宋体"/>
                <w:bCs/>
                <w:spacing w:val="-6"/>
                <w:w w:val="110"/>
                <w:highlight w:val="none"/>
              </w:rPr>
              <w:t>B．支持编辑已填写表单</w:t>
            </w:r>
          </w:p>
          <w:p>
            <w:pPr>
              <w:pStyle w:val="24"/>
              <w:ind w:right="102"/>
              <w:rPr>
                <w:rFonts w:hAnsi="宋体"/>
                <w:bCs/>
                <w:spacing w:val="-6"/>
                <w:w w:val="110"/>
                <w:highlight w:val="none"/>
              </w:rPr>
            </w:pPr>
            <w:r>
              <w:rPr>
                <w:rFonts w:hint="eastAsia" w:hAnsi="宋体"/>
                <w:bCs/>
                <w:spacing w:val="-6"/>
                <w:w w:val="110"/>
                <w:highlight w:val="none"/>
              </w:rPr>
              <w:t>C. 支持删除已填报表单</w:t>
            </w:r>
          </w:p>
          <w:p>
            <w:pPr>
              <w:pStyle w:val="24"/>
              <w:ind w:right="102"/>
              <w:rPr>
                <w:rFonts w:hAnsi="宋体"/>
                <w:bCs/>
                <w:spacing w:val="-6"/>
                <w:w w:val="110"/>
                <w:highlight w:val="none"/>
              </w:rPr>
            </w:pPr>
            <w:r>
              <w:rPr>
                <w:rFonts w:hint="eastAsia" w:hAnsi="宋体"/>
                <w:bCs/>
                <w:spacing w:val="-6"/>
                <w:w w:val="110"/>
                <w:highlight w:val="none"/>
              </w:rPr>
              <w:t>2.科室自查总结整改</w:t>
            </w:r>
          </w:p>
          <w:p>
            <w:pPr>
              <w:pStyle w:val="24"/>
              <w:ind w:right="102"/>
              <w:rPr>
                <w:rFonts w:hAnsi="宋体"/>
                <w:bCs/>
                <w:spacing w:val="-6"/>
                <w:w w:val="110"/>
                <w:highlight w:val="none"/>
              </w:rPr>
            </w:pPr>
            <w:r>
              <w:rPr>
                <w:rFonts w:hint="eastAsia" w:hAnsi="宋体"/>
                <w:bCs/>
                <w:spacing w:val="-6"/>
                <w:w w:val="110"/>
                <w:highlight w:val="none"/>
              </w:rPr>
              <w:t>A．支持新增填报表单</w:t>
            </w:r>
          </w:p>
          <w:p>
            <w:pPr>
              <w:pStyle w:val="24"/>
              <w:ind w:right="102"/>
              <w:rPr>
                <w:rFonts w:hAnsi="宋体"/>
                <w:bCs/>
                <w:spacing w:val="-6"/>
                <w:w w:val="110"/>
                <w:highlight w:val="none"/>
              </w:rPr>
            </w:pPr>
            <w:r>
              <w:rPr>
                <w:rFonts w:hint="eastAsia" w:hAnsi="宋体"/>
                <w:bCs/>
                <w:spacing w:val="-6"/>
                <w:w w:val="110"/>
                <w:highlight w:val="none"/>
              </w:rPr>
              <w:t>B．支持编辑已填写表单</w:t>
            </w:r>
          </w:p>
          <w:p>
            <w:pPr>
              <w:pStyle w:val="24"/>
              <w:ind w:right="102"/>
              <w:rPr>
                <w:rFonts w:hAnsi="宋体"/>
                <w:bCs/>
                <w:spacing w:val="-6"/>
                <w:w w:val="110"/>
                <w:highlight w:val="none"/>
              </w:rPr>
            </w:pPr>
            <w:r>
              <w:rPr>
                <w:rFonts w:hint="eastAsia" w:hAnsi="宋体"/>
                <w:bCs/>
                <w:spacing w:val="-6"/>
                <w:w w:val="110"/>
                <w:highlight w:val="none"/>
              </w:rPr>
              <w:t>C. 支持删除已填报表单</w:t>
            </w:r>
          </w:p>
          <w:p>
            <w:pPr>
              <w:pStyle w:val="24"/>
              <w:ind w:right="102"/>
              <w:rPr>
                <w:rFonts w:hAnsi="宋体"/>
                <w:bCs/>
                <w:spacing w:val="-6"/>
                <w:w w:val="110"/>
                <w:highlight w:val="none"/>
              </w:rPr>
            </w:pPr>
            <w:r>
              <w:rPr>
                <w:rFonts w:hint="eastAsia" w:hAnsi="宋体"/>
                <w:bCs/>
                <w:spacing w:val="-7"/>
                <w:w w:val="110"/>
                <w:position w:val="2"/>
                <w:highlight w:val="none"/>
              </w:rPr>
              <w:t>二、专科制度监管</w:t>
            </w:r>
          </w:p>
          <w:p>
            <w:pPr>
              <w:pStyle w:val="24"/>
              <w:ind w:right="102"/>
              <w:rPr>
                <w:rFonts w:hAnsi="宋体"/>
                <w:bCs/>
                <w:spacing w:val="-6"/>
                <w:w w:val="110"/>
                <w:highlight w:val="none"/>
              </w:rPr>
            </w:pPr>
            <w:r>
              <w:rPr>
                <w:rFonts w:hint="eastAsia" w:hAnsi="宋体"/>
                <w:bCs/>
                <w:spacing w:val="-6"/>
                <w:w w:val="110"/>
                <w:highlight w:val="none"/>
              </w:rPr>
              <w:t>1.持续改进专项督导整改管理</w:t>
            </w:r>
          </w:p>
          <w:p>
            <w:pPr>
              <w:pStyle w:val="24"/>
              <w:ind w:right="102"/>
              <w:rPr>
                <w:rFonts w:hAnsi="宋体"/>
                <w:bCs/>
                <w:spacing w:val="-6"/>
                <w:w w:val="110"/>
                <w:highlight w:val="none"/>
              </w:rPr>
            </w:pPr>
            <w:r>
              <w:rPr>
                <w:rFonts w:hint="eastAsia" w:hAnsi="宋体"/>
                <w:bCs/>
                <w:spacing w:val="-6"/>
                <w:w w:val="110"/>
                <w:highlight w:val="none"/>
              </w:rPr>
              <w:t>A．支持管理员新增填报表单</w:t>
            </w:r>
          </w:p>
          <w:p>
            <w:pPr>
              <w:pStyle w:val="24"/>
              <w:ind w:right="102"/>
              <w:rPr>
                <w:rFonts w:hAnsi="宋体"/>
                <w:bCs/>
                <w:spacing w:val="-6"/>
                <w:w w:val="110"/>
                <w:highlight w:val="none"/>
              </w:rPr>
            </w:pPr>
            <w:r>
              <w:rPr>
                <w:rFonts w:hint="eastAsia" w:hAnsi="宋体"/>
                <w:bCs/>
                <w:spacing w:val="-6"/>
                <w:w w:val="110"/>
                <w:highlight w:val="none"/>
              </w:rPr>
              <w:t>B．支持管理员编辑已填写表单</w:t>
            </w:r>
          </w:p>
          <w:p>
            <w:pPr>
              <w:pStyle w:val="24"/>
              <w:ind w:right="102"/>
              <w:rPr>
                <w:rFonts w:hAnsi="宋体"/>
                <w:bCs/>
                <w:spacing w:val="-6"/>
                <w:w w:val="110"/>
                <w:highlight w:val="none"/>
              </w:rPr>
            </w:pPr>
            <w:r>
              <w:rPr>
                <w:rFonts w:hint="eastAsia" w:hAnsi="宋体"/>
                <w:bCs/>
                <w:spacing w:val="-6"/>
                <w:w w:val="110"/>
                <w:highlight w:val="none"/>
              </w:rPr>
              <w:t>C. 支持删除已填报表单</w:t>
            </w:r>
          </w:p>
          <w:p>
            <w:pPr>
              <w:pStyle w:val="24"/>
              <w:ind w:right="102"/>
              <w:rPr>
                <w:rFonts w:hAnsi="宋体"/>
                <w:bCs/>
                <w:spacing w:val="-6"/>
                <w:w w:val="110"/>
                <w:highlight w:val="none"/>
              </w:rPr>
            </w:pPr>
            <w:r>
              <w:rPr>
                <w:rFonts w:hint="eastAsia" w:hAnsi="宋体"/>
                <w:bCs/>
                <w:spacing w:val="-6"/>
                <w:w w:val="110"/>
                <w:highlight w:val="none"/>
              </w:rPr>
              <w:t>D．满足按检查内容进行搜索查看</w:t>
            </w:r>
          </w:p>
          <w:p>
            <w:pPr>
              <w:pStyle w:val="24"/>
              <w:ind w:right="102"/>
              <w:rPr>
                <w:rFonts w:hAnsi="宋体"/>
                <w:bCs/>
                <w:spacing w:val="-6"/>
                <w:w w:val="110"/>
                <w:highlight w:val="none"/>
              </w:rPr>
            </w:pPr>
            <w:r>
              <w:rPr>
                <w:rFonts w:hint="eastAsia" w:hAnsi="宋体"/>
                <w:bCs/>
                <w:spacing w:val="-6"/>
                <w:w w:val="110"/>
                <w:highlight w:val="none"/>
              </w:rPr>
              <w:t>E．满足按考核科室进行搜索查看</w:t>
            </w:r>
          </w:p>
          <w:p>
            <w:pPr>
              <w:pStyle w:val="24"/>
              <w:ind w:right="102"/>
              <w:rPr>
                <w:rFonts w:hAnsi="宋体"/>
                <w:bCs/>
                <w:spacing w:val="-6"/>
                <w:w w:val="110"/>
                <w:highlight w:val="none"/>
              </w:rPr>
            </w:pPr>
            <w:r>
              <w:rPr>
                <w:rFonts w:hint="eastAsia" w:hAnsi="宋体"/>
                <w:bCs/>
                <w:spacing w:val="-6"/>
                <w:w w:val="110"/>
                <w:highlight w:val="none"/>
              </w:rPr>
              <w:t>F. 满足按考核时间进行搜索查看</w:t>
            </w:r>
          </w:p>
          <w:p>
            <w:pPr>
              <w:pStyle w:val="24"/>
              <w:ind w:right="102"/>
              <w:rPr>
                <w:rFonts w:hAnsi="宋体"/>
                <w:bCs/>
                <w:spacing w:val="-6"/>
                <w:w w:val="110"/>
                <w:highlight w:val="none"/>
              </w:rPr>
            </w:pPr>
            <w:r>
              <w:rPr>
                <w:rFonts w:hint="eastAsia" w:hAnsi="宋体"/>
                <w:bCs/>
                <w:spacing w:val="-6"/>
                <w:w w:val="110"/>
                <w:highlight w:val="none"/>
              </w:rPr>
              <w:t>2.科室自查总结整改</w:t>
            </w:r>
          </w:p>
          <w:p>
            <w:pPr>
              <w:pStyle w:val="24"/>
              <w:ind w:right="102"/>
              <w:rPr>
                <w:rFonts w:hAnsi="宋体"/>
                <w:bCs/>
                <w:spacing w:val="-6"/>
                <w:w w:val="110"/>
                <w:highlight w:val="none"/>
              </w:rPr>
            </w:pPr>
            <w:r>
              <w:rPr>
                <w:rFonts w:hint="eastAsia" w:hAnsi="宋体"/>
                <w:bCs/>
                <w:spacing w:val="-6"/>
                <w:w w:val="110"/>
                <w:highlight w:val="none"/>
              </w:rPr>
              <w:t>A．支持管理员新增填报表单</w:t>
            </w:r>
          </w:p>
          <w:p>
            <w:pPr>
              <w:pStyle w:val="24"/>
              <w:ind w:right="102"/>
              <w:rPr>
                <w:rFonts w:hAnsi="宋体"/>
                <w:bCs/>
                <w:spacing w:val="-6"/>
                <w:w w:val="110"/>
                <w:highlight w:val="none"/>
              </w:rPr>
            </w:pPr>
            <w:r>
              <w:rPr>
                <w:rFonts w:hint="eastAsia" w:hAnsi="宋体"/>
                <w:bCs/>
                <w:spacing w:val="-6"/>
                <w:w w:val="110"/>
                <w:highlight w:val="none"/>
              </w:rPr>
              <w:t>B．支持管理员编辑已填写表单</w:t>
            </w:r>
          </w:p>
          <w:p>
            <w:pPr>
              <w:pStyle w:val="24"/>
              <w:ind w:right="102"/>
              <w:rPr>
                <w:rFonts w:hAnsi="宋体"/>
                <w:bCs/>
                <w:spacing w:val="-6"/>
                <w:w w:val="110"/>
                <w:highlight w:val="none"/>
              </w:rPr>
            </w:pPr>
            <w:r>
              <w:rPr>
                <w:rFonts w:hint="eastAsia" w:hAnsi="宋体"/>
                <w:bCs/>
                <w:spacing w:val="-6"/>
                <w:w w:val="110"/>
                <w:highlight w:val="none"/>
              </w:rPr>
              <w:t>C. 支持删除已填报表单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pStyle w:val="24"/>
              <w:ind w:right="102"/>
              <w:rPr>
                <w:rFonts w:hAnsi="宋体"/>
                <w:b/>
                <w:bCs/>
                <w:w w:val="105"/>
                <w:highlight w:val="none"/>
              </w:rPr>
            </w:pPr>
          </w:p>
        </w:tc>
        <w:tc>
          <w:tcPr>
            <w:tcW w:w="662" w:type="pct"/>
            <w:vMerge w:val="continue"/>
          </w:tcPr>
          <w:p>
            <w:pPr>
              <w:pStyle w:val="24"/>
              <w:ind w:right="102"/>
              <w:rPr>
                <w:rFonts w:hAnsi="宋体"/>
                <w:b/>
                <w:bCs/>
                <w:spacing w:val="-14"/>
                <w:w w:val="105"/>
                <w:highlight w:val="none"/>
              </w:rPr>
            </w:pPr>
          </w:p>
        </w:tc>
        <w:tc>
          <w:tcPr>
            <w:tcW w:w="1164" w:type="pct"/>
          </w:tcPr>
          <w:p>
            <w:pPr>
              <w:pStyle w:val="24"/>
              <w:ind w:right="102"/>
              <w:rPr>
                <w:rFonts w:hAnsi="宋体"/>
                <w:bCs/>
                <w:spacing w:val="-7"/>
                <w:w w:val="110"/>
                <w:position w:val="2"/>
                <w:highlight w:val="none"/>
              </w:rPr>
            </w:pPr>
            <w:r>
              <w:rPr>
                <w:rFonts w:hint="eastAsia" w:hAnsi="宋体"/>
                <w:bCs/>
                <w:spacing w:val="-14"/>
                <w:w w:val="105"/>
                <w:highlight w:val="none"/>
              </w:rPr>
              <w:t>六、对口支援</w:t>
            </w:r>
          </w:p>
        </w:tc>
        <w:tc>
          <w:tcPr>
            <w:tcW w:w="2735" w:type="pct"/>
          </w:tcPr>
          <w:p>
            <w:pPr>
              <w:pStyle w:val="24"/>
              <w:ind w:right="102"/>
              <w:rPr>
                <w:rFonts w:hAnsi="宋体"/>
                <w:bCs/>
                <w:spacing w:val="-6"/>
                <w:w w:val="110"/>
                <w:highlight w:val="none"/>
              </w:rPr>
            </w:pPr>
            <w:r>
              <w:rPr>
                <w:rFonts w:hint="eastAsia" w:hAnsi="宋体"/>
                <w:bCs/>
                <w:spacing w:val="-7"/>
                <w:w w:val="110"/>
                <w:position w:val="2"/>
                <w:highlight w:val="none"/>
              </w:rPr>
              <w:t>一、卫生技术人员支持基层工作</w:t>
            </w:r>
          </w:p>
          <w:p>
            <w:pPr>
              <w:pStyle w:val="24"/>
              <w:ind w:right="102"/>
              <w:rPr>
                <w:rFonts w:hAnsi="宋体"/>
                <w:bCs/>
                <w:spacing w:val="-6"/>
                <w:w w:val="110"/>
                <w:highlight w:val="none"/>
              </w:rPr>
            </w:pPr>
            <w:r>
              <w:rPr>
                <w:rFonts w:hint="eastAsia" w:hAnsi="宋体"/>
                <w:bCs/>
                <w:spacing w:val="-6"/>
                <w:w w:val="110"/>
                <w:highlight w:val="none"/>
              </w:rPr>
              <w:t>1.支持新增填报表单</w:t>
            </w:r>
          </w:p>
          <w:p>
            <w:pPr>
              <w:pStyle w:val="24"/>
              <w:ind w:right="102"/>
              <w:rPr>
                <w:rFonts w:hAnsi="宋体"/>
                <w:bCs/>
                <w:spacing w:val="-6"/>
                <w:w w:val="110"/>
                <w:highlight w:val="none"/>
              </w:rPr>
            </w:pPr>
            <w:r>
              <w:rPr>
                <w:rFonts w:hint="eastAsia" w:hAnsi="宋体"/>
                <w:bCs/>
                <w:spacing w:val="-6"/>
                <w:w w:val="110"/>
                <w:highlight w:val="none"/>
              </w:rPr>
              <w:t>2.支持编辑已填写表单</w:t>
            </w:r>
          </w:p>
          <w:p>
            <w:pPr>
              <w:pStyle w:val="24"/>
              <w:ind w:right="102"/>
              <w:rPr>
                <w:rFonts w:hAnsi="宋体"/>
                <w:bCs/>
                <w:spacing w:val="-6"/>
                <w:w w:val="110"/>
                <w:highlight w:val="none"/>
              </w:rPr>
            </w:pPr>
            <w:r>
              <w:rPr>
                <w:rFonts w:hint="eastAsia" w:hAnsi="宋体"/>
                <w:bCs/>
                <w:spacing w:val="-6"/>
                <w:w w:val="110"/>
                <w:highlight w:val="none"/>
              </w:rPr>
              <w:t>3.支持删除已填报表单</w:t>
            </w:r>
          </w:p>
          <w:p>
            <w:pPr>
              <w:pStyle w:val="24"/>
              <w:ind w:right="102"/>
              <w:rPr>
                <w:rFonts w:hAnsi="宋体"/>
                <w:bCs/>
                <w:spacing w:val="-6"/>
                <w:w w:val="110"/>
                <w:highlight w:val="none"/>
              </w:rPr>
            </w:pPr>
            <w:r>
              <w:rPr>
                <w:rFonts w:hint="eastAsia" w:hAnsi="宋体"/>
                <w:bCs/>
                <w:spacing w:val="-6"/>
                <w:w w:val="110"/>
                <w:highlight w:val="none"/>
              </w:rPr>
              <w:t>4.支持表单中上传相关佐证文件</w:t>
            </w:r>
          </w:p>
          <w:p>
            <w:pPr>
              <w:pStyle w:val="24"/>
              <w:ind w:right="102"/>
              <w:rPr>
                <w:rFonts w:hAnsi="宋体"/>
                <w:bCs/>
                <w:spacing w:val="-6"/>
                <w:w w:val="110"/>
                <w:highlight w:val="none"/>
              </w:rPr>
            </w:pPr>
            <w:r>
              <w:rPr>
                <w:rFonts w:hint="eastAsia" w:hAnsi="宋体"/>
                <w:bCs/>
                <w:spacing w:val="-7"/>
                <w:w w:val="110"/>
                <w:position w:val="2"/>
                <w:highlight w:val="none"/>
              </w:rPr>
              <w:t>二、对口支援工作量</w:t>
            </w:r>
          </w:p>
          <w:p>
            <w:pPr>
              <w:pStyle w:val="24"/>
              <w:ind w:right="102"/>
              <w:rPr>
                <w:rFonts w:hAnsi="宋体"/>
                <w:bCs/>
                <w:spacing w:val="-6"/>
                <w:w w:val="110"/>
                <w:highlight w:val="none"/>
              </w:rPr>
            </w:pPr>
            <w:r>
              <w:rPr>
                <w:rFonts w:hint="eastAsia" w:hAnsi="宋体"/>
                <w:bCs/>
                <w:spacing w:val="-6"/>
                <w:w w:val="110"/>
                <w:highlight w:val="none"/>
              </w:rPr>
              <w:t>1.支持新增填报表单</w:t>
            </w:r>
          </w:p>
          <w:p>
            <w:pPr>
              <w:pStyle w:val="24"/>
              <w:ind w:right="102"/>
              <w:rPr>
                <w:rFonts w:hAnsi="宋体"/>
                <w:bCs/>
                <w:spacing w:val="-6"/>
                <w:w w:val="110"/>
                <w:highlight w:val="none"/>
              </w:rPr>
            </w:pPr>
            <w:r>
              <w:rPr>
                <w:rFonts w:hint="eastAsia" w:hAnsi="宋体"/>
                <w:bCs/>
                <w:spacing w:val="-6"/>
                <w:w w:val="110"/>
                <w:highlight w:val="none"/>
              </w:rPr>
              <w:t>2.支持编辑已填写表单</w:t>
            </w:r>
          </w:p>
          <w:p>
            <w:pPr>
              <w:pStyle w:val="24"/>
              <w:ind w:right="102"/>
              <w:rPr>
                <w:rFonts w:hAnsi="宋体"/>
                <w:bCs/>
                <w:spacing w:val="-6"/>
                <w:w w:val="110"/>
                <w:highlight w:val="none"/>
              </w:rPr>
            </w:pPr>
            <w:r>
              <w:rPr>
                <w:rFonts w:hint="eastAsia" w:hAnsi="宋体"/>
                <w:bCs/>
                <w:spacing w:val="-6"/>
                <w:w w:val="110"/>
                <w:highlight w:val="none"/>
              </w:rPr>
              <w:t>3.支持删除已填报表单</w:t>
            </w:r>
          </w:p>
          <w:p>
            <w:pPr>
              <w:pStyle w:val="24"/>
              <w:ind w:right="102"/>
              <w:rPr>
                <w:rFonts w:hAnsi="宋体"/>
                <w:bCs/>
                <w:spacing w:val="-6"/>
                <w:w w:val="110"/>
                <w:highlight w:val="none"/>
              </w:rPr>
            </w:pPr>
            <w:r>
              <w:rPr>
                <w:rFonts w:hint="eastAsia" w:hAnsi="宋体"/>
                <w:bCs/>
                <w:spacing w:val="-7"/>
                <w:w w:val="110"/>
                <w:position w:val="2"/>
                <w:highlight w:val="none"/>
              </w:rPr>
              <w:t>三、支援工作计划</w:t>
            </w:r>
          </w:p>
          <w:p>
            <w:pPr>
              <w:pStyle w:val="24"/>
              <w:ind w:right="102"/>
              <w:rPr>
                <w:rFonts w:hAnsi="宋体"/>
                <w:bCs/>
                <w:spacing w:val="-6"/>
                <w:w w:val="110"/>
                <w:highlight w:val="none"/>
              </w:rPr>
            </w:pPr>
            <w:r>
              <w:rPr>
                <w:rFonts w:hint="eastAsia" w:hAnsi="宋体"/>
                <w:bCs/>
                <w:spacing w:val="-6"/>
                <w:w w:val="110"/>
                <w:highlight w:val="none"/>
              </w:rPr>
              <w:t>1.支持新增填报表单</w:t>
            </w:r>
          </w:p>
          <w:p>
            <w:pPr>
              <w:pStyle w:val="24"/>
              <w:ind w:right="102"/>
              <w:rPr>
                <w:rFonts w:hAnsi="宋体"/>
                <w:bCs/>
                <w:spacing w:val="-6"/>
                <w:w w:val="110"/>
                <w:highlight w:val="none"/>
              </w:rPr>
            </w:pPr>
            <w:r>
              <w:rPr>
                <w:rFonts w:hint="eastAsia" w:hAnsi="宋体"/>
                <w:bCs/>
                <w:spacing w:val="-6"/>
                <w:w w:val="110"/>
                <w:highlight w:val="none"/>
              </w:rPr>
              <w:t>2.支持编辑已填写表单</w:t>
            </w:r>
          </w:p>
          <w:p>
            <w:pPr>
              <w:pStyle w:val="24"/>
              <w:ind w:right="102"/>
              <w:rPr>
                <w:rFonts w:hAnsi="宋体"/>
                <w:bCs/>
                <w:spacing w:val="-6"/>
                <w:w w:val="110"/>
                <w:highlight w:val="none"/>
              </w:rPr>
            </w:pPr>
            <w:r>
              <w:rPr>
                <w:rFonts w:hint="eastAsia" w:hAnsi="宋体"/>
                <w:bCs/>
                <w:spacing w:val="-6"/>
                <w:w w:val="110"/>
                <w:highlight w:val="none"/>
              </w:rPr>
              <w:t>3.支持删除已填报表单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pStyle w:val="24"/>
              <w:ind w:right="102"/>
              <w:rPr>
                <w:rFonts w:hAnsi="宋体"/>
                <w:b/>
                <w:bCs/>
                <w:w w:val="105"/>
                <w:highlight w:val="none"/>
              </w:rPr>
            </w:pPr>
          </w:p>
        </w:tc>
        <w:tc>
          <w:tcPr>
            <w:tcW w:w="662" w:type="pct"/>
            <w:vMerge w:val="continue"/>
          </w:tcPr>
          <w:p>
            <w:pPr>
              <w:pStyle w:val="24"/>
              <w:ind w:right="102"/>
              <w:rPr>
                <w:rFonts w:hAnsi="宋体"/>
                <w:b/>
                <w:bCs/>
                <w:spacing w:val="-14"/>
                <w:w w:val="105"/>
                <w:highlight w:val="none"/>
              </w:rPr>
            </w:pPr>
          </w:p>
        </w:tc>
        <w:tc>
          <w:tcPr>
            <w:tcW w:w="1164" w:type="pct"/>
          </w:tcPr>
          <w:p>
            <w:pPr>
              <w:pStyle w:val="24"/>
              <w:ind w:right="102"/>
              <w:rPr>
                <w:rFonts w:hAnsi="宋体"/>
                <w:bCs/>
                <w:spacing w:val="-7"/>
                <w:w w:val="110"/>
                <w:position w:val="2"/>
                <w:highlight w:val="none"/>
              </w:rPr>
            </w:pPr>
            <w:r>
              <w:rPr>
                <w:rFonts w:hint="eastAsia" w:hAnsi="宋体"/>
                <w:bCs/>
                <w:spacing w:val="-14"/>
                <w:w w:val="105"/>
                <w:highlight w:val="none"/>
              </w:rPr>
              <w:t>七、入职、离职登记</w:t>
            </w:r>
          </w:p>
        </w:tc>
        <w:tc>
          <w:tcPr>
            <w:tcW w:w="2735" w:type="pct"/>
          </w:tcPr>
          <w:p>
            <w:pPr>
              <w:pStyle w:val="24"/>
              <w:ind w:right="102"/>
              <w:rPr>
                <w:rFonts w:hAnsi="宋体"/>
                <w:bCs/>
                <w:spacing w:val="-6"/>
                <w:w w:val="110"/>
                <w:highlight w:val="none"/>
              </w:rPr>
            </w:pPr>
            <w:r>
              <w:rPr>
                <w:rFonts w:hint="eastAsia" w:hAnsi="宋体"/>
                <w:bCs/>
                <w:spacing w:val="-7"/>
                <w:w w:val="110"/>
                <w:position w:val="2"/>
                <w:highlight w:val="none"/>
              </w:rPr>
              <w:t>一、入职登记</w:t>
            </w:r>
          </w:p>
          <w:p>
            <w:pPr>
              <w:pStyle w:val="24"/>
              <w:ind w:right="102"/>
              <w:rPr>
                <w:rFonts w:hAnsi="宋体"/>
                <w:bCs/>
                <w:spacing w:val="-6"/>
                <w:w w:val="110"/>
                <w:highlight w:val="none"/>
              </w:rPr>
            </w:pPr>
            <w:r>
              <w:rPr>
                <w:rFonts w:hint="eastAsia" w:hAnsi="宋体"/>
                <w:bCs/>
                <w:spacing w:val="-6"/>
                <w:w w:val="110"/>
                <w:highlight w:val="none"/>
              </w:rPr>
              <w:t>1.支持新增填报表单</w:t>
            </w:r>
          </w:p>
          <w:p>
            <w:pPr>
              <w:pStyle w:val="24"/>
              <w:ind w:right="102"/>
              <w:rPr>
                <w:rFonts w:hAnsi="宋体"/>
                <w:bCs/>
                <w:spacing w:val="-6"/>
                <w:w w:val="110"/>
                <w:highlight w:val="none"/>
              </w:rPr>
            </w:pPr>
            <w:r>
              <w:rPr>
                <w:rFonts w:hint="eastAsia" w:hAnsi="宋体"/>
                <w:bCs/>
                <w:spacing w:val="-6"/>
                <w:w w:val="110"/>
                <w:highlight w:val="none"/>
              </w:rPr>
              <w:t>2.支持编辑已填写表单</w:t>
            </w:r>
          </w:p>
          <w:p>
            <w:pPr>
              <w:pStyle w:val="24"/>
              <w:ind w:right="102"/>
              <w:rPr>
                <w:rFonts w:hAnsi="宋体"/>
                <w:bCs/>
                <w:spacing w:val="-6"/>
                <w:w w:val="110"/>
                <w:highlight w:val="none"/>
              </w:rPr>
            </w:pPr>
            <w:r>
              <w:rPr>
                <w:rFonts w:hint="eastAsia" w:hAnsi="宋体"/>
                <w:bCs/>
                <w:spacing w:val="-6"/>
                <w:w w:val="110"/>
                <w:highlight w:val="none"/>
              </w:rPr>
              <w:t>3.支持删除已填报表单</w:t>
            </w:r>
          </w:p>
          <w:p>
            <w:pPr>
              <w:pStyle w:val="24"/>
              <w:ind w:right="102"/>
              <w:rPr>
                <w:rFonts w:hAnsi="宋体"/>
                <w:bCs/>
                <w:spacing w:val="-6"/>
                <w:w w:val="110"/>
                <w:highlight w:val="none"/>
              </w:rPr>
            </w:pPr>
            <w:r>
              <w:rPr>
                <w:rFonts w:hint="eastAsia" w:hAnsi="宋体"/>
                <w:bCs/>
                <w:spacing w:val="-7"/>
                <w:w w:val="110"/>
                <w:position w:val="2"/>
                <w:highlight w:val="none"/>
              </w:rPr>
              <w:t>二、离职登记</w:t>
            </w:r>
          </w:p>
          <w:p>
            <w:pPr>
              <w:pStyle w:val="24"/>
              <w:ind w:right="102"/>
              <w:rPr>
                <w:rFonts w:hAnsi="宋体"/>
                <w:bCs/>
                <w:spacing w:val="-6"/>
                <w:w w:val="110"/>
                <w:highlight w:val="none"/>
              </w:rPr>
            </w:pPr>
            <w:r>
              <w:rPr>
                <w:rFonts w:hint="eastAsia" w:hAnsi="宋体"/>
                <w:bCs/>
                <w:spacing w:val="-6"/>
                <w:w w:val="110"/>
                <w:highlight w:val="none"/>
              </w:rPr>
              <w:t>1.支持新增填报表单</w:t>
            </w:r>
          </w:p>
          <w:p>
            <w:pPr>
              <w:pStyle w:val="24"/>
              <w:ind w:right="102"/>
              <w:rPr>
                <w:rFonts w:hAnsi="宋体"/>
                <w:bCs/>
                <w:spacing w:val="-6"/>
                <w:w w:val="110"/>
                <w:highlight w:val="none"/>
              </w:rPr>
            </w:pPr>
            <w:r>
              <w:rPr>
                <w:rFonts w:hint="eastAsia" w:hAnsi="宋体"/>
                <w:bCs/>
                <w:spacing w:val="-6"/>
                <w:w w:val="110"/>
                <w:highlight w:val="none"/>
              </w:rPr>
              <w:t>2.支持编辑已填写表单</w:t>
            </w:r>
          </w:p>
          <w:p>
            <w:pPr>
              <w:pStyle w:val="24"/>
              <w:ind w:right="102"/>
              <w:rPr>
                <w:rFonts w:hAnsi="宋体"/>
                <w:bCs/>
                <w:spacing w:val="-6"/>
                <w:w w:val="110"/>
                <w:highlight w:val="none"/>
              </w:rPr>
            </w:pPr>
            <w:r>
              <w:rPr>
                <w:rFonts w:hint="eastAsia" w:hAnsi="宋体"/>
                <w:bCs/>
                <w:spacing w:val="-6"/>
                <w:w w:val="110"/>
                <w:highlight w:val="none"/>
              </w:rPr>
              <w:t>3.支持删除已填报表单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restart"/>
          </w:tcPr>
          <w:p>
            <w:pPr>
              <w:rPr>
                <w:rFonts w:ascii="宋体" w:hAnsi="宋体"/>
                <w:b/>
                <w:bCs/>
                <w:sz w:val="24"/>
                <w:highlight w:val="none"/>
              </w:rPr>
            </w:pPr>
          </w:p>
        </w:tc>
        <w:tc>
          <w:tcPr>
            <w:tcW w:w="662" w:type="pct"/>
            <w:vMerge w:val="restart"/>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八、专科建设管理</w:t>
            </w:r>
          </w:p>
        </w:tc>
        <w:tc>
          <w:tcPr>
            <w:tcW w:w="2735" w:type="pct"/>
          </w:tcPr>
          <w:p>
            <w:pPr>
              <w:rPr>
                <w:rFonts w:ascii="宋体" w:hAnsi="宋体"/>
                <w:sz w:val="24"/>
                <w:highlight w:val="none"/>
              </w:rPr>
            </w:pPr>
            <w:r>
              <w:rPr>
                <w:rFonts w:hint="eastAsia" w:ascii="宋体" w:hAnsi="宋体"/>
                <w:sz w:val="24"/>
                <w:highlight w:val="none"/>
              </w:rPr>
              <w:t>专科建设设置</w:t>
            </w:r>
          </w:p>
          <w:p>
            <w:pPr>
              <w:rPr>
                <w:rFonts w:ascii="宋体" w:hAnsi="宋体"/>
                <w:sz w:val="24"/>
                <w:highlight w:val="none"/>
              </w:rPr>
            </w:pPr>
            <w:r>
              <w:rPr>
                <w:rFonts w:hint="eastAsia" w:ascii="宋体" w:hAnsi="宋体"/>
                <w:sz w:val="24"/>
                <w:highlight w:val="none"/>
              </w:rPr>
              <w:t>1、考核项目</w:t>
            </w:r>
          </w:p>
          <w:p>
            <w:pPr>
              <w:pStyle w:val="267"/>
              <w:numPr>
                <w:ilvl w:val="0"/>
                <w:numId w:val="91"/>
              </w:numPr>
              <w:spacing w:after="120" w:line="276" w:lineRule="auto"/>
              <w:ind w:left="420" w:firstLine="480"/>
              <w:rPr>
                <w:rFonts w:ascii="宋体" w:hAnsi="宋体"/>
                <w:highlight w:val="none"/>
              </w:rPr>
            </w:pPr>
            <w:r>
              <w:rPr>
                <w:rFonts w:hint="eastAsia" w:ascii="宋体" w:hAnsi="宋体"/>
                <w:highlight w:val="none"/>
              </w:rPr>
              <w:t>支持新增考核项目</w:t>
            </w:r>
          </w:p>
          <w:p>
            <w:pPr>
              <w:pStyle w:val="267"/>
              <w:numPr>
                <w:ilvl w:val="0"/>
                <w:numId w:val="91"/>
              </w:numPr>
              <w:spacing w:after="120" w:line="276" w:lineRule="auto"/>
              <w:ind w:left="420" w:firstLine="480"/>
              <w:rPr>
                <w:rFonts w:ascii="宋体" w:hAnsi="宋体"/>
                <w:highlight w:val="none"/>
              </w:rPr>
            </w:pPr>
            <w:r>
              <w:rPr>
                <w:rFonts w:hint="eastAsia" w:ascii="宋体" w:hAnsi="宋体"/>
                <w:highlight w:val="none"/>
              </w:rPr>
              <w:t>支持删除考核项目</w:t>
            </w:r>
          </w:p>
          <w:p>
            <w:pPr>
              <w:pStyle w:val="267"/>
              <w:numPr>
                <w:ilvl w:val="0"/>
                <w:numId w:val="91"/>
              </w:numPr>
              <w:spacing w:after="120" w:line="276" w:lineRule="auto"/>
              <w:ind w:left="420" w:firstLine="480"/>
              <w:rPr>
                <w:rFonts w:ascii="宋体" w:hAnsi="宋体"/>
                <w:highlight w:val="none"/>
              </w:rPr>
            </w:pPr>
            <w:r>
              <w:rPr>
                <w:rFonts w:hint="eastAsia" w:ascii="宋体" w:hAnsi="宋体"/>
                <w:highlight w:val="none"/>
              </w:rPr>
              <w:t>支持编辑考核项目</w:t>
            </w:r>
          </w:p>
          <w:p>
            <w:pPr>
              <w:pStyle w:val="267"/>
              <w:numPr>
                <w:ilvl w:val="0"/>
                <w:numId w:val="92"/>
              </w:numPr>
              <w:spacing w:after="120" w:line="276" w:lineRule="auto"/>
              <w:ind w:firstLineChars="0"/>
              <w:rPr>
                <w:rFonts w:ascii="宋体" w:hAnsi="宋体"/>
                <w:highlight w:val="none"/>
              </w:rPr>
            </w:pPr>
            <w:r>
              <w:rPr>
                <w:rFonts w:hint="eastAsia" w:ascii="宋体" w:hAnsi="宋体"/>
                <w:highlight w:val="none"/>
              </w:rPr>
              <w:t>一级指标</w:t>
            </w:r>
          </w:p>
          <w:p>
            <w:pPr>
              <w:pStyle w:val="267"/>
              <w:numPr>
                <w:ilvl w:val="0"/>
                <w:numId w:val="93"/>
              </w:numPr>
              <w:spacing w:after="120" w:line="276" w:lineRule="auto"/>
              <w:ind w:left="425" w:firstLine="480"/>
              <w:rPr>
                <w:rFonts w:ascii="宋体" w:hAnsi="宋体"/>
                <w:highlight w:val="none"/>
              </w:rPr>
            </w:pPr>
            <w:r>
              <w:rPr>
                <w:rFonts w:hint="eastAsia" w:ascii="宋体" w:hAnsi="宋体"/>
                <w:highlight w:val="none"/>
              </w:rPr>
              <w:t>支持对考核项目新增一级指标内容</w:t>
            </w:r>
          </w:p>
          <w:p>
            <w:pPr>
              <w:pStyle w:val="267"/>
              <w:numPr>
                <w:ilvl w:val="0"/>
                <w:numId w:val="93"/>
              </w:numPr>
              <w:spacing w:after="120" w:line="276" w:lineRule="auto"/>
              <w:ind w:left="425" w:firstLine="480"/>
              <w:rPr>
                <w:rFonts w:ascii="宋体" w:hAnsi="宋体"/>
                <w:highlight w:val="none"/>
              </w:rPr>
            </w:pPr>
            <w:r>
              <w:rPr>
                <w:rFonts w:hint="eastAsia" w:ascii="宋体" w:hAnsi="宋体"/>
                <w:highlight w:val="none"/>
              </w:rPr>
              <w:t>支持编辑指标内容</w:t>
            </w:r>
          </w:p>
          <w:p>
            <w:pPr>
              <w:pStyle w:val="267"/>
              <w:numPr>
                <w:ilvl w:val="0"/>
                <w:numId w:val="93"/>
              </w:numPr>
              <w:spacing w:after="120" w:line="276" w:lineRule="auto"/>
              <w:ind w:left="425" w:firstLine="480"/>
              <w:rPr>
                <w:rFonts w:ascii="宋体" w:hAnsi="宋体"/>
                <w:highlight w:val="none"/>
              </w:rPr>
            </w:pPr>
            <w:r>
              <w:rPr>
                <w:rFonts w:hint="eastAsia" w:ascii="宋体" w:hAnsi="宋体"/>
                <w:highlight w:val="none"/>
              </w:rPr>
              <w:t>支持删除指标内容</w:t>
            </w:r>
          </w:p>
          <w:p>
            <w:pPr>
              <w:pStyle w:val="267"/>
              <w:numPr>
                <w:ilvl w:val="0"/>
                <w:numId w:val="92"/>
              </w:numPr>
              <w:spacing w:after="120" w:line="276" w:lineRule="auto"/>
              <w:ind w:firstLineChars="0"/>
              <w:rPr>
                <w:rFonts w:ascii="宋体" w:hAnsi="宋体"/>
                <w:highlight w:val="none"/>
              </w:rPr>
            </w:pPr>
            <w:r>
              <w:rPr>
                <w:rFonts w:hint="eastAsia" w:ascii="宋体" w:hAnsi="宋体"/>
                <w:highlight w:val="none"/>
              </w:rPr>
              <w:t>二级指标</w:t>
            </w:r>
          </w:p>
          <w:p>
            <w:pPr>
              <w:pStyle w:val="267"/>
              <w:numPr>
                <w:ilvl w:val="0"/>
                <w:numId w:val="94"/>
              </w:numPr>
              <w:spacing w:after="120" w:line="276" w:lineRule="auto"/>
              <w:ind w:left="900" w:firstLine="480"/>
              <w:rPr>
                <w:rFonts w:ascii="宋体" w:hAnsi="宋体"/>
                <w:highlight w:val="none"/>
              </w:rPr>
            </w:pPr>
            <w:r>
              <w:rPr>
                <w:rFonts w:hint="eastAsia" w:ascii="宋体" w:hAnsi="宋体"/>
                <w:highlight w:val="none"/>
              </w:rPr>
              <w:t>支持对一级指标新增二级指标内容</w:t>
            </w:r>
          </w:p>
          <w:p>
            <w:pPr>
              <w:numPr>
                <w:ilvl w:val="1"/>
                <w:numId w:val="92"/>
              </w:numPr>
              <w:tabs>
                <w:tab w:val="left" w:pos="312"/>
              </w:tabs>
              <w:spacing w:after="120" w:line="276" w:lineRule="auto"/>
              <w:rPr>
                <w:rFonts w:ascii="宋体" w:hAnsi="宋体"/>
                <w:sz w:val="24"/>
                <w:highlight w:val="none"/>
              </w:rPr>
            </w:pPr>
            <w:r>
              <w:rPr>
                <w:rFonts w:hint="eastAsia" w:ascii="宋体" w:hAnsi="宋体"/>
                <w:sz w:val="24"/>
                <w:highlight w:val="none"/>
              </w:rPr>
              <w:t>支持编辑指标内容</w:t>
            </w:r>
          </w:p>
          <w:p>
            <w:pPr>
              <w:ind w:firstLine="480" w:firstLineChars="200"/>
              <w:rPr>
                <w:rFonts w:ascii="宋体" w:hAnsi="宋体"/>
                <w:sz w:val="24"/>
                <w:highlight w:val="none"/>
              </w:rPr>
            </w:pPr>
            <w:r>
              <w:rPr>
                <w:rFonts w:hint="eastAsia" w:ascii="宋体" w:hAnsi="宋体"/>
                <w:sz w:val="24"/>
                <w:highlight w:val="none"/>
              </w:rPr>
              <w:t>C、支持删除指标内容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p>
        </w:tc>
        <w:tc>
          <w:tcPr>
            <w:tcW w:w="2735" w:type="pct"/>
          </w:tcPr>
          <w:p>
            <w:pPr>
              <w:rPr>
                <w:rFonts w:ascii="宋体" w:hAnsi="宋体"/>
                <w:sz w:val="24"/>
                <w:highlight w:val="none"/>
              </w:rPr>
            </w:pPr>
            <w:r>
              <w:rPr>
                <w:rFonts w:hint="eastAsia" w:ascii="宋体" w:hAnsi="宋体"/>
                <w:sz w:val="24"/>
                <w:highlight w:val="none"/>
              </w:rPr>
              <w:t>专科科室关联</w:t>
            </w:r>
          </w:p>
          <w:p>
            <w:pPr>
              <w:numPr>
                <w:ilvl w:val="0"/>
                <w:numId w:val="95"/>
              </w:numPr>
              <w:spacing w:after="120" w:line="276" w:lineRule="auto"/>
              <w:ind w:hanging="420"/>
              <w:rPr>
                <w:rFonts w:ascii="宋体" w:hAnsi="宋体"/>
                <w:sz w:val="24"/>
                <w:highlight w:val="none"/>
              </w:rPr>
            </w:pPr>
            <w:r>
              <w:rPr>
                <w:rFonts w:hint="eastAsia" w:ascii="宋体" w:hAnsi="宋体"/>
                <w:sz w:val="24"/>
                <w:highlight w:val="none"/>
              </w:rPr>
              <w:t>专科名称</w:t>
            </w:r>
          </w:p>
          <w:p>
            <w:pPr>
              <w:numPr>
                <w:ilvl w:val="0"/>
                <w:numId w:val="96"/>
              </w:numPr>
              <w:spacing w:after="120" w:line="276" w:lineRule="auto"/>
              <w:ind w:hanging="420"/>
              <w:rPr>
                <w:rFonts w:ascii="宋体" w:hAnsi="宋体"/>
                <w:sz w:val="24"/>
                <w:highlight w:val="none"/>
              </w:rPr>
            </w:pPr>
            <w:r>
              <w:rPr>
                <w:rFonts w:hint="eastAsia" w:ascii="宋体" w:hAnsi="宋体"/>
                <w:sz w:val="24"/>
                <w:highlight w:val="none"/>
              </w:rPr>
              <w:t>支持新增专科名称</w:t>
            </w:r>
          </w:p>
          <w:p>
            <w:pPr>
              <w:numPr>
                <w:ilvl w:val="0"/>
                <w:numId w:val="96"/>
              </w:numPr>
              <w:spacing w:after="120" w:line="276" w:lineRule="auto"/>
              <w:ind w:hanging="420"/>
              <w:rPr>
                <w:rFonts w:ascii="宋体" w:hAnsi="宋体"/>
                <w:sz w:val="24"/>
                <w:highlight w:val="none"/>
              </w:rPr>
            </w:pPr>
            <w:r>
              <w:rPr>
                <w:rFonts w:hint="eastAsia" w:ascii="宋体" w:hAnsi="宋体"/>
                <w:sz w:val="24"/>
                <w:highlight w:val="none"/>
              </w:rPr>
              <w:t>支持删除专科名称</w:t>
            </w:r>
          </w:p>
          <w:p>
            <w:pPr>
              <w:numPr>
                <w:ilvl w:val="0"/>
                <w:numId w:val="96"/>
              </w:numPr>
              <w:spacing w:after="120" w:line="276" w:lineRule="auto"/>
              <w:ind w:hanging="420"/>
              <w:rPr>
                <w:rFonts w:ascii="宋体" w:hAnsi="宋体"/>
                <w:sz w:val="24"/>
                <w:highlight w:val="none"/>
              </w:rPr>
            </w:pPr>
            <w:r>
              <w:rPr>
                <w:rFonts w:hint="eastAsia" w:ascii="宋体" w:hAnsi="宋体"/>
                <w:sz w:val="24"/>
                <w:highlight w:val="none"/>
              </w:rPr>
              <w:t>支持删除专科名称</w:t>
            </w:r>
          </w:p>
          <w:p>
            <w:pPr>
              <w:numPr>
                <w:ilvl w:val="0"/>
                <w:numId w:val="95"/>
              </w:numPr>
              <w:spacing w:after="120" w:line="276" w:lineRule="auto"/>
              <w:ind w:hanging="420"/>
              <w:rPr>
                <w:rFonts w:ascii="宋体" w:hAnsi="宋体"/>
                <w:sz w:val="24"/>
                <w:highlight w:val="none"/>
              </w:rPr>
            </w:pPr>
            <w:r>
              <w:rPr>
                <w:rFonts w:hint="eastAsia" w:ascii="宋体" w:hAnsi="宋体"/>
                <w:sz w:val="24"/>
                <w:highlight w:val="none"/>
              </w:rPr>
              <w:t>关联科室</w:t>
            </w:r>
          </w:p>
          <w:p>
            <w:pPr>
              <w:numPr>
                <w:ilvl w:val="0"/>
                <w:numId w:val="97"/>
              </w:numPr>
              <w:spacing w:after="120" w:line="276" w:lineRule="auto"/>
              <w:ind w:hanging="420"/>
              <w:rPr>
                <w:rFonts w:ascii="宋体" w:hAnsi="宋体"/>
                <w:sz w:val="24"/>
                <w:highlight w:val="none"/>
              </w:rPr>
            </w:pPr>
            <w:r>
              <w:rPr>
                <w:rFonts w:hint="eastAsia" w:ascii="宋体" w:hAnsi="宋体"/>
                <w:sz w:val="24"/>
                <w:highlight w:val="none"/>
              </w:rPr>
              <w:t>支持设置专科名称应对的管理科室</w:t>
            </w:r>
          </w:p>
          <w:p>
            <w:pPr>
              <w:numPr>
                <w:ilvl w:val="0"/>
                <w:numId w:val="97"/>
              </w:numPr>
              <w:spacing w:after="120" w:line="276" w:lineRule="auto"/>
              <w:ind w:hanging="420"/>
              <w:rPr>
                <w:rFonts w:ascii="宋体" w:hAnsi="宋体"/>
                <w:sz w:val="24"/>
                <w:highlight w:val="none"/>
              </w:rPr>
            </w:pPr>
            <w:r>
              <w:rPr>
                <w:rFonts w:hint="eastAsia" w:ascii="宋体" w:hAnsi="宋体"/>
                <w:sz w:val="24"/>
                <w:highlight w:val="none"/>
              </w:rPr>
              <w:t>支持设置取消专科名称下的管理科室</w:t>
            </w:r>
          </w:p>
          <w:p>
            <w:pPr>
              <w:numPr>
                <w:ilvl w:val="0"/>
                <w:numId w:val="95"/>
              </w:numPr>
              <w:spacing w:after="120" w:line="276" w:lineRule="auto"/>
              <w:ind w:hanging="420"/>
              <w:rPr>
                <w:rFonts w:ascii="宋体" w:hAnsi="宋体"/>
                <w:sz w:val="24"/>
                <w:highlight w:val="none"/>
              </w:rPr>
            </w:pPr>
            <w:r>
              <w:rPr>
                <w:rFonts w:hint="eastAsia" w:ascii="宋体" w:hAnsi="宋体"/>
                <w:sz w:val="24"/>
                <w:highlight w:val="none"/>
              </w:rPr>
              <w:t>考核内容</w:t>
            </w:r>
          </w:p>
          <w:p>
            <w:pPr>
              <w:rPr>
                <w:rFonts w:ascii="宋体" w:hAnsi="宋体"/>
                <w:sz w:val="24"/>
                <w:highlight w:val="none"/>
              </w:rPr>
            </w:pPr>
            <w:r>
              <w:rPr>
                <w:rFonts w:hint="eastAsia" w:ascii="宋体" w:hAnsi="宋体"/>
                <w:sz w:val="24"/>
                <w:highlight w:val="none"/>
              </w:rPr>
              <w:t>支持设置专科的考核内容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p>
        </w:tc>
        <w:tc>
          <w:tcPr>
            <w:tcW w:w="2735" w:type="pct"/>
          </w:tcPr>
          <w:p>
            <w:pPr>
              <w:tabs>
                <w:tab w:val="left" w:pos="312"/>
              </w:tabs>
              <w:rPr>
                <w:rFonts w:ascii="宋体" w:hAnsi="宋体"/>
                <w:sz w:val="24"/>
                <w:highlight w:val="none"/>
              </w:rPr>
            </w:pPr>
            <w:r>
              <w:rPr>
                <w:rFonts w:hint="eastAsia" w:ascii="宋体" w:hAnsi="宋体"/>
                <w:sz w:val="24"/>
                <w:highlight w:val="none"/>
              </w:rPr>
              <w:t>重点专科评审</w:t>
            </w:r>
          </w:p>
          <w:p>
            <w:pPr>
              <w:pStyle w:val="267"/>
              <w:numPr>
                <w:ilvl w:val="0"/>
                <w:numId w:val="98"/>
              </w:numPr>
              <w:spacing w:after="120" w:line="276" w:lineRule="auto"/>
              <w:ind w:left="1549" w:firstLine="480"/>
              <w:rPr>
                <w:rFonts w:ascii="宋体" w:hAnsi="宋体"/>
                <w:highlight w:val="none"/>
              </w:rPr>
            </w:pPr>
            <w:r>
              <w:rPr>
                <w:rFonts w:hint="eastAsia" w:ascii="宋体" w:hAnsi="宋体"/>
                <w:highlight w:val="none"/>
              </w:rPr>
              <w:t>支持所管理的科室进行按季度进行自评打分</w:t>
            </w:r>
          </w:p>
          <w:p>
            <w:pPr>
              <w:pStyle w:val="267"/>
              <w:numPr>
                <w:ilvl w:val="0"/>
                <w:numId w:val="98"/>
              </w:numPr>
              <w:spacing w:after="120" w:line="276" w:lineRule="auto"/>
              <w:ind w:left="1549" w:firstLine="480"/>
              <w:rPr>
                <w:rFonts w:ascii="宋体" w:hAnsi="宋体"/>
                <w:highlight w:val="none"/>
              </w:rPr>
            </w:pPr>
            <w:r>
              <w:rPr>
                <w:rFonts w:hint="eastAsia" w:ascii="宋体" w:hAnsi="宋体"/>
                <w:highlight w:val="none"/>
              </w:rPr>
              <w:t>支持填写扣分原因</w:t>
            </w:r>
          </w:p>
          <w:p>
            <w:pPr>
              <w:pStyle w:val="267"/>
              <w:numPr>
                <w:ilvl w:val="0"/>
                <w:numId w:val="98"/>
              </w:numPr>
              <w:spacing w:after="120" w:line="276" w:lineRule="auto"/>
              <w:ind w:left="1549" w:firstLine="480"/>
              <w:rPr>
                <w:rFonts w:ascii="宋体" w:hAnsi="宋体"/>
                <w:highlight w:val="none"/>
              </w:rPr>
            </w:pPr>
            <w:r>
              <w:rPr>
                <w:rFonts w:hint="eastAsia" w:ascii="宋体" w:hAnsi="宋体"/>
                <w:highlight w:val="none"/>
              </w:rPr>
              <w:t>支持上传佐证材料</w:t>
            </w:r>
          </w:p>
          <w:p>
            <w:pPr>
              <w:ind w:firstLine="240" w:firstLineChars="100"/>
              <w:rPr>
                <w:rFonts w:ascii="宋体" w:hAnsi="宋体"/>
                <w:sz w:val="24"/>
                <w:highlight w:val="none"/>
              </w:rPr>
            </w:pPr>
            <w:r>
              <w:rPr>
                <w:rFonts w:hint="eastAsia" w:ascii="宋体" w:hAnsi="宋体"/>
                <w:sz w:val="24"/>
                <w:highlight w:val="none"/>
              </w:rPr>
              <w:t>支持完成填写后保存数据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p>
        </w:tc>
        <w:tc>
          <w:tcPr>
            <w:tcW w:w="2735" w:type="pct"/>
          </w:tcPr>
          <w:p>
            <w:pPr>
              <w:pStyle w:val="267"/>
              <w:ind w:left="440" w:firstLine="480"/>
              <w:rPr>
                <w:rFonts w:ascii="宋体" w:hAnsi="宋体"/>
                <w:highlight w:val="none"/>
              </w:rPr>
            </w:pPr>
            <w:r>
              <w:rPr>
                <w:rFonts w:hint="eastAsia" w:ascii="宋体" w:hAnsi="宋体"/>
                <w:highlight w:val="none"/>
              </w:rPr>
              <w:t>专科评审（职能部门</w:t>
            </w:r>
          </w:p>
          <w:p>
            <w:pPr>
              <w:pStyle w:val="267"/>
              <w:numPr>
                <w:ilvl w:val="0"/>
                <w:numId w:val="99"/>
              </w:numPr>
              <w:spacing w:after="120" w:line="276" w:lineRule="auto"/>
              <w:ind w:left="840" w:firstLine="480"/>
              <w:rPr>
                <w:rFonts w:ascii="宋体" w:hAnsi="宋体"/>
                <w:highlight w:val="none"/>
              </w:rPr>
            </w:pPr>
            <w:r>
              <w:rPr>
                <w:rFonts w:hint="eastAsia" w:ascii="宋体" w:hAnsi="宋体"/>
                <w:highlight w:val="none"/>
              </w:rPr>
              <w:t>支持查看各专科科室保存上传的数据</w:t>
            </w:r>
          </w:p>
          <w:p>
            <w:pPr>
              <w:pStyle w:val="267"/>
              <w:numPr>
                <w:ilvl w:val="0"/>
                <w:numId w:val="99"/>
              </w:numPr>
              <w:spacing w:after="120" w:line="276" w:lineRule="auto"/>
              <w:ind w:left="840" w:firstLine="480"/>
              <w:rPr>
                <w:rFonts w:ascii="宋体" w:hAnsi="宋体"/>
                <w:highlight w:val="none"/>
              </w:rPr>
            </w:pPr>
            <w:r>
              <w:rPr>
                <w:rFonts w:hint="eastAsia" w:ascii="宋体" w:hAnsi="宋体"/>
                <w:highlight w:val="none"/>
              </w:rPr>
              <w:t>支持导出EXCEL格式文件</w:t>
            </w:r>
          </w:p>
          <w:p>
            <w:pPr>
              <w:pStyle w:val="267"/>
              <w:numPr>
                <w:ilvl w:val="0"/>
                <w:numId w:val="99"/>
              </w:numPr>
              <w:spacing w:after="120" w:line="276" w:lineRule="auto"/>
              <w:ind w:left="840" w:firstLine="480"/>
              <w:rPr>
                <w:rFonts w:ascii="宋体" w:hAnsi="宋体"/>
                <w:highlight w:val="none"/>
              </w:rPr>
            </w:pPr>
            <w:r>
              <w:rPr>
                <w:rFonts w:hint="eastAsia" w:ascii="宋体" w:hAnsi="宋体"/>
                <w:highlight w:val="none"/>
              </w:rPr>
              <w:t>支持点击查看并填写实际得分</w:t>
            </w:r>
          </w:p>
          <w:p>
            <w:pPr>
              <w:rPr>
                <w:rFonts w:ascii="宋体" w:hAnsi="宋体"/>
                <w:sz w:val="24"/>
                <w:highlight w:val="none"/>
              </w:rPr>
            </w:pPr>
            <w:r>
              <w:rPr>
                <w:rFonts w:hint="eastAsia" w:ascii="宋体" w:hAnsi="宋体"/>
                <w:sz w:val="24"/>
                <w:highlight w:val="none"/>
              </w:rPr>
              <w:t>支持下载佐证材料中的文件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p>
        </w:tc>
        <w:tc>
          <w:tcPr>
            <w:tcW w:w="2735" w:type="pct"/>
          </w:tcPr>
          <w:p>
            <w:pPr>
              <w:rPr>
                <w:rFonts w:ascii="宋体" w:hAnsi="宋体"/>
                <w:sz w:val="24"/>
                <w:highlight w:val="none"/>
              </w:rPr>
            </w:pPr>
            <w:r>
              <w:rPr>
                <w:rFonts w:hint="eastAsia" w:ascii="宋体" w:hAnsi="宋体"/>
                <w:sz w:val="24"/>
                <w:highlight w:val="none"/>
              </w:rPr>
              <w:t>专科自评汇总</w:t>
            </w:r>
          </w:p>
          <w:p>
            <w:pPr>
              <w:pStyle w:val="267"/>
              <w:numPr>
                <w:ilvl w:val="0"/>
                <w:numId w:val="100"/>
              </w:numPr>
              <w:spacing w:after="120" w:line="276" w:lineRule="auto"/>
              <w:ind w:left="900" w:firstLine="480"/>
              <w:rPr>
                <w:rFonts w:ascii="宋体" w:hAnsi="宋体"/>
                <w:highlight w:val="none"/>
              </w:rPr>
            </w:pPr>
            <w:r>
              <w:rPr>
                <w:rFonts w:hint="eastAsia" w:ascii="宋体" w:hAnsi="宋体"/>
                <w:highlight w:val="none"/>
              </w:rPr>
              <w:t>支持查看各个专科下的关联科室自评结果汇总表</w:t>
            </w:r>
          </w:p>
          <w:p>
            <w:pPr>
              <w:numPr>
                <w:ilvl w:val="0"/>
                <w:numId w:val="101"/>
              </w:numPr>
              <w:tabs>
                <w:tab w:val="left" w:pos="312"/>
              </w:tabs>
              <w:spacing w:after="120" w:line="276" w:lineRule="auto"/>
              <w:rPr>
                <w:rFonts w:ascii="宋体" w:hAnsi="宋体"/>
                <w:sz w:val="24"/>
                <w:highlight w:val="none"/>
              </w:rPr>
            </w:pPr>
            <w:r>
              <w:rPr>
                <w:rFonts w:hint="eastAsia" w:ascii="宋体" w:hAnsi="宋体"/>
                <w:sz w:val="24"/>
                <w:highlight w:val="none"/>
              </w:rPr>
              <w:t>支持导出EXCEL格式进行查看</w:t>
            </w:r>
          </w:p>
          <w:p>
            <w:pPr>
              <w:rPr>
                <w:rFonts w:ascii="宋体" w:hAnsi="宋体"/>
                <w:sz w:val="24"/>
                <w:highlight w:val="none"/>
              </w:rPr>
            </w:pPr>
            <w:r>
              <w:rPr>
                <w:rFonts w:hint="eastAsia" w:ascii="宋体" w:hAnsi="宋体"/>
                <w:sz w:val="24"/>
                <w:highlight w:val="none"/>
              </w:rPr>
              <w:t>支持在线打印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restart"/>
          </w:tcPr>
          <w:p>
            <w:pPr>
              <w:pStyle w:val="24"/>
              <w:ind w:right="102"/>
              <w:rPr>
                <w:rFonts w:hAnsi="宋体"/>
                <w:b/>
                <w:bCs/>
                <w:highlight w:val="none"/>
              </w:rPr>
            </w:pPr>
            <w:r>
              <w:rPr>
                <w:rFonts w:hAnsi="宋体"/>
                <w:b/>
                <w:bCs/>
                <w:highlight w:val="none"/>
              </w:rPr>
              <w:t>4</w:t>
            </w:r>
          </w:p>
        </w:tc>
        <w:tc>
          <w:tcPr>
            <w:tcW w:w="662" w:type="pct"/>
            <w:vMerge w:val="restart"/>
          </w:tcPr>
          <w:p>
            <w:pPr>
              <w:pStyle w:val="24"/>
              <w:ind w:right="102"/>
              <w:rPr>
                <w:rFonts w:hAnsi="宋体"/>
                <w:b/>
                <w:bCs/>
                <w:highlight w:val="none"/>
              </w:rPr>
            </w:pPr>
            <w:r>
              <w:rPr>
                <w:rFonts w:hint="eastAsia" w:hAnsi="宋体"/>
                <w:b/>
                <w:bCs/>
                <w:highlight w:val="none"/>
              </w:rPr>
              <w:t>投诉纠纷</w:t>
            </w:r>
          </w:p>
        </w:tc>
        <w:tc>
          <w:tcPr>
            <w:tcW w:w="1164" w:type="pct"/>
          </w:tcPr>
          <w:p>
            <w:pPr>
              <w:pStyle w:val="24"/>
              <w:ind w:right="102"/>
              <w:rPr>
                <w:rFonts w:hAnsi="宋体"/>
                <w:highlight w:val="none"/>
              </w:rPr>
            </w:pPr>
            <w:r>
              <w:rPr>
                <w:rFonts w:hint="eastAsia" w:hAnsi="宋体"/>
                <w:highlight w:val="none"/>
              </w:rPr>
              <w:t>一、纠纷录入</w:t>
            </w:r>
          </w:p>
        </w:tc>
        <w:tc>
          <w:tcPr>
            <w:tcW w:w="2735" w:type="pct"/>
          </w:tcPr>
          <w:p>
            <w:pPr>
              <w:rPr>
                <w:rFonts w:ascii="宋体" w:hAnsi="宋体" w:cs="宋体"/>
                <w:sz w:val="24"/>
                <w:highlight w:val="none"/>
              </w:rPr>
            </w:pPr>
            <w:r>
              <w:rPr>
                <w:rFonts w:hint="eastAsia" w:ascii="宋体" w:hAnsi="宋体" w:cs="宋体"/>
                <w:sz w:val="24"/>
                <w:highlight w:val="none"/>
              </w:rPr>
              <w:t>1、新增投诉纠纷功能</w:t>
            </w:r>
          </w:p>
          <w:p>
            <w:pPr>
              <w:rPr>
                <w:rFonts w:ascii="宋体" w:hAnsi="宋体" w:cs="宋体"/>
                <w:sz w:val="24"/>
                <w:highlight w:val="none"/>
              </w:rPr>
            </w:pPr>
            <w:r>
              <w:rPr>
                <w:rFonts w:hint="eastAsia" w:ascii="宋体" w:hAnsi="宋体" w:cs="宋体"/>
                <w:sz w:val="24"/>
                <w:highlight w:val="none"/>
              </w:rPr>
              <w:t>2、支持对纠纷事件修改</w:t>
            </w:r>
          </w:p>
          <w:p>
            <w:pPr>
              <w:rPr>
                <w:rFonts w:ascii="宋体" w:hAnsi="宋体" w:cs="宋体"/>
                <w:sz w:val="24"/>
                <w:highlight w:val="none"/>
              </w:rPr>
            </w:pPr>
            <w:r>
              <w:rPr>
                <w:rFonts w:hint="eastAsia" w:ascii="宋体" w:hAnsi="宋体" w:cs="宋体"/>
                <w:sz w:val="24"/>
                <w:highlight w:val="none"/>
              </w:rPr>
              <w:t>3、支持删除纠纷事件</w:t>
            </w:r>
          </w:p>
          <w:p>
            <w:pPr>
              <w:rPr>
                <w:rFonts w:ascii="宋体" w:hAnsi="宋体" w:cs="宋体"/>
                <w:sz w:val="24"/>
                <w:highlight w:val="none"/>
              </w:rPr>
            </w:pPr>
            <w:r>
              <w:rPr>
                <w:rFonts w:hint="eastAsia" w:ascii="宋体" w:hAnsi="宋体" w:cs="宋体"/>
                <w:sz w:val="24"/>
                <w:highlight w:val="none"/>
              </w:rPr>
              <w:t>4、支持事件节点查看具体栏目</w:t>
            </w:r>
          </w:p>
          <w:p>
            <w:pPr>
              <w:rPr>
                <w:rFonts w:ascii="宋体" w:hAnsi="宋体" w:cs="宋体"/>
                <w:sz w:val="24"/>
                <w:highlight w:val="none"/>
              </w:rPr>
            </w:pPr>
            <w:r>
              <w:rPr>
                <w:rFonts w:hint="eastAsia" w:ascii="宋体" w:hAnsi="宋体" w:cs="宋体"/>
                <w:sz w:val="24"/>
                <w:highlight w:val="none"/>
              </w:rPr>
              <w:t>5、支持按投诉事件筛选</w:t>
            </w:r>
          </w:p>
          <w:p>
            <w:pPr>
              <w:rPr>
                <w:rFonts w:ascii="宋体" w:hAnsi="宋体"/>
                <w:sz w:val="24"/>
                <w:highlight w:val="none"/>
              </w:rPr>
            </w:pPr>
            <w:r>
              <w:rPr>
                <w:rFonts w:hint="eastAsia" w:ascii="宋体" w:hAnsi="宋体"/>
                <w:sz w:val="24"/>
                <w:highlight w:val="none"/>
              </w:rPr>
              <w:t>6、支持按被投诉科室筛选</w:t>
            </w:r>
          </w:p>
          <w:p>
            <w:pPr>
              <w:pStyle w:val="24"/>
              <w:ind w:right="102"/>
              <w:rPr>
                <w:rFonts w:hAnsi="宋体"/>
                <w:highlight w:val="none"/>
              </w:rPr>
            </w:pPr>
            <w:r>
              <w:rPr>
                <w:rFonts w:hint="eastAsia" w:hAnsi="宋体"/>
                <w:highlight w:val="none"/>
              </w:rPr>
              <w:t>7、支持附件上传功能</w:t>
            </w:r>
          </w:p>
          <w:p>
            <w:pPr>
              <w:pStyle w:val="24"/>
              <w:ind w:right="102"/>
              <w:rPr>
                <w:rFonts w:hAnsi="宋体"/>
                <w:highlight w:val="none"/>
              </w:rPr>
            </w:pPr>
            <w:r>
              <w:rPr>
                <w:rFonts w:hint="eastAsia" w:hAnsi="宋体"/>
                <w:highlight w:val="none"/>
              </w:rPr>
              <w:t>8、支持自动生成投诉事件编号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pStyle w:val="24"/>
              <w:ind w:right="102"/>
              <w:rPr>
                <w:rFonts w:hAnsi="宋体"/>
                <w:b/>
                <w:bCs/>
                <w:highlight w:val="none"/>
              </w:rPr>
            </w:pPr>
          </w:p>
        </w:tc>
        <w:tc>
          <w:tcPr>
            <w:tcW w:w="662" w:type="pct"/>
            <w:vMerge w:val="continue"/>
          </w:tcPr>
          <w:p>
            <w:pPr>
              <w:pStyle w:val="24"/>
              <w:ind w:right="102"/>
              <w:rPr>
                <w:rFonts w:hAnsi="宋体"/>
                <w:b/>
                <w:bCs/>
                <w:highlight w:val="none"/>
              </w:rPr>
            </w:pPr>
          </w:p>
        </w:tc>
        <w:tc>
          <w:tcPr>
            <w:tcW w:w="1164" w:type="pct"/>
          </w:tcPr>
          <w:p>
            <w:pPr>
              <w:pStyle w:val="24"/>
              <w:ind w:right="102"/>
              <w:rPr>
                <w:rFonts w:hAnsi="宋体"/>
                <w:highlight w:val="none"/>
              </w:rPr>
            </w:pPr>
            <w:r>
              <w:rPr>
                <w:rFonts w:hint="eastAsia" w:hAnsi="宋体"/>
                <w:highlight w:val="none"/>
              </w:rPr>
              <w:t>二、纠纷进行中</w:t>
            </w:r>
          </w:p>
        </w:tc>
        <w:tc>
          <w:tcPr>
            <w:tcW w:w="2735" w:type="pct"/>
          </w:tcPr>
          <w:p>
            <w:pPr>
              <w:rPr>
                <w:rFonts w:ascii="宋体" w:hAnsi="宋体" w:cs="宋体"/>
                <w:sz w:val="24"/>
                <w:highlight w:val="none"/>
              </w:rPr>
            </w:pPr>
            <w:r>
              <w:rPr>
                <w:rFonts w:hint="eastAsia" w:ascii="宋体" w:hAnsi="宋体" w:cs="宋体"/>
                <w:sz w:val="24"/>
                <w:highlight w:val="none"/>
              </w:rPr>
              <w:t>1、查看目前正在进行的事件</w:t>
            </w:r>
          </w:p>
          <w:p>
            <w:pPr>
              <w:rPr>
                <w:rFonts w:ascii="宋体" w:hAnsi="宋体" w:cs="宋体"/>
                <w:sz w:val="24"/>
                <w:highlight w:val="none"/>
              </w:rPr>
            </w:pPr>
            <w:r>
              <w:rPr>
                <w:rFonts w:hint="eastAsia" w:ascii="宋体" w:hAnsi="宋体" w:cs="宋体"/>
                <w:sz w:val="24"/>
                <w:highlight w:val="none"/>
              </w:rPr>
              <w:t>2、支持查看节点详细信息</w:t>
            </w:r>
          </w:p>
          <w:p>
            <w:pPr>
              <w:rPr>
                <w:rFonts w:ascii="宋体" w:hAnsi="宋体" w:cs="宋体"/>
                <w:sz w:val="24"/>
                <w:highlight w:val="none"/>
              </w:rPr>
            </w:pPr>
            <w:r>
              <w:rPr>
                <w:rFonts w:hint="eastAsia" w:ascii="宋体" w:hAnsi="宋体" w:cs="宋体"/>
                <w:sz w:val="24"/>
                <w:highlight w:val="none"/>
              </w:rPr>
              <w:t>3、支持新增案件事项记录</w:t>
            </w:r>
          </w:p>
          <w:p>
            <w:pPr>
              <w:rPr>
                <w:rFonts w:ascii="宋体" w:hAnsi="宋体" w:cs="宋体"/>
                <w:sz w:val="24"/>
                <w:highlight w:val="none"/>
              </w:rPr>
            </w:pPr>
            <w:r>
              <w:rPr>
                <w:rFonts w:hint="eastAsia" w:ascii="宋体" w:hAnsi="宋体" w:cs="宋体"/>
                <w:sz w:val="24"/>
                <w:highlight w:val="none"/>
              </w:rPr>
              <w:t>4、支持新增院内讨论记录</w:t>
            </w:r>
          </w:p>
          <w:p>
            <w:pPr>
              <w:rPr>
                <w:rFonts w:ascii="宋体" w:hAnsi="宋体" w:cs="宋体"/>
                <w:sz w:val="24"/>
                <w:highlight w:val="none"/>
              </w:rPr>
            </w:pPr>
            <w:r>
              <w:rPr>
                <w:rFonts w:hint="eastAsia" w:ascii="宋体" w:hAnsi="宋体" w:cs="宋体"/>
                <w:sz w:val="24"/>
                <w:highlight w:val="none"/>
              </w:rPr>
              <w:t>5、支持新增鉴定记录</w:t>
            </w:r>
          </w:p>
          <w:p>
            <w:pPr>
              <w:rPr>
                <w:rFonts w:ascii="宋体" w:hAnsi="宋体" w:cs="宋体"/>
                <w:sz w:val="24"/>
                <w:highlight w:val="none"/>
              </w:rPr>
            </w:pPr>
            <w:r>
              <w:rPr>
                <w:rFonts w:hint="eastAsia" w:ascii="宋体" w:hAnsi="宋体" w:cs="宋体"/>
                <w:sz w:val="24"/>
                <w:highlight w:val="none"/>
              </w:rPr>
              <w:t>6、支持新增处理结果记录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pStyle w:val="24"/>
              <w:ind w:right="102"/>
              <w:rPr>
                <w:rFonts w:hAnsi="宋体"/>
                <w:b/>
                <w:bCs/>
                <w:highlight w:val="none"/>
              </w:rPr>
            </w:pPr>
          </w:p>
        </w:tc>
        <w:tc>
          <w:tcPr>
            <w:tcW w:w="662" w:type="pct"/>
            <w:vMerge w:val="continue"/>
          </w:tcPr>
          <w:p>
            <w:pPr>
              <w:pStyle w:val="24"/>
              <w:ind w:right="102"/>
              <w:rPr>
                <w:rFonts w:hAnsi="宋体"/>
                <w:b/>
                <w:bCs/>
                <w:highlight w:val="none"/>
              </w:rPr>
            </w:pPr>
          </w:p>
        </w:tc>
        <w:tc>
          <w:tcPr>
            <w:tcW w:w="1164" w:type="pct"/>
          </w:tcPr>
          <w:p>
            <w:pPr>
              <w:pStyle w:val="24"/>
              <w:ind w:right="102"/>
              <w:rPr>
                <w:rFonts w:hAnsi="宋体"/>
                <w:highlight w:val="none"/>
              </w:rPr>
            </w:pPr>
            <w:r>
              <w:rPr>
                <w:rFonts w:hint="eastAsia" w:hAnsi="宋体"/>
                <w:highlight w:val="none"/>
              </w:rPr>
              <w:t>三、纠纷已完成</w:t>
            </w:r>
          </w:p>
        </w:tc>
        <w:tc>
          <w:tcPr>
            <w:tcW w:w="2735" w:type="pct"/>
          </w:tcPr>
          <w:p>
            <w:pPr>
              <w:rPr>
                <w:rFonts w:ascii="宋体" w:hAnsi="宋体" w:cs="宋体"/>
                <w:sz w:val="24"/>
                <w:highlight w:val="none"/>
              </w:rPr>
            </w:pPr>
            <w:r>
              <w:rPr>
                <w:rFonts w:hint="eastAsia" w:ascii="宋体" w:hAnsi="宋体" w:cs="宋体"/>
                <w:sz w:val="24"/>
                <w:highlight w:val="none"/>
              </w:rPr>
              <w:t>1、此功能可查看已完成的纠纷事件</w:t>
            </w:r>
          </w:p>
          <w:p>
            <w:pPr>
              <w:rPr>
                <w:rFonts w:ascii="宋体" w:hAnsi="宋体" w:cs="宋体"/>
                <w:sz w:val="24"/>
                <w:highlight w:val="none"/>
              </w:rPr>
            </w:pPr>
            <w:r>
              <w:rPr>
                <w:rFonts w:hint="eastAsia" w:ascii="宋体" w:hAnsi="宋体" w:cs="宋体"/>
                <w:sz w:val="24"/>
                <w:highlight w:val="none"/>
              </w:rPr>
              <w:t>2、支持按汇总查看事件</w:t>
            </w:r>
          </w:p>
          <w:p>
            <w:pPr>
              <w:rPr>
                <w:rFonts w:ascii="宋体" w:hAnsi="宋体" w:cs="宋体"/>
                <w:sz w:val="24"/>
                <w:highlight w:val="none"/>
              </w:rPr>
            </w:pPr>
            <w:r>
              <w:rPr>
                <w:rFonts w:hint="eastAsia" w:ascii="宋体" w:hAnsi="宋体" w:cs="宋体"/>
                <w:sz w:val="24"/>
                <w:highlight w:val="none"/>
              </w:rPr>
              <w:t>3、支持按流程图查看</w:t>
            </w:r>
          </w:p>
          <w:p>
            <w:pPr>
              <w:rPr>
                <w:rFonts w:ascii="宋体" w:hAnsi="宋体" w:cs="宋体"/>
                <w:sz w:val="24"/>
                <w:highlight w:val="none"/>
              </w:rPr>
            </w:pPr>
            <w:r>
              <w:rPr>
                <w:rFonts w:hint="eastAsia" w:ascii="宋体" w:hAnsi="宋体" w:cs="宋体"/>
                <w:sz w:val="24"/>
                <w:highlight w:val="none"/>
              </w:rPr>
              <w:t>4、支持按投诉事件段进行检索</w:t>
            </w:r>
          </w:p>
          <w:p>
            <w:pPr>
              <w:rPr>
                <w:rFonts w:ascii="宋体" w:hAnsi="宋体" w:cs="宋体"/>
                <w:sz w:val="24"/>
                <w:highlight w:val="none"/>
              </w:rPr>
            </w:pPr>
            <w:r>
              <w:rPr>
                <w:rFonts w:hint="eastAsia" w:ascii="宋体" w:hAnsi="宋体" w:cs="宋体"/>
                <w:sz w:val="24"/>
                <w:highlight w:val="none"/>
              </w:rPr>
              <w:t>5、支持按科室进行检索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pStyle w:val="24"/>
              <w:ind w:right="102"/>
              <w:rPr>
                <w:rFonts w:hAnsi="宋体"/>
                <w:b/>
                <w:bCs/>
                <w:highlight w:val="none"/>
              </w:rPr>
            </w:pPr>
          </w:p>
        </w:tc>
        <w:tc>
          <w:tcPr>
            <w:tcW w:w="662" w:type="pct"/>
            <w:vMerge w:val="continue"/>
          </w:tcPr>
          <w:p>
            <w:pPr>
              <w:pStyle w:val="24"/>
              <w:ind w:right="102"/>
              <w:rPr>
                <w:rFonts w:hAnsi="宋体"/>
                <w:b/>
                <w:bCs/>
                <w:highlight w:val="none"/>
              </w:rPr>
            </w:pPr>
          </w:p>
        </w:tc>
        <w:tc>
          <w:tcPr>
            <w:tcW w:w="1164" w:type="pct"/>
          </w:tcPr>
          <w:p>
            <w:pPr>
              <w:pStyle w:val="24"/>
              <w:ind w:right="102"/>
              <w:rPr>
                <w:rFonts w:hAnsi="宋体"/>
                <w:highlight w:val="none"/>
              </w:rPr>
            </w:pPr>
            <w:r>
              <w:rPr>
                <w:rFonts w:hint="eastAsia" w:hAnsi="宋体"/>
                <w:highlight w:val="none"/>
              </w:rPr>
              <w:t>四、</w:t>
            </w:r>
            <w:r>
              <w:rPr>
                <w:rFonts w:hint="eastAsia" w:hAnsi="宋体" w:cs="宋体"/>
                <w:highlight w:val="none"/>
              </w:rPr>
              <w:t>纠纷待处理</w:t>
            </w:r>
          </w:p>
        </w:tc>
        <w:tc>
          <w:tcPr>
            <w:tcW w:w="2735" w:type="pct"/>
          </w:tcPr>
          <w:p>
            <w:pPr>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、此功能显示需要处理的投诉事件</w:t>
            </w:r>
          </w:p>
          <w:p>
            <w:pPr>
              <w:rPr>
                <w:rFonts w:ascii="宋体" w:hAnsi="宋体" w:cs="宋体"/>
                <w:sz w:val="24"/>
                <w:highlight w:val="none"/>
              </w:rPr>
            </w:pPr>
            <w:r>
              <w:rPr>
                <w:rFonts w:hint="eastAsia" w:ascii="宋体" w:hAnsi="宋体" w:cs="宋体"/>
                <w:sz w:val="24"/>
                <w:highlight w:val="none"/>
              </w:rPr>
              <w:t>2、支持按投诉事件段进行筛选</w:t>
            </w:r>
          </w:p>
          <w:p>
            <w:pPr>
              <w:rPr>
                <w:rFonts w:ascii="宋体" w:hAnsi="宋体" w:cs="宋体"/>
                <w:sz w:val="24"/>
                <w:highlight w:val="none"/>
              </w:rPr>
            </w:pPr>
            <w:r>
              <w:rPr>
                <w:rFonts w:hint="eastAsia" w:ascii="宋体" w:hAnsi="宋体" w:cs="宋体"/>
                <w:sz w:val="24"/>
                <w:highlight w:val="none"/>
              </w:rPr>
              <w:t>3、支持科室名称进行筛选</w:t>
            </w:r>
          </w:p>
          <w:p>
            <w:pPr>
              <w:rPr>
                <w:rFonts w:ascii="宋体" w:hAnsi="宋体" w:cs="宋体"/>
                <w:sz w:val="24"/>
                <w:highlight w:val="none"/>
              </w:rPr>
            </w:pPr>
            <w:r>
              <w:rPr>
                <w:rFonts w:hint="eastAsia" w:ascii="宋体" w:hAnsi="宋体" w:cs="宋体"/>
                <w:sz w:val="24"/>
                <w:highlight w:val="none"/>
              </w:rPr>
              <w:t>4、支持对流程节点事件进行处理</w:t>
            </w:r>
          </w:p>
          <w:p>
            <w:pPr>
              <w:rPr>
                <w:rFonts w:ascii="宋体" w:hAnsi="宋体" w:cs="宋体"/>
                <w:sz w:val="24"/>
                <w:highlight w:val="none"/>
              </w:rPr>
            </w:pPr>
            <w:r>
              <w:rPr>
                <w:rFonts w:hint="eastAsia" w:ascii="宋体" w:hAnsi="宋体" w:cs="宋体"/>
                <w:sz w:val="24"/>
                <w:highlight w:val="none"/>
              </w:rPr>
              <w:t>5、支持流程查看事件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pStyle w:val="24"/>
              <w:ind w:right="102"/>
              <w:rPr>
                <w:rFonts w:hAnsi="宋体"/>
                <w:b/>
                <w:bCs/>
                <w:highlight w:val="none"/>
              </w:rPr>
            </w:pPr>
          </w:p>
        </w:tc>
        <w:tc>
          <w:tcPr>
            <w:tcW w:w="662" w:type="pct"/>
            <w:vMerge w:val="continue"/>
          </w:tcPr>
          <w:p>
            <w:pPr>
              <w:pStyle w:val="24"/>
              <w:ind w:right="102"/>
              <w:rPr>
                <w:rFonts w:hAnsi="宋体"/>
                <w:b/>
                <w:bCs/>
                <w:highlight w:val="none"/>
              </w:rPr>
            </w:pPr>
          </w:p>
        </w:tc>
        <w:tc>
          <w:tcPr>
            <w:tcW w:w="1164" w:type="pct"/>
          </w:tcPr>
          <w:p>
            <w:pPr>
              <w:pStyle w:val="24"/>
              <w:ind w:right="102"/>
              <w:rPr>
                <w:rFonts w:hAnsi="宋体"/>
                <w:highlight w:val="none"/>
              </w:rPr>
            </w:pPr>
            <w:r>
              <w:rPr>
                <w:rFonts w:hint="eastAsia" w:hAnsi="宋体"/>
                <w:highlight w:val="none"/>
              </w:rPr>
              <w:t>五、</w:t>
            </w:r>
            <w:r>
              <w:rPr>
                <w:rFonts w:hint="eastAsia" w:hAnsi="宋体" w:cs="宋体"/>
                <w:highlight w:val="none"/>
              </w:rPr>
              <w:t>统计分析</w:t>
            </w:r>
          </w:p>
        </w:tc>
        <w:tc>
          <w:tcPr>
            <w:tcW w:w="2735" w:type="pct"/>
          </w:tcPr>
          <w:p>
            <w:pPr>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、支持按发生时间统计</w:t>
            </w:r>
          </w:p>
          <w:p>
            <w:pPr>
              <w:rPr>
                <w:rFonts w:ascii="宋体" w:hAnsi="宋体" w:cs="宋体"/>
                <w:sz w:val="24"/>
                <w:highlight w:val="none"/>
              </w:rPr>
            </w:pPr>
            <w:r>
              <w:rPr>
                <w:rFonts w:hint="eastAsia" w:ascii="宋体" w:hAnsi="宋体" w:cs="宋体"/>
                <w:sz w:val="24"/>
                <w:highlight w:val="none"/>
              </w:rPr>
              <w:t>2、支持按投诉事件统计</w:t>
            </w:r>
          </w:p>
          <w:p>
            <w:pPr>
              <w:rPr>
                <w:rFonts w:ascii="宋体" w:hAnsi="宋体" w:cs="宋体"/>
                <w:sz w:val="24"/>
                <w:highlight w:val="none"/>
              </w:rPr>
            </w:pPr>
            <w:r>
              <w:rPr>
                <w:rFonts w:hint="eastAsia" w:ascii="宋体" w:hAnsi="宋体" w:cs="宋体"/>
                <w:sz w:val="24"/>
                <w:highlight w:val="none"/>
              </w:rPr>
              <w:t>3、支持按赔偿时间统计</w:t>
            </w:r>
          </w:p>
          <w:p>
            <w:pPr>
              <w:rPr>
                <w:rFonts w:ascii="宋体" w:hAnsi="宋体" w:cs="宋体"/>
                <w:sz w:val="24"/>
                <w:highlight w:val="none"/>
              </w:rPr>
            </w:pPr>
            <w:r>
              <w:rPr>
                <w:rFonts w:hint="eastAsia" w:ascii="宋体" w:hAnsi="宋体" w:cs="宋体"/>
                <w:sz w:val="24"/>
                <w:highlight w:val="none"/>
              </w:rPr>
              <w:t>4、支持按投诉类别统计</w:t>
            </w:r>
          </w:p>
          <w:p>
            <w:pPr>
              <w:rPr>
                <w:rFonts w:ascii="宋体" w:hAnsi="宋体" w:cs="宋体"/>
                <w:sz w:val="24"/>
                <w:highlight w:val="none"/>
              </w:rPr>
            </w:pPr>
            <w:r>
              <w:rPr>
                <w:rFonts w:hint="eastAsia" w:ascii="宋体" w:hAnsi="宋体" w:cs="宋体"/>
                <w:sz w:val="24"/>
                <w:highlight w:val="none"/>
              </w:rPr>
              <w:t>5、支持按投诉性质统计</w:t>
            </w:r>
          </w:p>
          <w:p>
            <w:pPr>
              <w:rPr>
                <w:rFonts w:ascii="宋体" w:hAnsi="宋体" w:cs="宋体"/>
                <w:sz w:val="24"/>
                <w:highlight w:val="none"/>
              </w:rPr>
            </w:pPr>
            <w:r>
              <w:rPr>
                <w:rFonts w:hint="eastAsia" w:ascii="宋体" w:hAnsi="宋体" w:cs="宋体"/>
                <w:sz w:val="24"/>
                <w:highlight w:val="none"/>
              </w:rPr>
              <w:t>6、支持按投诉方式统计</w:t>
            </w:r>
          </w:p>
          <w:p>
            <w:pPr>
              <w:rPr>
                <w:rFonts w:ascii="宋体" w:hAnsi="宋体" w:cs="宋体"/>
                <w:sz w:val="24"/>
                <w:highlight w:val="none"/>
              </w:rPr>
            </w:pPr>
            <w:r>
              <w:rPr>
                <w:rFonts w:hint="eastAsia" w:ascii="宋体" w:hAnsi="宋体" w:cs="宋体"/>
                <w:sz w:val="24"/>
                <w:highlight w:val="none"/>
              </w:rPr>
              <w:t>7、支持按被手术科室统计</w:t>
            </w:r>
          </w:p>
          <w:p>
            <w:pPr>
              <w:rPr>
                <w:rFonts w:ascii="宋体" w:hAnsi="宋体" w:cs="宋体"/>
                <w:sz w:val="24"/>
                <w:highlight w:val="none"/>
              </w:rPr>
            </w:pPr>
            <w:r>
              <w:rPr>
                <w:rFonts w:hint="eastAsia" w:ascii="宋体" w:hAnsi="宋体" w:cs="宋体"/>
                <w:sz w:val="24"/>
                <w:highlight w:val="none"/>
              </w:rPr>
              <w:t>7、支持投诉数量统计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pStyle w:val="24"/>
              <w:ind w:right="102"/>
              <w:rPr>
                <w:rFonts w:hAnsi="宋体"/>
                <w:b/>
                <w:bCs/>
                <w:highlight w:val="none"/>
              </w:rPr>
            </w:pPr>
          </w:p>
        </w:tc>
        <w:tc>
          <w:tcPr>
            <w:tcW w:w="662" w:type="pct"/>
            <w:vMerge w:val="continue"/>
          </w:tcPr>
          <w:p>
            <w:pPr>
              <w:pStyle w:val="24"/>
              <w:ind w:right="102"/>
              <w:rPr>
                <w:rFonts w:hAnsi="宋体"/>
                <w:b/>
                <w:bCs/>
                <w:highlight w:val="none"/>
              </w:rPr>
            </w:pPr>
          </w:p>
        </w:tc>
        <w:tc>
          <w:tcPr>
            <w:tcW w:w="1164" w:type="pct"/>
          </w:tcPr>
          <w:p>
            <w:pPr>
              <w:pStyle w:val="24"/>
              <w:ind w:right="102"/>
              <w:rPr>
                <w:rFonts w:hAnsi="宋体"/>
                <w:highlight w:val="none"/>
              </w:rPr>
            </w:pPr>
            <w:r>
              <w:rPr>
                <w:rFonts w:hint="eastAsia" w:hAnsi="宋体"/>
                <w:highlight w:val="none"/>
              </w:rPr>
              <w:t>六、流程节点设置</w:t>
            </w:r>
          </w:p>
        </w:tc>
        <w:tc>
          <w:tcPr>
            <w:tcW w:w="2735" w:type="pct"/>
          </w:tcPr>
          <w:p>
            <w:pPr>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、支持节点名称调整</w:t>
            </w:r>
          </w:p>
          <w:p>
            <w:pPr>
              <w:rPr>
                <w:rFonts w:ascii="宋体" w:hAnsi="宋体" w:cs="宋体"/>
                <w:sz w:val="24"/>
                <w:highlight w:val="none"/>
              </w:rPr>
            </w:pPr>
            <w:r>
              <w:rPr>
                <w:rFonts w:hint="eastAsia" w:ascii="宋体" w:hAnsi="宋体" w:cs="宋体"/>
                <w:sz w:val="24"/>
                <w:highlight w:val="none"/>
              </w:rPr>
              <w:t>2、支持新增节点功能</w:t>
            </w:r>
          </w:p>
          <w:p>
            <w:pPr>
              <w:rPr>
                <w:rFonts w:ascii="宋体" w:hAnsi="宋体" w:cs="宋体"/>
                <w:sz w:val="24"/>
                <w:highlight w:val="none"/>
              </w:rPr>
            </w:pPr>
            <w:r>
              <w:rPr>
                <w:rFonts w:hint="eastAsia" w:ascii="宋体" w:hAnsi="宋体" w:cs="宋体"/>
                <w:sz w:val="24"/>
                <w:highlight w:val="none"/>
              </w:rPr>
              <w:t>3、重要节点记录详情：</w:t>
            </w:r>
          </w:p>
          <w:p>
            <w:pPr>
              <w:rPr>
                <w:rFonts w:ascii="宋体" w:hAnsi="宋体"/>
                <w:sz w:val="24"/>
                <w:highlight w:val="none"/>
              </w:rPr>
            </w:pPr>
            <w:r>
              <w:rPr>
                <w:rFonts w:hint="eastAsia" w:ascii="宋体" w:hAnsi="宋体" w:cs="宋体"/>
                <w:sz w:val="24"/>
                <w:highlight w:val="none"/>
              </w:rPr>
              <w:t>3</w:t>
            </w:r>
            <w:r>
              <w:rPr>
                <w:rFonts w:ascii="宋体" w:hAnsi="宋体" w:cs="宋体"/>
                <w:sz w:val="24"/>
                <w:highlight w:val="none"/>
              </w:rPr>
              <w:t>.1</w:t>
            </w:r>
            <w:r>
              <w:rPr>
                <w:rFonts w:ascii="宋体" w:hAnsi="宋体"/>
                <w:sz w:val="24"/>
                <w:highlight w:val="none"/>
              </w:rPr>
              <w:t>投诉基本信息</w:t>
            </w:r>
          </w:p>
          <w:p>
            <w:pPr>
              <w:rPr>
                <w:rFonts w:ascii="宋体" w:hAnsi="宋体"/>
                <w:sz w:val="24"/>
                <w:highlight w:val="none"/>
              </w:rPr>
            </w:pPr>
            <w:r>
              <w:rPr>
                <w:rFonts w:hint="eastAsia" w:ascii="宋体" w:hAnsi="宋体"/>
                <w:sz w:val="24"/>
                <w:highlight w:val="none"/>
              </w:rPr>
              <w:t>3</w:t>
            </w:r>
            <w:r>
              <w:rPr>
                <w:rFonts w:ascii="宋体" w:hAnsi="宋体"/>
                <w:sz w:val="24"/>
                <w:highlight w:val="none"/>
              </w:rPr>
              <w:t>.2案件事项记录</w:t>
            </w:r>
          </w:p>
          <w:p>
            <w:pPr>
              <w:rPr>
                <w:rFonts w:ascii="宋体" w:hAnsi="宋体"/>
                <w:sz w:val="24"/>
                <w:highlight w:val="none"/>
              </w:rPr>
            </w:pPr>
            <w:r>
              <w:rPr>
                <w:rFonts w:hint="eastAsia" w:ascii="宋体" w:hAnsi="宋体"/>
                <w:sz w:val="24"/>
                <w:highlight w:val="none"/>
              </w:rPr>
              <w:t>3</w:t>
            </w:r>
            <w:r>
              <w:rPr>
                <w:rFonts w:ascii="宋体" w:hAnsi="宋体"/>
                <w:sz w:val="24"/>
                <w:highlight w:val="none"/>
              </w:rPr>
              <w:t>.3科室反馈记录</w:t>
            </w:r>
          </w:p>
          <w:p>
            <w:pPr>
              <w:rPr>
                <w:rFonts w:ascii="宋体" w:hAnsi="宋体"/>
                <w:sz w:val="24"/>
                <w:highlight w:val="none"/>
              </w:rPr>
            </w:pPr>
            <w:r>
              <w:rPr>
                <w:rFonts w:hint="eastAsia" w:ascii="宋体" w:hAnsi="宋体"/>
                <w:sz w:val="24"/>
                <w:highlight w:val="none"/>
              </w:rPr>
              <w:t>3</w:t>
            </w:r>
            <w:r>
              <w:rPr>
                <w:rFonts w:ascii="宋体" w:hAnsi="宋体"/>
                <w:sz w:val="24"/>
                <w:highlight w:val="none"/>
              </w:rPr>
              <w:t>.4院内讨论记录</w:t>
            </w:r>
          </w:p>
          <w:p>
            <w:pPr>
              <w:rPr>
                <w:rFonts w:ascii="宋体" w:hAnsi="宋体"/>
                <w:sz w:val="24"/>
                <w:highlight w:val="none"/>
              </w:rPr>
            </w:pPr>
            <w:r>
              <w:rPr>
                <w:rFonts w:hint="eastAsia" w:ascii="宋体" w:hAnsi="宋体"/>
                <w:sz w:val="24"/>
                <w:highlight w:val="none"/>
              </w:rPr>
              <w:t>3</w:t>
            </w:r>
            <w:r>
              <w:rPr>
                <w:rFonts w:ascii="宋体" w:hAnsi="宋体"/>
                <w:sz w:val="24"/>
                <w:highlight w:val="none"/>
              </w:rPr>
              <w:t>.5医患沟通记录</w:t>
            </w:r>
          </w:p>
          <w:p>
            <w:pPr>
              <w:rPr>
                <w:rFonts w:ascii="宋体" w:hAnsi="宋体"/>
                <w:sz w:val="24"/>
                <w:highlight w:val="none"/>
              </w:rPr>
            </w:pPr>
            <w:r>
              <w:rPr>
                <w:rFonts w:hint="eastAsia" w:ascii="宋体" w:hAnsi="宋体"/>
                <w:sz w:val="24"/>
                <w:highlight w:val="none"/>
              </w:rPr>
              <w:t>3</w:t>
            </w:r>
            <w:r>
              <w:rPr>
                <w:rFonts w:ascii="宋体" w:hAnsi="宋体"/>
                <w:sz w:val="24"/>
                <w:highlight w:val="none"/>
              </w:rPr>
              <w:t>.6第三方调解记录</w:t>
            </w:r>
          </w:p>
          <w:p>
            <w:pPr>
              <w:rPr>
                <w:rFonts w:ascii="宋体" w:hAnsi="宋体"/>
                <w:sz w:val="24"/>
                <w:highlight w:val="none"/>
              </w:rPr>
            </w:pPr>
            <w:r>
              <w:rPr>
                <w:rFonts w:hint="eastAsia" w:ascii="宋体" w:hAnsi="宋体" w:cs="宋体"/>
                <w:sz w:val="24"/>
                <w:highlight w:val="none"/>
              </w:rPr>
              <w:t>3</w:t>
            </w:r>
            <w:r>
              <w:rPr>
                <w:rFonts w:ascii="宋体" w:hAnsi="宋体" w:cs="宋体"/>
                <w:sz w:val="24"/>
                <w:highlight w:val="none"/>
              </w:rPr>
              <w:t>.7</w:t>
            </w:r>
            <w:r>
              <w:rPr>
                <w:rFonts w:ascii="宋体" w:hAnsi="宋体"/>
                <w:sz w:val="24"/>
                <w:highlight w:val="none"/>
              </w:rPr>
              <w:t>鉴定记录</w:t>
            </w:r>
          </w:p>
          <w:p>
            <w:pPr>
              <w:rPr>
                <w:rFonts w:ascii="宋体" w:hAnsi="宋体"/>
                <w:sz w:val="24"/>
                <w:highlight w:val="none"/>
              </w:rPr>
            </w:pPr>
            <w:r>
              <w:rPr>
                <w:rFonts w:hint="eastAsia" w:ascii="宋体" w:hAnsi="宋体" w:cs="宋体"/>
                <w:sz w:val="24"/>
                <w:highlight w:val="none"/>
              </w:rPr>
              <w:t>3</w:t>
            </w:r>
            <w:r>
              <w:rPr>
                <w:rFonts w:ascii="宋体" w:hAnsi="宋体" w:cs="宋体"/>
                <w:sz w:val="24"/>
                <w:highlight w:val="none"/>
              </w:rPr>
              <w:t>.8</w:t>
            </w:r>
            <w:r>
              <w:rPr>
                <w:rFonts w:ascii="宋体" w:hAnsi="宋体"/>
                <w:sz w:val="24"/>
                <w:highlight w:val="none"/>
              </w:rPr>
              <w:t>处理结果记录</w:t>
            </w:r>
          </w:p>
          <w:p>
            <w:pPr>
              <w:rPr>
                <w:rFonts w:ascii="宋体" w:hAnsi="宋体" w:cs="宋体"/>
                <w:sz w:val="24"/>
                <w:highlight w:val="none"/>
              </w:rPr>
            </w:pPr>
            <w:r>
              <w:rPr>
                <w:rFonts w:hint="eastAsia" w:ascii="宋体" w:hAnsi="宋体" w:cs="宋体"/>
                <w:sz w:val="24"/>
                <w:highlight w:val="none"/>
              </w:rPr>
              <w:t>3</w:t>
            </w:r>
            <w:r>
              <w:rPr>
                <w:rFonts w:ascii="宋体" w:hAnsi="宋体" w:cs="宋体"/>
                <w:sz w:val="24"/>
                <w:highlight w:val="none"/>
              </w:rPr>
              <w:t>.9</w:t>
            </w:r>
            <w:r>
              <w:rPr>
                <w:rFonts w:ascii="宋体" w:hAnsi="宋体"/>
                <w:sz w:val="24"/>
                <w:highlight w:val="none"/>
              </w:rPr>
              <w:t>分析整改记录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pStyle w:val="24"/>
              <w:ind w:right="102"/>
              <w:rPr>
                <w:rFonts w:hAnsi="宋体"/>
                <w:b/>
                <w:bCs/>
                <w:highlight w:val="none"/>
              </w:rPr>
            </w:pPr>
          </w:p>
        </w:tc>
        <w:tc>
          <w:tcPr>
            <w:tcW w:w="662" w:type="pct"/>
            <w:vMerge w:val="continue"/>
          </w:tcPr>
          <w:p>
            <w:pPr>
              <w:pStyle w:val="24"/>
              <w:ind w:right="102"/>
              <w:rPr>
                <w:rFonts w:hAnsi="宋体"/>
                <w:b/>
                <w:bCs/>
                <w:highlight w:val="none"/>
              </w:rPr>
            </w:pPr>
          </w:p>
        </w:tc>
        <w:tc>
          <w:tcPr>
            <w:tcW w:w="1164" w:type="pct"/>
          </w:tcPr>
          <w:p>
            <w:pPr>
              <w:pStyle w:val="24"/>
              <w:ind w:right="102"/>
              <w:rPr>
                <w:rFonts w:hAnsi="宋体"/>
                <w:highlight w:val="none"/>
              </w:rPr>
            </w:pPr>
            <w:r>
              <w:rPr>
                <w:rFonts w:hint="eastAsia" w:hAnsi="宋体"/>
                <w:highlight w:val="none"/>
              </w:rPr>
              <w:t>七、我的投诉纠纷</w:t>
            </w:r>
          </w:p>
        </w:tc>
        <w:tc>
          <w:tcPr>
            <w:tcW w:w="2735" w:type="pct"/>
          </w:tcPr>
          <w:p>
            <w:pPr>
              <w:pStyle w:val="267"/>
              <w:numPr>
                <w:ilvl w:val="0"/>
                <w:numId w:val="102"/>
              </w:numPr>
              <w:spacing w:after="120" w:line="276" w:lineRule="auto"/>
              <w:ind w:firstLineChars="0"/>
              <w:rPr>
                <w:rFonts w:ascii="宋体" w:hAnsi="宋体" w:cs="宋体"/>
                <w:highlight w:val="none"/>
              </w:rPr>
            </w:pPr>
            <w:r>
              <w:rPr>
                <w:rFonts w:hint="eastAsia" w:ascii="宋体" w:hAnsi="宋体" w:cs="宋体"/>
                <w:highlight w:val="none"/>
              </w:rPr>
              <w:t>支持本人提交纠纷投诉事件</w:t>
            </w:r>
          </w:p>
          <w:p>
            <w:pPr>
              <w:pStyle w:val="267"/>
              <w:numPr>
                <w:ilvl w:val="0"/>
                <w:numId w:val="102"/>
              </w:numPr>
              <w:spacing w:after="120" w:line="276" w:lineRule="auto"/>
              <w:ind w:firstLineChars="0"/>
              <w:rPr>
                <w:rFonts w:ascii="宋体" w:hAnsi="宋体" w:cs="宋体"/>
                <w:highlight w:val="none"/>
              </w:rPr>
            </w:pPr>
            <w:r>
              <w:rPr>
                <w:rFonts w:hint="eastAsia" w:ascii="宋体" w:hAnsi="宋体" w:cs="宋体"/>
                <w:highlight w:val="none"/>
              </w:rPr>
              <w:t>支持旁观者提交投诉纠纷事件</w:t>
            </w:r>
          </w:p>
          <w:p>
            <w:pPr>
              <w:pStyle w:val="267"/>
              <w:numPr>
                <w:ilvl w:val="0"/>
                <w:numId w:val="102"/>
              </w:numPr>
              <w:spacing w:after="120" w:line="276" w:lineRule="auto"/>
              <w:ind w:firstLineChars="0"/>
              <w:rPr>
                <w:rFonts w:ascii="宋体" w:hAnsi="宋体" w:cs="宋体"/>
                <w:highlight w:val="none"/>
              </w:rPr>
            </w:pPr>
            <w:r>
              <w:rPr>
                <w:rFonts w:hint="eastAsia" w:ascii="宋体" w:hAnsi="宋体" w:cs="宋体"/>
                <w:highlight w:val="none"/>
              </w:rPr>
              <w:t>支持处理投诉纠纷事件中的节点</w:t>
            </w:r>
          </w:p>
          <w:p>
            <w:pPr>
              <w:pStyle w:val="267"/>
              <w:numPr>
                <w:ilvl w:val="0"/>
                <w:numId w:val="102"/>
              </w:numPr>
              <w:spacing w:after="120" w:line="276" w:lineRule="auto"/>
              <w:ind w:firstLineChars="0"/>
              <w:rPr>
                <w:rFonts w:ascii="宋体" w:hAnsi="宋体" w:cs="宋体"/>
                <w:highlight w:val="none"/>
              </w:rPr>
            </w:pPr>
            <w:r>
              <w:rPr>
                <w:rFonts w:hint="eastAsia" w:ascii="宋体" w:hAnsi="宋体" w:cs="宋体"/>
                <w:highlight w:val="none"/>
              </w:rPr>
              <w:t>支持按照投诉时间查看投诉纠纷事件</w:t>
            </w:r>
          </w:p>
          <w:p>
            <w:pPr>
              <w:pStyle w:val="267"/>
              <w:numPr>
                <w:ilvl w:val="0"/>
                <w:numId w:val="102"/>
              </w:numPr>
              <w:spacing w:after="120" w:line="276" w:lineRule="auto"/>
              <w:ind w:firstLineChars="0"/>
              <w:rPr>
                <w:rFonts w:ascii="宋体" w:hAnsi="宋体" w:cs="宋体"/>
                <w:highlight w:val="none"/>
              </w:rPr>
            </w:pPr>
            <w:r>
              <w:rPr>
                <w:rFonts w:hint="eastAsia" w:ascii="宋体" w:hAnsi="宋体" w:cs="宋体"/>
                <w:highlight w:val="none"/>
              </w:rPr>
              <w:t>支持按照投诉编号、投诉类别、投诉日期、投诉性质、投诉方式排序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restart"/>
          </w:tcPr>
          <w:p>
            <w:pPr>
              <w:rPr>
                <w:rFonts w:ascii="宋体" w:hAnsi="宋体"/>
                <w:b/>
                <w:bCs/>
                <w:sz w:val="24"/>
                <w:highlight w:val="none"/>
              </w:rPr>
            </w:pPr>
            <w:r>
              <w:rPr>
                <w:rFonts w:ascii="宋体" w:hAnsi="宋体"/>
                <w:b/>
                <w:bCs/>
                <w:sz w:val="24"/>
                <w:highlight w:val="none"/>
              </w:rPr>
              <w:t>5</w:t>
            </w:r>
          </w:p>
        </w:tc>
        <w:tc>
          <w:tcPr>
            <w:tcW w:w="662" w:type="pct"/>
            <w:vMerge w:val="restart"/>
          </w:tcPr>
          <w:p>
            <w:pPr>
              <w:rPr>
                <w:rFonts w:ascii="宋体" w:hAnsi="宋体"/>
                <w:b/>
                <w:bCs/>
                <w:sz w:val="24"/>
                <w:highlight w:val="none"/>
              </w:rPr>
            </w:pPr>
            <w:r>
              <w:rPr>
                <w:rFonts w:hint="eastAsia" w:ascii="宋体" w:hAnsi="宋体"/>
                <w:b/>
                <w:bCs/>
                <w:sz w:val="24"/>
                <w:highlight w:val="none"/>
              </w:rPr>
              <w:t>医德医风</w:t>
            </w:r>
          </w:p>
        </w:tc>
        <w:tc>
          <w:tcPr>
            <w:tcW w:w="1164" w:type="pct"/>
          </w:tcPr>
          <w:p>
            <w:pPr>
              <w:rPr>
                <w:rFonts w:ascii="宋体" w:hAnsi="宋体"/>
                <w:sz w:val="24"/>
                <w:highlight w:val="none"/>
              </w:rPr>
            </w:pPr>
            <w:r>
              <w:rPr>
                <w:rFonts w:hint="eastAsia" w:ascii="宋体" w:hAnsi="宋体"/>
                <w:sz w:val="24"/>
                <w:highlight w:val="none"/>
              </w:rPr>
              <w:t>一、部门管理</w:t>
            </w:r>
          </w:p>
        </w:tc>
        <w:tc>
          <w:tcPr>
            <w:tcW w:w="2735" w:type="pct"/>
          </w:tcPr>
          <w:p>
            <w:pPr>
              <w:rPr>
                <w:rFonts w:ascii="宋体" w:hAnsi="宋体"/>
                <w:sz w:val="24"/>
                <w:highlight w:val="none"/>
              </w:rPr>
            </w:pPr>
            <w:r>
              <w:rPr>
                <w:rFonts w:hint="eastAsia" w:ascii="宋体" w:hAnsi="宋体"/>
                <w:sz w:val="24"/>
                <w:highlight w:val="none"/>
              </w:rPr>
              <w:t>1、支持职能管理部门新增</w:t>
            </w:r>
          </w:p>
          <w:p>
            <w:pPr>
              <w:rPr>
                <w:rFonts w:ascii="宋体" w:hAnsi="宋体"/>
                <w:sz w:val="24"/>
                <w:highlight w:val="none"/>
              </w:rPr>
            </w:pPr>
            <w:r>
              <w:rPr>
                <w:rFonts w:hint="eastAsia" w:ascii="宋体" w:hAnsi="宋体"/>
                <w:sz w:val="24"/>
                <w:highlight w:val="none"/>
              </w:rPr>
              <w:t>2、支持职能管理部门编辑</w:t>
            </w:r>
          </w:p>
          <w:p>
            <w:pPr>
              <w:rPr>
                <w:rFonts w:ascii="宋体" w:hAnsi="宋体"/>
                <w:sz w:val="24"/>
                <w:highlight w:val="none"/>
              </w:rPr>
            </w:pPr>
            <w:r>
              <w:rPr>
                <w:rFonts w:hint="eastAsia" w:ascii="宋体" w:hAnsi="宋体"/>
                <w:sz w:val="24"/>
                <w:highlight w:val="none"/>
              </w:rPr>
              <w:t>3、支持职能管理部门删除</w:t>
            </w:r>
          </w:p>
          <w:p>
            <w:pPr>
              <w:rPr>
                <w:rFonts w:ascii="宋体" w:hAnsi="宋体"/>
                <w:sz w:val="24"/>
                <w:highlight w:val="none"/>
              </w:rPr>
            </w:pPr>
            <w:r>
              <w:rPr>
                <w:rFonts w:hint="eastAsia" w:ascii="宋体" w:hAnsi="宋体"/>
                <w:sz w:val="24"/>
                <w:highlight w:val="none"/>
              </w:rPr>
              <w:t>4、支持医院所有科室管理</w:t>
            </w:r>
          </w:p>
          <w:p>
            <w:pPr>
              <w:rPr>
                <w:rFonts w:ascii="宋体" w:hAnsi="宋体"/>
                <w:sz w:val="24"/>
                <w:highlight w:val="none"/>
              </w:rPr>
            </w:pPr>
            <w:r>
              <w:rPr>
                <w:rFonts w:hint="eastAsia" w:ascii="宋体" w:hAnsi="宋体"/>
                <w:sz w:val="24"/>
                <w:highlight w:val="none"/>
              </w:rPr>
              <w:t>5、支持所有科室配置考评员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二、考评标准管理</w:t>
            </w:r>
          </w:p>
        </w:tc>
        <w:tc>
          <w:tcPr>
            <w:tcW w:w="2735" w:type="pct"/>
          </w:tcPr>
          <w:p>
            <w:pPr>
              <w:rPr>
                <w:rFonts w:ascii="宋体" w:hAnsi="宋体"/>
                <w:sz w:val="24"/>
                <w:highlight w:val="none"/>
              </w:rPr>
            </w:pPr>
            <w:r>
              <w:rPr>
                <w:rFonts w:hint="eastAsia" w:ascii="宋体" w:hAnsi="宋体"/>
                <w:sz w:val="24"/>
                <w:highlight w:val="none"/>
              </w:rPr>
              <w:t>1、支持考评标准新增</w:t>
            </w:r>
          </w:p>
          <w:p>
            <w:pPr>
              <w:rPr>
                <w:rFonts w:ascii="宋体" w:hAnsi="宋体"/>
                <w:sz w:val="24"/>
                <w:highlight w:val="none"/>
              </w:rPr>
            </w:pPr>
            <w:r>
              <w:rPr>
                <w:rFonts w:hint="eastAsia" w:ascii="宋体" w:hAnsi="宋体"/>
                <w:sz w:val="24"/>
                <w:highlight w:val="none"/>
              </w:rPr>
              <w:t>2、支持考评标准编辑</w:t>
            </w:r>
          </w:p>
          <w:p>
            <w:pPr>
              <w:rPr>
                <w:rFonts w:ascii="宋体" w:hAnsi="宋体"/>
                <w:sz w:val="24"/>
                <w:highlight w:val="none"/>
              </w:rPr>
            </w:pPr>
            <w:r>
              <w:rPr>
                <w:rFonts w:hint="eastAsia" w:ascii="宋体" w:hAnsi="宋体"/>
                <w:sz w:val="24"/>
                <w:highlight w:val="none"/>
              </w:rPr>
              <w:t>3、支持考评标准删除</w:t>
            </w:r>
          </w:p>
          <w:p>
            <w:pPr>
              <w:rPr>
                <w:rFonts w:ascii="宋体" w:hAnsi="宋体"/>
                <w:sz w:val="24"/>
                <w:highlight w:val="none"/>
              </w:rPr>
            </w:pPr>
            <w:r>
              <w:rPr>
                <w:rFonts w:hint="eastAsia" w:ascii="宋体" w:hAnsi="宋体"/>
                <w:sz w:val="24"/>
                <w:highlight w:val="none"/>
              </w:rPr>
              <w:t>4、支持考评项目加减分设置</w:t>
            </w:r>
          </w:p>
          <w:p>
            <w:pPr>
              <w:rPr>
                <w:rFonts w:ascii="宋体" w:hAnsi="宋体"/>
                <w:sz w:val="24"/>
                <w:highlight w:val="none"/>
              </w:rPr>
            </w:pPr>
            <w:r>
              <w:rPr>
                <w:rFonts w:hint="eastAsia" w:ascii="宋体" w:hAnsi="宋体"/>
                <w:sz w:val="24"/>
                <w:highlight w:val="none"/>
              </w:rPr>
              <w:t>5、支持考评项目加减分上限设置</w:t>
            </w:r>
          </w:p>
          <w:p>
            <w:pPr>
              <w:rPr>
                <w:rFonts w:ascii="宋体" w:hAnsi="宋体"/>
                <w:sz w:val="24"/>
                <w:highlight w:val="none"/>
              </w:rPr>
            </w:pPr>
            <w:r>
              <w:rPr>
                <w:rFonts w:hint="eastAsia" w:ascii="宋体" w:hAnsi="宋体"/>
                <w:sz w:val="24"/>
                <w:highlight w:val="none"/>
              </w:rPr>
              <w:t>6、支持考评标准材料提供部门设置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三、考评记录</w:t>
            </w:r>
          </w:p>
        </w:tc>
        <w:tc>
          <w:tcPr>
            <w:tcW w:w="2735" w:type="pct"/>
          </w:tcPr>
          <w:p>
            <w:pPr>
              <w:rPr>
                <w:rFonts w:ascii="宋体" w:hAnsi="宋体"/>
                <w:sz w:val="24"/>
                <w:highlight w:val="none"/>
              </w:rPr>
            </w:pPr>
            <w:r>
              <w:rPr>
                <w:rFonts w:hint="eastAsia" w:ascii="宋体" w:hAnsi="宋体"/>
                <w:sz w:val="24"/>
                <w:highlight w:val="none"/>
              </w:rPr>
              <w:t>1、支持考评项目加减分新增</w:t>
            </w:r>
          </w:p>
          <w:p>
            <w:pPr>
              <w:rPr>
                <w:rFonts w:ascii="宋体" w:hAnsi="宋体"/>
                <w:sz w:val="24"/>
                <w:highlight w:val="none"/>
              </w:rPr>
            </w:pPr>
            <w:r>
              <w:rPr>
                <w:rFonts w:hint="eastAsia" w:ascii="宋体" w:hAnsi="宋体"/>
                <w:sz w:val="24"/>
                <w:highlight w:val="none"/>
              </w:rPr>
              <w:t>2、支持考评项目加减分编辑</w:t>
            </w:r>
          </w:p>
          <w:p>
            <w:pPr>
              <w:rPr>
                <w:rFonts w:ascii="宋体" w:hAnsi="宋体"/>
                <w:sz w:val="24"/>
                <w:highlight w:val="none"/>
              </w:rPr>
            </w:pPr>
            <w:r>
              <w:rPr>
                <w:rFonts w:hint="eastAsia" w:ascii="宋体" w:hAnsi="宋体"/>
                <w:sz w:val="24"/>
                <w:highlight w:val="none"/>
              </w:rPr>
              <w:t>3、支持考评项目加减分删除</w:t>
            </w:r>
          </w:p>
          <w:p>
            <w:pPr>
              <w:rPr>
                <w:rFonts w:ascii="宋体" w:hAnsi="宋体"/>
                <w:sz w:val="24"/>
                <w:highlight w:val="none"/>
              </w:rPr>
            </w:pPr>
            <w:r>
              <w:rPr>
                <w:rFonts w:hint="eastAsia" w:ascii="宋体" w:hAnsi="宋体"/>
                <w:sz w:val="24"/>
                <w:highlight w:val="none"/>
              </w:rPr>
              <w:t>4、支持单个人员添加考评项目加减分</w:t>
            </w:r>
          </w:p>
          <w:p>
            <w:pPr>
              <w:rPr>
                <w:rFonts w:ascii="宋体" w:hAnsi="宋体"/>
                <w:sz w:val="24"/>
                <w:highlight w:val="none"/>
              </w:rPr>
            </w:pPr>
            <w:r>
              <w:rPr>
                <w:rFonts w:hint="eastAsia" w:ascii="宋体" w:hAnsi="宋体"/>
                <w:sz w:val="24"/>
                <w:highlight w:val="none"/>
              </w:rPr>
              <w:t>5、支持自评开关管理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四、我的考评</w:t>
            </w:r>
          </w:p>
        </w:tc>
        <w:tc>
          <w:tcPr>
            <w:tcW w:w="2735" w:type="pct"/>
          </w:tcPr>
          <w:p>
            <w:pPr>
              <w:rPr>
                <w:rFonts w:ascii="宋体" w:hAnsi="宋体"/>
                <w:sz w:val="24"/>
                <w:highlight w:val="none"/>
              </w:rPr>
            </w:pPr>
            <w:r>
              <w:rPr>
                <w:rFonts w:hint="eastAsia" w:ascii="宋体" w:hAnsi="宋体"/>
                <w:sz w:val="24"/>
                <w:highlight w:val="none"/>
              </w:rPr>
              <w:t>1、支持自我评价填写</w:t>
            </w:r>
          </w:p>
          <w:p>
            <w:pPr>
              <w:rPr>
                <w:rFonts w:ascii="宋体" w:hAnsi="宋体"/>
                <w:sz w:val="24"/>
                <w:highlight w:val="none"/>
              </w:rPr>
            </w:pPr>
            <w:r>
              <w:rPr>
                <w:rFonts w:hint="eastAsia" w:ascii="宋体" w:hAnsi="宋体"/>
                <w:sz w:val="24"/>
                <w:highlight w:val="none"/>
              </w:rPr>
              <w:t>2、支持考评年度搜索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五、考评管理</w:t>
            </w:r>
          </w:p>
        </w:tc>
        <w:tc>
          <w:tcPr>
            <w:tcW w:w="2735" w:type="pct"/>
          </w:tcPr>
          <w:p>
            <w:pPr>
              <w:rPr>
                <w:rFonts w:ascii="宋体" w:hAnsi="宋体"/>
                <w:sz w:val="24"/>
                <w:highlight w:val="none"/>
              </w:rPr>
            </w:pPr>
            <w:r>
              <w:rPr>
                <w:rFonts w:hint="eastAsia" w:ascii="宋体" w:hAnsi="宋体"/>
                <w:sz w:val="24"/>
                <w:highlight w:val="none"/>
              </w:rPr>
              <w:t>1、支持考评项目加减分新增</w:t>
            </w:r>
          </w:p>
          <w:p>
            <w:pPr>
              <w:rPr>
                <w:rFonts w:ascii="宋体" w:hAnsi="宋体"/>
                <w:sz w:val="24"/>
                <w:highlight w:val="none"/>
              </w:rPr>
            </w:pPr>
            <w:r>
              <w:rPr>
                <w:rFonts w:hint="eastAsia" w:ascii="宋体" w:hAnsi="宋体"/>
                <w:sz w:val="24"/>
                <w:highlight w:val="none"/>
              </w:rPr>
              <w:t>2、支持考评项目加减分编辑</w:t>
            </w:r>
          </w:p>
          <w:p>
            <w:pPr>
              <w:rPr>
                <w:rFonts w:ascii="宋体" w:hAnsi="宋体"/>
                <w:sz w:val="24"/>
                <w:highlight w:val="none"/>
              </w:rPr>
            </w:pPr>
            <w:r>
              <w:rPr>
                <w:rFonts w:hint="eastAsia" w:ascii="宋体" w:hAnsi="宋体"/>
                <w:sz w:val="24"/>
                <w:highlight w:val="none"/>
              </w:rPr>
              <w:t>3、支持考评项目加减分删除</w:t>
            </w:r>
          </w:p>
          <w:p>
            <w:pPr>
              <w:rPr>
                <w:rFonts w:ascii="宋体" w:hAnsi="宋体"/>
                <w:sz w:val="24"/>
                <w:highlight w:val="none"/>
              </w:rPr>
            </w:pPr>
            <w:r>
              <w:rPr>
                <w:rFonts w:hint="eastAsia" w:ascii="宋体" w:hAnsi="宋体"/>
                <w:sz w:val="24"/>
                <w:highlight w:val="none"/>
              </w:rPr>
              <w:t>4、支持单个人员添加考评项目加减分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六、考评结果</w:t>
            </w:r>
          </w:p>
        </w:tc>
        <w:tc>
          <w:tcPr>
            <w:tcW w:w="2735" w:type="pct"/>
          </w:tcPr>
          <w:p>
            <w:pPr>
              <w:rPr>
                <w:rFonts w:ascii="宋体" w:hAnsi="宋体"/>
                <w:sz w:val="24"/>
                <w:highlight w:val="none"/>
              </w:rPr>
            </w:pPr>
            <w:r>
              <w:rPr>
                <w:rFonts w:hint="eastAsia" w:ascii="宋体" w:hAnsi="宋体"/>
                <w:sz w:val="24"/>
                <w:highlight w:val="none"/>
              </w:rPr>
              <w:t>1、支持全院人员考评结果查看</w:t>
            </w:r>
          </w:p>
          <w:p>
            <w:pPr>
              <w:rPr>
                <w:rFonts w:ascii="宋体" w:hAnsi="宋体"/>
                <w:sz w:val="24"/>
                <w:highlight w:val="none"/>
              </w:rPr>
            </w:pPr>
            <w:r>
              <w:rPr>
                <w:rFonts w:hint="eastAsia" w:ascii="宋体" w:hAnsi="宋体"/>
                <w:sz w:val="24"/>
                <w:highlight w:val="none"/>
              </w:rPr>
              <w:t>2、支持单个人员考评细项查看</w:t>
            </w:r>
          </w:p>
          <w:p>
            <w:pPr>
              <w:rPr>
                <w:rFonts w:ascii="宋体" w:hAnsi="宋体"/>
                <w:sz w:val="24"/>
                <w:highlight w:val="none"/>
              </w:rPr>
            </w:pPr>
            <w:r>
              <w:rPr>
                <w:rFonts w:hint="eastAsia" w:ascii="宋体" w:hAnsi="宋体"/>
                <w:sz w:val="24"/>
                <w:highlight w:val="none"/>
              </w:rPr>
              <w:t>3、支持考评年度查询</w:t>
            </w:r>
          </w:p>
          <w:p>
            <w:pPr>
              <w:rPr>
                <w:rFonts w:ascii="宋体" w:hAnsi="宋体"/>
                <w:sz w:val="24"/>
                <w:highlight w:val="none"/>
              </w:rPr>
            </w:pPr>
            <w:r>
              <w:rPr>
                <w:rFonts w:hint="eastAsia" w:ascii="宋体" w:hAnsi="宋体"/>
                <w:sz w:val="24"/>
                <w:highlight w:val="none"/>
              </w:rPr>
              <w:t>4、支持科室搜索查询</w:t>
            </w:r>
          </w:p>
          <w:p>
            <w:pPr>
              <w:rPr>
                <w:rFonts w:ascii="宋体" w:hAnsi="宋体"/>
                <w:sz w:val="24"/>
                <w:highlight w:val="none"/>
              </w:rPr>
            </w:pPr>
            <w:r>
              <w:rPr>
                <w:rFonts w:hint="eastAsia" w:ascii="宋体" w:hAnsi="宋体"/>
                <w:sz w:val="24"/>
                <w:highlight w:val="none"/>
              </w:rPr>
              <w:t>5、支持人员考评等级设置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restart"/>
          </w:tcPr>
          <w:p>
            <w:pPr>
              <w:rPr>
                <w:rFonts w:ascii="宋体" w:hAnsi="宋体"/>
                <w:b/>
                <w:bCs/>
                <w:sz w:val="24"/>
                <w:highlight w:val="none"/>
              </w:rPr>
            </w:pPr>
            <w:r>
              <w:rPr>
                <w:rFonts w:ascii="宋体" w:hAnsi="宋体"/>
                <w:b/>
                <w:bCs/>
                <w:sz w:val="24"/>
                <w:highlight w:val="none"/>
              </w:rPr>
              <w:t>6</w:t>
            </w:r>
          </w:p>
        </w:tc>
        <w:tc>
          <w:tcPr>
            <w:tcW w:w="662" w:type="pct"/>
            <w:vMerge w:val="restart"/>
          </w:tcPr>
          <w:p>
            <w:pPr>
              <w:rPr>
                <w:rFonts w:ascii="宋体" w:hAnsi="宋体"/>
                <w:b/>
                <w:bCs/>
                <w:sz w:val="24"/>
                <w:highlight w:val="none"/>
              </w:rPr>
            </w:pPr>
            <w:r>
              <w:rPr>
                <w:rFonts w:hint="eastAsia" w:ascii="宋体" w:hAnsi="宋体"/>
                <w:b/>
                <w:bCs/>
                <w:sz w:val="24"/>
                <w:highlight w:val="none"/>
              </w:rPr>
              <w:t>不良事件上报管理</w:t>
            </w:r>
          </w:p>
        </w:tc>
        <w:tc>
          <w:tcPr>
            <w:tcW w:w="1164" w:type="pct"/>
          </w:tcPr>
          <w:p>
            <w:pPr>
              <w:rPr>
                <w:rFonts w:ascii="宋体" w:hAnsi="宋体"/>
                <w:sz w:val="24"/>
                <w:highlight w:val="none"/>
              </w:rPr>
            </w:pPr>
            <w:r>
              <w:rPr>
                <w:rFonts w:hint="eastAsia" w:ascii="宋体" w:hAnsi="宋体"/>
                <w:sz w:val="24"/>
                <w:highlight w:val="none"/>
              </w:rPr>
              <w:t>一、事件详情上报</w:t>
            </w:r>
          </w:p>
        </w:tc>
        <w:tc>
          <w:tcPr>
            <w:tcW w:w="2735" w:type="pct"/>
          </w:tcPr>
          <w:p>
            <w:pPr>
              <w:rPr>
                <w:rFonts w:ascii="宋体" w:hAnsi="宋体"/>
                <w:sz w:val="24"/>
                <w:highlight w:val="none"/>
              </w:rPr>
            </w:pPr>
            <w:r>
              <w:rPr>
                <w:rFonts w:hint="eastAsia" w:ascii="宋体" w:hAnsi="宋体"/>
                <w:sz w:val="24"/>
                <w:highlight w:val="none"/>
              </w:rPr>
              <w:t>1、支持不良事件实名上报</w:t>
            </w:r>
          </w:p>
          <w:p>
            <w:pPr>
              <w:rPr>
                <w:rFonts w:ascii="宋体" w:hAnsi="宋体"/>
                <w:sz w:val="24"/>
                <w:highlight w:val="none"/>
              </w:rPr>
            </w:pPr>
            <w:r>
              <w:rPr>
                <w:rFonts w:hint="eastAsia" w:ascii="宋体" w:hAnsi="宋体"/>
                <w:sz w:val="24"/>
                <w:highlight w:val="none"/>
              </w:rPr>
              <w:t>2、支持不良事件匿名上报</w:t>
            </w:r>
          </w:p>
          <w:p>
            <w:pPr>
              <w:rPr>
                <w:rFonts w:ascii="宋体" w:hAnsi="宋体"/>
                <w:sz w:val="24"/>
                <w:highlight w:val="none"/>
              </w:rPr>
            </w:pPr>
            <w:r>
              <w:rPr>
                <w:rFonts w:hint="eastAsia" w:ascii="宋体" w:hAnsi="宋体"/>
                <w:sz w:val="24"/>
                <w:highlight w:val="none"/>
              </w:rPr>
              <w:t>3、支持17种不良事件类型上报填写</w:t>
            </w:r>
          </w:p>
          <w:p>
            <w:pPr>
              <w:ind w:firstLine="240" w:firstLineChars="100"/>
              <w:rPr>
                <w:rFonts w:ascii="宋体" w:hAnsi="宋体"/>
                <w:sz w:val="24"/>
                <w:highlight w:val="none"/>
              </w:rPr>
            </w:pPr>
            <w:r>
              <w:rPr>
                <w:rFonts w:hint="eastAsia" w:ascii="宋体" w:hAnsi="宋体"/>
                <w:sz w:val="24"/>
                <w:highlight w:val="none"/>
              </w:rPr>
              <w:t>A、临床护理与管理</w:t>
            </w:r>
          </w:p>
          <w:p>
            <w:pPr>
              <w:ind w:firstLine="240" w:firstLineChars="100"/>
              <w:rPr>
                <w:rFonts w:ascii="宋体" w:hAnsi="宋体"/>
                <w:sz w:val="24"/>
                <w:highlight w:val="none"/>
              </w:rPr>
            </w:pPr>
            <w:r>
              <w:rPr>
                <w:rFonts w:hint="eastAsia" w:ascii="宋体" w:hAnsi="宋体"/>
                <w:sz w:val="24"/>
                <w:highlight w:val="none"/>
              </w:rPr>
              <w:t>B、举报与投诉</w:t>
            </w:r>
          </w:p>
          <w:p>
            <w:pPr>
              <w:ind w:firstLine="240" w:firstLineChars="100"/>
              <w:rPr>
                <w:rFonts w:ascii="宋体" w:hAnsi="宋体"/>
                <w:sz w:val="24"/>
                <w:highlight w:val="none"/>
              </w:rPr>
            </w:pPr>
            <w:r>
              <w:rPr>
                <w:rFonts w:hint="eastAsia" w:ascii="宋体" w:hAnsi="宋体"/>
                <w:sz w:val="24"/>
                <w:highlight w:val="none"/>
              </w:rPr>
              <w:t>C、药品使用与管理类</w:t>
            </w:r>
          </w:p>
          <w:p>
            <w:pPr>
              <w:ind w:firstLine="240" w:firstLineChars="100"/>
              <w:rPr>
                <w:rFonts w:ascii="宋体" w:hAnsi="宋体"/>
                <w:sz w:val="24"/>
                <w:highlight w:val="none"/>
              </w:rPr>
            </w:pPr>
            <w:r>
              <w:rPr>
                <w:rFonts w:hint="eastAsia" w:ascii="宋体" w:hAnsi="宋体"/>
                <w:sz w:val="24"/>
                <w:highlight w:val="none"/>
              </w:rPr>
              <w:t>D、麻醉使用与管理类</w:t>
            </w:r>
          </w:p>
          <w:p>
            <w:pPr>
              <w:ind w:firstLine="240" w:firstLineChars="100"/>
              <w:rPr>
                <w:rFonts w:ascii="宋体" w:hAnsi="宋体"/>
                <w:sz w:val="24"/>
                <w:highlight w:val="none"/>
              </w:rPr>
            </w:pPr>
            <w:r>
              <w:rPr>
                <w:rFonts w:hint="eastAsia" w:ascii="宋体" w:hAnsi="宋体"/>
                <w:sz w:val="24"/>
                <w:highlight w:val="none"/>
              </w:rPr>
              <w:t>E、体内假体装置移入物和移植物事件</w:t>
            </w:r>
          </w:p>
          <w:p>
            <w:pPr>
              <w:ind w:firstLine="240" w:firstLineChars="100"/>
              <w:rPr>
                <w:rFonts w:ascii="宋体" w:hAnsi="宋体"/>
                <w:sz w:val="24"/>
                <w:highlight w:val="none"/>
              </w:rPr>
            </w:pPr>
            <w:r>
              <w:rPr>
                <w:rFonts w:hint="eastAsia" w:ascii="宋体" w:hAnsi="宋体"/>
                <w:sz w:val="24"/>
                <w:highlight w:val="none"/>
              </w:rPr>
              <w:t>F、导管使用与管理类</w:t>
            </w:r>
          </w:p>
          <w:p>
            <w:pPr>
              <w:ind w:firstLine="240" w:firstLineChars="100"/>
              <w:rPr>
                <w:rFonts w:ascii="宋体" w:hAnsi="宋体"/>
                <w:sz w:val="24"/>
                <w:highlight w:val="none"/>
              </w:rPr>
            </w:pPr>
            <w:r>
              <w:rPr>
                <w:rFonts w:hint="eastAsia" w:ascii="宋体" w:hAnsi="宋体"/>
                <w:sz w:val="24"/>
                <w:highlight w:val="none"/>
              </w:rPr>
              <w:t>G、手术使用与管理类</w:t>
            </w:r>
          </w:p>
          <w:p>
            <w:pPr>
              <w:ind w:firstLine="240" w:firstLineChars="100"/>
              <w:rPr>
                <w:rFonts w:ascii="宋体" w:hAnsi="宋体"/>
                <w:sz w:val="24"/>
                <w:highlight w:val="none"/>
              </w:rPr>
            </w:pPr>
            <w:r>
              <w:rPr>
                <w:rFonts w:hint="eastAsia" w:ascii="宋体" w:hAnsi="宋体"/>
                <w:sz w:val="24"/>
                <w:highlight w:val="none"/>
              </w:rPr>
              <w:t>H、跌倒坠床事件类</w:t>
            </w:r>
          </w:p>
          <w:p>
            <w:pPr>
              <w:ind w:firstLine="240" w:firstLineChars="100"/>
              <w:rPr>
                <w:rFonts w:ascii="宋体" w:hAnsi="宋体"/>
                <w:sz w:val="24"/>
                <w:highlight w:val="none"/>
              </w:rPr>
            </w:pPr>
            <w:r>
              <w:rPr>
                <w:rFonts w:hint="eastAsia" w:ascii="宋体" w:hAnsi="宋体"/>
                <w:sz w:val="24"/>
                <w:highlight w:val="none"/>
              </w:rPr>
              <w:t>I、其他安全管理及意外伤害事件类</w:t>
            </w:r>
          </w:p>
          <w:p>
            <w:pPr>
              <w:ind w:firstLine="240" w:firstLineChars="100"/>
              <w:rPr>
                <w:rFonts w:ascii="宋体" w:hAnsi="宋体"/>
                <w:sz w:val="24"/>
                <w:highlight w:val="none"/>
              </w:rPr>
            </w:pPr>
            <w:r>
              <w:rPr>
                <w:rFonts w:hint="eastAsia" w:ascii="宋体" w:hAnsi="宋体"/>
                <w:sz w:val="24"/>
                <w:highlight w:val="none"/>
              </w:rPr>
              <w:t>J、输血使用与管理类</w:t>
            </w:r>
          </w:p>
          <w:p>
            <w:pPr>
              <w:ind w:firstLine="240" w:firstLineChars="100"/>
              <w:rPr>
                <w:rFonts w:ascii="宋体" w:hAnsi="宋体"/>
                <w:sz w:val="24"/>
                <w:highlight w:val="none"/>
              </w:rPr>
            </w:pPr>
            <w:r>
              <w:rPr>
                <w:rFonts w:hint="eastAsia" w:ascii="宋体" w:hAnsi="宋体"/>
                <w:sz w:val="24"/>
                <w:highlight w:val="none"/>
              </w:rPr>
              <w:t>K、药物不良反应事件</w:t>
            </w:r>
          </w:p>
          <w:p>
            <w:pPr>
              <w:ind w:firstLine="240" w:firstLineChars="100"/>
              <w:rPr>
                <w:rFonts w:ascii="宋体" w:hAnsi="宋体"/>
                <w:sz w:val="24"/>
                <w:highlight w:val="none"/>
              </w:rPr>
            </w:pPr>
            <w:r>
              <w:rPr>
                <w:rFonts w:hint="eastAsia" w:ascii="宋体" w:hAnsi="宋体"/>
                <w:sz w:val="24"/>
                <w:highlight w:val="none"/>
              </w:rPr>
              <w:t>L、输液反应事件类</w:t>
            </w:r>
          </w:p>
          <w:p>
            <w:pPr>
              <w:ind w:firstLine="240" w:firstLineChars="100"/>
              <w:rPr>
                <w:rFonts w:ascii="宋体" w:hAnsi="宋体"/>
                <w:sz w:val="24"/>
                <w:highlight w:val="none"/>
              </w:rPr>
            </w:pPr>
            <w:r>
              <w:rPr>
                <w:rFonts w:hint="eastAsia" w:ascii="宋体" w:hAnsi="宋体"/>
                <w:sz w:val="24"/>
                <w:highlight w:val="none"/>
              </w:rPr>
              <w:t>M、医技检查使用与管理类</w:t>
            </w:r>
          </w:p>
          <w:p>
            <w:pPr>
              <w:ind w:firstLine="240" w:firstLineChars="100"/>
              <w:rPr>
                <w:rFonts w:ascii="宋体" w:hAnsi="宋体"/>
                <w:sz w:val="24"/>
                <w:highlight w:val="none"/>
              </w:rPr>
            </w:pPr>
            <w:r>
              <w:rPr>
                <w:rFonts w:hint="eastAsia" w:ascii="宋体" w:hAnsi="宋体"/>
                <w:sz w:val="24"/>
                <w:highlight w:val="none"/>
              </w:rPr>
              <w:t>N、设备器械使用与管理类</w:t>
            </w:r>
          </w:p>
          <w:p>
            <w:pPr>
              <w:ind w:firstLine="240" w:firstLineChars="100"/>
              <w:rPr>
                <w:rFonts w:ascii="宋体" w:hAnsi="宋体"/>
                <w:sz w:val="24"/>
                <w:highlight w:val="none"/>
              </w:rPr>
            </w:pPr>
            <w:r>
              <w:rPr>
                <w:rFonts w:hint="eastAsia" w:ascii="宋体" w:hAnsi="宋体"/>
                <w:sz w:val="24"/>
                <w:highlight w:val="none"/>
              </w:rPr>
              <w:t>O、医院投诉</w:t>
            </w:r>
          </w:p>
          <w:p>
            <w:pPr>
              <w:ind w:firstLine="240" w:firstLineChars="100"/>
              <w:rPr>
                <w:rFonts w:ascii="宋体" w:hAnsi="宋体"/>
                <w:sz w:val="24"/>
                <w:highlight w:val="none"/>
              </w:rPr>
            </w:pPr>
            <w:r>
              <w:rPr>
                <w:rFonts w:hint="eastAsia" w:ascii="宋体" w:hAnsi="宋体"/>
                <w:sz w:val="24"/>
                <w:highlight w:val="none"/>
              </w:rPr>
              <w:t>P、住院压疮事件类</w:t>
            </w:r>
          </w:p>
          <w:p>
            <w:pPr>
              <w:ind w:firstLine="240" w:firstLineChars="100"/>
              <w:rPr>
                <w:rFonts w:ascii="宋体" w:hAnsi="宋体"/>
                <w:sz w:val="24"/>
                <w:highlight w:val="none"/>
              </w:rPr>
            </w:pPr>
            <w:r>
              <w:rPr>
                <w:rFonts w:hint="eastAsia" w:ascii="宋体" w:hAnsi="宋体"/>
                <w:sz w:val="24"/>
                <w:highlight w:val="none"/>
              </w:rPr>
              <w:t>Q、治疗与处置使用与管理类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二、已上报查看</w:t>
            </w:r>
          </w:p>
        </w:tc>
        <w:tc>
          <w:tcPr>
            <w:tcW w:w="2735" w:type="pct"/>
          </w:tcPr>
          <w:p>
            <w:pPr>
              <w:rPr>
                <w:rFonts w:ascii="宋体" w:hAnsi="宋体"/>
                <w:sz w:val="24"/>
                <w:highlight w:val="none"/>
              </w:rPr>
            </w:pPr>
            <w:r>
              <w:rPr>
                <w:rFonts w:hint="eastAsia" w:ascii="宋体" w:hAnsi="宋体"/>
                <w:sz w:val="24"/>
                <w:highlight w:val="none"/>
              </w:rPr>
              <w:t>1、支持查看已经上报的不良事件</w:t>
            </w:r>
          </w:p>
          <w:p>
            <w:pPr>
              <w:rPr>
                <w:rFonts w:ascii="宋体" w:hAnsi="宋体"/>
                <w:sz w:val="24"/>
                <w:highlight w:val="none"/>
              </w:rPr>
            </w:pPr>
            <w:r>
              <w:rPr>
                <w:rFonts w:hint="eastAsia" w:ascii="宋体" w:hAnsi="宋体"/>
                <w:sz w:val="24"/>
                <w:highlight w:val="none"/>
              </w:rPr>
              <w:t>2、支持编辑已保存的不良事件</w:t>
            </w:r>
          </w:p>
          <w:p>
            <w:pPr>
              <w:rPr>
                <w:rFonts w:ascii="宋体" w:hAnsi="宋体"/>
                <w:sz w:val="24"/>
                <w:highlight w:val="none"/>
              </w:rPr>
            </w:pPr>
            <w:r>
              <w:rPr>
                <w:rFonts w:hint="eastAsia" w:ascii="宋体" w:hAnsi="宋体"/>
                <w:sz w:val="24"/>
                <w:highlight w:val="none"/>
              </w:rPr>
              <w:t>3、支持查看已处理的不良事件处理结果</w:t>
            </w:r>
          </w:p>
          <w:p>
            <w:pPr>
              <w:rPr>
                <w:rFonts w:ascii="宋体" w:hAnsi="宋体"/>
                <w:sz w:val="24"/>
                <w:highlight w:val="none"/>
              </w:rPr>
            </w:pPr>
            <w:r>
              <w:rPr>
                <w:rFonts w:hint="eastAsia" w:ascii="宋体" w:hAnsi="宋体"/>
                <w:sz w:val="24"/>
                <w:highlight w:val="none"/>
              </w:rPr>
              <w:t>4、支持导出已上报的不良事件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三、已上报事件部门处理</w:t>
            </w:r>
          </w:p>
        </w:tc>
        <w:tc>
          <w:tcPr>
            <w:tcW w:w="2735" w:type="pct"/>
          </w:tcPr>
          <w:p>
            <w:pPr>
              <w:rPr>
                <w:rFonts w:ascii="宋体" w:hAnsi="宋体"/>
                <w:sz w:val="24"/>
                <w:highlight w:val="none"/>
              </w:rPr>
            </w:pPr>
            <w:r>
              <w:rPr>
                <w:rFonts w:hint="eastAsia" w:ascii="宋体" w:hAnsi="宋体"/>
                <w:sz w:val="24"/>
                <w:highlight w:val="none"/>
              </w:rPr>
              <w:t>1、未分配处理事件</w:t>
            </w:r>
          </w:p>
          <w:p>
            <w:pPr>
              <w:rPr>
                <w:rFonts w:ascii="宋体" w:hAnsi="宋体"/>
                <w:sz w:val="24"/>
                <w:highlight w:val="none"/>
              </w:rPr>
            </w:pPr>
            <w:r>
              <w:rPr>
                <w:rFonts w:hint="eastAsia" w:ascii="宋体" w:hAnsi="宋体"/>
                <w:sz w:val="24"/>
                <w:highlight w:val="none"/>
              </w:rPr>
              <w:t xml:space="preserve">  A、支持分配全院人员处理事件</w:t>
            </w:r>
          </w:p>
          <w:p>
            <w:pPr>
              <w:rPr>
                <w:rFonts w:ascii="宋体" w:hAnsi="宋体"/>
                <w:sz w:val="24"/>
                <w:highlight w:val="none"/>
              </w:rPr>
            </w:pPr>
            <w:r>
              <w:rPr>
                <w:rFonts w:hint="eastAsia" w:ascii="宋体" w:hAnsi="宋体"/>
                <w:sz w:val="24"/>
                <w:highlight w:val="none"/>
              </w:rPr>
              <w:t xml:space="preserve">  B、支持查看事件</w:t>
            </w:r>
          </w:p>
          <w:p>
            <w:pPr>
              <w:rPr>
                <w:rFonts w:ascii="宋体" w:hAnsi="宋体"/>
                <w:sz w:val="24"/>
                <w:highlight w:val="none"/>
              </w:rPr>
            </w:pPr>
            <w:r>
              <w:rPr>
                <w:rFonts w:hint="eastAsia" w:ascii="宋体" w:hAnsi="宋体"/>
                <w:sz w:val="24"/>
                <w:highlight w:val="none"/>
              </w:rPr>
              <w:t>2、已分配处理事件</w:t>
            </w:r>
          </w:p>
          <w:p>
            <w:pPr>
              <w:ind w:firstLine="240" w:firstLineChars="100"/>
              <w:rPr>
                <w:rFonts w:ascii="宋体" w:hAnsi="宋体"/>
                <w:sz w:val="24"/>
                <w:highlight w:val="none"/>
              </w:rPr>
            </w:pPr>
            <w:r>
              <w:rPr>
                <w:rFonts w:hint="eastAsia" w:ascii="宋体" w:hAnsi="宋体"/>
                <w:sz w:val="24"/>
                <w:highlight w:val="none"/>
              </w:rPr>
              <w:t>A、支持查看事件处理结果</w:t>
            </w:r>
          </w:p>
          <w:p>
            <w:pPr>
              <w:ind w:firstLine="240" w:firstLineChars="100"/>
              <w:rPr>
                <w:rFonts w:ascii="宋体" w:hAnsi="宋体"/>
                <w:sz w:val="24"/>
                <w:highlight w:val="none"/>
              </w:rPr>
            </w:pPr>
            <w:r>
              <w:rPr>
                <w:rFonts w:hint="eastAsia" w:ascii="宋体" w:hAnsi="宋体"/>
                <w:sz w:val="24"/>
                <w:highlight w:val="none"/>
              </w:rPr>
              <w:t>B、支持分配全院人员处理事件</w:t>
            </w:r>
          </w:p>
          <w:p>
            <w:pPr>
              <w:ind w:firstLine="240" w:firstLineChars="100"/>
              <w:rPr>
                <w:rFonts w:ascii="宋体" w:hAnsi="宋体"/>
                <w:sz w:val="24"/>
                <w:highlight w:val="none"/>
              </w:rPr>
            </w:pPr>
            <w:r>
              <w:rPr>
                <w:rFonts w:hint="eastAsia" w:ascii="宋体" w:hAnsi="宋体"/>
                <w:sz w:val="24"/>
                <w:highlight w:val="none"/>
              </w:rPr>
              <w:t>C、支持查看事件内容</w:t>
            </w:r>
          </w:p>
          <w:p>
            <w:pPr>
              <w:ind w:firstLine="240" w:firstLineChars="100"/>
              <w:rPr>
                <w:rFonts w:ascii="宋体" w:hAnsi="宋体"/>
                <w:sz w:val="24"/>
                <w:highlight w:val="none"/>
              </w:rPr>
            </w:pPr>
            <w:r>
              <w:rPr>
                <w:rFonts w:hint="eastAsia" w:ascii="宋体" w:hAnsi="宋体"/>
                <w:sz w:val="24"/>
                <w:highlight w:val="none"/>
              </w:rPr>
              <w:t>D、支持删除事件</w:t>
            </w:r>
          </w:p>
          <w:p>
            <w:pPr>
              <w:ind w:firstLine="240" w:firstLineChars="100"/>
              <w:rPr>
                <w:rFonts w:ascii="宋体" w:hAnsi="宋体"/>
                <w:sz w:val="24"/>
                <w:highlight w:val="none"/>
              </w:rPr>
            </w:pPr>
            <w:r>
              <w:rPr>
                <w:rFonts w:hint="eastAsia" w:ascii="宋体" w:hAnsi="宋体"/>
                <w:sz w:val="24"/>
                <w:highlight w:val="none"/>
              </w:rPr>
              <w:t>E、支持结案事件</w:t>
            </w:r>
          </w:p>
          <w:p>
            <w:pPr>
              <w:rPr>
                <w:rFonts w:ascii="宋体" w:hAnsi="宋体"/>
                <w:sz w:val="24"/>
                <w:highlight w:val="none"/>
              </w:rPr>
            </w:pPr>
            <w:r>
              <w:rPr>
                <w:rFonts w:hint="eastAsia" w:ascii="宋体" w:hAnsi="宋体"/>
                <w:sz w:val="24"/>
                <w:highlight w:val="none"/>
              </w:rPr>
              <w:t>3、已结案事件</w:t>
            </w:r>
          </w:p>
          <w:p>
            <w:pPr>
              <w:ind w:firstLine="240" w:firstLineChars="100"/>
              <w:rPr>
                <w:rFonts w:ascii="宋体" w:hAnsi="宋体"/>
                <w:sz w:val="24"/>
                <w:highlight w:val="none"/>
              </w:rPr>
            </w:pPr>
            <w:r>
              <w:rPr>
                <w:rFonts w:hint="eastAsia" w:ascii="宋体" w:hAnsi="宋体"/>
                <w:sz w:val="24"/>
                <w:highlight w:val="none"/>
              </w:rPr>
              <w:t>A、支持查看事件处理结果</w:t>
            </w:r>
          </w:p>
          <w:p>
            <w:pPr>
              <w:ind w:firstLine="240" w:firstLineChars="100"/>
              <w:rPr>
                <w:rFonts w:ascii="宋体" w:hAnsi="宋体"/>
                <w:sz w:val="24"/>
                <w:highlight w:val="none"/>
              </w:rPr>
            </w:pPr>
            <w:r>
              <w:rPr>
                <w:rFonts w:hint="eastAsia" w:ascii="宋体" w:hAnsi="宋体"/>
                <w:sz w:val="24"/>
                <w:highlight w:val="none"/>
              </w:rPr>
              <w:t>B、支持查看事件内容</w:t>
            </w:r>
          </w:p>
          <w:p>
            <w:pPr>
              <w:ind w:firstLine="240" w:firstLineChars="100"/>
              <w:rPr>
                <w:rFonts w:ascii="宋体" w:hAnsi="宋体"/>
                <w:sz w:val="24"/>
                <w:highlight w:val="none"/>
              </w:rPr>
            </w:pPr>
            <w:r>
              <w:rPr>
                <w:rFonts w:hint="eastAsia" w:ascii="宋体" w:hAnsi="宋体"/>
                <w:sz w:val="24"/>
                <w:highlight w:val="none"/>
              </w:rPr>
              <w:t>C、支持删除事件</w:t>
            </w:r>
          </w:p>
          <w:p>
            <w:pPr>
              <w:ind w:firstLine="240" w:firstLineChars="100"/>
              <w:rPr>
                <w:rFonts w:ascii="宋体" w:hAnsi="宋体"/>
                <w:sz w:val="24"/>
                <w:highlight w:val="none"/>
              </w:rPr>
            </w:pPr>
            <w:r>
              <w:rPr>
                <w:rFonts w:hint="eastAsia" w:ascii="宋体" w:hAnsi="宋体"/>
                <w:sz w:val="24"/>
                <w:highlight w:val="none"/>
              </w:rPr>
              <w:t>D、支持将不良事件上报院内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四、事件处理</w:t>
            </w:r>
          </w:p>
        </w:tc>
        <w:tc>
          <w:tcPr>
            <w:tcW w:w="2735" w:type="pct"/>
          </w:tcPr>
          <w:p>
            <w:pPr>
              <w:rPr>
                <w:rFonts w:ascii="宋体" w:hAnsi="宋体"/>
                <w:sz w:val="24"/>
                <w:highlight w:val="none"/>
              </w:rPr>
            </w:pPr>
            <w:r>
              <w:rPr>
                <w:rFonts w:hint="eastAsia" w:ascii="宋体" w:hAnsi="宋体"/>
                <w:sz w:val="24"/>
                <w:highlight w:val="none"/>
              </w:rPr>
              <w:t>1、支持根据事件状态查看事件</w:t>
            </w:r>
          </w:p>
          <w:p>
            <w:pPr>
              <w:rPr>
                <w:rFonts w:ascii="宋体" w:hAnsi="宋体"/>
                <w:sz w:val="24"/>
                <w:highlight w:val="none"/>
              </w:rPr>
            </w:pPr>
            <w:r>
              <w:rPr>
                <w:rFonts w:hint="eastAsia" w:ascii="宋体" w:hAnsi="宋体"/>
                <w:sz w:val="24"/>
                <w:highlight w:val="none"/>
              </w:rPr>
              <w:t>2、支持处理事件</w:t>
            </w:r>
          </w:p>
          <w:p>
            <w:pPr>
              <w:rPr>
                <w:rFonts w:ascii="宋体" w:hAnsi="宋体"/>
                <w:sz w:val="24"/>
                <w:highlight w:val="none"/>
              </w:rPr>
            </w:pPr>
            <w:r>
              <w:rPr>
                <w:rFonts w:hint="eastAsia" w:ascii="宋体" w:hAnsi="宋体"/>
                <w:sz w:val="24"/>
                <w:highlight w:val="none"/>
              </w:rPr>
              <w:t>3、支持查看事件处理结果</w:t>
            </w:r>
          </w:p>
          <w:p>
            <w:pPr>
              <w:rPr>
                <w:rFonts w:ascii="宋体" w:hAnsi="宋体"/>
                <w:sz w:val="24"/>
                <w:highlight w:val="none"/>
              </w:rPr>
            </w:pPr>
            <w:r>
              <w:rPr>
                <w:rFonts w:hint="eastAsia" w:ascii="宋体" w:hAnsi="宋体"/>
                <w:sz w:val="24"/>
                <w:highlight w:val="none"/>
              </w:rPr>
              <w:t>4、支持查看事件内容</w:t>
            </w:r>
          </w:p>
          <w:p>
            <w:pPr>
              <w:rPr>
                <w:rFonts w:ascii="宋体" w:hAnsi="宋体"/>
                <w:sz w:val="24"/>
                <w:highlight w:val="none"/>
              </w:rPr>
            </w:pPr>
            <w:r>
              <w:rPr>
                <w:rFonts w:hint="eastAsia" w:ascii="宋体" w:hAnsi="宋体"/>
                <w:sz w:val="24"/>
                <w:highlight w:val="none"/>
              </w:rPr>
              <w:t>5、支持分配全院人员处理事件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五、不良事件统计分析</w:t>
            </w:r>
          </w:p>
        </w:tc>
        <w:tc>
          <w:tcPr>
            <w:tcW w:w="2735" w:type="pct"/>
          </w:tcPr>
          <w:p>
            <w:pPr>
              <w:rPr>
                <w:rFonts w:ascii="宋体" w:hAnsi="宋体"/>
                <w:sz w:val="24"/>
                <w:highlight w:val="none"/>
              </w:rPr>
            </w:pPr>
            <w:r>
              <w:rPr>
                <w:rFonts w:hint="eastAsia" w:ascii="宋体" w:hAnsi="宋体"/>
                <w:sz w:val="24"/>
                <w:highlight w:val="none"/>
              </w:rPr>
              <w:t>1、事件类型分析</w:t>
            </w:r>
          </w:p>
          <w:p>
            <w:pPr>
              <w:rPr>
                <w:rFonts w:ascii="宋体" w:hAnsi="宋体"/>
                <w:sz w:val="24"/>
                <w:highlight w:val="none"/>
              </w:rPr>
            </w:pPr>
            <w:r>
              <w:rPr>
                <w:rFonts w:hint="eastAsia" w:ascii="宋体" w:hAnsi="宋体"/>
                <w:sz w:val="24"/>
                <w:highlight w:val="none"/>
              </w:rPr>
              <w:t xml:space="preserve"> A、支持上报时间分析</w:t>
            </w:r>
          </w:p>
          <w:p>
            <w:pPr>
              <w:rPr>
                <w:rFonts w:ascii="宋体" w:hAnsi="宋体"/>
                <w:sz w:val="24"/>
                <w:highlight w:val="none"/>
              </w:rPr>
            </w:pPr>
            <w:r>
              <w:rPr>
                <w:rFonts w:hint="eastAsia" w:ascii="宋体" w:hAnsi="宋体"/>
                <w:sz w:val="24"/>
                <w:highlight w:val="none"/>
              </w:rPr>
              <w:t xml:space="preserve"> B、支持事件状态分析</w:t>
            </w:r>
          </w:p>
          <w:p>
            <w:pPr>
              <w:rPr>
                <w:rFonts w:ascii="宋体" w:hAnsi="宋体"/>
                <w:sz w:val="24"/>
                <w:highlight w:val="none"/>
              </w:rPr>
            </w:pPr>
            <w:r>
              <w:rPr>
                <w:rFonts w:hint="eastAsia" w:ascii="宋体" w:hAnsi="宋体"/>
                <w:sz w:val="24"/>
                <w:highlight w:val="none"/>
              </w:rPr>
              <w:t xml:space="preserve"> C、支持饼状图表分析</w:t>
            </w:r>
          </w:p>
          <w:p>
            <w:pPr>
              <w:rPr>
                <w:rFonts w:ascii="宋体" w:hAnsi="宋体"/>
                <w:sz w:val="24"/>
                <w:highlight w:val="none"/>
              </w:rPr>
            </w:pPr>
            <w:r>
              <w:rPr>
                <w:rFonts w:hint="eastAsia" w:ascii="宋体" w:hAnsi="宋体"/>
                <w:sz w:val="24"/>
                <w:highlight w:val="none"/>
              </w:rPr>
              <w:t xml:space="preserve"> D、支持饼状图表复制粘贴</w:t>
            </w:r>
          </w:p>
          <w:p>
            <w:pPr>
              <w:rPr>
                <w:rFonts w:ascii="宋体" w:hAnsi="宋体"/>
                <w:sz w:val="24"/>
                <w:highlight w:val="none"/>
              </w:rPr>
            </w:pPr>
            <w:r>
              <w:rPr>
                <w:rFonts w:hint="eastAsia" w:ascii="宋体" w:hAnsi="宋体"/>
                <w:sz w:val="24"/>
                <w:highlight w:val="none"/>
              </w:rPr>
              <w:t xml:space="preserve"> E、支持事件详情查看</w:t>
            </w:r>
          </w:p>
          <w:p>
            <w:pPr>
              <w:rPr>
                <w:rFonts w:ascii="宋体" w:hAnsi="宋体"/>
                <w:sz w:val="24"/>
                <w:highlight w:val="none"/>
              </w:rPr>
            </w:pPr>
            <w:r>
              <w:rPr>
                <w:rFonts w:hint="eastAsia" w:ascii="宋体" w:hAnsi="宋体"/>
                <w:sz w:val="24"/>
                <w:highlight w:val="none"/>
              </w:rPr>
              <w:t>2、事件基本信息分析</w:t>
            </w:r>
          </w:p>
          <w:p>
            <w:pPr>
              <w:rPr>
                <w:rFonts w:ascii="宋体" w:hAnsi="宋体"/>
                <w:sz w:val="24"/>
                <w:highlight w:val="none"/>
              </w:rPr>
            </w:pPr>
            <w:r>
              <w:rPr>
                <w:rFonts w:hint="eastAsia" w:ascii="宋体" w:hAnsi="宋体"/>
                <w:sz w:val="24"/>
                <w:highlight w:val="none"/>
              </w:rPr>
              <w:t xml:space="preserve"> A、支持事件开始时间分析</w:t>
            </w:r>
          </w:p>
          <w:p>
            <w:pPr>
              <w:rPr>
                <w:rFonts w:ascii="宋体" w:hAnsi="宋体"/>
                <w:sz w:val="24"/>
                <w:highlight w:val="none"/>
              </w:rPr>
            </w:pPr>
            <w:r>
              <w:rPr>
                <w:rFonts w:hint="eastAsia" w:ascii="宋体" w:hAnsi="宋体"/>
                <w:sz w:val="24"/>
                <w:highlight w:val="none"/>
              </w:rPr>
              <w:t xml:space="preserve"> B、支持事件结束时间分析</w:t>
            </w:r>
          </w:p>
          <w:p>
            <w:pPr>
              <w:rPr>
                <w:rFonts w:ascii="宋体" w:hAnsi="宋体"/>
                <w:sz w:val="24"/>
                <w:highlight w:val="none"/>
              </w:rPr>
            </w:pPr>
            <w:r>
              <w:rPr>
                <w:rFonts w:hint="eastAsia" w:ascii="宋体" w:hAnsi="宋体"/>
                <w:sz w:val="24"/>
                <w:highlight w:val="none"/>
              </w:rPr>
              <w:t xml:space="preserve"> C、支持事件状态分析</w:t>
            </w:r>
          </w:p>
          <w:p>
            <w:pPr>
              <w:ind w:firstLine="240" w:firstLineChars="100"/>
              <w:rPr>
                <w:rFonts w:ascii="宋体" w:hAnsi="宋体"/>
                <w:sz w:val="24"/>
                <w:highlight w:val="none"/>
              </w:rPr>
            </w:pPr>
            <w:r>
              <w:rPr>
                <w:rFonts w:hint="eastAsia" w:ascii="宋体" w:hAnsi="宋体"/>
                <w:sz w:val="24"/>
                <w:highlight w:val="none"/>
              </w:rPr>
              <w:t>D、支持涉及科室分析</w:t>
            </w:r>
          </w:p>
          <w:p>
            <w:pPr>
              <w:ind w:firstLine="240" w:firstLineChars="100"/>
              <w:rPr>
                <w:rFonts w:ascii="宋体" w:hAnsi="宋体"/>
                <w:sz w:val="24"/>
                <w:highlight w:val="none"/>
              </w:rPr>
            </w:pPr>
            <w:r>
              <w:rPr>
                <w:rFonts w:hint="eastAsia" w:ascii="宋体" w:hAnsi="宋体"/>
                <w:sz w:val="24"/>
                <w:highlight w:val="none"/>
              </w:rPr>
              <w:t>E、支持事件严重程度分析</w:t>
            </w:r>
          </w:p>
          <w:p>
            <w:pPr>
              <w:ind w:firstLine="240" w:firstLineChars="100"/>
              <w:rPr>
                <w:rFonts w:ascii="宋体" w:hAnsi="宋体"/>
                <w:sz w:val="24"/>
                <w:highlight w:val="none"/>
              </w:rPr>
            </w:pPr>
            <w:r>
              <w:rPr>
                <w:rFonts w:hint="eastAsia" w:ascii="宋体" w:hAnsi="宋体"/>
                <w:sz w:val="24"/>
                <w:highlight w:val="none"/>
              </w:rPr>
              <w:t>F、支持事件等级分析</w:t>
            </w:r>
          </w:p>
          <w:p>
            <w:pPr>
              <w:ind w:firstLine="240" w:firstLineChars="100"/>
              <w:rPr>
                <w:rFonts w:ascii="宋体" w:hAnsi="宋体"/>
                <w:sz w:val="24"/>
                <w:highlight w:val="none"/>
              </w:rPr>
            </w:pPr>
            <w:r>
              <w:rPr>
                <w:rFonts w:hint="eastAsia" w:ascii="宋体" w:hAnsi="宋体"/>
                <w:sz w:val="24"/>
                <w:highlight w:val="none"/>
              </w:rPr>
              <w:t>G、支持诊疗途径分析</w:t>
            </w:r>
          </w:p>
          <w:p>
            <w:pPr>
              <w:ind w:firstLine="240" w:firstLineChars="100"/>
              <w:rPr>
                <w:rFonts w:ascii="宋体" w:hAnsi="宋体"/>
                <w:sz w:val="24"/>
                <w:highlight w:val="none"/>
              </w:rPr>
            </w:pPr>
            <w:r>
              <w:rPr>
                <w:rFonts w:hint="eastAsia" w:ascii="宋体" w:hAnsi="宋体"/>
                <w:sz w:val="24"/>
                <w:highlight w:val="none"/>
              </w:rPr>
              <w:t>H、支持事件发生地点分析</w:t>
            </w:r>
          </w:p>
          <w:p>
            <w:pPr>
              <w:ind w:firstLine="240" w:firstLineChars="100"/>
              <w:rPr>
                <w:rFonts w:ascii="宋体" w:hAnsi="宋体"/>
                <w:sz w:val="24"/>
                <w:highlight w:val="none"/>
              </w:rPr>
            </w:pPr>
            <w:r>
              <w:rPr>
                <w:rFonts w:hint="eastAsia" w:ascii="宋体" w:hAnsi="宋体"/>
                <w:sz w:val="24"/>
                <w:highlight w:val="none"/>
              </w:rPr>
              <w:t>I、支持疾病类别分析</w:t>
            </w:r>
          </w:p>
          <w:p>
            <w:pPr>
              <w:ind w:firstLine="240" w:firstLineChars="100"/>
              <w:rPr>
                <w:rFonts w:ascii="宋体" w:hAnsi="宋体"/>
                <w:sz w:val="24"/>
                <w:highlight w:val="none"/>
              </w:rPr>
            </w:pPr>
            <w:r>
              <w:rPr>
                <w:rFonts w:hint="eastAsia" w:ascii="宋体" w:hAnsi="宋体"/>
                <w:sz w:val="24"/>
                <w:highlight w:val="none"/>
              </w:rPr>
              <w:t>J、支持服务类别分析</w:t>
            </w:r>
          </w:p>
          <w:p>
            <w:pPr>
              <w:ind w:firstLine="240" w:firstLineChars="100"/>
              <w:rPr>
                <w:rFonts w:ascii="宋体" w:hAnsi="宋体"/>
                <w:sz w:val="24"/>
                <w:highlight w:val="none"/>
              </w:rPr>
            </w:pPr>
            <w:r>
              <w:rPr>
                <w:rFonts w:hint="eastAsia" w:ascii="宋体" w:hAnsi="宋体"/>
                <w:sz w:val="24"/>
                <w:highlight w:val="none"/>
              </w:rPr>
              <w:t>K、支持病人状态分析</w:t>
            </w:r>
          </w:p>
          <w:p>
            <w:pPr>
              <w:ind w:firstLine="240" w:firstLineChars="100"/>
              <w:rPr>
                <w:rFonts w:ascii="宋体" w:hAnsi="宋体"/>
                <w:sz w:val="24"/>
                <w:highlight w:val="none"/>
              </w:rPr>
            </w:pPr>
            <w:r>
              <w:rPr>
                <w:rFonts w:hint="eastAsia" w:ascii="宋体" w:hAnsi="宋体"/>
                <w:sz w:val="24"/>
                <w:highlight w:val="none"/>
              </w:rPr>
              <w:t>L、支持功能损害分析</w:t>
            </w:r>
          </w:p>
          <w:p>
            <w:pPr>
              <w:ind w:firstLine="240" w:firstLineChars="100"/>
              <w:rPr>
                <w:rFonts w:ascii="宋体" w:hAnsi="宋体"/>
                <w:sz w:val="24"/>
                <w:highlight w:val="none"/>
              </w:rPr>
            </w:pPr>
            <w:r>
              <w:rPr>
                <w:rFonts w:hint="eastAsia" w:ascii="宋体" w:hAnsi="宋体"/>
                <w:sz w:val="24"/>
                <w:highlight w:val="none"/>
              </w:rPr>
              <w:t>M、支持上报者科室分析</w:t>
            </w:r>
          </w:p>
          <w:p>
            <w:pPr>
              <w:ind w:firstLine="240" w:firstLineChars="100"/>
              <w:rPr>
                <w:rFonts w:ascii="宋体" w:hAnsi="宋体"/>
                <w:sz w:val="24"/>
                <w:highlight w:val="none"/>
              </w:rPr>
            </w:pPr>
            <w:r>
              <w:rPr>
                <w:rFonts w:hint="eastAsia" w:ascii="宋体" w:hAnsi="宋体"/>
                <w:sz w:val="24"/>
                <w:highlight w:val="none"/>
              </w:rPr>
              <w:t>N、支持所有不良事件列表数据统计</w:t>
            </w:r>
          </w:p>
          <w:p>
            <w:pPr>
              <w:ind w:firstLine="240" w:firstLineChars="100"/>
              <w:rPr>
                <w:rFonts w:ascii="宋体" w:hAnsi="宋体"/>
                <w:sz w:val="24"/>
                <w:highlight w:val="none"/>
              </w:rPr>
            </w:pPr>
            <w:r>
              <w:rPr>
                <w:rFonts w:hint="eastAsia" w:ascii="宋体" w:hAnsi="宋体"/>
                <w:sz w:val="24"/>
                <w:highlight w:val="none"/>
              </w:rPr>
              <w:t>O、支持分析后不良事件记录导出</w:t>
            </w:r>
          </w:p>
          <w:p>
            <w:pPr>
              <w:rPr>
                <w:rFonts w:ascii="宋体" w:hAnsi="宋体"/>
                <w:sz w:val="24"/>
                <w:highlight w:val="none"/>
              </w:rPr>
            </w:pPr>
            <w:r>
              <w:rPr>
                <w:rFonts w:hint="eastAsia" w:ascii="宋体" w:hAnsi="宋体"/>
                <w:sz w:val="24"/>
                <w:highlight w:val="none"/>
              </w:rPr>
              <w:t>3、事件级别分析</w:t>
            </w:r>
          </w:p>
          <w:p>
            <w:pPr>
              <w:rPr>
                <w:rFonts w:ascii="宋体" w:hAnsi="宋体"/>
                <w:sz w:val="24"/>
                <w:highlight w:val="none"/>
              </w:rPr>
            </w:pPr>
            <w:r>
              <w:rPr>
                <w:rFonts w:hint="eastAsia" w:ascii="宋体" w:hAnsi="宋体"/>
                <w:sz w:val="24"/>
                <w:highlight w:val="none"/>
              </w:rPr>
              <w:t xml:space="preserve"> A、支持事件级别柱状图表分析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六、已上报院内查看</w:t>
            </w:r>
          </w:p>
        </w:tc>
        <w:tc>
          <w:tcPr>
            <w:tcW w:w="2735" w:type="pct"/>
          </w:tcPr>
          <w:p>
            <w:pPr>
              <w:rPr>
                <w:rFonts w:ascii="宋体" w:hAnsi="宋体"/>
                <w:sz w:val="24"/>
                <w:highlight w:val="none"/>
              </w:rPr>
            </w:pPr>
            <w:r>
              <w:rPr>
                <w:rFonts w:hint="eastAsia" w:ascii="宋体" w:hAnsi="宋体"/>
                <w:sz w:val="24"/>
                <w:highlight w:val="none"/>
              </w:rPr>
              <w:t>1、支持事件处理结果查看</w:t>
            </w:r>
          </w:p>
          <w:p>
            <w:pPr>
              <w:rPr>
                <w:rFonts w:ascii="宋体" w:hAnsi="宋体"/>
                <w:sz w:val="24"/>
                <w:highlight w:val="none"/>
              </w:rPr>
            </w:pPr>
            <w:r>
              <w:rPr>
                <w:rFonts w:hint="eastAsia" w:ascii="宋体" w:hAnsi="宋体"/>
                <w:sz w:val="24"/>
                <w:highlight w:val="none"/>
              </w:rPr>
              <w:t>2、支持事件内容查看</w:t>
            </w:r>
          </w:p>
          <w:p>
            <w:pPr>
              <w:rPr>
                <w:rFonts w:ascii="宋体" w:hAnsi="宋体"/>
                <w:sz w:val="24"/>
                <w:highlight w:val="none"/>
              </w:rPr>
            </w:pPr>
            <w:r>
              <w:rPr>
                <w:rFonts w:hint="eastAsia" w:ascii="宋体" w:hAnsi="宋体"/>
                <w:sz w:val="24"/>
                <w:highlight w:val="none"/>
              </w:rPr>
              <w:t>3、支持已上报院内事件查看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Pr>
          <w:p>
            <w:pPr>
              <w:rPr>
                <w:rFonts w:ascii="宋体" w:hAnsi="宋体"/>
                <w:b/>
                <w:bCs/>
                <w:sz w:val="24"/>
                <w:highlight w:val="none"/>
              </w:rPr>
            </w:pPr>
          </w:p>
        </w:tc>
        <w:tc>
          <w:tcPr>
            <w:tcW w:w="662" w:type="pct"/>
            <w:vMerge w:val="continue"/>
          </w:tcPr>
          <w:p>
            <w:pPr>
              <w:rPr>
                <w:rFonts w:ascii="宋体" w:hAnsi="宋体"/>
                <w:b/>
                <w:bCs/>
                <w:sz w:val="24"/>
                <w:highlight w:val="none"/>
              </w:rPr>
            </w:pPr>
          </w:p>
        </w:tc>
        <w:tc>
          <w:tcPr>
            <w:tcW w:w="1164" w:type="pct"/>
          </w:tcPr>
          <w:p>
            <w:pPr>
              <w:rPr>
                <w:rFonts w:ascii="宋体" w:hAnsi="宋体"/>
                <w:sz w:val="24"/>
                <w:highlight w:val="none"/>
              </w:rPr>
            </w:pPr>
            <w:r>
              <w:rPr>
                <w:rFonts w:hint="eastAsia" w:ascii="宋体" w:hAnsi="宋体"/>
                <w:sz w:val="24"/>
                <w:highlight w:val="none"/>
              </w:rPr>
              <w:t>七、表单配置</w:t>
            </w:r>
          </w:p>
        </w:tc>
        <w:tc>
          <w:tcPr>
            <w:tcW w:w="2735" w:type="pct"/>
          </w:tcPr>
          <w:p>
            <w:pPr>
              <w:rPr>
                <w:rFonts w:ascii="宋体" w:hAnsi="宋体"/>
                <w:sz w:val="24"/>
                <w:highlight w:val="none"/>
              </w:rPr>
            </w:pPr>
            <w:r>
              <w:rPr>
                <w:rFonts w:hint="eastAsia" w:ascii="宋体" w:hAnsi="宋体"/>
                <w:sz w:val="24"/>
                <w:highlight w:val="none"/>
              </w:rPr>
              <w:t>1、事件类型配置</w:t>
            </w:r>
          </w:p>
          <w:p>
            <w:pPr>
              <w:rPr>
                <w:rFonts w:ascii="宋体" w:hAnsi="宋体"/>
                <w:sz w:val="24"/>
                <w:highlight w:val="none"/>
              </w:rPr>
            </w:pPr>
            <w:r>
              <w:rPr>
                <w:rFonts w:hint="eastAsia" w:ascii="宋体" w:hAnsi="宋体"/>
                <w:sz w:val="24"/>
                <w:highlight w:val="none"/>
              </w:rPr>
              <w:t xml:space="preserve"> A、支持不良事件类型新增</w:t>
            </w:r>
          </w:p>
          <w:p>
            <w:pPr>
              <w:rPr>
                <w:rFonts w:ascii="宋体" w:hAnsi="宋体"/>
                <w:sz w:val="24"/>
                <w:highlight w:val="none"/>
              </w:rPr>
            </w:pPr>
            <w:r>
              <w:rPr>
                <w:rFonts w:hint="eastAsia" w:ascii="宋体" w:hAnsi="宋体"/>
                <w:sz w:val="24"/>
                <w:highlight w:val="none"/>
              </w:rPr>
              <w:t xml:space="preserve"> B、支持不良事件类型编辑</w:t>
            </w:r>
          </w:p>
          <w:p>
            <w:pPr>
              <w:rPr>
                <w:rFonts w:ascii="宋体" w:hAnsi="宋体"/>
                <w:sz w:val="24"/>
                <w:highlight w:val="none"/>
              </w:rPr>
            </w:pPr>
            <w:r>
              <w:rPr>
                <w:rFonts w:hint="eastAsia" w:ascii="宋体" w:hAnsi="宋体"/>
                <w:sz w:val="24"/>
                <w:highlight w:val="none"/>
              </w:rPr>
              <w:t xml:space="preserve"> C、支持不良事件类型删除</w:t>
            </w:r>
          </w:p>
          <w:p>
            <w:pPr>
              <w:rPr>
                <w:rFonts w:ascii="宋体" w:hAnsi="宋体"/>
                <w:sz w:val="24"/>
                <w:highlight w:val="none"/>
              </w:rPr>
            </w:pPr>
            <w:r>
              <w:rPr>
                <w:rFonts w:hint="eastAsia" w:ascii="宋体" w:hAnsi="宋体"/>
                <w:sz w:val="24"/>
                <w:highlight w:val="none"/>
              </w:rPr>
              <w:t xml:space="preserve"> D、支持不良事件具体表单配置</w:t>
            </w:r>
          </w:p>
          <w:p>
            <w:pPr>
              <w:rPr>
                <w:rFonts w:ascii="宋体" w:hAnsi="宋体"/>
                <w:sz w:val="24"/>
                <w:highlight w:val="none"/>
              </w:rPr>
            </w:pPr>
            <w:r>
              <w:rPr>
                <w:rFonts w:hint="eastAsia" w:ascii="宋体" w:hAnsi="宋体"/>
                <w:sz w:val="24"/>
                <w:highlight w:val="none"/>
              </w:rPr>
              <w:t>2、基础表单配置</w:t>
            </w:r>
          </w:p>
          <w:p>
            <w:pPr>
              <w:rPr>
                <w:rFonts w:ascii="宋体" w:hAnsi="宋体"/>
                <w:sz w:val="24"/>
                <w:highlight w:val="none"/>
              </w:rPr>
            </w:pPr>
            <w:r>
              <w:rPr>
                <w:rFonts w:hint="eastAsia" w:ascii="宋体" w:hAnsi="宋体"/>
                <w:sz w:val="24"/>
                <w:highlight w:val="none"/>
              </w:rPr>
              <w:t xml:space="preserve"> A、支持不良事件基础表单界面名称配置</w:t>
            </w:r>
          </w:p>
          <w:p>
            <w:pPr>
              <w:rPr>
                <w:rFonts w:ascii="宋体" w:hAnsi="宋体"/>
                <w:sz w:val="24"/>
                <w:highlight w:val="none"/>
              </w:rPr>
            </w:pPr>
            <w:r>
              <w:rPr>
                <w:rFonts w:hint="eastAsia" w:ascii="宋体" w:hAnsi="宋体"/>
                <w:sz w:val="24"/>
                <w:highlight w:val="none"/>
              </w:rPr>
              <w:t xml:space="preserve"> B、支持不良事件副标题配置</w:t>
            </w:r>
          </w:p>
          <w:p>
            <w:pPr>
              <w:rPr>
                <w:rFonts w:ascii="宋体" w:hAnsi="宋体"/>
                <w:sz w:val="24"/>
                <w:highlight w:val="none"/>
              </w:rPr>
            </w:pPr>
            <w:r>
              <w:rPr>
                <w:rFonts w:hint="eastAsia" w:ascii="宋体" w:hAnsi="宋体"/>
                <w:sz w:val="24"/>
                <w:highlight w:val="none"/>
              </w:rPr>
              <w:t>3、流程管理</w:t>
            </w:r>
          </w:p>
          <w:p>
            <w:pPr>
              <w:rPr>
                <w:rFonts w:ascii="宋体" w:hAnsi="宋体"/>
                <w:sz w:val="24"/>
                <w:highlight w:val="none"/>
              </w:rPr>
            </w:pPr>
            <w:r>
              <w:rPr>
                <w:rFonts w:hint="eastAsia" w:ascii="宋体" w:hAnsi="宋体"/>
                <w:sz w:val="24"/>
                <w:highlight w:val="none"/>
              </w:rPr>
              <w:t xml:space="preserve"> A、支持不良事件流程新增</w:t>
            </w:r>
          </w:p>
          <w:p>
            <w:pPr>
              <w:rPr>
                <w:rFonts w:ascii="宋体" w:hAnsi="宋体"/>
                <w:sz w:val="24"/>
                <w:highlight w:val="none"/>
              </w:rPr>
            </w:pPr>
            <w:r>
              <w:rPr>
                <w:rFonts w:hint="eastAsia" w:ascii="宋体" w:hAnsi="宋体"/>
                <w:sz w:val="24"/>
                <w:highlight w:val="none"/>
              </w:rPr>
              <w:t xml:space="preserve"> B、支持不良事件流程编辑</w:t>
            </w:r>
          </w:p>
          <w:p>
            <w:pPr>
              <w:rPr>
                <w:rFonts w:ascii="宋体" w:hAnsi="宋体"/>
                <w:sz w:val="24"/>
                <w:highlight w:val="none"/>
              </w:rPr>
            </w:pPr>
            <w:r>
              <w:rPr>
                <w:rFonts w:hint="eastAsia" w:ascii="宋体" w:hAnsi="宋体"/>
                <w:sz w:val="24"/>
                <w:highlight w:val="none"/>
              </w:rPr>
              <w:t xml:space="preserve"> C、支持不良事件流程删除</w:t>
            </w:r>
          </w:p>
          <w:p>
            <w:pPr>
              <w:rPr>
                <w:rFonts w:ascii="宋体" w:hAnsi="宋体"/>
                <w:sz w:val="24"/>
                <w:highlight w:val="none"/>
              </w:rPr>
            </w:pPr>
            <w:r>
              <w:rPr>
                <w:rFonts w:hint="eastAsia" w:ascii="宋体" w:hAnsi="宋体"/>
                <w:sz w:val="24"/>
                <w:highlight w:val="none"/>
              </w:rPr>
              <w:t xml:space="preserve"> D、支持不同类型不良事件不同流程管理</w:t>
            </w:r>
          </w:p>
          <w:p>
            <w:pPr>
              <w:rPr>
                <w:rFonts w:ascii="宋体" w:hAnsi="宋体"/>
                <w:sz w:val="24"/>
                <w:highlight w:val="none"/>
              </w:rPr>
            </w:pPr>
            <w:r>
              <w:rPr>
                <w:rFonts w:hint="eastAsia" w:ascii="宋体" w:hAnsi="宋体"/>
                <w:sz w:val="24"/>
                <w:highlight w:val="none"/>
              </w:rPr>
              <w:t>4、事件类型导出</w:t>
            </w:r>
          </w:p>
          <w:p>
            <w:pPr>
              <w:rPr>
                <w:rFonts w:ascii="宋体" w:hAnsi="宋体"/>
                <w:sz w:val="24"/>
                <w:highlight w:val="none"/>
              </w:rPr>
            </w:pPr>
            <w:r>
              <w:rPr>
                <w:rFonts w:hint="eastAsia" w:ascii="宋体" w:hAnsi="宋体"/>
                <w:sz w:val="24"/>
                <w:highlight w:val="none"/>
              </w:rPr>
              <w:t xml:space="preserve"> A、支持不良事件字段导出管理</w:t>
            </w:r>
          </w:p>
          <w:p>
            <w:pPr>
              <w:rPr>
                <w:rFonts w:ascii="宋体" w:hAnsi="宋体"/>
                <w:sz w:val="24"/>
                <w:highlight w:val="none"/>
              </w:rPr>
            </w:pPr>
            <w:r>
              <w:rPr>
                <w:rFonts w:hint="eastAsia" w:ascii="宋体" w:hAnsi="宋体"/>
                <w:sz w:val="24"/>
                <w:highlight w:val="none"/>
              </w:rPr>
              <w:t>5、不良事件表单配置</w:t>
            </w:r>
          </w:p>
          <w:p>
            <w:pPr>
              <w:rPr>
                <w:rFonts w:ascii="宋体" w:hAnsi="宋体"/>
                <w:sz w:val="24"/>
                <w:highlight w:val="none"/>
              </w:rPr>
            </w:pPr>
            <w:r>
              <w:rPr>
                <w:rFonts w:hint="eastAsia" w:ascii="宋体" w:hAnsi="宋体"/>
                <w:sz w:val="24"/>
                <w:highlight w:val="none"/>
              </w:rPr>
              <w:t xml:space="preserve"> A、支持不良事件下拉菜单新增</w:t>
            </w:r>
          </w:p>
          <w:p>
            <w:pPr>
              <w:rPr>
                <w:rFonts w:ascii="宋体" w:hAnsi="宋体"/>
                <w:sz w:val="24"/>
                <w:highlight w:val="none"/>
              </w:rPr>
            </w:pPr>
            <w:r>
              <w:rPr>
                <w:rFonts w:hint="eastAsia" w:ascii="宋体" w:hAnsi="宋体"/>
                <w:sz w:val="24"/>
                <w:highlight w:val="none"/>
              </w:rPr>
              <w:t xml:space="preserve"> B、支持不良事件下拉菜单编辑</w:t>
            </w:r>
          </w:p>
          <w:p>
            <w:pPr>
              <w:rPr>
                <w:rFonts w:ascii="宋体" w:hAnsi="宋体"/>
                <w:sz w:val="24"/>
                <w:highlight w:val="none"/>
              </w:rPr>
            </w:pPr>
            <w:r>
              <w:rPr>
                <w:rFonts w:hint="eastAsia" w:ascii="宋体" w:hAnsi="宋体"/>
                <w:sz w:val="24"/>
                <w:highlight w:val="none"/>
              </w:rPr>
              <w:t xml:space="preserve"> C、支持不良事件下拉菜单删除</w:t>
            </w:r>
          </w:p>
        </w:tc>
      </w:tr>
    </w:tbl>
    <w:p>
      <w:pPr>
        <w:pStyle w:val="5"/>
        <w:rPr>
          <w:highlight w:val="none"/>
        </w:rPr>
      </w:pPr>
      <w:r>
        <w:rPr>
          <w:rFonts w:hint="eastAsia"/>
          <w:highlight w:val="none"/>
        </w:rPr>
        <w:t>其他系统</w:t>
      </w:r>
    </w:p>
    <w:p>
      <w:pPr>
        <w:pStyle w:val="6"/>
        <w:ind w:firstLine="281"/>
        <w:rPr>
          <w:highlight w:val="none"/>
        </w:rPr>
      </w:pPr>
      <w:r>
        <w:rPr>
          <w:rFonts w:hint="eastAsia"/>
          <w:highlight w:val="none"/>
        </w:rPr>
        <w:t>院科成本核算系统</w:t>
      </w:r>
    </w:p>
    <w:p>
      <w:pPr>
        <w:pStyle w:val="721"/>
        <w:ind w:firstLine="480"/>
        <w:rPr>
          <w:szCs w:val="24"/>
          <w:highlight w:val="none"/>
        </w:rPr>
      </w:pPr>
      <w:r>
        <w:rPr>
          <w:rFonts w:hint="eastAsia"/>
          <w:szCs w:val="24"/>
          <w:highlight w:val="none"/>
        </w:rPr>
        <w:t>建设范围：嘉善县第一人民医院、北部分院、嘉善县妇幼保健院</w:t>
      </w:r>
    </w:p>
    <w:p>
      <w:pPr>
        <w:pStyle w:val="721"/>
        <w:ind w:firstLine="439" w:firstLineChars="183"/>
        <w:rPr>
          <w:szCs w:val="24"/>
          <w:highlight w:val="none"/>
        </w:rPr>
      </w:pPr>
      <w:r>
        <w:rPr>
          <w:rFonts w:hint="eastAsia"/>
          <w:szCs w:val="24"/>
          <w:highlight w:val="none"/>
        </w:rPr>
        <w:t>一、区域医院科室成本监管系统</w:t>
      </w:r>
    </w:p>
    <w:p>
      <w:pPr>
        <w:pStyle w:val="721"/>
        <w:ind w:firstLine="439" w:firstLineChars="183"/>
        <w:rPr>
          <w:szCs w:val="24"/>
          <w:highlight w:val="none"/>
        </w:rPr>
      </w:pPr>
      <w:r>
        <w:rPr>
          <w:rFonts w:hint="eastAsia"/>
          <w:szCs w:val="24"/>
          <w:highlight w:val="none"/>
        </w:rPr>
        <w:t>分析各医院科室成本运营情况，从科室角度详细展示医院各临床科室的经济运营情况，从科室收入、科室成本、科室效益、科室效率等方面反应临床科室的具体经济活动。</w:t>
      </w:r>
    </w:p>
    <w:p>
      <w:pPr>
        <w:pStyle w:val="721"/>
        <w:ind w:firstLine="439" w:firstLineChars="183"/>
        <w:rPr>
          <w:szCs w:val="24"/>
          <w:highlight w:val="none"/>
        </w:rPr>
      </w:pPr>
      <w:r>
        <w:rPr>
          <w:rFonts w:hint="eastAsia"/>
          <w:szCs w:val="24"/>
          <w:highlight w:val="none"/>
        </w:rPr>
        <w:t>1、构建科室成本数据标准</w:t>
      </w:r>
    </w:p>
    <w:p>
      <w:pPr>
        <w:pStyle w:val="721"/>
        <w:ind w:firstLine="439" w:firstLineChars="183"/>
        <w:rPr>
          <w:szCs w:val="24"/>
          <w:highlight w:val="none"/>
        </w:rPr>
      </w:pPr>
      <w:r>
        <w:rPr>
          <w:rFonts w:hint="eastAsia"/>
          <w:szCs w:val="24"/>
          <w:highlight w:val="none"/>
        </w:rPr>
        <w:t>结合区域医疗卫生的相关标准，实现全院科室字典、核算口径、分析口径等基本数据信息的统一，明确数据信息新增制度和流程，明确科室责任，为全院打造统一的数据信息管理准则，为院内数据共享、运营管理系统持续有效运转提供数据支撑。</w:t>
      </w:r>
    </w:p>
    <w:p>
      <w:pPr>
        <w:pStyle w:val="721"/>
        <w:ind w:firstLine="439" w:firstLineChars="183"/>
        <w:rPr>
          <w:szCs w:val="24"/>
          <w:highlight w:val="none"/>
        </w:rPr>
      </w:pPr>
      <w:r>
        <w:rPr>
          <w:rFonts w:hint="eastAsia"/>
          <w:szCs w:val="24"/>
          <w:highlight w:val="none"/>
        </w:rPr>
        <w:t>2、数据集成和决策支撑</w:t>
      </w:r>
    </w:p>
    <w:p>
      <w:pPr>
        <w:pStyle w:val="721"/>
        <w:ind w:firstLine="439" w:firstLineChars="183"/>
        <w:rPr>
          <w:szCs w:val="24"/>
          <w:highlight w:val="none"/>
        </w:rPr>
      </w:pPr>
      <w:r>
        <w:rPr>
          <w:rFonts w:hint="eastAsia"/>
          <w:szCs w:val="24"/>
          <w:highlight w:val="none"/>
        </w:rPr>
        <w:t>围绕区域标准，开展科室成本数据集成工作，支持数据自动采集、质控、转换，根据数据周期自动计算并存入数据仓库，保障数据的及时性、完整性和准确性。</w:t>
      </w:r>
    </w:p>
    <w:p>
      <w:pPr>
        <w:pStyle w:val="721"/>
        <w:ind w:firstLine="439" w:firstLineChars="183"/>
        <w:rPr>
          <w:szCs w:val="24"/>
          <w:highlight w:val="none"/>
        </w:rPr>
      </w:pPr>
      <w:r>
        <w:rPr>
          <w:rFonts w:hint="eastAsia"/>
          <w:szCs w:val="24"/>
          <w:highlight w:val="none"/>
        </w:rPr>
        <w:t>系统建设要具备大数据快速稳定的运算能力，具备按照周期离线计算的能力，同时具备将计算开放成服务接口，支撑分析决策功能。</w:t>
      </w:r>
    </w:p>
    <w:p>
      <w:pPr>
        <w:pStyle w:val="721"/>
        <w:ind w:firstLine="439" w:firstLineChars="183"/>
        <w:rPr>
          <w:szCs w:val="24"/>
          <w:highlight w:val="none"/>
        </w:rPr>
      </w:pPr>
      <w:r>
        <w:rPr>
          <w:rFonts w:hint="eastAsia"/>
          <w:szCs w:val="24"/>
          <w:highlight w:val="none"/>
        </w:rPr>
        <w:t>3、数据分析主题</w:t>
      </w:r>
    </w:p>
    <w:p>
      <w:pPr>
        <w:pStyle w:val="721"/>
        <w:ind w:firstLine="439" w:firstLineChars="183"/>
        <w:rPr>
          <w:szCs w:val="24"/>
          <w:highlight w:val="none"/>
        </w:rPr>
      </w:pPr>
      <w:r>
        <w:rPr>
          <w:rFonts w:hint="eastAsia"/>
          <w:szCs w:val="24"/>
          <w:highlight w:val="none"/>
        </w:rPr>
        <w:t>支持对区域整体、单个医院、某类科室的科室成本分析，分析主题包括：概况分析、收入分析、成本分析、收益分析、效率分析。</w:t>
      </w:r>
    </w:p>
    <w:p>
      <w:pPr>
        <w:pStyle w:val="721"/>
        <w:ind w:firstLine="439" w:firstLineChars="183"/>
        <w:rPr>
          <w:szCs w:val="24"/>
          <w:highlight w:val="none"/>
        </w:rPr>
      </w:pPr>
      <w:r>
        <w:rPr>
          <w:rFonts w:hint="eastAsia"/>
          <w:szCs w:val="24"/>
          <w:highlight w:val="none"/>
        </w:rPr>
        <w:t>支持指标的下钻、趋势分析、横向对比、构成分析等，反应临床科室的具体经济活动和经营状况。</w:t>
      </w:r>
    </w:p>
    <w:p>
      <w:pPr>
        <w:pStyle w:val="721"/>
        <w:ind w:firstLine="439" w:firstLineChars="183"/>
        <w:rPr>
          <w:szCs w:val="24"/>
          <w:highlight w:val="none"/>
        </w:rPr>
      </w:pPr>
      <w:r>
        <w:rPr>
          <w:rFonts w:hint="eastAsia"/>
          <w:szCs w:val="24"/>
          <w:highlight w:val="none"/>
        </w:rPr>
        <w:t>4、大屏展示</w:t>
      </w:r>
    </w:p>
    <w:p>
      <w:pPr>
        <w:pStyle w:val="721"/>
        <w:ind w:firstLine="439" w:firstLineChars="183"/>
        <w:rPr>
          <w:szCs w:val="24"/>
          <w:highlight w:val="none"/>
        </w:rPr>
      </w:pPr>
      <w:r>
        <w:rPr>
          <w:rFonts w:hint="eastAsia"/>
          <w:szCs w:val="24"/>
          <w:highlight w:val="none"/>
        </w:rPr>
        <w:t>根据展示设备，基于数据可视化方式，将区域医院科室成本数据、指标、计算结果输出为可视化的大屏、页面、图表，展示各类综合指标体系的来源和数值，展示各类预测模型的计算过程和结论、展示监测预警仪表盘，支持指标的趋势分析、同比环比分析以及各医院之间的对比分析，以综合、动态、可交互、易理解的形式展现区域医疗机构财务运营情况与预警功能。</w:t>
      </w:r>
    </w:p>
    <w:p>
      <w:pPr>
        <w:pStyle w:val="721"/>
        <w:ind w:firstLine="439" w:firstLineChars="183"/>
        <w:rPr>
          <w:szCs w:val="24"/>
          <w:highlight w:val="none"/>
        </w:rPr>
      </w:pPr>
      <w:r>
        <w:rPr>
          <w:rFonts w:hint="eastAsia"/>
          <w:szCs w:val="24"/>
          <w:highlight w:val="none"/>
        </w:rPr>
        <w:t>二、医院科室成本管理系统</w:t>
      </w:r>
    </w:p>
    <w:p>
      <w:pPr>
        <w:pStyle w:val="721"/>
        <w:ind w:firstLine="439" w:firstLineChars="183"/>
        <w:rPr>
          <w:szCs w:val="24"/>
          <w:highlight w:val="none"/>
        </w:rPr>
      </w:pPr>
      <w:r>
        <w:rPr>
          <w:rFonts w:hint="eastAsia"/>
          <w:szCs w:val="24"/>
          <w:highlight w:val="none"/>
        </w:rPr>
        <w:t>科室成本核算是将医院业务活动中所发生的各种耗费以科室为核算对象进行归集和分配，计算出科室成本的过程。支持院级成本核算、科室成本核算、主诊组成本核算等。</w:t>
      </w:r>
    </w:p>
    <w:p>
      <w:pPr>
        <w:pStyle w:val="721"/>
        <w:ind w:firstLine="439" w:firstLineChars="183"/>
        <w:rPr>
          <w:szCs w:val="24"/>
          <w:highlight w:val="none"/>
        </w:rPr>
      </w:pPr>
      <w:r>
        <w:rPr>
          <w:rFonts w:hint="eastAsia"/>
          <w:szCs w:val="24"/>
          <w:highlight w:val="none"/>
        </w:rPr>
        <w:t>具体需要支持的功能如下：</w:t>
      </w:r>
    </w:p>
    <w:p>
      <w:pPr>
        <w:pStyle w:val="721"/>
        <w:ind w:firstLine="439" w:firstLineChars="183"/>
        <w:rPr>
          <w:szCs w:val="24"/>
          <w:highlight w:val="none"/>
        </w:rPr>
      </w:pPr>
      <w:r>
        <w:rPr>
          <w:rFonts w:hint="eastAsia"/>
          <w:szCs w:val="24"/>
          <w:highlight w:val="none"/>
        </w:rPr>
        <w:t>1、基础数据</w:t>
      </w:r>
    </w:p>
    <w:p>
      <w:pPr>
        <w:pStyle w:val="721"/>
        <w:ind w:firstLine="439" w:firstLineChars="183"/>
        <w:rPr>
          <w:szCs w:val="24"/>
          <w:highlight w:val="none"/>
        </w:rPr>
      </w:pPr>
      <w:r>
        <w:rPr>
          <w:rFonts w:hint="eastAsia"/>
          <w:szCs w:val="24"/>
          <w:highlight w:val="none"/>
        </w:rPr>
        <w:t>基础包括成本核算所需要的收入数据、成本数据、工作量数据以及其他数据的管理功能。包括增加、修改、删除、计算、查询等功能。</w:t>
      </w:r>
    </w:p>
    <w:p>
      <w:pPr>
        <w:pStyle w:val="721"/>
        <w:ind w:firstLine="439" w:firstLineChars="183"/>
        <w:rPr>
          <w:szCs w:val="24"/>
          <w:highlight w:val="none"/>
        </w:rPr>
      </w:pPr>
      <w:r>
        <w:rPr>
          <w:rFonts w:hint="eastAsia"/>
          <w:szCs w:val="24"/>
          <w:highlight w:val="none"/>
        </w:rPr>
        <w:t>2、成本归集管理</w:t>
      </w:r>
    </w:p>
    <w:p>
      <w:pPr>
        <w:pStyle w:val="721"/>
        <w:ind w:firstLine="439" w:firstLineChars="183"/>
        <w:rPr>
          <w:szCs w:val="24"/>
          <w:highlight w:val="none"/>
        </w:rPr>
      </w:pPr>
      <w:r>
        <w:rPr>
          <w:rFonts w:hint="eastAsia"/>
          <w:szCs w:val="24"/>
          <w:highlight w:val="none"/>
        </w:rPr>
        <w:t>支持根据对应关系自动对成本进行归集的功能，归集过程中可提供成本数据与成本总账的校验功能。</w:t>
      </w:r>
    </w:p>
    <w:p>
      <w:pPr>
        <w:pStyle w:val="721"/>
        <w:ind w:firstLine="439" w:firstLineChars="183"/>
        <w:rPr>
          <w:szCs w:val="24"/>
          <w:highlight w:val="none"/>
        </w:rPr>
      </w:pPr>
      <w:r>
        <w:rPr>
          <w:rFonts w:hint="eastAsia"/>
          <w:szCs w:val="24"/>
          <w:highlight w:val="none"/>
        </w:rPr>
        <w:t>3、二次分配管理</w:t>
      </w:r>
    </w:p>
    <w:p>
      <w:pPr>
        <w:pStyle w:val="721"/>
        <w:ind w:firstLine="439" w:firstLineChars="183"/>
        <w:rPr>
          <w:szCs w:val="24"/>
          <w:highlight w:val="none"/>
        </w:rPr>
      </w:pPr>
      <w:r>
        <w:rPr>
          <w:rFonts w:hint="eastAsia"/>
          <w:szCs w:val="24"/>
          <w:highlight w:val="none"/>
        </w:rPr>
        <w:t>支持对成本的二次分配管理，可根据管理需要设定分配和归集的先后顺序，可根据分配规则自动对成本进行分配。</w:t>
      </w:r>
    </w:p>
    <w:p>
      <w:pPr>
        <w:pStyle w:val="721"/>
        <w:ind w:firstLine="439" w:firstLineChars="183"/>
        <w:rPr>
          <w:szCs w:val="24"/>
          <w:highlight w:val="none"/>
        </w:rPr>
      </w:pPr>
      <w:r>
        <w:rPr>
          <w:rFonts w:hint="eastAsia"/>
          <w:szCs w:val="24"/>
          <w:highlight w:val="none"/>
        </w:rPr>
        <w:t>4、核算模型</w:t>
      </w:r>
    </w:p>
    <w:p>
      <w:pPr>
        <w:pStyle w:val="721"/>
        <w:ind w:firstLine="439" w:firstLineChars="183"/>
        <w:rPr>
          <w:szCs w:val="24"/>
          <w:highlight w:val="none"/>
        </w:rPr>
      </w:pPr>
      <w:r>
        <w:rPr>
          <w:rFonts w:hint="eastAsia"/>
          <w:szCs w:val="24"/>
          <w:highlight w:val="none"/>
        </w:rPr>
        <w:t>核算模型需支持成本要素的分配方法，科室之间的定向关系设置以及科室院区之间的分摊关系管理。</w:t>
      </w:r>
    </w:p>
    <w:p>
      <w:pPr>
        <w:pStyle w:val="721"/>
        <w:ind w:firstLine="439" w:firstLineChars="183"/>
        <w:rPr>
          <w:szCs w:val="24"/>
          <w:highlight w:val="none"/>
        </w:rPr>
      </w:pPr>
      <w:r>
        <w:rPr>
          <w:rFonts w:hint="eastAsia"/>
          <w:szCs w:val="24"/>
          <w:highlight w:val="none"/>
        </w:rPr>
        <w:t>5、分摊计算</w:t>
      </w:r>
    </w:p>
    <w:p>
      <w:pPr>
        <w:pStyle w:val="721"/>
        <w:ind w:firstLine="439" w:firstLineChars="183"/>
        <w:rPr>
          <w:szCs w:val="24"/>
          <w:highlight w:val="none"/>
        </w:rPr>
      </w:pPr>
      <w:r>
        <w:rPr>
          <w:rFonts w:hint="eastAsia"/>
          <w:szCs w:val="24"/>
          <w:highlight w:val="none"/>
        </w:rPr>
        <w:t>要求按照《医院财务制度》规定的“三级四类分摊法”对成本数据进行分摊，完成全成本核算工作，并提供对医疗业务成本、医疗成本、医疗全成本、医院全成本的处理，分摊管理支持同一科室不同成本项目按不同的动因进行分摊，支持同级分摊、定向分摊，支持对分摊的数据进行校验，确保分摊结果的准确性。</w:t>
      </w:r>
    </w:p>
    <w:p>
      <w:pPr>
        <w:pStyle w:val="721"/>
        <w:ind w:firstLine="439" w:firstLineChars="183"/>
        <w:rPr>
          <w:szCs w:val="24"/>
          <w:highlight w:val="none"/>
        </w:rPr>
      </w:pPr>
      <w:r>
        <w:rPr>
          <w:rFonts w:hint="eastAsia"/>
          <w:szCs w:val="24"/>
          <w:highlight w:val="none"/>
        </w:rPr>
        <w:t>6、成本预测</w:t>
      </w:r>
    </w:p>
    <w:p>
      <w:pPr>
        <w:pStyle w:val="721"/>
        <w:ind w:firstLine="439" w:firstLineChars="183"/>
        <w:rPr>
          <w:szCs w:val="24"/>
          <w:highlight w:val="none"/>
        </w:rPr>
      </w:pPr>
      <w:r>
        <w:rPr>
          <w:rFonts w:hint="eastAsia"/>
          <w:szCs w:val="24"/>
          <w:highlight w:val="none"/>
        </w:rPr>
        <w:t>支持对于业务计划、成本预测与执行分析的管理。成本预测可提供高低点预测、本量利预测、回归预测方法进行下期成本预测。</w:t>
      </w:r>
    </w:p>
    <w:p>
      <w:pPr>
        <w:pStyle w:val="721"/>
        <w:ind w:firstLine="439" w:firstLineChars="183"/>
        <w:rPr>
          <w:szCs w:val="24"/>
          <w:highlight w:val="none"/>
        </w:rPr>
      </w:pPr>
      <w:r>
        <w:rPr>
          <w:rFonts w:hint="eastAsia"/>
          <w:szCs w:val="24"/>
          <w:highlight w:val="none"/>
        </w:rPr>
        <w:t>7、成本考核</w:t>
      </w:r>
    </w:p>
    <w:p>
      <w:pPr>
        <w:pStyle w:val="721"/>
        <w:ind w:firstLine="439" w:firstLineChars="183"/>
        <w:rPr>
          <w:szCs w:val="24"/>
          <w:highlight w:val="none"/>
        </w:rPr>
      </w:pPr>
      <w:r>
        <w:rPr>
          <w:rFonts w:hint="eastAsia"/>
          <w:szCs w:val="24"/>
          <w:highlight w:val="none"/>
        </w:rPr>
        <w:t>支持利用成本考核功能对成本的数据结果进行展示，包括收入数据、成本数据以及医疗收益数据。</w:t>
      </w:r>
    </w:p>
    <w:p>
      <w:pPr>
        <w:pStyle w:val="721"/>
        <w:ind w:firstLine="439" w:firstLineChars="183"/>
        <w:rPr>
          <w:szCs w:val="24"/>
          <w:highlight w:val="none"/>
        </w:rPr>
      </w:pPr>
      <w:r>
        <w:rPr>
          <w:rFonts w:hint="eastAsia"/>
          <w:szCs w:val="24"/>
          <w:highlight w:val="none"/>
        </w:rPr>
        <w:t>8、成本报表功能</w:t>
      </w:r>
    </w:p>
    <w:p>
      <w:pPr>
        <w:pStyle w:val="721"/>
        <w:ind w:firstLine="439" w:firstLineChars="183"/>
        <w:rPr>
          <w:szCs w:val="24"/>
          <w:highlight w:val="none"/>
        </w:rPr>
      </w:pPr>
      <w:r>
        <w:rPr>
          <w:rFonts w:hint="eastAsia"/>
          <w:szCs w:val="24"/>
          <w:highlight w:val="none"/>
        </w:rPr>
        <w:t>成本报表包括公立医院要求的14张；</w:t>
      </w:r>
    </w:p>
    <w:p>
      <w:pPr>
        <w:pStyle w:val="721"/>
        <w:ind w:firstLine="439" w:firstLineChars="183"/>
        <w:rPr>
          <w:szCs w:val="24"/>
          <w:highlight w:val="none"/>
        </w:rPr>
      </w:pPr>
      <w:r>
        <w:rPr>
          <w:rFonts w:hint="eastAsia"/>
          <w:szCs w:val="24"/>
          <w:highlight w:val="none"/>
        </w:rPr>
        <w:t>表1-医院各科室直接成本表</w:t>
      </w:r>
    </w:p>
    <w:p>
      <w:pPr>
        <w:pStyle w:val="721"/>
        <w:ind w:firstLine="439" w:firstLineChars="183"/>
        <w:rPr>
          <w:szCs w:val="24"/>
          <w:highlight w:val="none"/>
        </w:rPr>
      </w:pPr>
      <w:r>
        <w:rPr>
          <w:rFonts w:hint="eastAsia"/>
          <w:szCs w:val="24"/>
          <w:highlight w:val="none"/>
        </w:rPr>
        <w:t>表2-医院各科室直接成本表（医疗全成本和医院全成本）</w:t>
      </w:r>
    </w:p>
    <w:p>
      <w:pPr>
        <w:pStyle w:val="721"/>
        <w:ind w:firstLine="439" w:firstLineChars="183"/>
        <w:rPr>
          <w:szCs w:val="24"/>
          <w:highlight w:val="none"/>
        </w:rPr>
      </w:pPr>
      <w:r>
        <w:rPr>
          <w:rFonts w:hint="eastAsia"/>
          <w:szCs w:val="24"/>
          <w:highlight w:val="none"/>
        </w:rPr>
        <w:t>表3-医院临床服务类科室全成本表</w:t>
      </w:r>
    </w:p>
    <w:p>
      <w:pPr>
        <w:pStyle w:val="721"/>
        <w:ind w:firstLine="439" w:firstLineChars="183"/>
        <w:rPr>
          <w:szCs w:val="24"/>
          <w:highlight w:val="none"/>
        </w:rPr>
      </w:pPr>
      <w:r>
        <w:rPr>
          <w:rFonts w:hint="eastAsia"/>
          <w:szCs w:val="24"/>
          <w:highlight w:val="none"/>
        </w:rPr>
        <w:t>表4-医院临床服务类科室全成本表（医疗全成本和医院全成本）</w:t>
      </w:r>
    </w:p>
    <w:p>
      <w:pPr>
        <w:pStyle w:val="721"/>
        <w:ind w:firstLine="439" w:firstLineChars="183"/>
        <w:rPr>
          <w:szCs w:val="24"/>
          <w:highlight w:val="none"/>
        </w:rPr>
      </w:pPr>
      <w:r>
        <w:rPr>
          <w:rFonts w:hint="eastAsia"/>
          <w:szCs w:val="24"/>
          <w:highlight w:val="none"/>
        </w:rPr>
        <w:t>表5-医院临床服务类科室全成本构成分析表</w:t>
      </w:r>
    </w:p>
    <w:p>
      <w:pPr>
        <w:pStyle w:val="721"/>
        <w:ind w:firstLine="439" w:firstLineChars="183"/>
        <w:rPr>
          <w:szCs w:val="24"/>
          <w:highlight w:val="none"/>
        </w:rPr>
      </w:pPr>
      <w:r>
        <w:rPr>
          <w:rFonts w:hint="eastAsia"/>
          <w:szCs w:val="24"/>
          <w:highlight w:val="none"/>
        </w:rPr>
        <w:t>表6-医院临床服务类科室全成本构成分析表（医疗全成本和医院全成本）</w:t>
      </w:r>
    </w:p>
    <w:p>
      <w:pPr>
        <w:pStyle w:val="721"/>
        <w:ind w:firstLine="439" w:firstLineChars="183"/>
        <w:rPr>
          <w:szCs w:val="24"/>
          <w:highlight w:val="none"/>
        </w:rPr>
      </w:pPr>
      <w:r>
        <w:rPr>
          <w:rFonts w:hint="eastAsia"/>
          <w:szCs w:val="24"/>
          <w:highlight w:val="none"/>
        </w:rPr>
        <w:t>表7-医院各科室医疗成本三级成本分摊表</w:t>
      </w:r>
    </w:p>
    <w:p>
      <w:pPr>
        <w:pStyle w:val="721"/>
        <w:ind w:firstLine="439" w:firstLineChars="183"/>
        <w:rPr>
          <w:szCs w:val="24"/>
          <w:highlight w:val="none"/>
        </w:rPr>
      </w:pPr>
      <w:r>
        <w:rPr>
          <w:rFonts w:hint="eastAsia"/>
          <w:szCs w:val="24"/>
          <w:highlight w:val="none"/>
        </w:rPr>
        <w:t>表8-医院医技科室分摊行政后勤和医辅成本损益表</w:t>
      </w:r>
    </w:p>
    <w:p>
      <w:pPr>
        <w:pStyle w:val="721"/>
        <w:ind w:firstLine="439" w:firstLineChars="183"/>
        <w:rPr>
          <w:szCs w:val="24"/>
          <w:highlight w:val="none"/>
        </w:rPr>
      </w:pPr>
      <w:r>
        <w:rPr>
          <w:rFonts w:hint="eastAsia"/>
          <w:szCs w:val="24"/>
          <w:highlight w:val="none"/>
        </w:rPr>
        <w:t>表9-医院临床科室分摊医技和医辅科室成本损益表</w:t>
      </w:r>
    </w:p>
    <w:p>
      <w:pPr>
        <w:pStyle w:val="721"/>
        <w:ind w:firstLine="439" w:firstLineChars="183"/>
        <w:rPr>
          <w:szCs w:val="24"/>
          <w:highlight w:val="none"/>
        </w:rPr>
      </w:pPr>
      <w:r>
        <w:rPr>
          <w:rFonts w:hint="eastAsia"/>
          <w:szCs w:val="24"/>
          <w:highlight w:val="none"/>
        </w:rPr>
        <w:t>表10-医院临床服务类科室业务收入明细及损益表</w:t>
      </w:r>
    </w:p>
    <w:p>
      <w:pPr>
        <w:pStyle w:val="721"/>
        <w:ind w:firstLine="439" w:firstLineChars="183"/>
        <w:rPr>
          <w:szCs w:val="24"/>
          <w:highlight w:val="none"/>
        </w:rPr>
      </w:pPr>
      <w:r>
        <w:rPr>
          <w:rFonts w:hint="eastAsia"/>
          <w:szCs w:val="24"/>
          <w:highlight w:val="none"/>
        </w:rPr>
        <w:t>表11-医院各科室各类人员经费明细表</w:t>
      </w:r>
    </w:p>
    <w:p>
      <w:pPr>
        <w:pStyle w:val="721"/>
        <w:ind w:firstLine="439" w:firstLineChars="183"/>
        <w:rPr>
          <w:szCs w:val="24"/>
          <w:highlight w:val="none"/>
        </w:rPr>
      </w:pPr>
      <w:r>
        <w:rPr>
          <w:rFonts w:hint="eastAsia"/>
          <w:szCs w:val="24"/>
          <w:highlight w:val="none"/>
        </w:rPr>
        <w:t>表12-医院各科室其他费用明细表</w:t>
      </w:r>
    </w:p>
    <w:p>
      <w:pPr>
        <w:pStyle w:val="721"/>
        <w:ind w:firstLine="439" w:firstLineChars="183"/>
        <w:rPr>
          <w:szCs w:val="24"/>
          <w:highlight w:val="none"/>
        </w:rPr>
      </w:pPr>
      <w:r>
        <w:rPr>
          <w:rFonts w:hint="eastAsia"/>
          <w:szCs w:val="24"/>
          <w:highlight w:val="none"/>
        </w:rPr>
        <w:t>表13-医院临床服务类科室工作量及次均费用表</w:t>
      </w:r>
    </w:p>
    <w:p>
      <w:pPr>
        <w:pStyle w:val="721"/>
        <w:ind w:firstLine="439" w:firstLineChars="183"/>
        <w:rPr>
          <w:szCs w:val="24"/>
          <w:highlight w:val="none"/>
        </w:rPr>
      </w:pPr>
      <w:r>
        <w:rPr>
          <w:rFonts w:hint="eastAsia"/>
          <w:szCs w:val="24"/>
          <w:highlight w:val="none"/>
        </w:rPr>
        <w:t>表14-医院基本情况分析表</w:t>
      </w:r>
    </w:p>
    <w:p>
      <w:pPr>
        <w:pStyle w:val="721"/>
        <w:ind w:firstLine="439" w:firstLineChars="183"/>
        <w:rPr>
          <w:szCs w:val="24"/>
          <w:highlight w:val="none"/>
        </w:rPr>
      </w:pPr>
      <w:r>
        <w:rPr>
          <w:rFonts w:hint="eastAsia"/>
          <w:szCs w:val="24"/>
          <w:highlight w:val="none"/>
        </w:rPr>
        <w:t>自定义报表满足根据需求，并生成报表进行导出、打印等功能。</w:t>
      </w:r>
    </w:p>
    <w:p>
      <w:pPr>
        <w:pStyle w:val="721"/>
        <w:ind w:firstLine="439" w:firstLineChars="183"/>
        <w:rPr>
          <w:szCs w:val="24"/>
          <w:highlight w:val="none"/>
        </w:rPr>
      </w:pPr>
      <w:r>
        <w:rPr>
          <w:rFonts w:hint="eastAsia"/>
          <w:szCs w:val="24"/>
          <w:highlight w:val="none"/>
        </w:rPr>
        <w:t>9、成本分析</w:t>
      </w:r>
    </w:p>
    <w:p>
      <w:pPr>
        <w:pStyle w:val="721"/>
        <w:ind w:firstLine="439" w:firstLineChars="183"/>
        <w:rPr>
          <w:szCs w:val="24"/>
          <w:highlight w:val="none"/>
        </w:rPr>
      </w:pPr>
      <w:r>
        <w:rPr>
          <w:rFonts w:hint="eastAsia"/>
          <w:szCs w:val="24"/>
          <w:highlight w:val="none"/>
        </w:rPr>
        <w:t>成本分析包括综合分析、运营分析、本量利分析子功能。</w:t>
      </w:r>
    </w:p>
    <w:p>
      <w:pPr>
        <w:pStyle w:val="721"/>
        <w:ind w:firstLine="439" w:firstLineChars="183"/>
        <w:rPr>
          <w:szCs w:val="24"/>
          <w:highlight w:val="none"/>
        </w:rPr>
      </w:pPr>
      <w:r>
        <w:rPr>
          <w:rFonts w:hint="eastAsia"/>
          <w:szCs w:val="24"/>
          <w:highlight w:val="none"/>
        </w:rPr>
        <w:t>结合分析提供对收益、收入、成本分析的分析模型。</w:t>
      </w:r>
    </w:p>
    <w:p>
      <w:pPr>
        <w:pStyle w:val="721"/>
        <w:ind w:firstLine="439" w:firstLineChars="183"/>
        <w:rPr>
          <w:szCs w:val="24"/>
          <w:highlight w:val="none"/>
        </w:rPr>
      </w:pPr>
      <w:r>
        <w:rPr>
          <w:rFonts w:hint="eastAsia"/>
          <w:szCs w:val="24"/>
          <w:highlight w:val="none"/>
        </w:rPr>
        <w:t>运营分析从科室损益、人员效益、物资效益、资产效益角度对科室的运营情况进行分析。</w:t>
      </w:r>
    </w:p>
    <w:p>
      <w:pPr>
        <w:pStyle w:val="721"/>
        <w:ind w:firstLine="439" w:firstLineChars="183"/>
        <w:rPr>
          <w:szCs w:val="24"/>
          <w:highlight w:val="none"/>
        </w:rPr>
      </w:pPr>
      <w:r>
        <w:rPr>
          <w:rFonts w:hint="eastAsia"/>
          <w:szCs w:val="24"/>
          <w:highlight w:val="none"/>
        </w:rPr>
        <w:t>本量利分析，通过本量利的分析模型对各个科室的保本工作量进行分析。</w:t>
      </w:r>
    </w:p>
    <w:p>
      <w:pPr>
        <w:pStyle w:val="721"/>
        <w:ind w:firstLine="439" w:firstLineChars="183"/>
        <w:rPr>
          <w:szCs w:val="24"/>
          <w:highlight w:val="none"/>
        </w:rPr>
      </w:pPr>
      <w:r>
        <w:rPr>
          <w:rFonts w:hint="eastAsia"/>
          <w:szCs w:val="24"/>
          <w:highlight w:val="none"/>
        </w:rPr>
        <w:t>指标分析可按管理主题建立指标集，指标对比、趋势、环比、同比进行分析 。</w:t>
      </w:r>
    </w:p>
    <w:p>
      <w:pPr>
        <w:pStyle w:val="721"/>
        <w:ind w:firstLine="439" w:firstLineChars="183"/>
        <w:rPr>
          <w:szCs w:val="24"/>
          <w:highlight w:val="none"/>
        </w:rPr>
      </w:pPr>
      <w:r>
        <w:rPr>
          <w:rFonts w:hint="eastAsia"/>
          <w:szCs w:val="24"/>
          <w:highlight w:val="none"/>
        </w:rPr>
        <w:t>10、成本监测</w:t>
      </w:r>
    </w:p>
    <w:p>
      <w:pPr>
        <w:pStyle w:val="721"/>
        <w:ind w:firstLine="439" w:firstLineChars="183"/>
        <w:rPr>
          <w:szCs w:val="24"/>
          <w:highlight w:val="none"/>
        </w:rPr>
      </w:pPr>
      <w:r>
        <w:rPr>
          <w:rFonts w:hint="eastAsia"/>
          <w:szCs w:val="24"/>
          <w:highlight w:val="none"/>
        </w:rPr>
        <w:t>在成本核算的基础上，提供成本监测报表分析；</w:t>
      </w:r>
    </w:p>
    <w:p>
      <w:pPr>
        <w:pStyle w:val="721"/>
        <w:ind w:firstLine="439" w:firstLineChars="183"/>
        <w:rPr>
          <w:szCs w:val="24"/>
          <w:highlight w:val="none"/>
        </w:rPr>
      </w:pPr>
      <w:r>
        <w:rPr>
          <w:rFonts w:hint="eastAsia"/>
          <w:szCs w:val="24"/>
          <w:highlight w:val="none"/>
        </w:rPr>
        <w:t>11、基础设置</w:t>
      </w:r>
    </w:p>
    <w:p>
      <w:pPr>
        <w:pStyle w:val="721"/>
        <w:ind w:firstLine="439" w:firstLineChars="183"/>
        <w:rPr>
          <w:szCs w:val="24"/>
          <w:highlight w:val="none"/>
        </w:rPr>
      </w:pPr>
      <w:r>
        <w:rPr>
          <w:rFonts w:hint="eastAsia"/>
          <w:szCs w:val="24"/>
          <w:highlight w:val="none"/>
        </w:rPr>
        <w:t>支持科室成本相关的参数配置、字典设置、业务项与成本项之间的对应关系设置以及相关校验规则的设置等。</w:t>
      </w:r>
    </w:p>
    <w:p>
      <w:pPr>
        <w:pStyle w:val="6"/>
        <w:ind w:firstLine="281"/>
        <w:rPr>
          <w:highlight w:val="none"/>
        </w:rPr>
      </w:pPr>
      <w:r>
        <w:rPr>
          <w:rFonts w:hint="eastAsia"/>
          <w:highlight w:val="none"/>
        </w:rPr>
        <w:t>VTE管理系统</w:t>
      </w:r>
    </w:p>
    <w:p>
      <w:pPr>
        <w:pStyle w:val="721"/>
        <w:ind w:firstLine="480"/>
        <w:rPr>
          <w:szCs w:val="24"/>
          <w:highlight w:val="none"/>
        </w:rPr>
      </w:pPr>
      <w:r>
        <w:rPr>
          <w:szCs w:val="24"/>
          <w:highlight w:val="none"/>
        </w:rPr>
        <w:t>VTE信息化管理系统临床上统一选用Caprini风险评估表和Padua风险评估表、Khorana风险评估表</w:t>
      </w:r>
      <w:r>
        <w:rPr>
          <w:rFonts w:hint="eastAsia"/>
          <w:szCs w:val="24"/>
          <w:highlight w:val="none"/>
        </w:rPr>
        <w:t>等</w:t>
      </w:r>
      <w:r>
        <w:rPr>
          <w:szCs w:val="24"/>
          <w:highlight w:val="none"/>
        </w:rPr>
        <w:t>，确保VTE风险评估的同质性，临床医生通过对患者入院评分、术后评分、病情变化后评分、转科后评分、出院评分、其它评分进行危急值评估。VTE信息化管理系统对全院实时监控，可实时把控医院全院VTE防控情况。</w:t>
      </w:r>
    </w:p>
    <w:p>
      <w:pPr>
        <w:pStyle w:val="721"/>
        <w:ind w:firstLine="480"/>
        <w:rPr>
          <w:szCs w:val="24"/>
          <w:highlight w:val="none"/>
        </w:rPr>
      </w:pPr>
      <w:r>
        <w:rPr>
          <w:rFonts w:hint="eastAsia"/>
          <w:szCs w:val="24"/>
          <w:highlight w:val="none"/>
        </w:rPr>
        <w:t>建设范围：嘉善县第一人民医院、北部分院</w:t>
      </w:r>
    </w:p>
    <w:p>
      <w:pPr>
        <w:pStyle w:val="721"/>
        <w:ind w:firstLine="480"/>
        <w:rPr>
          <w:b/>
          <w:szCs w:val="24"/>
          <w:highlight w:val="none"/>
        </w:rPr>
      </w:pPr>
      <w:r>
        <w:rPr>
          <w:rFonts w:hint="eastAsia"/>
          <w:b/>
          <w:szCs w:val="24"/>
          <w:highlight w:val="none"/>
        </w:rPr>
        <w:t>功能要求：</w:t>
      </w:r>
    </w:p>
    <w:p>
      <w:pPr>
        <w:pStyle w:val="721"/>
        <w:ind w:firstLine="480"/>
        <w:rPr>
          <w:b/>
          <w:szCs w:val="24"/>
          <w:highlight w:val="none"/>
        </w:rPr>
      </w:pPr>
      <w:r>
        <w:rPr>
          <w:rFonts w:hint="eastAsia"/>
          <w:b/>
          <w:szCs w:val="24"/>
          <w:highlight w:val="none"/>
        </w:rPr>
        <w:t>一、评估单维护</w:t>
      </w:r>
    </w:p>
    <w:p>
      <w:pPr>
        <w:pStyle w:val="721"/>
        <w:ind w:firstLine="480"/>
        <w:rPr>
          <w:szCs w:val="24"/>
          <w:highlight w:val="none"/>
        </w:rPr>
      </w:pPr>
      <w:r>
        <w:rPr>
          <w:rFonts w:hint="eastAsia"/>
          <w:szCs w:val="24"/>
          <w:highlight w:val="none"/>
        </w:rPr>
        <w:t>支持自定义维护各类评估单使用的模板；</w:t>
      </w:r>
    </w:p>
    <w:p>
      <w:pPr>
        <w:pStyle w:val="721"/>
        <w:ind w:firstLine="480"/>
        <w:rPr>
          <w:szCs w:val="24"/>
          <w:highlight w:val="none"/>
        </w:rPr>
      </w:pPr>
      <w:r>
        <w:rPr>
          <w:rFonts w:hint="eastAsia"/>
          <w:szCs w:val="24"/>
          <w:highlight w:val="none"/>
        </w:rPr>
        <w:t>支持维护不同评估单不同分值对应的危险等级、不同危险等级展示的颜色、是否需要出血评估、需采取哪些预防措施；</w:t>
      </w:r>
    </w:p>
    <w:p>
      <w:pPr>
        <w:pStyle w:val="721"/>
        <w:ind w:firstLine="480"/>
        <w:rPr>
          <w:szCs w:val="24"/>
          <w:highlight w:val="none"/>
        </w:rPr>
      </w:pPr>
      <w:r>
        <w:rPr>
          <w:rFonts w:hint="eastAsia"/>
          <w:szCs w:val="24"/>
          <w:highlight w:val="none"/>
        </w:rPr>
        <w:t>支持维护不同科室默认使用的评估单。</w:t>
      </w:r>
    </w:p>
    <w:p>
      <w:pPr>
        <w:pStyle w:val="721"/>
        <w:ind w:firstLine="480"/>
        <w:rPr>
          <w:b/>
          <w:szCs w:val="24"/>
          <w:highlight w:val="none"/>
        </w:rPr>
      </w:pPr>
      <w:r>
        <w:rPr>
          <w:rFonts w:hint="eastAsia"/>
          <w:b/>
          <w:szCs w:val="24"/>
          <w:highlight w:val="none"/>
        </w:rPr>
        <w:t>二、评估规则维护</w:t>
      </w:r>
    </w:p>
    <w:p>
      <w:pPr>
        <w:pStyle w:val="721"/>
        <w:ind w:firstLine="480"/>
        <w:rPr>
          <w:szCs w:val="24"/>
          <w:highlight w:val="none"/>
        </w:rPr>
      </w:pPr>
      <w:r>
        <w:rPr>
          <w:rFonts w:hint="eastAsia"/>
          <w:szCs w:val="24"/>
          <w:highlight w:val="none"/>
        </w:rPr>
        <w:t>支持自定义选择需评估的时机以及不同时机的时效性，如入院24H内、术后24H内、转科后24H内，出院前24H内等；</w:t>
      </w:r>
    </w:p>
    <w:p>
      <w:pPr>
        <w:pStyle w:val="721"/>
        <w:ind w:firstLine="480"/>
        <w:rPr>
          <w:szCs w:val="24"/>
          <w:highlight w:val="none"/>
        </w:rPr>
      </w:pPr>
      <w:r>
        <w:rPr>
          <w:rFonts w:hint="eastAsia"/>
          <w:szCs w:val="24"/>
          <w:highlight w:val="none"/>
        </w:rPr>
        <w:t>支持通过接口对接进行多模式的通知对象和通知方式的维护。</w:t>
      </w:r>
    </w:p>
    <w:p>
      <w:pPr>
        <w:pStyle w:val="721"/>
        <w:ind w:firstLine="480"/>
        <w:rPr>
          <w:b/>
          <w:szCs w:val="24"/>
          <w:highlight w:val="none"/>
        </w:rPr>
      </w:pPr>
      <w:r>
        <w:rPr>
          <w:rFonts w:hint="eastAsia"/>
          <w:b/>
          <w:szCs w:val="24"/>
          <w:highlight w:val="none"/>
        </w:rPr>
        <w:t>三、预防措施维护</w:t>
      </w:r>
    </w:p>
    <w:p>
      <w:pPr>
        <w:pStyle w:val="721"/>
        <w:ind w:firstLine="480"/>
        <w:rPr>
          <w:szCs w:val="24"/>
          <w:highlight w:val="none"/>
        </w:rPr>
      </w:pPr>
      <w:r>
        <w:rPr>
          <w:rFonts w:hint="eastAsia"/>
          <w:szCs w:val="24"/>
          <w:highlight w:val="none"/>
        </w:rPr>
        <w:t>支持维护不同的预防措施类型，以及各类型下的医嘱项目；</w:t>
      </w:r>
    </w:p>
    <w:p>
      <w:pPr>
        <w:pStyle w:val="721"/>
        <w:ind w:firstLine="480"/>
        <w:rPr>
          <w:szCs w:val="24"/>
          <w:highlight w:val="none"/>
        </w:rPr>
      </w:pPr>
      <w:r>
        <w:rPr>
          <w:rFonts w:hint="eastAsia"/>
          <w:szCs w:val="24"/>
          <w:highlight w:val="none"/>
        </w:rPr>
        <w:t xml:space="preserve">支持维护不同类型预防措施对应的禁忌症评估单。 </w:t>
      </w:r>
      <w:r>
        <w:rPr>
          <w:szCs w:val="24"/>
          <w:highlight w:val="none"/>
        </w:rPr>
        <w:t xml:space="preserve">  </w:t>
      </w:r>
    </w:p>
    <w:p>
      <w:pPr>
        <w:pStyle w:val="721"/>
        <w:ind w:firstLine="480"/>
        <w:rPr>
          <w:b/>
          <w:szCs w:val="24"/>
          <w:highlight w:val="none"/>
        </w:rPr>
      </w:pPr>
      <w:r>
        <w:rPr>
          <w:rFonts w:hint="eastAsia"/>
          <w:b/>
          <w:szCs w:val="24"/>
          <w:highlight w:val="none"/>
        </w:rPr>
        <w:t>四、健康宣教维护</w:t>
      </w:r>
    </w:p>
    <w:p>
      <w:pPr>
        <w:pStyle w:val="721"/>
        <w:ind w:firstLine="480"/>
        <w:rPr>
          <w:szCs w:val="24"/>
          <w:highlight w:val="none"/>
        </w:rPr>
      </w:pPr>
      <w:r>
        <w:rPr>
          <w:rFonts w:hint="eastAsia"/>
          <w:szCs w:val="24"/>
          <w:highlight w:val="none"/>
        </w:rPr>
        <w:t>支持根据维护的预防措施进行健康宣教项目维护、宣教时机维护。</w:t>
      </w:r>
    </w:p>
    <w:p>
      <w:pPr>
        <w:pStyle w:val="721"/>
        <w:ind w:firstLine="480"/>
        <w:rPr>
          <w:b/>
          <w:szCs w:val="24"/>
          <w:highlight w:val="none"/>
        </w:rPr>
      </w:pPr>
      <w:r>
        <w:rPr>
          <w:rFonts w:hint="eastAsia"/>
          <w:b/>
          <w:szCs w:val="24"/>
          <w:highlight w:val="none"/>
        </w:rPr>
        <w:t>五、医嘱导入</w:t>
      </w:r>
    </w:p>
    <w:p>
      <w:pPr>
        <w:pStyle w:val="721"/>
        <w:ind w:firstLine="480"/>
        <w:rPr>
          <w:szCs w:val="24"/>
          <w:highlight w:val="none"/>
        </w:rPr>
      </w:pPr>
      <w:r>
        <w:rPr>
          <w:rFonts w:hint="eastAsia"/>
          <w:szCs w:val="24"/>
          <w:highlight w:val="none"/>
        </w:rPr>
        <w:t>支持选择预防措施后，在</w:t>
      </w:r>
      <w:r>
        <w:rPr>
          <w:szCs w:val="24"/>
          <w:highlight w:val="none"/>
        </w:rPr>
        <w:t>医生站</w:t>
      </w:r>
      <w:r>
        <w:rPr>
          <w:rFonts w:hint="eastAsia"/>
          <w:szCs w:val="24"/>
          <w:highlight w:val="none"/>
        </w:rPr>
        <w:t>医嘱开立页面导入医嘱。</w:t>
      </w:r>
    </w:p>
    <w:p>
      <w:pPr>
        <w:pStyle w:val="721"/>
        <w:ind w:firstLine="480"/>
        <w:rPr>
          <w:b/>
          <w:szCs w:val="24"/>
          <w:highlight w:val="none"/>
        </w:rPr>
      </w:pPr>
      <w:r>
        <w:rPr>
          <w:rFonts w:hint="eastAsia"/>
          <w:b/>
          <w:szCs w:val="24"/>
          <w:highlight w:val="none"/>
        </w:rPr>
        <w:t>六、病历文书</w:t>
      </w:r>
    </w:p>
    <w:p>
      <w:pPr>
        <w:pStyle w:val="721"/>
        <w:ind w:firstLine="480"/>
        <w:rPr>
          <w:szCs w:val="24"/>
          <w:highlight w:val="none"/>
        </w:rPr>
      </w:pPr>
      <w:r>
        <w:rPr>
          <w:rFonts w:hint="eastAsia"/>
          <w:szCs w:val="24"/>
          <w:highlight w:val="none"/>
        </w:rPr>
        <w:t>支持</w:t>
      </w:r>
      <w:bookmarkStart w:id="28" w:name="_Hlk112837617"/>
      <w:r>
        <w:rPr>
          <w:rFonts w:hint="eastAsia"/>
          <w:szCs w:val="24"/>
          <w:highlight w:val="none"/>
        </w:rPr>
        <w:t>V</w:t>
      </w:r>
      <w:r>
        <w:rPr>
          <w:szCs w:val="24"/>
          <w:highlight w:val="none"/>
        </w:rPr>
        <w:t>TE</w:t>
      </w:r>
      <w:r>
        <w:rPr>
          <w:rFonts w:hint="eastAsia"/>
          <w:szCs w:val="24"/>
          <w:highlight w:val="none"/>
        </w:rPr>
        <w:t>评估完成后将结果和预防措施自动生成暂存的一份V</w:t>
      </w:r>
      <w:r>
        <w:rPr>
          <w:szCs w:val="24"/>
          <w:highlight w:val="none"/>
        </w:rPr>
        <w:t>TE</w:t>
      </w:r>
      <w:r>
        <w:rPr>
          <w:rFonts w:hint="eastAsia"/>
          <w:szCs w:val="24"/>
          <w:highlight w:val="none"/>
        </w:rPr>
        <w:t>风险评估记录</w:t>
      </w:r>
      <w:bookmarkEnd w:id="28"/>
      <w:r>
        <w:rPr>
          <w:rFonts w:hint="eastAsia"/>
          <w:szCs w:val="24"/>
          <w:highlight w:val="none"/>
        </w:rPr>
        <w:t>。</w:t>
      </w:r>
    </w:p>
    <w:p>
      <w:pPr>
        <w:pStyle w:val="721"/>
        <w:ind w:firstLine="480"/>
        <w:rPr>
          <w:b/>
          <w:szCs w:val="24"/>
          <w:highlight w:val="none"/>
        </w:rPr>
      </w:pPr>
      <w:r>
        <w:rPr>
          <w:rFonts w:hint="eastAsia"/>
          <w:b/>
          <w:szCs w:val="24"/>
          <w:highlight w:val="none"/>
        </w:rPr>
        <w:t>七、VTE评估列表</w:t>
      </w:r>
    </w:p>
    <w:p>
      <w:pPr>
        <w:pStyle w:val="721"/>
        <w:ind w:firstLine="480"/>
        <w:rPr>
          <w:szCs w:val="24"/>
          <w:highlight w:val="none"/>
        </w:rPr>
      </w:pPr>
      <w:r>
        <w:rPr>
          <w:rFonts w:hint="eastAsia"/>
          <w:szCs w:val="24"/>
          <w:highlight w:val="none"/>
        </w:rPr>
        <w:t>支持展示全部患者已评估数据，并对即将超时未评估和已超时未评估患者特殊提醒；</w:t>
      </w:r>
    </w:p>
    <w:p>
      <w:pPr>
        <w:pStyle w:val="721"/>
        <w:ind w:firstLine="480"/>
        <w:rPr>
          <w:szCs w:val="24"/>
          <w:highlight w:val="none"/>
        </w:rPr>
      </w:pPr>
      <w:r>
        <w:rPr>
          <w:rFonts w:hint="eastAsia"/>
          <w:szCs w:val="24"/>
          <w:highlight w:val="none"/>
        </w:rPr>
        <w:t>实时根据患者在院情况，对入院、术后、转科、出院前、或评估表未保存的患者，系统会在待评估时机智能提醒医务人员，对尚未进行 VTE 风险评估的患者进行评估。在完成相关评估后，可实时自动获取评估结果，提醒将消失；</w:t>
      </w:r>
    </w:p>
    <w:p>
      <w:pPr>
        <w:pStyle w:val="721"/>
        <w:ind w:firstLine="480"/>
        <w:rPr>
          <w:szCs w:val="24"/>
          <w:highlight w:val="none"/>
        </w:rPr>
      </w:pPr>
      <w:r>
        <w:rPr>
          <w:rFonts w:hint="eastAsia"/>
          <w:szCs w:val="24"/>
          <w:highlight w:val="none"/>
        </w:rPr>
        <w:t>支持通过VTE评估结果、出血风险结果、预防措施筛选符合条件患者，默认以最新一次评估结果筛选。</w:t>
      </w:r>
    </w:p>
    <w:p>
      <w:pPr>
        <w:pStyle w:val="721"/>
        <w:ind w:firstLine="480"/>
        <w:rPr>
          <w:b/>
          <w:szCs w:val="24"/>
          <w:highlight w:val="none"/>
        </w:rPr>
      </w:pPr>
      <w:r>
        <w:rPr>
          <w:rFonts w:hint="eastAsia"/>
          <w:b/>
          <w:szCs w:val="24"/>
          <w:highlight w:val="none"/>
        </w:rPr>
        <w:t>八、VTE智能评估</w:t>
      </w:r>
    </w:p>
    <w:p>
      <w:pPr>
        <w:pStyle w:val="721"/>
        <w:ind w:firstLine="480"/>
        <w:rPr>
          <w:szCs w:val="24"/>
          <w:highlight w:val="none"/>
        </w:rPr>
      </w:pPr>
      <w:r>
        <w:rPr>
          <w:rFonts w:hint="eastAsia"/>
          <w:szCs w:val="24"/>
          <w:highlight w:val="none"/>
        </w:rPr>
        <w:t>医务人员可根据患者入院情况自行选择合适的风险评估表进行自动评估，支持手动新增不同时机下各类表单；</w:t>
      </w:r>
    </w:p>
    <w:p>
      <w:pPr>
        <w:pStyle w:val="721"/>
        <w:ind w:firstLine="480"/>
        <w:rPr>
          <w:szCs w:val="24"/>
          <w:highlight w:val="none"/>
        </w:rPr>
      </w:pPr>
      <w:r>
        <w:rPr>
          <w:rFonts w:hint="eastAsia"/>
          <w:szCs w:val="24"/>
          <w:highlight w:val="none"/>
        </w:rPr>
        <w:t>支持对已维护的评估表内容进行自动评分，根据维护的危险因素评估规则与患者的诊断、病历、手术记录、分娩记录、医嘱等相对应。显示该患者的危险因素评估依据，可删减，由医护人员确认后生成最终评估结果；</w:t>
      </w:r>
    </w:p>
    <w:p>
      <w:pPr>
        <w:pStyle w:val="721"/>
        <w:ind w:firstLine="480"/>
        <w:rPr>
          <w:szCs w:val="24"/>
          <w:highlight w:val="none"/>
        </w:rPr>
      </w:pPr>
      <w:r>
        <w:rPr>
          <w:rFonts w:hint="eastAsia"/>
          <w:szCs w:val="24"/>
          <w:highlight w:val="none"/>
        </w:rPr>
        <w:t>在完成相关评估后，可实时自动获取评估结果，对未进行出血风险评估的VTE 中高危风险患者，可智能推荐适用于手术患者/内科住院患者/产科患者的出血风险评估表；</w:t>
      </w:r>
    </w:p>
    <w:p>
      <w:pPr>
        <w:pStyle w:val="721"/>
        <w:ind w:firstLine="480"/>
        <w:rPr>
          <w:b/>
          <w:szCs w:val="24"/>
          <w:highlight w:val="none"/>
        </w:rPr>
      </w:pPr>
      <w:r>
        <w:rPr>
          <w:rFonts w:hint="eastAsia"/>
          <w:b/>
          <w:szCs w:val="24"/>
          <w:highlight w:val="none"/>
        </w:rPr>
        <w:t>九、支持根据评估结果推荐预防措施</w:t>
      </w:r>
    </w:p>
    <w:p>
      <w:pPr>
        <w:pStyle w:val="721"/>
        <w:ind w:firstLine="480"/>
        <w:rPr>
          <w:szCs w:val="24"/>
          <w:highlight w:val="none"/>
        </w:rPr>
      </w:pPr>
      <w:r>
        <w:rPr>
          <w:rFonts w:hint="eastAsia"/>
          <w:szCs w:val="24"/>
          <w:highlight w:val="none"/>
        </w:rPr>
        <w:t>支持展示患者在院内所有动态评估结果，供医务人员分析患者的评估结果变化趋势，帮助针对患者，建立个性化 VTE 防治方案。</w:t>
      </w:r>
    </w:p>
    <w:p>
      <w:pPr>
        <w:pStyle w:val="721"/>
        <w:ind w:firstLine="480"/>
        <w:rPr>
          <w:b/>
          <w:szCs w:val="24"/>
          <w:highlight w:val="none"/>
        </w:rPr>
      </w:pPr>
      <w:r>
        <w:rPr>
          <w:rFonts w:hint="eastAsia"/>
          <w:b/>
          <w:szCs w:val="24"/>
          <w:highlight w:val="none"/>
        </w:rPr>
        <w:t>十、宣教提醒</w:t>
      </w:r>
    </w:p>
    <w:p>
      <w:pPr>
        <w:pStyle w:val="721"/>
        <w:ind w:firstLine="480"/>
        <w:rPr>
          <w:szCs w:val="24"/>
          <w:highlight w:val="none"/>
        </w:rPr>
      </w:pPr>
      <w:r>
        <w:rPr>
          <w:rFonts w:hint="eastAsia"/>
          <w:szCs w:val="24"/>
          <w:highlight w:val="none"/>
        </w:rPr>
        <w:t>支持根据预防措施自动生成未宣教的项目提醒护士及时宣教。</w:t>
      </w:r>
    </w:p>
    <w:p>
      <w:pPr>
        <w:pStyle w:val="6"/>
        <w:ind w:firstLine="281"/>
        <w:rPr>
          <w:highlight w:val="none"/>
        </w:rPr>
      </w:pPr>
      <w:r>
        <w:rPr>
          <w:rFonts w:hint="eastAsia"/>
          <w:highlight w:val="none"/>
        </w:rPr>
        <w:t>营养膳食管理系统</w:t>
      </w:r>
    </w:p>
    <w:p>
      <w:pPr>
        <w:pStyle w:val="721"/>
        <w:ind w:firstLine="480"/>
        <w:rPr>
          <w:szCs w:val="24"/>
          <w:highlight w:val="none"/>
        </w:rPr>
      </w:pPr>
      <w:r>
        <w:rPr>
          <w:rFonts w:hint="eastAsia"/>
          <w:szCs w:val="24"/>
          <w:highlight w:val="none"/>
        </w:rPr>
        <w:t>建设范围：嘉善县第一人民医院、北部分院</w:t>
      </w:r>
    </w:p>
    <w:p>
      <w:pPr>
        <w:pStyle w:val="721"/>
        <w:ind w:firstLine="480"/>
        <w:rPr>
          <w:b/>
          <w:szCs w:val="24"/>
          <w:highlight w:val="none"/>
        </w:rPr>
      </w:pPr>
      <w:r>
        <w:rPr>
          <w:rFonts w:hint="eastAsia"/>
          <w:b/>
          <w:szCs w:val="24"/>
          <w:highlight w:val="none"/>
        </w:rPr>
        <w:t>系统建设要求：</w:t>
      </w:r>
    </w:p>
    <w:tbl>
      <w:tblPr>
        <w:tblStyle w:val="64"/>
        <w:tblW w:w="4990" w:type="pct"/>
        <w:tblInd w:w="1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0" w:type="dxa"/>
          <w:bottom w:w="0" w:type="dxa"/>
          <w:right w:w="0" w:type="dxa"/>
        </w:tblCellMar>
      </w:tblPr>
      <w:tblGrid>
        <w:gridCol w:w="838"/>
        <w:gridCol w:w="823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965" w:hRule="atLeast"/>
        </w:trPr>
        <w:tc>
          <w:tcPr>
            <w:tcW w:w="462" w:type="pct"/>
            <w:tcBorders>
              <w:top w:val="single" w:color="auto" w:sz="8" w:space="0"/>
            </w:tcBorders>
            <w:vAlign w:val="center"/>
          </w:tcPr>
          <w:p>
            <w:pPr>
              <w:spacing w:line="440" w:lineRule="exact"/>
              <w:jc w:val="center"/>
              <w:rPr>
                <w:rFonts w:ascii="宋体" w:hAnsi="宋体" w:cs="宋体"/>
                <w:bCs/>
                <w:szCs w:val="21"/>
                <w:highlight w:val="none"/>
              </w:rPr>
            </w:pPr>
            <w:r>
              <w:rPr>
                <w:rFonts w:hint="eastAsia" w:ascii="宋体" w:hAnsi="宋体" w:cs="宋体"/>
                <w:bCs/>
                <w:szCs w:val="21"/>
                <w:highlight w:val="none"/>
              </w:rPr>
              <w:t>系统建设总体要求</w:t>
            </w:r>
          </w:p>
        </w:tc>
        <w:tc>
          <w:tcPr>
            <w:tcW w:w="4538" w:type="pct"/>
            <w:tcBorders>
              <w:top w:val="single" w:color="auto" w:sz="8" w:space="0"/>
            </w:tcBorders>
            <w:vAlign w:val="center"/>
          </w:tcPr>
          <w:p>
            <w:pPr>
              <w:pStyle w:val="799"/>
              <w:widowControl/>
              <w:spacing w:line="440" w:lineRule="exact"/>
              <w:ind w:firstLine="0" w:firstLineChars="0"/>
              <w:contextualSpacing/>
              <w:rPr>
                <w:rFonts w:ascii="宋体" w:hAnsi="宋体" w:cs="宋体"/>
                <w:bCs/>
                <w:sz w:val="21"/>
                <w:szCs w:val="21"/>
                <w:highlight w:val="none"/>
              </w:rPr>
            </w:pPr>
            <w:r>
              <w:rPr>
                <w:rFonts w:hint="eastAsia" w:ascii="宋体" w:hAnsi="宋体" w:cs="宋体"/>
                <w:bCs/>
                <w:sz w:val="21"/>
                <w:szCs w:val="21"/>
                <w:highlight w:val="none"/>
              </w:rPr>
              <w:t>1、系统须能充分利用医院现有基础设施、设备、网络等资源，确保全年365天×24小时不间断的运行。</w:t>
            </w:r>
          </w:p>
          <w:p>
            <w:pPr>
              <w:pStyle w:val="799"/>
              <w:widowControl/>
              <w:spacing w:line="440" w:lineRule="exact"/>
              <w:ind w:firstLine="0" w:firstLineChars="0"/>
              <w:contextualSpacing/>
              <w:rPr>
                <w:rFonts w:ascii="宋体" w:hAnsi="宋体" w:cs="宋体"/>
                <w:bCs/>
                <w:sz w:val="21"/>
                <w:szCs w:val="21"/>
                <w:highlight w:val="none"/>
              </w:rPr>
            </w:pPr>
            <w:r>
              <w:rPr>
                <w:rFonts w:hint="eastAsia" w:ascii="宋体" w:hAnsi="宋体" w:cs="宋体"/>
                <w:bCs/>
                <w:sz w:val="21"/>
                <w:szCs w:val="21"/>
                <w:highlight w:val="none"/>
              </w:rPr>
              <w:t>2、系统须采用B/S架构技术，提高系统分布性，共享性，便于随时随地进行查询、处理。</w:t>
            </w:r>
          </w:p>
          <w:p>
            <w:pPr>
              <w:pStyle w:val="799"/>
              <w:widowControl/>
              <w:spacing w:line="440" w:lineRule="exact"/>
              <w:ind w:firstLine="0" w:firstLineChars="0"/>
              <w:contextualSpacing/>
              <w:rPr>
                <w:rFonts w:ascii="宋体" w:hAnsi="宋体" w:cs="宋体"/>
                <w:bCs/>
                <w:sz w:val="21"/>
                <w:szCs w:val="21"/>
                <w:highlight w:val="none"/>
              </w:rPr>
            </w:pPr>
            <w:r>
              <w:rPr>
                <w:rFonts w:hint="eastAsia" w:ascii="宋体" w:hAnsi="宋体" w:cs="宋体"/>
                <w:bCs/>
                <w:sz w:val="21"/>
                <w:szCs w:val="21"/>
                <w:highlight w:val="none"/>
              </w:rPr>
              <w:t>3、系统统一性要求：营养以及订餐相关管理系统需同一架构体系下同一软件管理平台。</w:t>
            </w:r>
          </w:p>
          <w:p>
            <w:pPr>
              <w:pStyle w:val="799"/>
              <w:widowControl/>
              <w:spacing w:line="440" w:lineRule="exact"/>
              <w:ind w:firstLine="0" w:firstLineChars="0"/>
              <w:contextualSpacing/>
              <w:rPr>
                <w:rFonts w:ascii="宋体" w:hAnsi="宋体" w:cs="宋体"/>
                <w:bCs/>
                <w:sz w:val="21"/>
                <w:szCs w:val="21"/>
                <w:highlight w:val="none"/>
              </w:rPr>
            </w:pPr>
            <w:r>
              <w:rPr>
                <w:rFonts w:hint="eastAsia" w:ascii="宋体" w:hAnsi="宋体" w:cs="宋体"/>
                <w:bCs/>
                <w:sz w:val="21"/>
                <w:szCs w:val="21"/>
                <w:highlight w:val="none"/>
              </w:rPr>
              <w:t>4、系统须采用SQLServer、MySQL、Oracle等主流关系型数据库系统，具有高度可移植性。</w:t>
            </w:r>
          </w:p>
          <w:p>
            <w:pPr>
              <w:pStyle w:val="799"/>
              <w:widowControl/>
              <w:spacing w:line="440" w:lineRule="exact"/>
              <w:ind w:firstLine="0" w:firstLineChars="0"/>
              <w:contextualSpacing/>
              <w:rPr>
                <w:rFonts w:ascii="宋体" w:hAnsi="宋体" w:cs="宋体"/>
                <w:bCs/>
                <w:sz w:val="21"/>
                <w:szCs w:val="21"/>
                <w:highlight w:val="none"/>
              </w:rPr>
            </w:pPr>
            <w:r>
              <w:rPr>
                <w:rFonts w:hint="eastAsia" w:ascii="宋体" w:hAnsi="宋体" w:cs="宋体"/>
                <w:bCs/>
                <w:sz w:val="21"/>
                <w:szCs w:val="21"/>
                <w:highlight w:val="none"/>
              </w:rPr>
              <w:t>8、系统接口须兼具标准化和灵活性要求，可通过多种方式实现与医院HIS、LIS、电子病历等外部系统的接口连接。</w:t>
            </w:r>
          </w:p>
          <w:p>
            <w:pPr>
              <w:pStyle w:val="799"/>
              <w:widowControl/>
              <w:spacing w:line="440" w:lineRule="exact"/>
              <w:ind w:firstLine="0" w:firstLineChars="0"/>
              <w:contextualSpacing/>
              <w:rPr>
                <w:rFonts w:ascii="宋体" w:hAnsi="宋体" w:cs="宋体"/>
                <w:bCs/>
                <w:sz w:val="21"/>
                <w:szCs w:val="21"/>
                <w:highlight w:val="none"/>
              </w:rPr>
            </w:pPr>
            <w:r>
              <w:rPr>
                <w:rFonts w:hint="eastAsia" w:ascii="宋体" w:hAnsi="宋体" w:cs="宋体"/>
                <w:bCs/>
                <w:sz w:val="21"/>
                <w:szCs w:val="21"/>
                <w:highlight w:val="none"/>
              </w:rPr>
              <w:t>9、系统须具备高度可扩展性，再购置相关设备可随时接入系统；可灵活地扩充其业务功能，并可与其它后勤相关系统进行完全整合。</w:t>
            </w:r>
          </w:p>
          <w:p>
            <w:pPr>
              <w:pStyle w:val="799"/>
              <w:widowControl/>
              <w:spacing w:line="440" w:lineRule="exact"/>
              <w:ind w:firstLine="0" w:firstLineChars="0"/>
              <w:contextualSpacing/>
              <w:rPr>
                <w:rFonts w:ascii="宋体" w:hAnsi="宋体" w:cs="宋体"/>
                <w:bCs/>
                <w:sz w:val="21"/>
                <w:szCs w:val="21"/>
                <w:highlight w:val="none"/>
              </w:rPr>
            </w:pPr>
            <w:r>
              <w:rPr>
                <w:rFonts w:hint="eastAsia" w:ascii="宋体" w:hAnsi="宋体" w:cs="宋体"/>
                <w:bCs/>
                <w:sz w:val="21"/>
                <w:szCs w:val="21"/>
                <w:highlight w:val="none"/>
              </w:rPr>
              <w:t>10、系统应考虑实用性与先进性相结合，要体现易于理解掌握、操作简单、提示清晰、逻辑性强、直观简洁、帮助信息丰富等特点，保证操作人员以最快速度和最少的击键次数完成工作。</w:t>
            </w:r>
          </w:p>
          <w:p>
            <w:pPr>
              <w:pStyle w:val="799"/>
              <w:widowControl/>
              <w:spacing w:line="440" w:lineRule="exact"/>
              <w:ind w:firstLine="0" w:firstLineChars="0"/>
              <w:contextualSpacing/>
              <w:rPr>
                <w:rFonts w:ascii="宋体" w:hAnsi="宋体" w:cs="宋体"/>
                <w:bCs/>
                <w:sz w:val="21"/>
                <w:szCs w:val="21"/>
                <w:highlight w:val="none"/>
              </w:rPr>
            </w:pPr>
            <w:r>
              <w:rPr>
                <w:rFonts w:hint="eastAsia" w:ascii="宋体" w:hAnsi="宋体" w:cs="宋体"/>
                <w:bCs/>
                <w:sz w:val="21"/>
                <w:szCs w:val="21"/>
                <w:highlight w:val="none"/>
              </w:rPr>
              <w:t>11、系统须保证与我国现行的有关法律、法规、规章制度相一致，并能满足各级医疗机构和各级卫生行政部门对信息的要求，并符合各上级部门医疗规范要求。</w:t>
            </w:r>
          </w:p>
        </w:tc>
      </w:tr>
    </w:tbl>
    <w:p>
      <w:pPr>
        <w:rPr>
          <w:highlight w:val="none"/>
        </w:rPr>
      </w:pPr>
    </w:p>
    <w:p>
      <w:pPr>
        <w:pStyle w:val="721"/>
        <w:ind w:firstLine="480"/>
        <w:rPr>
          <w:b/>
          <w:szCs w:val="24"/>
          <w:highlight w:val="none"/>
        </w:rPr>
      </w:pPr>
      <w:r>
        <w:rPr>
          <w:rFonts w:hint="eastAsia"/>
          <w:b/>
          <w:szCs w:val="24"/>
          <w:highlight w:val="none"/>
        </w:rPr>
        <w:t>门诊</w:t>
      </w:r>
      <w:r>
        <w:rPr>
          <w:b/>
          <w:szCs w:val="24"/>
          <w:highlight w:val="none"/>
        </w:rPr>
        <w:t>+</w:t>
      </w:r>
      <w:r>
        <w:rPr>
          <w:rFonts w:hint="eastAsia"/>
          <w:b/>
          <w:szCs w:val="24"/>
          <w:highlight w:val="none"/>
        </w:rPr>
        <w:t>临床营养管理系统功能要求</w:t>
      </w:r>
    </w:p>
    <w:tbl>
      <w:tblPr>
        <w:tblStyle w:val="6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128"/>
        <w:gridCol w:w="1155"/>
        <w:gridCol w:w="1335"/>
        <w:gridCol w:w="5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 w:hRule="atLeast"/>
        </w:trPr>
        <w:tc>
          <w:tcPr>
            <w:tcW w:w="614" w:type="pct"/>
            <w:vAlign w:val="bottom"/>
          </w:tcPr>
          <w:p>
            <w:pPr>
              <w:snapToGrid w:val="0"/>
              <w:spacing w:after="120"/>
              <w:jc w:val="center"/>
              <w:rPr>
                <w:rFonts w:ascii="微软雅黑" w:hAnsi="微软雅黑" w:eastAsia="微软雅黑"/>
                <w:color w:val="333333"/>
                <w:szCs w:val="21"/>
                <w:highlight w:val="none"/>
              </w:rPr>
            </w:pPr>
            <w:r>
              <w:rPr>
                <w:rFonts w:ascii="宋体" w:hAnsi="宋体"/>
                <w:b/>
                <w:bCs/>
                <w:color w:val="000000"/>
                <w:szCs w:val="21"/>
                <w:highlight w:val="none"/>
              </w:rPr>
              <w:t>服务名称</w:t>
            </w:r>
          </w:p>
        </w:tc>
        <w:tc>
          <w:tcPr>
            <w:tcW w:w="628" w:type="pct"/>
            <w:vAlign w:val="bottom"/>
          </w:tcPr>
          <w:p>
            <w:pPr>
              <w:snapToGrid w:val="0"/>
              <w:spacing w:after="120"/>
              <w:jc w:val="center"/>
              <w:rPr>
                <w:rFonts w:ascii="微软雅黑" w:hAnsi="微软雅黑" w:eastAsia="微软雅黑"/>
                <w:color w:val="333333"/>
                <w:szCs w:val="21"/>
                <w:highlight w:val="none"/>
              </w:rPr>
            </w:pPr>
            <w:r>
              <w:rPr>
                <w:rFonts w:ascii="宋体" w:hAnsi="宋体"/>
                <w:b/>
                <w:bCs/>
                <w:color w:val="000000"/>
                <w:szCs w:val="21"/>
                <w:highlight w:val="none"/>
              </w:rPr>
              <w:t>模块</w:t>
            </w: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b/>
                <w:bCs/>
                <w:color w:val="000000"/>
                <w:szCs w:val="21"/>
                <w:highlight w:val="none"/>
              </w:rPr>
              <w:t>功能</w:t>
            </w:r>
          </w:p>
        </w:tc>
        <w:tc>
          <w:tcPr>
            <w:tcW w:w="3030" w:type="pct"/>
            <w:vAlign w:val="center"/>
          </w:tcPr>
          <w:p>
            <w:pPr>
              <w:snapToGrid w:val="0"/>
              <w:spacing w:after="120"/>
              <w:jc w:val="center"/>
              <w:rPr>
                <w:rFonts w:ascii="微软雅黑" w:hAnsi="微软雅黑" w:eastAsia="微软雅黑"/>
                <w:color w:val="333333"/>
                <w:szCs w:val="21"/>
                <w:highlight w:val="none"/>
              </w:rPr>
            </w:pPr>
            <w:r>
              <w:rPr>
                <w:rFonts w:hint="eastAsia" w:ascii="宋体" w:hAnsi="宋体"/>
                <w:b/>
                <w:bCs/>
                <w:color w:val="000000"/>
                <w:szCs w:val="21"/>
                <w:highlight w:val="none"/>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 w:hRule="atLeast"/>
        </w:trPr>
        <w:tc>
          <w:tcPr>
            <w:tcW w:w="614" w:type="pct"/>
            <w:vAlign w:val="center"/>
          </w:tcPr>
          <w:p>
            <w:pPr>
              <w:snapToGrid w:val="0"/>
              <w:spacing w:after="120"/>
              <w:jc w:val="center"/>
              <w:rPr>
                <w:rFonts w:ascii="宋体" w:hAnsi="宋体" w:cs="宋体"/>
                <w:b/>
                <w:bCs/>
                <w:color w:val="000000"/>
                <w:szCs w:val="21"/>
                <w:highlight w:val="none"/>
                <w:lang w:eastAsia="zh-Hans" w:bidi="zh-TW"/>
              </w:rPr>
            </w:pPr>
            <w:r>
              <w:rPr>
                <w:rFonts w:hint="eastAsia" w:ascii="宋体" w:hAnsi="宋体" w:cs="宋体"/>
                <w:color w:val="000000"/>
                <w:szCs w:val="21"/>
                <w:highlight w:val="none"/>
                <w:lang w:eastAsia="zh-Hans"/>
              </w:rPr>
              <w:t>主页</w:t>
            </w:r>
          </w:p>
        </w:tc>
        <w:tc>
          <w:tcPr>
            <w:tcW w:w="628" w:type="pct"/>
            <w:vAlign w:val="center"/>
          </w:tcPr>
          <w:p>
            <w:pPr>
              <w:snapToGrid w:val="0"/>
              <w:spacing w:after="120"/>
              <w:ind w:firstLine="315" w:firstLineChars="150"/>
              <w:rPr>
                <w:rFonts w:ascii="宋体" w:hAnsi="宋体" w:cs="宋体"/>
                <w:color w:val="000000"/>
                <w:szCs w:val="21"/>
                <w:highlight w:val="none"/>
                <w:lang w:eastAsia="zh-Hans" w:bidi="zh-TW"/>
              </w:rPr>
            </w:pPr>
            <w:r>
              <w:rPr>
                <w:rFonts w:hint="eastAsia" w:ascii="宋体" w:hAnsi="宋体" w:cs="宋体"/>
                <w:color w:val="000000"/>
                <w:szCs w:val="21"/>
                <w:highlight w:val="none"/>
                <w:lang w:eastAsia="zh-Hans"/>
              </w:rPr>
              <w:t>主页</w:t>
            </w:r>
          </w:p>
        </w:tc>
        <w:tc>
          <w:tcPr>
            <w:tcW w:w="726" w:type="pct"/>
            <w:vAlign w:val="center"/>
          </w:tcPr>
          <w:p>
            <w:pPr>
              <w:snapToGrid w:val="0"/>
              <w:spacing w:after="120"/>
              <w:jc w:val="center"/>
              <w:rPr>
                <w:rFonts w:ascii="宋体" w:hAnsi="宋体" w:cs="宋体"/>
                <w:color w:val="000000"/>
                <w:szCs w:val="21"/>
                <w:highlight w:val="none"/>
                <w:lang w:eastAsia="zh-Hans" w:bidi="zh-TW"/>
              </w:rPr>
            </w:pPr>
            <w:r>
              <w:rPr>
                <w:rFonts w:hint="eastAsia" w:ascii="宋体" w:hAnsi="宋体" w:cs="宋体"/>
                <w:color w:val="000000"/>
                <w:szCs w:val="21"/>
                <w:highlight w:val="none"/>
                <w:lang w:eastAsia="zh-Hans"/>
              </w:rPr>
              <w:t>工作台</w:t>
            </w:r>
          </w:p>
        </w:tc>
        <w:tc>
          <w:tcPr>
            <w:tcW w:w="3030" w:type="pct"/>
            <w:vAlign w:val="center"/>
          </w:tcPr>
          <w:p>
            <w:pPr>
              <w:snapToGrid w:val="0"/>
              <w:spacing w:after="120"/>
              <w:jc w:val="center"/>
              <w:rPr>
                <w:rFonts w:ascii="宋体" w:hAnsi="宋体" w:cs="宋体"/>
                <w:color w:val="000000"/>
                <w:szCs w:val="21"/>
                <w:highlight w:val="none"/>
                <w:lang w:val="zh-TW" w:eastAsia="zh-TW" w:bidi="zh-TW"/>
              </w:rPr>
            </w:pPr>
            <w:r>
              <w:rPr>
                <w:rFonts w:hint="eastAsia" w:ascii="宋体" w:hAnsi="宋体" w:cs="宋体"/>
                <w:color w:val="000000"/>
                <w:kern w:val="0"/>
                <w:szCs w:val="21"/>
                <w:highlight w:val="none"/>
                <w:lang w:bidi="ar"/>
              </w:rPr>
              <w:t>业务流程+登陆信息+住院患者信息统计+今日住院患者信息统计+快速查询患者+快捷键</w:t>
            </w:r>
            <w:r>
              <w:rPr>
                <w:rFonts w:ascii="宋体" w:hAnsi="宋体" w:cs="宋体"/>
                <w:color w:val="000000"/>
                <w:kern w:val="0"/>
                <w:szCs w:val="21"/>
                <w:highlight w:val="none"/>
                <w:lang w:bidi="ar"/>
              </w:rPr>
              <w:t>，</w:t>
            </w:r>
            <w:r>
              <w:rPr>
                <w:rFonts w:hint="eastAsia" w:ascii="宋体" w:hAnsi="宋体" w:cs="宋体"/>
                <w:color w:val="000000"/>
                <w:kern w:val="0"/>
                <w:szCs w:val="21"/>
                <w:highlight w:val="none"/>
                <w:lang w:eastAsia="zh-Hans" w:bidi="ar"/>
              </w:rPr>
              <w:t>可定制</w:t>
            </w:r>
            <w:r>
              <w:rPr>
                <w:rFonts w:hint="eastAsia" w:ascii="宋体" w:hAnsi="宋体" w:cs="宋体"/>
                <w:color w:val="000000"/>
                <w:kern w:val="0"/>
                <w:szCs w:val="21"/>
                <w:highlight w:val="none"/>
                <w:lang w:bidi="ar"/>
              </w:rPr>
              <w:t>（待办列表+最近查询患者，待办列表包括营养会诊、肠内配置及其他可添加模块）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Merge w:val="restart"/>
            <w:vAlign w:val="center"/>
          </w:tcPr>
          <w:p>
            <w:pPr>
              <w:snapToGrid w:val="0"/>
              <w:spacing w:after="120"/>
              <w:jc w:val="center"/>
              <w:rPr>
                <w:rFonts w:ascii="宋体" w:hAnsi="宋体"/>
                <w:color w:val="000000"/>
                <w:szCs w:val="21"/>
                <w:highlight w:val="none"/>
                <w:lang w:eastAsia="zh-Hans"/>
              </w:rPr>
            </w:pPr>
            <w:r>
              <w:rPr>
                <w:rFonts w:hint="eastAsia" w:ascii="宋体" w:hAnsi="宋体"/>
                <w:color w:val="000000"/>
                <w:szCs w:val="21"/>
                <w:highlight w:val="none"/>
                <w:lang w:eastAsia="zh-Hans"/>
              </w:rPr>
              <w:t>住</w:t>
            </w:r>
          </w:p>
          <w:p>
            <w:pPr>
              <w:snapToGrid w:val="0"/>
              <w:spacing w:after="120"/>
              <w:jc w:val="center"/>
              <w:rPr>
                <w:rFonts w:ascii="宋体" w:hAnsi="宋体"/>
                <w:color w:val="000000"/>
                <w:szCs w:val="21"/>
                <w:highlight w:val="none"/>
                <w:lang w:eastAsia="zh-Hans"/>
              </w:rPr>
            </w:pPr>
            <w:r>
              <w:rPr>
                <w:rFonts w:hint="eastAsia" w:ascii="宋体" w:hAnsi="宋体"/>
                <w:color w:val="000000"/>
                <w:szCs w:val="21"/>
                <w:highlight w:val="none"/>
                <w:lang w:eastAsia="zh-Hans"/>
              </w:rPr>
              <w:t>院</w:t>
            </w:r>
          </w:p>
          <w:p>
            <w:pPr>
              <w:snapToGrid w:val="0"/>
              <w:spacing w:after="120"/>
              <w:jc w:val="center"/>
              <w:rPr>
                <w:rFonts w:ascii="宋体" w:hAnsi="宋体"/>
                <w:color w:val="000000"/>
                <w:szCs w:val="21"/>
                <w:highlight w:val="none"/>
                <w:lang w:eastAsia="zh-Hans"/>
              </w:rPr>
            </w:pPr>
            <w:r>
              <w:rPr>
                <w:rFonts w:hint="eastAsia" w:ascii="宋体" w:hAnsi="宋体"/>
                <w:color w:val="000000"/>
                <w:szCs w:val="21"/>
                <w:highlight w:val="none"/>
                <w:lang w:eastAsia="zh-Hans"/>
              </w:rPr>
              <w:t>营</w:t>
            </w:r>
          </w:p>
          <w:p>
            <w:pPr>
              <w:snapToGrid w:val="0"/>
              <w:spacing w:after="120"/>
              <w:jc w:val="center"/>
              <w:rPr>
                <w:rFonts w:ascii="宋体" w:hAnsi="宋体"/>
                <w:color w:val="000000"/>
                <w:szCs w:val="21"/>
                <w:highlight w:val="none"/>
                <w:lang w:eastAsia="zh-Hans"/>
              </w:rPr>
            </w:pPr>
            <w:r>
              <w:rPr>
                <w:rFonts w:hint="eastAsia" w:ascii="宋体" w:hAnsi="宋体"/>
                <w:color w:val="000000"/>
                <w:szCs w:val="21"/>
                <w:highlight w:val="none"/>
                <w:lang w:eastAsia="zh-Hans"/>
              </w:rPr>
              <w:t>养</w:t>
            </w:r>
          </w:p>
          <w:p>
            <w:pPr>
              <w:snapToGrid w:val="0"/>
              <w:spacing w:after="120"/>
              <w:jc w:val="center"/>
              <w:rPr>
                <w:rFonts w:ascii="宋体" w:hAnsi="宋体"/>
                <w:color w:val="000000"/>
                <w:szCs w:val="21"/>
                <w:highlight w:val="none"/>
                <w:lang w:eastAsia="zh-Hans"/>
              </w:rPr>
            </w:pPr>
            <w:r>
              <w:rPr>
                <w:rFonts w:hint="eastAsia" w:ascii="宋体" w:hAnsi="宋体"/>
                <w:color w:val="000000"/>
                <w:szCs w:val="21"/>
                <w:highlight w:val="none"/>
                <w:lang w:eastAsia="zh-Hans"/>
              </w:rPr>
              <w:t>服</w:t>
            </w:r>
          </w:p>
          <w:p>
            <w:pPr>
              <w:snapToGrid w:val="0"/>
              <w:spacing w:after="120"/>
              <w:jc w:val="center"/>
              <w:rPr>
                <w:rFonts w:ascii="宋体" w:hAnsi="宋体"/>
                <w:color w:val="000000"/>
                <w:szCs w:val="21"/>
                <w:highlight w:val="none"/>
                <w:lang w:eastAsia="zh-Hans"/>
              </w:rPr>
            </w:pPr>
            <w:r>
              <w:rPr>
                <w:rFonts w:hint="eastAsia" w:ascii="宋体" w:hAnsi="宋体"/>
                <w:color w:val="000000"/>
                <w:szCs w:val="21"/>
                <w:highlight w:val="none"/>
                <w:lang w:eastAsia="zh-Hans"/>
              </w:rPr>
              <w:t>务</w:t>
            </w:r>
          </w:p>
        </w:tc>
        <w:tc>
          <w:tcPr>
            <w:tcW w:w="628" w:type="pct"/>
            <w:vMerge w:val="restart"/>
            <w:vAlign w:val="center"/>
          </w:tcPr>
          <w:p>
            <w:pPr>
              <w:snapToGrid w:val="0"/>
              <w:spacing w:after="120"/>
              <w:jc w:val="center"/>
              <w:rPr>
                <w:rFonts w:ascii="宋体" w:hAnsi="宋体"/>
                <w:color w:val="000000"/>
                <w:szCs w:val="21"/>
                <w:highlight w:val="none"/>
                <w:lang w:eastAsia="zh-Hans"/>
              </w:rPr>
            </w:pPr>
            <w:r>
              <w:rPr>
                <w:rFonts w:hint="eastAsia" w:ascii="宋体" w:hAnsi="宋体"/>
                <w:color w:val="000000"/>
                <w:szCs w:val="21"/>
                <w:highlight w:val="none"/>
                <w:lang w:eastAsia="zh-Hans"/>
              </w:rPr>
              <w:t>患者管理</w:t>
            </w:r>
          </w:p>
        </w:tc>
        <w:tc>
          <w:tcPr>
            <w:tcW w:w="726" w:type="pct"/>
            <w:vAlign w:val="center"/>
          </w:tcPr>
          <w:p>
            <w:pPr>
              <w:snapToGrid w:val="0"/>
              <w:spacing w:after="120"/>
              <w:jc w:val="center"/>
              <w:rPr>
                <w:rFonts w:ascii="宋体" w:hAnsi="宋体" w:cs="宋体"/>
                <w:color w:val="333333"/>
                <w:szCs w:val="21"/>
                <w:highlight w:val="none"/>
                <w:lang w:val="zh-TW" w:eastAsia="zh-TW" w:bidi="zh-TW"/>
              </w:rPr>
            </w:pPr>
            <w:r>
              <w:rPr>
                <w:rFonts w:hint="eastAsia" w:ascii="宋体" w:hAnsi="宋体" w:cs="宋体"/>
                <w:color w:val="000000"/>
                <w:szCs w:val="21"/>
                <w:highlight w:val="none"/>
              </w:rPr>
              <w:t>在院列表</w:t>
            </w:r>
          </w:p>
        </w:tc>
        <w:tc>
          <w:tcPr>
            <w:tcW w:w="3030" w:type="pct"/>
            <w:vAlign w:val="center"/>
          </w:tcPr>
          <w:p>
            <w:pPr>
              <w:snapToGrid w:val="0"/>
              <w:spacing w:after="120"/>
              <w:jc w:val="left"/>
              <w:rPr>
                <w:rFonts w:ascii="宋体" w:hAnsi="宋体" w:cs="宋体"/>
                <w:color w:val="333333"/>
                <w:szCs w:val="21"/>
                <w:highlight w:val="none"/>
                <w:lang w:val="zh-TW" w:eastAsia="zh-TW" w:bidi="zh-TW"/>
              </w:rPr>
            </w:pPr>
            <w:r>
              <w:rPr>
                <w:rFonts w:hint="eastAsia" w:ascii="宋体" w:hAnsi="宋体" w:cs="宋体"/>
                <w:color w:val="000000"/>
                <w:szCs w:val="21"/>
                <w:highlight w:val="none"/>
              </w:rPr>
              <w:t>从his获取当前在院患者信息并按病区展示在列表中；可自行选择需要管理的病区；同步患者的筛查状态，可以快速查询风险患者并进行干预；可关注患者；病区+科室+床位+风险提示+仅显示当天入院病人。病区支持多院区同系统显示，床位参照电子病历平铺形式，符合临床医生使用习惯，床位橙色代表有风险、蓝色代表无风险、灰色代表未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出院列表</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显示已出院的患者信息。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患者档案</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用于查看患者入院基本信息和和疾病史，内容与HIS对接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营养筛查</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包含NRS2002和STAMP筛查，操作时自动计算总分和得出结果；根据适用年龄自动匹配筛查类型；此功能支持嵌入护理系统，由护士完成，并将筛查结果显示在在院列表中；支持历史筛查的查看和打印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hint="eastAsia" w:ascii="宋体" w:hAnsi="宋体" w:cs="宋体"/>
                <w:color w:val="000000"/>
                <w:szCs w:val="21"/>
                <w:highlight w:val="none"/>
              </w:rPr>
              <w:t>营养评定</w:t>
            </w:r>
          </w:p>
        </w:tc>
        <w:tc>
          <w:tcPr>
            <w:tcW w:w="3030" w:type="pct"/>
            <w:vAlign w:val="center"/>
          </w:tcPr>
          <w:p>
            <w:pPr>
              <w:snapToGrid w:val="0"/>
              <w:spacing w:after="120"/>
              <w:jc w:val="left"/>
              <w:rPr>
                <w:rFonts w:ascii="微软雅黑" w:hAnsi="微软雅黑" w:eastAsia="微软雅黑"/>
                <w:color w:val="333333"/>
                <w:szCs w:val="21"/>
                <w:highlight w:val="none"/>
              </w:rPr>
            </w:pPr>
            <w:r>
              <w:rPr>
                <w:rFonts w:hint="eastAsia" w:ascii="宋体" w:hAnsi="宋体" w:cs="宋体"/>
                <w:color w:val="000000"/>
                <w:szCs w:val="21"/>
                <w:highlight w:val="none"/>
              </w:rPr>
              <w:t>包含SGA、PG-SGA、MNA、MNA-SF、MUST、PYMS</w:t>
            </w:r>
            <w:r>
              <w:rPr>
                <w:rFonts w:ascii="宋体" w:hAnsi="宋体" w:cs="宋体"/>
                <w:color w:val="000000"/>
                <w:szCs w:val="21"/>
                <w:highlight w:val="none"/>
              </w:rPr>
              <w:t>、</w:t>
            </w:r>
            <w:r>
              <w:rPr>
                <w:rFonts w:ascii="宋体" w:hAnsi="宋体" w:cs="宋体"/>
                <w:color w:val="000000"/>
                <w:szCs w:val="21"/>
                <w:highlight w:val="none"/>
                <w:lang w:eastAsia="zh-Hans"/>
              </w:rPr>
              <w:t>GLIM</w:t>
            </w:r>
            <w:r>
              <w:rPr>
                <w:rFonts w:hint="eastAsia" w:ascii="宋体" w:hAnsi="宋体" w:cs="宋体"/>
                <w:color w:val="000000"/>
                <w:szCs w:val="21"/>
                <w:highlight w:val="none"/>
              </w:rPr>
              <w:t>等评定量表，操作时自动计算总分和得出结果；量表会根据适用年龄控制；支持历史评定查看和打印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宋体" w:hAnsi="宋体" w:cs="宋体"/>
                <w:color w:val="333333"/>
                <w:szCs w:val="21"/>
                <w:highlight w:val="none"/>
                <w:lang w:val="zh-TW" w:eastAsia="zh-TW" w:bidi="zh-TW"/>
              </w:rPr>
            </w:pPr>
            <w:r>
              <w:rPr>
                <w:rFonts w:hint="eastAsia" w:ascii="宋体" w:hAnsi="宋体" w:cs="宋体"/>
                <w:color w:val="000000"/>
                <w:szCs w:val="21"/>
                <w:highlight w:val="none"/>
              </w:rPr>
              <w:t>营养评估</w:t>
            </w:r>
          </w:p>
        </w:tc>
        <w:tc>
          <w:tcPr>
            <w:tcW w:w="3030" w:type="pct"/>
            <w:vAlign w:val="center"/>
          </w:tcPr>
          <w:p>
            <w:pPr>
              <w:snapToGrid w:val="0"/>
              <w:spacing w:after="120"/>
              <w:jc w:val="left"/>
              <w:rPr>
                <w:rFonts w:ascii="宋体" w:hAnsi="宋体" w:cs="宋体"/>
                <w:color w:val="333333"/>
                <w:szCs w:val="21"/>
                <w:highlight w:val="none"/>
                <w:lang w:val="zh-TW" w:eastAsia="zh-TW" w:bidi="zh-TW"/>
              </w:rPr>
            </w:pPr>
            <w:r>
              <w:rPr>
                <w:rFonts w:hint="eastAsia" w:ascii="宋体" w:hAnsi="宋体" w:cs="宋体"/>
                <w:color w:val="000000"/>
                <w:szCs w:val="21"/>
                <w:highlight w:val="none"/>
              </w:rPr>
              <w:t>包含体征评估、消化道评估、AGI评估、生化评估、膳食评估、运动评估全面评估，支持评估记录的查看和打印。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营养诊断</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用于依据评估评定结果进行营养疾病诊断；提供专业的疾病库和部分常见疾病的营养建议，医生在选择疾病后会自动调出营养建议以供参考和采纳。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宋体" w:hAnsi="宋体" w:cs="宋体"/>
                <w:color w:val="333333"/>
                <w:szCs w:val="21"/>
                <w:highlight w:val="none"/>
                <w:lang w:val="zh-TW" w:eastAsia="zh-TW" w:bidi="zh-TW"/>
              </w:rPr>
            </w:pPr>
            <w:r>
              <w:rPr>
                <w:rFonts w:hint="eastAsia" w:ascii="宋体" w:hAnsi="宋体" w:cs="宋体"/>
                <w:color w:val="000000"/>
                <w:szCs w:val="21"/>
                <w:highlight w:val="none"/>
              </w:rPr>
              <w:t>营养素推荐</w:t>
            </w:r>
          </w:p>
        </w:tc>
        <w:tc>
          <w:tcPr>
            <w:tcW w:w="3030" w:type="pct"/>
            <w:vAlign w:val="center"/>
          </w:tcPr>
          <w:p>
            <w:pPr>
              <w:snapToGrid w:val="0"/>
              <w:spacing w:after="120"/>
              <w:jc w:val="left"/>
              <w:rPr>
                <w:rFonts w:ascii="宋体" w:hAnsi="宋体" w:cs="宋体"/>
                <w:color w:val="333333"/>
                <w:szCs w:val="21"/>
                <w:highlight w:val="none"/>
                <w:lang w:val="zh-TW" w:eastAsia="zh-TW" w:bidi="zh-TW"/>
              </w:rPr>
            </w:pPr>
            <w:r>
              <w:rPr>
                <w:rFonts w:hint="eastAsia" w:ascii="宋体" w:hAnsi="宋体" w:cs="宋体"/>
                <w:color w:val="000000"/>
                <w:szCs w:val="21"/>
                <w:highlight w:val="none"/>
              </w:rPr>
              <w:t>提供两种计算方式：1、根据性别、年龄、身高、体重在自动计算BEE以及各营养素的基础推荐量，并结合压力指数和活动量指数计算REE，作为能量摄入量参考标准；2、可自行填写每天每体重消耗量系数进行计算能量和蛋白质的推荐量；支持根据孕期的胖瘦程度自动推荐孕妇和乳母的营养素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医嘱开立</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用于肠内肠外医嘱的开立；支持长期临时、配置整取医嘱开立。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食谱定制</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用户定制患者的营养食谱；提供专业的食物库、菜谱库和食谱库等基础数据；支持多天的食谱定制；支持食谱智能推荐（根据营养素能量推荐量和营养诊断进行推荐）；支持食谱打印。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病历打印</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支持选择已完成的筛查、评定、评估、干预记录汇总成营养病历并打印。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restar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营养会诊</w:t>
            </w: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会诊列表</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用于接受HIS发送给营养科的会诊申请，并展示在会诊列表中；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宋体" w:hAnsi="宋体" w:cs="宋体"/>
                <w:color w:val="333333"/>
                <w:szCs w:val="21"/>
                <w:highlight w:val="none"/>
                <w:lang w:val="zh-TW" w:eastAsia="zh-TW" w:bidi="zh-TW"/>
              </w:rPr>
            </w:pPr>
            <w:r>
              <w:rPr>
                <w:rFonts w:hint="eastAsia" w:ascii="宋体" w:hAnsi="宋体" w:cs="宋体"/>
                <w:color w:val="000000"/>
                <w:szCs w:val="21"/>
                <w:highlight w:val="none"/>
              </w:rPr>
              <w:t>会诊</w:t>
            </w:r>
          </w:p>
        </w:tc>
        <w:tc>
          <w:tcPr>
            <w:tcW w:w="3030" w:type="pct"/>
            <w:vAlign w:val="center"/>
          </w:tcPr>
          <w:p>
            <w:pPr>
              <w:snapToGrid w:val="0"/>
              <w:spacing w:after="120"/>
              <w:jc w:val="left"/>
              <w:rPr>
                <w:rFonts w:ascii="宋体" w:hAnsi="宋体" w:cs="宋体"/>
                <w:color w:val="333333"/>
                <w:szCs w:val="21"/>
                <w:highlight w:val="none"/>
                <w:lang w:val="zh-TW" w:eastAsia="zh-TW" w:bidi="zh-TW"/>
              </w:rPr>
            </w:pPr>
            <w:r>
              <w:rPr>
                <w:rFonts w:hint="eastAsia" w:ascii="宋体" w:hAnsi="宋体" w:cs="宋体"/>
                <w:color w:val="000000"/>
                <w:szCs w:val="21"/>
                <w:highlight w:val="none"/>
              </w:rPr>
              <w:t>对会诊对象进行诊断并给出会诊建议；会诊时提供营养小工具，可快捷查看临床记录、生化检验报告、影像检查报告、历史营养医嘱等数量的查看（临床数据需要视his能否提供而定）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会诊结果回传</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将营养医生提交的会诊结果传给临床系统（会诊回传功能受his的支持情况限制）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restar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营养访视</w:t>
            </w: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访视列表</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可以将干预过的患者加入到访视列表，用于治疗情况的监控随访跟进后续；支持访视计划设置。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访视</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访视时提供营养小工具以快捷查看患者的最新临床数据，作为干预方案调整的依据，最终形成访视结论。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Align w:val="center"/>
          </w:tcPr>
          <w:p>
            <w:pPr>
              <w:snapToGrid w:val="0"/>
              <w:spacing w:after="120"/>
              <w:jc w:val="center"/>
              <w:rPr>
                <w:rFonts w:ascii="微软雅黑" w:hAnsi="微软雅黑" w:eastAsia="微软雅黑"/>
                <w:color w:val="333333"/>
                <w:szCs w:val="21"/>
                <w:highlight w:val="none"/>
              </w:rPr>
            </w:pPr>
          </w:p>
        </w:tc>
        <w:tc>
          <w:tcPr>
            <w:tcW w:w="1155" w:type="dxa"/>
            <w:vAlign w:val="center"/>
          </w:tcPr>
          <w:p>
            <w:pPr>
              <w:snapToGrid w:val="0"/>
              <w:spacing w:after="120"/>
              <w:jc w:val="center"/>
              <w:rPr>
                <w:rFonts w:ascii="微软雅黑" w:hAnsi="微软雅黑" w:eastAsia="微软雅黑"/>
                <w:b w:val="0"/>
                <w:bCs w:val="0"/>
                <w:color w:val="auto"/>
                <w:szCs w:val="21"/>
                <w:highlight w:val="none"/>
              </w:rPr>
            </w:pPr>
            <w:r>
              <w:rPr>
                <w:rFonts w:hint="eastAsia" w:ascii="宋体" w:hAnsi="宋体"/>
                <w:b w:val="0"/>
                <w:bCs w:val="0"/>
                <w:color w:val="auto"/>
                <w:szCs w:val="21"/>
                <w:highlight w:val="none"/>
                <w:lang w:val="en-US" w:eastAsia="zh-CN"/>
              </w:rPr>
              <w:t>营养质控</w:t>
            </w:r>
          </w:p>
        </w:tc>
        <w:tc>
          <w:tcPr>
            <w:tcW w:w="1335" w:type="dxa"/>
            <w:vAlign w:val="center"/>
          </w:tcPr>
          <w:p>
            <w:pPr>
              <w:snapToGrid w:val="0"/>
              <w:spacing w:after="120"/>
              <w:jc w:val="center"/>
              <w:rPr>
                <w:rFonts w:ascii="宋体" w:hAnsi="宋体"/>
                <w:b w:val="0"/>
                <w:bCs w:val="0"/>
                <w:color w:val="auto"/>
                <w:szCs w:val="21"/>
                <w:highlight w:val="none"/>
              </w:rPr>
            </w:pPr>
          </w:p>
        </w:tc>
        <w:tc>
          <w:tcPr>
            <w:tcW w:w="5570" w:type="dxa"/>
            <w:vAlign w:val="center"/>
          </w:tcPr>
          <w:p>
            <w:pPr>
              <w:snapToGrid w:val="0"/>
              <w:spacing w:after="120"/>
              <w:jc w:val="left"/>
              <w:rPr>
                <w:rFonts w:hint="default"/>
                <w:b w:val="0"/>
                <w:bCs w:val="0"/>
                <w:color w:val="auto"/>
                <w:highlight w:val="none"/>
                <w:lang w:val="en-US" w:eastAsia="zh-CN"/>
              </w:rPr>
            </w:pPr>
            <w:r>
              <w:rPr>
                <w:rFonts w:hint="eastAsia"/>
                <w:b w:val="0"/>
                <w:bCs w:val="0"/>
                <w:color w:val="auto"/>
                <w:highlight w:val="none"/>
                <w:lang w:val="en-US" w:eastAsia="zh-CN"/>
              </w:rPr>
              <w:t>包括但不限于住院患者营养风险筛查率、存在营养风险住院患者营养会诊率、存在营养风险住院患者营养治疗率、营养治疗不良事件填报等，可根据上级文件要求定制内容</w:t>
            </w:r>
          </w:p>
          <w:p>
            <w:pPr>
              <w:pStyle w:val="2"/>
              <w:ind w:left="-17" w:leftChars="-8" w:right="181" w:rightChars="0" w:firstLine="630" w:firstLineChars="300"/>
              <w:rPr>
                <w:rFonts w:ascii="宋体" w:hAnsi="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25" w:hRule="atLeast"/>
        </w:trPr>
        <w:tc>
          <w:tcPr>
            <w:tcW w:w="614" w:type="pct"/>
            <w:vMerge w:val="restar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肠</w:t>
            </w: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内</w:t>
            </w: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配</w:t>
            </w: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置</w:t>
            </w: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服</w:t>
            </w: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务</w:t>
            </w:r>
          </w:p>
        </w:tc>
        <w:tc>
          <w:tcPr>
            <w:tcW w:w="628" w:type="pct"/>
            <w:vMerge w:val="restar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医嘱执行</w:t>
            </w: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执行医嘱获取</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获取已开立医嘱的执行医嘱，支持获取his开立的医嘱和在本软件中开立的医嘱；支持多种扣费模式；可批量执行；获取到新的待执行医嘱时会进行通知。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40"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执行出库</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执行后自动完成出库，并形成出库记录；提供医嘱标签打印、配送单/签收单打印。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退费回收</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已完成执行的医嘱可以进行退费回收操作；退费的产品自动入库并形成入库记录，只退费不回收时会自动进行报废流程；支持多次退费，直至金额和数量都为零；可快捷查看退费记录。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30" w:hRule="atLeast"/>
        </w:trPr>
        <w:tc>
          <w:tcPr>
            <w:tcW w:w="614" w:type="pct"/>
            <w:vMerge w:val="restar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营</w:t>
            </w: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养</w:t>
            </w: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产</w:t>
            </w: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品</w:t>
            </w: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服</w:t>
            </w: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务</w:t>
            </w:r>
          </w:p>
        </w:tc>
        <w:tc>
          <w:tcPr>
            <w:tcW w:w="628" w:type="pct"/>
            <w:vMerge w:val="restar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营养产品</w:t>
            </w: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产品管理</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用于管理采购的营养产品信息，包含规格、字号、营养成分、产品使用说明等信息；支持产品调价功能。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制剂管理</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用于管理营养制剂配方，可自行选择多个营养产品形成制剂配方，同时自动计算制剂的营养成分量；执行制剂医嘱时，会自动出库对应数量的产品，无需手动换算。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05" w:hRule="atLeast"/>
        </w:trPr>
        <w:tc>
          <w:tcPr>
            <w:tcW w:w="614" w:type="pct"/>
            <w:vMerge w:val="restar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营</w:t>
            </w: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养</w:t>
            </w: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库</w:t>
            </w: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房</w:t>
            </w: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服</w:t>
            </w: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务</w:t>
            </w:r>
          </w:p>
        </w:tc>
        <w:tc>
          <w:tcPr>
            <w:tcW w:w="628" w:type="pct"/>
            <w:vMerge w:val="restar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营养库房</w:t>
            </w: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库房管理</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用于创建营养库房，支持多库房管理，支持指定自动出库库房。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0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供应商管理</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用于管理营养产品的供应商信息。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0"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入库管理</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用于营养产品的入库登记，审核。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出库管理</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用于营养产品的出库登记，审核。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库存管理</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显示指定库房的中各产品的库存情况，执行库房的库存预警设置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出入库明细</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展示详细的营养产品的出入库信息记录。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 w:hRule="atLeast"/>
        </w:trPr>
        <w:tc>
          <w:tcPr>
            <w:tcW w:w="614" w:type="pct"/>
            <w:vMerge w:val="restar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其</w:t>
            </w: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他</w:t>
            </w: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设</w:t>
            </w: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置</w:t>
            </w: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管</w:t>
            </w: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理</w:t>
            </w: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服</w:t>
            </w: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务</w:t>
            </w:r>
          </w:p>
        </w:tc>
        <w:tc>
          <w:tcPr>
            <w:tcW w:w="628" w:type="pct"/>
            <w:vMerge w:val="restar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营养膳食</w:t>
            </w: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食物管理</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用于维护各种食物的参数信息，包括名称、类别和每100g食物各种营养素含量值；内置专业全面的食物数据。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菜谱管理</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用于维护餐谱信息，可选择相应数量的食物组成菜谱，自动计算每份菜谱的营养素含量；内置近2000分常用菜谱数据。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食谱管理</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用于维护食谱信息，可选择相应的菜谱，组合成一日早中晚的食谱，自动计算每个食谱的营养素含量；可将食谱与疾病管理；内置超过千分常用食谱数据；同时支持将多份食谱组合成多日套餐使用。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疾病管理</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用于维护常用的疾病数据；可用于与食谱进行管理；还支持录入疾病的营养治疗建议，并在营养干预时根据诊断自动使用；系统提供专业的疾病库和部分常见疾病的营养建议供参考，用户也可在此基础上进一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restar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医院管理</w:t>
            </w: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院区管理</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用于多院区的划分管理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病区列表</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用于医院的病区信息管理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restar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用户管理</w:t>
            </w: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角色权限</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用于创建业务相关的角色信息和给相应角色分配对应的功能权限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用户列表</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用于添加用户账号，以及给用户赋予系统角色权限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Merge w:val="restart"/>
            <w:vAlign w:val="center"/>
          </w:tcPr>
          <w:p>
            <w:pPr>
              <w:snapToGrid w:val="0"/>
              <w:spacing w:after="120"/>
              <w:jc w:val="center"/>
              <w:rPr>
                <w:rFonts w:ascii="微软雅黑" w:hAnsi="微软雅黑" w:eastAsia="微软雅黑"/>
                <w:color w:val="333333"/>
                <w:szCs w:val="21"/>
                <w:highlight w:val="none"/>
              </w:rPr>
            </w:pP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门</w:t>
            </w: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诊</w:t>
            </w: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营</w:t>
            </w: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养</w:t>
            </w: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服</w:t>
            </w:r>
          </w:p>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务</w:t>
            </w:r>
          </w:p>
        </w:tc>
        <w:tc>
          <w:tcPr>
            <w:tcW w:w="628" w:type="pct"/>
            <w:vMerge w:val="restar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营养门诊</w:t>
            </w: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当日门诊</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从his获取当日营养科的挂号患者信息并展示在列表中；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历史门诊</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显示历史营养科的挂号患者信息。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患者档案</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用于登记患者的基本信息和疾病史信息；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60"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营养筛查</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包含NRS2002和STAMP筛查，操作时自动计算总分和得出结果；根据适用年龄自动匹配筛查类型；支持历史筛查的查看和打印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营养评定</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包含SGA、PG-SGA、MNA、MNA-SF、MUST、PYMS等评定量表，操作时自动计算总分和得出结果；量表会根据适用年龄控制；支持历史评定的查看和打印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营养评估</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包含体征评估、消化道评估、AGI评估、生化评估、膳食评估、运动评估全面评估，支持评估记录的查看和打印。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营养诊断</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用于依据评估评定结果进行营养疾病诊断；提供专业的疾病库和部分常见疾病的营养建议，医生在选择疾病后会自动调出营养建议以供参考和采纳。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营养素推荐</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提供两种计算方式：1、根据性别、年龄、身高、体重在自动计算BEE以及各营养素的基础推荐量，并结合压力指数和活动量指数计算REE，作为能量摄入量参考标准；2、可自行填写每天每体重消耗量系数进行计算能量和蛋白质的推荐量；支持根据孕前的胖瘦程度自动生成孕妇的营养素推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医嘱开立</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用于整取医嘱开立。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食谱定制</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用户定制患者的营养食谱；提供专业的食物库、菜谱库和食谱库等基础数据；支持多天的食谱定制；支持食谱智能推荐（根据营养素能量推荐量和营养诊断进行推荐）；支持食谱打印。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Merge w:val="continue"/>
            <w:vAlign w:val="center"/>
          </w:tcPr>
          <w:p>
            <w:pPr>
              <w:snapToGrid w:val="0"/>
              <w:spacing w:after="120"/>
              <w:jc w:val="center"/>
              <w:rPr>
                <w:rFonts w:ascii="微软雅黑" w:hAnsi="微软雅黑" w:eastAsia="微软雅黑"/>
                <w:color w:val="333333"/>
                <w:szCs w:val="21"/>
                <w:highlight w:val="none"/>
              </w:rPr>
            </w:pPr>
          </w:p>
        </w:tc>
        <w:tc>
          <w:tcPr>
            <w:tcW w:w="628" w:type="pct"/>
            <w:vMerge w:val="continue"/>
            <w:vAlign w:val="center"/>
          </w:tcPr>
          <w:p>
            <w:pPr>
              <w:snapToGrid w:val="0"/>
              <w:spacing w:after="120"/>
              <w:jc w:val="center"/>
              <w:rPr>
                <w:rFonts w:ascii="微软雅黑" w:hAnsi="微软雅黑" w:eastAsia="微软雅黑"/>
                <w:color w:val="333333"/>
                <w:szCs w:val="21"/>
                <w:highlight w:val="none"/>
              </w:rPr>
            </w:pPr>
          </w:p>
        </w:tc>
        <w:tc>
          <w:tcPr>
            <w:tcW w:w="726" w:type="pct"/>
            <w:vAlign w:val="center"/>
          </w:tcPr>
          <w:p>
            <w:pPr>
              <w:snapToGrid w:val="0"/>
              <w:spacing w:after="120"/>
              <w:jc w:val="center"/>
              <w:rPr>
                <w:rFonts w:ascii="微软雅黑" w:hAnsi="微软雅黑" w:eastAsia="微软雅黑"/>
                <w:color w:val="333333"/>
                <w:szCs w:val="21"/>
                <w:highlight w:val="none"/>
              </w:rPr>
            </w:pPr>
            <w:r>
              <w:rPr>
                <w:rFonts w:ascii="宋体" w:hAnsi="宋体"/>
                <w:color w:val="000000"/>
                <w:szCs w:val="21"/>
                <w:highlight w:val="none"/>
              </w:rPr>
              <w:t>病历打印</w:t>
            </w:r>
          </w:p>
        </w:tc>
        <w:tc>
          <w:tcPr>
            <w:tcW w:w="3030" w:type="pct"/>
            <w:vAlign w:val="center"/>
          </w:tcPr>
          <w:p>
            <w:pPr>
              <w:snapToGrid w:val="0"/>
              <w:spacing w:after="120"/>
              <w:jc w:val="left"/>
              <w:rPr>
                <w:rFonts w:ascii="微软雅黑" w:hAnsi="微软雅黑" w:eastAsia="微软雅黑"/>
                <w:color w:val="333333"/>
                <w:szCs w:val="21"/>
                <w:highlight w:val="none"/>
              </w:rPr>
            </w:pPr>
            <w:r>
              <w:rPr>
                <w:rFonts w:ascii="宋体" w:hAnsi="宋体"/>
                <w:color w:val="000000"/>
                <w:szCs w:val="21"/>
                <w:highlight w:val="none"/>
              </w:rPr>
              <w:t>支持选择已完成的筛查、评定、评估、干预记录汇总成营养病历并打印。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614" w:type="pct"/>
            <w:vAlign w:val="center"/>
          </w:tcPr>
          <w:p>
            <w:pPr>
              <w:spacing w:after="120"/>
              <w:jc w:val="center"/>
              <w:rPr>
                <w:rFonts w:ascii="宋体" w:hAnsi="宋体" w:cs="宋体"/>
                <w:color w:val="000000"/>
                <w:kern w:val="0"/>
                <w:szCs w:val="21"/>
                <w:highlight w:val="none"/>
                <w:lang w:val="zh-TW" w:eastAsia="zh-TW" w:bidi="ar"/>
              </w:rPr>
            </w:pPr>
            <w:r>
              <w:rPr>
                <w:rFonts w:hint="eastAsia" w:ascii="宋体" w:hAnsi="宋体" w:cs="宋体"/>
                <w:color w:val="000000"/>
                <w:kern w:val="0"/>
                <w:szCs w:val="21"/>
                <w:highlight w:val="none"/>
                <w:lang w:bidi="ar"/>
              </w:rPr>
              <w:t>质控</w:t>
            </w:r>
            <w:r>
              <w:rPr>
                <w:rFonts w:hint="eastAsia" w:ascii="宋体" w:hAnsi="宋体" w:cs="宋体"/>
                <w:color w:val="000000"/>
                <w:kern w:val="0"/>
                <w:szCs w:val="21"/>
                <w:highlight w:val="none"/>
                <w:lang w:eastAsia="zh-Hans" w:bidi="ar"/>
              </w:rPr>
              <w:t>服务</w:t>
            </w:r>
          </w:p>
        </w:tc>
        <w:tc>
          <w:tcPr>
            <w:tcW w:w="628" w:type="pct"/>
            <w:vAlign w:val="center"/>
          </w:tcPr>
          <w:p>
            <w:pPr>
              <w:spacing w:after="120"/>
              <w:ind w:firstLine="210" w:firstLineChars="100"/>
              <w:jc w:val="center"/>
              <w:rPr>
                <w:rFonts w:ascii="宋体" w:hAnsi="宋体" w:cs="宋体"/>
                <w:color w:val="000000"/>
                <w:kern w:val="0"/>
                <w:szCs w:val="21"/>
                <w:highlight w:val="none"/>
                <w:lang w:val="zh-TW" w:eastAsia="zh-TW" w:bidi="ar"/>
              </w:rPr>
            </w:pPr>
            <w:r>
              <w:rPr>
                <w:rFonts w:hint="eastAsia" w:ascii="宋体" w:hAnsi="宋体" w:cs="宋体"/>
                <w:color w:val="000000"/>
                <w:kern w:val="0"/>
                <w:szCs w:val="21"/>
                <w:highlight w:val="none"/>
                <w:lang w:bidi="ar"/>
              </w:rPr>
              <w:t>营养质控</w:t>
            </w:r>
          </w:p>
        </w:tc>
        <w:tc>
          <w:tcPr>
            <w:tcW w:w="726" w:type="pct"/>
            <w:vAlign w:val="center"/>
          </w:tcPr>
          <w:p>
            <w:pPr>
              <w:spacing w:after="120"/>
              <w:ind w:firstLine="210" w:firstLineChars="100"/>
              <w:rPr>
                <w:rFonts w:ascii="宋体" w:hAnsi="宋体" w:cs="宋体"/>
                <w:color w:val="000000"/>
                <w:szCs w:val="21"/>
                <w:highlight w:val="none"/>
                <w:lang w:eastAsia="zh-Hans" w:bidi="zh-TW"/>
              </w:rPr>
            </w:pPr>
            <w:r>
              <w:rPr>
                <w:rFonts w:hint="eastAsia" w:ascii="宋体" w:hAnsi="宋体" w:cs="宋体"/>
                <w:color w:val="000000"/>
                <w:szCs w:val="21"/>
                <w:highlight w:val="none"/>
                <w:lang w:eastAsia="zh-Hans" w:bidi="zh-TW"/>
              </w:rPr>
              <w:t>数据统计</w:t>
            </w:r>
          </w:p>
        </w:tc>
        <w:tc>
          <w:tcPr>
            <w:tcW w:w="3030" w:type="pct"/>
            <w:vAlign w:val="center"/>
          </w:tcPr>
          <w:p>
            <w:pPr>
              <w:spacing w:after="120"/>
              <w:rPr>
                <w:rFonts w:ascii="宋体" w:hAnsi="宋体" w:cs="宋体"/>
                <w:color w:val="000000"/>
                <w:szCs w:val="21"/>
                <w:highlight w:val="none"/>
                <w:lang w:val="zh-TW" w:eastAsia="zh-TW" w:bidi="zh-TW"/>
              </w:rPr>
            </w:pPr>
            <w:r>
              <w:rPr>
                <w:rFonts w:hint="eastAsia" w:ascii="宋体" w:hAnsi="宋体" w:cs="宋体"/>
                <w:color w:val="000000"/>
                <w:kern w:val="0"/>
                <w:szCs w:val="21"/>
                <w:highlight w:val="none"/>
                <w:lang w:bidi="ar"/>
              </w:rPr>
              <w:t>质控相关报表+数据</w:t>
            </w:r>
          </w:p>
        </w:tc>
      </w:tr>
    </w:tbl>
    <w:p>
      <w:pPr>
        <w:pStyle w:val="721"/>
        <w:ind w:firstLine="480"/>
        <w:rPr>
          <w:rFonts w:hint="eastAsia"/>
          <w:b/>
          <w:szCs w:val="24"/>
          <w:highlight w:val="none"/>
        </w:rPr>
      </w:pPr>
      <w:r>
        <w:rPr>
          <w:rFonts w:hint="eastAsia"/>
          <w:b/>
          <w:szCs w:val="24"/>
          <w:highlight w:val="none"/>
        </w:rPr>
        <w:t>患者营养订餐管理系统功能要求</w:t>
      </w:r>
    </w:p>
    <w:p>
      <w:pPr>
        <w:pStyle w:val="721"/>
        <w:ind w:firstLine="480"/>
        <w:rPr>
          <w:rFonts w:hint="eastAsia"/>
          <w:b w:val="0"/>
          <w:bCs/>
          <w:color w:val="auto"/>
          <w:szCs w:val="24"/>
          <w:highlight w:val="none"/>
        </w:rPr>
      </w:pPr>
      <w:r>
        <w:rPr>
          <w:rFonts w:hint="eastAsia"/>
          <w:b w:val="0"/>
          <w:bCs/>
          <w:color w:val="auto"/>
          <w:sz w:val="21"/>
          <w:szCs w:val="21"/>
          <w:highlight w:val="none"/>
          <w:lang w:val="en-US" w:eastAsia="zh-CN"/>
        </w:rPr>
        <w:t>获取HIS饮食医嘱信息，订餐均在饮食医嘱相应的菜单下进行预订</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1683"/>
        <w:gridCol w:w="6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000" w:type="pct"/>
            <w:gridSpan w:val="3"/>
            <w:vAlign w:val="center"/>
          </w:tcPr>
          <w:p>
            <w:pPr>
              <w:widowControl/>
              <w:adjustRightInd/>
              <w:jc w:val="center"/>
              <w:rPr>
                <w:rFonts w:eastAsia="宋体-简" w:cs="宋体"/>
                <w:b/>
                <w:bCs/>
                <w:highlight w:val="none"/>
              </w:rPr>
            </w:pPr>
            <w:r>
              <w:rPr>
                <w:rFonts w:hint="eastAsia" w:eastAsia="宋体-简" w:cs="宋体"/>
                <w:b/>
                <w:bCs/>
                <w:highlight w:val="none"/>
              </w:rPr>
              <w:t>患者及陪护订餐系统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shd w:val="clear" w:color="000000" w:fill="A6A6A6"/>
            <w:vAlign w:val="center"/>
          </w:tcPr>
          <w:p>
            <w:pPr>
              <w:widowControl/>
              <w:adjustRightInd/>
              <w:jc w:val="center"/>
              <w:rPr>
                <w:rFonts w:eastAsia="宋体-简" w:cs="宋体"/>
                <w:b/>
                <w:bCs/>
                <w:highlight w:val="none"/>
              </w:rPr>
            </w:pPr>
            <w:r>
              <w:rPr>
                <w:rFonts w:hint="eastAsia" w:eastAsia="宋体-简" w:cs="宋体"/>
                <w:b/>
                <w:bCs/>
                <w:highlight w:val="none"/>
              </w:rPr>
              <w:t>模块</w:t>
            </w:r>
          </w:p>
        </w:tc>
        <w:tc>
          <w:tcPr>
            <w:tcW w:w="906" w:type="pct"/>
            <w:shd w:val="clear" w:color="000000" w:fill="A6A6A6"/>
            <w:vAlign w:val="center"/>
          </w:tcPr>
          <w:p>
            <w:pPr>
              <w:widowControl/>
              <w:adjustRightInd/>
              <w:jc w:val="center"/>
              <w:rPr>
                <w:rFonts w:eastAsia="宋体-简" w:cs="宋体"/>
                <w:b/>
                <w:bCs/>
                <w:highlight w:val="none"/>
              </w:rPr>
            </w:pPr>
            <w:r>
              <w:rPr>
                <w:rFonts w:hint="eastAsia" w:eastAsia="宋体-简" w:cs="宋体"/>
                <w:b/>
                <w:bCs/>
                <w:highlight w:val="none"/>
              </w:rPr>
              <w:t>子模块</w:t>
            </w:r>
          </w:p>
        </w:tc>
        <w:tc>
          <w:tcPr>
            <w:tcW w:w="3532" w:type="pct"/>
            <w:shd w:val="clear" w:color="000000" w:fill="A6A6A6"/>
            <w:vAlign w:val="center"/>
          </w:tcPr>
          <w:p>
            <w:pPr>
              <w:widowControl/>
              <w:adjustRightInd/>
              <w:jc w:val="center"/>
              <w:rPr>
                <w:rFonts w:eastAsia="宋体-简" w:cs="宋体"/>
                <w:b/>
                <w:bCs/>
                <w:highlight w:val="none"/>
              </w:rPr>
            </w:pPr>
            <w:r>
              <w:rPr>
                <w:rFonts w:hint="eastAsia" w:eastAsia="宋体-简" w:cs="宋体"/>
                <w:b/>
                <w:bCs/>
                <w:highlight w:val="none"/>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restart"/>
            <w:vAlign w:val="center"/>
          </w:tcPr>
          <w:p>
            <w:pPr>
              <w:widowControl/>
              <w:adjustRightInd/>
              <w:jc w:val="center"/>
              <w:rPr>
                <w:rFonts w:eastAsia="宋体-简" w:cs="宋体"/>
                <w:highlight w:val="none"/>
              </w:rPr>
            </w:pPr>
            <w:r>
              <w:rPr>
                <w:rFonts w:hint="eastAsia" w:eastAsia="宋体-简" w:cs="宋体"/>
                <w:highlight w:val="none"/>
              </w:rPr>
              <w:t>下载数据</w:t>
            </w:r>
          </w:p>
        </w:tc>
        <w:tc>
          <w:tcPr>
            <w:tcW w:w="906" w:type="pct"/>
            <w:vAlign w:val="center"/>
          </w:tcPr>
          <w:p>
            <w:pPr>
              <w:widowControl/>
              <w:adjustRightInd/>
              <w:rPr>
                <w:rFonts w:eastAsia="宋体-简" w:cs="宋体"/>
                <w:highlight w:val="none"/>
              </w:rPr>
            </w:pPr>
            <w:r>
              <w:rPr>
                <w:rFonts w:hint="eastAsia" w:eastAsia="宋体-简" w:cs="宋体"/>
                <w:highlight w:val="none"/>
              </w:rPr>
              <w:t>病人数据</w:t>
            </w:r>
          </w:p>
        </w:tc>
        <w:tc>
          <w:tcPr>
            <w:tcW w:w="3532" w:type="pct"/>
            <w:vMerge w:val="restart"/>
            <w:vAlign w:val="center"/>
          </w:tcPr>
          <w:p>
            <w:pPr>
              <w:widowControl/>
              <w:adjustRightInd/>
              <w:rPr>
                <w:rFonts w:eastAsia="宋体-简" w:cs="宋体"/>
                <w:highlight w:val="none"/>
              </w:rPr>
            </w:pPr>
            <w:r>
              <w:rPr>
                <w:rFonts w:hint="eastAsia" w:eastAsia="宋体-简" w:cs="宋体"/>
                <w:highlight w:val="none"/>
              </w:rPr>
              <w:t>配餐员登录移动订餐应用，同步病人数据，包括医嘱，和本周的菜单数据，已经系统的默认设置等数据， 为订餐做准备。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continue"/>
            <w:vAlign w:val="center"/>
          </w:tcPr>
          <w:p>
            <w:pPr>
              <w:widowControl/>
              <w:adjustRightInd/>
              <w:rPr>
                <w:rFonts w:eastAsia="宋体-简" w:cs="宋体"/>
                <w:highlight w:val="none"/>
              </w:rPr>
            </w:pPr>
          </w:p>
        </w:tc>
        <w:tc>
          <w:tcPr>
            <w:tcW w:w="906" w:type="pct"/>
            <w:vAlign w:val="center"/>
          </w:tcPr>
          <w:p>
            <w:pPr>
              <w:widowControl/>
              <w:adjustRightInd/>
              <w:rPr>
                <w:rFonts w:eastAsia="宋体-简" w:cs="宋体"/>
                <w:highlight w:val="none"/>
              </w:rPr>
            </w:pPr>
            <w:r>
              <w:rPr>
                <w:rFonts w:hint="eastAsia" w:eastAsia="宋体-简" w:cs="宋体"/>
                <w:highlight w:val="none"/>
              </w:rPr>
              <w:t>菜单数据</w:t>
            </w:r>
          </w:p>
        </w:tc>
        <w:tc>
          <w:tcPr>
            <w:tcW w:w="3532" w:type="pct"/>
            <w:vMerge w:val="continue"/>
            <w:vAlign w:val="center"/>
          </w:tcPr>
          <w:p>
            <w:pPr>
              <w:widowControl/>
              <w:adjustRightInd/>
              <w:rPr>
                <w:rFonts w:eastAsia="宋体-简"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continue"/>
            <w:vAlign w:val="center"/>
          </w:tcPr>
          <w:p>
            <w:pPr>
              <w:widowControl/>
              <w:adjustRightInd/>
              <w:rPr>
                <w:rFonts w:eastAsia="宋体-简" w:cs="宋体"/>
                <w:highlight w:val="none"/>
              </w:rPr>
            </w:pPr>
          </w:p>
        </w:tc>
        <w:tc>
          <w:tcPr>
            <w:tcW w:w="906" w:type="pct"/>
            <w:vAlign w:val="center"/>
          </w:tcPr>
          <w:p>
            <w:pPr>
              <w:widowControl/>
              <w:adjustRightInd/>
              <w:rPr>
                <w:rFonts w:eastAsia="宋体-简" w:cs="宋体"/>
                <w:highlight w:val="none"/>
              </w:rPr>
            </w:pPr>
            <w:r>
              <w:rPr>
                <w:rFonts w:hint="eastAsia" w:eastAsia="宋体-简" w:cs="宋体"/>
                <w:highlight w:val="none"/>
              </w:rPr>
              <w:t>配置数据</w:t>
            </w:r>
          </w:p>
        </w:tc>
        <w:tc>
          <w:tcPr>
            <w:tcW w:w="3532" w:type="pct"/>
            <w:vMerge w:val="continue"/>
            <w:vAlign w:val="center"/>
          </w:tcPr>
          <w:p>
            <w:pPr>
              <w:widowControl/>
              <w:adjustRightInd/>
              <w:rPr>
                <w:rFonts w:eastAsia="宋体-简"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restart"/>
            <w:vAlign w:val="center"/>
          </w:tcPr>
          <w:p>
            <w:pPr>
              <w:widowControl/>
              <w:adjustRightInd/>
              <w:jc w:val="center"/>
              <w:rPr>
                <w:rFonts w:eastAsia="宋体-简" w:cs="宋体"/>
                <w:highlight w:val="none"/>
              </w:rPr>
            </w:pPr>
            <w:r>
              <w:rPr>
                <w:rFonts w:hint="eastAsia" w:eastAsia="宋体-简" w:cs="宋体"/>
                <w:highlight w:val="none"/>
              </w:rPr>
              <w:t>移动订餐</w:t>
            </w:r>
          </w:p>
        </w:tc>
        <w:tc>
          <w:tcPr>
            <w:tcW w:w="906" w:type="pct"/>
            <w:vAlign w:val="center"/>
          </w:tcPr>
          <w:p>
            <w:pPr>
              <w:widowControl/>
              <w:adjustRightInd/>
              <w:rPr>
                <w:rFonts w:eastAsia="宋体-简" w:cs="宋体"/>
                <w:highlight w:val="none"/>
              </w:rPr>
            </w:pPr>
            <w:r>
              <w:rPr>
                <w:rFonts w:hint="eastAsia" w:eastAsia="宋体-简" w:cs="宋体"/>
                <w:highlight w:val="none"/>
              </w:rPr>
              <w:t>病人订餐</w:t>
            </w:r>
          </w:p>
        </w:tc>
        <w:tc>
          <w:tcPr>
            <w:tcW w:w="3532" w:type="pct"/>
            <w:vMerge w:val="restart"/>
            <w:vAlign w:val="center"/>
          </w:tcPr>
          <w:p>
            <w:pPr>
              <w:widowControl/>
              <w:adjustRightInd/>
              <w:rPr>
                <w:rFonts w:eastAsia="宋体-简" w:cs="宋体"/>
                <w:highlight w:val="none"/>
              </w:rPr>
            </w:pPr>
            <w:r>
              <w:rPr>
                <w:rFonts w:hint="eastAsia" w:eastAsia="宋体-简" w:cs="宋体"/>
                <w:highlight w:val="none"/>
              </w:rPr>
              <w:t>配餐员至病房帮病人和陪护订餐，并支持上传前改订，取消等操作，即时打印小票。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continue"/>
            <w:vAlign w:val="center"/>
          </w:tcPr>
          <w:p>
            <w:pPr>
              <w:widowControl/>
              <w:adjustRightInd/>
              <w:rPr>
                <w:rFonts w:eastAsia="宋体-简" w:cs="宋体"/>
                <w:highlight w:val="none"/>
              </w:rPr>
            </w:pPr>
          </w:p>
        </w:tc>
        <w:tc>
          <w:tcPr>
            <w:tcW w:w="906" w:type="pct"/>
            <w:vAlign w:val="center"/>
          </w:tcPr>
          <w:p>
            <w:pPr>
              <w:widowControl/>
              <w:adjustRightInd/>
              <w:rPr>
                <w:rFonts w:eastAsia="宋体-简" w:cs="宋体"/>
                <w:highlight w:val="none"/>
              </w:rPr>
            </w:pPr>
            <w:r>
              <w:rPr>
                <w:rFonts w:hint="eastAsia" w:eastAsia="宋体-简" w:cs="宋体"/>
                <w:highlight w:val="none"/>
              </w:rPr>
              <w:t>陪护订餐</w:t>
            </w:r>
          </w:p>
        </w:tc>
        <w:tc>
          <w:tcPr>
            <w:tcW w:w="3532" w:type="pct"/>
            <w:vMerge w:val="continue"/>
            <w:vAlign w:val="center"/>
          </w:tcPr>
          <w:p>
            <w:pPr>
              <w:widowControl/>
              <w:adjustRightInd/>
              <w:rPr>
                <w:rFonts w:eastAsia="宋体-简"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continue"/>
            <w:vAlign w:val="center"/>
          </w:tcPr>
          <w:p>
            <w:pPr>
              <w:widowControl/>
              <w:adjustRightInd/>
              <w:rPr>
                <w:rFonts w:eastAsia="宋体-简" w:cs="宋体"/>
                <w:highlight w:val="none"/>
              </w:rPr>
            </w:pPr>
          </w:p>
        </w:tc>
        <w:tc>
          <w:tcPr>
            <w:tcW w:w="906" w:type="pct"/>
            <w:vAlign w:val="center"/>
          </w:tcPr>
          <w:p>
            <w:pPr>
              <w:widowControl/>
              <w:adjustRightInd/>
              <w:rPr>
                <w:rFonts w:eastAsia="宋体-简" w:cs="宋体"/>
                <w:highlight w:val="none"/>
              </w:rPr>
            </w:pPr>
            <w:r>
              <w:rPr>
                <w:rFonts w:hint="eastAsia" w:eastAsia="宋体-简" w:cs="宋体"/>
                <w:highlight w:val="none"/>
              </w:rPr>
              <w:t>修正数据</w:t>
            </w:r>
          </w:p>
        </w:tc>
        <w:tc>
          <w:tcPr>
            <w:tcW w:w="3532" w:type="pct"/>
            <w:vMerge w:val="continue"/>
            <w:vAlign w:val="center"/>
          </w:tcPr>
          <w:p>
            <w:pPr>
              <w:widowControl/>
              <w:adjustRightInd/>
              <w:rPr>
                <w:rFonts w:eastAsia="宋体-简"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continue"/>
            <w:vAlign w:val="center"/>
          </w:tcPr>
          <w:p>
            <w:pPr>
              <w:widowControl/>
              <w:adjustRightInd/>
              <w:rPr>
                <w:rFonts w:eastAsia="宋体-简" w:cs="宋体"/>
                <w:highlight w:val="none"/>
              </w:rPr>
            </w:pPr>
          </w:p>
        </w:tc>
        <w:tc>
          <w:tcPr>
            <w:tcW w:w="906" w:type="pct"/>
            <w:vAlign w:val="center"/>
          </w:tcPr>
          <w:p>
            <w:pPr>
              <w:widowControl/>
              <w:adjustRightInd/>
              <w:rPr>
                <w:rFonts w:eastAsia="宋体-简" w:cs="宋体"/>
                <w:highlight w:val="none"/>
              </w:rPr>
            </w:pPr>
            <w:r>
              <w:rPr>
                <w:rFonts w:hint="eastAsia" w:eastAsia="宋体-简" w:cs="宋体"/>
                <w:highlight w:val="none"/>
              </w:rPr>
              <w:t>打印小票</w:t>
            </w:r>
          </w:p>
        </w:tc>
        <w:tc>
          <w:tcPr>
            <w:tcW w:w="3532" w:type="pct"/>
            <w:vMerge w:val="continue"/>
            <w:vAlign w:val="center"/>
          </w:tcPr>
          <w:p>
            <w:pPr>
              <w:widowControl/>
              <w:adjustRightInd/>
              <w:rPr>
                <w:rFonts w:eastAsia="宋体-简"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restart"/>
            <w:vAlign w:val="center"/>
          </w:tcPr>
          <w:p>
            <w:pPr>
              <w:widowControl/>
              <w:adjustRightInd/>
              <w:jc w:val="center"/>
              <w:rPr>
                <w:rFonts w:eastAsia="宋体-简" w:cs="宋体"/>
                <w:highlight w:val="none"/>
              </w:rPr>
            </w:pPr>
            <w:r>
              <w:rPr>
                <w:rFonts w:hint="eastAsia" w:eastAsia="宋体-简" w:cs="宋体"/>
                <w:highlight w:val="none"/>
              </w:rPr>
              <w:t>订餐统计</w:t>
            </w:r>
          </w:p>
        </w:tc>
        <w:tc>
          <w:tcPr>
            <w:tcW w:w="906" w:type="pct"/>
            <w:vAlign w:val="center"/>
          </w:tcPr>
          <w:p>
            <w:pPr>
              <w:widowControl/>
              <w:adjustRightInd/>
              <w:rPr>
                <w:rFonts w:eastAsia="宋体-简" w:cs="宋体"/>
                <w:highlight w:val="none"/>
              </w:rPr>
            </w:pPr>
            <w:r>
              <w:rPr>
                <w:rFonts w:hint="eastAsia" w:eastAsia="宋体-简" w:cs="宋体"/>
                <w:highlight w:val="none"/>
              </w:rPr>
              <w:t>领餐统计</w:t>
            </w:r>
          </w:p>
        </w:tc>
        <w:tc>
          <w:tcPr>
            <w:tcW w:w="3532" w:type="pct"/>
            <w:vMerge w:val="restart"/>
            <w:vAlign w:val="center"/>
          </w:tcPr>
          <w:p>
            <w:pPr>
              <w:widowControl/>
              <w:adjustRightInd/>
              <w:rPr>
                <w:rFonts w:eastAsia="宋体-简" w:cs="宋体"/>
                <w:highlight w:val="none"/>
              </w:rPr>
            </w:pPr>
            <w:r>
              <w:rPr>
                <w:rFonts w:hint="eastAsia" w:eastAsia="宋体-简" w:cs="宋体"/>
                <w:highlight w:val="none"/>
              </w:rPr>
              <w:t>提供领餐清单，方便查看本设备的订餐汇总， 可选功能：提供送餐活动的记录。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continue"/>
            <w:vAlign w:val="center"/>
          </w:tcPr>
          <w:p>
            <w:pPr>
              <w:widowControl/>
              <w:adjustRightInd/>
              <w:rPr>
                <w:rFonts w:eastAsia="宋体-简" w:cs="宋体"/>
                <w:highlight w:val="none"/>
              </w:rPr>
            </w:pPr>
          </w:p>
        </w:tc>
        <w:tc>
          <w:tcPr>
            <w:tcW w:w="906" w:type="pct"/>
            <w:vAlign w:val="center"/>
          </w:tcPr>
          <w:p>
            <w:pPr>
              <w:widowControl/>
              <w:adjustRightInd/>
              <w:rPr>
                <w:rFonts w:eastAsia="宋体-简" w:cs="宋体"/>
                <w:highlight w:val="none"/>
              </w:rPr>
            </w:pPr>
            <w:r>
              <w:rPr>
                <w:rFonts w:hint="eastAsia" w:eastAsia="宋体-简" w:cs="宋体"/>
                <w:highlight w:val="none"/>
              </w:rPr>
              <w:t>送餐统计</w:t>
            </w:r>
          </w:p>
        </w:tc>
        <w:tc>
          <w:tcPr>
            <w:tcW w:w="3532" w:type="pct"/>
            <w:vMerge w:val="continue"/>
            <w:vAlign w:val="center"/>
          </w:tcPr>
          <w:p>
            <w:pPr>
              <w:widowControl/>
              <w:adjustRightInd/>
              <w:rPr>
                <w:rFonts w:eastAsia="宋体-简"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Align w:val="center"/>
          </w:tcPr>
          <w:p>
            <w:pPr>
              <w:widowControl/>
              <w:adjustRightInd/>
              <w:rPr>
                <w:rFonts w:eastAsia="宋体-简" w:cs="宋体"/>
                <w:highlight w:val="none"/>
              </w:rPr>
            </w:pPr>
            <w:r>
              <w:rPr>
                <w:rFonts w:hint="eastAsia" w:eastAsia="宋体-简" w:cs="宋体"/>
                <w:highlight w:val="none"/>
              </w:rPr>
              <w:t>上传数据</w:t>
            </w:r>
          </w:p>
        </w:tc>
        <w:tc>
          <w:tcPr>
            <w:tcW w:w="906" w:type="pct"/>
            <w:vAlign w:val="center"/>
          </w:tcPr>
          <w:p>
            <w:pPr>
              <w:widowControl/>
              <w:adjustRightInd/>
              <w:rPr>
                <w:rFonts w:eastAsia="宋体-简" w:cs="宋体"/>
                <w:highlight w:val="none"/>
              </w:rPr>
            </w:pPr>
            <w:r>
              <w:rPr>
                <w:rFonts w:hint="eastAsia" w:eastAsia="宋体-简" w:cs="宋体"/>
                <w:highlight w:val="none"/>
              </w:rPr>
              <w:t>上传订单</w:t>
            </w:r>
          </w:p>
        </w:tc>
        <w:tc>
          <w:tcPr>
            <w:tcW w:w="3532" w:type="pct"/>
            <w:vAlign w:val="center"/>
          </w:tcPr>
          <w:p>
            <w:pPr>
              <w:widowControl/>
              <w:adjustRightInd/>
              <w:rPr>
                <w:rFonts w:eastAsia="宋体-简" w:cs="宋体"/>
                <w:highlight w:val="none"/>
              </w:rPr>
            </w:pPr>
            <w:r>
              <w:rPr>
                <w:rFonts w:hint="eastAsia" w:eastAsia="宋体-简" w:cs="宋体"/>
                <w:highlight w:val="none"/>
              </w:rPr>
              <w:t>上传订单数据，确保各种数据和后台进行同步。并包括一些异常数据的处理。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restart"/>
            <w:vAlign w:val="center"/>
          </w:tcPr>
          <w:p>
            <w:pPr>
              <w:widowControl/>
              <w:adjustRightInd/>
              <w:jc w:val="center"/>
              <w:rPr>
                <w:rFonts w:eastAsia="宋体-简" w:cs="宋体"/>
                <w:highlight w:val="none"/>
              </w:rPr>
            </w:pPr>
            <w:r>
              <w:rPr>
                <w:rFonts w:hint="eastAsia" w:eastAsia="宋体-简" w:cs="宋体"/>
                <w:highlight w:val="none"/>
              </w:rPr>
              <w:t>系统设置</w:t>
            </w:r>
          </w:p>
        </w:tc>
        <w:tc>
          <w:tcPr>
            <w:tcW w:w="906" w:type="pct"/>
            <w:vAlign w:val="center"/>
          </w:tcPr>
          <w:p>
            <w:pPr>
              <w:widowControl/>
              <w:adjustRightInd/>
              <w:rPr>
                <w:rFonts w:eastAsia="宋体-简" w:cs="宋体"/>
                <w:highlight w:val="none"/>
              </w:rPr>
            </w:pPr>
            <w:r>
              <w:rPr>
                <w:rFonts w:hint="eastAsia" w:eastAsia="宋体-简" w:cs="宋体"/>
                <w:highlight w:val="none"/>
              </w:rPr>
              <w:t>支持陪护</w:t>
            </w:r>
          </w:p>
        </w:tc>
        <w:tc>
          <w:tcPr>
            <w:tcW w:w="3532" w:type="pct"/>
            <w:vMerge w:val="restart"/>
            <w:vAlign w:val="center"/>
          </w:tcPr>
          <w:p>
            <w:pPr>
              <w:widowControl/>
              <w:adjustRightInd/>
              <w:rPr>
                <w:rFonts w:eastAsia="宋体-简" w:cs="宋体"/>
                <w:highlight w:val="none"/>
              </w:rPr>
            </w:pPr>
            <w:r>
              <w:rPr>
                <w:rFonts w:hint="eastAsia" w:eastAsia="宋体-简" w:cs="宋体"/>
                <w:highlight w:val="none"/>
              </w:rPr>
              <w:t>提供当前配置项的查看，可选功能：配餐员可以修改某些设置。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continue"/>
            <w:vAlign w:val="center"/>
          </w:tcPr>
          <w:p>
            <w:pPr>
              <w:widowControl/>
              <w:adjustRightInd/>
              <w:rPr>
                <w:rFonts w:eastAsia="宋体-简" w:cs="宋体"/>
                <w:highlight w:val="none"/>
              </w:rPr>
            </w:pPr>
          </w:p>
        </w:tc>
        <w:tc>
          <w:tcPr>
            <w:tcW w:w="906" w:type="pct"/>
            <w:vAlign w:val="center"/>
          </w:tcPr>
          <w:p>
            <w:pPr>
              <w:widowControl/>
              <w:adjustRightInd/>
              <w:rPr>
                <w:rFonts w:eastAsia="宋体-简" w:cs="宋体"/>
                <w:highlight w:val="none"/>
              </w:rPr>
            </w:pPr>
            <w:r>
              <w:rPr>
                <w:rFonts w:hint="eastAsia" w:eastAsia="宋体-简" w:cs="宋体"/>
                <w:highlight w:val="none"/>
              </w:rPr>
              <w:t>结算方式</w:t>
            </w:r>
          </w:p>
        </w:tc>
        <w:tc>
          <w:tcPr>
            <w:tcW w:w="3532" w:type="pct"/>
            <w:vMerge w:val="continue"/>
            <w:vAlign w:val="center"/>
          </w:tcPr>
          <w:p>
            <w:pPr>
              <w:widowControl/>
              <w:adjustRightInd/>
              <w:rPr>
                <w:rFonts w:eastAsia="宋体-简"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000" w:type="pct"/>
            <w:gridSpan w:val="3"/>
            <w:vAlign w:val="center"/>
          </w:tcPr>
          <w:p>
            <w:pPr>
              <w:widowControl/>
              <w:adjustRightInd/>
              <w:jc w:val="center"/>
              <w:rPr>
                <w:rFonts w:eastAsia="宋体-简" w:cs="宋体"/>
                <w:b/>
                <w:highlight w:val="none"/>
                <w:lang w:eastAsia="zh-Hans"/>
              </w:rPr>
            </w:pPr>
            <w:r>
              <w:rPr>
                <w:rFonts w:hint="eastAsia" w:eastAsia="宋体-简" w:cs="宋体"/>
                <w:b/>
                <w:bCs/>
                <w:highlight w:val="none"/>
              </w:rPr>
              <w:t>患者微信自助订餐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shd w:val="clear" w:color="auto" w:fill="A5A5A5"/>
            <w:vAlign w:val="center"/>
          </w:tcPr>
          <w:p>
            <w:pPr>
              <w:widowControl/>
              <w:adjustRightInd/>
              <w:jc w:val="center"/>
              <w:rPr>
                <w:rFonts w:eastAsia="宋体-简" w:cs="宋体"/>
                <w:b/>
                <w:bCs/>
                <w:highlight w:val="none"/>
              </w:rPr>
            </w:pPr>
            <w:r>
              <w:rPr>
                <w:rFonts w:hint="eastAsia" w:eastAsia="宋体-简" w:cs="宋体"/>
                <w:b/>
                <w:bCs/>
                <w:highlight w:val="none"/>
              </w:rPr>
              <w:t>模块</w:t>
            </w:r>
          </w:p>
        </w:tc>
        <w:tc>
          <w:tcPr>
            <w:tcW w:w="906" w:type="pct"/>
            <w:shd w:val="clear" w:color="auto" w:fill="A5A5A5"/>
            <w:vAlign w:val="center"/>
          </w:tcPr>
          <w:p>
            <w:pPr>
              <w:widowControl/>
              <w:adjustRightInd/>
              <w:jc w:val="center"/>
              <w:rPr>
                <w:rFonts w:eastAsia="宋体-简" w:cs="宋体"/>
                <w:b/>
                <w:bCs/>
                <w:highlight w:val="none"/>
              </w:rPr>
            </w:pPr>
            <w:r>
              <w:rPr>
                <w:rFonts w:hint="eastAsia" w:eastAsia="宋体-简" w:cs="宋体"/>
                <w:b/>
                <w:bCs/>
                <w:highlight w:val="none"/>
              </w:rPr>
              <w:t>子模块</w:t>
            </w:r>
          </w:p>
        </w:tc>
        <w:tc>
          <w:tcPr>
            <w:tcW w:w="3532" w:type="pct"/>
            <w:shd w:val="clear" w:color="auto" w:fill="A5A5A5"/>
            <w:vAlign w:val="center"/>
          </w:tcPr>
          <w:p>
            <w:pPr>
              <w:widowControl/>
              <w:adjustRightInd/>
              <w:jc w:val="center"/>
              <w:rPr>
                <w:rFonts w:eastAsia="宋体-简" w:cs="宋体"/>
                <w:b/>
                <w:bCs/>
                <w:highlight w:val="none"/>
              </w:rPr>
            </w:pPr>
            <w:r>
              <w:rPr>
                <w:rFonts w:hint="eastAsia" w:eastAsia="宋体-简" w:cs="宋体"/>
                <w:b/>
                <w:bCs/>
                <w:highlight w:val="none"/>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561" w:type="pct"/>
            <w:vAlign w:val="center"/>
          </w:tcPr>
          <w:p>
            <w:pPr>
              <w:widowControl/>
              <w:adjustRightInd/>
              <w:rPr>
                <w:rFonts w:eastAsia="宋体-简" w:cs="宋体"/>
                <w:highlight w:val="none"/>
              </w:rPr>
            </w:pPr>
            <w:r>
              <w:rPr>
                <w:rFonts w:hint="eastAsia" w:eastAsia="宋体-简" w:cs="宋体"/>
                <w:highlight w:val="none"/>
              </w:rPr>
              <w:t>我的档案</w:t>
            </w:r>
          </w:p>
        </w:tc>
        <w:tc>
          <w:tcPr>
            <w:tcW w:w="906" w:type="pct"/>
            <w:vAlign w:val="center"/>
          </w:tcPr>
          <w:p>
            <w:pPr>
              <w:widowControl/>
              <w:adjustRightInd/>
              <w:rPr>
                <w:rFonts w:eastAsia="宋体-简" w:cs="宋体"/>
                <w:highlight w:val="none"/>
              </w:rPr>
            </w:pPr>
            <w:r>
              <w:rPr>
                <w:rFonts w:hint="eastAsia" w:eastAsia="宋体-简" w:cs="宋体"/>
                <w:highlight w:val="none"/>
              </w:rPr>
              <w:t>个人信息管理</w:t>
            </w:r>
          </w:p>
        </w:tc>
        <w:tc>
          <w:tcPr>
            <w:tcW w:w="3532" w:type="pct"/>
            <w:vAlign w:val="center"/>
          </w:tcPr>
          <w:p>
            <w:pPr>
              <w:widowControl/>
              <w:adjustRightInd/>
              <w:rPr>
                <w:rFonts w:eastAsia="宋体-简" w:cs="宋体"/>
                <w:highlight w:val="none"/>
              </w:rPr>
            </w:pPr>
            <w:r>
              <w:rPr>
                <w:rFonts w:hint="eastAsia" w:eastAsia="宋体-简" w:cs="宋体"/>
                <w:highlight w:val="none"/>
              </w:rPr>
              <w:t>与HIS集成，同步HIS基础信息，获取病人基本信息、医嘱信息、科室、病区、结算方式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Align w:val="center"/>
          </w:tcPr>
          <w:p>
            <w:pPr>
              <w:widowControl/>
              <w:adjustRightInd/>
              <w:rPr>
                <w:rFonts w:eastAsia="宋体-简" w:cs="宋体"/>
                <w:highlight w:val="none"/>
              </w:rPr>
            </w:pPr>
            <w:r>
              <w:rPr>
                <w:rFonts w:hint="eastAsia" w:eastAsia="宋体-简" w:cs="宋体"/>
                <w:highlight w:val="none"/>
              </w:rPr>
              <w:t>订单管理</w:t>
            </w:r>
          </w:p>
        </w:tc>
        <w:tc>
          <w:tcPr>
            <w:tcW w:w="906" w:type="pct"/>
            <w:vAlign w:val="center"/>
          </w:tcPr>
          <w:p>
            <w:pPr>
              <w:widowControl/>
              <w:adjustRightInd/>
              <w:rPr>
                <w:rFonts w:eastAsia="宋体-简" w:cs="宋体"/>
                <w:highlight w:val="none"/>
              </w:rPr>
            </w:pPr>
            <w:r>
              <w:rPr>
                <w:rFonts w:hint="eastAsia" w:eastAsia="宋体-简" w:cs="宋体"/>
                <w:highlight w:val="none"/>
              </w:rPr>
              <w:t>订餐信息查询</w:t>
            </w:r>
          </w:p>
        </w:tc>
        <w:tc>
          <w:tcPr>
            <w:tcW w:w="3532" w:type="pct"/>
            <w:vAlign w:val="center"/>
          </w:tcPr>
          <w:p>
            <w:pPr>
              <w:widowControl/>
              <w:adjustRightInd/>
              <w:rPr>
                <w:rFonts w:eastAsia="宋体-简" w:cs="宋体"/>
                <w:highlight w:val="none"/>
              </w:rPr>
            </w:pPr>
            <w:r>
              <w:rPr>
                <w:rFonts w:hint="eastAsia" w:eastAsia="宋体-简" w:cs="宋体"/>
                <w:highlight w:val="none"/>
              </w:rPr>
              <w:t>查询账户订单信息、评价订餐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Align w:val="center"/>
          </w:tcPr>
          <w:p>
            <w:pPr>
              <w:widowControl/>
              <w:adjustRightInd/>
              <w:rPr>
                <w:rFonts w:eastAsia="宋体-简" w:cs="宋体"/>
                <w:highlight w:val="none"/>
              </w:rPr>
            </w:pPr>
            <w:r>
              <w:rPr>
                <w:rFonts w:hint="eastAsia" w:eastAsia="宋体-简" w:cs="宋体"/>
                <w:highlight w:val="none"/>
              </w:rPr>
              <w:t>患者订餐</w:t>
            </w:r>
          </w:p>
        </w:tc>
        <w:tc>
          <w:tcPr>
            <w:tcW w:w="906" w:type="pct"/>
            <w:vAlign w:val="center"/>
          </w:tcPr>
          <w:p>
            <w:pPr>
              <w:widowControl/>
              <w:adjustRightInd/>
              <w:rPr>
                <w:rFonts w:eastAsia="宋体-简" w:cs="宋体"/>
                <w:highlight w:val="none"/>
              </w:rPr>
            </w:pPr>
            <w:r>
              <w:rPr>
                <w:rFonts w:hint="eastAsia" w:eastAsia="宋体-简" w:cs="宋体"/>
                <w:highlight w:val="none"/>
              </w:rPr>
              <w:t>治疗餐预定</w:t>
            </w:r>
          </w:p>
        </w:tc>
        <w:tc>
          <w:tcPr>
            <w:tcW w:w="3532" w:type="pct"/>
            <w:vAlign w:val="center"/>
          </w:tcPr>
          <w:p>
            <w:pPr>
              <w:widowControl/>
              <w:adjustRightInd/>
              <w:rPr>
                <w:rFonts w:eastAsia="宋体-简" w:cs="宋体"/>
                <w:highlight w:val="none"/>
              </w:rPr>
            </w:pPr>
            <w:r>
              <w:rPr>
                <w:rFonts w:hint="eastAsia" w:eastAsia="宋体-简" w:cs="宋体"/>
                <w:highlight w:val="none"/>
              </w:rPr>
              <w:t>用于患者预定治疗餐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Align w:val="center"/>
          </w:tcPr>
          <w:p>
            <w:pPr>
              <w:widowControl/>
              <w:adjustRightInd/>
              <w:rPr>
                <w:rFonts w:eastAsia="宋体-简" w:cs="宋体"/>
                <w:highlight w:val="none"/>
              </w:rPr>
            </w:pPr>
            <w:r>
              <w:rPr>
                <w:rFonts w:hint="eastAsia" w:eastAsia="宋体-简" w:cs="宋体"/>
                <w:highlight w:val="none"/>
              </w:rPr>
              <w:t>陪护订餐</w:t>
            </w:r>
          </w:p>
        </w:tc>
        <w:tc>
          <w:tcPr>
            <w:tcW w:w="906" w:type="pct"/>
            <w:vAlign w:val="center"/>
          </w:tcPr>
          <w:p>
            <w:pPr>
              <w:widowControl/>
              <w:adjustRightInd/>
              <w:rPr>
                <w:rFonts w:eastAsia="宋体-简" w:cs="宋体"/>
                <w:highlight w:val="none"/>
              </w:rPr>
            </w:pPr>
            <w:r>
              <w:rPr>
                <w:rFonts w:hint="eastAsia" w:eastAsia="宋体-简" w:cs="宋体"/>
                <w:highlight w:val="none"/>
              </w:rPr>
              <w:t>陪客、家属预定</w:t>
            </w:r>
          </w:p>
        </w:tc>
        <w:tc>
          <w:tcPr>
            <w:tcW w:w="3532" w:type="pct"/>
            <w:vAlign w:val="center"/>
          </w:tcPr>
          <w:p>
            <w:pPr>
              <w:widowControl/>
              <w:adjustRightInd/>
              <w:rPr>
                <w:rFonts w:eastAsia="宋体-简" w:cs="宋体"/>
                <w:highlight w:val="none"/>
              </w:rPr>
            </w:pPr>
            <w:r>
              <w:rPr>
                <w:rFonts w:hint="eastAsia" w:eastAsia="宋体-简" w:cs="宋体"/>
                <w:highlight w:val="none"/>
              </w:rPr>
              <w:t>用于陪床、家属预定餐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725" w:type="dxa"/>
            <w:gridSpan w:val="2"/>
            <w:vAlign w:val="center"/>
          </w:tcPr>
          <w:p>
            <w:pPr>
              <w:widowControl/>
              <w:adjustRightInd/>
              <w:rPr>
                <w:rFonts w:hint="eastAsia" w:eastAsia="宋体-简" w:cs="宋体"/>
                <w:b w:val="0"/>
                <w:bCs w:val="0"/>
                <w:color w:val="auto"/>
                <w:highlight w:val="none"/>
              </w:rPr>
            </w:pPr>
            <w:r>
              <w:rPr>
                <w:rFonts w:hint="eastAsia" w:eastAsia="宋体-简" w:cs="宋体"/>
                <w:b w:val="0"/>
                <w:bCs w:val="0"/>
                <w:color w:val="auto"/>
                <w:highlight w:val="none"/>
                <w:lang w:val="en-US" w:eastAsia="zh-CN"/>
              </w:rPr>
              <w:t>饮食宣教</w:t>
            </w:r>
          </w:p>
        </w:tc>
        <w:tc>
          <w:tcPr>
            <w:tcW w:w="6561" w:type="dxa"/>
            <w:vAlign w:val="center"/>
          </w:tcPr>
          <w:p>
            <w:pPr>
              <w:widowControl/>
              <w:adjustRightInd/>
              <w:rPr>
                <w:rFonts w:hint="eastAsia" w:eastAsia="宋体-简" w:cs="宋体"/>
                <w:b w:val="0"/>
                <w:bCs w:val="0"/>
                <w:color w:val="auto"/>
                <w:highlight w:val="none"/>
              </w:rPr>
            </w:pPr>
            <w:r>
              <w:rPr>
                <w:rFonts w:hint="eastAsia" w:eastAsia="宋体-简" w:cs="宋体"/>
                <w:b w:val="0"/>
                <w:bCs w:val="0"/>
                <w:color w:val="auto"/>
                <w:highlight w:val="none"/>
                <w:lang w:val="en-US" w:eastAsia="zh-CN"/>
              </w:rPr>
              <w:t>可依据饮食医嘱信息向患者推送相应饮食宣教内容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725" w:type="dxa"/>
            <w:gridSpan w:val="2"/>
            <w:vAlign w:val="center"/>
          </w:tcPr>
          <w:p>
            <w:pPr>
              <w:widowControl/>
              <w:adjustRightInd/>
              <w:rPr>
                <w:rFonts w:hint="eastAsia" w:eastAsia="宋体-简" w:cs="宋体"/>
                <w:b w:val="0"/>
                <w:bCs w:val="0"/>
                <w:color w:val="auto"/>
                <w:highlight w:val="none"/>
              </w:rPr>
            </w:pPr>
            <w:r>
              <w:rPr>
                <w:rFonts w:hint="eastAsia" w:eastAsia="宋体-简" w:cs="宋体"/>
                <w:b w:val="0"/>
                <w:bCs w:val="0"/>
                <w:color w:val="auto"/>
                <w:highlight w:val="none"/>
                <w:lang w:val="en-US" w:eastAsia="zh-CN"/>
              </w:rPr>
              <w:t>满意度调查</w:t>
            </w:r>
          </w:p>
        </w:tc>
        <w:tc>
          <w:tcPr>
            <w:tcW w:w="6561" w:type="dxa"/>
            <w:vAlign w:val="center"/>
          </w:tcPr>
          <w:p>
            <w:pPr>
              <w:widowControl/>
              <w:adjustRightInd/>
              <w:rPr>
                <w:rFonts w:hint="eastAsia" w:eastAsia="宋体-简" w:cs="宋体"/>
                <w:b w:val="0"/>
                <w:bCs w:val="0"/>
                <w:color w:val="auto"/>
                <w:highlight w:val="none"/>
              </w:rPr>
            </w:pPr>
            <w:r>
              <w:rPr>
                <w:rFonts w:hint="eastAsia" w:eastAsia="宋体-简" w:cs="宋体"/>
                <w:b w:val="0"/>
                <w:bCs w:val="0"/>
                <w:color w:val="auto"/>
                <w:highlight w:val="none"/>
                <w:lang w:val="en-US" w:eastAsia="zh-CN"/>
              </w:rPr>
              <w:t>向患者推送一次膳食营养相关满意度调查问卷，实现问卷收集分析功能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000" w:type="pct"/>
            <w:gridSpan w:val="3"/>
            <w:vAlign w:val="center"/>
          </w:tcPr>
          <w:p>
            <w:pPr>
              <w:widowControl/>
              <w:adjustRightInd/>
              <w:jc w:val="center"/>
              <w:rPr>
                <w:rFonts w:eastAsia="宋体-简" w:cs="宋体"/>
                <w:b/>
                <w:bCs/>
                <w:highlight w:val="none"/>
              </w:rPr>
            </w:pPr>
            <w:r>
              <w:rPr>
                <w:rFonts w:hint="eastAsia" w:eastAsia="宋体-简" w:cs="宋体"/>
                <w:b/>
                <w:bCs/>
                <w:highlight w:val="none"/>
              </w:rPr>
              <w:t>营养订餐后台管理系统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shd w:val="clear" w:color="000000" w:fill="A6A6A6"/>
            <w:vAlign w:val="center"/>
          </w:tcPr>
          <w:p>
            <w:pPr>
              <w:widowControl/>
              <w:adjustRightInd/>
              <w:jc w:val="center"/>
              <w:rPr>
                <w:rFonts w:eastAsia="宋体-简" w:cs="宋体"/>
                <w:b/>
                <w:bCs/>
                <w:highlight w:val="none"/>
              </w:rPr>
            </w:pPr>
            <w:r>
              <w:rPr>
                <w:rFonts w:hint="eastAsia" w:eastAsia="宋体-简" w:cs="宋体"/>
                <w:b/>
                <w:bCs/>
                <w:highlight w:val="none"/>
              </w:rPr>
              <w:t>模块</w:t>
            </w:r>
          </w:p>
        </w:tc>
        <w:tc>
          <w:tcPr>
            <w:tcW w:w="906" w:type="pct"/>
            <w:shd w:val="clear" w:color="000000" w:fill="A6A6A6"/>
            <w:vAlign w:val="center"/>
          </w:tcPr>
          <w:p>
            <w:pPr>
              <w:widowControl/>
              <w:adjustRightInd/>
              <w:jc w:val="center"/>
              <w:rPr>
                <w:rFonts w:eastAsia="宋体-简" w:cs="宋体"/>
                <w:b/>
                <w:bCs/>
                <w:highlight w:val="none"/>
              </w:rPr>
            </w:pPr>
            <w:r>
              <w:rPr>
                <w:rFonts w:hint="eastAsia" w:eastAsia="宋体-简" w:cs="宋体"/>
                <w:b/>
                <w:bCs/>
                <w:highlight w:val="none"/>
              </w:rPr>
              <w:t>子模块</w:t>
            </w:r>
          </w:p>
        </w:tc>
        <w:tc>
          <w:tcPr>
            <w:tcW w:w="3532" w:type="pct"/>
            <w:shd w:val="clear" w:color="000000" w:fill="A6A6A6"/>
            <w:vAlign w:val="center"/>
          </w:tcPr>
          <w:p>
            <w:pPr>
              <w:widowControl/>
              <w:adjustRightInd/>
              <w:jc w:val="center"/>
              <w:rPr>
                <w:rFonts w:eastAsia="宋体-简" w:cs="宋体"/>
                <w:b/>
                <w:bCs/>
                <w:highlight w:val="none"/>
              </w:rPr>
            </w:pPr>
            <w:r>
              <w:rPr>
                <w:rFonts w:hint="eastAsia" w:eastAsia="宋体-简" w:cs="宋体"/>
                <w:b/>
                <w:bCs/>
                <w:highlight w:val="none"/>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561" w:type="pct"/>
            <w:vMerge w:val="restart"/>
            <w:vAlign w:val="center"/>
          </w:tcPr>
          <w:p>
            <w:pPr>
              <w:widowControl/>
              <w:adjustRightInd/>
              <w:jc w:val="center"/>
              <w:rPr>
                <w:rFonts w:eastAsia="宋体-简" w:cs="宋体"/>
                <w:highlight w:val="none"/>
              </w:rPr>
            </w:pPr>
            <w:r>
              <w:rPr>
                <w:rFonts w:hint="eastAsia" w:eastAsia="宋体-简" w:cs="宋体"/>
                <w:highlight w:val="none"/>
              </w:rPr>
              <w:t>医院管理</w:t>
            </w:r>
          </w:p>
        </w:tc>
        <w:tc>
          <w:tcPr>
            <w:tcW w:w="906" w:type="pct"/>
            <w:vAlign w:val="center"/>
          </w:tcPr>
          <w:p>
            <w:pPr>
              <w:widowControl/>
              <w:adjustRightInd/>
              <w:rPr>
                <w:rFonts w:eastAsia="宋体-简" w:cs="宋体"/>
                <w:highlight w:val="none"/>
              </w:rPr>
            </w:pPr>
            <w:r>
              <w:rPr>
                <w:rFonts w:hint="eastAsia" w:eastAsia="宋体-简" w:cs="宋体"/>
                <w:highlight w:val="none"/>
              </w:rPr>
              <w:t>病区列表</w:t>
            </w:r>
          </w:p>
        </w:tc>
        <w:tc>
          <w:tcPr>
            <w:tcW w:w="3532" w:type="pct"/>
            <w:vMerge w:val="restart"/>
            <w:vAlign w:val="center"/>
          </w:tcPr>
          <w:p>
            <w:pPr>
              <w:widowControl/>
              <w:adjustRightInd/>
              <w:rPr>
                <w:rFonts w:eastAsia="宋体-简" w:cs="宋体"/>
                <w:highlight w:val="none"/>
              </w:rPr>
            </w:pPr>
            <w:r>
              <w:rPr>
                <w:rFonts w:hint="eastAsia" w:eastAsia="宋体-简" w:cs="宋体"/>
                <w:highlight w:val="none"/>
              </w:rPr>
              <w:t>后台管理订餐活动所需要和依赖的医院相关的数据， 提供增加删除修改查询以及导入导出等功能。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continue"/>
            <w:vAlign w:val="center"/>
          </w:tcPr>
          <w:p>
            <w:pPr>
              <w:widowControl/>
              <w:adjustRightInd/>
              <w:rPr>
                <w:rFonts w:eastAsia="宋体-简" w:cs="宋体"/>
                <w:highlight w:val="none"/>
              </w:rPr>
            </w:pPr>
          </w:p>
        </w:tc>
        <w:tc>
          <w:tcPr>
            <w:tcW w:w="906" w:type="pct"/>
            <w:vAlign w:val="center"/>
          </w:tcPr>
          <w:p>
            <w:pPr>
              <w:widowControl/>
              <w:adjustRightInd/>
              <w:rPr>
                <w:rFonts w:eastAsia="宋体-简" w:cs="宋体"/>
                <w:highlight w:val="none"/>
              </w:rPr>
            </w:pPr>
            <w:r>
              <w:rPr>
                <w:rFonts w:hint="eastAsia" w:eastAsia="宋体-简" w:cs="宋体"/>
                <w:highlight w:val="none"/>
              </w:rPr>
              <w:t>科室列表</w:t>
            </w:r>
          </w:p>
        </w:tc>
        <w:tc>
          <w:tcPr>
            <w:tcW w:w="3532" w:type="pct"/>
            <w:vMerge w:val="continue"/>
            <w:vAlign w:val="center"/>
          </w:tcPr>
          <w:p>
            <w:pPr>
              <w:widowControl/>
              <w:adjustRightInd/>
              <w:rPr>
                <w:rFonts w:eastAsia="宋体-简"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continue"/>
            <w:vAlign w:val="center"/>
          </w:tcPr>
          <w:p>
            <w:pPr>
              <w:widowControl/>
              <w:adjustRightInd/>
              <w:rPr>
                <w:rFonts w:eastAsia="宋体-简" w:cs="宋体"/>
                <w:highlight w:val="none"/>
              </w:rPr>
            </w:pPr>
          </w:p>
        </w:tc>
        <w:tc>
          <w:tcPr>
            <w:tcW w:w="906" w:type="pct"/>
            <w:vAlign w:val="center"/>
          </w:tcPr>
          <w:p>
            <w:pPr>
              <w:widowControl/>
              <w:adjustRightInd/>
              <w:rPr>
                <w:rFonts w:eastAsia="宋体-简" w:cs="宋体"/>
                <w:highlight w:val="none"/>
              </w:rPr>
            </w:pPr>
            <w:r>
              <w:rPr>
                <w:rFonts w:hint="eastAsia" w:eastAsia="宋体-简" w:cs="宋体"/>
                <w:highlight w:val="none"/>
              </w:rPr>
              <w:t>医嘱列表</w:t>
            </w:r>
          </w:p>
        </w:tc>
        <w:tc>
          <w:tcPr>
            <w:tcW w:w="3532" w:type="pct"/>
            <w:vMerge w:val="continue"/>
            <w:vAlign w:val="center"/>
          </w:tcPr>
          <w:p>
            <w:pPr>
              <w:widowControl/>
              <w:adjustRightInd/>
              <w:rPr>
                <w:rFonts w:eastAsia="宋体-简"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continue"/>
            <w:vAlign w:val="center"/>
          </w:tcPr>
          <w:p>
            <w:pPr>
              <w:widowControl/>
              <w:adjustRightInd/>
              <w:rPr>
                <w:rFonts w:eastAsia="宋体-简" w:cs="宋体"/>
                <w:highlight w:val="none"/>
              </w:rPr>
            </w:pPr>
          </w:p>
        </w:tc>
        <w:tc>
          <w:tcPr>
            <w:tcW w:w="906" w:type="pct"/>
            <w:vAlign w:val="center"/>
          </w:tcPr>
          <w:p>
            <w:pPr>
              <w:widowControl/>
              <w:adjustRightInd/>
              <w:rPr>
                <w:rFonts w:eastAsia="宋体-简" w:cs="宋体"/>
                <w:highlight w:val="none"/>
              </w:rPr>
            </w:pPr>
            <w:r>
              <w:rPr>
                <w:rFonts w:hint="eastAsia" w:eastAsia="宋体-简" w:cs="宋体"/>
                <w:highlight w:val="none"/>
              </w:rPr>
              <w:t>配餐员列表</w:t>
            </w:r>
          </w:p>
        </w:tc>
        <w:tc>
          <w:tcPr>
            <w:tcW w:w="3532" w:type="pct"/>
            <w:vMerge w:val="continue"/>
            <w:vAlign w:val="center"/>
          </w:tcPr>
          <w:p>
            <w:pPr>
              <w:widowControl/>
              <w:adjustRightInd/>
              <w:rPr>
                <w:rFonts w:eastAsia="宋体-简"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restart"/>
            <w:vAlign w:val="center"/>
          </w:tcPr>
          <w:p>
            <w:pPr>
              <w:widowControl/>
              <w:adjustRightInd/>
              <w:jc w:val="center"/>
              <w:rPr>
                <w:rFonts w:eastAsia="宋体-简" w:cs="宋体"/>
                <w:highlight w:val="none"/>
              </w:rPr>
            </w:pPr>
            <w:r>
              <w:rPr>
                <w:rFonts w:hint="eastAsia" w:eastAsia="宋体-简" w:cs="宋体"/>
                <w:highlight w:val="none"/>
              </w:rPr>
              <w:t>食堂管理</w:t>
            </w:r>
          </w:p>
        </w:tc>
        <w:tc>
          <w:tcPr>
            <w:tcW w:w="906" w:type="pct"/>
            <w:vAlign w:val="center"/>
          </w:tcPr>
          <w:p>
            <w:pPr>
              <w:widowControl/>
              <w:adjustRightInd/>
              <w:rPr>
                <w:rFonts w:eastAsia="宋体-简" w:cs="宋体"/>
                <w:highlight w:val="none"/>
              </w:rPr>
            </w:pPr>
            <w:r>
              <w:rPr>
                <w:rFonts w:hint="eastAsia" w:eastAsia="宋体-简" w:cs="宋体"/>
                <w:highlight w:val="none"/>
              </w:rPr>
              <w:t>食堂列表</w:t>
            </w:r>
          </w:p>
        </w:tc>
        <w:tc>
          <w:tcPr>
            <w:tcW w:w="3532" w:type="pct"/>
            <w:vMerge w:val="restart"/>
            <w:vAlign w:val="center"/>
          </w:tcPr>
          <w:p>
            <w:pPr>
              <w:widowControl/>
              <w:adjustRightInd/>
              <w:rPr>
                <w:rFonts w:eastAsia="宋体-简" w:cs="宋体"/>
                <w:highlight w:val="none"/>
              </w:rPr>
            </w:pPr>
            <w:r>
              <w:rPr>
                <w:rFonts w:hint="eastAsia" w:eastAsia="宋体-简" w:cs="宋体"/>
                <w:highlight w:val="none"/>
              </w:rPr>
              <w:t>后台管理订餐活动所需要和依赖的食堂相关的数据， 提供增加删除修改查询以及导入导出等功能。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continue"/>
            <w:vAlign w:val="center"/>
          </w:tcPr>
          <w:p>
            <w:pPr>
              <w:widowControl/>
              <w:adjustRightInd/>
              <w:rPr>
                <w:rFonts w:eastAsia="宋体-简" w:cs="宋体"/>
                <w:highlight w:val="none"/>
              </w:rPr>
            </w:pPr>
          </w:p>
        </w:tc>
        <w:tc>
          <w:tcPr>
            <w:tcW w:w="906" w:type="pct"/>
            <w:vAlign w:val="center"/>
          </w:tcPr>
          <w:p>
            <w:pPr>
              <w:widowControl/>
              <w:adjustRightInd/>
              <w:rPr>
                <w:rFonts w:eastAsia="宋体-简" w:cs="宋体"/>
                <w:highlight w:val="none"/>
              </w:rPr>
            </w:pPr>
            <w:r>
              <w:rPr>
                <w:rFonts w:hint="eastAsia" w:eastAsia="宋体-简" w:cs="宋体"/>
                <w:highlight w:val="none"/>
              </w:rPr>
              <w:t>灶类列表</w:t>
            </w:r>
          </w:p>
        </w:tc>
        <w:tc>
          <w:tcPr>
            <w:tcW w:w="3532" w:type="pct"/>
            <w:vMerge w:val="continue"/>
            <w:vAlign w:val="center"/>
          </w:tcPr>
          <w:p>
            <w:pPr>
              <w:widowControl/>
              <w:adjustRightInd/>
              <w:rPr>
                <w:rFonts w:eastAsia="宋体-简"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continue"/>
            <w:vAlign w:val="center"/>
          </w:tcPr>
          <w:p>
            <w:pPr>
              <w:widowControl/>
              <w:adjustRightInd/>
              <w:rPr>
                <w:rFonts w:eastAsia="宋体-简" w:cs="宋体"/>
                <w:highlight w:val="none"/>
              </w:rPr>
            </w:pPr>
          </w:p>
        </w:tc>
        <w:tc>
          <w:tcPr>
            <w:tcW w:w="906" w:type="pct"/>
            <w:vAlign w:val="center"/>
          </w:tcPr>
          <w:p>
            <w:pPr>
              <w:widowControl/>
              <w:adjustRightInd/>
              <w:rPr>
                <w:rFonts w:eastAsia="宋体-简" w:cs="宋体"/>
                <w:highlight w:val="none"/>
              </w:rPr>
            </w:pPr>
            <w:r>
              <w:rPr>
                <w:rFonts w:hint="eastAsia" w:eastAsia="宋体-简" w:cs="宋体"/>
                <w:highlight w:val="none"/>
              </w:rPr>
              <w:t>餐费列表</w:t>
            </w:r>
          </w:p>
        </w:tc>
        <w:tc>
          <w:tcPr>
            <w:tcW w:w="3532" w:type="pct"/>
            <w:vMerge w:val="continue"/>
            <w:vAlign w:val="center"/>
          </w:tcPr>
          <w:p>
            <w:pPr>
              <w:widowControl/>
              <w:adjustRightInd/>
              <w:rPr>
                <w:rFonts w:eastAsia="宋体-简"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continue"/>
            <w:vAlign w:val="center"/>
          </w:tcPr>
          <w:p>
            <w:pPr>
              <w:widowControl/>
              <w:adjustRightInd/>
              <w:rPr>
                <w:rFonts w:eastAsia="宋体-简" w:cs="宋体"/>
                <w:highlight w:val="none"/>
              </w:rPr>
            </w:pPr>
          </w:p>
        </w:tc>
        <w:tc>
          <w:tcPr>
            <w:tcW w:w="906" w:type="pct"/>
            <w:vAlign w:val="center"/>
          </w:tcPr>
          <w:p>
            <w:pPr>
              <w:widowControl/>
              <w:adjustRightInd/>
              <w:rPr>
                <w:rFonts w:eastAsia="宋体-简" w:cs="宋体"/>
                <w:highlight w:val="none"/>
              </w:rPr>
            </w:pPr>
            <w:r>
              <w:rPr>
                <w:rFonts w:hint="eastAsia" w:eastAsia="宋体-简" w:cs="宋体"/>
                <w:highlight w:val="none"/>
              </w:rPr>
              <w:t>点餐器列表</w:t>
            </w:r>
          </w:p>
        </w:tc>
        <w:tc>
          <w:tcPr>
            <w:tcW w:w="3532" w:type="pct"/>
            <w:vMerge w:val="continue"/>
            <w:vAlign w:val="center"/>
          </w:tcPr>
          <w:p>
            <w:pPr>
              <w:widowControl/>
              <w:adjustRightInd/>
              <w:rPr>
                <w:rFonts w:eastAsia="宋体-简"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continue"/>
            <w:vAlign w:val="center"/>
          </w:tcPr>
          <w:p>
            <w:pPr>
              <w:widowControl/>
              <w:adjustRightInd/>
              <w:rPr>
                <w:rFonts w:eastAsia="宋体-简" w:cs="宋体"/>
                <w:highlight w:val="none"/>
              </w:rPr>
            </w:pPr>
          </w:p>
        </w:tc>
        <w:tc>
          <w:tcPr>
            <w:tcW w:w="906" w:type="pct"/>
            <w:vAlign w:val="center"/>
          </w:tcPr>
          <w:p>
            <w:pPr>
              <w:widowControl/>
              <w:adjustRightInd/>
              <w:rPr>
                <w:rFonts w:eastAsia="宋体-简" w:cs="宋体"/>
                <w:highlight w:val="none"/>
              </w:rPr>
            </w:pPr>
            <w:r>
              <w:rPr>
                <w:rFonts w:hint="eastAsia" w:eastAsia="宋体-简" w:cs="宋体"/>
                <w:highlight w:val="none"/>
              </w:rPr>
              <w:t>食堂设置</w:t>
            </w:r>
          </w:p>
        </w:tc>
        <w:tc>
          <w:tcPr>
            <w:tcW w:w="3532" w:type="pct"/>
            <w:vMerge w:val="continue"/>
            <w:vAlign w:val="center"/>
          </w:tcPr>
          <w:p>
            <w:pPr>
              <w:widowControl/>
              <w:adjustRightInd/>
              <w:rPr>
                <w:rFonts w:eastAsia="宋体-简"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restart"/>
            <w:vAlign w:val="center"/>
          </w:tcPr>
          <w:p>
            <w:pPr>
              <w:widowControl/>
              <w:adjustRightInd/>
              <w:jc w:val="center"/>
              <w:rPr>
                <w:rFonts w:eastAsia="宋体-简" w:cs="宋体"/>
                <w:highlight w:val="none"/>
              </w:rPr>
            </w:pPr>
            <w:r>
              <w:rPr>
                <w:rFonts w:hint="eastAsia" w:eastAsia="宋体-简" w:cs="宋体"/>
                <w:highlight w:val="none"/>
              </w:rPr>
              <w:t>用户管理</w:t>
            </w:r>
          </w:p>
        </w:tc>
        <w:tc>
          <w:tcPr>
            <w:tcW w:w="906" w:type="pct"/>
            <w:vAlign w:val="center"/>
          </w:tcPr>
          <w:p>
            <w:pPr>
              <w:widowControl/>
              <w:adjustRightInd/>
              <w:rPr>
                <w:rFonts w:eastAsia="宋体-简" w:cs="宋体"/>
                <w:highlight w:val="none"/>
              </w:rPr>
            </w:pPr>
            <w:r>
              <w:rPr>
                <w:rFonts w:hint="eastAsia" w:eastAsia="宋体-简" w:cs="宋体"/>
                <w:highlight w:val="none"/>
              </w:rPr>
              <w:t>用户列表</w:t>
            </w:r>
          </w:p>
        </w:tc>
        <w:tc>
          <w:tcPr>
            <w:tcW w:w="3532" w:type="pct"/>
            <w:vMerge w:val="restart"/>
            <w:vAlign w:val="center"/>
          </w:tcPr>
          <w:p>
            <w:pPr>
              <w:widowControl/>
              <w:adjustRightInd/>
              <w:rPr>
                <w:highlight w:val="none"/>
              </w:rPr>
            </w:pPr>
            <w:r>
              <w:rPr>
                <w:rFonts w:hint="eastAsia"/>
                <w:highlight w:val="none"/>
              </w:rPr>
              <w:t>管理员可以导入用户，或者从HIS同步用户数据， 并且可以针对不同用户设置不同的角色权限。</w:t>
            </w:r>
          </w:p>
          <w:p>
            <w:pPr>
              <w:pStyle w:val="63"/>
              <w:ind w:firstLine="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continue"/>
            <w:vAlign w:val="center"/>
          </w:tcPr>
          <w:p>
            <w:pPr>
              <w:widowControl/>
              <w:adjustRightInd/>
              <w:rPr>
                <w:rFonts w:eastAsia="宋体-简" w:cs="宋体"/>
                <w:highlight w:val="none"/>
              </w:rPr>
            </w:pPr>
          </w:p>
        </w:tc>
        <w:tc>
          <w:tcPr>
            <w:tcW w:w="906" w:type="pct"/>
            <w:vAlign w:val="center"/>
          </w:tcPr>
          <w:p>
            <w:pPr>
              <w:widowControl/>
              <w:adjustRightInd/>
              <w:rPr>
                <w:rFonts w:eastAsia="宋体-简" w:cs="宋体"/>
                <w:highlight w:val="none"/>
              </w:rPr>
            </w:pPr>
            <w:r>
              <w:rPr>
                <w:rFonts w:hint="eastAsia" w:eastAsia="宋体-简" w:cs="宋体"/>
                <w:highlight w:val="none"/>
              </w:rPr>
              <w:t>病人列表</w:t>
            </w:r>
          </w:p>
        </w:tc>
        <w:tc>
          <w:tcPr>
            <w:tcW w:w="3532" w:type="pct"/>
            <w:vMerge w:val="continue"/>
            <w:vAlign w:val="center"/>
          </w:tcPr>
          <w:p>
            <w:pPr>
              <w:widowControl/>
              <w:adjustRightInd/>
              <w:rPr>
                <w:rFonts w:eastAsia="宋体-简"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continue"/>
            <w:vAlign w:val="center"/>
          </w:tcPr>
          <w:p>
            <w:pPr>
              <w:widowControl/>
              <w:adjustRightInd/>
              <w:rPr>
                <w:rFonts w:eastAsia="宋体-简" w:cs="宋体"/>
                <w:highlight w:val="none"/>
              </w:rPr>
            </w:pPr>
          </w:p>
        </w:tc>
        <w:tc>
          <w:tcPr>
            <w:tcW w:w="906" w:type="pct"/>
            <w:vAlign w:val="center"/>
          </w:tcPr>
          <w:p>
            <w:pPr>
              <w:widowControl/>
              <w:adjustRightInd/>
              <w:rPr>
                <w:rFonts w:eastAsia="宋体-简" w:cs="宋体"/>
                <w:highlight w:val="none"/>
              </w:rPr>
            </w:pPr>
            <w:r>
              <w:rPr>
                <w:rFonts w:hint="eastAsia" w:eastAsia="宋体-简" w:cs="宋体"/>
                <w:highlight w:val="none"/>
              </w:rPr>
              <w:t>群组列表</w:t>
            </w:r>
          </w:p>
        </w:tc>
        <w:tc>
          <w:tcPr>
            <w:tcW w:w="3532" w:type="pct"/>
            <w:vMerge w:val="continue"/>
            <w:vAlign w:val="center"/>
          </w:tcPr>
          <w:p>
            <w:pPr>
              <w:widowControl/>
              <w:adjustRightInd/>
              <w:rPr>
                <w:rFonts w:eastAsia="宋体-简"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continue"/>
            <w:vAlign w:val="center"/>
          </w:tcPr>
          <w:p>
            <w:pPr>
              <w:widowControl/>
              <w:adjustRightInd/>
              <w:rPr>
                <w:rFonts w:eastAsia="宋体-简" w:cs="宋体"/>
                <w:highlight w:val="none"/>
              </w:rPr>
            </w:pPr>
          </w:p>
        </w:tc>
        <w:tc>
          <w:tcPr>
            <w:tcW w:w="906" w:type="pct"/>
            <w:vAlign w:val="center"/>
          </w:tcPr>
          <w:p>
            <w:pPr>
              <w:widowControl/>
              <w:adjustRightInd/>
              <w:rPr>
                <w:rFonts w:eastAsia="宋体-简" w:cs="宋体"/>
                <w:highlight w:val="none"/>
              </w:rPr>
            </w:pPr>
            <w:r>
              <w:rPr>
                <w:rFonts w:hint="eastAsia" w:eastAsia="宋体-简" w:cs="宋体"/>
                <w:highlight w:val="none"/>
              </w:rPr>
              <w:t>角色列表</w:t>
            </w:r>
          </w:p>
        </w:tc>
        <w:tc>
          <w:tcPr>
            <w:tcW w:w="3532" w:type="pct"/>
            <w:vMerge w:val="continue"/>
            <w:vAlign w:val="center"/>
          </w:tcPr>
          <w:p>
            <w:pPr>
              <w:widowControl/>
              <w:adjustRightInd/>
              <w:rPr>
                <w:rFonts w:eastAsia="宋体-简"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restart"/>
            <w:vAlign w:val="center"/>
          </w:tcPr>
          <w:p>
            <w:pPr>
              <w:widowControl/>
              <w:adjustRightInd/>
              <w:jc w:val="center"/>
              <w:rPr>
                <w:rFonts w:eastAsia="宋体-简" w:cs="宋体"/>
                <w:highlight w:val="none"/>
              </w:rPr>
            </w:pPr>
            <w:r>
              <w:rPr>
                <w:rFonts w:hint="eastAsia" w:eastAsia="宋体-简" w:cs="宋体"/>
                <w:highlight w:val="none"/>
              </w:rPr>
              <w:t>菜谱管理</w:t>
            </w:r>
          </w:p>
        </w:tc>
        <w:tc>
          <w:tcPr>
            <w:tcW w:w="906" w:type="pct"/>
            <w:vAlign w:val="center"/>
          </w:tcPr>
          <w:p>
            <w:pPr>
              <w:widowControl/>
              <w:adjustRightInd/>
              <w:rPr>
                <w:rFonts w:eastAsia="宋体-简" w:cs="宋体"/>
                <w:highlight w:val="none"/>
              </w:rPr>
            </w:pPr>
            <w:r>
              <w:rPr>
                <w:rFonts w:hint="eastAsia" w:eastAsia="宋体-简" w:cs="宋体"/>
                <w:highlight w:val="none"/>
              </w:rPr>
              <w:t>食材列表</w:t>
            </w:r>
          </w:p>
        </w:tc>
        <w:tc>
          <w:tcPr>
            <w:tcW w:w="3532" w:type="pct"/>
            <w:vMerge w:val="restart"/>
            <w:vAlign w:val="center"/>
          </w:tcPr>
          <w:p>
            <w:pPr>
              <w:widowControl/>
              <w:adjustRightInd/>
              <w:rPr>
                <w:rFonts w:eastAsia="宋体-简" w:cs="宋体"/>
                <w:highlight w:val="none"/>
              </w:rPr>
            </w:pPr>
            <w:r>
              <w:rPr>
                <w:rFonts w:hint="eastAsia" w:eastAsia="宋体-简" w:cs="宋体"/>
                <w:highlight w:val="none"/>
              </w:rPr>
              <w:t>管理员或营养师制做菜谱，并对菜谱进行营养分析。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continue"/>
            <w:vAlign w:val="center"/>
          </w:tcPr>
          <w:p>
            <w:pPr>
              <w:widowControl/>
              <w:adjustRightInd/>
              <w:rPr>
                <w:rFonts w:eastAsia="宋体-简" w:cs="宋体"/>
                <w:highlight w:val="none"/>
              </w:rPr>
            </w:pPr>
          </w:p>
        </w:tc>
        <w:tc>
          <w:tcPr>
            <w:tcW w:w="906" w:type="pct"/>
            <w:vAlign w:val="center"/>
          </w:tcPr>
          <w:p>
            <w:pPr>
              <w:widowControl/>
              <w:adjustRightInd/>
              <w:rPr>
                <w:rFonts w:eastAsia="宋体-简" w:cs="宋体"/>
                <w:highlight w:val="none"/>
              </w:rPr>
            </w:pPr>
            <w:r>
              <w:rPr>
                <w:rFonts w:hint="eastAsia" w:eastAsia="宋体-简" w:cs="宋体"/>
                <w:highlight w:val="none"/>
              </w:rPr>
              <w:t>食物列表</w:t>
            </w:r>
          </w:p>
        </w:tc>
        <w:tc>
          <w:tcPr>
            <w:tcW w:w="3532" w:type="pct"/>
            <w:vMerge w:val="continue"/>
            <w:vAlign w:val="center"/>
          </w:tcPr>
          <w:p>
            <w:pPr>
              <w:widowControl/>
              <w:adjustRightInd/>
              <w:rPr>
                <w:rFonts w:eastAsia="宋体-简"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continue"/>
            <w:vAlign w:val="center"/>
          </w:tcPr>
          <w:p>
            <w:pPr>
              <w:widowControl/>
              <w:adjustRightInd/>
              <w:rPr>
                <w:rFonts w:eastAsia="宋体-简" w:cs="宋体"/>
                <w:highlight w:val="none"/>
              </w:rPr>
            </w:pPr>
          </w:p>
        </w:tc>
        <w:tc>
          <w:tcPr>
            <w:tcW w:w="906" w:type="pct"/>
            <w:vAlign w:val="center"/>
          </w:tcPr>
          <w:p>
            <w:pPr>
              <w:widowControl/>
              <w:adjustRightInd/>
              <w:rPr>
                <w:rFonts w:eastAsia="宋体-简" w:cs="宋体"/>
                <w:highlight w:val="none"/>
              </w:rPr>
            </w:pPr>
            <w:r>
              <w:rPr>
                <w:rFonts w:hint="eastAsia" w:eastAsia="宋体-简" w:cs="宋体"/>
                <w:highlight w:val="none"/>
              </w:rPr>
              <w:t>菜谱列表</w:t>
            </w:r>
          </w:p>
        </w:tc>
        <w:tc>
          <w:tcPr>
            <w:tcW w:w="3532" w:type="pct"/>
            <w:vMerge w:val="continue"/>
            <w:vAlign w:val="center"/>
          </w:tcPr>
          <w:p>
            <w:pPr>
              <w:widowControl/>
              <w:adjustRightInd/>
              <w:rPr>
                <w:rFonts w:eastAsia="宋体-简"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continue"/>
            <w:vAlign w:val="center"/>
          </w:tcPr>
          <w:p>
            <w:pPr>
              <w:widowControl/>
              <w:adjustRightInd/>
              <w:rPr>
                <w:rFonts w:eastAsia="宋体-简" w:cs="宋体"/>
                <w:highlight w:val="none"/>
              </w:rPr>
            </w:pPr>
          </w:p>
        </w:tc>
        <w:tc>
          <w:tcPr>
            <w:tcW w:w="906" w:type="pct"/>
            <w:vAlign w:val="center"/>
          </w:tcPr>
          <w:p>
            <w:pPr>
              <w:widowControl/>
              <w:adjustRightInd/>
              <w:rPr>
                <w:rFonts w:eastAsia="宋体-简" w:cs="宋体"/>
                <w:highlight w:val="none"/>
              </w:rPr>
            </w:pPr>
            <w:r>
              <w:rPr>
                <w:rFonts w:hint="eastAsia" w:eastAsia="宋体-简" w:cs="宋体"/>
                <w:highlight w:val="none"/>
              </w:rPr>
              <w:t>菜单制作</w:t>
            </w:r>
          </w:p>
        </w:tc>
        <w:tc>
          <w:tcPr>
            <w:tcW w:w="3532" w:type="pct"/>
            <w:vMerge w:val="continue"/>
            <w:vAlign w:val="center"/>
          </w:tcPr>
          <w:p>
            <w:pPr>
              <w:widowControl/>
              <w:adjustRightInd/>
              <w:rPr>
                <w:rFonts w:eastAsia="宋体-简"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continue"/>
            <w:vAlign w:val="center"/>
          </w:tcPr>
          <w:p>
            <w:pPr>
              <w:widowControl/>
              <w:adjustRightInd/>
              <w:rPr>
                <w:rFonts w:eastAsia="宋体-简" w:cs="宋体"/>
                <w:highlight w:val="none"/>
              </w:rPr>
            </w:pPr>
          </w:p>
        </w:tc>
        <w:tc>
          <w:tcPr>
            <w:tcW w:w="906" w:type="pct"/>
            <w:vAlign w:val="center"/>
          </w:tcPr>
          <w:p>
            <w:pPr>
              <w:widowControl/>
              <w:adjustRightInd/>
              <w:rPr>
                <w:rFonts w:eastAsia="宋体-简" w:cs="宋体"/>
                <w:highlight w:val="none"/>
              </w:rPr>
            </w:pPr>
            <w:r>
              <w:rPr>
                <w:rFonts w:hint="eastAsia" w:eastAsia="宋体-简" w:cs="宋体"/>
                <w:highlight w:val="none"/>
              </w:rPr>
              <w:t>营养分析</w:t>
            </w:r>
          </w:p>
        </w:tc>
        <w:tc>
          <w:tcPr>
            <w:tcW w:w="3532" w:type="pct"/>
            <w:vMerge w:val="continue"/>
            <w:vAlign w:val="center"/>
          </w:tcPr>
          <w:p>
            <w:pPr>
              <w:widowControl/>
              <w:adjustRightInd/>
              <w:rPr>
                <w:rFonts w:eastAsia="宋体-简"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restart"/>
            <w:vAlign w:val="center"/>
          </w:tcPr>
          <w:p>
            <w:pPr>
              <w:widowControl/>
              <w:adjustRightInd/>
              <w:jc w:val="center"/>
              <w:rPr>
                <w:rFonts w:eastAsia="宋体-简" w:cs="宋体"/>
                <w:highlight w:val="none"/>
              </w:rPr>
            </w:pPr>
            <w:r>
              <w:rPr>
                <w:rFonts w:hint="eastAsia" w:eastAsia="宋体-简" w:cs="宋体"/>
                <w:highlight w:val="none"/>
              </w:rPr>
              <w:t>订单管理</w:t>
            </w:r>
          </w:p>
        </w:tc>
        <w:tc>
          <w:tcPr>
            <w:tcW w:w="906" w:type="pct"/>
            <w:vAlign w:val="center"/>
          </w:tcPr>
          <w:p>
            <w:pPr>
              <w:widowControl/>
              <w:adjustRightInd/>
              <w:rPr>
                <w:rFonts w:eastAsia="宋体-简" w:cs="宋体"/>
                <w:highlight w:val="none"/>
              </w:rPr>
            </w:pPr>
            <w:r>
              <w:rPr>
                <w:rFonts w:hint="eastAsia" w:eastAsia="宋体-简" w:cs="宋体"/>
                <w:highlight w:val="none"/>
              </w:rPr>
              <w:t>订餐统计</w:t>
            </w:r>
          </w:p>
        </w:tc>
        <w:tc>
          <w:tcPr>
            <w:tcW w:w="3532" w:type="pct"/>
            <w:vMerge w:val="restart"/>
            <w:vAlign w:val="center"/>
          </w:tcPr>
          <w:p>
            <w:pPr>
              <w:widowControl/>
              <w:adjustRightInd/>
              <w:rPr>
                <w:rFonts w:eastAsia="宋体-简" w:cs="宋体"/>
                <w:highlight w:val="none"/>
              </w:rPr>
            </w:pPr>
            <w:r>
              <w:rPr>
                <w:rFonts w:hint="eastAsia" w:eastAsia="宋体-简" w:cs="宋体"/>
                <w:highlight w:val="none"/>
              </w:rPr>
              <w:t xml:space="preserve">基于订餐活动所产生的订单以及本系统或者第三方系统的数据， 汇总并做出各种需要的报表数据。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continue"/>
            <w:vAlign w:val="center"/>
          </w:tcPr>
          <w:p>
            <w:pPr>
              <w:widowControl/>
              <w:adjustRightInd/>
              <w:rPr>
                <w:rFonts w:eastAsia="宋体-简" w:cs="宋体"/>
                <w:highlight w:val="none"/>
              </w:rPr>
            </w:pPr>
          </w:p>
        </w:tc>
        <w:tc>
          <w:tcPr>
            <w:tcW w:w="906" w:type="pct"/>
            <w:vAlign w:val="center"/>
          </w:tcPr>
          <w:p>
            <w:pPr>
              <w:widowControl/>
              <w:adjustRightInd/>
              <w:rPr>
                <w:rFonts w:eastAsia="宋体-简" w:cs="宋体"/>
                <w:highlight w:val="none"/>
              </w:rPr>
            </w:pPr>
            <w:r>
              <w:rPr>
                <w:rFonts w:hint="eastAsia" w:eastAsia="宋体-简" w:cs="宋体"/>
                <w:highlight w:val="none"/>
              </w:rPr>
              <w:t>配餐统计</w:t>
            </w:r>
          </w:p>
        </w:tc>
        <w:tc>
          <w:tcPr>
            <w:tcW w:w="3532" w:type="pct"/>
            <w:vMerge w:val="continue"/>
            <w:vAlign w:val="center"/>
          </w:tcPr>
          <w:p>
            <w:pPr>
              <w:widowControl/>
              <w:adjustRightInd/>
              <w:rPr>
                <w:rFonts w:eastAsia="宋体-简"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continue"/>
            <w:vAlign w:val="center"/>
          </w:tcPr>
          <w:p>
            <w:pPr>
              <w:widowControl/>
              <w:adjustRightInd/>
              <w:rPr>
                <w:rFonts w:eastAsia="宋体-简" w:cs="宋体"/>
                <w:highlight w:val="none"/>
              </w:rPr>
            </w:pPr>
          </w:p>
        </w:tc>
        <w:tc>
          <w:tcPr>
            <w:tcW w:w="906" w:type="pct"/>
            <w:vAlign w:val="center"/>
          </w:tcPr>
          <w:p>
            <w:pPr>
              <w:widowControl/>
              <w:adjustRightInd/>
              <w:rPr>
                <w:rFonts w:eastAsia="宋体-简" w:cs="宋体"/>
                <w:highlight w:val="none"/>
              </w:rPr>
            </w:pPr>
            <w:r>
              <w:rPr>
                <w:rFonts w:hint="eastAsia" w:eastAsia="宋体-简" w:cs="宋体"/>
                <w:highlight w:val="none"/>
              </w:rPr>
              <w:t>灶类统计</w:t>
            </w:r>
          </w:p>
        </w:tc>
        <w:tc>
          <w:tcPr>
            <w:tcW w:w="3532" w:type="pct"/>
            <w:vMerge w:val="continue"/>
            <w:vAlign w:val="center"/>
          </w:tcPr>
          <w:p>
            <w:pPr>
              <w:widowControl/>
              <w:adjustRightInd/>
              <w:rPr>
                <w:rFonts w:eastAsia="宋体-简"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continue"/>
            <w:vAlign w:val="center"/>
          </w:tcPr>
          <w:p>
            <w:pPr>
              <w:widowControl/>
              <w:adjustRightInd/>
              <w:rPr>
                <w:rFonts w:eastAsia="宋体-简" w:cs="宋体"/>
                <w:highlight w:val="none"/>
              </w:rPr>
            </w:pPr>
          </w:p>
        </w:tc>
        <w:tc>
          <w:tcPr>
            <w:tcW w:w="906" w:type="pct"/>
            <w:vAlign w:val="center"/>
          </w:tcPr>
          <w:p>
            <w:pPr>
              <w:widowControl/>
              <w:adjustRightInd/>
              <w:rPr>
                <w:rFonts w:eastAsia="宋体-简" w:cs="宋体"/>
                <w:highlight w:val="none"/>
              </w:rPr>
            </w:pPr>
            <w:r>
              <w:rPr>
                <w:rFonts w:hint="eastAsia" w:eastAsia="宋体-简" w:cs="宋体"/>
                <w:highlight w:val="none"/>
              </w:rPr>
              <w:t>送餐统计</w:t>
            </w:r>
          </w:p>
        </w:tc>
        <w:tc>
          <w:tcPr>
            <w:tcW w:w="3532" w:type="pct"/>
            <w:vMerge w:val="continue"/>
            <w:vAlign w:val="center"/>
          </w:tcPr>
          <w:p>
            <w:pPr>
              <w:widowControl/>
              <w:adjustRightInd/>
              <w:rPr>
                <w:rFonts w:eastAsia="宋体-简"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continue"/>
            <w:vAlign w:val="center"/>
          </w:tcPr>
          <w:p>
            <w:pPr>
              <w:widowControl/>
              <w:adjustRightInd/>
              <w:rPr>
                <w:rFonts w:eastAsia="宋体-简" w:cs="宋体"/>
                <w:highlight w:val="none"/>
              </w:rPr>
            </w:pPr>
          </w:p>
        </w:tc>
        <w:tc>
          <w:tcPr>
            <w:tcW w:w="906" w:type="pct"/>
            <w:vAlign w:val="center"/>
          </w:tcPr>
          <w:p>
            <w:pPr>
              <w:widowControl/>
              <w:adjustRightInd/>
              <w:rPr>
                <w:rFonts w:eastAsia="宋体-简" w:cs="宋体"/>
                <w:highlight w:val="none"/>
              </w:rPr>
            </w:pPr>
            <w:r>
              <w:rPr>
                <w:rFonts w:hint="eastAsia" w:eastAsia="宋体-简" w:cs="宋体"/>
                <w:highlight w:val="none"/>
              </w:rPr>
              <w:t>营业统计</w:t>
            </w:r>
          </w:p>
        </w:tc>
        <w:tc>
          <w:tcPr>
            <w:tcW w:w="3532" w:type="pct"/>
            <w:vMerge w:val="continue"/>
            <w:vAlign w:val="center"/>
          </w:tcPr>
          <w:p>
            <w:pPr>
              <w:widowControl/>
              <w:adjustRightInd/>
              <w:rPr>
                <w:rFonts w:eastAsia="宋体-简"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restart"/>
            <w:vAlign w:val="center"/>
          </w:tcPr>
          <w:p>
            <w:pPr>
              <w:widowControl/>
              <w:adjustRightInd/>
              <w:jc w:val="center"/>
              <w:rPr>
                <w:rFonts w:eastAsia="宋体-简" w:cs="宋体"/>
                <w:highlight w:val="none"/>
              </w:rPr>
            </w:pPr>
            <w:r>
              <w:rPr>
                <w:rFonts w:hint="eastAsia" w:eastAsia="宋体-简" w:cs="宋体"/>
                <w:highlight w:val="none"/>
              </w:rPr>
              <w:t>系统集成</w:t>
            </w:r>
          </w:p>
        </w:tc>
        <w:tc>
          <w:tcPr>
            <w:tcW w:w="906" w:type="pct"/>
            <w:vAlign w:val="center"/>
          </w:tcPr>
          <w:p>
            <w:pPr>
              <w:widowControl/>
              <w:adjustRightInd/>
              <w:rPr>
                <w:rFonts w:eastAsia="宋体-简" w:cs="宋体"/>
                <w:highlight w:val="none"/>
              </w:rPr>
            </w:pPr>
            <w:r>
              <w:rPr>
                <w:rFonts w:hint="eastAsia" w:eastAsia="宋体-简" w:cs="宋体"/>
                <w:highlight w:val="none"/>
              </w:rPr>
              <w:t>HIS集成</w:t>
            </w:r>
          </w:p>
        </w:tc>
        <w:tc>
          <w:tcPr>
            <w:tcW w:w="3532" w:type="pct"/>
            <w:vMerge w:val="restart"/>
            <w:vAlign w:val="center"/>
          </w:tcPr>
          <w:p>
            <w:pPr>
              <w:widowControl/>
              <w:adjustRightInd/>
              <w:rPr>
                <w:rFonts w:eastAsia="宋体-简" w:cs="宋体"/>
                <w:highlight w:val="none"/>
              </w:rPr>
            </w:pPr>
            <w:r>
              <w:rPr>
                <w:rFonts w:hint="eastAsia" w:eastAsia="宋体-简" w:cs="宋体"/>
                <w:highlight w:val="none"/>
              </w:rPr>
              <w:t>和第三方的系统集成，具体的可根据客户的需求来进行定制。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continue"/>
            <w:vAlign w:val="center"/>
          </w:tcPr>
          <w:p>
            <w:pPr>
              <w:widowControl/>
              <w:adjustRightInd/>
              <w:jc w:val="center"/>
              <w:rPr>
                <w:rFonts w:eastAsia="宋体-简" w:cs="宋体"/>
                <w:highlight w:val="none"/>
              </w:rPr>
            </w:pPr>
          </w:p>
        </w:tc>
        <w:tc>
          <w:tcPr>
            <w:tcW w:w="906" w:type="pct"/>
            <w:vAlign w:val="center"/>
          </w:tcPr>
          <w:p>
            <w:pPr>
              <w:widowControl/>
              <w:adjustRightInd/>
              <w:rPr>
                <w:rFonts w:eastAsia="宋体-简" w:cs="宋体"/>
                <w:highlight w:val="none"/>
              </w:rPr>
            </w:pPr>
            <w:r>
              <w:rPr>
                <w:rFonts w:hint="eastAsia" w:eastAsia="宋体-简" w:cs="宋体"/>
                <w:highlight w:val="none"/>
              </w:rPr>
              <w:t>微信公众号集成</w:t>
            </w:r>
          </w:p>
        </w:tc>
        <w:tc>
          <w:tcPr>
            <w:tcW w:w="3532" w:type="pct"/>
            <w:vMerge w:val="continue"/>
            <w:vAlign w:val="center"/>
          </w:tcPr>
          <w:p>
            <w:pPr>
              <w:widowControl/>
              <w:adjustRightInd/>
              <w:rPr>
                <w:rFonts w:eastAsia="宋体-简"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1" w:type="pct"/>
            <w:vMerge w:val="continue"/>
            <w:vAlign w:val="center"/>
          </w:tcPr>
          <w:p>
            <w:pPr>
              <w:widowControl/>
              <w:adjustRightInd/>
              <w:rPr>
                <w:rFonts w:eastAsia="宋体-简" w:cs="宋体"/>
                <w:highlight w:val="none"/>
              </w:rPr>
            </w:pPr>
          </w:p>
        </w:tc>
        <w:tc>
          <w:tcPr>
            <w:tcW w:w="906" w:type="pct"/>
            <w:vAlign w:val="center"/>
          </w:tcPr>
          <w:p>
            <w:pPr>
              <w:widowControl/>
              <w:adjustRightInd/>
              <w:rPr>
                <w:rFonts w:eastAsia="宋体-简" w:cs="宋体"/>
                <w:highlight w:val="none"/>
              </w:rPr>
            </w:pPr>
            <w:r>
              <w:rPr>
                <w:rFonts w:hint="eastAsia" w:eastAsia="宋体-简" w:cs="宋体"/>
                <w:highlight w:val="none"/>
              </w:rPr>
              <w:t>刷卡系统</w:t>
            </w:r>
          </w:p>
        </w:tc>
        <w:tc>
          <w:tcPr>
            <w:tcW w:w="3532" w:type="pct"/>
            <w:vMerge w:val="continue"/>
            <w:vAlign w:val="center"/>
          </w:tcPr>
          <w:p>
            <w:pPr>
              <w:widowControl/>
              <w:adjustRightInd/>
              <w:rPr>
                <w:rFonts w:eastAsia="宋体-简" w:cs="宋体"/>
                <w:highlight w:val="none"/>
              </w:rPr>
            </w:pPr>
          </w:p>
        </w:tc>
      </w:tr>
    </w:tbl>
    <w:tbl>
      <w:tblPr>
        <w:tblStyle w:val="64"/>
        <w:tblpPr w:leftFromText="180" w:rightFromText="180" w:vertAnchor="text" w:horzAnchor="page" w:tblpX="1481" w:tblpY="294"/>
        <w:tblOverlap w:val="never"/>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autofit"/>
        <w:tblCellMar>
          <w:top w:w="0" w:type="dxa"/>
          <w:left w:w="108" w:type="dxa"/>
          <w:bottom w:w="0" w:type="dxa"/>
          <w:right w:w="108" w:type="dxa"/>
        </w:tblCellMar>
      </w:tblPr>
      <w:tblGrid>
        <w:gridCol w:w="1536"/>
        <w:gridCol w:w="1476"/>
        <w:gridCol w:w="62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108" w:type="dxa"/>
            <w:bottom w:w="0" w:type="dxa"/>
            <w:right w:w="108" w:type="dxa"/>
          </w:tblCellMar>
        </w:tblPrEx>
        <w:trPr>
          <w:trHeight w:val="510" w:hRule="exact"/>
        </w:trPr>
        <w:tc>
          <w:tcPr>
            <w:tcW w:w="827" w:type="pct"/>
            <w:tcBorders>
              <w:tl2br w:val="nil"/>
              <w:tr2bl w:val="nil"/>
            </w:tcBorders>
            <w:shd w:val="clear" w:color="auto" w:fill="FFFFFF"/>
            <w:vAlign w:val="center"/>
          </w:tcPr>
          <w:p>
            <w:pPr>
              <w:jc w:val="center"/>
              <w:rPr>
                <w:rFonts w:ascii="宋体" w:hAnsi="宋体" w:cs="宋体"/>
                <w:b/>
                <w:bCs/>
                <w:color w:val="000000"/>
                <w:szCs w:val="21"/>
                <w:highlight w:val="none"/>
              </w:rPr>
            </w:pPr>
            <w:bookmarkStart w:id="29" w:name="_Toc17439"/>
            <w:r>
              <w:rPr>
                <w:rFonts w:hint="eastAsia" w:ascii="宋体" w:hAnsi="宋体" w:cs="宋体"/>
                <w:b/>
                <w:bCs/>
                <w:color w:val="000000"/>
                <w:szCs w:val="21"/>
                <w:highlight w:val="none"/>
              </w:rPr>
              <w:t>系统</w:t>
            </w:r>
          </w:p>
        </w:tc>
        <w:tc>
          <w:tcPr>
            <w:tcW w:w="795" w:type="pct"/>
            <w:tcBorders>
              <w:tl2br w:val="nil"/>
              <w:tr2bl w:val="nil"/>
            </w:tcBorders>
            <w:shd w:val="clear" w:color="auto" w:fill="FFFFFF"/>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模块名称</w:t>
            </w:r>
          </w:p>
        </w:tc>
        <w:tc>
          <w:tcPr>
            <w:tcW w:w="3378" w:type="pct"/>
            <w:tcBorders>
              <w:tl2br w:val="nil"/>
              <w:tr2bl w:val="nil"/>
            </w:tcBorders>
            <w:shd w:val="clear" w:color="auto" w:fill="FFFFFF"/>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功能要求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108" w:type="dxa"/>
            <w:bottom w:w="0" w:type="dxa"/>
            <w:right w:w="108" w:type="dxa"/>
          </w:tblCellMar>
        </w:tblPrEx>
        <w:trPr>
          <w:trHeight w:val="510" w:hRule="exact"/>
        </w:trPr>
        <w:tc>
          <w:tcPr>
            <w:tcW w:w="827" w:type="pct"/>
            <w:vMerge w:val="restart"/>
            <w:tcBorders>
              <w:tl2br w:val="nil"/>
              <w:tr2bl w:val="nil"/>
            </w:tcBorders>
            <w:shd w:val="clear" w:color="auto" w:fill="FFFFFF"/>
            <w:vAlign w:val="center"/>
          </w:tcPr>
          <w:p>
            <w:pPr>
              <w:rPr>
                <w:rFonts w:ascii="宋体" w:hAnsi="宋体" w:cs="宋体"/>
                <w:color w:val="000000"/>
                <w:szCs w:val="21"/>
                <w:highlight w:val="none"/>
              </w:rPr>
            </w:pPr>
            <w:r>
              <w:rPr>
                <w:rFonts w:hint="eastAsia" w:ascii="宋体" w:hAnsi="宋体" w:cs="宋体"/>
                <w:color w:val="000000"/>
                <w:szCs w:val="21"/>
                <w:highlight w:val="none"/>
              </w:rPr>
              <w:t>患者/陪护</w:t>
            </w:r>
            <w:r>
              <w:rPr>
                <w:rFonts w:hint="eastAsia" w:ascii="宋体" w:hAnsi="宋体" w:cs="宋体"/>
                <w:color w:val="000000"/>
                <w:szCs w:val="21"/>
                <w:highlight w:val="none"/>
                <w:lang w:eastAsia="zh-Hans"/>
              </w:rPr>
              <w:t>支付宝</w:t>
            </w:r>
            <w:r>
              <w:rPr>
                <w:rFonts w:hint="eastAsia" w:ascii="宋体" w:hAnsi="宋体" w:cs="宋体"/>
                <w:color w:val="000000"/>
                <w:szCs w:val="21"/>
                <w:highlight w:val="none"/>
              </w:rPr>
              <w:t>扫码订餐系统</w:t>
            </w:r>
          </w:p>
        </w:tc>
        <w:tc>
          <w:tcPr>
            <w:tcW w:w="795" w:type="pct"/>
            <w:tcBorders>
              <w:tl2br w:val="nil"/>
              <w:tr2bl w:val="nil"/>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身份验证</w:t>
            </w:r>
          </w:p>
        </w:tc>
        <w:tc>
          <w:tcPr>
            <w:tcW w:w="3378" w:type="pct"/>
            <w:tcBorders>
              <w:tl2br w:val="nil"/>
              <w:tr2bl w:val="nil"/>
            </w:tcBorders>
            <w:shd w:val="clear" w:color="auto" w:fill="FFFFFF"/>
            <w:vAlign w:val="center"/>
          </w:tcPr>
          <w:p>
            <w:pPr>
              <w:rPr>
                <w:rFonts w:ascii="宋体" w:hAnsi="宋体" w:cs="宋体"/>
                <w:color w:val="000000"/>
                <w:szCs w:val="21"/>
                <w:highlight w:val="none"/>
              </w:rPr>
            </w:pPr>
            <w:r>
              <w:rPr>
                <w:rFonts w:hint="eastAsia" w:ascii="宋体" w:hAnsi="宋体" w:cs="宋体"/>
                <w:color w:val="000000"/>
                <w:szCs w:val="21"/>
                <w:highlight w:val="none"/>
              </w:rPr>
              <w:t>通过患者住院号、姓名、身份证后四位验证登入；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0" w:hRule="exact"/>
        </w:trPr>
        <w:tc>
          <w:tcPr>
            <w:tcW w:w="827" w:type="pct"/>
            <w:vMerge w:val="continue"/>
            <w:tcBorders>
              <w:tl2br w:val="nil"/>
              <w:tr2bl w:val="nil"/>
            </w:tcBorders>
            <w:shd w:val="clear" w:color="auto" w:fill="FFFFFF"/>
            <w:vAlign w:val="center"/>
          </w:tcPr>
          <w:p>
            <w:pPr>
              <w:rPr>
                <w:rFonts w:ascii="宋体" w:hAnsi="宋体" w:cs="宋体"/>
                <w:color w:val="000000"/>
                <w:szCs w:val="21"/>
                <w:highlight w:val="none"/>
              </w:rPr>
            </w:pPr>
          </w:p>
        </w:tc>
        <w:tc>
          <w:tcPr>
            <w:tcW w:w="795" w:type="pct"/>
            <w:tcBorders>
              <w:tl2br w:val="nil"/>
              <w:tr2bl w:val="nil"/>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订餐方式</w:t>
            </w:r>
          </w:p>
        </w:tc>
        <w:tc>
          <w:tcPr>
            <w:tcW w:w="3378" w:type="pct"/>
            <w:tcBorders>
              <w:tl2br w:val="nil"/>
              <w:tr2bl w:val="nil"/>
            </w:tcBorders>
            <w:shd w:val="clear" w:color="auto" w:fill="FFFFFF"/>
            <w:vAlign w:val="center"/>
          </w:tcPr>
          <w:p>
            <w:pPr>
              <w:rPr>
                <w:rFonts w:ascii="宋体" w:hAnsi="宋体" w:cs="宋体"/>
                <w:color w:val="000000"/>
                <w:szCs w:val="21"/>
                <w:highlight w:val="none"/>
              </w:rPr>
            </w:pPr>
            <w:r>
              <w:rPr>
                <w:rFonts w:hint="eastAsia" w:ascii="宋体" w:hAnsi="宋体" w:cs="宋体"/>
                <w:color w:val="000000"/>
                <w:szCs w:val="21"/>
                <w:highlight w:val="none"/>
              </w:rPr>
              <w:t>支付宝扫描床头二维码，餐品包括一周的套餐、明细菜、点心等菜谱，要求实现餐品浏览、选择、数量（份数）、支付、退餐。退餐实现精准管理。可以查询点退餐情况，查询消费金额等；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827" w:type="pct"/>
            <w:vMerge w:val="continue"/>
            <w:tcBorders>
              <w:tl2br w:val="nil"/>
              <w:tr2bl w:val="nil"/>
            </w:tcBorders>
            <w:shd w:val="clear" w:color="auto" w:fill="FFFFFF"/>
            <w:vAlign w:val="center"/>
          </w:tcPr>
          <w:p>
            <w:pPr>
              <w:rPr>
                <w:rFonts w:ascii="宋体" w:hAnsi="宋体" w:cs="宋体"/>
                <w:color w:val="000000"/>
                <w:szCs w:val="21"/>
                <w:highlight w:val="none"/>
              </w:rPr>
            </w:pPr>
          </w:p>
        </w:tc>
        <w:tc>
          <w:tcPr>
            <w:tcW w:w="795" w:type="pct"/>
            <w:tcBorders>
              <w:tl2br w:val="nil"/>
              <w:tr2bl w:val="nil"/>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支付方式</w:t>
            </w:r>
          </w:p>
        </w:tc>
        <w:tc>
          <w:tcPr>
            <w:tcW w:w="3378" w:type="pct"/>
            <w:tcBorders>
              <w:tl2br w:val="nil"/>
              <w:tr2bl w:val="nil"/>
            </w:tcBorders>
            <w:shd w:val="clear" w:color="auto" w:fill="FFFFFF"/>
            <w:vAlign w:val="center"/>
          </w:tcPr>
          <w:p>
            <w:pPr>
              <w:rPr>
                <w:rFonts w:ascii="宋体" w:hAnsi="宋体" w:cs="宋体"/>
                <w:color w:val="000000"/>
                <w:szCs w:val="21"/>
                <w:highlight w:val="none"/>
              </w:rPr>
            </w:pPr>
            <w:r>
              <w:rPr>
                <w:rFonts w:hint="eastAsia" w:ascii="宋体" w:hAnsi="宋体" w:cs="宋体"/>
                <w:color w:val="000000"/>
                <w:szCs w:val="21"/>
                <w:highlight w:val="none"/>
              </w:rPr>
              <w:t>支付宝实时支付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827" w:type="pct"/>
            <w:vMerge w:val="continue"/>
            <w:tcBorders>
              <w:tl2br w:val="nil"/>
              <w:tr2bl w:val="nil"/>
            </w:tcBorders>
            <w:shd w:val="clear" w:color="auto" w:fill="FFFFFF"/>
            <w:vAlign w:val="center"/>
          </w:tcPr>
          <w:p>
            <w:pPr>
              <w:rPr>
                <w:rFonts w:ascii="宋体" w:hAnsi="宋体" w:cs="宋体"/>
                <w:color w:val="000000"/>
                <w:szCs w:val="21"/>
                <w:highlight w:val="none"/>
              </w:rPr>
            </w:pPr>
          </w:p>
        </w:tc>
        <w:tc>
          <w:tcPr>
            <w:tcW w:w="795" w:type="pct"/>
            <w:tcBorders>
              <w:tl2br w:val="nil"/>
              <w:tr2bl w:val="nil"/>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查询统计</w:t>
            </w:r>
          </w:p>
        </w:tc>
        <w:tc>
          <w:tcPr>
            <w:tcW w:w="3378" w:type="pct"/>
            <w:tcBorders>
              <w:tl2br w:val="nil"/>
              <w:tr2bl w:val="nil"/>
            </w:tcBorders>
            <w:shd w:val="clear" w:color="auto" w:fill="FFFFFF"/>
            <w:vAlign w:val="center"/>
          </w:tcPr>
          <w:p>
            <w:pPr>
              <w:rPr>
                <w:rFonts w:ascii="宋体" w:hAnsi="宋体" w:cs="宋体"/>
                <w:color w:val="000000"/>
                <w:szCs w:val="21"/>
                <w:highlight w:val="none"/>
              </w:rPr>
            </w:pPr>
            <w:r>
              <w:rPr>
                <w:rFonts w:hint="eastAsia" w:ascii="宋体" w:hAnsi="宋体" w:cs="宋体"/>
                <w:color w:val="000000"/>
                <w:szCs w:val="21"/>
                <w:highlight w:val="none"/>
              </w:rPr>
              <w:t>对人员消费明细等查询统计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827" w:type="pct"/>
            <w:vMerge w:val="continue"/>
            <w:tcBorders>
              <w:tl2br w:val="nil"/>
              <w:tr2bl w:val="nil"/>
            </w:tcBorders>
            <w:shd w:val="clear" w:color="auto" w:fill="FFFFFF"/>
            <w:vAlign w:val="center"/>
          </w:tcPr>
          <w:p>
            <w:pPr>
              <w:rPr>
                <w:rFonts w:ascii="宋体" w:hAnsi="宋体" w:cs="宋体"/>
                <w:color w:val="000000"/>
                <w:szCs w:val="21"/>
                <w:highlight w:val="none"/>
              </w:rPr>
            </w:pPr>
          </w:p>
        </w:tc>
        <w:tc>
          <w:tcPr>
            <w:tcW w:w="795" w:type="pct"/>
            <w:tcBorders>
              <w:tl2br w:val="nil"/>
              <w:tr2bl w:val="nil"/>
            </w:tcBorders>
            <w:shd w:val="clear" w:color="auto" w:fill="FFFFFF"/>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订餐人群</w:t>
            </w:r>
          </w:p>
        </w:tc>
        <w:tc>
          <w:tcPr>
            <w:tcW w:w="3378" w:type="pct"/>
            <w:tcBorders>
              <w:tl2br w:val="nil"/>
              <w:tr2bl w:val="nil"/>
            </w:tcBorders>
            <w:shd w:val="clear" w:color="auto" w:fill="FFFFFF"/>
            <w:vAlign w:val="center"/>
          </w:tcPr>
          <w:p>
            <w:pPr>
              <w:rPr>
                <w:rFonts w:ascii="宋体" w:hAnsi="宋体" w:cs="宋体"/>
                <w:color w:val="000000"/>
                <w:szCs w:val="21"/>
                <w:highlight w:val="none"/>
              </w:rPr>
            </w:pPr>
            <w:r>
              <w:rPr>
                <w:rFonts w:ascii="宋体" w:hAnsi="宋体" w:cs="宋体"/>
                <w:color w:val="000000"/>
                <w:szCs w:val="21"/>
                <w:highlight w:val="none"/>
              </w:rPr>
              <w:t>用于</w:t>
            </w:r>
            <w:r>
              <w:rPr>
                <w:rFonts w:hint="eastAsia" w:ascii="宋体" w:hAnsi="宋体" w:cs="宋体"/>
                <w:color w:val="000000"/>
                <w:szCs w:val="21"/>
                <w:highlight w:val="none"/>
              </w:rPr>
              <w:t>患者及陪护</w:t>
            </w:r>
            <w:r>
              <w:rPr>
                <w:rFonts w:ascii="宋体" w:hAnsi="宋体" w:cs="宋体"/>
                <w:color w:val="000000"/>
                <w:szCs w:val="21"/>
                <w:highlight w:val="none"/>
              </w:rPr>
              <w:t>预定餐</w:t>
            </w:r>
          </w:p>
        </w:tc>
      </w:tr>
      <w:bookmarkEnd w:id="29"/>
    </w:tbl>
    <w:p>
      <w:pPr>
        <w:rPr>
          <w:highlight w:val="none"/>
        </w:rPr>
      </w:pPr>
    </w:p>
    <w:p>
      <w:pPr>
        <w:pStyle w:val="6"/>
        <w:ind w:firstLine="281"/>
        <w:rPr>
          <w:highlight w:val="none"/>
        </w:rPr>
      </w:pPr>
      <w:r>
        <w:rPr>
          <w:rFonts w:hint="eastAsia"/>
          <w:highlight w:val="none"/>
        </w:rPr>
        <w:t>后勤物资管理系统升级</w:t>
      </w:r>
    </w:p>
    <w:p>
      <w:pPr>
        <w:pStyle w:val="721"/>
        <w:ind w:firstLine="480"/>
        <w:rPr>
          <w:szCs w:val="24"/>
          <w:highlight w:val="none"/>
        </w:rPr>
      </w:pPr>
      <w:r>
        <w:rPr>
          <w:rFonts w:hint="eastAsia"/>
          <w:szCs w:val="24"/>
          <w:highlight w:val="none"/>
        </w:rPr>
        <w:t>建设范围：嘉善县第一人民医院、北部分院</w:t>
      </w:r>
    </w:p>
    <w:p>
      <w:pPr>
        <w:pStyle w:val="721"/>
        <w:ind w:firstLine="480"/>
        <w:rPr>
          <w:b/>
          <w:szCs w:val="24"/>
          <w:highlight w:val="none"/>
        </w:rPr>
      </w:pPr>
      <w:r>
        <w:rPr>
          <w:rFonts w:hint="eastAsia"/>
          <w:b/>
          <w:szCs w:val="24"/>
          <w:highlight w:val="none"/>
        </w:rPr>
        <w:t>基础数据管理</w:t>
      </w:r>
    </w:p>
    <w:p>
      <w:pPr>
        <w:pStyle w:val="721"/>
        <w:numPr>
          <w:ilvl w:val="0"/>
          <w:numId w:val="103"/>
        </w:numPr>
        <w:ind w:firstLineChars="0"/>
        <w:rPr>
          <w:szCs w:val="24"/>
          <w:highlight w:val="none"/>
        </w:rPr>
      </w:pPr>
      <w:r>
        <w:rPr>
          <w:rFonts w:hint="eastAsia"/>
          <w:szCs w:val="24"/>
          <w:highlight w:val="none"/>
        </w:rPr>
        <w:t>物资分类：物资分类字典标准目录；</w:t>
      </w:r>
    </w:p>
    <w:p>
      <w:pPr>
        <w:pStyle w:val="721"/>
        <w:numPr>
          <w:ilvl w:val="0"/>
          <w:numId w:val="103"/>
        </w:numPr>
        <w:ind w:firstLineChars="0"/>
        <w:rPr>
          <w:szCs w:val="24"/>
          <w:highlight w:val="none"/>
        </w:rPr>
      </w:pPr>
      <w:r>
        <w:rPr>
          <w:szCs w:val="24"/>
          <w:highlight w:val="none"/>
        </w:rPr>
        <w:tab/>
      </w:r>
      <w:r>
        <w:rPr>
          <w:rFonts w:hint="eastAsia"/>
          <w:szCs w:val="24"/>
          <w:highlight w:val="none"/>
        </w:rPr>
        <w:t>物资字典：维护物资名称、规格型号、单位、单价、供应商、产地、生产厂家等。也可导入物资实物图片；</w:t>
      </w:r>
    </w:p>
    <w:p>
      <w:pPr>
        <w:pStyle w:val="721"/>
        <w:numPr>
          <w:ilvl w:val="0"/>
          <w:numId w:val="103"/>
        </w:numPr>
        <w:ind w:firstLineChars="0"/>
        <w:rPr>
          <w:szCs w:val="24"/>
          <w:highlight w:val="none"/>
        </w:rPr>
      </w:pPr>
      <w:r>
        <w:rPr>
          <w:szCs w:val="24"/>
          <w:highlight w:val="none"/>
        </w:rPr>
        <w:tab/>
      </w:r>
      <w:r>
        <w:rPr>
          <w:rFonts w:hint="eastAsia"/>
          <w:szCs w:val="24"/>
          <w:highlight w:val="none"/>
        </w:rPr>
        <w:t>供货单位、调拨单位、计量单位、生产厂商、销售单位、报损原因字典维护；</w:t>
      </w:r>
    </w:p>
    <w:p>
      <w:pPr>
        <w:pStyle w:val="721"/>
        <w:numPr>
          <w:ilvl w:val="0"/>
          <w:numId w:val="103"/>
        </w:numPr>
        <w:ind w:firstLineChars="0"/>
        <w:rPr>
          <w:szCs w:val="24"/>
          <w:highlight w:val="none"/>
        </w:rPr>
      </w:pPr>
      <w:r>
        <w:rPr>
          <w:rFonts w:hint="eastAsia"/>
          <w:szCs w:val="24"/>
          <w:highlight w:val="none"/>
        </w:rPr>
        <w:t>对会计期间进行维护。设置会计期间的开始、结束日期，只有当前日期在会计期间时，才能记账；</w:t>
      </w:r>
    </w:p>
    <w:p>
      <w:pPr>
        <w:pStyle w:val="721"/>
        <w:numPr>
          <w:ilvl w:val="0"/>
          <w:numId w:val="103"/>
        </w:numPr>
        <w:ind w:firstLineChars="0"/>
        <w:rPr>
          <w:szCs w:val="24"/>
          <w:highlight w:val="none"/>
        </w:rPr>
      </w:pPr>
      <w:r>
        <w:rPr>
          <w:rFonts w:hint="eastAsia"/>
          <w:szCs w:val="24"/>
          <w:highlight w:val="none"/>
        </w:rPr>
        <w:t>对各账簿类型的核算类别</w:t>
      </w:r>
      <w:r>
        <w:rPr>
          <w:szCs w:val="24"/>
          <w:highlight w:val="none"/>
        </w:rPr>
        <w:t>(</w:t>
      </w:r>
      <w:r>
        <w:rPr>
          <w:rFonts w:hint="eastAsia"/>
          <w:szCs w:val="24"/>
          <w:highlight w:val="none"/>
        </w:rPr>
        <w:t>即会计上的核算科目</w:t>
      </w:r>
      <w:r>
        <w:rPr>
          <w:szCs w:val="24"/>
          <w:highlight w:val="none"/>
        </w:rPr>
        <w:t>)</w:t>
      </w:r>
      <w:r>
        <w:rPr>
          <w:rFonts w:hint="eastAsia"/>
          <w:szCs w:val="24"/>
          <w:highlight w:val="none"/>
        </w:rPr>
        <w:t>进行维护；</w:t>
      </w:r>
    </w:p>
    <w:p>
      <w:pPr>
        <w:pStyle w:val="721"/>
        <w:numPr>
          <w:ilvl w:val="0"/>
          <w:numId w:val="103"/>
        </w:numPr>
        <w:ind w:firstLineChars="0"/>
        <w:rPr>
          <w:szCs w:val="24"/>
          <w:highlight w:val="none"/>
        </w:rPr>
      </w:pPr>
      <w:r>
        <w:rPr>
          <w:rFonts w:hint="eastAsia"/>
          <w:szCs w:val="24"/>
          <w:highlight w:val="none"/>
        </w:rPr>
        <w:t>通过该模块可以自定义相应的报表、修改报表名称、统计项目名称、统计项目的显示顺序以及各项目所统计的内容。</w:t>
      </w:r>
    </w:p>
    <w:p>
      <w:pPr>
        <w:pStyle w:val="721"/>
        <w:ind w:firstLine="480"/>
        <w:rPr>
          <w:b/>
          <w:szCs w:val="24"/>
          <w:highlight w:val="none"/>
        </w:rPr>
      </w:pPr>
      <w:r>
        <w:rPr>
          <w:rFonts w:hint="eastAsia"/>
          <w:b/>
          <w:szCs w:val="24"/>
          <w:highlight w:val="none"/>
        </w:rPr>
        <w:t>日常业务管理</w:t>
      </w:r>
    </w:p>
    <w:p>
      <w:pPr>
        <w:pStyle w:val="721"/>
        <w:numPr>
          <w:ilvl w:val="0"/>
          <w:numId w:val="104"/>
        </w:numPr>
        <w:ind w:firstLineChars="0"/>
        <w:rPr>
          <w:szCs w:val="24"/>
          <w:highlight w:val="none"/>
        </w:rPr>
      </w:pPr>
      <w:r>
        <w:rPr>
          <w:szCs w:val="24"/>
          <w:highlight w:val="none"/>
        </w:rPr>
        <w:tab/>
      </w:r>
      <w:r>
        <w:rPr>
          <w:rFonts w:hint="eastAsia"/>
          <w:szCs w:val="24"/>
          <w:highlight w:val="none"/>
        </w:rPr>
        <w:t>入库业务：采购入库、自制入库、赠送入库、调拨入库、增值入库、补差额入库、盘盈入库、其他入库、加工入库；</w:t>
      </w:r>
    </w:p>
    <w:p>
      <w:pPr>
        <w:pStyle w:val="721"/>
        <w:numPr>
          <w:ilvl w:val="0"/>
          <w:numId w:val="104"/>
        </w:numPr>
        <w:ind w:firstLineChars="0"/>
        <w:rPr>
          <w:szCs w:val="24"/>
          <w:highlight w:val="none"/>
        </w:rPr>
      </w:pPr>
      <w:r>
        <w:rPr>
          <w:rFonts w:hint="eastAsia"/>
          <w:szCs w:val="24"/>
          <w:highlight w:val="none"/>
        </w:rPr>
        <w:t>出库业务：科室领用、调拨出库、调拨领用、捐赠出库、销售出库（转让）、盘亏出库、其他出库、加工出库等出库方式；</w:t>
      </w:r>
    </w:p>
    <w:p>
      <w:pPr>
        <w:pStyle w:val="721"/>
        <w:numPr>
          <w:ilvl w:val="0"/>
          <w:numId w:val="104"/>
        </w:numPr>
        <w:ind w:firstLineChars="0"/>
        <w:rPr>
          <w:szCs w:val="24"/>
          <w:highlight w:val="none"/>
        </w:rPr>
      </w:pPr>
      <w:r>
        <w:rPr>
          <w:szCs w:val="24"/>
          <w:highlight w:val="none"/>
        </w:rPr>
        <w:tab/>
      </w:r>
      <w:r>
        <w:rPr>
          <w:rFonts w:hint="eastAsia"/>
          <w:szCs w:val="24"/>
          <w:highlight w:val="none"/>
        </w:rPr>
        <w:t>转科业务：转科业务是发生在医院两个科室之间的业务；某科室将闲置不用的在用物资转让给别的科室使用，转变成别的科室的在用物资；</w:t>
      </w:r>
    </w:p>
    <w:p>
      <w:pPr>
        <w:pStyle w:val="721"/>
        <w:numPr>
          <w:ilvl w:val="0"/>
          <w:numId w:val="104"/>
        </w:numPr>
        <w:ind w:firstLineChars="0"/>
        <w:rPr>
          <w:szCs w:val="24"/>
          <w:highlight w:val="none"/>
        </w:rPr>
      </w:pPr>
      <w:r>
        <w:rPr>
          <w:rFonts w:hint="eastAsia"/>
          <w:szCs w:val="24"/>
          <w:highlight w:val="none"/>
        </w:rPr>
        <w:t>报损业务：报损业务发生在医院库房或医院科室内部，医院库房或医院科室的报损物资不再使用。报损的原因一般在于资产久用破损，不能正常使用；</w:t>
      </w:r>
    </w:p>
    <w:p>
      <w:pPr>
        <w:pStyle w:val="721"/>
        <w:numPr>
          <w:ilvl w:val="0"/>
          <w:numId w:val="104"/>
        </w:numPr>
        <w:ind w:firstLineChars="0"/>
        <w:rPr>
          <w:szCs w:val="24"/>
          <w:highlight w:val="none"/>
        </w:rPr>
      </w:pPr>
      <w:r>
        <w:rPr>
          <w:rFonts w:hint="eastAsia"/>
          <w:szCs w:val="24"/>
          <w:highlight w:val="none"/>
        </w:rPr>
        <w:t>库房盘存：是医院库房对库房账页库存的校对和改正工作。以使得库房的账页库存和实际库存保持一致，保证基本业务的正常运行。库房盘存时由系统直接产生盈亏数量和盘亏金额，库房盘存自动产生盘盈表、盘亏表，记账后影响库存数据；</w:t>
      </w:r>
    </w:p>
    <w:p>
      <w:pPr>
        <w:pStyle w:val="721"/>
        <w:numPr>
          <w:ilvl w:val="0"/>
          <w:numId w:val="104"/>
        </w:numPr>
        <w:ind w:firstLineChars="0"/>
        <w:rPr>
          <w:szCs w:val="24"/>
          <w:highlight w:val="none"/>
        </w:rPr>
      </w:pPr>
      <w:r>
        <w:rPr>
          <w:rFonts w:hint="eastAsia"/>
          <w:szCs w:val="24"/>
          <w:highlight w:val="none"/>
        </w:rPr>
        <w:t>单据冲红：可以对入出库单据冲红，调整已记账的单据数据。也可以对某张单据的某一物资进行冲红，修正错误的单据；</w:t>
      </w:r>
    </w:p>
    <w:p>
      <w:pPr>
        <w:pStyle w:val="721"/>
        <w:numPr>
          <w:ilvl w:val="0"/>
          <w:numId w:val="104"/>
        </w:numPr>
        <w:ind w:firstLineChars="0"/>
        <w:rPr>
          <w:szCs w:val="24"/>
          <w:highlight w:val="none"/>
        </w:rPr>
      </w:pPr>
      <w:r>
        <w:rPr>
          <w:rFonts w:hint="eastAsia"/>
          <w:szCs w:val="24"/>
          <w:highlight w:val="none"/>
        </w:rPr>
        <w:t>质量验收：库管员对每批入库的物资进行外观质量、物资数量、效期、发票号码等信息的入院前的质量安全验收；</w:t>
      </w:r>
    </w:p>
    <w:p>
      <w:pPr>
        <w:pStyle w:val="721"/>
        <w:numPr>
          <w:ilvl w:val="0"/>
          <w:numId w:val="104"/>
        </w:numPr>
        <w:ind w:firstLineChars="0"/>
        <w:rPr>
          <w:szCs w:val="24"/>
          <w:highlight w:val="none"/>
        </w:rPr>
      </w:pPr>
      <w:r>
        <w:rPr>
          <w:rFonts w:hint="eastAsia"/>
          <w:szCs w:val="24"/>
          <w:highlight w:val="none"/>
        </w:rPr>
        <w:t>期末处理：完成月末结转、账务核对、报表打印等环节。</w:t>
      </w:r>
    </w:p>
    <w:p>
      <w:pPr>
        <w:pStyle w:val="721"/>
        <w:ind w:firstLine="480"/>
        <w:rPr>
          <w:b/>
          <w:szCs w:val="24"/>
          <w:highlight w:val="none"/>
        </w:rPr>
      </w:pPr>
      <w:r>
        <w:rPr>
          <w:rFonts w:hint="eastAsia"/>
          <w:b/>
          <w:szCs w:val="24"/>
          <w:highlight w:val="none"/>
        </w:rPr>
        <w:t>数据报表统计与分析</w:t>
      </w:r>
    </w:p>
    <w:p>
      <w:pPr>
        <w:pStyle w:val="721"/>
        <w:ind w:firstLine="480"/>
        <w:rPr>
          <w:szCs w:val="24"/>
          <w:highlight w:val="none"/>
        </w:rPr>
      </w:pPr>
      <w:r>
        <w:rPr>
          <w:rFonts w:hint="eastAsia"/>
          <w:szCs w:val="24"/>
          <w:highlight w:val="none"/>
        </w:rPr>
        <w:t>提供详细的查询统计功能。可以按自定义条件对业务单据查询、业务明细报表、库存批次查询、科室在用帐、库房收支月报表、业务汇总报表等进行查询分析统计。</w:t>
      </w:r>
    </w:p>
    <w:p>
      <w:pPr>
        <w:pStyle w:val="721"/>
        <w:ind w:firstLine="480"/>
        <w:rPr>
          <w:b/>
          <w:szCs w:val="24"/>
          <w:highlight w:val="none"/>
        </w:rPr>
      </w:pPr>
      <w:r>
        <w:rPr>
          <w:rFonts w:hint="eastAsia"/>
          <w:b/>
          <w:szCs w:val="24"/>
          <w:highlight w:val="none"/>
        </w:rPr>
        <w:tab/>
      </w:r>
      <w:r>
        <w:rPr>
          <w:rFonts w:hint="eastAsia"/>
          <w:b/>
          <w:szCs w:val="24"/>
          <w:highlight w:val="none"/>
        </w:rPr>
        <w:t>院内物资网上申领系统</w:t>
      </w:r>
    </w:p>
    <w:p>
      <w:pPr>
        <w:pStyle w:val="721"/>
        <w:numPr>
          <w:ilvl w:val="0"/>
          <w:numId w:val="105"/>
        </w:numPr>
        <w:ind w:firstLineChars="0"/>
        <w:rPr>
          <w:szCs w:val="24"/>
          <w:highlight w:val="none"/>
        </w:rPr>
      </w:pPr>
      <w:r>
        <w:rPr>
          <w:rFonts w:hint="eastAsia"/>
          <w:szCs w:val="24"/>
          <w:highlight w:val="none"/>
        </w:rPr>
        <w:t>物资中心：物资的基础信息从院内物资中心库房系统直接获取物资分类、产品字典、产品说明、规格、包装、价格等信息；</w:t>
      </w:r>
    </w:p>
    <w:p>
      <w:pPr>
        <w:pStyle w:val="721"/>
        <w:numPr>
          <w:ilvl w:val="0"/>
          <w:numId w:val="105"/>
        </w:numPr>
        <w:ind w:firstLineChars="0"/>
        <w:rPr>
          <w:szCs w:val="24"/>
          <w:highlight w:val="none"/>
        </w:rPr>
      </w:pPr>
      <w:r>
        <w:rPr>
          <w:szCs w:val="24"/>
          <w:highlight w:val="none"/>
        </w:rPr>
        <w:tab/>
      </w:r>
      <w:r>
        <w:rPr>
          <w:rFonts w:hint="eastAsia"/>
          <w:szCs w:val="24"/>
          <w:highlight w:val="none"/>
        </w:rPr>
        <w:t>申领下单：各个院区和科室的职工登录网上物资申领平台，可以根据实际需求按输入码、名称等信息对允许请领物资进行下单；也可以通过图形化方式，直观地挑选科室需要的申领物品；</w:t>
      </w:r>
    </w:p>
    <w:p>
      <w:pPr>
        <w:pStyle w:val="721"/>
        <w:numPr>
          <w:ilvl w:val="0"/>
          <w:numId w:val="105"/>
        </w:numPr>
        <w:ind w:firstLineChars="0"/>
        <w:rPr>
          <w:szCs w:val="24"/>
          <w:highlight w:val="none"/>
        </w:rPr>
      </w:pPr>
      <w:r>
        <w:rPr>
          <w:szCs w:val="24"/>
          <w:highlight w:val="none"/>
        </w:rPr>
        <w:tab/>
      </w:r>
      <w:r>
        <w:rPr>
          <w:rFonts w:hint="eastAsia"/>
          <w:szCs w:val="24"/>
          <w:highlight w:val="none"/>
        </w:rPr>
        <w:t>套餐管理：支持通过套餐进行批量下单。对经常使用的物资可以添加进我的常用物资，方便物资的领用，并可以方便地完成套餐增加与修改；</w:t>
      </w:r>
    </w:p>
    <w:p>
      <w:pPr>
        <w:pStyle w:val="721"/>
        <w:numPr>
          <w:ilvl w:val="0"/>
          <w:numId w:val="105"/>
        </w:numPr>
        <w:ind w:firstLineChars="0"/>
        <w:rPr>
          <w:szCs w:val="24"/>
          <w:highlight w:val="none"/>
        </w:rPr>
      </w:pPr>
      <w:r>
        <w:rPr>
          <w:rFonts w:hint="eastAsia"/>
          <w:szCs w:val="24"/>
          <w:highlight w:val="none"/>
        </w:rPr>
        <w:t>提供简化临床使用的业务流程，实现请领请购业务的一体化处理，科室无需区分请领或请购，系统会自动根据库存管理模式和实际库存情况转为配送或采购订单；</w:t>
      </w:r>
    </w:p>
    <w:p>
      <w:pPr>
        <w:pStyle w:val="721"/>
        <w:numPr>
          <w:ilvl w:val="0"/>
          <w:numId w:val="105"/>
        </w:numPr>
        <w:ind w:firstLineChars="0"/>
        <w:rPr>
          <w:szCs w:val="24"/>
          <w:highlight w:val="none"/>
        </w:rPr>
      </w:pPr>
      <w:r>
        <w:rPr>
          <w:rFonts w:hint="eastAsia"/>
          <w:szCs w:val="24"/>
          <w:highlight w:val="none"/>
        </w:rPr>
        <w:t>我的订单：为使用部门开放数据查询统计功能，包括订单及处理状态查询、科室领用汇总报表、科室领用明细等；</w:t>
      </w:r>
    </w:p>
    <w:p>
      <w:pPr>
        <w:pStyle w:val="721"/>
        <w:numPr>
          <w:ilvl w:val="0"/>
          <w:numId w:val="105"/>
        </w:numPr>
        <w:ind w:firstLineChars="0"/>
        <w:rPr>
          <w:szCs w:val="24"/>
          <w:highlight w:val="none"/>
        </w:rPr>
      </w:pPr>
      <w:r>
        <w:rPr>
          <w:rFonts w:hint="eastAsia"/>
          <w:szCs w:val="24"/>
          <w:highlight w:val="none"/>
        </w:rPr>
        <w:t>收货地址：可对医院、科室的收货地址进行维护；</w:t>
      </w:r>
    </w:p>
    <w:p>
      <w:pPr>
        <w:pStyle w:val="721"/>
        <w:numPr>
          <w:ilvl w:val="0"/>
          <w:numId w:val="105"/>
        </w:numPr>
        <w:ind w:firstLineChars="0"/>
        <w:rPr>
          <w:szCs w:val="24"/>
          <w:highlight w:val="none"/>
        </w:rPr>
      </w:pPr>
      <w:r>
        <w:rPr>
          <w:rFonts w:hint="eastAsia"/>
          <w:szCs w:val="24"/>
          <w:highlight w:val="none"/>
        </w:rPr>
        <w:t>统计报表：提供申领批次数、申领数量、申领人员统计功能。</w:t>
      </w:r>
    </w:p>
    <w:p>
      <w:pPr>
        <w:pStyle w:val="721"/>
        <w:ind w:firstLine="480"/>
        <w:rPr>
          <w:b/>
          <w:szCs w:val="24"/>
          <w:highlight w:val="none"/>
        </w:rPr>
      </w:pPr>
      <w:r>
        <w:rPr>
          <w:rFonts w:hint="eastAsia"/>
          <w:b/>
          <w:szCs w:val="24"/>
          <w:highlight w:val="none"/>
        </w:rPr>
        <w:t>科室病区二级库房管理系统（手术室）</w:t>
      </w:r>
    </w:p>
    <w:p>
      <w:pPr>
        <w:pStyle w:val="721"/>
        <w:numPr>
          <w:ilvl w:val="0"/>
          <w:numId w:val="106"/>
        </w:numPr>
        <w:ind w:firstLineChars="0"/>
        <w:rPr>
          <w:szCs w:val="24"/>
          <w:highlight w:val="none"/>
        </w:rPr>
      </w:pPr>
      <w:r>
        <w:rPr>
          <w:rFonts w:hint="eastAsia"/>
          <w:szCs w:val="24"/>
          <w:highlight w:val="none"/>
        </w:rPr>
        <w:t>所有二级库房统一使用中心库房的基础数据字典（包含物资名称字典、产地字典、供货商生产厂家字典、品牌字典、科室、人员字典等等），并可根据不同二级库房的实际需要设置其物资管理的具体范围；</w:t>
      </w:r>
    </w:p>
    <w:p>
      <w:pPr>
        <w:pStyle w:val="721"/>
        <w:numPr>
          <w:ilvl w:val="0"/>
          <w:numId w:val="106"/>
        </w:numPr>
        <w:ind w:firstLineChars="0"/>
        <w:rPr>
          <w:szCs w:val="24"/>
          <w:highlight w:val="none"/>
        </w:rPr>
      </w:pPr>
      <w:r>
        <w:rPr>
          <w:szCs w:val="24"/>
          <w:highlight w:val="none"/>
        </w:rPr>
        <w:tab/>
      </w:r>
      <w:r>
        <w:rPr>
          <w:rFonts w:hint="eastAsia"/>
          <w:szCs w:val="24"/>
          <w:highlight w:val="none"/>
        </w:rPr>
        <w:t>科室二级库房与中心库房管理系统之间实现业务联动、无缝集成，科室向中心库房申领出库后自动生成二级库房的入库单，科室在接收确认后自动完成入库处理，同时自动完成中心库房的出库确认。中心库房系统中可以实时查看二级库房的物资库存和消耗情况，方便医院实时掌握全院的物资信息，中心库房出库送货时，有打印清单，以便临床科室收货验货；</w:t>
      </w:r>
    </w:p>
    <w:p>
      <w:pPr>
        <w:pStyle w:val="721"/>
        <w:numPr>
          <w:ilvl w:val="0"/>
          <w:numId w:val="106"/>
        </w:numPr>
        <w:ind w:firstLineChars="0"/>
        <w:rPr>
          <w:szCs w:val="24"/>
          <w:highlight w:val="none"/>
        </w:rPr>
      </w:pPr>
      <w:r>
        <w:rPr>
          <w:szCs w:val="24"/>
          <w:highlight w:val="none"/>
        </w:rPr>
        <w:tab/>
      </w:r>
      <w:r>
        <w:rPr>
          <w:rFonts w:hint="eastAsia"/>
          <w:szCs w:val="24"/>
          <w:highlight w:val="none"/>
        </w:rPr>
        <w:t>科室二级库房同样有物资入库处理、入库接收、备货接收、出库处理、消耗登记、领用出库、库存盘存、冲红等业务功能；</w:t>
      </w:r>
    </w:p>
    <w:p>
      <w:pPr>
        <w:pStyle w:val="721"/>
        <w:numPr>
          <w:ilvl w:val="0"/>
          <w:numId w:val="106"/>
        </w:numPr>
        <w:ind w:firstLineChars="0"/>
        <w:rPr>
          <w:szCs w:val="24"/>
          <w:highlight w:val="none"/>
        </w:rPr>
      </w:pPr>
      <w:r>
        <w:rPr>
          <w:rFonts w:hint="eastAsia"/>
          <w:szCs w:val="24"/>
          <w:highlight w:val="none"/>
        </w:rPr>
        <w:t>各类耗材申领有出处汇总、可查；临床科室耗材使用有汇总，并可细化到使用人员及人员使用金额、使用耗材统计；</w:t>
      </w:r>
    </w:p>
    <w:p>
      <w:pPr>
        <w:pStyle w:val="721"/>
        <w:numPr>
          <w:ilvl w:val="0"/>
          <w:numId w:val="106"/>
        </w:numPr>
        <w:ind w:firstLineChars="0"/>
        <w:rPr>
          <w:szCs w:val="24"/>
          <w:highlight w:val="none"/>
        </w:rPr>
      </w:pPr>
      <w:r>
        <w:rPr>
          <w:rFonts w:hint="eastAsia"/>
          <w:szCs w:val="24"/>
          <w:highlight w:val="none"/>
        </w:rPr>
        <w:t>根据二级库房业务情况产生二级库房收支月报、以及医院成本核算所需的各类统计报表。</w:t>
      </w:r>
    </w:p>
    <w:p>
      <w:pPr>
        <w:pStyle w:val="6"/>
        <w:ind w:firstLine="281"/>
        <w:rPr>
          <w:highlight w:val="none"/>
        </w:rPr>
      </w:pPr>
      <w:r>
        <w:rPr>
          <w:rFonts w:hint="eastAsia"/>
          <w:highlight w:val="none"/>
        </w:rPr>
        <w:t>前置审方管理系统</w:t>
      </w:r>
    </w:p>
    <w:p>
      <w:pPr>
        <w:pStyle w:val="721"/>
        <w:ind w:firstLine="480"/>
        <w:rPr>
          <w:szCs w:val="24"/>
          <w:highlight w:val="none"/>
        </w:rPr>
      </w:pPr>
      <w:r>
        <w:rPr>
          <w:rFonts w:hint="eastAsia"/>
          <w:szCs w:val="24"/>
          <w:highlight w:val="none"/>
        </w:rPr>
        <w:t>系统设计科学、合理，系统使用方便。</w:t>
      </w:r>
    </w:p>
    <w:p>
      <w:pPr>
        <w:pStyle w:val="721"/>
        <w:ind w:firstLine="480"/>
        <w:rPr>
          <w:szCs w:val="24"/>
          <w:highlight w:val="none"/>
        </w:rPr>
      </w:pPr>
      <w:r>
        <w:rPr>
          <w:rFonts w:hint="eastAsia"/>
          <w:szCs w:val="24"/>
          <w:highlight w:val="none"/>
        </w:rPr>
        <w:t>应提供覆盖全面的知识库。</w:t>
      </w:r>
    </w:p>
    <w:p>
      <w:pPr>
        <w:pStyle w:val="721"/>
        <w:ind w:firstLine="480"/>
        <w:rPr>
          <w:szCs w:val="24"/>
          <w:highlight w:val="none"/>
        </w:rPr>
      </w:pPr>
      <w:r>
        <w:rPr>
          <w:rFonts w:hint="eastAsia"/>
          <w:szCs w:val="24"/>
          <w:highlight w:val="none"/>
        </w:rPr>
        <w:t>西药/中成药：参照NMPA，排除原料药及其它，覆盖药品品种不少于160000个；</w:t>
      </w:r>
    </w:p>
    <w:p>
      <w:pPr>
        <w:pStyle w:val="721"/>
        <w:ind w:firstLine="480"/>
        <w:rPr>
          <w:szCs w:val="24"/>
          <w:highlight w:val="none"/>
        </w:rPr>
      </w:pPr>
      <w:r>
        <w:rPr>
          <w:rFonts w:hint="eastAsia"/>
          <w:szCs w:val="24"/>
          <w:highlight w:val="none"/>
        </w:rPr>
        <w:t>中药饮片：参照中国药典/临床用药须知及各省份炮制规范，饮片品种不少于6000个。</w:t>
      </w:r>
    </w:p>
    <w:p>
      <w:pPr>
        <w:pStyle w:val="721"/>
        <w:ind w:firstLine="480"/>
        <w:rPr>
          <w:szCs w:val="24"/>
          <w:highlight w:val="none"/>
        </w:rPr>
      </w:pPr>
      <w:r>
        <w:rPr>
          <w:rFonts w:hint="eastAsia"/>
          <w:szCs w:val="24"/>
          <w:highlight w:val="none"/>
        </w:rPr>
        <w:t>完全开放全部知识库（说明书、规则和文献，且不限于现有的药品），用户依据权限可以完全自主查看、新增、修改、删除和审核</w:t>
      </w:r>
    </w:p>
    <w:p>
      <w:pPr>
        <w:pStyle w:val="721"/>
        <w:ind w:firstLine="480"/>
        <w:rPr>
          <w:szCs w:val="24"/>
          <w:highlight w:val="none"/>
        </w:rPr>
      </w:pPr>
      <w:r>
        <w:rPr>
          <w:rFonts w:hint="eastAsia"/>
          <w:szCs w:val="24"/>
          <w:highlight w:val="none"/>
        </w:rPr>
        <w:t>系统和医院信息系统的对接，可通过多种接口方式进行，以达到实时干预、实时审方、实时分析的效果。</w:t>
      </w:r>
    </w:p>
    <w:p>
      <w:pPr>
        <w:pStyle w:val="721"/>
        <w:ind w:firstLine="480"/>
        <w:rPr>
          <w:szCs w:val="24"/>
          <w:highlight w:val="none"/>
        </w:rPr>
      </w:pPr>
      <w:r>
        <w:rPr>
          <w:rFonts w:hint="eastAsia"/>
          <w:szCs w:val="24"/>
          <w:highlight w:val="none"/>
        </w:rPr>
        <w:t>建设范围：嘉善县第一人民医院、北部分院</w:t>
      </w:r>
    </w:p>
    <w:p>
      <w:pPr>
        <w:pStyle w:val="721"/>
        <w:ind w:firstLine="480"/>
        <w:rPr>
          <w:szCs w:val="24"/>
          <w:highlight w:val="none"/>
        </w:rPr>
      </w:pPr>
    </w:p>
    <w:p>
      <w:pPr>
        <w:tabs>
          <w:tab w:val="left" w:pos="540"/>
        </w:tabs>
        <w:autoSpaceDE w:val="0"/>
        <w:autoSpaceDN w:val="0"/>
        <w:snapToGrid w:val="0"/>
        <w:spacing w:line="360" w:lineRule="auto"/>
        <w:jc w:val="left"/>
        <w:textAlignment w:val="baseline"/>
        <w:rPr>
          <w:rFonts w:ascii="宋体" w:hAnsi="宋体" w:cs="宋体"/>
          <w:b/>
          <w:bCs/>
          <w:color w:val="000000"/>
          <w:szCs w:val="21"/>
          <w:highlight w:val="none"/>
        </w:rPr>
      </w:pPr>
      <w:r>
        <w:rPr>
          <w:rFonts w:hint="eastAsia" w:ascii="宋体" w:hAnsi="宋体" w:cs="宋体"/>
          <w:b/>
          <w:bCs/>
          <w:color w:val="000000"/>
          <w:szCs w:val="21"/>
          <w:highlight w:val="none"/>
        </w:rPr>
        <w:t>1.信息查询功能</w:t>
      </w:r>
    </w:p>
    <w:tbl>
      <w:tblPr>
        <w:tblStyle w:val="64"/>
        <w:tblW w:w="5000" w:type="pct"/>
        <w:tblInd w:w="0" w:type="dxa"/>
        <w:shd w:val="clear" w:color="auto" w:fill="FFFFFF"/>
        <w:tblLayout w:type="autofit"/>
        <w:tblCellMar>
          <w:top w:w="15" w:type="dxa"/>
          <w:left w:w="15" w:type="dxa"/>
          <w:bottom w:w="15" w:type="dxa"/>
          <w:right w:w="15" w:type="dxa"/>
        </w:tblCellMar>
      </w:tblPr>
      <w:tblGrid>
        <w:gridCol w:w="1754"/>
        <w:gridCol w:w="7616"/>
      </w:tblGrid>
      <w:tr>
        <w:tblPrEx>
          <w:shd w:val="clear" w:color="auto" w:fill="FFFFFF"/>
          <w:tblCellMar>
            <w:top w:w="15" w:type="dxa"/>
            <w:left w:w="15" w:type="dxa"/>
            <w:bottom w:w="15" w:type="dxa"/>
            <w:right w:w="15" w:type="dxa"/>
          </w:tblCellMar>
        </w:tblPrEx>
        <w:trPr>
          <w:trHeight w:val="596" w:hRule="atLeast"/>
        </w:trPr>
        <w:tc>
          <w:tcPr>
            <w:tcW w:w="936"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功能</w:t>
            </w:r>
          </w:p>
        </w:tc>
        <w:tc>
          <w:tcPr>
            <w:tcW w:w="406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说明</w:t>
            </w:r>
          </w:p>
        </w:tc>
      </w:tr>
      <w:tr>
        <w:tblPrEx>
          <w:shd w:val="clear" w:color="auto" w:fill="FFFFFF"/>
          <w:tblCellMar>
            <w:top w:w="15" w:type="dxa"/>
            <w:left w:w="15" w:type="dxa"/>
            <w:bottom w:w="15" w:type="dxa"/>
            <w:right w:w="15" w:type="dxa"/>
          </w:tblCellMar>
        </w:tblPrEx>
        <w:trPr>
          <w:trHeight w:val="838" w:hRule="atLeast"/>
        </w:trPr>
        <w:tc>
          <w:tcPr>
            <w:tcW w:w="936"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说明书查看</w:t>
            </w:r>
          </w:p>
        </w:tc>
        <w:tc>
          <w:tcPr>
            <w:tcW w:w="406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07"/>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可查看各厂家已上市药品的完整说明书；</w:t>
            </w:r>
          </w:p>
          <w:p>
            <w:pPr>
              <w:widowControl/>
              <w:numPr>
                <w:ilvl w:val="0"/>
                <w:numId w:val="107"/>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优先展示用户自定义添加的药品说明书。</w:t>
            </w:r>
          </w:p>
        </w:tc>
      </w:tr>
      <w:tr>
        <w:tblPrEx>
          <w:shd w:val="clear" w:color="auto" w:fill="FFFFFF"/>
          <w:tblCellMar>
            <w:top w:w="15" w:type="dxa"/>
            <w:left w:w="15" w:type="dxa"/>
            <w:bottom w:w="15" w:type="dxa"/>
            <w:right w:w="15" w:type="dxa"/>
          </w:tblCellMar>
        </w:tblPrEx>
        <w:trPr>
          <w:trHeight w:val="1023" w:hRule="atLeast"/>
        </w:trPr>
        <w:tc>
          <w:tcPr>
            <w:tcW w:w="936"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药物手册</w:t>
            </w:r>
          </w:p>
        </w:tc>
        <w:tc>
          <w:tcPr>
            <w:tcW w:w="406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08"/>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支持通过提取说明书提纲中内容的方式将说明书生成</w:t>
            </w:r>
            <w:r>
              <w:rPr>
                <w:rFonts w:hint="eastAsia" w:ascii="宋体" w:hAnsi="宋体" w:cs="宋体"/>
                <w:color w:val="000000" w:themeColor="text1"/>
                <w:kern w:val="0"/>
                <w:sz w:val="24"/>
                <w:highlight w:val="none"/>
                <w14:textFill>
                  <w14:solidFill>
                    <w14:schemeClr w14:val="tx1"/>
                  </w14:solidFill>
                </w14:textFill>
              </w:rPr>
              <w:t>药品</w:t>
            </w:r>
            <w:r>
              <w:rPr>
                <w:rFonts w:ascii="宋体" w:hAnsi="宋体" w:cs="宋体"/>
                <w:color w:val="000000" w:themeColor="text1"/>
                <w:kern w:val="0"/>
                <w:sz w:val="24"/>
                <w:highlight w:val="none"/>
                <w14:textFill>
                  <w14:solidFill>
                    <w14:schemeClr w14:val="tx1"/>
                  </w14:solidFill>
                </w14:textFill>
              </w:rPr>
              <w:t>的</w:t>
            </w:r>
            <w:r>
              <w:rPr>
                <w:rFonts w:hint="eastAsia" w:ascii="宋体" w:hAnsi="宋体" w:cs="宋体"/>
                <w:color w:val="000000" w:themeColor="text1"/>
                <w:kern w:val="0"/>
                <w:sz w:val="24"/>
                <w:highlight w:val="none"/>
                <w14:textFill>
                  <w14:solidFill>
                    <w14:schemeClr w14:val="tx1"/>
                  </w14:solidFill>
                </w14:textFill>
              </w:rPr>
              <w:t>药物手册</w:t>
            </w:r>
            <w:r>
              <w:rPr>
                <w:rFonts w:ascii="宋体" w:hAnsi="宋体" w:cs="宋体"/>
                <w:color w:val="000000" w:themeColor="text1"/>
                <w:kern w:val="0"/>
                <w:sz w:val="24"/>
                <w:highlight w:val="none"/>
                <w14:textFill>
                  <w14:solidFill>
                    <w14:schemeClr w14:val="tx1"/>
                  </w14:solidFill>
                </w14:textFill>
              </w:rPr>
              <w:t>；</w:t>
            </w:r>
          </w:p>
          <w:p>
            <w:pPr>
              <w:widowControl/>
              <w:numPr>
                <w:ilvl w:val="0"/>
                <w:numId w:val="108"/>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w:t>
            </w:r>
            <w:r>
              <w:rPr>
                <w:rFonts w:hint="eastAsia" w:ascii="宋体" w:hAnsi="宋体" w:cs="宋体"/>
                <w:color w:val="000000" w:themeColor="text1"/>
                <w:kern w:val="0"/>
                <w:sz w:val="24"/>
                <w:highlight w:val="none"/>
                <w14:textFill>
                  <w14:solidFill>
                    <w14:schemeClr w14:val="tx1"/>
                  </w14:solidFill>
                </w14:textFill>
              </w:rPr>
              <w:t>药物手册</w:t>
            </w:r>
            <w:r>
              <w:rPr>
                <w:rFonts w:ascii="宋体" w:hAnsi="宋体" w:cs="宋体"/>
                <w:color w:val="000000" w:themeColor="text1"/>
                <w:kern w:val="0"/>
                <w:sz w:val="24"/>
                <w:highlight w:val="none"/>
                <w14:textFill>
                  <w14:solidFill>
                    <w14:schemeClr w14:val="tx1"/>
                  </w14:solidFill>
                </w14:textFill>
              </w:rPr>
              <w:t>的查看和批量导出操作。</w:t>
            </w:r>
          </w:p>
        </w:tc>
      </w:tr>
      <w:tr>
        <w:tblPrEx>
          <w:shd w:val="clear" w:color="auto" w:fill="FFFFFF"/>
          <w:tblCellMar>
            <w:top w:w="15" w:type="dxa"/>
            <w:left w:w="15" w:type="dxa"/>
            <w:bottom w:w="15" w:type="dxa"/>
            <w:right w:w="15" w:type="dxa"/>
          </w:tblCellMar>
        </w:tblPrEx>
        <w:tc>
          <w:tcPr>
            <w:tcW w:w="936"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医药学公式</w:t>
            </w:r>
          </w:p>
        </w:tc>
        <w:tc>
          <w:tcPr>
            <w:tcW w:w="406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09"/>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提供“心脏</w:t>
            </w:r>
            <w:r>
              <w:rPr>
                <w:rFonts w:hint="eastAsia" w:ascii="宋体" w:hAnsi="宋体" w:cs="宋体"/>
                <w:color w:val="000000" w:themeColor="text1"/>
                <w:kern w:val="0"/>
                <w:sz w:val="24"/>
                <w:highlight w:val="none"/>
                <w14:textFill>
                  <w14:solidFill>
                    <w14:schemeClr w14:val="tx1"/>
                  </w14:solidFill>
                </w14:textFill>
              </w:rPr>
              <w:t>系统</w:t>
            </w:r>
            <w:r>
              <w:rPr>
                <w:rFonts w:ascii="宋体" w:hAnsi="宋体" w:cs="宋体"/>
                <w:color w:val="000000" w:themeColor="text1"/>
                <w:kern w:val="0"/>
                <w:sz w:val="24"/>
                <w:highlight w:val="none"/>
                <w14:textFill>
                  <w14:solidFill>
                    <w14:schemeClr w14:val="tx1"/>
                  </w14:solidFill>
                </w14:textFill>
              </w:rPr>
              <w:t>、肾脏</w:t>
            </w:r>
            <w:r>
              <w:rPr>
                <w:rFonts w:hint="eastAsia" w:ascii="宋体" w:hAnsi="宋体" w:cs="宋体"/>
                <w:color w:val="000000" w:themeColor="text1"/>
                <w:kern w:val="0"/>
                <w:sz w:val="24"/>
                <w:highlight w:val="none"/>
                <w14:textFill>
                  <w14:solidFill>
                    <w14:schemeClr w14:val="tx1"/>
                  </w14:solidFill>
                </w14:textFill>
              </w:rPr>
              <w:t>系统</w:t>
            </w:r>
            <w:r>
              <w:rPr>
                <w:rFonts w:ascii="宋体" w:hAnsi="宋体" w:cs="宋体"/>
                <w:color w:val="000000" w:themeColor="text1"/>
                <w:kern w:val="0"/>
                <w:sz w:val="24"/>
                <w:highlight w:val="none"/>
                <w14:textFill>
                  <w14:solidFill>
                    <w14:schemeClr w14:val="tx1"/>
                  </w14:solidFill>
                </w14:textFill>
              </w:rPr>
              <w:t>、血液学</w:t>
            </w:r>
            <w:r>
              <w:rPr>
                <w:rFonts w:hint="eastAsia" w:ascii="宋体" w:hAnsi="宋体" w:cs="宋体"/>
                <w:color w:val="000000" w:themeColor="text1"/>
                <w:kern w:val="0"/>
                <w:sz w:val="24"/>
                <w:highlight w:val="none"/>
                <w14:textFill>
                  <w14:solidFill>
                    <w14:schemeClr w14:val="tx1"/>
                  </w14:solidFill>
                </w14:textFill>
              </w:rPr>
              <w:t>系统</w:t>
            </w:r>
            <w:r>
              <w:rPr>
                <w:rFonts w:ascii="宋体" w:hAnsi="宋体" w:cs="宋体"/>
                <w:color w:val="000000" w:themeColor="text1"/>
                <w:kern w:val="0"/>
                <w:sz w:val="24"/>
                <w:highlight w:val="none"/>
                <w14:textFill>
                  <w14:solidFill>
                    <w14:schemeClr w14:val="tx1"/>
                  </w14:solidFill>
                </w14:textFill>
              </w:rPr>
              <w:t>、肺脏</w:t>
            </w:r>
            <w:r>
              <w:rPr>
                <w:rFonts w:hint="eastAsia" w:ascii="宋体" w:hAnsi="宋体" w:cs="宋体"/>
                <w:color w:val="000000" w:themeColor="text1"/>
                <w:kern w:val="0"/>
                <w:sz w:val="24"/>
                <w:highlight w:val="none"/>
                <w14:textFill>
                  <w14:solidFill>
                    <w14:schemeClr w14:val="tx1"/>
                  </w14:solidFill>
                </w14:textFill>
              </w:rPr>
              <w:t>系统</w:t>
            </w:r>
            <w:r>
              <w:rPr>
                <w:rFonts w:ascii="宋体" w:hAnsi="宋体" w:cs="宋体"/>
                <w:color w:val="000000" w:themeColor="text1"/>
                <w:kern w:val="0"/>
                <w:sz w:val="24"/>
                <w:highlight w:val="none"/>
                <w14:textFill>
                  <w14:solidFill>
                    <w14:schemeClr w14:val="tx1"/>
                  </w14:solidFill>
                </w14:textFill>
              </w:rPr>
              <w:t>、神经</w:t>
            </w:r>
            <w:r>
              <w:rPr>
                <w:rFonts w:hint="eastAsia" w:ascii="宋体" w:hAnsi="宋体" w:cs="宋体"/>
                <w:color w:val="000000" w:themeColor="text1"/>
                <w:kern w:val="0"/>
                <w:sz w:val="24"/>
                <w:highlight w:val="none"/>
                <w14:textFill>
                  <w14:solidFill>
                    <w14:schemeClr w14:val="tx1"/>
                  </w14:solidFill>
                </w14:textFill>
              </w:rPr>
              <w:t>系统</w:t>
            </w:r>
            <w:r>
              <w:rPr>
                <w:rFonts w:ascii="宋体" w:hAnsi="宋体" w:cs="宋体"/>
                <w:color w:val="000000" w:themeColor="text1"/>
                <w:kern w:val="0"/>
                <w:sz w:val="24"/>
                <w:highlight w:val="none"/>
                <w14:textFill>
                  <w14:solidFill>
                    <w14:schemeClr w14:val="tx1"/>
                  </w14:solidFill>
                </w14:textFill>
              </w:rPr>
              <w:t>、儿科学</w:t>
            </w:r>
            <w:r>
              <w:rPr>
                <w:rFonts w:hint="eastAsia" w:ascii="宋体" w:hAnsi="宋体" w:cs="宋体"/>
                <w:color w:val="000000" w:themeColor="text1"/>
                <w:kern w:val="0"/>
                <w:sz w:val="24"/>
                <w:highlight w:val="none"/>
                <w14:textFill>
                  <w14:solidFill>
                    <w14:schemeClr w14:val="tx1"/>
                  </w14:solidFill>
                </w14:textFill>
              </w:rPr>
              <w:t>系统</w:t>
            </w:r>
            <w:r>
              <w:rPr>
                <w:rFonts w:ascii="宋体" w:hAnsi="宋体" w:cs="宋体"/>
                <w:color w:val="000000" w:themeColor="text1"/>
                <w:kern w:val="0"/>
                <w:sz w:val="24"/>
                <w:highlight w:val="none"/>
                <w14:textFill>
                  <w14:solidFill>
                    <w14:schemeClr w14:val="tx1"/>
                  </w14:solidFill>
                </w14:textFill>
              </w:rPr>
              <w:t>、妇产科</w:t>
            </w:r>
            <w:r>
              <w:rPr>
                <w:rFonts w:hint="eastAsia" w:ascii="宋体" w:hAnsi="宋体" w:cs="宋体"/>
                <w:color w:val="000000" w:themeColor="text1"/>
                <w:kern w:val="0"/>
                <w:sz w:val="24"/>
                <w:highlight w:val="none"/>
                <w14:textFill>
                  <w14:solidFill>
                    <w14:schemeClr w14:val="tx1"/>
                  </w14:solidFill>
                </w14:textFill>
              </w:rPr>
              <w:t>学公式</w:t>
            </w:r>
            <w:r>
              <w:rPr>
                <w:rFonts w:ascii="宋体" w:hAnsi="宋体" w:cs="宋体"/>
                <w:color w:val="000000" w:themeColor="text1"/>
                <w:kern w:val="0"/>
                <w:sz w:val="24"/>
                <w:highlight w:val="none"/>
                <w14:textFill>
                  <w14:solidFill>
                    <w14:schemeClr w14:val="tx1"/>
                  </w14:solidFill>
                </w14:textFill>
              </w:rPr>
              <w:t>”7类医学相关计算公式的应用计算。</w:t>
            </w:r>
          </w:p>
        </w:tc>
      </w:tr>
      <w:tr>
        <w:tblPrEx>
          <w:shd w:val="clear" w:color="auto" w:fill="FFFFFF"/>
          <w:tblCellMar>
            <w:top w:w="15" w:type="dxa"/>
            <w:left w:w="15" w:type="dxa"/>
            <w:bottom w:w="15" w:type="dxa"/>
            <w:right w:w="15" w:type="dxa"/>
          </w:tblCellMar>
        </w:tblPrEx>
        <w:tc>
          <w:tcPr>
            <w:tcW w:w="936"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其他医药信息</w:t>
            </w:r>
          </w:p>
        </w:tc>
        <w:tc>
          <w:tcPr>
            <w:tcW w:w="406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10"/>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可查询《国家基本药物处方集（2012版）》、《中华人民共和国药典(</w:t>
            </w:r>
            <w:r>
              <w:rPr>
                <w:rFonts w:hint="eastAsia" w:ascii="宋体" w:hAnsi="宋体" w:cs="宋体"/>
                <w:color w:val="000000" w:themeColor="text1"/>
                <w:kern w:val="0"/>
                <w:sz w:val="24"/>
                <w:highlight w:val="none"/>
                <w14:textFill>
                  <w14:solidFill>
                    <w14:schemeClr w14:val="tx1"/>
                  </w14:solidFill>
                </w14:textFill>
              </w:rPr>
              <w:t>2020</w:t>
            </w:r>
            <w:r>
              <w:rPr>
                <w:rFonts w:ascii="宋体" w:hAnsi="宋体" w:cs="宋体"/>
                <w:color w:val="000000" w:themeColor="text1"/>
                <w:kern w:val="0"/>
                <w:sz w:val="24"/>
                <w:highlight w:val="none"/>
                <w14:textFill>
                  <w14:solidFill>
                    <w14:schemeClr w14:val="tx1"/>
                  </w14:solidFill>
                </w14:textFill>
              </w:rPr>
              <w:t>年版)》、《新编药物学（17版）》、《浙江省中药炮制规范（2005版和2015版）》、《北京市中药饮片炮制规范(2008年版)》、《中国国家处方集（2010版）》、《国家基本药物临床应用指南（2012版）》、《临床注射药物应用指南(2014版)》、《超药品说明书用药目录（广东药学会2020年版）》等书籍摘抄；</w:t>
            </w:r>
          </w:p>
          <w:p>
            <w:pPr>
              <w:widowControl/>
              <w:numPr>
                <w:ilvl w:val="0"/>
                <w:numId w:val="110"/>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可查询国家药品监督管理局发布的药品警戒快讯、说明书修订公告、药品不良反应信息通报；</w:t>
            </w:r>
          </w:p>
          <w:p>
            <w:pPr>
              <w:widowControl/>
              <w:numPr>
                <w:ilvl w:val="0"/>
                <w:numId w:val="110"/>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可查询</w:t>
            </w:r>
            <w:r>
              <w:rPr>
                <w:rFonts w:hint="eastAsia" w:ascii="宋体" w:hAnsi="宋体" w:cs="宋体"/>
                <w:color w:val="000000" w:themeColor="text1"/>
                <w:kern w:val="0"/>
                <w:sz w:val="24"/>
                <w:highlight w:val="none"/>
                <w14:textFill>
                  <w14:solidFill>
                    <w14:schemeClr w14:val="tx1"/>
                  </w14:solidFill>
                </w14:textFill>
              </w:rPr>
              <w:t>国家</w:t>
            </w:r>
            <w:r>
              <w:rPr>
                <w:rFonts w:ascii="宋体" w:hAnsi="宋体" w:cs="宋体"/>
                <w:color w:val="000000" w:themeColor="text1"/>
                <w:kern w:val="0"/>
                <w:sz w:val="24"/>
                <w:highlight w:val="none"/>
                <w14:textFill>
                  <w14:solidFill>
                    <w14:schemeClr w14:val="tx1"/>
                  </w14:solidFill>
                </w14:textFill>
              </w:rPr>
              <w:t>卫健委和药品监督管理局发布的通知公告和法律法规。</w:t>
            </w:r>
          </w:p>
        </w:tc>
      </w:tr>
      <w:tr>
        <w:tblPrEx>
          <w:shd w:val="clear" w:color="auto" w:fill="FFFFFF"/>
          <w:tblCellMar>
            <w:top w:w="15" w:type="dxa"/>
            <w:left w:w="15" w:type="dxa"/>
            <w:bottom w:w="15" w:type="dxa"/>
            <w:right w:w="15" w:type="dxa"/>
          </w:tblCellMar>
        </w:tblPrEx>
        <w:tc>
          <w:tcPr>
            <w:tcW w:w="936"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自定义医院文献</w:t>
            </w:r>
          </w:p>
        </w:tc>
        <w:tc>
          <w:tcPr>
            <w:tcW w:w="406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11"/>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支持用户自定义维护文献、杂志，参考文献等内容；</w:t>
            </w:r>
          </w:p>
          <w:p>
            <w:pPr>
              <w:widowControl/>
              <w:numPr>
                <w:ilvl w:val="0"/>
                <w:numId w:val="111"/>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自定义相关资料内容均支持自主查询。</w:t>
            </w:r>
          </w:p>
        </w:tc>
      </w:tr>
      <w:tr>
        <w:tblPrEx>
          <w:shd w:val="clear" w:color="auto" w:fill="FFFFFF"/>
          <w:tblCellMar>
            <w:top w:w="15" w:type="dxa"/>
            <w:left w:w="15" w:type="dxa"/>
            <w:bottom w:w="15" w:type="dxa"/>
            <w:right w:w="15" w:type="dxa"/>
          </w:tblCellMar>
        </w:tblPrEx>
        <w:tc>
          <w:tcPr>
            <w:tcW w:w="936"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自定义医院说明书</w:t>
            </w:r>
          </w:p>
        </w:tc>
        <w:tc>
          <w:tcPr>
            <w:tcW w:w="406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12"/>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支持用户对药品说明书内容进行自定义维护与更新；</w:t>
            </w:r>
          </w:p>
          <w:p>
            <w:pPr>
              <w:widowControl/>
              <w:numPr>
                <w:ilvl w:val="0"/>
                <w:numId w:val="112"/>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说明书查询时，优先展示自定义添加的说明书。</w:t>
            </w:r>
          </w:p>
        </w:tc>
      </w:tr>
    </w:tbl>
    <w:p>
      <w:pPr>
        <w:tabs>
          <w:tab w:val="left" w:pos="540"/>
        </w:tabs>
        <w:autoSpaceDE w:val="0"/>
        <w:autoSpaceDN w:val="0"/>
        <w:snapToGrid w:val="0"/>
        <w:spacing w:line="360" w:lineRule="auto"/>
        <w:jc w:val="left"/>
        <w:textAlignment w:val="baseline"/>
        <w:rPr>
          <w:rFonts w:ascii="宋体" w:hAnsi="宋体" w:cs="宋体"/>
          <w:b/>
          <w:bCs/>
          <w:color w:val="000000"/>
          <w:sz w:val="24"/>
          <w:highlight w:val="none"/>
        </w:rPr>
      </w:pPr>
      <w:r>
        <w:rPr>
          <w:rFonts w:hint="eastAsia" w:ascii="宋体" w:hAnsi="宋体" w:cs="宋体"/>
          <w:b/>
          <w:bCs/>
          <w:color w:val="000000"/>
          <w:sz w:val="24"/>
          <w:highlight w:val="none"/>
        </w:rPr>
        <w:t>2.规则库</w:t>
      </w:r>
    </w:p>
    <w:tbl>
      <w:tblPr>
        <w:tblStyle w:val="64"/>
        <w:tblW w:w="5000" w:type="pct"/>
        <w:tblInd w:w="0" w:type="dxa"/>
        <w:shd w:val="clear" w:color="auto" w:fill="FFFFFF"/>
        <w:tblLayout w:type="autofit"/>
        <w:tblCellMar>
          <w:top w:w="15" w:type="dxa"/>
          <w:left w:w="15" w:type="dxa"/>
          <w:bottom w:w="15" w:type="dxa"/>
          <w:right w:w="15" w:type="dxa"/>
        </w:tblCellMar>
      </w:tblPr>
      <w:tblGrid>
        <w:gridCol w:w="1754"/>
        <w:gridCol w:w="7616"/>
      </w:tblGrid>
      <w:tr>
        <w:tblPrEx>
          <w:tblCellMar>
            <w:top w:w="15" w:type="dxa"/>
            <w:left w:w="15" w:type="dxa"/>
            <w:bottom w:w="15" w:type="dxa"/>
            <w:right w:w="15" w:type="dxa"/>
          </w:tblCellMar>
        </w:tblPrEx>
        <w:tc>
          <w:tcPr>
            <w:tcW w:w="936"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功能</w:t>
            </w:r>
          </w:p>
        </w:tc>
        <w:tc>
          <w:tcPr>
            <w:tcW w:w="406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说明</w:t>
            </w:r>
          </w:p>
        </w:tc>
      </w:tr>
      <w:tr>
        <w:tblPrEx>
          <w:tblCellMar>
            <w:top w:w="15" w:type="dxa"/>
            <w:left w:w="15" w:type="dxa"/>
            <w:bottom w:w="15" w:type="dxa"/>
            <w:right w:w="15" w:type="dxa"/>
          </w:tblCellMar>
        </w:tblPrEx>
        <w:trPr>
          <w:trHeight w:val="1491" w:hRule="atLeast"/>
        </w:trPr>
        <w:tc>
          <w:tcPr>
            <w:tcW w:w="1552" w:type="dxa"/>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系统提供的规则库</w:t>
            </w:r>
          </w:p>
        </w:tc>
        <w:tc>
          <w:tcPr>
            <w:tcW w:w="6738" w:type="dxa"/>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13"/>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系统提供1套药品说明书规则集</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说明书规则集源于药品说明书标准维护，规则经过数百家医疗机构多年实践验证、累计优化</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规则库覆盖用户全部药品及其它已上市药品的各项合理性审查内容；同时支持不同的问题审查结果，进行警示级别的区分；</w:t>
            </w:r>
          </w:p>
        </w:tc>
      </w:tr>
      <w:tr>
        <w:tblPrEx>
          <w:tblCellMar>
            <w:top w:w="15" w:type="dxa"/>
            <w:left w:w="15" w:type="dxa"/>
            <w:bottom w:w="15" w:type="dxa"/>
            <w:right w:w="15" w:type="dxa"/>
          </w:tblCellMar>
        </w:tblPrEx>
        <w:tc>
          <w:tcPr>
            <w:tcW w:w="1552" w:type="dxa"/>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规则库的更新引导</w:t>
            </w:r>
          </w:p>
        </w:tc>
        <w:tc>
          <w:tcPr>
            <w:tcW w:w="6738" w:type="dxa"/>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14"/>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说明书规则集中的规则内容会根据说明书的修订进行新增、修改；</w:t>
            </w:r>
          </w:p>
          <w:p>
            <w:pPr>
              <w:widowControl/>
              <w:numPr>
                <w:ilvl w:val="0"/>
                <w:numId w:val="114"/>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当用户系统知识包更新后，系统可根据用户使用规则的引用情况对更新的内容做出更新提醒</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用户可根据自身业务需求对更新的规则进行全部更新、部分更新、或不更新操作。</w:t>
            </w:r>
          </w:p>
          <w:p>
            <w:pPr>
              <w:widowControl/>
              <w:numPr>
                <w:ilvl w:val="0"/>
                <w:numId w:val="114"/>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当用户系统知识包更新后，系统可根据用户药品比对情况对新增的规则内容做出新增提醒</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用户可根据自身业务需求对新增的规则进行全部更新、部分更新、或不更新操作。</w:t>
            </w:r>
          </w:p>
        </w:tc>
      </w:tr>
    </w:tbl>
    <w:p>
      <w:pPr>
        <w:tabs>
          <w:tab w:val="left" w:pos="540"/>
        </w:tabs>
        <w:autoSpaceDE w:val="0"/>
        <w:autoSpaceDN w:val="0"/>
        <w:snapToGrid w:val="0"/>
        <w:spacing w:line="360" w:lineRule="auto"/>
        <w:jc w:val="left"/>
        <w:textAlignment w:val="baseline"/>
        <w:rPr>
          <w:rFonts w:ascii="宋体" w:hAnsi="宋体" w:cs="宋体"/>
          <w:b/>
          <w:bCs/>
          <w:color w:val="000000"/>
          <w:sz w:val="24"/>
          <w:highlight w:val="none"/>
        </w:rPr>
      </w:pPr>
      <w:r>
        <w:rPr>
          <w:rFonts w:hint="eastAsia" w:ascii="宋体" w:hAnsi="宋体" w:cs="宋体"/>
          <w:b/>
          <w:bCs/>
          <w:color w:val="000000"/>
          <w:sz w:val="24"/>
          <w:highlight w:val="none"/>
        </w:rPr>
        <w:t>3.审查功能</w:t>
      </w:r>
    </w:p>
    <w:tbl>
      <w:tblPr>
        <w:tblStyle w:val="64"/>
        <w:tblW w:w="5000" w:type="pct"/>
        <w:tblInd w:w="0" w:type="dxa"/>
        <w:shd w:val="clear" w:color="auto" w:fill="FFFFFF"/>
        <w:tblLayout w:type="autofit"/>
        <w:tblCellMar>
          <w:top w:w="15" w:type="dxa"/>
          <w:left w:w="15" w:type="dxa"/>
          <w:bottom w:w="15" w:type="dxa"/>
          <w:right w:w="15" w:type="dxa"/>
        </w:tblCellMar>
      </w:tblPr>
      <w:tblGrid>
        <w:gridCol w:w="1751"/>
        <w:gridCol w:w="7619"/>
      </w:tblGrid>
      <w:tr>
        <w:tblPrEx>
          <w:shd w:val="clear" w:color="auto" w:fill="FFFFFF"/>
          <w:tblCellMar>
            <w:top w:w="15" w:type="dxa"/>
            <w:left w:w="15" w:type="dxa"/>
            <w:bottom w:w="15" w:type="dxa"/>
            <w:right w:w="15" w:type="dxa"/>
          </w:tblCellMar>
        </w:tblPrEx>
        <w:tc>
          <w:tcPr>
            <w:tcW w:w="93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功能</w:t>
            </w:r>
          </w:p>
        </w:tc>
        <w:tc>
          <w:tcPr>
            <w:tcW w:w="406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说明</w:t>
            </w:r>
          </w:p>
        </w:tc>
      </w:tr>
      <w:tr>
        <w:tblPrEx>
          <w:shd w:val="clear" w:color="auto" w:fill="FFFFFF"/>
          <w:tblCellMar>
            <w:top w:w="15" w:type="dxa"/>
            <w:left w:w="15" w:type="dxa"/>
            <w:bottom w:w="15" w:type="dxa"/>
            <w:right w:w="15" w:type="dxa"/>
          </w:tblCellMar>
        </w:tblPrEx>
        <w:tc>
          <w:tcPr>
            <w:tcW w:w="93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审查问题的严重程度管理功能</w:t>
            </w:r>
          </w:p>
        </w:tc>
        <w:tc>
          <w:tcPr>
            <w:tcW w:w="406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通过采用警示级别的设置，实现按严重程度对审查出的不合理问题进行区分：</w:t>
            </w:r>
          </w:p>
          <w:p>
            <w:pPr>
              <w:widowControl/>
              <w:numPr>
                <w:ilvl w:val="0"/>
                <w:numId w:val="115"/>
              </w:numPr>
              <w:adjustRightInd/>
              <w:spacing w:before="100" w:beforeAutospacing="1" w:after="100" w:afterAutospacing="1"/>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5级：绝对禁忌或致死性危害；</w:t>
            </w:r>
          </w:p>
          <w:p>
            <w:pPr>
              <w:widowControl/>
              <w:numPr>
                <w:ilvl w:val="0"/>
                <w:numId w:val="115"/>
              </w:numPr>
              <w:adjustRightInd/>
              <w:spacing w:before="100" w:beforeAutospacing="1" w:after="100" w:afterAutospacing="1"/>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4级：相对禁忌或非致死性的严重危害；</w:t>
            </w:r>
          </w:p>
          <w:p>
            <w:pPr>
              <w:widowControl/>
              <w:numPr>
                <w:ilvl w:val="0"/>
                <w:numId w:val="115"/>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3级：轻度危害或提示类的信息。</w:t>
            </w:r>
          </w:p>
        </w:tc>
      </w:tr>
      <w:tr>
        <w:tblPrEx>
          <w:shd w:val="clear" w:color="auto" w:fill="FFFFFF"/>
          <w:tblCellMar>
            <w:top w:w="15" w:type="dxa"/>
            <w:left w:w="15" w:type="dxa"/>
            <w:bottom w:w="15" w:type="dxa"/>
            <w:right w:w="15" w:type="dxa"/>
          </w:tblCellMar>
        </w:tblPrEx>
        <w:tc>
          <w:tcPr>
            <w:tcW w:w="93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审查问题的问题类型管理功能</w:t>
            </w:r>
          </w:p>
        </w:tc>
        <w:tc>
          <w:tcPr>
            <w:tcW w:w="406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通过采用警示类型的设置，对审查出的不合理问题按照错误类型进行问题归类。支持审查的问题有“用药建议、用药提醒、管理规定、</w:t>
            </w:r>
            <w:r>
              <w:rPr>
                <w:rFonts w:hint="eastAsia" w:ascii="宋体" w:hAnsi="宋体" w:cs="宋体"/>
                <w:color w:val="000000" w:themeColor="text1"/>
                <w:kern w:val="0"/>
                <w:sz w:val="24"/>
                <w:highlight w:val="none"/>
                <w14:textFill>
                  <w14:solidFill>
                    <w14:schemeClr w14:val="tx1"/>
                  </w14:solidFill>
                </w14:textFill>
              </w:rPr>
              <w:t>适宜</w:t>
            </w:r>
            <w:r>
              <w:rPr>
                <w:rFonts w:ascii="宋体" w:hAnsi="宋体" w:cs="宋体"/>
                <w:color w:val="000000" w:themeColor="text1"/>
                <w:kern w:val="0"/>
                <w:sz w:val="24"/>
                <w:highlight w:val="none"/>
                <w14:textFill>
                  <w14:solidFill>
                    <w14:schemeClr w14:val="tx1"/>
                  </w14:solidFill>
                </w14:textFill>
              </w:rPr>
              <w:t>性分析、</w:t>
            </w:r>
            <w:r>
              <w:rPr>
                <w:rFonts w:hint="eastAsia" w:ascii="宋体" w:hAnsi="宋体" w:cs="宋体"/>
                <w:color w:val="000000" w:themeColor="text1"/>
                <w:kern w:val="0"/>
                <w:sz w:val="24"/>
                <w:highlight w:val="none"/>
                <w14:textFill>
                  <w14:solidFill>
                    <w14:schemeClr w14:val="tx1"/>
                  </w14:solidFill>
                </w14:textFill>
              </w:rPr>
              <w:t>规范性分析、</w:t>
            </w:r>
            <w:r>
              <w:rPr>
                <w:rFonts w:ascii="宋体" w:hAnsi="宋体" w:cs="宋体"/>
                <w:color w:val="000000" w:themeColor="text1"/>
                <w:kern w:val="0"/>
                <w:sz w:val="24"/>
                <w:highlight w:val="none"/>
                <w14:textFill>
                  <w14:solidFill>
                    <w14:schemeClr w14:val="tx1"/>
                  </w14:solidFill>
                </w14:textFill>
              </w:rPr>
              <w:t>超常性分析”等。支持自定义添加提示类型。</w:t>
            </w:r>
          </w:p>
        </w:tc>
      </w:tr>
      <w:tr>
        <w:tblPrEx>
          <w:shd w:val="clear" w:color="auto" w:fill="FFFFFF"/>
          <w:tblCellMar>
            <w:top w:w="15" w:type="dxa"/>
            <w:left w:w="15" w:type="dxa"/>
            <w:bottom w:w="15" w:type="dxa"/>
            <w:right w:w="15" w:type="dxa"/>
          </w:tblCellMar>
        </w:tblPrEx>
        <w:tc>
          <w:tcPr>
            <w:tcW w:w="93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检验指标与用药的审查</w:t>
            </w:r>
          </w:p>
        </w:tc>
        <w:tc>
          <w:tcPr>
            <w:tcW w:w="406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将检验指标与相关药品进行关联，实现检验指标在该药品用法用量、禁忌症、相互作用审查中的应用；</w:t>
            </w:r>
          </w:p>
          <w:p>
            <w:pPr>
              <w:widowControl/>
              <w:numPr>
                <w:ilvl w:val="0"/>
                <w:numId w:val="115"/>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系统已覆盖中性粒细胞、白细胞、红细胞、血小板、血红蛋白、白蛋白、血钾、血钙、血镁、血甘油三酯、尿素氮、胆红素、血磷、丙氨酸氨基转移酶、天门冬氨酸氨基转移酶、国际标准化比值等指标在用户药品中的应用</w:t>
            </w:r>
          </w:p>
        </w:tc>
      </w:tr>
      <w:tr>
        <w:tblPrEx>
          <w:shd w:val="clear" w:color="auto" w:fill="FFFFFF"/>
          <w:tblCellMar>
            <w:top w:w="15" w:type="dxa"/>
            <w:left w:w="15" w:type="dxa"/>
            <w:bottom w:w="15" w:type="dxa"/>
            <w:right w:w="15" w:type="dxa"/>
          </w:tblCellMar>
        </w:tblPrEx>
        <w:tc>
          <w:tcPr>
            <w:tcW w:w="93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适应症、禁忌症的审查</w:t>
            </w:r>
          </w:p>
        </w:tc>
        <w:tc>
          <w:tcPr>
            <w:tcW w:w="406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系统支持结合患者诊断、检验指标、年龄等信息，实现对药品适应症、禁忌症的合理性审查；</w:t>
            </w:r>
          </w:p>
          <w:p>
            <w:pPr>
              <w:widowControl/>
              <w:numPr>
                <w:ilvl w:val="0"/>
                <w:numId w:val="115"/>
              </w:numPr>
              <w:adjustRightInd/>
              <w:spacing w:before="100" w:beforeAutospacing="1" w:after="100" w:afterAutospacing="1"/>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适应症：已覆盖除溶媒、肠内和肠外营养用药、疫苗、血浆制品和血浆代用品、止血药、造影剂以外的用户全部药品，及其他已上市药品；</w:t>
            </w:r>
          </w:p>
          <w:p>
            <w:pPr>
              <w:widowControl/>
              <w:numPr>
                <w:ilvl w:val="0"/>
                <w:numId w:val="115"/>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禁忌症：已覆盖所有存在禁忌症的用户全部药品，及其他已上市药品；</w:t>
            </w:r>
          </w:p>
        </w:tc>
      </w:tr>
      <w:tr>
        <w:tblPrEx>
          <w:shd w:val="clear" w:color="auto" w:fill="FFFFFF"/>
          <w:tblCellMar>
            <w:top w:w="15" w:type="dxa"/>
            <w:left w:w="15" w:type="dxa"/>
            <w:bottom w:w="15" w:type="dxa"/>
            <w:right w:w="15" w:type="dxa"/>
          </w:tblCellMar>
        </w:tblPrEx>
        <w:tc>
          <w:tcPr>
            <w:tcW w:w="93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给药途径的审查</w:t>
            </w:r>
          </w:p>
        </w:tc>
        <w:tc>
          <w:tcPr>
            <w:tcW w:w="406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16"/>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实现处方/医嘱药品的给药途径的合理性的审查；</w:t>
            </w:r>
          </w:p>
          <w:p>
            <w:pPr>
              <w:widowControl/>
              <w:numPr>
                <w:ilvl w:val="0"/>
                <w:numId w:val="116"/>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对门急诊患者处方中使用的口服剂型药品（排除肠内营养制剂），审查其给药途径是否为鼻饲、造瘘管滴入，提醒用户可能存在给药途径不合理的问题。</w:t>
            </w:r>
          </w:p>
        </w:tc>
      </w:tr>
      <w:tr>
        <w:tblPrEx>
          <w:shd w:val="clear" w:color="auto" w:fill="FFFFFF"/>
          <w:tblCellMar>
            <w:top w:w="15" w:type="dxa"/>
            <w:left w:w="15" w:type="dxa"/>
            <w:bottom w:w="15" w:type="dxa"/>
            <w:right w:w="15" w:type="dxa"/>
          </w:tblCellMar>
        </w:tblPrEx>
        <w:tc>
          <w:tcPr>
            <w:tcW w:w="93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用法用量的审查</w:t>
            </w:r>
          </w:p>
        </w:tc>
        <w:tc>
          <w:tcPr>
            <w:tcW w:w="406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17"/>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系统支持根据患者年龄、性别、体重、体表面积、孕产、诊断、各项检验指标，结合药品的给药途径等信息对药品剂量进行合理性审查：</w:t>
            </w:r>
          </w:p>
          <w:p>
            <w:pPr>
              <w:widowControl/>
              <w:numPr>
                <w:ilvl w:val="0"/>
                <w:numId w:val="115"/>
              </w:numPr>
              <w:adjustRightInd/>
              <w:spacing w:before="100" w:beforeAutospacing="1" w:after="100" w:afterAutospacing="1"/>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支持</w:t>
            </w:r>
            <w:r>
              <w:rPr>
                <w:rFonts w:hint="eastAsia" w:ascii="宋体" w:hAnsi="宋体"/>
                <w:color w:val="000000" w:themeColor="text1"/>
                <w:sz w:val="24"/>
                <w:highlight w:val="none"/>
                <w14:textFill>
                  <w14:solidFill>
                    <w14:schemeClr w14:val="tx1"/>
                  </w14:solidFill>
                </w14:textFill>
              </w:rPr>
              <w:t>药嘱</w:t>
            </w:r>
            <w:r>
              <w:rPr>
                <w:rFonts w:ascii="宋体" w:hAnsi="宋体"/>
                <w:color w:val="000000" w:themeColor="text1"/>
                <w:sz w:val="24"/>
                <w:highlight w:val="none"/>
                <w14:textFill>
                  <w14:solidFill>
                    <w14:schemeClr w14:val="tx1"/>
                  </w14:solidFill>
                </w14:textFill>
              </w:rPr>
              <w:t>每次剂量、每平米每次剂量、每公斤每次剂量的审查；</w:t>
            </w:r>
          </w:p>
          <w:p>
            <w:pPr>
              <w:widowControl/>
              <w:numPr>
                <w:ilvl w:val="0"/>
                <w:numId w:val="115"/>
              </w:numPr>
              <w:adjustRightInd/>
              <w:spacing w:before="100" w:beforeAutospacing="1" w:after="100" w:afterAutospacing="1"/>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支持当前审查药嘱每天剂量、每平米每天剂量、每公斤每天剂量的审查；</w:t>
            </w:r>
          </w:p>
          <w:p>
            <w:pPr>
              <w:widowControl/>
              <w:numPr>
                <w:ilvl w:val="0"/>
                <w:numId w:val="115"/>
              </w:numPr>
              <w:adjustRightInd/>
              <w:spacing w:before="100" w:beforeAutospacing="1" w:after="100" w:afterAutospacing="1"/>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支持具体药品的累计日剂量、每平米累计日剂量、每公斤累计日剂量的审查；</w:t>
            </w:r>
          </w:p>
          <w:p>
            <w:pPr>
              <w:widowControl/>
              <w:numPr>
                <w:ilvl w:val="0"/>
                <w:numId w:val="115"/>
              </w:numPr>
              <w:adjustRightInd/>
              <w:spacing w:before="100" w:beforeAutospacing="1" w:after="100" w:afterAutospacing="1"/>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支持具体药品的累计剂量、每平米累计剂量、每公斤累计剂量的审查；</w:t>
            </w:r>
          </w:p>
          <w:p>
            <w:pPr>
              <w:widowControl/>
              <w:numPr>
                <w:ilvl w:val="0"/>
                <w:numId w:val="115"/>
              </w:numPr>
              <w:adjustRightInd/>
              <w:spacing w:before="100" w:beforeAutospacing="1" w:after="100" w:afterAutospacing="1"/>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支持当前药嘱相同成分的药品的成分累计剂量、成分每平米累计剂量、成分每公斤累计剂量的审查，避免同成分合并用药时判断为重复用药的假阳性；（如：复方制剂和单方制剂一起合用，但药品中各成分累计剂量符合最大用药剂量范围内，判定为合理的合并用药）</w:t>
            </w:r>
          </w:p>
          <w:p>
            <w:pPr>
              <w:widowControl/>
              <w:numPr>
                <w:ilvl w:val="0"/>
                <w:numId w:val="115"/>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其中，支持长期医嘱和临时医嘱（st、once）的单次剂量的分别审查；</w:t>
            </w:r>
          </w:p>
          <w:p>
            <w:pPr>
              <w:widowControl/>
              <w:numPr>
                <w:ilvl w:val="0"/>
                <w:numId w:val="117"/>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系统支持根据患者年龄、性别、体重、体表面积、孕产、诊断、各项检验指标对药品给药频率、给药时机、进行合理性审查；</w:t>
            </w:r>
          </w:p>
          <w:p>
            <w:pPr>
              <w:widowControl/>
              <w:numPr>
                <w:ilvl w:val="0"/>
                <w:numId w:val="117"/>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实现儿童剂量多维度审查，儿童剂量符合参考标准中年龄和体重任一条件，均判断为合理的剂量；</w:t>
            </w:r>
          </w:p>
          <w:p>
            <w:pPr>
              <w:widowControl/>
              <w:numPr>
                <w:ilvl w:val="0"/>
                <w:numId w:val="117"/>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实现缓释片、控释片、肠溶片等对分剂量服用有特定要求的药品，其每次给药剂量是否为合理的可分剂量的审查；</w:t>
            </w:r>
          </w:p>
          <w:p>
            <w:pPr>
              <w:widowControl/>
              <w:numPr>
                <w:ilvl w:val="0"/>
                <w:numId w:val="117"/>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实现校正剂量（覆盖除肿瘤药品外的口服药品）的审查，通过对涉及体重、体表面积计算出的非整数剂量的校正，提高审查准确率（如某药品根据体重、体表面积计算出患者应使用0.98片，而医生实际开具1片，判断为合理的剂量）；</w:t>
            </w:r>
          </w:p>
          <w:p>
            <w:pPr>
              <w:widowControl/>
              <w:numPr>
                <w:ilvl w:val="0"/>
                <w:numId w:val="117"/>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实现异常剂量（覆盖除溶媒、疫苗、血浆成分及血浆代用品、造影、氨基酸、脂肪乳外的成品输液型药品、小容量注射剂和口服药品）的审查：80岁以上老年患者和14岁以下儿童患者，每次或每天剂量不得超过说明书常规剂量上限的1倍；其他患者，每次或每天剂量不得超过说明书常规剂量上限的2倍；14岁以上患者每次或每天剂量不得低于说明书常规剂量下限的1/5。</w:t>
            </w:r>
          </w:p>
        </w:tc>
      </w:tr>
      <w:tr>
        <w:tblPrEx>
          <w:shd w:val="clear" w:color="auto" w:fill="FFFFFF"/>
          <w:tblCellMar>
            <w:top w:w="15" w:type="dxa"/>
            <w:left w:w="15" w:type="dxa"/>
            <w:bottom w:w="15" w:type="dxa"/>
            <w:right w:w="15" w:type="dxa"/>
          </w:tblCellMar>
        </w:tblPrEx>
        <w:tc>
          <w:tcPr>
            <w:tcW w:w="93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相互作用的审查</w:t>
            </w:r>
          </w:p>
        </w:tc>
        <w:tc>
          <w:tcPr>
            <w:tcW w:w="406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18"/>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结合病人的具体情况【如：诊断、检验值、合用药品（剂量、频率、给药途径）】等信息，实现可根据不同药品名称在实际用药中是否存在不良相互作用的精准审查；</w:t>
            </w:r>
          </w:p>
          <w:p>
            <w:pPr>
              <w:widowControl/>
              <w:numPr>
                <w:ilvl w:val="0"/>
                <w:numId w:val="118"/>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实现含有乙醇的药品与特定药物不良相互作用的审查，提示可能存在双硫仑样反应；</w:t>
            </w:r>
          </w:p>
          <w:p>
            <w:pPr>
              <w:widowControl/>
              <w:numPr>
                <w:ilvl w:val="0"/>
                <w:numId w:val="118"/>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含有2个或2个以上乌头碱的中成药（如：虎力散制剂、强力天麻杜仲制剂、祛风止痛制剂、尪痹制剂、复方夏天无片等）进行相互作用的审查，提示可能存在毒性反应；</w:t>
            </w:r>
          </w:p>
          <w:p>
            <w:pPr>
              <w:widowControl/>
              <w:numPr>
                <w:ilvl w:val="0"/>
                <w:numId w:val="118"/>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实现治疗感冒的中成药与滋补性中成药的审查，可能存在不良相互作用。</w:t>
            </w:r>
          </w:p>
        </w:tc>
      </w:tr>
      <w:tr>
        <w:tblPrEx>
          <w:shd w:val="clear" w:color="auto" w:fill="FFFFFF"/>
          <w:tblCellMar>
            <w:top w:w="15" w:type="dxa"/>
            <w:left w:w="15" w:type="dxa"/>
            <w:bottom w:w="15" w:type="dxa"/>
            <w:right w:w="15" w:type="dxa"/>
          </w:tblCellMar>
        </w:tblPrEx>
        <w:tc>
          <w:tcPr>
            <w:tcW w:w="93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重复用药的审查（重复开具、重复治疗）</w:t>
            </w:r>
          </w:p>
        </w:tc>
        <w:tc>
          <w:tcPr>
            <w:tcW w:w="406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19"/>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实现可根据不同药品名称、或药品成分在实际用药中重复治疗的审查，重复治疗审查提示处方/医嘱中的两个或多个药品（带给药途径）同属某个药物治疗分类（即具有同一种治疗目的），可能存在重复用药的问题（已覆盖</w:t>
            </w:r>
            <w:r>
              <w:rPr>
                <w:rFonts w:hint="eastAsia" w:ascii="宋体" w:hAnsi="宋体" w:cs="宋体"/>
                <w:color w:val="000000" w:themeColor="text1"/>
                <w:kern w:val="0"/>
                <w:sz w:val="24"/>
                <w:highlight w:val="none"/>
                <w14:textFill>
                  <w14:solidFill>
                    <w14:schemeClr w14:val="tx1"/>
                  </w14:solidFill>
                </w14:textFill>
              </w:rPr>
              <w:t>西药与西药、中成药与西药的重复用药</w:t>
            </w:r>
            <w:r>
              <w:rPr>
                <w:rFonts w:ascii="宋体" w:hAnsi="宋体" w:cs="宋体"/>
                <w:color w:val="000000" w:themeColor="text1"/>
                <w:kern w:val="0"/>
                <w:sz w:val="24"/>
                <w:highlight w:val="none"/>
                <w14:textFill>
                  <w14:solidFill>
                    <w14:schemeClr w14:val="tx1"/>
                  </w14:solidFill>
                </w14:textFill>
              </w:rPr>
              <w:t>）；</w:t>
            </w:r>
          </w:p>
          <w:p>
            <w:pPr>
              <w:widowControl/>
              <w:numPr>
                <w:ilvl w:val="0"/>
                <w:numId w:val="119"/>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实现病人用药处方/医嘱中的同一个全身给药的药品（排除溶媒等药品）重复开具的审查。</w:t>
            </w:r>
          </w:p>
        </w:tc>
      </w:tr>
      <w:tr>
        <w:tblPrEx>
          <w:shd w:val="clear" w:color="auto" w:fill="FFFFFF"/>
          <w:tblCellMar>
            <w:top w:w="15" w:type="dxa"/>
            <w:left w:w="15" w:type="dxa"/>
            <w:bottom w:w="15" w:type="dxa"/>
            <w:right w:w="15" w:type="dxa"/>
          </w:tblCellMar>
        </w:tblPrEx>
        <w:tc>
          <w:tcPr>
            <w:tcW w:w="93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配伍的审查</w:t>
            </w:r>
          </w:p>
        </w:tc>
        <w:tc>
          <w:tcPr>
            <w:tcW w:w="406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20"/>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实现注射剂在开具时，实现配伍审查，提示同组药嘱中是否存在溶媒用量、溶媒选择、稀释（小容量注射剂）、配伍、及钾离子浓度不合理的问题；</w:t>
            </w:r>
          </w:p>
          <w:p>
            <w:pPr>
              <w:widowControl/>
              <w:numPr>
                <w:ilvl w:val="0"/>
                <w:numId w:val="120"/>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实现《400种中西药注射剂临床配伍应用检索表》、《459种中西药注射剂临床配伍应用检索表》的应用；</w:t>
            </w:r>
          </w:p>
          <w:p>
            <w:pPr>
              <w:widowControl/>
              <w:numPr>
                <w:ilvl w:val="0"/>
                <w:numId w:val="120"/>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对于必须先用注射用水稀释的注射剂，实现其同组药嘱中是否添加注射用水的审查。</w:t>
            </w:r>
          </w:p>
        </w:tc>
      </w:tr>
      <w:tr>
        <w:tblPrEx>
          <w:shd w:val="clear" w:color="auto" w:fill="FFFFFF"/>
          <w:tblCellMar>
            <w:top w:w="15" w:type="dxa"/>
            <w:left w:w="15" w:type="dxa"/>
            <w:bottom w:w="15" w:type="dxa"/>
            <w:right w:w="15" w:type="dxa"/>
          </w:tblCellMar>
        </w:tblPrEx>
        <w:tc>
          <w:tcPr>
            <w:tcW w:w="93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特殊人群用药审查</w:t>
            </w:r>
          </w:p>
        </w:tc>
        <w:tc>
          <w:tcPr>
            <w:tcW w:w="406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21"/>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实现用药处方/医嘱中是否存在特殊人群（妊娠期妇女、哺乳期妇女、老年人、儿童等）中的禁用及慎用的药品；</w:t>
            </w:r>
          </w:p>
          <w:p>
            <w:pPr>
              <w:widowControl/>
              <w:numPr>
                <w:ilvl w:val="0"/>
                <w:numId w:val="121"/>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根据患者传入的相关数据计算得出患者CTP评分、诊断，审查肝功能不全患者是否存在禁用和慎用的药品；</w:t>
            </w:r>
          </w:p>
          <w:p>
            <w:pPr>
              <w:widowControl/>
              <w:numPr>
                <w:ilvl w:val="0"/>
                <w:numId w:val="121"/>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通过结合病人的</w:t>
            </w:r>
            <w:r>
              <w:rPr>
                <w:rFonts w:hint="eastAsia" w:ascii="宋体" w:hAnsi="宋体" w:cs="宋体"/>
                <w:color w:val="000000" w:themeColor="text1"/>
                <w:kern w:val="0"/>
                <w:sz w:val="24"/>
                <w:highlight w:val="none"/>
                <w14:textFill>
                  <w14:solidFill>
                    <w14:schemeClr w14:val="tx1"/>
                  </w14:solidFill>
                </w14:textFill>
              </w:rPr>
              <w:t>诊断、</w:t>
            </w:r>
            <w:r>
              <w:rPr>
                <w:rFonts w:ascii="宋体" w:hAnsi="宋体" w:cs="宋体"/>
                <w:color w:val="000000" w:themeColor="text1"/>
                <w:kern w:val="0"/>
                <w:sz w:val="24"/>
                <w:highlight w:val="none"/>
                <w14:textFill>
                  <w14:solidFill>
                    <w14:schemeClr w14:val="tx1"/>
                  </w14:solidFill>
                </w14:textFill>
              </w:rPr>
              <w:t>eGFR指标值</w:t>
            </w:r>
            <w:r>
              <w:rPr>
                <w:rFonts w:hint="eastAsia" w:ascii="宋体" w:hAnsi="宋体" w:cs="宋体"/>
                <w:color w:val="000000" w:themeColor="text1"/>
                <w:kern w:val="0"/>
                <w:sz w:val="24"/>
                <w:highlight w:val="none"/>
                <w14:textFill>
                  <w14:solidFill>
                    <w14:schemeClr w14:val="tx1"/>
                  </w14:solidFill>
                </w14:textFill>
              </w:rPr>
              <w:t>（可选择公式： Cockcroft-Gault 公式和CKD-EPI 公式）、是否透析状态等指标，判断患者肾功能状态，</w:t>
            </w:r>
            <w:r>
              <w:rPr>
                <w:rFonts w:ascii="宋体" w:hAnsi="宋体" w:cs="宋体"/>
                <w:color w:val="000000" w:themeColor="text1"/>
                <w:kern w:val="0"/>
                <w:sz w:val="24"/>
                <w:highlight w:val="none"/>
                <w14:textFill>
                  <w14:solidFill>
                    <w14:schemeClr w14:val="tx1"/>
                  </w14:solidFill>
                </w14:textFill>
              </w:rPr>
              <w:t>审查肾功能不全患者是否存在禁用和慎用的药品。</w:t>
            </w:r>
          </w:p>
        </w:tc>
      </w:tr>
      <w:tr>
        <w:tblPrEx>
          <w:shd w:val="clear" w:color="auto" w:fill="FFFFFF"/>
          <w:tblCellMar>
            <w:top w:w="15" w:type="dxa"/>
            <w:left w:w="15" w:type="dxa"/>
            <w:bottom w:w="15" w:type="dxa"/>
            <w:right w:w="15" w:type="dxa"/>
          </w:tblCellMar>
        </w:tblPrEx>
        <w:tc>
          <w:tcPr>
            <w:tcW w:w="93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过敏的审查</w:t>
            </w:r>
          </w:p>
        </w:tc>
        <w:tc>
          <w:tcPr>
            <w:tcW w:w="406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22"/>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在获取病人既往过敏原或过敏类信息的基础上，提示病人用药处方中是否存在与病人既往过敏药品、食物相关的、可能导致类似过敏反应的药品；</w:t>
            </w:r>
          </w:p>
          <w:p>
            <w:pPr>
              <w:widowControl/>
              <w:numPr>
                <w:ilvl w:val="0"/>
                <w:numId w:val="122"/>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在获取病人对乙醇过敏，提示病人用药处方中是否存在含有乙醇的药品。</w:t>
            </w:r>
          </w:p>
        </w:tc>
      </w:tr>
      <w:tr>
        <w:tblPrEx>
          <w:shd w:val="clear" w:color="auto" w:fill="FFFFFF"/>
          <w:tblCellMar>
            <w:top w:w="15" w:type="dxa"/>
            <w:left w:w="15" w:type="dxa"/>
            <w:bottom w:w="15" w:type="dxa"/>
            <w:right w:w="15" w:type="dxa"/>
          </w:tblCellMar>
        </w:tblPrEx>
        <w:tc>
          <w:tcPr>
            <w:tcW w:w="93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不良反应提醒</w:t>
            </w:r>
          </w:p>
        </w:tc>
        <w:tc>
          <w:tcPr>
            <w:tcW w:w="406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23"/>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根据国家药品监督管理局发布的不良反应信息通报，提醒医生在使用相关药品时需要注意的问题。</w:t>
            </w:r>
          </w:p>
        </w:tc>
      </w:tr>
      <w:tr>
        <w:tblPrEx>
          <w:shd w:val="clear" w:color="auto" w:fill="FFFFFF"/>
          <w:tblCellMar>
            <w:top w:w="15" w:type="dxa"/>
            <w:left w:w="15" w:type="dxa"/>
            <w:bottom w:w="15" w:type="dxa"/>
            <w:right w:w="15" w:type="dxa"/>
          </w:tblCellMar>
        </w:tblPrEx>
        <w:tc>
          <w:tcPr>
            <w:tcW w:w="93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其他提醒</w:t>
            </w:r>
          </w:p>
        </w:tc>
        <w:tc>
          <w:tcPr>
            <w:tcW w:w="406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24"/>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处方/医嘱中肿瘤注射药品需要避光输注、冲管的，提醒医生用药需要注意该问题；</w:t>
            </w:r>
          </w:p>
          <w:p>
            <w:pPr>
              <w:widowControl/>
              <w:numPr>
                <w:ilvl w:val="0"/>
                <w:numId w:val="124"/>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处方/医嘱中肿瘤注射药品有特殊的滴速、输注速度，告知医生其适宜的滴速、输注速度。</w:t>
            </w:r>
          </w:p>
          <w:p>
            <w:pPr>
              <w:widowControl/>
              <w:spacing w:before="15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备注：在某类药品上直接编辑提示规则，不论医生对药品的使用正确与否，均给予提示。</w:t>
            </w:r>
          </w:p>
        </w:tc>
      </w:tr>
      <w:tr>
        <w:tblPrEx>
          <w:shd w:val="clear" w:color="auto" w:fill="FFFFFF"/>
          <w:tblCellMar>
            <w:top w:w="15" w:type="dxa"/>
            <w:left w:w="15" w:type="dxa"/>
            <w:bottom w:w="15" w:type="dxa"/>
            <w:right w:w="15" w:type="dxa"/>
          </w:tblCellMar>
        </w:tblPrEx>
        <w:tc>
          <w:tcPr>
            <w:tcW w:w="93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中药饮片的审查</w:t>
            </w:r>
          </w:p>
        </w:tc>
        <w:tc>
          <w:tcPr>
            <w:tcW w:w="406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25"/>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实现饮片十八反、十九畏的配伍管控；</w:t>
            </w:r>
          </w:p>
          <w:p>
            <w:pPr>
              <w:widowControl/>
              <w:numPr>
                <w:ilvl w:val="0"/>
                <w:numId w:val="125"/>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审查毒性饮片用药剂量是否超过药典推荐的剂量上限范围；</w:t>
            </w:r>
          </w:p>
          <w:p>
            <w:pPr>
              <w:widowControl/>
              <w:numPr>
                <w:ilvl w:val="0"/>
                <w:numId w:val="125"/>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审查是否存在药典规定的孕期禁止使用的饮片；</w:t>
            </w:r>
          </w:p>
          <w:p>
            <w:pPr>
              <w:widowControl/>
              <w:numPr>
                <w:ilvl w:val="0"/>
                <w:numId w:val="125"/>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审查外用饮片与药典不匹配的给药途径</w:t>
            </w:r>
            <w:r>
              <w:rPr>
                <w:rFonts w:hint="eastAsia" w:ascii="宋体" w:hAnsi="宋体" w:cs="宋体"/>
                <w:color w:val="000000" w:themeColor="text1"/>
                <w:kern w:val="0"/>
                <w:sz w:val="24"/>
                <w:highlight w:val="none"/>
                <w14:textFill>
                  <w14:solidFill>
                    <w14:schemeClr w14:val="tx1"/>
                  </w14:solidFill>
                </w14:textFill>
              </w:rPr>
              <w:t>；</w:t>
            </w:r>
          </w:p>
          <w:p>
            <w:pPr>
              <w:widowControl/>
              <w:numPr>
                <w:ilvl w:val="0"/>
                <w:numId w:val="125"/>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实现肾功能不全、肝功能不全谨慎使用与禁止作用的饮片管控。</w:t>
            </w:r>
          </w:p>
        </w:tc>
      </w:tr>
      <w:tr>
        <w:tblPrEx>
          <w:shd w:val="clear" w:color="auto" w:fill="FFFFFF"/>
          <w:tblCellMar>
            <w:top w:w="15" w:type="dxa"/>
            <w:left w:w="15" w:type="dxa"/>
            <w:bottom w:w="15" w:type="dxa"/>
            <w:right w:w="15" w:type="dxa"/>
          </w:tblCellMar>
        </w:tblPrEx>
        <w:tc>
          <w:tcPr>
            <w:tcW w:w="93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抗菌药物管理</w:t>
            </w:r>
          </w:p>
        </w:tc>
        <w:tc>
          <w:tcPr>
            <w:tcW w:w="406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26"/>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提供规则模板，可按《抗菌药物临床应用指导原则(2015年版)》实现抗菌药物越权用药的管控；</w:t>
            </w:r>
          </w:p>
          <w:p>
            <w:pPr>
              <w:widowControl/>
              <w:numPr>
                <w:ilvl w:val="0"/>
                <w:numId w:val="126"/>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实现处方/医嘱中是否存在作用机制相同药品重复应用的审查（同重复用药）。</w:t>
            </w:r>
          </w:p>
        </w:tc>
      </w:tr>
      <w:tr>
        <w:tblPrEx>
          <w:shd w:val="clear" w:color="auto" w:fill="FFFFFF"/>
          <w:tblCellMar>
            <w:top w:w="15" w:type="dxa"/>
            <w:left w:w="15" w:type="dxa"/>
            <w:bottom w:w="15" w:type="dxa"/>
            <w:right w:w="15" w:type="dxa"/>
          </w:tblCellMar>
        </w:tblPrEx>
        <w:tc>
          <w:tcPr>
            <w:tcW w:w="93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精、麻、毒、放、高危等药品的审查</w:t>
            </w:r>
          </w:p>
        </w:tc>
        <w:tc>
          <w:tcPr>
            <w:tcW w:w="406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27"/>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对已上市精、麻、毒、放、高危药品，维护精神药品、麻醉药品、毒性药品、放射性药品、高危药品的属性标志，用户可采用属性进行规则自定义，实现相关药品的管控；</w:t>
            </w:r>
          </w:p>
          <w:p>
            <w:pPr>
              <w:widowControl/>
              <w:numPr>
                <w:ilvl w:val="0"/>
                <w:numId w:val="127"/>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提供一类、二类精神药品管控规则模板，可按《处方管理办法》实现用药疗程天数管控；</w:t>
            </w:r>
          </w:p>
          <w:p>
            <w:pPr>
              <w:widowControl/>
              <w:numPr>
                <w:ilvl w:val="0"/>
                <w:numId w:val="127"/>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提供麻醉药品提供管控规则模板，可按《处方管理办法》实现用药疗程天数的管控；</w:t>
            </w:r>
          </w:p>
          <w:p>
            <w:pPr>
              <w:widowControl/>
              <w:numPr>
                <w:ilvl w:val="0"/>
                <w:numId w:val="127"/>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对于麻醉药品缓控释制剂（如芬太尼贴剂、硫酸吗啡控释片、盐酸羟考酮缓释片、盐酸羟考酮控释片等），实现不同品种药品重复使用的审查。</w:t>
            </w:r>
          </w:p>
        </w:tc>
      </w:tr>
      <w:tr>
        <w:tblPrEx>
          <w:shd w:val="clear" w:color="auto" w:fill="FFFFFF"/>
          <w:tblCellMar>
            <w:top w:w="15" w:type="dxa"/>
            <w:left w:w="15" w:type="dxa"/>
            <w:bottom w:w="15" w:type="dxa"/>
            <w:right w:w="15" w:type="dxa"/>
          </w:tblCellMar>
        </w:tblPrEx>
        <w:tc>
          <w:tcPr>
            <w:tcW w:w="93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自定义合理性审查规则</w:t>
            </w:r>
          </w:p>
        </w:tc>
        <w:tc>
          <w:tcPr>
            <w:tcW w:w="406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28"/>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支持用户自定义药品规则，能够对所有使用规则（包括引用自</w:t>
            </w:r>
            <w:r>
              <w:rPr>
                <w:rFonts w:hint="eastAsia" w:ascii="宋体" w:hAnsi="宋体" w:cs="宋体"/>
                <w:color w:val="000000" w:themeColor="text1"/>
                <w:kern w:val="0"/>
                <w:sz w:val="24"/>
                <w:highlight w:val="none"/>
                <w14:textFill>
                  <w14:solidFill>
                    <w14:schemeClr w14:val="tx1"/>
                  </w14:solidFill>
                </w14:textFill>
              </w:rPr>
              <w:t>说明书规则集</w:t>
            </w:r>
            <w:r>
              <w:rPr>
                <w:rFonts w:ascii="宋体" w:hAnsi="宋体" w:cs="宋体"/>
                <w:color w:val="000000" w:themeColor="text1"/>
                <w:kern w:val="0"/>
                <w:sz w:val="24"/>
                <w:highlight w:val="none"/>
                <w14:textFill>
                  <w14:solidFill>
                    <w14:schemeClr w14:val="tx1"/>
                  </w14:solidFill>
                </w14:textFill>
              </w:rPr>
              <w:t>的规则和本院</w:t>
            </w:r>
            <w:r>
              <w:rPr>
                <w:rFonts w:hint="eastAsia" w:ascii="宋体" w:hAnsi="宋体" w:cs="宋体"/>
                <w:color w:val="000000" w:themeColor="text1"/>
                <w:kern w:val="0"/>
                <w:sz w:val="24"/>
                <w:highlight w:val="none"/>
                <w14:textFill>
                  <w14:solidFill>
                    <w14:schemeClr w14:val="tx1"/>
                  </w14:solidFill>
                </w14:textFill>
              </w:rPr>
              <w:t>自定义</w:t>
            </w:r>
            <w:r>
              <w:rPr>
                <w:rFonts w:ascii="宋体" w:hAnsi="宋体" w:cs="宋体"/>
                <w:color w:val="000000" w:themeColor="text1"/>
                <w:kern w:val="0"/>
                <w:sz w:val="24"/>
                <w:highlight w:val="none"/>
                <w14:textFill>
                  <w14:solidFill>
                    <w14:schemeClr w14:val="tx1"/>
                  </w14:solidFill>
                </w14:textFill>
              </w:rPr>
              <w:t>的规则）进行新增、修改和删除，实现对用药适应症、禁忌症、用法用量、给药途径、相互作用、重复用药、特殊人群、配伍、过敏、不良反应等精准审查，规则审核后立即生效（不需要重启服务器）；</w:t>
            </w:r>
          </w:p>
          <w:p>
            <w:pPr>
              <w:widowControl/>
              <w:numPr>
                <w:ilvl w:val="0"/>
                <w:numId w:val="128"/>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提供130+判断条件，支持用户自定义编辑复杂规则判断，使药品的使用更加符合用户的实际用药情况；</w:t>
            </w:r>
          </w:p>
          <w:p>
            <w:pPr>
              <w:widowControl/>
              <w:numPr>
                <w:ilvl w:val="0"/>
                <w:numId w:val="128"/>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提供40+代表药品特点的属性（如单胺氧化酶抑制剂、磺胺结构类药品），支持用户在自定义规则中使用；</w:t>
            </w:r>
          </w:p>
          <w:p>
            <w:pPr>
              <w:widowControl/>
              <w:numPr>
                <w:ilvl w:val="0"/>
                <w:numId w:val="128"/>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支持用户自定义规则，可实现对q8h，q12h，q6h等特殊给药频率合理性的审查；</w:t>
            </w:r>
          </w:p>
          <w:p>
            <w:pPr>
              <w:widowControl/>
              <w:numPr>
                <w:ilvl w:val="0"/>
                <w:numId w:val="128"/>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提供69个条件（如检验指标肌酐）</w:t>
            </w:r>
            <w:r>
              <w:rPr>
                <w:rFonts w:hint="eastAsia" w:ascii="宋体" w:hAnsi="宋体" w:cs="宋体"/>
                <w:color w:val="000000" w:themeColor="text1"/>
                <w:kern w:val="0"/>
                <w:sz w:val="24"/>
                <w:highlight w:val="none"/>
                <w14:textFill>
                  <w14:solidFill>
                    <w14:schemeClr w14:val="tx1"/>
                  </w14:solidFill>
                </w14:textFill>
              </w:rPr>
              <w:t>的</w:t>
            </w:r>
            <w:r>
              <w:rPr>
                <w:rFonts w:ascii="宋体" w:hAnsi="宋体" w:cs="宋体"/>
                <w:color w:val="000000" w:themeColor="text1"/>
                <w:kern w:val="0"/>
                <w:sz w:val="24"/>
                <w:highlight w:val="none"/>
                <w14:textFill>
                  <w14:solidFill>
                    <w14:schemeClr w14:val="tx1"/>
                  </w14:solidFill>
                </w14:textFill>
              </w:rPr>
              <w:t>“为空”</w:t>
            </w:r>
            <w:r>
              <w:rPr>
                <w:rFonts w:hint="eastAsia" w:ascii="宋体" w:hAnsi="宋体" w:cs="宋体"/>
                <w:color w:val="000000" w:themeColor="text1"/>
                <w:kern w:val="0"/>
                <w:sz w:val="24"/>
                <w:highlight w:val="none"/>
                <w14:textFill>
                  <w14:solidFill>
                    <w14:schemeClr w14:val="tx1"/>
                  </w14:solidFill>
                </w14:textFill>
              </w:rPr>
              <w:t>判断</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即</w:t>
            </w:r>
            <w:r>
              <w:rPr>
                <w:rFonts w:ascii="宋体" w:hAnsi="宋体" w:cs="宋体"/>
                <w:color w:val="000000" w:themeColor="text1"/>
                <w:kern w:val="0"/>
                <w:sz w:val="24"/>
                <w:highlight w:val="none"/>
                <w14:textFill>
                  <w14:solidFill>
                    <w14:schemeClr w14:val="tx1"/>
                  </w14:solidFill>
                </w14:textFill>
              </w:rPr>
              <w:t>未获得病人的该类信息），支持用户在自定义规则中使用，避免审查时存在缺陷；</w:t>
            </w:r>
          </w:p>
          <w:p>
            <w:pPr>
              <w:widowControl/>
              <w:numPr>
                <w:ilvl w:val="0"/>
                <w:numId w:val="128"/>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提供中药颗粒目录，支持用户自定义规则，可以进行相应的管控；</w:t>
            </w:r>
          </w:p>
          <w:p>
            <w:pPr>
              <w:widowControl/>
              <w:numPr>
                <w:ilvl w:val="0"/>
                <w:numId w:val="128"/>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用户在自定义药品规则时，采用病人特征字典表达病人疾病情况。系统提供2500+个病人特征（如高血压、妊娠期妇女，已覆盖21个疾病）及其定义的规则，其规则可采用诊断、检验、手术等信息进行定义，已可基本满足已上市药品合理性审查（与西医诊断关联）时所需的病人特征；支持用户查看病人特征定义的规则，根据医院不同的管控需求，用户可对系统病人特征定义的规则进行修改或添加新的病人特征并自定义其规则。修改后，使用该病人特征的药品审查规则也会同时调整；并可快速查看该“病人特征”在药品适应症、禁忌症、用法用量、疗程、肝功能、肾功能、孕产等审查规则中的应用，可对规则的正确性进行校验；</w:t>
            </w:r>
          </w:p>
          <w:p>
            <w:pPr>
              <w:widowControl/>
              <w:numPr>
                <w:ilvl w:val="0"/>
                <w:numId w:val="128"/>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系统支持自定义规则审核后立即生效（不需要重启服务器）；可快速实现处方/医嘱的干预、查询、分析和统计。</w:t>
            </w:r>
          </w:p>
        </w:tc>
      </w:tr>
      <w:tr>
        <w:tblPrEx>
          <w:tblCellMar>
            <w:top w:w="15" w:type="dxa"/>
            <w:left w:w="15" w:type="dxa"/>
            <w:bottom w:w="15" w:type="dxa"/>
            <w:right w:w="15" w:type="dxa"/>
          </w:tblCellMar>
        </w:tblPrEx>
        <w:tc>
          <w:tcPr>
            <w:tcW w:w="93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自定义管理规则</w:t>
            </w:r>
          </w:p>
          <w:p>
            <w:pPr>
              <w:widowControl/>
              <w:jc w:val="left"/>
              <w:rPr>
                <w:rFonts w:ascii="宋体" w:hAnsi="宋体" w:cs="宋体"/>
                <w:color w:val="000000" w:themeColor="text1"/>
                <w:kern w:val="0"/>
                <w:sz w:val="24"/>
                <w:highlight w:val="none"/>
                <w14:textFill>
                  <w14:solidFill>
                    <w14:schemeClr w14:val="tx1"/>
                  </w14:solidFill>
                </w14:textFill>
              </w:rPr>
            </w:pPr>
          </w:p>
        </w:tc>
        <w:tc>
          <w:tcPr>
            <w:tcW w:w="406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29"/>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用户自定义管理规则，实现对整体用药的管控，包括门、急诊处方药品超多日用量、门诊输液审查（可限定科室、疾病）；药品品种（名称和品种数）、药品发药数量、处方金额、中药饮片帖数、中药饮片味数等（可限定患者病历号、处方时间、科室、来源（门诊、急诊或住院）等；</w:t>
            </w:r>
          </w:p>
          <w:p>
            <w:pPr>
              <w:widowControl/>
              <w:numPr>
                <w:ilvl w:val="0"/>
                <w:numId w:val="129"/>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支持用户自定义单病种的用药审查，控制“指定疾病的药品”只能在指定疾病下才能使用；</w:t>
            </w:r>
          </w:p>
          <w:p>
            <w:pPr>
              <w:widowControl/>
              <w:numPr>
                <w:ilvl w:val="0"/>
                <w:numId w:val="129"/>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用户自定义医保结算管控规则，控制“指定疾病的医保药品”在未患该疾病患者使用医保结算的管控；例：肝移植患者使用医保结算来采购只限肾移植患者医保结算的药品时，系统支持非肾移植患者须自费使用的审查。</w:t>
            </w:r>
          </w:p>
        </w:tc>
      </w:tr>
    </w:tbl>
    <w:p>
      <w:pPr>
        <w:tabs>
          <w:tab w:val="left" w:pos="540"/>
        </w:tabs>
        <w:autoSpaceDE w:val="0"/>
        <w:autoSpaceDN w:val="0"/>
        <w:snapToGrid w:val="0"/>
        <w:spacing w:line="360" w:lineRule="auto"/>
        <w:jc w:val="left"/>
        <w:textAlignment w:val="baseline"/>
        <w:rPr>
          <w:rFonts w:ascii="宋体" w:hAnsi="宋体" w:cs="宋体"/>
          <w:b/>
          <w:bCs/>
          <w:color w:val="000000"/>
          <w:sz w:val="24"/>
          <w:highlight w:val="none"/>
        </w:rPr>
      </w:pPr>
      <w:r>
        <w:rPr>
          <w:rFonts w:hint="eastAsia" w:ascii="宋体" w:hAnsi="宋体" w:cs="宋体"/>
          <w:b/>
          <w:bCs/>
          <w:color w:val="000000"/>
          <w:sz w:val="24"/>
          <w:highlight w:val="none"/>
        </w:rPr>
        <w:t>4.干预系统</w:t>
      </w:r>
    </w:p>
    <w:tbl>
      <w:tblPr>
        <w:tblStyle w:val="64"/>
        <w:tblW w:w="5000" w:type="pct"/>
        <w:tblInd w:w="0" w:type="dxa"/>
        <w:shd w:val="clear" w:color="auto" w:fill="FFFFFF"/>
        <w:tblLayout w:type="autofit"/>
        <w:tblCellMar>
          <w:top w:w="15" w:type="dxa"/>
          <w:left w:w="15" w:type="dxa"/>
          <w:bottom w:w="15" w:type="dxa"/>
          <w:right w:w="15" w:type="dxa"/>
        </w:tblCellMar>
      </w:tblPr>
      <w:tblGrid>
        <w:gridCol w:w="1752"/>
        <w:gridCol w:w="7618"/>
      </w:tblGrid>
      <w:tr>
        <w:tblPrEx>
          <w:shd w:val="clear" w:color="auto" w:fill="FFFFFF"/>
          <w:tblCellMar>
            <w:top w:w="15" w:type="dxa"/>
            <w:left w:w="15" w:type="dxa"/>
            <w:bottom w:w="15" w:type="dxa"/>
            <w:right w:w="15" w:type="dxa"/>
          </w:tblCellMar>
        </w:tblPrEx>
        <w:tc>
          <w:tcPr>
            <w:tcW w:w="93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功能</w:t>
            </w:r>
          </w:p>
        </w:tc>
        <w:tc>
          <w:tcPr>
            <w:tcW w:w="406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说明</w:t>
            </w:r>
          </w:p>
        </w:tc>
      </w:tr>
      <w:tr>
        <w:tblPrEx>
          <w:shd w:val="clear" w:color="auto" w:fill="FFFFFF"/>
          <w:tblCellMar>
            <w:top w:w="15" w:type="dxa"/>
            <w:left w:w="15" w:type="dxa"/>
            <w:bottom w:w="15" w:type="dxa"/>
            <w:right w:w="15" w:type="dxa"/>
          </w:tblCellMar>
        </w:tblPrEx>
        <w:tc>
          <w:tcPr>
            <w:tcW w:w="93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处方/医嘱实时审查</w:t>
            </w:r>
          </w:p>
        </w:tc>
        <w:tc>
          <w:tcPr>
            <w:tcW w:w="406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pStyle w:val="267"/>
              <w:widowControl/>
              <w:numPr>
                <w:ilvl w:val="0"/>
                <w:numId w:val="130"/>
              </w:numPr>
              <w:adjustRightInd/>
              <w:spacing w:line="240" w:lineRule="auto"/>
              <w:ind w:firstLineChars="0"/>
              <w:jc w:val="left"/>
              <w:rPr>
                <w:rFonts w:ascii="宋体" w:hAnsi="宋体" w:eastAsia="宋体" w:cs="宋体"/>
                <w:color w:val="000000" w:themeColor="text1"/>
                <w:kern w:val="0"/>
                <w:highlight w:val="none"/>
                <w14:textFill>
                  <w14:solidFill>
                    <w14:schemeClr w14:val="tx1"/>
                  </w14:solidFill>
                </w14:textFill>
              </w:rPr>
            </w:pPr>
            <w:r>
              <w:rPr>
                <w:rFonts w:ascii="宋体" w:hAnsi="宋体" w:eastAsia="宋体" w:cs="宋体"/>
                <w:color w:val="000000" w:themeColor="text1"/>
                <w:kern w:val="0"/>
                <w:highlight w:val="none"/>
                <w14:textFill>
                  <w14:solidFill>
                    <w14:schemeClr w14:val="tx1"/>
                  </w14:solidFill>
                </w14:textFill>
              </w:rPr>
              <w:t>支持</w:t>
            </w:r>
            <w:r>
              <w:rPr>
                <w:rFonts w:hint="eastAsia" w:ascii="宋体" w:hAnsi="宋体" w:eastAsia="宋体" w:cs="宋体"/>
                <w:color w:val="000000" w:themeColor="text1"/>
                <w:kern w:val="0"/>
                <w:highlight w:val="none"/>
                <w14:textFill>
                  <w14:solidFill>
                    <w14:schemeClr w14:val="tx1"/>
                  </w14:solidFill>
                </w14:textFill>
              </w:rPr>
              <w:t>在医生开方阶段对处方</w:t>
            </w:r>
            <w:r>
              <w:rPr>
                <w:rFonts w:ascii="宋体" w:hAnsi="宋体" w:eastAsia="宋体" w:cs="宋体"/>
                <w:color w:val="000000" w:themeColor="text1"/>
                <w:kern w:val="0"/>
                <w:highlight w:val="none"/>
                <w14:textFill>
                  <w14:solidFill>
                    <w14:schemeClr w14:val="tx1"/>
                  </w14:solidFill>
                </w14:textFill>
              </w:rPr>
              <w:t>/医嘱</w:t>
            </w:r>
            <w:r>
              <w:rPr>
                <w:rFonts w:hint="eastAsia" w:ascii="宋体" w:hAnsi="宋体" w:eastAsia="宋体" w:cs="宋体"/>
                <w:color w:val="000000" w:themeColor="text1"/>
                <w:kern w:val="0"/>
                <w:highlight w:val="none"/>
                <w14:textFill>
                  <w14:solidFill>
                    <w14:schemeClr w14:val="tx1"/>
                  </w14:solidFill>
                </w14:textFill>
              </w:rPr>
              <w:t>的用</w:t>
            </w:r>
            <w:r>
              <w:rPr>
                <w:rFonts w:ascii="宋体" w:hAnsi="宋体" w:eastAsia="宋体" w:cs="宋体"/>
                <w:color w:val="000000" w:themeColor="text1"/>
                <w:kern w:val="0"/>
                <w:highlight w:val="none"/>
                <w14:textFill>
                  <w14:solidFill>
                    <w14:schemeClr w14:val="tx1"/>
                  </w14:solidFill>
                </w14:textFill>
              </w:rPr>
              <w:t>药合理性进行实时审查，并给予医生提示，对于严重的用药问题可以直接在医生端进行拦截</w:t>
            </w:r>
            <w:r>
              <w:rPr>
                <w:rFonts w:hint="eastAsia" w:ascii="宋体" w:hAnsi="宋体" w:eastAsia="宋体" w:cs="宋体"/>
                <w:color w:val="000000" w:themeColor="text1"/>
                <w:kern w:val="0"/>
                <w:highlight w:val="none"/>
                <w14:textFill>
                  <w14:solidFill>
                    <w14:schemeClr w14:val="tx1"/>
                  </w14:solidFill>
                </w14:textFill>
              </w:rPr>
              <w:t>；</w:t>
            </w:r>
          </w:p>
          <w:p>
            <w:pPr>
              <w:pStyle w:val="267"/>
              <w:widowControl/>
              <w:numPr>
                <w:ilvl w:val="0"/>
                <w:numId w:val="130"/>
              </w:numPr>
              <w:adjustRightInd/>
              <w:spacing w:line="240" w:lineRule="auto"/>
              <w:ind w:firstLineChars="0"/>
              <w:jc w:val="left"/>
              <w:rPr>
                <w:rFonts w:ascii="宋体" w:hAnsi="宋体" w:eastAsia="宋体" w:cs="宋体"/>
                <w:color w:val="000000" w:themeColor="text1"/>
                <w:kern w:val="0"/>
                <w:highlight w:val="none"/>
                <w14:textFill>
                  <w14:solidFill>
                    <w14:schemeClr w14:val="tx1"/>
                  </w14:solidFill>
                </w14:textFill>
              </w:rPr>
            </w:pPr>
            <w:r>
              <w:rPr>
                <w:rFonts w:ascii="宋体" w:hAnsi="宋体" w:eastAsia="宋体" w:cs="宋体"/>
                <w:color w:val="000000" w:themeColor="text1"/>
                <w:kern w:val="0"/>
                <w:highlight w:val="none"/>
                <w14:textFill>
                  <w14:solidFill>
                    <w14:schemeClr w14:val="tx1"/>
                  </w14:solidFill>
                </w14:textFill>
              </w:rPr>
              <w:t>支持对处方/医嘱中用法用量、相互作用、配伍禁忌、重复用药、禁忌症、适应症、特殊人群用药、妊娠期用药、哺乳期用药、过敏、给药途径等不合理用药情况进行自动审查</w:t>
            </w:r>
            <w:r>
              <w:rPr>
                <w:rFonts w:hint="eastAsia" w:ascii="宋体" w:hAnsi="宋体" w:eastAsia="宋体" w:cs="宋体"/>
                <w:color w:val="000000" w:themeColor="text1"/>
                <w:kern w:val="0"/>
                <w:highlight w:val="none"/>
                <w14:textFill>
                  <w14:solidFill>
                    <w14:schemeClr w14:val="tx1"/>
                  </w14:solidFill>
                </w14:textFill>
              </w:rPr>
              <w:t>。</w:t>
            </w:r>
          </w:p>
        </w:tc>
      </w:tr>
      <w:tr>
        <w:tblPrEx>
          <w:shd w:val="clear" w:color="auto" w:fill="FFFFFF"/>
          <w:tblCellMar>
            <w:top w:w="15" w:type="dxa"/>
            <w:left w:w="15" w:type="dxa"/>
            <w:bottom w:w="15" w:type="dxa"/>
            <w:right w:w="15" w:type="dxa"/>
          </w:tblCellMar>
        </w:tblPrEx>
        <w:tc>
          <w:tcPr>
            <w:tcW w:w="93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处方/医嘱</w:t>
            </w:r>
            <w:r>
              <w:rPr>
                <w:rFonts w:hint="eastAsia" w:ascii="宋体" w:hAnsi="宋体" w:cs="宋体"/>
                <w:color w:val="000000" w:themeColor="text1"/>
                <w:kern w:val="0"/>
                <w:sz w:val="24"/>
                <w:highlight w:val="none"/>
                <w14:textFill>
                  <w14:solidFill>
                    <w14:schemeClr w14:val="tx1"/>
                  </w14:solidFill>
                </w14:textFill>
              </w:rPr>
              <w:t>干预结果查询</w:t>
            </w:r>
          </w:p>
        </w:tc>
        <w:tc>
          <w:tcPr>
            <w:tcW w:w="406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31"/>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w:t>
            </w:r>
            <w:r>
              <w:rPr>
                <w:rFonts w:ascii="宋体" w:hAnsi="宋体" w:cs="宋体"/>
                <w:color w:val="000000" w:themeColor="text1"/>
                <w:kern w:val="0"/>
                <w:sz w:val="24"/>
                <w:highlight w:val="none"/>
                <w14:textFill>
                  <w14:solidFill>
                    <w14:schemeClr w14:val="tx1"/>
                  </w14:solidFill>
                </w14:textFill>
              </w:rPr>
              <w:t>处方/医嘱</w:t>
            </w:r>
            <w:r>
              <w:rPr>
                <w:rFonts w:hint="eastAsia" w:ascii="宋体" w:hAnsi="宋体" w:cs="宋体"/>
                <w:color w:val="000000" w:themeColor="text1"/>
                <w:kern w:val="0"/>
                <w:sz w:val="24"/>
                <w:highlight w:val="none"/>
                <w14:textFill>
                  <w14:solidFill>
                    <w14:schemeClr w14:val="tx1"/>
                  </w14:solidFill>
                </w14:textFill>
              </w:rPr>
              <w:t>及干预结果的自动采集和保存，支持药师</w:t>
            </w:r>
            <w:r>
              <w:rPr>
                <w:rFonts w:ascii="宋体" w:hAnsi="宋体" w:cs="宋体"/>
                <w:color w:val="000000" w:themeColor="text1"/>
                <w:kern w:val="0"/>
                <w:sz w:val="24"/>
                <w:highlight w:val="none"/>
                <w14:textFill>
                  <w14:solidFill>
                    <w14:schemeClr w14:val="tx1"/>
                  </w14:solidFill>
                </w14:textFill>
              </w:rPr>
              <w:t>实时查看医生开具的处方/医嘱及</w:t>
            </w:r>
            <w:r>
              <w:rPr>
                <w:rFonts w:hint="eastAsia" w:ascii="宋体" w:hAnsi="宋体" w:cs="宋体"/>
                <w:color w:val="000000" w:themeColor="text1"/>
                <w:kern w:val="0"/>
                <w:sz w:val="24"/>
                <w:highlight w:val="none"/>
                <w14:textFill>
                  <w14:solidFill>
                    <w14:schemeClr w14:val="tx1"/>
                  </w14:solidFill>
                </w14:textFill>
              </w:rPr>
              <w:t>发生的用药问题</w:t>
            </w:r>
            <w:r>
              <w:rPr>
                <w:rFonts w:ascii="宋体" w:hAnsi="宋体" w:cs="宋体"/>
                <w:color w:val="000000" w:themeColor="text1"/>
                <w:kern w:val="0"/>
                <w:sz w:val="24"/>
                <w:highlight w:val="none"/>
                <w14:textFill>
                  <w14:solidFill>
                    <w14:schemeClr w14:val="tx1"/>
                  </w14:solidFill>
                </w14:textFill>
              </w:rPr>
              <w:t>；</w:t>
            </w:r>
          </w:p>
          <w:p>
            <w:pPr>
              <w:widowControl/>
              <w:numPr>
                <w:ilvl w:val="0"/>
                <w:numId w:val="131"/>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支持药师</w:t>
            </w:r>
            <w:r>
              <w:rPr>
                <w:rFonts w:ascii="宋体" w:hAnsi="宋体" w:cs="宋体"/>
                <w:color w:val="000000" w:themeColor="text1"/>
                <w:kern w:val="0"/>
                <w:sz w:val="24"/>
                <w:highlight w:val="none"/>
                <w14:textFill>
                  <w14:solidFill>
                    <w14:schemeClr w14:val="tx1"/>
                  </w14:solidFill>
                </w14:textFill>
              </w:rPr>
              <w:t>对具体审查结果对应的知识库规则进行确认/待查操作，或对知识库进行修改完善</w:t>
            </w:r>
            <w:r>
              <w:rPr>
                <w:rFonts w:hint="eastAsia" w:ascii="宋体" w:hAnsi="宋体" w:cs="宋体"/>
                <w:color w:val="000000" w:themeColor="text1"/>
                <w:kern w:val="0"/>
                <w:sz w:val="24"/>
                <w:highlight w:val="none"/>
                <w14:textFill>
                  <w14:solidFill>
                    <w14:schemeClr w14:val="tx1"/>
                  </w14:solidFill>
                </w14:textFill>
              </w:rPr>
              <w:t>；</w:t>
            </w:r>
          </w:p>
          <w:p>
            <w:pPr>
              <w:widowControl/>
              <w:numPr>
                <w:ilvl w:val="0"/>
                <w:numId w:val="131"/>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w:t>
            </w:r>
            <w:r>
              <w:rPr>
                <w:rFonts w:ascii="宋体" w:hAnsi="宋体" w:cs="宋体"/>
                <w:color w:val="000000" w:themeColor="text1"/>
                <w:kern w:val="0"/>
                <w:sz w:val="24"/>
                <w:highlight w:val="none"/>
                <w14:textFill>
                  <w14:solidFill>
                    <w14:schemeClr w14:val="tx1"/>
                  </w14:solidFill>
                </w14:textFill>
              </w:rPr>
              <w:t>医生登入系统，查看本人的</w:t>
            </w:r>
            <w:r>
              <w:rPr>
                <w:rFonts w:hint="eastAsia" w:ascii="宋体" w:hAnsi="宋体" w:cs="宋体"/>
                <w:color w:val="000000" w:themeColor="text1"/>
                <w:kern w:val="0"/>
                <w:sz w:val="24"/>
                <w:highlight w:val="none"/>
                <w14:textFill>
                  <w14:solidFill>
                    <w14:schemeClr w14:val="tx1"/>
                  </w14:solidFill>
                </w14:textFill>
              </w:rPr>
              <w:t>全部问题</w:t>
            </w:r>
            <w:r>
              <w:rPr>
                <w:rFonts w:ascii="宋体" w:hAnsi="宋体" w:cs="宋体"/>
                <w:color w:val="000000" w:themeColor="text1"/>
                <w:kern w:val="0"/>
                <w:sz w:val="24"/>
                <w:highlight w:val="none"/>
                <w14:textFill>
                  <w14:solidFill>
                    <w14:schemeClr w14:val="tx1"/>
                  </w14:solidFill>
                </w14:textFill>
              </w:rPr>
              <w:t>处方和</w:t>
            </w:r>
            <w:r>
              <w:rPr>
                <w:rFonts w:hint="eastAsia" w:ascii="宋体" w:hAnsi="宋体" w:cs="宋体"/>
                <w:color w:val="000000" w:themeColor="text1"/>
                <w:kern w:val="0"/>
                <w:sz w:val="24"/>
                <w:highlight w:val="none"/>
                <w14:textFill>
                  <w14:solidFill>
                    <w14:schemeClr w14:val="tx1"/>
                  </w14:solidFill>
                </w14:textFill>
              </w:rPr>
              <w:t>处方</w:t>
            </w:r>
            <w:r>
              <w:rPr>
                <w:rFonts w:ascii="宋体" w:hAnsi="宋体" w:cs="宋体"/>
                <w:color w:val="000000" w:themeColor="text1"/>
                <w:kern w:val="0"/>
                <w:sz w:val="24"/>
                <w:highlight w:val="none"/>
                <w14:textFill>
                  <w14:solidFill>
                    <w14:schemeClr w14:val="tx1"/>
                  </w14:solidFill>
                </w14:textFill>
              </w:rPr>
              <w:t>审核结果</w:t>
            </w:r>
            <w:r>
              <w:rPr>
                <w:rFonts w:hint="eastAsia" w:ascii="宋体" w:hAnsi="宋体" w:cs="宋体"/>
                <w:color w:val="000000" w:themeColor="text1"/>
                <w:kern w:val="0"/>
                <w:sz w:val="24"/>
                <w:highlight w:val="none"/>
                <w14:textFill>
                  <w14:solidFill>
                    <w14:schemeClr w14:val="tx1"/>
                  </w14:solidFill>
                </w14:textFill>
              </w:rPr>
              <w:t>；</w:t>
            </w:r>
          </w:p>
          <w:p>
            <w:pPr>
              <w:widowControl/>
              <w:numPr>
                <w:ilvl w:val="0"/>
                <w:numId w:val="131"/>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w:t>
            </w:r>
            <w:r>
              <w:rPr>
                <w:rFonts w:ascii="宋体" w:hAnsi="宋体" w:cs="宋体"/>
                <w:color w:val="000000" w:themeColor="text1"/>
                <w:kern w:val="0"/>
                <w:sz w:val="24"/>
                <w:highlight w:val="none"/>
                <w14:textFill>
                  <w14:solidFill>
                    <w14:schemeClr w14:val="tx1"/>
                  </w14:solidFill>
                </w14:textFill>
              </w:rPr>
              <w:t>科主任</w:t>
            </w:r>
            <w:r>
              <w:rPr>
                <w:rFonts w:hint="eastAsia" w:ascii="宋体" w:hAnsi="宋体" w:cs="宋体"/>
                <w:color w:val="000000" w:themeColor="text1"/>
                <w:kern w:val="0"/>
                <w:sz w:val="24"/>
                <w:highlight w:val="none"/>
                <w14:textFill>
                  <w14:solidFill>
                    <w14:schemeClr w14:val="tx1"/>
                  </w14:solidFill>
                </w14:textFill>
              </w:rPr>
              <w:t>/医院管理人员</w:t>
            </w:r>
            <w:r>
              <w:rPr>
                <w:rFonts w:ascii="宋体" w:hAnsi="宋体" w:cs="宋体"/>
                <w:color w:val="000000" w:themeColor="text1"/>
                <w:kern w:val="0"/>
                <w:sz w:val="24"/>
                <w:highlight w:val="none"/>
                <w14:textFill>
                  <w14:solidFill>
                    <w14:schemeClr w14:val="tx1"/>
                  </w14:solidFill>
                </w14:textFill>
              </w:rPr>
              <w:t>登入系统，查看本</w:t>
            </w:r>
            <w:r>
              <w:rPr>
                <w:rFonts w:hint="eastAsia" w:ascii="宋体" w:hAnsi="宋体" w:cs="宋体"/>
                <w:color w:val="000000" w:themeColor="text1"/>
                <w:kern w:val="0"/>
                <w:sz w:val="24"/>
                <w:highlight w:val="none"/>
                <w14:textFill>
                  <w14:solidFill>
                    <w14:schemeClr w14:val="tx1"/>
                  </w14:solidFill>
                </w14:textFill>
              </w:rPr>
              <w:t>科室或本</w:t>
            </w:r>
            <w:r>
              <w:rPr>
                <w:rFonts w:ascii="宋体" w:hAnsi="宋体" w:cs="宋体"/>
                <w:color w:val="000000" w:themeColor="text1"/>
                <w:kern w:val="0"/>
                <w:sz w:val="24"/>
                <w:highlight w:val="none"/>
                <w14:textFill>
                  <w14:solidFill>
                    <w14:schemeClr w14:val="tx1"/>
                  </w14:solidFill>
                </w14:textFill>
              </w:rPr>
              <w:t>院的</w:t>
            </w:r>
            <w:r>
              <w:rPr>
                <w:rFonts w:hint="eastAsia" w:ascii="宋体" w:hAnsi="宋体" w:cs="宋体"/>
                <w:color w:val="000000" w:themeColor="text1"/>
                <w:kern w:val="0"/>
                <w:sz w:val="24"/>
                <w:highlight w:val="none"/>
                <w14:textFill>
                  <w14:solidFill>
                    <w14:schemeClr w14:val="tx1"/>
                  </w14:solidFill>
                </w14:textFill>
              </w:rPr>
              <w:t>全部问题</w:t>
            </w:r>
            <w:r>
              <w:rPr>
                <w:rFonts w:ascii="宋体" w:hAnsi="宋体" w:cs="宋体"/>
                <w:color w:val="000000" w:themeColor="text1"/>
                <w:kern w:val="0"/>
                <w:sz w:val="24"/>
                <w:highlight w:val="none"/>
                <w14:textFill>
                  <w14:solidFill>
                    <w14:schemeClr w14:val="tx1"/>
                  </w14:solidFill>
                </w14:textFill>
              </w:rPr>
              <w:t>处方</w:t>
            </w:r>
            <w:r>
              <w:rPr>
                <w:rFonts w:hint="eastAsia" w:ascii="宋体" w:hAnsi="宋体" w:cs="宋体"/>
                <w:color w:val="000000" w:themeColor="text1"/>
                <w:kern w:val="0"/>
                <w:sz w:val="24"/>
                <w:highlight w:val="none"/>
                <w14:textFill>
                  <w14:solidFill>
                    <w14:schemeClr w14:val="tx1"/>
                  </w14:solidFill>
                </w14:textFill>
              </w:rPr>
              <w:t>/医嘱及</w:t>
            </w:r>
            <w:r>
              <w:rPr>
                <w:rFonts w:ascii="宋体" w:hAnsi="宋体" w:cs="宋体"/>
                <w:color w:val="000000" w:themeColor="text1"/>
                <w:kern w:val="0"/>
                <w:sz w:val="24"/>
                <w:highlight w:val="none"/>
                <w14:textFill>
                  <w14:solidFill>
                    <w14:schemeClr w14:val="tx1"/>
                  </w14:solidFill>
                </w14:textFill>
              </w:rPr>
              <w:t>审核结果</w:t>
            </w:r>
          </w:p>
        </w:tc>
      </w:tr>
      <w:tr>
        <w:tblPrEx>
          <w:shd w:val="clear" w:color="auto" w:fill="FFFFFF"/>
          <w:tblCellMar>
            <w:top w:w="15" w:type="dxa"/>
            <w:left w:w="15" w:type="dxa"/>
            <w:bottom w:w="15" w:type="dxa"/>
            <w:right w:w="15" w:type="dxa"/>
          </w:tblCellMar>
        </w:tblPrEx>
        <w:tc>
          <w:tcPr>
            <w:tcW w:w="93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干预效果分析</w:t>
            </w:r>
          </w:p>
        </w:tc>
        <w:tc>
          <w:tcPr>
            <w:tcW w:w="406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pStyle w:val="267"/>
              <w:widowControl/>
              <w:numPr>
                <w:ilvl w:val="0"/>
                <w:numId w:val="132"/>
              </w:numPr>
              <w:adjustRightInd/>
              <w:spacing w:before="100" w:beforeAutospacing="1" w:after="100" w:afterAutospacing="1" w:line="240" w:lineRule="auto"/>
              <w:ind w:firstLineChars="0"/>
              <w:jc w:val="left"/>
              <w:rPr>
                <w:rFonts w:ascii="宋体" w:hAnsi="宋体" w:eastAsia="宋体" w:cs="宋体"/>
                <w:color w:val="000000" w:themeColor="text1"/>
                <w:kern w:val="0"/>
                <w:highlight w:val="none"/>
                <w14:textFill>
                  <w14:solidFill>
                    <w14:schemeClr w14:val="tx1"/>
                  </w14:solidFill>
                </w14:textFill>
              </w:rPr>
            </w:pPr>
            <w:r>
              <w:rPr>
                <w:rFonts w:ascii="宋体" w:hAnsi="宋体" w:eastAsia="宋体" w:cs="宋体"/>
                <w:color w:val="000000" w:themeColor="text1"/>
                <w:kern w:val="0"/>
                <w:highlight w:val="none"/>
                <w14:textFill>
                  <w14:solidFill>
                    <w14:schemeClr w14:val="tx1"/>
                  </w14:solidFill>
                </w14:textFill>
              </w:rPr>
              <w:t>支持图表</w:t>
            </w:r>
            <w:r>
              <w:rPr>
                <w:rFonts w:hint="eastAsia" w:ascii="宋体" w:hAnsi="宋体" w:eastAsia="宋体" w:cs="宋体"/>
                <w:color w:val="000000" w:themeColor="text1"/>
                <w:kern w:val="0"/>
                <w:highlight w:val="none"/>
                <w14:textFill>
                  <w14:solidFill>
                    <w14:schemeClr w14:val="tx1"/>
                  </w14:solidFill>
                </w14:textFill>
              </w:rPr>
              <w:t>化</w:t>
            </w:r>
            <w:r>
              <w:rPr>
                <w:rFonts w:ascii="宋体" w:hAnsi="宋体" w:eastAsia="宋体" w:cs="宋体"/>
                <w:color w:val="000000" w:themeColor="text1"/>
                <w:kern w:val="0"/>
                <w:highlight w:val="none"/>
                <w14:textFill>
                  <w14:solidFill>
                    <w14:schemeClr w14:val="tx1"/>
                  </w14:solidFill>
                </w14:textFill>
              </w:rPr>
              <w:t>展示实时干预效果（每小时更新）：</w:t>
            </w:r>
          </w:p>
          <w:p>
            <w:pPr>
              <w:widowControl/>
              <w:numPr>
                <w:ilvl w:val="0"/>
                <w:numId w:val="115"/>
              </w:numPr>
              <w:adjustRightInd/>
              <w:spacing w:before="100" w:beforeAutospacing="1" w:after="100" w:afterAutospacing="1"/>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实时统计当日处方数、</w:t>
            </w:r>
            <w:r>
              <w:rPr>
                <w:rFonts w:ascii="宋体" w:hAnsi="宋体"/>
                <w:color w:val="000000" w:themeColor="text1"/>
                <w:sz w:val="24"/>
                <w:highlight w:val="none"/>
                <w14:textFill>
                  <w14:solidFill>
                    <w14:schemeClr w14:val="tx1"/>
                  </w14:solidFill>
                </w14:textFill>
              </w:rPr>
              <w:t>干预处方数、拦截处方数、审查次数、干预率及拦截率；</w:t>
            </w:r>
          </w:p>
          <w:p>
            <w:pPr>
              <w:widowControl/>
              <w:numPr>
                <w:ilvl w:val="0"/>
                <w:numId w:val="115"/>
              </w:numPr>
              <w:adjustRightInd/>
              <w:spacing w:before="100" w:beforeAutospacing="1" w:after="100" w:afterAutospacing="1"/>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实时统计当日</w:t>
            </w:r>
            <w:r>
              <w:rPr>
                <w:rFonts w:ascii="宋体" w:hAnsi="宋体"/>
                <w:color w:val="000000" w:themeColor="text1"/>
                <w:sz w:val="24"/>
                <w:highlight w:val="none"/>
                <w14:textFill>
                  <w14:solidFill>
                    <w14:schemeClr w14:val="tx1"/>
                  </w14:solidFill>
                </w14:textFill>
              </w:rPr>
              <w:t>住院患者数、</w:t>
            </w:r>
            <w:r>
              <w:rPr>
                <w:rFonts w:hint="eastAsia" w:ascii="宋体" w:hAnsi="宋体"/>
                <w:color w:val="000000" w:themeColor="text1"/>
                <w:sz w:val="24"/>
                <w:highlight w:val="none"/>
                <w14:textFill>
                  <w14:solidFill>
                    <w14:schemeClr w14:val="tx1"/>
                  </w14:solidFill>
                </w14:textFill>
              </w:rPr>
              <w:t>干预患者数、</w:t>
            </w:r>
            <w:r>
              <w:rPr>
                <w:rFonts w:ascii="宋体" w:hAnsi="宋体"/>
                <w:color w:val="000000" w:themeColor="text1"/>
                <w:sz w:val="24"/>
                <w:highlight w:val="none"/>
                <w14:textFill>
                  <w14:solidFill>
                    <w14:schemeClr w14:val="tx1"/>
                  </w14:solidFill>
                </w14:textFill>
              </w:rPr>
              <w:t>拦截患者数、审查次数、干预率及拦截率；</w:t>
            </w:r>
          </w:p>
          <w:p>
            <w:pPr>
              <w:widowControl/>
              <w:numPr>
                <w:ilvl w:val="0"/>
                <w:numId w:val="115"/>
              </w:numPr>
              <w:adjustRightInd/>
              <w:spacing w:before="100" w:beforeAutospacing="1" w:after="100" w:afterAutospacing="1"/>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支持展示干预效果趋势图；</w:t>
            </w:r>
          </w:p>
          <w:p>
            <w:pPr>
              <w:widowControl/>
              <w:numPr>
                <w:ilvl w:val="0"/>
                <w:numId w:val="115"/>
              </w:numPr>
              <w:adjustRightInd/>
              <w:spacing w:before="100" w:beforeAutospacing="1" w:after="100" w:afterAutospacing="1"/>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支持展示</w:t>
            </w:r>
            <w:r>
              <w:rPr>
                <w:rFonts w:hint="eastAsia" w:ascii="宋体" w:hAnsi="宋体"/>
                <w:color w:val="000000" w:themeColor="text1"/>
                <w:sz w:val="24"/>
                <w:highlight w:val="none"/>
                <w14:textFill>
                  <w14:solidFill>
                    <w14:schemeClr w14:val="tx1"/>
                  </w14:solidFill>
                </w14:textFill>
              </w:rPr>
              <w:t>警示信息发生数柱状图；</w:t>
            </w:r>
          </w:p>
          <w:p>
            <w:pPr>
              <w:widowControl/>
              <w:numPr>
                <w:ilvl w:val="0"/>
                <w:numId w:val="115"/>
              </w:numPr>
              <w:adjustRightInd/>
              <w:spacing w:before="100" w:beforeAutospacing="1" w:after="100" w:afterAutospacing="1"/>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支持展示</w:t>
            </w:r>
            <w:r>
              <w:rPr>
                <w:rFonts w:hint="eastAsia" w:ascii="宋体" w:hAnsi="宋体"/>
                <w:color w:val="000000" w:themeColor="text1"/>
                <w:sz w:val="24"/>
                <w:highlight w:val="none"/>
                <w14:textFill>
                  <w14:solidFill>
                    <w14:schemeClr w14:val="tx1"/>
                  </w14:solidFill>
                </w14:textFill>
              </w:rPr>
              <w:t>门诊/住院</w:t>
            </w:r>
            <w:r>
              <w:rPr>
                <w:rFonts w:ascii="宋体" w:hAnsi="宋体"/>
                <w:color w:val="000000" w:themeColor="text1"/>
                <w:sz w:val="24"/>
                <w:highlight w:val="none"/>
                <w14:textFill>
                  <w14:solidFill>
                    <w14:schemeClr w14:val="tx1"/>
                  </w14:solidFill>
                </w14:textFill>
              </w:rPr>
              <w:t>干预量科室</w:t>
            </w:r>
            <w:r>
              <w:rPr>
                <w:rFonts w:hint="eastAsia" w:ascii="宋体" w:hAnsi="宋体"/>
                <w:color w:val="000000" w:themeColor="text1"/>
                <w:sz w:val="24"/>
                <w:highlight w:val="none"/>
                <w14:textFill>
                  <w14:solidFill>
                    <w14:schemeClr w14:val="tx1"/>
                  </w14:solidFill>
                </w14:textFill>
              </w:rPr>
              <w:t>前十名</w:t>
            </w:r>
            <w:r>
              <w:rPr>
                <w:rFonts w:ascii="宋体" w:hAnsi="宋体"/>
                <w:color w:val="000000" w:themeColor="text1"/>
                <w:sz w:val="24"/>
                <w:highlight w:val="none"/>
                <w14:textFill>
                  <w14:solidFill>
                    <w14:schemeClr w14:val="tx1"/>
                  </w14:solidFill>
                </w14:textFill>
              </w:rPr>
              <w:t>；</w:t>
            </w:r>
          </w:p>
          <w:p>
            <w:pPr>
              <w:widowControl/>
              <w:numPr>
                <w:ilvl w:val="0"/>
                <w:numId w:val="115"/>
              </w:numPr>
              <w:adjustRightInd/>
              <w:spacing w:before="100" w:beforeAutospacing="1" w:after="100" w:afterAutospacing="1"/>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支持展示警示信息发生数药品</w:t>
            </w:r>
            <w:r>
              <w:rPr>
                <w:rFonts w:hint="eastAsia" w:ascii="宋体" w:hAnsi="宋体"/>
                <w:color w:val="000000" w:themeColor="text1"/>
                <w:sz w:val="24"/>
                <w:highlight w:val="none"/>
                <w14:textFill>
                  <w14:solidFill>
                    <w14:schemeClr w14:val="tx1"/>
                  </w14:solidFill>
                </w14:textFill>
              </w:rPr>
              <w:t>前十名</w:t>
            </w:r>
            <w:r>
              <w:rPr>
                <w:rFonts w:ascii="宋体" w:hAnsi="宋体"/>
                <w:color w:val="000000" w:themeColor="text1"/>
                <w:sz w:val="24"/>
                <w:highlight w:val="none"/>
                <w14:textFill>
                  <w14:solidFill>
                    <w14:schemeClr w14:val="tx1"/>
                  </w14:solidFill>
                </w14:textFill>
              </w:rPr>
              <w:t>。</w:t>
            </w:r>
          </w:p>
          <w:p>
            <w:pPr>
              <w:pStyle w:val="267"/>
              <w:widowControl/>
              <w:numPr>
                <w:ilvl w:val="0"/>
                <w:numId w:val="132"/>
              </w:numPr>
              <w:adjustRightInd/>
              <w:spacing w:before="100" w:beforeAutospacing="1" w:after="100" w:afterAutospacing="1" w:line="240" w:lineRule="auto"/>
              <w:ind w:firstLineChars="0"/>
              <w:jc w:val="left"/>
              <w:rPr>
                <w:rFonts w:ascii="宋体" w:hAnsi="宋体" w:eastAsia="宋体" w:cs="宋体"/>
                <w:color w:val="000000" w:themeColor="text1"/>
                <w:kern w:val="0"/>
                <w:highlight w:val="none"/>
                <w14:textFill>
                  <w14:solidFill>
                    <w14:schemeClr w14:val="tx1"/>
                  </w14:solidFill>
                </w14:textFill>
              </w:rPr>
            </w:pPr>
            <w:r>
              <w:rPr>
                <w:rFonts w:ascii="宋体" w:hAnsi="宋体" w:eastAsia="宋体" w:cs="宋体"/>
                <w:color w:val="000000" w:themeColor="text1"/>
                <w:kern w:val="0"/>
                <w:highlight w:val="none"/>
                <w14:textFill>
                  <w14:solidFill>
                    <w14:schemeClr w14:val="tx1"/>
                  </w14:solidFill>
                </w14:textFill>
              </w:rPr>
              <w:t>支持干预效果分析</w:t>
            </w:r>
            <w:r>
              <w:rPr>
                <w:rFonts w:hint="eastAsia" w:ascii="宋体" w:hAnsi="宋体" w:eastAsia="宋体" w:cs="宋体"/>
                <w:color w:val="000000" w:themeColor="text1"/>
                <w:kern w:val="0"/>
                <w:highlight w:val="none"/>
                <w14:textFill>
                  <w14:solidFill>
                    <w14:schemeClr w14:val="tx1"/>
                  </w14:solidFill>
                </w14:textFill>
              </w:rPr>
              <w:t>统计，包括：</w:t>
            </w:r>
          </w:p>
          <w:p>
            <w:pPr>
              <w:widowControl/>
              <w:numPr>
                <w:ilvl w:val="0"/>
                <w:numId w:val="115"/>
              </w:numPr>
              <w:adjustRightInd/>
              <w:spacing w:before="100" w:beforeAutospacing="1" w:after="100" w:afterAutospacing="1"/>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支持</w:t>
            </w:r>
            <w:r>
              <w:rPr>
                <w:rFonts w:ascii="宋体" w:hAnsi="宋体"/>
                <w:color w:val="000000" w:themeColor="text1"/>
                <w:sz w:val="24"/>
                <w:highlight w:val="none"/>
                <w14:textFill>
                  <w14:solidFill>
                    <w14:schemeClr w14:val="tx1"/>
                  </w14:solidFill>
                </w14:textFill>
              </w:rPr>
              <w:t>按医院/科室/医生</w:t>
            </w:r>
            <w:r>
              <w:rPr>
                <w:rFonts w:hint="eastAsia" w:ascii="宋体" w:hAnsi="宋体"/>
                <w:color w:val="000000" w:themeColor="text1"/>
                <w:sz w:val="24"/>
                <w:highlight w:val="none"/>
                <w14:textFill>
                  <w14:solidFill>
                    <w14:schemeClr w14:val="tx1"/>
                  </w14:solidFill>
                </w14:textFill>
              </w:rPr>
              <w:t>维度查看</w:t>
            </w:r>
            <w:r>
              <w:rPr>
                <w:rFonts w:ascii="宋体" w:hAnsi="宋体"/>
                <w:color w:val="000000" w:themeColor="text1"/>
                <w:sz w:val="24"/>
                <w:highlight w:val="none"/>
                <w14:textFill>
                  <w14:solidFill>
                    <w14:schemeClr w14:val="tx1"/>
                  </w14:solidFill>
                </w14:textFill>
              </w:rPr>
              <w:t>处方总数、审查次数、干预处方数、拦截处方数等指标；</w:t>
            </w:r>
          </w:p>
          <w:p>
            <w:pPr>
              <w:widowControl/>
              <w:numPr>
                <w:ilvl w:val="0"/>
                <w:numId w:val="115"/>
              </w:numPr>
              <w:adjustRightInd/>
              <w:spacing w:before="100" w:beforeAutospacing="1" w:after="100" w:afterAutospacing="1"/>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支持</w:t>
            </w:r>
            <w:r>
              <w:rPr>
                <w:rFonts w:ascii="宋体" w:hAnsi="宋体"/>
                <w:color w:val="000000" w:themeColor="text1"/>
                <w:sz w:val="24"/>
                <w:highlight w:val="none"/>
                <w14:textFill>
                  <w14:solidFill>
                    <w14:schemeClr w14:val="tx1"/>
                  </w14:solidFill>
                </w14:textFill>
              </w:rPr>
              <w:t>按医院/科室</w:t>
            </w:r>
            <w:r>
              <w:rPr>
                <w:rFonts w:hint="eastAsia" w:ascii="宋体" w:hAnsi="宋体"/>
                <w:color w:val="000000" w:themeColor="text1"/>
                <w:sz w:val="24"/>
                <w:highlight w:val="none"/>
                <w14:textFill>
                  <w14:solidFill>
                    <w14:schemeClr w14:val="tx1"/>
                  </w14:solidFill>
                </w14:textFill>
              </w:rPr>
              <w:t>维度查看住院患者</w:t>
            </w:r>
            <w:r>
              <w:rPr>
                <w:rFonts w:ascii="宋体" w:hAnsi="宋体"/>
                <w:color w:val="000000" w:themeColor="text1"/>
                <w:sz w:val="24"/>
                <w:highlight w:val="none"/>
                <w14:textFill>
                  <w14:solidFill>
                    <w14:schemeClr w14:val="tx1"/>
                  </w14:solidFill>
                </w14:textFill>
              </w:rPr>
              <w:t>总数、审查次数、干预</w:t>
            </w:r>
            <w:r>
              <w:rPr>
                <w:rFonts w:hint="eastAsia" w:ascii="宋体" w:hAnsi="宋体"/>
                <w:color w:val="000000" w:themeColor="text1"/>
                <w:sz w:val="24"/>
                <w:highlight w:val="none"/>
                <w14:textFill>
                  <w14:solidFill>
                    <w14:schemeClr w14:val="tx1"/>
                  </w14:solidFill>
                </w14:textFill>
              </w:rPr>
              <w:t>患者</w:t>
            </w:r>
            <w:r>
              <w:rPr>
                <w:rFonts w:ascii="宋体" w:hAnsi="宋体"/>
                <w:color w:val="000000" w:themeColor="text1"/>
                <w:sz w:val="24"/>
                <w:highlight w:val="none"/>
                <w14:textFill>
                  <w14:solidFill>
                    <w14:schemeClr w14:val="tx1"/>
                  </w14:solidFill>
                </w14:textFill>
              </w:rPr>
              <w:t>数、拦截</w:t>
            </w:r>
            <w:r>
              <w:rPr>
                <w:rFonts w:hint="eastAsia" w:ascii="宋体" w:hAnsi="宋体"/>
                <w:color w:val="000000" w:themeColor="text1"/>
                <w:sz w:val="24"/>
                <w:highlight w:val="none"/>
                <w14:textFill>
                  <w14:solidFill>
                    <w14:schemeClr w14:val="tx1"/>
                  </w14:solidFill>
                </w14:textFill>
              </w:rPr>
              <w:t>患者</w:t>
            </w:r>
            <w:r>
              <w:rPr>
                <w:rFonts w:ascii="宋体" w:hAnsi="宋体"/>
                <w:color w:val="000000" w:themeColor="text1"/>
                <w:sz w:val="24"/>
                <w:highlight w:val="none"/>
                <w14:textFill>
                  <w14:solidFill>
                    <w14:schemeClr w14:val="tx1"/>
                  </w14:solidFill>
                </w14:textFill>
              </w:rPr>
              <w:t>数等指标；</w:t>
            </w:r>
          </w:p>
          <w:p>
            <w:pPr>
              <w:widowControl/>
              <w:numPr>
                <w:ilvl w:val="0"/>
                <w:numId w:val="115"/>
              </w:numPr>
              <w:adjustRightInd/>
              <w:spacing w:before="100" w:beforeAutospacing="1" w:after="100" w:afterAutospacing="1"/>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支持按医院/科室/医生</w:t>
            </w:r>
            <w:r>
              <w:rPr>
                <w:rFonts w:hint="eastAsia" w:ascii="宋体" w:hAnsi="宋体"/>
                <w:color w:val="000000" w:themeColor="text1"/>
                <w:sz w:val="24"/>
                <w:highlight w:val="none"/>
                <w14:textFill>
                  <w14:solidFill>
                    <w14:schemeClr w14:val="tx1"/>
                  </w14:solidFill>
                </w14:textFill>
              </w:rPr>
              <w:t>维度</w:t>
            </w:r>
            <w:r>
              <w:rPr>
                <w:rFonts w:ascii="宋体" w:hAnsi="宋体"/>
                <w:color w:val="000000" w:themeColor="text1"/>
                <w:sz w:val="24"/>
                <w:highlight w:val="none"/>
                <w14:textFill>
                  <w14:solidFill>
                    <w14:schemeClr w14:val="tx1"/>
                  </w14:solidFill>
                </w14:textFill>
              </w:rPr>
              <w:t>查看医生对</w:t>
            </w:r>
            <w:r>
              <w:rPr>
                <w:rFonts w:hint="eastAsia" w:ascii="宋体" w:hAnsi="宋体"/>
                <w:color w:val="000000" w:themeColor="text1"/>
                <w:sz w:val="24"/>
                <w:highlight w:val="none"/>
                <w14:textFill>
                  <w14:solidFill>
                    <w14:schemeClr w14:val="tx1"/>
                  </w14:solidFill>
                </w14:textFill>
              </w:rPr>
              <w:t>门诊问题</w:t>
            </w:r>
            <w:r>
              <w:rPr>
                <w:rFonts w:ascii="宋体" w:hAnsi="宋体"/>
                <w:color w:val="000000" w:themeColor="text1"/>
                <w:sz w:val="24"/>
                <w:highlight w:val="none"/>
                <w14:textFill>
                  <w14:solidFill>
                    <w14:schemeClr w14:val="tx1"/>
                  </w14:solidFill>
                </w14:textFill>
              </w:rPr>
              <w:t>处方</w:t>
            </w:r>
            <w:r>
              <w:rPr>
                <w:rFonts w:hint="eastAsia" w:ascii="宋体" w:hAnsi="宋体"/>
                <w:color w:val="000000" w:themeColor="text1"/>
                <w:sz w:val="24"/>
                <w:highlight w:val="none"/>
                <w14:textFill>
                  <w14:solidFill>
                    <w14:schemeClr w14:val="tx1"/>
                  </w14:solidFill>
                </w14:textFill>
              </w:rPr>
              <w:t>的处理情况</w:t>
            </w:r>
            <w:r>
              <w:rPr>
                <w:rFonts w:ascii="宋体" w:hAnsi="宋体"/>
                <w:color w:val="000000" w:themeColor="text1"/>
                <w:sz w:val="24"/>
                <w:highlight w:val="none"/>
                <w14:textFill>
                  <w14:solidFill>
                    <w14:schemeClr w14:val="tx1"/>
                  </w14:solidFill>
                </w14:textFill>
              </w:rPr>
              <w:t>，包括更换药物、修正错误、忽略错误及删除处方</w:t>
            </w:r>
            <w:r>
              <w:rPr>
                <w:rFonts w:hint="eastAsia" w:ascii="宋体" w:hAnsi="宋体"/>
                <w:color w:val="000000" w:themeColor="text1"/>
                <w:sz w:val="24"/>
                <w:highlight w:val="none"/>
                <w14:textFill>
                  <w14:solidFill>
                    <w14:schemeClr w14:val="tx1"/>
                  </w14:solidFill>
                </w14:textFill>
              </w:rPr>
              <w:t>的处方数及占比</w:t>
            </w:r>
            <w:r>
              <w:rPr>
                <w:rFonts w:ascii="宋体" w:hAnsi="宋体"/>
                <w:color w:val="000000" w:themeColor="text1"/>
                <w:sz w:val="24"/>
                <w:highlight w:val="none"/>
                <w14:textFill>
                  <w14:solidFill>
                    <w14:schemeClr w14:val="tx1"/>
                  </w14:solidFill>
                </w14:textFill>
              </w:rPr>
              <w:t>；</w:t>
            </w:r>
          </w:p>
          <w:p>
            <w:pPr>
              <w:widowControl/>
              <w:numPr>
                <w:ilvl w:val="0"/>
                <w:numId w:val="115"/>
              </w:numPr>
              <w:adjustRightInd/>
              <w:spacing w:before="100" w:beforeAutospacing="1" w:after="100" w:afterAutospacing="1"/>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支持按医院/科室/医生查看</w:t>
            </w:r>
            <w:r>
              <w:rPr>
                <w:rFonts w:hint="eastAsia" w:ascii="宋体" w:hAnsi="宋体"/>
                <w:color w:val="000000" w:themeColor="text1"/>
                <w:sz w:val="24"/>
                <w:highlight w:val="none"/>
                <w14:textFill>
                  <w14:solidFill>
                    <w14:schemeClr w14:val="tx1"/>
                  </w14:solidFill>
                </w14:textFill>
              </w:rPr>
              <w:t>门诊处方</w:t>
            </w:r>
            <w:r>
              <w:rPr>
                <w:rFonts w:ascii="宋体" w:hAnsi="宋体"/>
                <w:color w:val="000000" w:themeColor="text1"/>
                <w:sz w:val="24"/>
                <w:highlight w:val="none"/>
                <w14:textFill>
                  <w14:solidFill>
                    <w14:schemeClr w14:val="tx1"/>
                  </w14:solidFill>
                </w14:textFill>
              </w:rPr>
              <w:t>不同等级</w:t>
            </w:r>
            <w:r>
              <w:rPr>
                <w:rFonts w:hint="eastAsia" w:ascii="宋体" w:hAnsi="宋体"/>
                <w:color w:val="000000" w:themeColor="text1"/>
                <w:sz w:val="24"/>
                <w:highlight w:val="none"/>
                <w14:textFill>
                  <w14:solidFill>
                    <w14:schemeClr w14:val="tx1"/>
                  </w14:solidFill>
                </w14:textFill>
              </w:rPr>
              <w:t>或类型警</w:t>
            </w:r>
            <w:r>
              <w:rPr>
                <w:rFonts w:ascii="宋体" w:hAnsi="宋体"/>
                <w:color w:val="000000" w:themeColor="text1"/>
                <w:sz w:val="24"/>
                <w:highlight w:val="none"/>
                <w14:textFill>
                  <w14:solidFill>
                    <w14:schemeClr w14:val="tx1"/>
                  </w14:solidFill>
                </w14:textFill>
              </w:rPr>
              <w:t>示信息的发生次数、发生处方数及占比；</w:t>
            </w:r>
          </w:p>
          <w:p>
            <w:pPr>
              <w:widowControl/>
              <w:numPr>
                <w:ilvl w:val="0"/>
                <w:numId w:val="115"/>
              </w:numPr>
              <w:adjustRightInd/>
              <w:spacing w:before="100" w:beforeAutospacing="1" w:after="100" w:afterAutospacing="1"/>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支持按医院/科室查看</w:t>
            </w:r>
            <w:r>
              <w:rPr>
                <w:rFonts w:hint="eastAsia" w:ascii="宋体" w:hAnsi="宋体"/>
                <w:color w:val="000000" w:themeColor="text1"/>
                <w:sz w:val="24"/>
                <w:highlight w:val="none"/>
                <w14:textFill>
                  <w14:solidFill>
                    <w14:schemeClr w14:val="tx1"/>
                  </w14:solidFill>
                </w14:textFill>
              </w:rPr>
              <w:t>住院患者</w:t>
            </w:r>
            <w:r>
              <w:rPr>
                <w:rFonts w:ascii="宋体" w:hAnsi="宋体"/>
                <w:color w:val="000000" w:themeColor="text1"/>
                <w:sz w:val="24"/>
                <w:highlight w:val="none"/>
                <w14:textFill>
                  <w14:solidFill>
                    <w14:schemeClr w14:val="tx1"/>
                  </w14:solidFill>
                </w14:textFill>
              </w:rPr>
              <w:t>不同等级</w:t>
            </w:r>
            <w:r>
              <w:rPr>
                <w:rFonts w:hint="eastAsia" w:ascii="宋体" w:hAnsi="宋体"/>
                <w:color w:val="000000" w:themeColor="text1"/>
                <w:sz w:val="24"/>
                <w:highlight w:val="none"/>
                <w14:textFill>
                  <w14:solidFill>
                    <w14:schemeClr w14:val="tx1"/>
                  </w14:solidFill>
                </w14:textFill>
              </w:rPr>
              <w:t>或类型警</w:t>
            </w:r>
            <w:r>
              <w:rPr>
                <w:rFonts w:ascii="宋体" w:hAnsi="宋体"/>
                <w:color w:val="000000" w:themeColor="text1"/>
                <w:sz w:val="24"/>
                <w:highlight w:val="none"/>
                <w14:textFill>
                  <w14:solidFill>
                    <w14:schemeClr w14:val="tx1"/>
                  </w14:solidFill>
                </w14:textFill>
              </w:rPr>
              <w:t>示信息的发生次数、发生</w:t>
            </w:r>
            <w:r>
              <w:rPr>
                <w:rFonts w:hint="eastAsia" w:ascii="宋体" w:hAnsi="宋体"/>
                <w:color w:val="000000" w:themeColor="text1"/>
                <w:sz w:val="24"/>
                <w:highlight w:val="none"/>
                <w14:textFill>
                  <w14:solidFill>
                    <w14:schemeClr w14:val="tx1"/>
                  </w14:solidFill>
                </w14:textFill>
              </w:rPr>
              <w:t>患者</w:t>
            </w:r>
            <w:r>
              <w:rPr>
                <w:rFonts w:ascii="宋体" w:hAnsi="宋体"/>
                <w:color w:val="000000" w:themeColor="text1"/>
                <w:sz w:val="24"/>
                <w:highlight w:val="none"/>
                <w14:textFill>
                  <w14:solidFill>
                    <w14:schemeClr w14:val="tx1"/>
                  </w14:solidFill>
                </w14:textFill>
              </w:rPr>
              <w:t>数及占比；</w:t>
            </w:r>
          </w:p>
          <w:p>
            <w:pPr>
              <w:widowControl/>
              <w:numPr>
                <w:ilvl w:val="0"/>
                <w:numId w:val="115"/>
              </w:numPr>
              <w:adjustRightInd/>
              <w:spacing w:before="100" w:beforeAutospacing="1" w:after="100" w:afterAutospacing="1"/>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支持按医院/科室/医生查看不同</w:t>
            </w:r>
            <w:r>
              <w:rPr>
                <w:rFonts w:hint="eastAsia" w:ascii="宋体" w:hAnsi="宋体"/>
                <w:color w:val="000000" w:themeColor="text1"/>
                <w:sz w:val="24"/>
                <w:highlight w:val="none"/>
                <w14:textFill>
                  <w14:solidFill>
                    <w14:schemeClr w14:val="tx1"/>
                  </w14:solidFill>
                </w14:textFill>
              </w:rPr>
              <w:t>等级或</w:t>
            </w:r>
            <w:r>
              <w:rPr>
                <w:rFonts w:ascii="宋体" w:hAnsi="宋体"/>
                <w:color w:val="000000" w:themeColor="text1"/>
                <w:sz w:val="24"/>
                <w:highlight w:val="none"/>
                <w14:textFill>
                  <w14:solidFill>
                    <w14:schemeClr w14:val="tx1"/>
                  </w14:solidFill>
                </w14:textFill>
              </w:rPr>
              <w:t>类型警示信息的发生次数、发生</w:t>
            </w:r>
            <w:r>
              <w:rPr>
                <w:rFonts w:hint="eastAsia" w:ascii="宋体" w:hAnsi="宋体"/>
                <w:color w:val="000000" w:themeColor="text1"/>
                <w:sz w:val="24"/>
                <w:highlight w:val="none"/>
                <w14:textFill>
                  <w14:solidFill>
                    <w14:schemeClr w14:val="tx1"/>
                  </w14:solidFill>
                </w14:textFill>
              </w:rPr>
              <w:t>患者</w:t>
            </w:r>
            <w:r>
              <w:rPr>
                <w:rFonts w:ascii="宋体" w:hAnsi="宋体"/>
                <w:color w:val="000000" w:themeColor="text1"/>
                <w:sz w:val="24"/>
                <w:highlight w:val="none"/>
                <w14:textFill>
                  <w14:solidFill>
                    <w14:schemeClr w14:val="tx1"/>
                  </w14:solidFill>
                </w14:textFill>
              </w:rPr>
              <w:t>数及占比；</w:t>
            </w:r>
          </w:p>
          <w:p>
            <w:pPr>
              <w:widowControl/>
              <w:numPr>
                <w:ilvl w:val="0"/>
                <w:numId w:val="115"/>
              </w:numPr>
              <w:adjustRightInd/>
              <w:spacing w:before="100" w:beforeAutospacing="1" w:after="100" w:afterAutospacing="1"/>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支持按药品展示不同类型或等级警示信息的发生次数、发生处方数、发生患者数及占比</w:t>
            </w:r>
          </w:p>
        </w:tc>
      </w:tr>
    </w:tbl>
    <w:p>
      <w:pPr>
        <w:tabs>
          <w:tab w:val="left" w:pos="540"/>
        </w:tabs>
        <w:autoSpaceDE w:val="0"/>
        <w:autoSpaceDN w:val="0"/>
        <w:snapToGrid w:val="0"/>
        <w:spacing w:line="360" w:lineRule="auto"/>
        <w:jc w:val="left"/>
        <w:textAlignment w:val="baseline"/>
        <w:rPr>
          <w:rFonts w:ascii="宋体" w:hAnsi="宋体" w:cs="宋体"/>
          <w:b/>
          <w:bCs/>
          <w:color w:val="000000"/>
          <w:sz w:val="24"/>
          <w:highlight w:val="none"/>
        </w:rPr>
      </w:pPr>
      <w:r>
        <w:rPr>
          <w:rFonts w:hint="eastAsia" w:ascii="宋体" w:hAnsi="宋体" w:cs="宋体"/>
          <w:b/>
          <w:bCs/>
          <w:color w:val="000000"/>
          <w:sz w:val="24"/>
          <w:highlight w:val="none"/>
        </w:rPr>
        <w:t>5.审方系统</w:t>
      </w:r>
    </w:p>
    <w:tbl>
      <w:tblPr>
        <w:tblStyle w:val="64"/>
        <w:tblW w:w="5000" w:type="pct"/>
        <w:tblInd w:w="0" w:type="dxa"/>
        <w:shd w:val="clear" w:color="auto" w:fill="FFFFFF"/>
        <w:tblLayout w:type="autofit"/>
        <w:tblCellMar>
          <w:top w:w="15" w:type="dxa"/>
          <w:left w:w="15" w:type="dxa"/>
          <w:bottom w:w="15" w:type="dxa"/>
          <w:right w:w="15" w:type="dxa"/>
        </w:tblCellMar>
      </w:tblPr>
      <w:tblGrid>
        <w:gridCol w:w="1751"/>
        <w:gridCol w:w="7619"/>
      </w:tblGrid>
      <w:tr>
        <w:tblPrEx>
          <w:shd w:val="clear" w:color="auto" w:fill="FFFFFF"/>
          <w:tblCellMar>
            <w:top w:w="15" w:type="dxa"/>
            <w:left w:w="15" w:type="dxa"/>
            <w:bottom w:w="15" w:type="dxa"/>
            <w:right w:w="15" w:type="dxa"/>
          </w:tblCellMar>
        </w:tblPrEx>
        <w:tc>
          <w:tcPr>
            <w:tcW w:w="93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功能</w:t>
            </w:r>
          </w:p>
        </w:tc>
        <w:tc>
          <w:tcPr>
            <w:tcW w:w="406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说明</w:t>
            </w:r>
          </w:p>
        </w:tc>
      </w:tr>
      <w:tr>
        <w:tblPrEx>
          <w:shd w:val="clear" w:color="auto" w:fill="FFFFFF"/>
          <w:tblCellMar>
            <w:top w:w="15" w:type="dxa"/>
            <w:left w:w="15" w:type="dxa"/>
            <w:bottom w:w="15" w:type="dxa"/>
            <w:right w:w="15" w:type="dxa"/>
          </w:tblCellMar>
        </w:tblPrEx>
        <w:tc>
          <w:tcPr>
            <w:tcW w:w="93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审方流程</w:t>
            </w:r>
          </w:p>
        </w:tc>
        <w:tc>
          <w:tcPr>
            <w:tcW w:w="406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33"/>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系统提供审方药师门诊审方工作平台，支持审方药师在患者缴费前完成门诊处方的实时审查；</w:t>
            </w:r>
          </w:p>
          <w:p>
            <w:pPr>
              <w:widowControl/>
              <w:numPr>
                <w:ilvl w:val="0"/>
                <w:numId w:val="133"/>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系统提供审方药师住院审方工作平台，支持审方药师在医嘱调剂前完成住院医嘱的实时审查；</w:t>
            </w:r>
          </w:p>
          <w:p>
            <w:pPr>
              <w:widowControl/>
              <w:numPr>
                <w:ilvl w:val="0"/>
                <w:numId w:val="133"/>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系统按照预设的用药规则对处方/医嘱进行自动审查，包括过敏、禁忌症、适应症、特殊人群、配伍、相互作用、重复用药、给药途径、给药时机、给药剂量、给药频率、疗程审查等；再交由药师可选取全部或部分处方/医嘱进行人工审核；审方药师可将审核不合理的处方/医嘱打回到医生端，由医生进行双签或修改，直到处方/医嘱审核通过，进入调剂环节；</w:t>
            </w:r>
          </w:p>
        </w:tc>
      </w:tr>
      <w:tr>
        <w:tblPrEx>
          <w:shd w:val="clear" w:color="auto" w:fill="FFFFFF"/>
          <w:tblCellMar>
            <w:top w:w="15" w:type="dxa"/>
            <w:left w:w="15" w:type="dxa"/>
            <w:bottom w:w="15" w:type="dxa"/>
            <w:right w:w="15" w:type="dxa"/>
          </w:tblCellMar>
        </w:tblPrEx>
        <w:tc>
          <w:tcPr>
            <w:tcW w:w="93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审方方案和模式设置</w:t>
            </w:r>
          </w:p>
        </w:tc>
        <w:tc>
          <w:tcPr>
            <w:tcW w:w="406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34"/>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方案设置：可按照科室、医疗组、诊断、药品属性、警示信息设置一个或多个审方方案；对于不需要人工审核的处方/医嘱，支持处方/医嘱自动通过；</w:t>
            </w:r>
          </w:p>
          <w:p>
            <w:pPr>
              <w:widowControl/>
              <w:numPr>
                <w:ilvl w:val="0"/>
                <w:numId w:val="134"/>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药师权限设置：可按照来源、门诊/住院科室等条件设置药师的审方权限；</w:t>
            </w:r>
          </w:p>
          <w:p>
            <w:pPr>
              <w:widowControl/>
              <w:numPr>
                <w:ilvl w:val="0"/>
                <w:numId w:val="134"/>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门诊审方模式：支持按单张处方审查；</w:t>
            </w:r>
          </w:p>
          <w:p>
            <w:pPr>
              <w:widowControl/>
              <w:numPr>
                <w:ilvl w:val="0"/>
                <w:numId w:val="134"/>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门诊审方模式：支持按患者合并审查；</w:t>
            </w:r>
          </w:p>
          <w:p>
            <w:pPr>
              <w:widowControl/>
              <w:numPr>
                <w:ilvl w:val="0"/>
                <w:numId w:val="134"/>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住院审方模式：支持一组一个任务来审查，会合并历史；</w:t>
            </w:r>
          </w:p>
          <w:p>
            <w:pPr>
              <w:widowControl/>
              <w:numPr>
                <w:ilvl w:val="0"/>
                <w:numId w:val="134"/>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住院审方模式：支持多组在一起审查，会合并历史。</w:t>
            </w:r>
          </w:p>
        </w:tc>
      </w:tr>
      <w:tr>
        <w:tblPrEx>
          <w:shd w:val="clear" w:color="auto" w:fill="FFFFFF"/>
          <w:tblCellMar>
            <w:top w:w="15" w:type="dxa"/>
            <w:left w:w="15" w:type="dxa"/>
            <w:bottom w:w="15" w:type="dxa"/>
            <w:right w:w="15" w:type="dxa"/>
          </w:tblCellMar>
        </w:tblPrEx>
        <w:tc>
          <w:tcPr>
            <w:tcW w:w="93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审方页面展示</w:t>
            </w:r>
          </w:p>
        </w:tc>
        <w:tc>
          <w:tcPr>
            <w:tcW w:w="406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35"/>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支持展示患者信息、待审(或已审）处方/医嘱信息及系统自动审查结果；</w:t>
            </w:r>
          </w:p>
          <w:p>
            <w:pPr>
              <w:widowControl/>
              <w:numPr>
                <w:ilvl w:val="0"/>
                <w:numId w:val="135"/>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支持一体化展示住院患者信息汇总，包括诊断、检查检验信息、手术信息、生命体征趋势图等；</w:t>
            </w:r>
          </w:p>
          <w:p>
            <w:pPr>
              <w:widowControl/>
              <w:numPr>
                <w:ilvl w:val="0"/>
                <w:numId w:val="135"/>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支持在药师审核任务时，展示干预阶段医生预先填写的特别用药理由;</w:t>
            </w:r>
          </w:p>
          <w:p>
            <w:pPr>
              <w:widowControl/>
              <w:numPr>
                <w:ilvl w:val="0"/>
                <w:numId w:val="135"/>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支持审方药师查看待审核处方/医嘱任务总量及分配给自己的待审处方/医嘱任务；门急诊可按科室、医生、处方号进行任务筛选；住院可按病区、医嘱类型、患者号进行任务筛选；</w:t>
            </w:r>
          </w:p>
          <w:p>
            <w:pPr>
              <w:widowControl/>
              <w:numPr>
                <w:ilvl w:val="0"/>
                <w:numId w:val="135"/>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紧急标记的处方/医嘱优先审核；</w:t>
            </w:r>
          </w:p>
          <w:p>
            <w:pPr>
              <w:widowControl/>
              <w:numPr>
                <w:ilvl w:val="0"/>
                <w:numId w:val="135"/>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审方药师选择多张处方/医嘱批量审核通过；</w:t>
            </w:r>
          </w:p>
          <w:p>
            <w:pPr>
              <w:widowControl/>
              <w:numPr>
                <w:ilvl w:val="0"/>
                <w:numId w:val="135"/>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支持审方药师在审核处方/医嘱时，对系统根据处方/医嘱跑出的警示信息内容进行确认，并支持人工输入审核意见及用药建议；</w:t>
            </w:r>
          </w:p>
          <w:p>
            <w:pPr>
              <w:widowControl/>
              <w:numPr>
                <w:ilvl w:val="0"/>
                <w:numId w:val="135"/>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支持药师自定义设置审核意见模板；</w:t>
            </w:r>
          </w:p>
          <w:p>
            <w:pPr>
              <w:widowControl/>
              <w:numPr>
                <w:ilvl w:val="0"/>
                <w:numId w:val="135"/>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支持审方药师根据问题的严重程度选择是否强制要求医生修改处方/医嘱；</w:t>
            </w:r>
          </w:p>
          <w:p>
            <w:pPr>
              <w:widowControl/>
              <w:numPr>
                <w:ilvl w:val="0"/>
                <w:numId w:val="135"/>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支持待审处方/医嘱超过规定时间，自动超时通过，并支持自定义超时时间；</w:t>
            </w:r>
          </w:p>
          <w:p>
            <w:pPr>
              <w:widowControl/>
              <w:numPr>
                <w:ilvl w:val="0"/>
                <w:numId w:val="135"/>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打回后医生超时未处理提示，且可以对需提示时间进行设置；</w:t>
            </w:r>
          </w:p>
          <w:p>
            <w:pPr>
              <w:widowControl/>
              <w:numPr>
                <w:ilvl w:val="0"/>
                <w:numId w:val="135"/>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处方/医嘱打回后，当医生对打回的处方/医嘱进行双签后，在药师界面显示双签理由并通过任务；</w:t>
            </w:r>
          </w:p>
          <w:p>
            <w:pPr>
              <w:widowControl/>
              <w:numPr>
                <w:ilvl w:val="0"/>
                <w:numId w:val="135"/>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无药师上岗在线时任务全部自动通过；</w:t>
            </w:r>
          </w:p>
        </w:tc>
      </w:tr>
      <w:tr>
        <w:tblPrEx>
          <w:tblCellMar>
            <w:top w:w="15" w:type="dxa"/>
            <w:left w:w="15" w:type="dxa"/>
            <w:bottom w:w="15" w:type="dxa"/>
            <w:right w:w="15" w:type="dxa"/>
          </w:tblCellMar>
        </w:tblPrEx>
        <w:trPr>
          <w:trHeight w:val="842" w:hRule="atLeast"/>
        </w:trPr>
        <w:tc>
          <w:tcPr>
            <w:tcW w:w="93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审查结果查看</w:t>
            </w:r>
          </w:p>
        </w:tc>
        <w:tc>
          <w:tcPr>
            <w:tcW w:w="406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36"/>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查看进入审方系统的全部处方或医嘱；</w:t>
            </w:r>
          </w:p>
          <w:p>
            <w:pPr>
              <w:widowControl/>
              <w:numPr>
                <w:ilvl w:val="0"/>
                <w:numId w:val="136"/>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按日期、科室、审方药师、审核状态、警示类型筛选查看处方/医嘱。</w:t>
            </w:r>
          </w:p>
        </w:tc>
      </w:tr>
      <w:tr>
        <w:tblPrEx>
          <w:tblCellMar>
            <w:top w:w="15" w:type="dxa"/>
            <w:left w:w="15" w:type="dxa"/>
            <w:bottom w:w="15" w:type="dxa"/>
            <w:right w:w="15" w:type="dxa"/>
          </w:tblCellMar>
        </w:tblPrEx>
        <w:tc>
          <w:tcPr>
            <w:tcW w:w="93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统计分析</w:t>
            </w:r>
          </w:p>
        </w:tc>
        <w:tc>
          <w:tcPr>
            <w:tcW w:w="406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37"/>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从机构、科室、医生等角度统计处方/医嘱数量及审查概况，包括自动通过处方数/医嘱组数、药师打回、药师通过处方数/医嘱组数等指标；</w:t>
            </w:r>
          </w:p>
          <w:p>
            <w:pPr>
              <w:widowControl/>
              <w:numPr>
                <w:ilvl w:val="0"/>
                <w:numId w:val="137"/>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支持统计各审方药师审核的处方数/医嘱组数、审核通过、审核打回的处方数/医嘱组数等指标；</w:t>
            </w:r>
          </w:p>
          <w:p>
            <w:pPr>
              <w:widowControl/>
              <w:numPr>
                <w:ilvl w:val="0"/>
                <w:numId w:val="137"/>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统计药师审核的处方/医嘱中各问题类型的发生的情况，包括打回处方数/医嘱组数、医生双签、医生修改处方数/医嘱组数等指标；</w:t>
            </w:r>
          </w:p>
        </w:tc>
      </w:tr>
    </w:tbl>
    <w:p>
      <w:pPr>
        <w:tabs>
          <w:tab w:val="left" w:pos="540"/>
        </w:tabs>
        <w:autoSpaceDE w:val="0"/>
        <w:autoSpaceDN w:val="0"/>
        <w:snapToGrid w:val="0"/>
        <w:spacing w:line="360" w:lineRule="auto"/>
        <w:jc w:val="left"/>
        <w:textAlignment w:val="baseline"/>
        <w:rPr>
          <w:rFonts w:ascii="宋体" w:hAnsi="宋体" w:cs="宋体"/>
          <w:b/>
          <w:bCs/>
          <w:color w:val="000000"/>
          <w:sz w:val="24"/>
          <w:highlight w:val="none"/>
        </w:rPr>
      </w:pPr>
      <w:r>
        <w:rPr>
          <w:rFonts w:hint="eastAsia" w:ascii="宋体" w:hAnsi="宋体" w:cs="宋体"/>
          <w:b/>
          <w:bCs/>
          <w:color w:val="000000"/>
          <w:sz w:val="24"/>
          <w:highlight w:val="none"/>
        </w:rPr>
        <w:t>6.分析系统</w:t>
      </w:r>
    </w:p>
    <w:p>
      <w:pPr>
        <w:tabs>
          <w:tab w:val="left" w:pos="540"/>
        </w:tabs>
        <w:autoSpaceDE w:val="0"/>
        <w:autoSpaceDN w:val="0"/>
        <w:snapToGrid w:val="0"/>
        <w:spacing w:line="360" w:lineRule="auto"/>
        <w:jc w:val="left"/>
        <w:textAlignment w:val="baseline"/>
        <w:rPr>
          <w:rFonts w:ascii="宋体" w:hAnsi="宋体" w:cs="宋体"/>
          <w:b/>
          <w:bCs/>
          <w:color w:val="000000"/>
          <w:sz w:val="24"/>
          <w:highlight w:val="none"/>
        </w:rPr>
      </w:pPr>
      <w:r>
        <w:rPr>
          <w:rFonts w:hint="eastAsia" w:ascii="宋体" w:hAnsi="宋体" w:cs="宋体"/>
          <w:b/>
          <w:bCs/>
          <w:color w:val="000000"/>
          <w:sz w:val="24"/>
          <w:highlight w:val="none"/>
        </w:rPr>
        <w:t>6.1.处方/医嘱分析功能</w:t>
      </w:r>
    </w:p>
    <w:tbl>
      <w:tblPr>
        <w:tblStyle w:val="64"/>
        <w:tblW w:w="5000" w:type="pct"/>
        <w:tblInd w:w="0" w:type="dxa"/>
        <w:shd w:val="clear" w:color="auto" w:fill="FFFFFF"/>
        <w:tblLayout w:type="autofit"/>
        <w:tblCellMar>
          <w:top w:w="15" w:type="dxa"/>
          <w:left w:w="15" w:type="dxa"/>
          <w:bottom w:w="15" w:type="dxa"/>
          <w:right w:w="15" w:type="dxa"/>
        </w:tblCellMar>
      </w:tblPr>
      <w:tblGrid>
        <w:gridCol w:w="1754"/>
        <w:gridCol w:w="7616"/>
      </w:tblGrid>
      <w:tr>
        <w:tblPrEx>
          <w:shd w:val="clear" w:color="auto" w:fill="FFFFFF"/>
          <w:tblCellMar>
            <w:top w:w="15" w:type="dxa"/>
            <w:left w:w="15" w:type="dxa"/>
            <w:bottom w:w="15" w:type="dxa"/>
            <w:right w:w="15" w:type="dxa"/>
          </w:tblCellMar>
        </w:tblPrEx>
        <w:tc>
          <w:tcPr>
            <w:tcW w:w="936"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功能</w:t>
            </w:r>
          </w:p>
        </w:tc>
        <w:tc>
          <w:tcPr>
            <w:tcW w:w="406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说明</w:t>
            </w:r>
          </w:p>
        </w:tc>
      </w:tr>
      <w:tr>
        <w:tblPrEx>
          <w:shd w:val="clear" w:color="auto" w:fill="FFFFFF"/>
          <w:tblCellMar>
            <w:top w:w="15" w:type="dxa"/>
            <w:left w:w="15" w:type="dxa"/>
            <w:bottom w:w="15" w:type="dxa"/>
            <w:right w:w="15" w:type="dxa"/>
          </w:tblCellMar>
        </w:tblPrEx>
        <w:tc>
          <w:tcPr>
            <w:tcW w:w="936"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处方/医嘱分析</w:t>
            </w:r>
          </w:p>
        </w:tc>
        <w:tc>
          <w:tcPr>
            <w:tcW w:w="406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38"/>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支持处方/医嘱每天自动导入系统，并支持全处方/出院医嘱的自动审查；</w:t>
            </w:r>
          </w:p>
          <w:p>
            <w:pPr>
              <w:widowControl/>
              <w:numPr>
                <w:ilvl w:val="0"/>
                <w:numId w:val="138"/>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支持门诊按单张处方和按患者当天所有处方合并点评</w:t>
            </w:r>
            <w:r>
              <w:rPr>
                <w:rFonts w:hint="eastAsia" w:ascii="宋体" w:hAnsi="宋体" w:cs="宋体"/>
                <w:color w:val="000000" w:themeColor="text1"/>
                <w:kern w:val="0"/>
                <w:sz w:val="24"/>
                <w:highlight w:val="none"/>
                <w14:textFill>
                  <w14:solidFill>
                    <w14:schemeClr w14:val="tx1"/>
                  </w14:solidFill>
                </w14:textFill>
              </w:rPr>
              <w:t>；</w:t>
            </w:r>
          </w:p>
          <w:p>
            <w:pPr>
              <w:widowControl/>
              <w:numPr>
                <w:ilvl w:val="0"/>
                <w:numId w:val="138"/>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支持对处方/医嘱中用法用量、相互作用、配伍禁忌、重复用药、禁忌症、适应症、特殊人群用药、妊娠期用药、哺乳期用药、过敏、给药途径等不合理用药情况进行自动审查</w:t>
            </w:r>
            <w:r>
              <w:rPr>
                <w:rFonts w:hint="eastAsia" w:ascii="宋体" w:hAnsi="宋体" w:cs="宋体"/>
                <w:color w:val="000000" w:themeColor="text1"/>
                <w:kern w:val="0"/>
                <w:sz w:val="24"/>
                <w:highlight w:val="none"/>
                <w14:textFill>
                  <w14:solidFill>
                    <w14:schemeClr w14:val="tx1"/>
                  </w14:solidFill>
                </w14:textFill>
              </w:rPr>
              <w:t>。</w:t>
            </w:r>
          </w:p>
        </w:tc>
      </w:tr>
      <w:tr>
        <w:tblPrEx>
          <w:shd w:val="clear" w:color="auto" w:fill="FFFFFF"/>
          <w:tblCellMar>
            <w:top w:w="15" w:type="dxa"/>
            <w:left w:w="15" w:type="dxa"/>
            <w:bottom w:w="15" w:type="dxa"/>
            <w:right w:w="15" w:type="dxa"/>
          </w:tblCellMar>
        </w:tblPrEx>
        <w:tc>
          <w:tcPr>
            <w:tcW w:w="936"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分析</w:t>
            </w:r>
            <w:r>
              <w:rPr>
                <w:rFonts w:ascii="宋体" w:hAnsi="宋体" w:cs="宋体"/>
                <w:color w:val="000000" w:themeColor="text1"/>
                <w:kern w:val="0"/>
                <w:sz w:val="24"/>
                <w:highlight w:val="none"/>
                <w14:textFill>
                  <w14:solidFill>
                    <w14:schemeClr w14:val="tx1"/>
                  </w14:solidFill>
                </w14:textFill>
              </w:rPr>
              <w:t>结果查询</w:t>
            </w:r>
          </w:p>
        </w:tc>
        <w:tc>
          <w:tcPr>
            <w:tcW w:w="406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39"/>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支持药师查看所有处方/医嘱，并可查看系统警示信息及个性化用药规则的分析结果；</w:t>
            </w:r>
          </w:p>
          <w:p>
            <w:pPr>
              <w:widowControl/>
              <w:numPr>
                <w:ilvl w:val="0"/>
                <w:numId w:val="139"/>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支持科主任/医院管理人员登入系统，查看本科室/本院的处方/医嘱及点评结果；</w:t>
            </w:r>
          </w:p>
          <w:p>
            <w:pPr>
              <w:widowControl/>
              <w:numPr>
                <w:ilvl w:val="0"/>
                <w:numId w:val="139"/>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支持医生登入系统，查看本人的处方和处方点评结果</w:t>
            </w:r>
            <w:r>
              <w:rPr>
                <w:rFonts w:ascii="宋体" w:hAnsi="宋体" w:cs="宋体"/>
                <w:color w:val="000000" w:themeColor="text1"/>
                <w:kern w:val="0"/>
                <w:sz w:val="24"/>
                <w:highlight w:val="none"/>
                <w14:textFill>
                  <w14:solidFill>
                    <w14:schemeClr w14:val="tx1"/>
                  </w14:solidFill>
                </w14:textFill>
              </w:rPr>
              <w:t>；</w:t>
            </w:r>
          </w:p>
          <w:p>
            <w:pPr>
              <w:widowControl/>
              <w:numPr>
                <w:ilvl w:val="0"/>
                <w:numId w:val="139"/>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支持从门诊处方、门诊患者、</w:t>
            </w:r>
            <w:r>
              <w:rPr>
                <w:rFonts w:hint="eastAsia" w:ascii="宋体" w:hAnsi="宋体" w:cs="宋体"/>
                <w:color w:val="000000" w:themeColor="text1"/>
                <w:kern w:val="0"/>
                <w:sz w:val="24"/>
                <w:highlight w:val="none"/>
                <w14:textFill>
                  <w14:solidFill>
                    <w14:schemeClr w14:val="tx1"/>
                  </w14:solidFill>
                </w14:textFill>
              </w:rPr>
              <w:t>出院患者</w:t>
            </w:r>
            <w:r>
              <w:rPr>
                <w:rFonts w:ascii="宋体" w:hAnsi="宋体" w:cs="宋体"/>
                <w:color w:val="000000" w:themeColor="text1"/>
                <w:kern w:val="0"/>
                <w:sz w:val="24"/>
                <w:highlight w:val="none"/>
                <w14:textFill>
                  <w14:solidFill>
                    <w14:schemeClr w14:val="tx1"/>
                  </w14:solidFill>
                </w14:textFill>
              </w:rPr>
              <w:t>维度查看</w:t>
            </w:r>
            <w:r>
              <w:rPr>
                <w:rFonts w:hint="eastAsia" w:ascii="宋体" w:hAnsi="宋体" w:cs="宋体"/>
                <w:color w:val="000000" w:themeColor="text1"/>
                <w:kern w:val="0"/>
                <w:sz w:val="24"/>
                <w:highlight w:val="none"/>
                <w14:textFill>
                  <w14:solidFill>
                    <w14:schemeClr w14:val="tx1"/>
                  </w14:solidFill>
                </w14:textFill>
              </w:rPr>
              <w:t>所有</w:t>
            </w:r>
            <w:r>
              <w:rPr>
                <w:rFonts w:ascii="宋体" w:hAnsi="宋体" w:cs="宋体"/>
                <w:color w:val="000000" w:themeColor="text1"/>
                <w:kern w:val="0"/>
                <w:sz w:val="24"/>
                <w:highlight w:val="none"/>
                <w14:textFill>
                  <w14:solidFill>
                    <w14:schemeClr w14:val="tx1"/>
                  </w14:solidFill>
                </w14:textFill>
              </w:rPr>
              <w:t>处方/医嘱及审查结果；</w:t>
            </w:r>
          </w:p>
          <w:p>
            <w:pPr>
              <w:widowControl/>
              <w:numPr>
                <w:ilvl w:val="0"/>
                <w:numId w:val="139"/>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对于门诊处方，</w:t>
            </w:r>
            <w:r>
              <w:rPr>
                <w:rFonts w:ascii="宋体" w:hAnsi="宋体" w:cs="宋体"/>
                <w:color w:val="000000" w:themeColor="text1"/>
                <w:kern w:val="0"/>
                <w:sz w:val="24"/>
                <w:highlight w:val="none"/>
                <w14:textFill>
                  <w14:solidFill>
                    <w14:schemeClr w14:val="tx1"/>
                  </w14:solidFill>
                </w14:textFill>
              </w:rPr>
              <w:t>支持从</w:t>
            </w:r>
            <w:r>
              <w:rPr>
                <w:rFonts w:hint="eastAsia" w:ascii="宋体" w:hAnsi="宋体" w:cs="宋体"/>
                <w:color w:val="000000" w:themeColor="text1"/>
                <w:kern w:val="0"/>
                <w:sz w:val="24"/>
                <w:highlight w:val="none"/>
                <w14:textFill>
                  <w14:solidFill>
                    <w14:schemeClr w14:val="tx1"/>
                  </w14:solidFill>
                </w14:textFill>
              </w:rPr>
              <w:t>日期</w:t>
            </w:r>
            <w:r>
              <w:rPr>
                <w:rFonts w:ascii="宋体" w:hAnsi="宋体" w:cs="宋体"/>
                <w:color w:val="000000" w:themeColor="text1"/>
                <w:kern w:val="0"/>
                <w:sz w:val="24"/>
                <w:highlight w:val="none"/>
                <w14:textFill>
                  <w14:solidFill>
                    <w14:schemeClr w14:val="tx1"/>
                  </w14:solidFill>
                </w14:textFill>
              </w:rPr>
              <w:t>、处方号、患者号、</w:t>
            </w:r>
            <w:r>
              <w:rPr>
                <w:rFonts w:hint="eastAsia" w:ascii="宋体" w:hAnsi="宋体" w:cs="宋体"/>
                <w:color w:val="000000" w:themeColor="text1"/>
                <w:kern w:val="0"/>
                <w:sz w:val="24"/>
                <w:highlight w:val="none"/>
                <w14:textFill>
                  <w14:solidFill>
                    <w14:schemeClr w14:val="tx1"/>
                  </w14:solidFill>
                </w14:textFill>
              </w:rPr>
              <w:t>患者姓名、</w:t>
            </w:r>
            <w:r>
              <w:rPr>
                <w:rFonts w:ascii="宋体" w:hAnsi="宋体" w:cs="宋体"/>
                <w:color w:val="000000" w:themeColor="text1"/>
                <w:kern w:val="0"/>
                <w:sz w:val="24"/>
                <w:highlight w:val="none"/>
                <w14:textFill>
                  <w14:solidFill>
                    <w14:schemeClr w14:val="tx1"/>
                  </w14:solidFill>
                </w14:textFill>
              </w:rPr>
              <w:t>科室、医生、诊断、</w:t>
            </w:r>
            <w:r>
              <w:rPr>
                <w:rFonts w:hint="eastAsia" w:ascii="宋体" w:hAnsi="宋体" w:cs="宋体"/>
                <w:color w:val="000000" w:themeColor="text1"/>
                <w:kern w:val="0"/>
                <w:sz w:val="24"/>
                <w:highlight w:val="none"/>
                <w14:textFill>
                  <w14:solidFill>
                    <w14:schemeClr w14:val="tx1"/>
                  </w14:solidFill>
                </w14:textFill>
              </w:rPr>
              <w:t>警示类型</w:t>
            </w:r>
            <w:r>
              <w:rPr>
                <w:rFonts w:ascii="宋体" w:hAnsi="宋体" w:cs="宋体"/>
                <w:color w:val="000000" w:themeColor="text1"/>
                <w:kern w:val="0"/>
                <w:sz w:val="24"/>
                <w:highlight w:val="none"/>
                <w14:textFill>
                  <w14:solidFill>
                    <w14:schemeClr w14:val="tx1"/>
                  </w14:solidFill>
                </w14:textFill>
              </w:rPr>
              <w:t>、警示等级、药品名称等检索条件，筛选出处方</w:t>
            </w:r>
            <w:r>
              <w:rPr>
                <w:rFonts w:hint="eastAsia" w:ascii="宋体" w:hAnsi="宋体" w:cs="宋体"/>
                <w:color w:val="000000" w:themeColor="text1"/>
                <w:kern w:val="0"/>
                <w:sz w:val="24"/>
                <w:highlight w:val="none"/>
                <w14:textFill>
                  <w14:solidFill>
                    <w14:schemeClr w14:val="tx1"/>
                  </w14:solidFill>
                </w14:textFill>
              </w:rPr>
              <w:t>信息</w:t>
            </w:r>
            <w:r>
              <w:rPr>
                <w:rFonts w:ascii="宋体" w:hAnsi="宋体" w:cs="宋体"/>
                <w:color w:val="000000" w:themeColor="text1"/>
                <w:kern w:val="0"/>
                <w:sz w:val="24"/>
                <w:highlight w:val="none"/>
                <w14:textFill>
                  <w14:solidFill>
                    <w14:schemeClr w14:val="tx1"/>
                  </w14:solidFill>
                </w14:textFill>
              </w:rPr>
              <w:t>及审查结果；</w:t>
            </w:r>
          </w:p>
          <w:p>
            <w:pPr>
              <w:widowControl/>
              <w:numPr>
                <w:ilvl w:val="0"/>
                <w:numId w:val="139"/>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对于门诊患者，支持从日期、患者号、患者姓名、科室、医生、警示类型、警示等级等检索条件，筛选出门诊患者信息及审查结果；</w:t>
            </w:r>
          </w:p>
          <w:p>
            <w:pPr>
              <w:widowControl/>
              <w:numPr>
                <w:ilvl w:val="0"/>
                <w:numId w:val="139"/>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对于出院患者，</w:t>
            </w:r>
            <w:r>
              <w:rPr>
                <w:rFonts w:ascii="宋体" w:hAnsi="宋体" w:cs="宋体"/>
                <w:color w:val="000000" w:themeColor="text1"/>
                <w:kern w:val="0"/>
                <w:sz w:val="24"/>
                <w:highlight w:val="none"/>
                <w14:textFill>
                  <w14:solidFill>
                    <w14:schemeClr w14:val="tx1"/>
                  </w14:solidFill>
                </w14:textFill>
              </w:rPr>
              <w:t>支持从</w:t>
            </w:r>
            <w:r>
              <w:rPr>
                <w:rFonts w:hint="eastAsia" w:ascii="宋体" w:hAnsi="宋体" w:cs="宋体"/>
                <w:color w:val="000000" w:themeColor="text1"/>
                <w:kern w:val="0"/>
                <w:sz w:val="24"/>
                <w:highlight w:val="none"/>
                <w14:textFill>
                  <w14:solidFill>
                    <w14:schemeClr w14:val="tx1"/>
                  </w14:solidFill>
                </w14:textFill>
              </w:rPr>
              <w:t>日期、</w:t>
            </w:r>
            <w:r>
              <w:rPr>
                <w:rFonts w:ascii="宋体" w:hAnsi="宋体" w:cs="宋体"/>
                <w:color w:val="000000" w:themeColor="text1"/>
                <w:kern w:val="0"/>
                <w:sz w:val="24"/>
                <w:highlight w:val="none"/>
                <w14:textFill>
                  <w14:solidFill>
                    <w14:schemeClr w14:val="tx1"/>
                  </w14:solidFill>
                </w14:textFill>
              </w:rPr>
              <w:t>住院号、患者号、</w:t>
            </w:r>
            <w:r>
              <w:rPr>
                <w:rFonts w:hint="eastAsia" w:ascii="宋体" w:hAnsi="宋体" w:cs="宋体"/>
                <w:color w:val="000000" w:themeColor="text1"/>
                <w:kern w:val="0"/>
                <w:sz w:val="24"/>
                <w:highlight w:val="none"/>
                <w14:textFill>
                  <w14:solidFill>
                    <w14:schemeClr w14:val="tx1"/>
                  </w14:solidFill>
                </w14:textFill>
              </w:rPr>
              <w:t>患者姓名、病案号、</w:t>
            </w:r>
            <w:r>
              <w:rPr>
                <w:rFonts w:ascii="宋体" w:hAnsi="宋体" w:cs="宋体"/>
                <w:color w:val="000000" w:themeColor="text1"/>
                <w:kern w:val="0"/>
                <w:sz w:val="24"/>
                <w:highlight w:val="none"/>
                <w14:textFill>
                  <w14:solidFill>
                    <w14:schemeClr w14:val="tx1"/>
                  </w14:solidFill>
                </w14:textFill>
              </w:rPr>
              <w:t>科室、诊断、警示类型、警示等级、药品名称等检索条件，筛选出</w:t>
            </w:r>
            <w:r>
              <w:rPr>
                <w:rFonts w:hint="eastAsia" w:ascii="宋体" w:hAnsi="宋体" w:cs="宋体"/>
                <w:color w:val="000000" w:themeColor="text1"/>
                <w:kern w:val="0"/>
                <w:sz w:val="24"/>
                <w:highlight w:val="none"/>
                <w14:textFill>
                  <w14:solidFill>
                    <w14:schemeClr w14:val="tx1"/>
                  </w14:solidFill>
                </w14:textFill>
              </w:rPr>
              <w:t>出院患者信息</w:t>
            </w:r>
            <w:r>
              <w:rPr>
                <w:rFonts w:ascii="宋体" w:hAnsi="宋体" w:cs="宋体"/>
                <w:color w:val="000000" w:themeColor="text1"/>
                <w:kern w:val="0"/>
                <w:sz w:val="24"/>
                <w:highlight w:val="none"/>
                <w14:textFill>
                  <w14:solidFill>
                    <w14:schemeClr w14:val="tx1"/>
                  </w14:solidFill>
                </w14:textFill>
              </w:rPr>
              <w:t>及审查结果；</w:t>
            </w:r>
          </w:p>
          <w:p>
            <w:pPr>
              <w:widowControl/>
              <w:numPr>
                <w:ilvl w:val="0"/>
                <w:numId w:val="139"/>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支持药师根据医院的实际用药情况，对系统点评出来的警示信息进行确认待查操作。</w:t>
            </w:r>
          </w:p>
        </w:tc>
      </w:tr>
    </w:tbl>
    <w:p>
      <w:pPr>
        <w:tabs>
          <w:tab w:val="left" w:pos="540"/>
        </w:tabs>
        <w:autoSpaceDE w:val="0"/>
        <w:autoSpaceDN w:val="0"/>
        <w:snapToGrid w:val="0"/>
        <w:spacing w:line="360" w:lineRule="auto"/>
        <w:jc w:val="left"/>
        <w:textAlignment w:val="baseline"/>
        <w:rPr>
          <w:rFonts w:ascii="宋体" w:hAnsi="宋体" w:cs="宋体"/>
          <w:b/>
          <w:bCs/>
          <w:color w:val="000000"/>
          <w:sz w:val="24"/>
          <w:highlight w:val="none"/>
        </w:rPr>
      </w:pPr>
      <w:r>
        <w:rPr>
          <w:rFonts w:hint="eastAsia" w:ascii="宋体" w:hAnsi="宋体" w:cs="宋体"/>
          <w:b/>
          <w:bCs/>
          <w:color w:val="000000"/>
          <w:sz w:val="24"/>
          <w:highlight w:val="none"/>
        </w:rPr>
        <w:t>6.2.点评功能</w:t>
      </w:r>
    </w:p>
    <w:tbl>
      <w:tblPr>
        <w:tblStyle w:val="64"/>
        <w:tblW w:w="5000" w:type="pct"/>
        <w:tblInd w:w="0" w:type="dxa"/>
        <w:shd w:val="clear" w:color="auto" w:fill="FFFFFF"/>
        <w:tblLayout w:type="autofit"/>
        <w:tblCellMar>
          <w:top w:w="15" w:type="dxa"/>
          <w:left w:w="15" w:type="dxa"/>
          <w:bottom w:w="15" w:type="dxa"/>
          <w:right w:w="15" w:type="dxa"/>
        </w:tblCellMar>
      </w:tblPr>
      <w:tblGrid>
        <w:gridCol w:w="1752"/>
        <w:gridCol w:w="7618"/>
      </w:tblGrid>
      <w:tr>
        <w:tblPrEx>
          <w:shd w:val="clear" w:color="auto" w:fill="FFFFFF"/>
          <w:tblCellMar>
            <w:top w:w="15" w:type="dxa"/>
            <w:left w:w="15" w:type="dxa"/>
            <w:bottom w:w="15" w:type="dxa"/>
            <w:right w:w="15" w:type="dxa"/>
          </w:tblCellMar>
        </w:tblPrEx>
        <w:tc>
          <w:tcPr>
            <w:tcW w:w="93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功能</w:t>
            </w:r>
          </w:p>
        </w:tc>
        <w:tc>
          <w:tcPr>
            <w:tcW w:w="406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说明</w:t>
            </w:r>
          </w:p>
        </w:tc>
      </w:tr>
      <w:tr>
        <w:tblPrEx>
          <w:shd w:val="clear" w:color="auto" w:fill="FFFFFF"/>
          <w:tblCellMar>
            <w:top w:w="15" w:type="dxa"/>
            <w:left w:w="15" w:type="dxa"/>
            <w:bottom w:w="15" w:type="dxa"/>
            <w:right w:w="15" w:type="dxa"/>
          </w:tblCellMar>
        </w:tblPrEx>
        <w:tc>
          <w:tcPr>
            <w:tcW w:w="93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点评项目创建</w:t>
            </w:r>
          </w:p>
        </w:tc>
        <w:tc>
          <w:tcPr>
            <w:tcW w:w="406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40"/>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支持全处方点评和全医嘱点评；</w:t>
            </w:r>
          </w:p>
          <w:p>
            <w:pPr>
              <w:widowControl/>
              <w:numPr>
                <w:ilvl w:val="0"/>
                <w:numId w:val="140"/>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支持特定条件下处方/医嘱的抽样点评；</w:t>
            </w:r>
          </w:p>
          <w:p>
            <w:pPr>
              <w:widowControl/>
              <w:numPr>
                <w:ilvl w:val="0"/>
                <w:numId w:val="140"/>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支持通过自定义模板的方式保留抽取条件和分配方案，对处方/医嘱进行抽样点评；</w:t>
            </w:r>
          </w:p>
          <w:p>
            <w:pPr>
              <w:widowControl/>
              <w:numPr>
                <w:ilvl w:val="0"/>
                <w:numId w:val="140"/>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支持对特定药品进行专项点评，如抗菌药物专项、</w:t>
            </w:r>
            <w:r>
              <w:rPr>
                <w:rFonts w:hint="eastAsia" w:ascii="宋体" w:hAnsi="宋体" w:cs="宋体"/>
                <w:color w:val="000000" w:themeColor="text1"/>
                <w:kern w:val="0"/>
                <w:sz w:val="24"/>
                <w:highlight w:val="none"/>
                <w14:textFill>
                  <w14:solidFill>
                    <w14:schemeClr w14:val="tx1"/>
                  </w14:solidFill>
                </w14:textFill>
              </w:rPr>
              <w:t>基药</w:t>
            </w:r>
            <w:r>
              <w:rPr>
                <w:rFonts w:ascii="宋体" w:hAnsi="宋体" w:cs="宋体"/>
                <w:color w:val="000000" w:themeColor="text1"/>
                <w:kern w:val="0"/>
                <w:sz w:val="24"/>
                <w:highlight w:val="none"/>
                <w14:textFill>
                  <w14:solidFill>
                    <w14:schemeClr w14:val="tx1"/>
                  </w14:solidFill>
                </w14:textFill>
              </w:rPr>
              <w:t>专项等</w:t>
            </w:r>
            <w:r>
              <w:rPr>
                <w:rFonts w:hint="eastAsia" w:ascii="宋体" w:hAnsi="宋体" w:cs="宋体"/>
                <w:color w:val="000000" w:themeColor="text1"/>
                <w:kern w:val="0"/>
                <w:sz w:val="24"/>
                <w:highlight w:val="none"/>
                <w14:textFill>
                  <w14:solidFill>
                    <w14:schemeClr w14:val="tx1"/>
                  </w14:solidFill>
                </w14:textFill>
              </w:rPr>
              <w:t>；</w:t>
            </w:r>
          </w:p>
          <w:p>
            <w:pPr>
              <w:widowControl/>
              <w:numPr>
                <w:ilvl w:val="0"/>
                <w:numId w:val="140"/>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多角度的抽样筛选条件，满足用户不同的抽样要求。对于门急诊处方，支持按照来源（门急诊、门诊、急诊）、机评情况（全部、合理、不合理）、科室、医生、医生职称、处方类型（西药方、草药方、中成药方）、处方金额、药品品种数、药品、基药类型、抗菌药物类型、是否注射给药、诊断、年龄、警示信息（按警示信息类型、状态、等级）进行筛选；对于住院医嘱，支持按照机评情况（全部、合理、不合理）、科室、年龄、住院天数、药品、诊断、用药金额、抗菌药物类型、是否手术、手术名称、手术等级、切口类型、警示信息（按警示信息类型、状态、等级）进行筛选；</w:t>
            </w:r>
          </w:p>
          <w:p>
            <w:pPr>
              <w:widowControl/>
              <w:numPr>
                <w:ilvl w:val="0"/>
                <w:numId w:val="140"/>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支持处方/医嘱中多个药品同时存在时才抽取的抽样方式（目前支持3个及以下药品的同时抽取）；</w:t>
            </w:r>
          </w:p>
          <w:p>
            <w:pPr>
              <w:widowControl/>
              <w:numPr>
                <w:ilvl w:val="0"/>
                <w:numId w:val="140"/>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支持通过自定义规则抽取满足规则设置的处方或者医嘱，满足用户个性化抽取特定药品的抽样要求；</w:t>
            </w:r>
          </w:p>
          <w:p>
            <w:pPr>
              <w:widowControl/>
              <w:numPr>
                <w:ilvl w:val="0"/>
                <w:numId w:val="140"/>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多种样本抽取方式，对于门诊，支持全部抽取，或按数量、按百分比、按每个医生指定的数量、按指定百分比的医生每人指定数量、按每个科室指定的数量随机抽取处方数据；对于住院，支持按数量、按百分比、按每个科室</w:t>
            </w:r>
            <w:r>
              <w:rPr>
                <w:rFonts w:hint="eastAsia" w:ascii="宋体" w:hAnsi="宋体" w:cs="宋体"/>
                <w:color w:val="000000" w:themeColor="text1"/>
                <w:kern w:val="0"/>
                <w:sz w:val="24"/>
                <w:highlight w:val="none"/>
                <w14:textFill>
                  <w14:solidFill>
                    <w14:schemeClr w14:val="tx1"/>
                  </w14:solidFill>
                </w14:textFill>
              </w:rPr>
              <w:t>、病区、医疗组</w:t>
            </w:r>
            <w:r>
              <w:rPr>
                <w:rFonts w:ascii="宋体" w:hAnsi="宋体" w:cs="宋体"/>
                <w:color w:val="000000" w:themeColor="text1"/>
                <w:kern w:val="0"/>
                <w:sz w:val="24"/>
                <w:highlight w:val="none"/>
                <w14:textFill>
                  <w14:solidFill>
                    <w14:schemeClr w14:val="tx1"/>
                  </w14:solidFill>
                </w14:textFill>
              </w:rPr>
              <w:t>指定的数量或</w:t>
            </w:r>
            <w:r>
              <w:rPr>
                <w:rFonts w:hint="eastAsia" w:ascii="宋体" w:hAnsi="宋体" w:cs="宋体"/>
                <w:color w:val="000000" w:themeColor="text1"/>
                <w:kern w:val="0"/>
                <w:sz w:val="24"/>
                <w:highlight w:val="none"/>
                <w14:textFill>
                  <w14:solidFill>
                    <w14:schemeClr w14:val="tx1"/>
                  </w14:solidFill>
                </w14:textFill>
              </w:rPr>
              <w:t>百分比</w:t>
            </w:r>
            <w:r>
              <w:rPr>
                <w:rFonts w:ascii="宋体" w:hAnsi="宋体" w:cs="宋体"/>
                <w:color w:val="000000" w:themeColor="text1"/>
                <w:kern w:val="0"/>
                <w:sz w:val="24"/>
                <w:highlight w:val="none"/>
                <w14:textFill>
                  <w14:solidFill>
                    <w14:schemeClr w14:val="tx1"/>
                  </w14:solidFill>
                </w14:textFill>
              </w:rPr>
              <w:t>随机抽取医嘱数据；</w:t>
            </w:r>
          </w:p>
          <w:p>
            <w:pPr>
              <w:widowControl/>
              <w:numPr>
                <w:ilvl w:val="0"/>
                <w:numId w:val="140"/>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支持在抽样时设置点评样本中需要显示的警示信息类型、状态和等级</w:t>
            </w:r>
            <w:r>
              <w:rPr>
                <w:rFonts w:hint="eastAsia" w:ascii="宋体" w:hAnsi="宋体" w:cs="宋体"/>
                <w:color w:val="000000" w:themeColor="text1"/>
                <w:kern w:val="0"/>
                <w:sz w:val="24"/>
                <w:highlight w:val="none"/>
                <w14:textFill>
                  <w14:solidFill>
                    <w14:schemeClr w14:val="tx1"/>
                  </w14:solidFill>
                </w14:textFill>
              </w:rPr>
              <w:t>。</w:t>
            </w:r>
          </w:p>
        </w:tc>
      </w:tr>
      <w:tr>
        <w:tblPrEx>
          <w:shd w:val="clear" w:color="auto" w:fill="FFFFFF"/>
          <w:tblCellMar>
            <w:top w:w="15" w:type="dxa"/>
            <w:left w:w="15" w:type="dxa"/>
            <w:bottom w:w="15" w:type="dxa"/>
            <w:right w:w="15" w:type="dxa"/>
          </w:tblCellMar>
        </w:tblPrEx>
        <w:tc>
          <w:tcPr>
            <w:tcW w:w="93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处方/医嘱人工点评</w:t>
            </w:r>
          </w:p>
        </w:tc>
        <w:tc>
          <w:tcPr>
            <w:tcW w:w="406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41"/>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支持处方/医嘱点评任务分配，将抽取的处方/医嘱分配给多个药师进行人工点评；</w:t>
            </w:r>
          </w:p>
          <w:p>
            <w:pPr>
              <w:widowControl/>
              <w:numPr>
                <w:ilvl w:val="0"/>
                <w:numId w:val="141"/>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支持点评药师查看分配给自己的点评任务，并支持按点评状态、医生审阅状态、警示类型、警示等级进行任务筛选；</w:t>
            </w:r>
          </w:p>
          <w:p>
            <w:pPr>
              <w:widowControl/>
              <w:numPr>
                <w:ilvl w:val="0"/>
                <w:numId w:val="141"/>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支持处方/医嘱的批量点评，即批量确认机评结果为人工点评结果；</w:t>
            </w:r>
          </w:p>
          <w:p>
            <w:pPr>
              <w:widowControl/>
              <w:numPr>
                <w:ilvl w:val="0"/>
                <w:numId w:val="141"/>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支持点评药师在点评处方/医嘱时，对系统点评产生的警示信息内容进行确认，并支持人工输入点评结果，填写人工点评结果时支持选择问题代码</w:t>
            </w:r>
            <w:r>
              <w:rPr>
                <w:rFonts w:hint="eastAsia" w:ascii="宋体" w:hAnsi="宋体" w:cs="宋体"/>
                <w:color w:val="000000" w:themeColor="text1"/>
                <w:kern w:val="0"/>
                <w:sz w:val="24"/>
                <w:highlight w:val="none"/>
                <w14:textFill>
                  <w14:solidFill>
                    <w14:schemeClr w14:val="tx1"/>
                  </w14:solidFill>
                </w14:textFill>
              </w:rPr>
              <w:t>、药品名称</w:t>
            </w:r>
            <w:r>
              <w:rPr>
                <w:rFonts w:ascii="宋体" w:hAnsi="宋体" w:cs="宋体"/>
                <w:color w:val="000000" w:themeColor="text1"/>
                <w:kern w:val="0"/>
                <w:sz w:val="24"/>
                <w:highlight w:val="none"/>
                <w14:textFill>
                  <w14:solidFill>
                    <w14:schemeClr w14:val="tx1"/>
                  </w14:solidFill>
                </w14:textFill>
              </w:rPr>
              <w:t>或者直接填写人工点评内容；</w:t>
            </w:r>
          </w:p>
          <w:p>
            <w:pPr>
              <w:widowControl/>
              <w:numPr>
                <w:ilvl w:val="0"/>
                <w:numId w:val="141"/>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支持人工点评结果的区分展示</w:t>
            </w:r>
            <w:r>
              <w:rPr>
                <w:rFonts w:hint="eastAsia" w:ascii="宋体" w:hAnsi="宋体" w:cs="宋体"/>
                <w:color w:val="000000" w:themeColor="text1"/>
                <w:kern w:val="0"/>
                <w:sz w:val="24"/>
                <w:highlight w:val="none"/>
                <w14:textFill>
                  <w14:solidFill>
                    <w14:schemeClr w14:val="tx1"/>
                  </w14:solidFill>
                </w14:textFill>
              </w:rPr>
              <w:t>；</w:t>
            </w:r>
          </w:p>
        </w:tc>
      </w:tr>
      <w:tr>
        <w:tblPrEx>
          <w:shd w:val="clear" w:color="auto" w:fill="FFFFFF"/>
          <w:tblCellMar>
            <w:top w:w="15" w:type="dxa"/>
            <w:left w:w="15" w:type="dxa"/>
            <w:bottom w:w="15" w:type="dxa"/>
            <w:right w:w="15" w:type="dxa"/>
          </w:tblCellMar>
        </w:tblPrEx>
        <w:tc>
          <w:tcPr>
            <w:tcW w:w="93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处方/医嘱界面展示</w:t>
            </w:r>
          </w:p>
        </w:tc>
        <w:tc>
          <w:tcPr>
            <w:tcW w:w="406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42"/>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支持处方/医嘱明细页面一体化展示患者信息、处方/医嘱信息、检查检验信息、手术信息、电子病历信息及系统自动审查结果；</w:t>
            </w:r>
          </w:p>
          <w:p>
            <w:pPr>
              <w:widowControl/>
              <w:numPr>
                <w:ilvl w:val="0"/>
                <w:numId w:val="142"/>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对于门诊处方，支持查看患者当日所有处方；</w:t>
            </w:r>
          </w:p>
          <w:p>
            <w:pPr>
              <w:widowControl/>
              <w:numPr>
                <w:ilvl w:val="0"/>
                <w:numId w:val="142"/>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对于住院医嘱，支持按医嘱类型、药品属性、药品名称、科室、医生进行医嘱明细信息筛选；</w:t>
            </w:r>
          </w:p>
          <w:p>
            <w:pPr>
              <w:widowControl/>
              <w:numPr>
                <w:ilvl w:val="0"/>
                <w:numId w:val="142"/>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支持点击警示信息后，在药品明细页面只展示警示信息相关问题药品；</w:t>
            </w:r>
          </w:p>
          <w:p>
            <w:pPr>
              <w:widowControl/>
              <w:numPr>
                <w:ilvl w:val="0"/>
                <w:numId w:val="142"/>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支持在药师点评时，展示审方阶段</w:t>
            </w:r>
            <w:r>
              <w:rPr>
                <w:rFonts w:hint="eastAsia" w:ascii="宋体" w:hAnsi="宋体" w:cs="宋体"/>
                <w:color w:val="000000" w:themeColor="text1"/>
                <w:kern w:val="0"/>
                <w:sz w:val="24"/>
                <w:highlight w:val="none"/>
                <w14:textFill>
                  <w14:solidFill>
                    <w14:schemeClr w14:val="tx1"/>
                  </w14:solidFill>
                </w14:textFill>
              </w:rPr>
              <w:t>或干预阶段</w:t>
            </w:r>
            <w:r>
              <w:rPr>
                <w:rFonts w:ascii="宋体" w:hAnsi="宋体" w:cs="宋体"/>
                <w:color w:val="000000" w:themeColor="text1"/>
                <w:kern w:val="0"/>
                <w:sz w:val="24"/>
                <w:highlight w:val="none"/>
                <w14:textFill>
                  <w14:solidFill>
                    <w14:schemeClr w14:val="tx1"/>
                  </w14:solidFill>
                </w14:textFill>
              </w:rPr>
              <w:t>医生预先填写的特别用药理由;</w:t>
            </w:r>
          </w:p>
          <w:p>
            <w:pPr>
              <w:widowControl/>
              <w:numPr>
                <w:ilvl w:val="0"/>
                <w:numId w:val="142"/>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支持用户自定义设置患者信息显示的字段；</w:t>
            </w:r>
          </w:p>
          <w:p>
            <w:pPr>
              <w:widowControl/>
              <w:numPr>
                <w:ilvl w:val="0"/>
                <w:numId w:val="142"/>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支持用户自定义设置药品明细页面展示的字段，并可设置字段排序，方便药师关注信息的优先展示</w:t>
            </w:r>
            <w:r>
              <w:rPr>
                <w:rFonts w:hint="eastAsia" w:ascii="宋体" w:hAnsi="宋体" w:cs="宋体"/>
                <w:color w:val="000000" w:themeColor="text1"/>
                <w:kern w:val="0"/>
                <w:sz w:val="24"/>
                <w:highlight w:val="none"/>
                <w14:textFill>
                  <w14:solidFill>
                    <w14:schemeClr w14:val="tx1"/>
                  </w14:solidFill>
                </w14:textFill>
              </w:rPr>
              <w:t>。</w:t>
            </w:r>
          </w:p>
        </w:tc>
      </w:tr>
      <w:tr>
        <w:tblPrEx>
          <w:shd w:val="clear" w:color="auto" w:fill="FFFFFF"/>
          <w:tblCellMar>
            <w:top w:w="15" w:type="dxa"/>
            <w:left w:w="15" w:type="dxa"/>
            <w:bottom w:w="15" w:type="dxa"/>
            <w:right w:w="15" w:type="dxa"/>
          </w:tblCellMar>
        </w:tblPrEx>
        <w:tc>
          <w:tcPr>
            <w:tcW w:w="93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问题代码设置功能</w:t>
            </w:r>
          </w:p>
        </w:tc>
        <w:tc>
          <w:tcPr>
            <w:tcW w:w="406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43"/>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系统支持用户自定义问题代码与警示类型的对应关系</w:t>
            </w:r>
            <w:r>
              <w:rPr>
                <w:rFonts w:hint="eastAsia" w:ascii="宋体" w:hAnsi="宋体" w:cs="宋体"/>
                <w:color w:val="000000" w:themeColor="text1"/>
                <w:kern w:val="0"/>
                <w:sz w:val="24"/>
                <w:highlight w:val="none"/>
                <w14:textFill>
                  <w14:solidFill>
                    <w14:schemeClr w14:val="tx1"/>
                  </w14:solidFill>
                </w14:textFill>
              </w:rPr>
              <w:t>，同时支持按对应关系</w:t>
            </w:r>
            <w:r>
              <w:rPr>
                <w:rFonts w:ascii="宋体" w:hAnsi="宋体" w:cs="宋体"/>
                <w:color w:val="000000" w:themeColor="text1"/>
                <w:kern w:val="0"/>
                <w:sz w:val="24"/>
                <w:highlight w:val="none"/>
                <w14:textFill>
                  <w14:solidFill>
                    <w14:schemeClr w14:val="tx1"/>
                  </w14:solidFill>
                </w14:textFill>
              </w:rPr>
              <w:t>自动</w:t>
            </w:r>
            <w:r>
              <w:rPr>
                <w:rFonts w:hint="eastAsia" w:ascii="宋体" w:hAnsi="宋体" w:cs="宋体"/>
                <w:color w:val="000000" w:themeColor="text1"/>
                <w:kern w:val="0"/>
                <w:sz w:val="24"/>
                <w:highlight w:val="none"/>
                <w14:textFill>
                  <w14:solidFill>
                    <w14:schemeClr w14:val="tx1"/>
                  </w14:solidFill>
                </w14:textFill>
              </w:rPr>
              <w:t>生成</w:t>
            </w:r>
            <w:r>
              <w:rPr>
                <w:rFonts w:ascii="宋体" w:hAnsi="宋体" w:cs="宋体"/>
                <w:color w:val="000000" w:themeColor="text1"/>
                <w:kern w:val="0"/>
                <w:sz w:val="24"/>
                <w:highlight w:val="none"/>
                <w14:textFill>
                  <w14:solidFill>
                    <w14:schemeClr w14:val="tx1"/>
                  </w14:solidFill>
                </w14:textFill>
              </w:rPr>
              <w:t>问题代码；</w:t>
            </w:r>
          </w:p>
          <w:p>
            <w:pPr>
              <w:widowControl/>
              <w:numPr>
                <w:ilvl w:val="0"/>
                <w:numId w:val="143"/>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支持问题代码在点评界面的展示和导出</w:t>
            </w:r>
            <w:r>
              <w:rPr>
                <w:rFonts w:hint="eastAsia" w:ascii="宋体" w:hAnsi="宋体" w:cs="宋体"/>
                <w:color w:val="000000" w:themeColor="text1"/>
                <w:kern w:val="0"/>
                <w:sz w:val="24"/>
                <w:highlight w:val="none"/>
                <w14:textFill>
                  <w14:solidFill>
                    <w14:schemeClr w14:val="tx1"/>
                  </w14:solidFill>
                </w14:textFill>
              </w:rPr>
              <w:t>。</w:t>
            </w:r>
          </w:p>
        </w:tc>
      </w:tr>
      <w:tr>
        <w:tblPrEx>
          <w:shd w:val="clear" w:color="auto" w:fill="FFFFFF"/>
          <w:tblCellMar>
            <w:top w:w="15" w:type="dxa"/>
            <w:left w:w="15" w:type="dxa"/>
            <w:bottom w:w="15" w:type="dxa"/>
            <w:right w:w="15" w:type="dxa"/>
          </w:tblCellMar>
        </w:tblPrEx>
        <w:tc>
          <w:tcPr>
            <w:tcW w:w="93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项目报表生成及导出</w:t>
            </w:r>
          </w:p>
        </w:tc>
        <w:tc>
          <w:tcPr>
            <w:tcW w:w="406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44"/>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处方点评项目结束后，支持按机构、按科室和按医生生成项目报表，包括点评处方数、处方人次数、用药品种数、抗菌药物品种数、合格处方百分率等统计数据，满足处方点评的要求；</w:t>
            </w:r>
          </w:p>
          <w:p>
            <w:pPr>
              <w:widowControl/>
              <w:numPr>
                <w:ilvl w:val="0"/>
                <w:numId w:val="144"/>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住院医嘱项目结束后，支持按机构、按科室和按医疗组生成项目报表，包括点评患者数、用药品种数、抗菌药物品种数、合格医嘱百分率等统计数据，满足医院医嘱点评的要求；</w:t>
            </w:r>
          </w:p>
          <w:p>
            <w:pPr>
              <w:widowControl/>
              <w:numPr>
                <w:ilvl w:val="0"/>
                <w:numId w:val="144"/>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支持项目报表及处方/医嘱数据导出成excel文件；</w:t>
            </w:r>
          </w:p>
          <w:p>
            <w:pPr>
              <w:widowControl/>
              <w:numPr>
                <w:ilvl w:val="0"/>
                <w:numId w:val="144"/>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支持用户自定义设置样本导出方案，提供可选择的处方或医嘱点评样本导出字段（系统提供80+待选字段），满足用户的个性化导出要求</w:t>
            </w:r>
            <w:r>
              <w:rPr>
                <w:rFonts w:hint="eastAsia" w:ascii="宋体" w:hAnsi="宋体" w:cs="宋体"/>
                <w:color w:val="000000" w:themeColor="text1"/>
                <w:kern w:val="0"/>
                <w:sz w:val="24"/>
                <w:highlight w:val="none"/>
                <w14:textFill>
                  <w14:solidFill>
                    <w14:schemeClr w14:val="tx1"/>
                  </w14:solidFill>
                </w14:textFill>
              </w:rPr>
              <w:t>。</w:t>
            </w:r>
          </w:p>
        </w:tc>
      </w:tr>
      <w:tr>
        <w:tblPrEx>
          <w:tblCellMar>
            <w:top w:w="15" w:type="dxa"/>
            <w:left w:w="15" w:type="dxa"/>
            <w:bottom w:w="15" w:type="dxa"/>
            <w:right w:w="15" w:type="dxa"/>
          </w:tblCellMar>
        </w:tblPrEx>
        <w:tc>
          <w:tcPr>
            <w:tcW w:w="93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点评结果查看</w:t>
            </w:r>
          </w:p>
        </w:tc>
        <w:tc>
          <w:tcPr>
            <w:tcW w:w="406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45"/>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支持科主任/医院管理人员登入系统，查看管理科室/管理机构的处方/医嘱及点评结果；</w:t>
            </w:r>
          </w:p>
          <w:p>
            <w:pPr>
              <w:widowControl/>
              <w:numPr>
                <w:ilvl w:val="0"/>
                <w:numId w:val="145"/>
              </w:numPr>
              <w:adjustRightInd/>
              <w:spacing w:before="100" w:beforeAutospacing="1" w:after="100" w:afterAutospacing="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支持医生登入系统查看本人的不合理处方或医嘱，在点评未结束时可对药师的点评结果进行申述，并支持填入申述理由</w:t>
            </w:r>
            <w:r>
              <w:rPr>
                <w:rFonts w:hint="eastAsia" w:ascii="宋体" w:hAnsi="宋体" w:cs="宋体"/>
                <w:color w:val="000000" w:themeColor="text1"/>
                <w:kern w:val="0"/>
                <w:sz w:val="24"/>
                <w:highlight w:val="none"/>
                <w14:textFill>
                  <w14:solidFill>
                    <w14:schemeClr w14:val="tx1"/>
                  </w14:solidFill>
                </w14:textFill>
              </w:rPr>
              <w:t>。</w:t>
            </w:r>
          </w:p>
        </w:tc>
      </w:tr>
    </w:tbl>
    <w:p>
      <w:pPr>
        <w:tabs>
          <w:tab w:val="left" w:pos="540"/>
        </w:tabs>
        <w:autoSpaceDE w:val="0"/>
        <w:autoSpaceDN w:val="0"/>
        <w:snapToGrid w:val="0"/>
        <w:spacing w:line="360" w:lineRule="auto"/>
        <w:jc w:val="left"/>
        <w:textAlignment w:val="baseline"/>
        <w:rPr>
          <w:rFonts w:ascii="宋体" w:hAnsi="宋体" w:cs="宋体"/>
          <w:b/>
          <w:bCs/>
          <w:color w:val="000000"/>
          <w:sz w:val="24"/>
          <w:highlight w:val="none"/>
        </w:rPr>
      </w:pPr>
      <w:r>
        <w:rPr>
          <w:rFonts w:hint="eastAsia" w:ascii="宋体" w:hAnsi="宋体" w:cs="宋体"/>
          <w:b/>
          <w:bCs/>
          <w:color w:val="000000"/>
          <w:sz w:val="24"/>
          <w:highlight w:val="none"/>
        </w:rPr>
        <w:t>7.统计报表</w:t>
      </w:r>
    </w:p>
    <w:tbl>
      <w:tblPr>
        <w:tblStyle w:val="64"/>
        <w:tblW w:w="5000" w:type="pct"/>
        <w:tblInd w:w="0" w:type="dxa"/>
        <w:shd w:val="clear" w:color="auto" w:fill="FFFFFF"/>
        <w:tblLayout w:type="autofit"/>
        <w:tblCellMar>
          <w:top w:w="15" w:type="dxa"/>
          <w:left w:w="15" w:type="dxa"/>
          <w:bottom w:w="15" w:type="dxa"/>
          <w:right w:w="15" w:type="dxa"/>
        </w:tblCellMar>
      </w:tblPr>
      <w:tblGrid>
        <w:gridCol w:w="1752"/>
        <w:gridCol w:w="7618"/>
      </w:tblGrid>
      <w:tr>
        <w:tblPrEx>
          <w:shd w:val="clear" w:color="auto" w:fill="FFFFFF"/>
        </w:tblPrEx>
        <w:tc>
          <w:tcPr>
            <w:tcW w:w="93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olor w:val="000000"/>
                <w:kern w:val="0"/>
                <w:sz w:val="24"/>
                <w:highlight w:val="none"/>
              </w:rPr>
            </w:pPr>
            <w:r>
              <w:rPr>
                <w:rFonts w:ascii="宋体" w:hAnsi="宋体"/>
                <w:color w:val="000000"/>
                <w:kern w:val="0"/>
                <w:sz w:val="24"/>
                <w:highlight w:val="none"/>
              </w:rPr>
              <w:t>功能</w:t>
            </w:r>
          </w:p>
        </w:tc>
        <w:tc>
          <w:tcPr>
            <w:tcW w:w="406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olor w:val="000000"/>
                <w:kern w:val="0"/>
                <w:sz w:val="24"/>
                <w:highlight w:val="none"/>
              </w:rPr>
            </w:pPr>
            <w:r>
              <w:rPr>
                <w:rFonts w:ascii="宋体" w:hAnsi="宋体"/>
                <w:color w:val="000000"/>
                <w:kern w:val="0"/>
                <w:sz w:val="24"/>
                <w:highlight w:val="none"/>
              </w:rPr>
              <w:t>说明</w:t>
            </w:r>
          </w:p>
        </w:tc>
      </w:tr>
      <w:tr>
        <w:tblPrEx>
          <w:shd w:val="clear" w:color="auto" w:fill="FFFFFF"/>
          <w:tblCellMar>
            <w:top w:w="15" w:type="dxa"/>
            <w:left w:w="15" w:type="dxa"/>
            <w:bottom w:w="15" w:type="dxa"/>
            <w:right w:w="15" w:type="dxa"/>
          </w:tblCellMar>
        </w:tblPrEx>
        <w:tc>
          <w:tcPr>
            <w:tcW w:w="93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s="仿宋"/>
                <w:color w:val="000000"/>
                <w:kern w:val="0"/>
                <w:sz w:val="24"/>
                <w:highlight w:val="none"/>
              </w:rPr>
            </w:pPr>
            <w:r>
              <w:rPr>
                <w:rFonts w:hint="eastAsia" w:ascii="宋体" w:hAnsi="宋体" w:cs="仿宋"/>
                <w:color w:val="000000"/>
                <w:kern w:val="0"/>
                <w:sz w:val="24"/>
                <w:highlight w:val="none"/>
              </w:rPr>
              <w:t>标准报表</w:t>
            </w:r>
          </w:p>
        </w:tc>
        <w:tc>
          <w:tcPr>
            <w:tcW w:w="406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rPr>
                <w:rFonts w:ascii="宋体" w:hAnsi="宋体" w:cs="仿宋"/>
                <w:kern w:val="0"/>
                <w:sz w:val="24"/>
                <w:highlight w:val="none"/>
              </w:rPr>
            </w:pPr>
            <w:r>
              <w:rPr>
                <w:rFonts w:hint="eastAsia" w:ascii="宋体" w:hAnsi="宋体" w:cs="仿宋"/>
                <w:kern w:val="0"/>
                <w:sz w:val="24"/>
                <w:highlight w:val="none"/>
                <w:lang w:val="zh-TW" w:eastAsia="zh-TW"/>
              </w:rPr>
              <w:t>根据《三级综合医院评审标准实施细则》、《抗菌药物临床应用管理办法》、《阳光用药制度实施办法》、《质子泵抑制剂的合理使用管理办法》、《手术抗菌药物应用管理制度》等相关规定的要求，提供合理用药统计指标及药品使用情况统计报表。</w:t>
            </w:r>
          </w:p>
          <w:p>
            <w:pPr>
              <w:rPr>
                <w:rFonts w:ascii="宋体" w:hAnsi="宋体" w:cs="仿宋"/>
                <w:kern w:val="0"/>
                <w:sz w:val="24"/>
                <w:highlight w:val="none"/>
              </w:rPr>
            </w:pPr>
            <w:r>
              <w:rPr>
                <w:rFonts w:hint="eastAsia" w:ascii="宋体" w:hAnsi="宋体" w:cs="仿宋"/>
                <w:kern w:val="0"/>
                <w:sz w:val="24"/>
                <w:highlight w:val="none"/>
                <w:lang w:val="zh-TW" w:eastAsia="zh-TW"/>
              </w:rPr>
              <w:t>同时，配合医院的院内药品相关管理和统计需求，提供输液药物使用统计、药品使用量分析，药费增长趋势分析等报表。</w:t>
            </w:r>
          </w:p>
          <w:p>
            <w:pPr>
              <w:pStyle w:val="267"/>
              <w:ind w:firstLine="0" w:firstLineChars="0"/>
              <w:rPr>
                <w:rFonts w:ascii="宋体" w:hAnsi="宋体" w:eastAsia="宋体" w:cs="仿宋"/>
                <w:kern w:val="0"/>
                <w:highlight w:val="none"/>
                <w:lang w:val="zh-TW" w:eastAsia="zh-TW"/>
              </w:rPr>
            </w:pPr>
            <w:r>
              <w:rPr>
                <w:rFonts w:hint="eastAsia" w:ascii="宋体" w:hAnsi="宋体" w:eastAsia="宋体" w:cs="仿宋"/>
                <w:kern w:val="0"/>
                <w:highlight w:val="none"/>
              </w:rPr>
              <w:t>1.</w:t>
            </w:r>
            <w:r>
              <w:rPr>
                <w:rFonts w:hint="eastAsia" w:ascii="宋体" w:hAnsi="宋体" w:eastAsia="宋体" w:cs="仿宋"/>
                <w:kern w:val="0"/>
                <w:highlight w:val="none"/>
                <w:lang w:val="zh-TW" w:eastAsia="zh-TW"/>
              </w:rPr>
              <w:t>输液药物专项</w:t>
            </w:r>
          </w:p>
          <w:p>
            <w:pPr>
              <w:rPr>
                <w:rFonts w:ascii="宋体" w:hAnsi="宋体" w:cs="仿宋"/>
                <w:kern w:val="0"/>
                <w:sz w:val="24"/>
                <w:highlight w:val="none"/>
              </w:rPr>
            </w:pPr>
            <w:r>
              <w:rPr>
                <w:rFonts w:hint="eastAsia" w:ascii="宋体" w:hAnsi="宋体" w:cs="仿宋"/>
                <w:kern w:val="0"/>
                <w:sz w:val="24"/>
                <w:highlight w:val="none"/>
                <w:lang w:val="zh-TW" w:eastAsia="zh-TW"/>
              </w:rPr>
              <w:t>概述：提供静脉输液使用排名相关统计。</w:t>
            </w:r>
          </w:p>
          <w:p>
            <w:pPr>
              <w:rPr>
                <w:rFonts w:ascii="宋体" w:hAnsi="宋体" w:cs="仿宋"/>
                <w:kern w:val="0"/>
                <w:sz w:val="24"/>
                <w:highlight w:val="none"/>
              </w:rPr>
            </w:pPr>
            <w:r>
              <w:rPr>
                <w:rFonts w:hint="eastAsia" w:ascii="宋体" w:hAnsi="宋体" w:cs="仿宋"/>
                <w:kern w:val="0"/>
                <w:sz w:val="24"/>
                <w:highlight w:val="none"/>
                <w:lang w:val="zh-TW" w:eastAsia="zh-TW"/>
              </w:rPr>
              <w:t>指标：支持按照科室维度查看门诊输液药物总金额、静脉输液使用量等指标。</w:t>
            </w:r>
          </w:p>
          <w:p>
            <w:pPr>
              <w:rPr>
                <w:rFonts w:ascii="宋体" w:hAnsi="宋体" w:cs="仿宋"/>
                <w:kern w:val="0"/>
                <w:sz w:val="24"/>
                <w:highlight w:val="none"/>
              </w:rPr>
            </w:pPr>
            <w:r>
              <w:rPr>
                <w:rFonts w:hint="eastAsia" w:ascii="宋体" w:hAnsi="宋体" w:cs="仿宋"/>
                <w:kern w:val="0"/>
                <w:sz w:val="24"/>
                <w:highlight w:val="none"/>
                <w:lang w:val="zh-TW" w:eastAsia="zh-TW"/>
              </w:rPr>
              <w:t>支持按照科室</w:t>
            </w:r>
            <w:r>
              <w:rPr>
                <w:rFonts w:hint="eastAsia" w:ascii="宋体" w:hAnsi="宋体" w:cs="仿宋"/>
                <w:kern w:val="0"/>
                <w:sz w:val="24"/>
                <w:highlight w:val="none"/>
              </w:rPr>
              <w:t>/</w:t>
            </w:r>
            <w:r>
              <w:rPr>
                <w:rFonts w:hint="eastAsia" w:ascii="宋体" w:hAnsi="宋体" w:cs="仿宋"/>
                <w:kern w:val="0"/>
                <w:sz w:val="24"/>
                <w:highlight w:val="none"/>
                <w:lang w:val="zh-TW" w:eastAsia="zh-TW"/>
              </w:rPr>
              <w:t>病区</w:t>
            </w:r>
            <w:r>
              <w:rPr>
                <w:rFonts w:hint="eastAsia" w:ascii="宋体" w:hAnsi="宋体" w:cs="仿宋"/>
                <w:kern w:val="0"/>
                <w:sz w:val="24"/>
                <w:highlight w:val="none"/>
              </w:rPr>
              <w:t>/</w:t>
            </w:r>
            <w:r>
              <w:rPr>
                <w:rFonts w:hint="eastAsia" w:ascii="宋体" w:hAnsi="宋体" w:cs="仿宋"/>
                <w:kern w:val="0"/>
                <w:sz w:val="24"/>
                <w:highlight w:val="none"/>
                <w:lang w:val="zh-TW" w:eastAsia="zh-TW"/>
              </w:rPr>
              <w:t>医疗组维度查看住院输液药物总金额、静脉输液使用量等指标</w:t>
            </w:r>
          </w:p>
          <w:p>
            <w:pPr>
              <w:rPr>
                <w:rFonts w:ascii="宋体" w:hAnsi="宋体" w:cs="仿宋"/>
                <w:kern w:val="0"/>
                <w:sz w:val="24"/>
                <w:highlight w:val="none"/>
              </w:rPr>
            </w:pPr>
            <w:r>
              <w:rPr>
                <w:rFonts w:hint="eastAsia" w:ascii="宋体" w:hAnsi="宋体" w:cs="仿宋"/>
                <w:kern w:val="0"/>
                <w:sz w:val="24"/>
                <w:highlight w:val="none"/>
              </w:rPr>
              <w:tab/>
            </w:r>
            <w:r>
              <w:rPr>
                <w:rFonts w:hint="eastAsia" w:ascii="宋体" w:hAnsi="宋体" w:cs="仿宋"/>
                <w:kern w:val="0"/>
                <w:sz w:val="24"/>
                <w:highlight w:val="none"/>
                <w:lang w:val="zh-TW" w:eastAsia="zh-TW"/>
              </w:rPr>
              <w:t>报表样张：</w:t>
            </w:r>
          </w:p>
          <w:p>
            <w:pPr>
              <w:pStyle w:val="267"/>
              <w:numPr>
                <w:ilvl w:val="1"/>
                <w:numId w:val="146"/>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门诊输液药物使用情况表（科室）</w:t>
            </w:r>
          </w:p>
          <w:p>
            <w:pPr>
              <w:pStyle w:val="267"/>
              <w:numPr>
                <w:ilvl w:val="1"/>
                <w:numId w:val="146"/>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住院输液药物使用情况表（科室）</w:t>
            </w:r>
          </w:p>
          <w:p>
            <w:pPr>
              <w:pStyle w:val="267"/>
              <w:numPr>
                <w:ilvl w:val="1"/>
                <w:numId w:val="146"/>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住院输液药物使用情况表（病区）</w:t>
            </w:r>
          </w:p>
          <w:p>
            <w:pPr>
              <w:pStyle w:val="267"/>
              <w:numPr>
                <w:ilvl w:val="1"/>
                <w:numId w:val="146"/>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住院输液药物使用情况表（医疗组）</w:t>
            </w:r>
          </w:p>
          <w:p>
            <w:pPr>
              <w:pStyle w:val="267"/>
              <w:ind w:firstLine="0" w:firstLineChars="0"/>
              <w:rPr>
                <w:rFonts w:ascii="宋体" w:hAnsi="宋体" w:eastAsia="宋体" w:cs="仿宋"/>
                <w:kern w:val="0"/>
                <w:highlight w:val="none"/>
                <w:lang w:val="zh-TW" w:eastAsia="zh-TW"/>
              </w:rPr>
            </w:pPr>
            <w:r>
              <w:rPr>
                <w:rFonts w:hint="eastAsia" w:ascii="宋体" w:hAnsi="宋体" w:eastAsia="宋体" w:cs="仿宋"/>
                <w:kern w:val="0"/>
                <w:highlight w:val="none"/>
              </w:rPr>
              <w:t>2.</w:t>
            </w:r>
            <w:r>
              <w:rPr>
                <w:rFonts w:hint="eastAsia" w:ascii="宋体" w:hAnsi="宋体" w:eastAsia="宋体" w:cs="仿宋"/>
                <w:kern w:val="0"/>
                <w:highlight w:val="none"/>
                <w:lang w:val="zh-TW" w:eastAsia="zh-TW"/>
              </w:rPr>
              <w:t>基本药物专项</w:t>
            </w:r>
          </w:p>
          <w:p>
            <w:pPr>
              <w:rPr>
                <w:rFonts w:ascii="宋体" w:hAnsi="宋体" w:cs="仿宋"/>
                <w:kern w:val="0"/>
                <w:sz w:val="24"/>
                <w:highlight w:val="none"/>
              </w:rPr>
            </w:pPr>
            <w:r>
              <w:rPr>
                <w:rFonts w:hint="eastAsia" w:ascii="宋体" w:hAnsi="宋体" w:cs="仿宋"/>
                <w:kern w:val="0"/>
                <w:sz w:val="24"/>
                <w:highlight w:val="none"/>
                <w:lang w:val="zh-TW" w:eastAsia="zh-TW"/>
              </w:rPr>
              <w:t>概述</w:t>
            </w:r>
            <w:r>
              <w:rPr>
                <w:rFonts w:hint="eastAsia" w:ascii="宋体" w:hAnsi="宋体" w:cs="仿宋"/>
                <w:kern w:val="0"/>
                <w:sz w:val="24"/>
                <w:highlight w:val="none"/>
              </w:rPr>
              <w:t xml:space="preserve">:  </w:t>
            </w:r>
            <w:r>
              <w:rPr>
                <w:rFonts w:hint="eastAsia" w:ascii="宋体" w:hAnsi="宋体" w:cs="仿宋"/>
                <w:kern w:val="0"/>
                <w:sz w:val="24"/>
                <w:highlight w:val="none"/>
                <w:lang w:val="zh-TW" w:eastAsia="zh-TW"/>
              </w:rPr>
              <w:t>提供国家基药或者省基药的品种数、总金额、人次数等情况的统计。</w:t>
            </w:r>
          </w:p>
          <w:p>
            <w:pPr>
              <w:rPr>
                <w:rFonts w:ascii="宋体" w:hAnsi="宋体" w:cs="仿宋"/>
                <w:kern w:val="0"/>
                <w:sz w:val="24"/>
                <w:highlight w:val="none"/>
              </w:rPr>
            </w:pPr>
            <w:r>
              <w:rPr>
                <w:rFonts w:hint="eastAsia" w:ascii="宋体" w:hAnsi="宋体" w:cs="仿宋"/>
                <w:kern w:val="0"/>
                <w:sz w:val="24"/>
                <w:highlight w:val="none"/>
                <w:lang w:val="zh-TW" w:eastAsia="zh-TW"/>
              </w:rPr>
              <w:t>指标：支持按照科室维度查看门诊国家基本药物品种数、总金额、人次数等指标</w:t>
            </w:r>
          </w:p>
          <w:p>
            <w:pPr>
              <w:rPr>
                <w:rFonts w:ascii="宋体" w:hAnsi="宋体" w:cs="仿宋"/>
                <w:kern w:val="0"/>
                <w:sz w:val="24"/>
                <w:highlight w:val="none"/>
              </w:rPr>
            </w:pPr>
            <w:r>
              <w:rPr>
                <w:rFonts w:hint="eastAsia" w:ascii="宋体" w:hAnsi="宋体" w:cs="仿宋"/>
                <w:kern w:val="0"/>
                <w:sz w:val="24"/>
                <w:highlight w:val="none"/>
                <w:lang w:val="zh-TW" w:eastAsia="zh-TW"/>
              </w:rPr>
              <w:t>支持按照科室</w:t>
            </w:r>
            <w:r>
              <w:rPr>
                <w:rFonts w:hint="eastAsia" w:ascii="宋体" w:hAnsi="宋体" w:cs="仿宋"/>
                <w:kern w:val="0"/>
                <w:sz w:val="24"/>
                <w:highlight w:val="none"/>
              </w:rPr>
              <w:t>/</w:t>
            </w:r>
            <w:r>
              <w:rPr>
                <w:rFonts w:hint="eastAsia" w:ascii="宋体" w:hAnsi="宋体" w:cs="仿宋"/>
                <w:kern w:val="0"/>
                <w:sz w:val="24"/>
                <w:highlight w:val="none"/>
                <w:lang w:val="zh-TW" w:eastAsia="zh-TW"/>
              </w:rPr>
              <w:t>病区</w:t>
            </w:r>
            <w:r>
              <w:rPr>
                <w:rFonts w:hint="eastAsia" w:ascii="宋体" w:hAnsi="宋体" w:cs="仿宋"/>
                <w:kern w:val="0"/>
                <w:sz w:val="24"/>
                <w:highlight w:val="none"/>
              </w:rPr>
              <w:t>/</w:t>
            </w:r>
            <w:r>
              <w:rPr>
                <w:rFonts w:hint="eastAsia" w:ascii="宋体" w:hAnsi="宋体" w:cs="仿宋"/>
                <w:kern w:val="0"/>
                <w:sz w:val="24"/>
                <w:highlight w:val="none"/>
                <w:lang w:val="zh-TW" w:eastAsia="zh-TW"/>
              </w:rPr>
              <w:t>医疗组维度查看住院国家基本药物品种数、总金额、人次数等指标</w:t>
            </w:r>
          </w:p>
          <w:p>
            <w:pPr>
              <w:rPr>
                <w:rFonts w:ascii="宋体" w:hAnsi="宋体" w:cs="仿宋"/>
                <w:kern w:val="0"/>
                <w:sz w:val="24"/>
                <w:highlight w:val="none"/>
              </w:rPr>
            </w:pPr>
            <w:r>
              <w:rPr>
                <w:rFonts w:hint="eastAsia" w:ascii="宋体" w:hAnsi="宋体" w:cs="仿宋"/>
                <w:kern w:val="0"/>
                <w:sz w:val="24"/>
                <w:highlight w:val="none"/>
                <w:lang w:val="zh-TW" w:eastAsia="zh-TW"/>
              </w:rPr>
              <w:t>支持按照科室维度查看住院省基本药物品种数、总金额、人次数等指标</w:t>
            </w:r>
          </w:p>
          <w:p>
            <w:pPr>
              <w:rPr>
                <w:rFonts w:ascii="宋体" w:hAnsi="宋体" w:cs="仿宋"/>
                <w:kern w:val="0"/>
                <w:sz w:val="24"/>
                <w:highlight w:val="none"/>
              </w:rPr>
            </w:pPr>
            <w:r>
              <w:rPr>
                <w:rFonts w:hint="eastAsia" w:ascii="宋体" w:hAnsi="宋体" w:cs="仿宋"/>
                <w:kern w:val="0"/>
                <w:sz w:val="24"/>
                <w:highlight w:val="none"/>
                <w:lang w:val="zh-TW" w:eastAsia="zh-TW"/>
              </w:rPr>
              <w:t>支持按照科室</w:t>
            </w:r>
            <w:r>
              <w:rPr>
                <w:rFonts w:hint="eastAsia" w:ascii="宋体" w:hAnsi="宋体" w:cs="仿宋"/>
                <w:kern w:val="0"/>
                <w:sz w:val="24"/>
                <w:highlight w:val="none"/>
              </w:rPr>
              <w:t>/</w:t>
            </w:r>
            <w:r>
              <w:rPr>
                <w:rFonts w:hint="eastAsia" w:ascii="宋体" w:hAnsi="宋体" w:cs="仿宋"/>
                <w:kern w:val="0"/>
                <w:sz w:val="24"/>
                <w:highlight w:val="none"/>
                <w:lang w:val="zh-TW" w:eastAsia="zh-TW"/>
              </w:rPr>
              <w:t>病区</w:t>
            </w:r>
            <w:r>
              <w:rPr>
                <w:rFonts w:hint="eastAsia" w:ascii="宋体" w:hAnsi="宋体" w:cs="仿宋"/>
                <w:kern w:val="0"/>
                <w:sz w:val="24"/>
                <w:highlight w:val="none"/>
              </w:rPr>
              <w:t>/</w:t>
            </w:r>
            <w:r>
              <w:rPr>
                <w:rFonts w:hint="eastAsia" w:ascii="宋体" w:hAnsi="宋体" w:cs="仿宋"/>
                <w:kern w:val="0"/>
                <w:sz w:val="24"/>
                <w:highlight w:val="none"/>
                <w:lang w:val="zh-TW" w:eastAsia="zh-TW"/>
              </w:rPr>
              <w:t>医疗组维度查看住院省基本药物品种数、总金额、人次数等指标</w:t>
            </w:r>
          </w:p>
          <w:p>
            <w:pPr>
              <w:rPr>
                <w:rFonts w:ascii="宋体" w:hAnsi="宋体" w:cs="仿宋"/>
                <w:kern w:val="0"/>
                <w:sz w:val="24"/>
                <w:highlight w:val="none"/>
              </w:rPr>
            </w:pPr>
            <w:r>
              <w:rPr>
                <w:rFonts w:hint="eastAsia" w:ascii="宋体" w:hAnsi="宋体" w:cs="仿宋"/>
                <w:kern w:val="0"/>
                <w:sz w:val="24"/>
                <w:highlight w:val="none"/>
              </w:rPr>
              <w:tab/>
            </w:r>
            <w:r>
              <w:rPr>
                <w:rFonts w:hint="eastAsia" w:ascii="宋体" w:hAnsi="宋体" w:cs="仿宋"/>
                <w:kern w:val="0"/>
                <w:sz w:val="24"/>
                <w:highlight w:val="none"/>
                <w:lang w:val="zh-TW" w:eastAsia="zh-TW"/>
              </w:rPr>
              <w:t>报表样张：</w:t>
            </w:r>
          </w:p>
          <w:p>
            <w:pPr>
              <w:pStyle w:val="267"/>
              <w:numPr>
                <w:ilvl w:val="1"/>
                <w:numId w:val="147"/>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门诊国家基本药物使用情况统计表（科室）</w:t>
            </w:r>
          </w:p>
          <w:p>
            <w:pPr>
              <w:pStyle w:val="267"/>
              <w:numPr>
                <w:ilvl w:val="1"/>
                <w:numId w:val="147"/>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住院国家基本药物使用情况统计表（科室）</w:t>
            </w:r>
          </w:p>
          <w:p>
            <w:pPr>
              <w:pStyle w:val="267"/>
              <w:numPr>
                <w:ilvl w:val="1"/>
                <w:numId w:val="147"/>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住院国家基本药物使用情况统计表（病区）</w:t>
            </w:r>
          </w:p>
          <w:p>
            <w:pPr>
              <w:pStyle w:val="267"/>
              <w:numPr>
                <w:ilvl w:val="1"/>
                <w:numId w:val="147"/>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住院国家基本药物使用情况统计表（医疗组）</w:t>
            </w:r>
          </w:p>
          <w:p>
            <w:pPr>
              <w:pStyle w:val="267"/>
              <w:numPr>
                <w:ilvl w:val="1"/>
                <w:numId w:val="147"/>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门诊省基本药物使用情况统计表（科室）</w:t>
            </w:r>
          </w:p>
          <w:p>
            <w:pPr>
              <w:pStyle w:val="267"/>
              <w:numPr>
                <w:ilvl w:val="1"/>
                <w:numId w:val="147"/>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住院省基本药物使用情况统计表（科室）</w:t>
            </w:r>
            <w:r>
              <w:rPr>
                <w:rFonts w:hint="eastAsia" w:ascii="宋体" w:hAnsi="宋体" w:eastAsia="宋体" w:cs="仿宋"/>
                <w:kern w:val="0"/>
                <w:highlight w:val="none"/>
              </w:rPr>
              <w:tab/>
            </w:r>
          </w:p>
          <w:p>
            <w:pPr>
              <w:pStyle w:val="267"/>
              <w:numPr>
                <w:ilvl w:val="1"/>
                <w:numId w:val="147"/>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住院省基本药物使用情况统计表（病区）</w:t>
            </w:r>
            <w:r>
              <w:rPr>
                <w:rFonts w:hint="eastAsia" w:ascii="宋体" w:hAnsi="宋体" w:eastAsia="宋体" w:cs="仿宋"/>
                <w:kern w:val="0"/>
                <w:highlight w:val="none"/>
              </w:rPr>
              <w:tab/>
            </w:r>
          </w:p>
          <w:p>
            <w:pPr>
              <w:pStyle w:val="267"/>
              <w:numPr>
                <w:ilvl w:val="1"/>
                <w:numId w:val="147"/>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住院省基本药物使用情况统计表（医疗组</w:t>
            </w:r>
            <w:r>
              <w:rPr>
                <w:rFonts w:hint="eastAsia" w:ascii="宋体" w:hAnsi="宋体" w:eastAsia="宋体" w:cs="仿宋"/>
                <w:kern w:val="0"/>
                <w:highlight w:val="none"/>
              </w:rPr>
              <w:t>)</w:t>
            </w:r>
            <w:r>
              <w:rPr>
                <w:rFonts w:hint="eastAsia" w:ascii="宋体" w:hAnsi="宋体" w:eastAsia="宋体" w:cs="仿宋"/>
                <w:kern w:val="0"/>
                <w:highlight w:val="none"/>
              </w:rPr>
              <w:tab/>
            </w:r>
          </w:p>
          <w:p>
            <w:pPr>
              <w:pStyle w:val="267"/>
              <w:ind w:firstLine="0" w:firstLineChars="0"/>
              <w:rPr>
                <w:rFonts w:ascii="宋体" w:hAnsi="宋体" w:eastAsia="宋体" w:cs="仿宋"/>
                <w:kern w:val="0"/>
                <w:highlight w:val="none"/>
                <w:lang w:val="zh-TW" w:eastAsia="zh-TW"/>
              </w:rPr>
            </w:pPr>
            <w:r>
              <w:rPr>
                <w:rFonts w:hint="eastAsia" w:ascii="宋体" w:hAnsi="宋体" w:eastAsia="宋体" w:cs="仿宋"/>
                <w:kern w:val="0"/>
                <w:highlight w:val="none"/>
              </w:rPr>
              <w:t>3.</w:t>
            </w:r>
            <w:r>
              <w:rPr>
                <w:rFonts w:hint="eastAsia" w:ascii="宋体" w:hAnsi="宋体" w:eastAsia="宋体" w:cs="仿宋"/>
                <w:kern w:val="0"/>
                <w:highlight w:val="none"/>
                <w:lang w:val="zh-TW" w:eastAsia="zh-TW"/>
              </w:rPr>
              <w:t>抗菌药物专项</w:t>
            </w:r>
            <w:r>
              <w:rPr>
                <w:rFonts w:hint="eastAsia" w:ascii="宋体" w:hAnsi="宋体" w:eastAsia="宋体" w:cs="仿宋"/>
                <w:kern w:val="0"/>
                <w:highlight w:val="none"/>
              </w:rPr>
              <w:tab/>
            </w:r>
          </w:p>
          <w:p>
            <w:pPr>
              <w:rPr>
                <w:rFonts w:ascii="宋体" w:hAnsi="宋体" w:cs="仿宋"/>
                <w:kern w:val="0"/>
                <w:sz w:val="24"/>
                <w:highlight w:val="none"/>
              </w:rPr>
            </w:pPr>
            <w:r>
              <w:rPr>
                <w:rFonts w:hint="eastAsia" w:ascii="宋体" w:hAnsi="宋体" w:cs="仿宋"/>
                <w:kern w:val="0"/>
                <w:sz w:val="24"/>
                <w:highlight w:val="none"/>
                <w:lang w:val="zh-TW" w:eastAsia="zh-TW"/>
              </w:rPr>
              <w:t>概述：提供不同级别的抗菌药物相关统计以及抗菌药物送检等情况的统计。</w:t>
            </w:r>
          </w:p>
          <w:p>
            <w:pPr>
              <w:rPr>
                <w:rFonts w:ascii="宋体" w:hAnsi="宋体" w:cs="仿宋"/>
                <w:kern w:val="0"/>
                <w:sz w:val="24"/>
                <w:highlight w:val="none"/>
              </w:rPr>
            </w:pPr>
            <w:r>
              <w:rPr>
                <w:rFonts w:hint="eastAsia" w:ascii="宋体" w:hAnsi="宋体" w:cs="仿宋"/>
                <w:kern w:val="0"/>
                <w:sz w:val="24"/>
                <w:highlight w:val="none"/>
                <w:lang w:val="zh-TW" w:eastAsia="zh-TW"/>
              </w:rPr>
              <w:t>指标</w:t>
            </w:r>
            <w:r>
              <w:rPr>
                <w:rFonts w:hint="eastAsia" w:ascii="宋体" w:hAnsi="宋体" w:cs="仿宋"/>
                <w:kern w:val="0"/>
                <w:sz w:val="24"/>
                <w:highlight w:val="none"/>
              </w:rPr>
              <w:t>:</w:t>
            </w:r>
            <w:r>
              <w:rPr>
                <w:rFonts w:hint="eastAsia" w:ascii="宋体" w:hAnsi="宋体" w:cs="仿宋"/>
                <w:kern w:val="0"/>
                <w:sz w:val="24"/>
                <w:highlight w:val="none"/>
                <w:lang w:val="zh-TW" w:eastAsia="zh-TW"/>
              </w:rPr>
              <w:t xml:space="preserve"> 支持按照具体药品名称维度查看抗菌药物使用金额、使用数量、消耗总克数等指标</w:t>
            </w:r>
          </w:p>
          <w:p>
            <w:pPr>
              <w:rPr>
                <w:rFonts w:ascii="宋体" w:hAnsi="宋体" w:cs="仿宋"/>
                <w:kern w:val="0"/>
                <w:sz w:val="24"/>
                <w:highlight w:val="none"/>
              </w:rPr>
            </w:pPr>
            <w:r>
              <w:rPr>
                <w:rFonts w:hint="eastAsia" w:ascii="宋体" w:hAnsi="宋体" w:cs="仿宋"/>
                <w:kern w:val="0"/>
                <w:sz w:val="24"/>
                <w:highlight w:val="none"/>
                <w:lang w:val="zh-TW" w:eastAsia="zh-TW"/>
              </w:rPr>
              <w:t>支持按照科室维度查看门诊抗菌药物使用金额、品规数、处方人次数等指标</w:t>
            </w:r>
          </w:p>
          <w:p>
            <w:pPr>
              <w:rPr>
                <w:rFonts w:ascii="宋体" w:hAnsi="宋体" w:cs="仿宋"/>
                <w:kern w:val="0"/>
                <w:sz w:val="24"/>
                <w:highlight w:val="none"/>
              </w:rPr>
            </w:pPr>
            <w:r>
              <w:rPr>
                <w:rFonts w:hint="eastAsia" w:ascii="宋体" w:hAnsi="宋体" w:cs="仿宋"/>
                <w:kern w:val="0"/>
                <w:sz w:val="24"/>
                <w:highlight w:val="none"/>
                <w:lang w:val="zh-TW" w:eastAsia="zh-TW"/>
              </w:rPr>
              <w:t>支持按科室</w:t>
            </w:r>
            <w:r>
              <w:rPr>
                <w:rFonts w:hint="eastAsia" w:ascii="宋体" w:hAnsi="宋体" w:cs="仿宋"/>
                <w:kern w:val="0"/>
                <w:sz w:val="24"/>
                <w:highlight w:val="none"/>
              </w:rPr>
              <w:t>/</w:t>
            </w:r>
            <w:r>
              <w:rPr>
                <w:rFonts w:hint="eastAsia" w:ascii="宋体" w:hAnsi="宋体" w:cs="仿宋"/>
                <w:kern w:val="0"/>
                <w:sz w:val="24"/>
                <w:highlight w:val="none"/>
                <w:lang w:val="zh-TW" w:eastAsia="zh-TW"/>
              </w:rPr>
              <w:t>病区</w:t>
            </w:r>
            <w:r>
              <w:rPr>
                <w:rFonts w:hint="eastAsia" w:ascii="宋体" w:hAnsi="宋体" w:cs="仿宋"/>
                <w:kern w:val="0"/>
                <w:sz w:val="24"/>
                <w:highlight w:val="none"/>
              </w:rPr>
              <w:t>/</w:t>
            </w:r>
            <w:r>
              <w:rPr>
                <w:rFonts w:hint="eastAsia" w:ascii="宋体" w:hAnsi="宋体" w:cs="仿宋"/>
                <w:kern w:val="0"/>
                <w:sz w:val="24"/>
                <w:highlight w:val="none"/>
                <w:lang w:val="zh-TW" w:eastAsia="zh-TW"/>
              </w:rPr>
              <w:t xml:space="preserve">医疗组查看住院抗菌药物送检人次、治疗使用前送检人次、特殊级以及限制级抗菌药物送检人次、病原学检查送检人次等指标等 </w:t>
            </w:r>
          </w:p>
          <w:p>
            <w:pPr>
              <w:rPr>
                <w:rFonts w:ascii="宋体" w:hAnsi="宋体" w:cs="仿宋"/>
                <w:kern w:val="0"/>
                <w:sz w:val="24"/>
                <w:highlight w:val="none"/>
              </w:rPr>
            </w:pPr>
            <w:r>
              <w:rPr>
                <w:rFonts w:hint="eastAsia" w:ascii="宋体" w:hAnsi="宋体" w:cs="仿宋"/>
                <w:kern w:val="0"/>
                <w:sz w:val="24"/>
                <w:highlight w:val="none"/>
                <w:lang w:val="zh-TW" w:eastAsia="zh-TW"/>
              </w:rPr>
              <w:t>支持按科室</w:t>
            </w:r>
            <w:r>
              <w:rPr>
                <w:rFonts w:hint="eastAsia" w:ascii="宋体" w:hAnsi="宋体" w:cs="仿宋"/>
                <w:kern w:val="0"/>
                <w:sz w:val="24"/>
                <w:highlight w:val="none"/>
              </w:rPr>
              <w:t>/</w:t>
            </w:r>
            <w:r>
              <w:rPr>
                <w:rFonts w:hint="eastAsia" w:ascii="宋体" w:hAnsi="宋体" w:cs="仿宋"/>
                <w:kern w:val="0"/>
                <w:sz w:val="24"/>
                <w:highlight w:val="none"/>
                <w:lang w:val="zh-TW" w:eastAsia="zh-TW"/>
              </w:rPr>
              <w:t>病区</w:t>
            </w:r>
            <w:r>
              <w:rPr>
                <w:rFonts w:hint="eastAsia" w:ascii="宋体" w:hAnsi="宋体" w:cs="仿宋"/>
                <w:kern w:val="0"/>
                <w:sz w:val="24"/>
                <w:highlight w:val="none"/>
              </w:rPr>
              <w:t>/</w:t>
            </w:r>
            <w:r>
              <w:rPr>
                <w:rFonts w:hint="eastAsia" w:ascii="宋体" w:hAnsi="宋体" w:cs="仿宋"/>
                <w:kern w:val="0"/>
                <w:sz w:val="24"/>
                <w:highlight w:val="none"/>
                <w:lang w:val="zh-TW" w:eastAsia="zh-TW"/>
              </w:rPr>
              <w:t>医疗组查看住院抗菌药物使用率、限制级抗菌药物、特殊级抗菌药物使用率、抗菌药物</w:t>
            </w:r>
            <w:r>
              <w:rPr>
                <w:rFonts w:hint="eastAsia" w:ascii="宋体" w:hAnsi="宋体" w:cs="仿宋"/>
                <w:kern w:val="0"/>
                <w:sz w:val="24"/>
                <w:highlight w:val="none"/>
              </w:rPr>
              <w:t>DDDs</w:t>
            </w:r>
            <w:r>
              <w:rPr>
                <w:rFonts w:hint="eastAsia" w:ascii="宋体" w:hAnsi="宋体" w:cs="仿宋"/>
                <w:kern w:val="0"/>
                <w:sz w:val="24"/>
                <w:highlight w:val="none"/>
                <w:lang w:val="zh-TW" w:eastAsia="zh-TW"/>
              </w:rPr>
              <w:t>、抗菌药物强度等评价指标</w:t>
            </w:r>
          </w:p>
          <w:p>
            <w:pPr>
              <w:rPr>
                <w:rFonts w:ascii="宋体" w:hAnsi="宋体" w:cs="仿宋"/>
                <w:kern w:val="0"/>
                <w:sz w:val="24"/>
                <w:highlight w:val="none"/>
              </w:rPr>
            </w:pPr>
            <w:r>
              <w:rPr>
                <w:rFonts w:hint="eastAsia" w:ascii="宋体" w:hAnsi="宋体" w:cs="仿宋"/>
                <w:kern w:val="0"/>
                <w:sz w:val="24"/>
                <w:highlight w:val="none"/>
                <w:lang w:val="zh-TW" w:eastAsia="zh-TW"/>
              </w:rPr>
              <w:t>支持查看抗菌药物的使用人次、使用数量、使用金额、</w:t>
            </w:r>
            <w:r>
              <w:rPr>
                <w:rFonts w:hint="eastAsia" w:ascii="宋体" w:hAnsi="宋体" w:cs="仿宋"/>
                <w:kern w:val="0"/>
                <w:sz w:val="24"/>
                <w:highlight w:val="none"/>
              </w:rPr>
              <w:t>DDD</w:t>
            </w:r>
            <w:r>
              <w:rPr>
                <w:rFonts w:hint="eastAsia" w:ascii="宋体" w:hAnsi="宋体" w:cs="仿宋"/>
                <w:kern w:val="0"/>
                <w:sz w:val="24"/>
                <w:highlight w:val="none"/>
                <w:lang w:val="zh-TW" w:eastAsia="zh-TW"/>
              </w:rPr>
              <w:t>值、</w:t>
            </w:r>
            <w:r>
              <w:rPr>
                <w:rFonts w:hint="eastAsia" w:ascii="宋体" w:hAnsi="宋体" w:cs="仿宋"/>
                <w:kern w:val="0"/>
                <w:sz w:val="24"/>
                <w:highlight w:val="none"/>
              </w:rPr>
              <w:t>DDD</w:t>
            </w:r>
            <w:r>
              <w:rPr>
                <w:rFonts w:hint="eastAsia" w:ascii="宋体" w:hAnsi="宋体" w:cs="仿宋"/>
                <w:kern w:val="0"/>
                <w:sz w:val="24"/>
                <w:highlight w:val="none"/>
                <w:lang w:val="zh-TW" w:eastAsia="zh-TW"/>
              </w:rPr>
              <w:t>数等药品排名前</w:t>
            </w:r>
            <w:r>
              <w:rPr>
                <w:rFonts w:hint="eastAsia" w:ascii="宋体" w:hAnsi="宋体" w:cs="仿宋"/>
                <w:kern w:val="0"/>
                <w:sz w:val="24"/>
                <w:highlight w:val="none"/>
              </w:rPr>
              <w:t>25</w:t>
            </w:r>
            <w:r>
              <w:rPr>
                <w:rFonts w:hint="eastAsia" w:ascii="宋体" w:hAnsi="宋体" w:cs="仿宋"/>
                <w:kern w:val="0"/>
                <w:sz w:val="24"/>
                <w:highlight w:val="none"/>
                <w:lang w:val="zh-TW" w:eastAsia="zh-TW"/>
              </w:rPr>
              <w:t>名</w:t>
            </w:r>
          </w:p>
          <w:p>
            <w:pPr>
              <w:rPr>
                <w:rFonts w:ascii="宋体" w:hAnsi="宋体" w:cs="仿宋"/>
                <w:kern w:val="0"/>
                <w:sz w:val="24"/>
                <w:highlight w:val="none"/>
              </w:rPr>
            </w:pPr>
            <w:r>
              <w:rPr>
                <w:rFonts w:hint="eastAsia" w:ascii="宋体" w:hAnsi="宋体" w:cs="仿宋"/>
                <w:kern w:val="0"/>
                <w:sz w:val="24"/>
                <w:highlight w:val="none"/>
              </w:rPr>
              <w:tab/>
            </w:r>
            <w:r>
              <w:rPr>
                <w:rFonts w:hint="eastAsia" w:ascii="宋体" w:hAnsi="宋体" w:cs="仿宋"/>
                <w:kern w:val="0"/>
                <w:sz w:val="24"/>
                <w:highlight w:val="none"/>
                <w:lang w:val="zh-TW" w:eastAsia="zh-TW"/>
              </w:rPr>
              <w:t>报表样张：</w:t>
            </w:r>
          </w:p>
          <w:p>
            <w:pPr>
              <w:pStyle w:val="267"/>
              <w:numPr>
                <w:ilvl w:val="1"/>
                <w:numId w:val="148"/>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住院抗菌药物送检情况分析（科室）</w:t>
            </w:r>
          </w:p>
          <w:p>
            <w:pPr>
              <w:pStyle w:val="267"/>
              <w:numPr>
                <w:ilvl w:val="1"/>
                <w:numId w:val="148"/>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住院抗菌药物使用情况汇总（科室）</w:t>
            </w:r>
          </w:p>
          <w:p>
            <w:pPr>
              <w:pStyle w:val="267"/>
              <w:numPr>
                <w:ilvl w:val="1"/>
                <w:numId w:val="148"/>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门诊抗菌药物使用情况汇总（科室）</w:t>
            </w:r>
          </w:p>
          <w:p>
            <w:pPr>
              <w:pStyle w:val="267"/>
              <w:numPr>
                <w:ilvl w:val="1"/>
                <w:numId w:val="148"/>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门诊抗菌药物使用分析</w:t>
            </w:r>
          </w:p>
          <w:p>
            <w:pPr>
              <w:pStyle w:val="267"/>
              <w:numPr>
                <w:ilvl w:val="1"/>
                <w:numId w:val="148"/>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住院抗菌药物使用情况汇总（病区）</w:t>
            </w:r>
          </w:p>
          <w:p>
            <w:pPr>
              <w:pStyle w:val="267"/>
              <w:numPr>
                <w:ilvl w:val="1"/>
                <w:numId w:val="148"/>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住院抗菌药物使用情况汇总（医疗组）</w:t>
            </w:r>
          </w:p>
          <w:p>
            <w:pPr>
              <w:pStyle w:val="267"/>
              <w:numPr>
                <w:ilvl w:val="1"/>
                <w:numId w:val="148"/>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住院抗菌药物送检情况分析（病区）</w:t>
            </w:r>
          </w:p>
          <w:p>
            <w:pPr>
              <w:pStyle w:val="267"/>
              <w:numPr>
                <w:ilvl w:val="1"/>
                <w:numId w:val="148"/>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住院抗菌药物送检情况分析（医疗组）</w:t>
            </w:r>
          </w:p>
          <w:p>
            <w:pPr>
              <w:pStyle w:val="267"/>
              <w:numPr>
                <w:ilvl w:val="1"/>
                <w:numId w:val="148"/>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全院抗菌药物使用分析</w:t>
            </w:r>
            <w:r>
              <w:rPr>
                <w:rFonts w:hint="eastAsia" w:ascii="宋体" w:hAnsi="宋体" w:eastAsia="宋体" w:cs="仿宋"/>
                <w:kern w:val="0"/>
                <w:highlight w:val="none"/>
              </w:rPr>
              <w:tab/>
            </w:r>
          </w:p>
          <w:p>
            <w:pPr>
              <w:pStyle w:val="267"/>
              <w:numPr>
                <w:ilvl w:val="1"/>
                <w:numId w:val="148"/>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全院抗菌药物使用情况汇总（科室）</w:t>
            </w:r>
          </w:p>
          <w:p>
            <w:pPr>
              <w:pStyle w:val="267"/>
              <w:numPr>
                <w:ilvl w:val="1"/>
                <w:numId w:val="148"/>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住院抗菌药物</w:t>
            </w:r>
            <w:r>
              <w:rPr>
                <w:rFonts w:hint="eastAsia" w:ascii="宋体" w:hAnsi="宋体" w:eastAsia="宋体" w:cs="仿宋"/>
                <w:kern w:val="0"/>
                <w:highlight w:val="none"/>
              </w:rPr>
              <w:t>DDDs</w:t>
            </w:r>
            <w:r>
              <w:rPr>
                <w:rFonts w:hint="eastAsia" w:ascii="宋体" w:hAnsi="宋体" w:eastAsia="宋体" w:cs="仿宋"/>
                <w:kern w:val="0"/>
                <w:highlight w:val="none"/>
                <w:lang w:val="zh-TW" w:eastAsia="zh-TW"/>
              </w:rPr>
              <w:t>排名</w:t>
            </w:r>
          </w:p>
          <w:p>
            <w:pPr>
              <w:pStyle w:val="267"/>
              <w:ind w:firstLine="0" w:firstLineChars="0"/>
              <w:rPr>
                <w:rFonts w:ascii="宋体" w:hAnsi="宋体" w:eastAsia="宋体" w:cs="仿宋"/>
                <w:kern w:val="0"/>
                <w:highlight w:val="none"/>
                <w:lang w:val="zh-TW" w:eastAsia="zh-TW"/>
              </w:rPr>
            </w:pPr>
            <w:r>
              <w:rPr>
                <w:rFonts w:hint="eastAsia" w:ascii="宋体" w:hAnsi="宋体" w:eastAsia="宋体" w:cs="仿宋"/>
                <w:kern w:val="0"/>
                <w:highlight w:val="none"/>
              </w:rPr>
              <w:t>4.</w:t>
            </w:r>
            <w:r>
              <w:rPr>
                <w:rFonts w:hint="eastAsia" w:ascii="宋体" w:hAnsi="宋体" w:eastAsia="宋体" w:cs="仿宋"/>
                <w:kern w:val="0"/>
                <w:highlight w:val="none"/>
                <w:lang w:val="zh-TW" w:eastAsia="zh-TW"/>
              </w:rPr>
              <w:t>药品使用</w:t>
            </w:r>
          </w:p>
          <w:p>
            <w:pPr>
              <w:rPr>
                <w:rFonts w:ascii="宋体" w:hAnsi="宋体" w:cs="仿宋"/>
                <w:kern w:val="0"/>
                <w:sz w:val="24"/>
                <w:highlight w:val="none"/>
              </w:rPr>
            </w:pPr>
            <w:r>
              <w:rPr>
                <w:rFonts w:hint="eastAsia" w:ascii="宋体" w:hAnsi="宋体" w:cs="仿宋"/>
                <w:kern w:val="0"/>
                <w:sz w:val="24"/>
                <w:highlight w:val="none"/>
                <w:lang w:val="zh-TW" w:eastAsia="zh-TW"/>
              </w:rPr>
              <w:t>概述：提供药品使用情况分析，支持按照汇总药品、中药饮片、不含中药饮片等维度查看。</w:t>
            </w:r>
          </w:p>
          <w:p>
            <w:pPr>
              <w:rPr>
                <w:rFonts w:ascii="宋体" w:hAnsi="宋体" w:cs="仿宋"/>
                <w:kern w:val="0"/>
                <w:sz w:val="24"/>
                <w:highlight w:val="none"/>
              </w:rPr>
            </w:pPr>
            <w:r>
              <w:rPr>
                <w:rFonts w:hint="eastAsia" w:ascii="宋体" w:hAnsi="宋体" w:cs="仿宋"/>
                <w:kern w:val="0"/>
                <w:sz w:val="24"/>
                <w:highlight w:val="none"/>
                <w:lang w:val="zh-TW" w:eastAsia="zh-TW"/>
              </w:rPr>
              <w:t>指标：支持按照科室维度查看门诊所有药品、中药饮片、不含中药饮片下的处方数、处方人次、药品金额等指标</w:t>
            </w:r>
          </w:p>
          <w:p>
            <w:pPr>
              <w:rPr>
                <w:rFonts w:ascii="宋体" w:hAnsi="宋体" w:cs="仿宋"/>
                <w:kern w:val="0"/>
                <w:sz w:val="24"/>
                <w:highlight w:val="none"/>
              </w:rPr>
            </w:pPr>
            <w:r>
              <w:rPr>
                <w:rFonts w:hint="eastAsia" w:ascii="宋体" w:hAnsi="宋体" w:cs="仿宋"/>
                <w:kern w:val="0"/>
                <w:sz w:val="24"/>
                <w:highlight w:val="none"/>
                <w:lang w:val="zh-TW" w:eastAsia="zh-TW"/>
              </w:rPr>
              <w:t>支持按照科室</w:t>
            </w:r>
            <w:r>
              <w:rPr>
                <w:rFonts w:hint="eastAsia" w:ascii="宋体" w:hAnsi="宋体" w:cs="仿宋"/>
                <w:kern w:val="0"/>
                <w:sz w:val="24"/>
                <w:highlight w:val="none"/>
              </w:rPr>
              <w:t>/</w:t>
            </w:r>
            <w:r>
              <w:rPr>
                <w:rFonts w:hint="eastAsia" w:ascii="宋体" w:hAnsi="宋体" w:cs="仿宋"/>
                <w:kern w:val="0"/>
                <w:sz w:val="24"/>
                <w:highlight w:val="none"/>
                <w:lang w:val="zh-TW" w:eastAsia="zh-TW"/>
              </w:rPr>
              <w:t>病区</w:t>
            </w:r>
            <w:r>
              <w:rPr>
                <w:rFonts w:hint="eastAsia" w:ascii="宋体" w:hAnsi="宋体" w:cs="仿宋"/>
                <w:kern w:val="0"/>
                <w:sz w:val="24"/>
                <w:highlight w:val="none"/>
              </w:rPr>
              <w:t>/</w:t>
            </w:r>
            <w:r>
              <w:rPr>
                <w:rFonts w:hint="eastAsia" w:ascii="宋体" w:hAnsi="宋体" w:cs="仿宋"/>
                <w:kern w:val="0"/>
                <w:sz w:val="24"/>
                <w:highlight w:val="none"/>
                <w:lang w:val="zh-TW" w:eastAsia="zh-TW"/>
              </w:rPr>
              <w:t>医疗组维度查看住院所有药品、中药饮片、不含中药饮片下的处方数、出院人次、药品金额等指标</w:t>
            </w:r>
          </w:p>
          <w:p>
            <w:pPr>
              <w:rPr>
                <w:rFonts w:ascii="宋体" w:hAnsi="宋体" w:cs="仿宋"/>
                <w:kern w:val="0"/>
                <w:sz w:val="24"/>
                <w:highlight w:val="none"/>
              </w:rPr>
            </w:pPr>
            <w:r>
              <w:rPr>
                <w:rFonts w:hint="eastAsia" w:ascii="宋体" w:hAnsi="宋体" w:cs="仿宋"/>
                <w:kern w:val="0"/>
                <w:sz w:val="24"/>
                <w:highlight w:val="none"/>
              </w:rPr>
              <w:tab/>
            </w:r>
            <w:r>
              <w:rPr>
                <w:rFonts w:hint="eastAsia" w:ascii="宋体" w:hAnsi="宋体" w:cs="仿宋"/>
                <w:kern w:val="0"/>
                <w:sz w:val="24"/>
                <w:highlight w:val="none"/>
                <w:lang w:val="zh-TW" w:eastAsia="zh-TW"/>
              </w:rPr>
              <w:t>报表样张</w:t>
            </w:r>
            <w:r>
              <w:rPr>
                <w:rFonts w:hint="eastAsia" w:ascii="宋体" w:hAnsi="宋体" w:cs="仿宋"/>
                <w:kern w:val="0"/>
                <w:sz w:val="24"/>
                <w:highlight w:val="none"/>
              </w:rPr>
              <w:t>;</w:t>
            </w:r>
          </w:p>
          <w:p>
            <w:pPr>
              <w:pStyle w:val="267"/>
              <w:numPr>
                <w:ilvl w:val="1"/>
                <w:numId w:val="149"/>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住院药品用量分析（病区）</w:t>
            </w:r>
          </w:p>
          <w:p>
            <w:pPr>
              <w:pStyle w:val="267"/>
              <w:numPr>
                <w:ilvl w:val="1"/>
                <w:numId w:val="149"/>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住院药品用量分析（医疗组）</w:t>
            </w:r>
          </w:p>
          <w:p>
            <w:pPr>
              <w:pStyle w:val="267"/>
              <w:numPr>
                <w:ilvl w:val="1"/>
                <w:numId w:val="149"/>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住院药品用量分析（科室）</w:t>
            </w:r>
            <w:r>
              <w:rPr>
                <w:rFonts w:hint="eastAsia" w:ascii="宋体" w:hAnsi="宋体" w:eastAsia="宋体" w:cs="仿宋"/>
                <w:kern w:val="0"/>
                <w:highlight w:val="none"/>
              </w:rPr>
              <w:tab/>
            </w:r>
          </w:p>
          <w:p>
            <w:pPr>
              <w:pStyle w:val="267"/>
              <w:numPr>
                <w:ilvl w:val="1"/>
                <w:numId w:val="149"/>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门诊药品用量分析（科室）</w:t>
            </w:r>
            <w:r>
              <w:rPr>
                <w:rFonts w:hint="eastAsia" w:ascii="宋体" w:hAnsi="宋体" w:eastAsia="宋体" w:cs="仿宋"/>
                <w:kern w:val="0"/>
                <w:highlight w:val="none"/>
              </w:rPr>
              <w:tab/>
            </w:r>
          </w:p>
          <w:p>
            <w:pPr>
              <w:pStyle w:val="267"/>
              <w:ind w:firstLine="0" w:firstLineChars="0"/>
              <w:rPr>
                <w:rFonts w:ascii="宋体" w:hAnsi="宋体" w:eastAsia="宋体" w:cs="仿宋"/>
                <w:kern w:val="0"/>
                <w:highlight w:val="none"/>
                <w:lang w:val="zh-TW" w:eastAsia="zh-TW"/>
              </w:rPr>
            </w:pPr>
          </w:p>
          <w:p>
            <w:pPr>
              <w:pStyle w:val="267"/>
              <w:ind w:firstLine="0" w:firstLineChars="0"/>
              <w:rPr>
                <w:rFonts w:ascii="宋体" w:hAnsi="宋体" w:eastAsia="宋体" w:cs="仿宋"/>
                <w:kern w:val="0"/>
                <w:highlight w:val="none"/>
                <w:lang w:val="zh-TW" w:eastAsia="zh-TW"/>
              </w:rPr>
            </w:pPr>
            <w:r>
              <w:rPr>
                <w:rFonts w:hint="eastAsia" w:ascii="宋体" w:hAnsi="宋体" w:eastAsia="宋体" w:cs="仿宋"/>
                <w:kern w:val="0"/>
                <w:highlight w:val="none"/>
              </w:rPr>
              <w:t>5.</w:t>
            </w:r>
            <w:r>
              <w:rPr>
                <w:rFonts w:hint="eastAsia" w:ascii="宋体" w:hAnsi="宋体" w:eastAsia="宋体" w:cs="仿宋"/>
                <w:kern w:val="0"/>
                <w:highlight w:val="none"/>
                <w:lang w:val="zh-TW" w:eastAsia="zh-TW"/>
              </w:rPr>
              <w:t>药品适宜性分析</w:t>
            </w:r>
          </w:p>
          <w:p>
            <w:pPr>
              <w:rPr>
                <w:rFonts w:ascii="宋体" w:hAnsi="宋体" w:cs="仿宋"/>
                <w:kern w:val="0"/>
                <w:sz w:val="24"/>
                <w:highlight w:val="none"/>
              </w:rPr>
            </w:pPr>
            <w:r>
              <w:rPr>
                <w:rFonts w:hint="eastAsia" w:ascii="宋体" w:hAnsi="宋体" w:cs="仿宋"/>
                <w:kern w:val="0"/>
                <w:sz w:val="24"/>
                <w:highlight w:val="none"/>
                <w:lang w:val="zh-TW" w:eastAsia="zh-TW"/>
              </w:rPr>
              <w:t>概述：提供药品适宜性分析，系统默认提供三级、四级、五级不同类型的警示信息统计分析。可以通过自定义配置其他警示等级。</w:t>
            </w:r>
          </w:p>
          <w:p>
            <w:pPr>
              <w:rPr>
                <w:rFonts w:ascii="宋体" w:hAnsi="宋体" w:cs="仿宋"/>
                <w:kern w:val="0"/>
                <w:sz w:val="24"/>
                <w:highlight w:val="none"/>
              </w:rPr>
            </w:pPr>
            <w:r>
              <w:rPr>
                <w:rFonts w:hint="eastAsia" w:ascii="宋体" w:hAnsi="宋体" w:cs="仿宋"/>
                <w:kern w:val="0"/>
                <w:sz w:val="24"/>
                <w:highlight w:val="none"/>
                <w:lang w:val="zh-TW" w:eastAsia="zh-TW"/>
              </w:rPr>
              <w:t>指标：支持查看不同院区内不同警示信息类型的三级、四级、五级警示信息发生次数以及发生次数占比</w:t>
            </w:r>
          </w:p>
          <w:p>
            <w:pPr>
              <w:rPr>
                <w:rFonts w:ascii="宋体" w:hAnsi="宋体" w:cs="仿宋"/>
                <w:kern w:val="0"/>
                <w:sz w:val="24"/>
                <w:highlight w:val="none"/>
              </w:rPr>
            </w:pPr>
            <w:r>
              <w:rPr>
                <w:rFonts w:hint="eastAsia" w:ascii="宋体" w:hAnsi="宋体" w:cs="仿宋"/>
                <w:kern w:val="0"/>
                <w:sz w:val="24"/>
                <w:highlight w:val="none"/>
                <w:lang w:val="zh-TW" w:eastAsia="zh-TW"/>
              </w:rPr>
              <w:t>支持查看不同院区内不同警示信息类型的三级、四级、五级警示信息发生次数以及发生次数占比</w:t>
            </w:r>
          </w:p>
          <w:p>
            <w:pPr>
              <w:rPr>
                <w:rFonts w:ascii="宋体" w:hAnsi="宋体" w:cs="仿宋"/>
                <w:kern w:val="0"/>
                <w:sz w:val="24"/>
                <w:highlight w:val="none"/>
              </w:rPr>
            </w:pPr>
            <w:r>
              <w:rPr>
                <w:rFonts w:hint="eastAsia" w:ascii="宋体" w:hAnsi="宋体" w:cs="仿宋"/>
                <w:kern w:val="0"/>
                <w:sz w:val="24"/>
                <w:highlight w:val="none"/>
              </w:rPr>
              <w:tab/>
            </w:r>
            <w:r>
              <w:rPr>
                <w:rFonts w:hint="eastAsia" w:ascii="宋体" w:hAnsi="宋体" w:cs="仿宋"/>
                <w:kern w:val="0"/>
                <w:sz w:val="24"/>
                <w:highlight w:val="none"/>
                <w:lang w:val="zh-TW" w:eastAsia="zh-TW"/>
              </w:rPr>
              <w:t>报表样张：</w:t>
            </w:r>
          </w:p>
          <w:p>
            <w:pPr>
              <w:pStyle w:val="267"/>
              <w:numPr>
                <w:ilvl w:val="0"/>
                <w:numId w:val="150"/>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住院用药适宜性分析</w:t>
            </w:r>
          </w:p>
          <w:p>
            <w:pPr>
              <w:pStyle w:val="267"/>
              <w:numPr>
                <w:ilvl w:val="0"/>
                <w:numId w:val="150"/>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门诊用药适宜性分析</w:t>
            </w:r>
          </w:p>
          <w:p>
            <w:pPr>
              <w:pStyle w:val="267"/>
              <w:ind w:firstLine="0" w:firstLineChars="0"/>
              <w:rPr>
                <w:rFonts w:ascii="宋体" w:hAnsi="宋体" w:eastAsia="宋体" w:cs="仿宋"/>
                <w:kern w:val="0"/>
                <w:highlight w:val="none"/>
                <w:lang w:val="zh-TW" w:eastAsia="zh-TW"/>
              </w:rPr>
            </w:pPr>
            <w:r>
              <w:rPr>
                <w:rFonts w:hint="eastAsia" w:ascii="宋体" w:hAnsi="宋体" w:eastAsia="宋体" w:cs="仿宋"/>
                <w:kern w:val="0"/>
                <w:highlight w:val="none"/>
              </w:rPr>
              <w:t>6.</w:t>
            </w:r>
            <w:r>
              <w:rPr>
                <w:rFonts w:hint="eastAsia" w:ascii="宋体" w:hAnsi="宋体" w:eastAsia="宋体" w:cs="仿宋"/>
                <w:kern w:val="0"/>
                <w:highlight w:val="none"/>
                <w:lang w:val="zh-TW" w:eastAsia="zh-TW"/>
              </w:rPr>
              <w:t>中药饮片专项</w:t>
            </w:r>
          </w:p>
          <w:p>
            <w:pPr>
              <w:rPr>
                <w:rFonts w:ascii="宋体" w:hAnsi="宋体" w:cs="仿宋"/>
                <w:kern w:val="0"/>
                <w:sz w:val="24"/>
                <w:highlight w:val="none"/>
              </w:rPr>
            </w:pPr>
            <w:r>
              <w:rPr>
                <w:rFonts w:hint="eastAsia" w:ascii="宋体" w:hAnsi="宋体" w:cs="仿宋"/>
                <w:kern w:val="0"/>
                <w:sz w:val="24"/>
                <w:highlight w:val="none"/>
                <w:lang w:val="zh-TW" w:eastAsia="zh-TW"/>
              </w:rPr>
              <w:t>概述：提供中药饮片相关统计，包括处方、药品金额、贴数、注射剂等使用情况。</w:t>
            </w:r>
          </w:p>
          <w:p>
            <w:pPr>
              <w:rPr>
                <w:rFonts w:ascii="宋体" w:hAnsi="宋体" w:cs="仿宋"/>
                <w:kern w:val="0"/>
                <w:sz w:val="24"/>
                <w:highlight w:val="none"/>
              </w:rPr>
            </w:pPr>
            <w:r>
              <w:rPr>
                <w:rFonts w:hint="eastAsia" w:ascii="宋体" w:hAnsi="宋体" w:cs="仿宋"/>
                <w:kern w:val="0"/>
                <w:sz w:val="24"/>
                <w:highlight w:val="none"/>
                <w:lang w:val="zh-TW" w:eastAsia="zh-TW"/>
              </w:rPr>
              <w:t>指标</w:t>
            </w:r>
            <w:r>
              <w:rPr>
                <w:rFonts w:hint="eastAsia" w:ascii="宋体" w:hAnsi="宋体" w:cs="仿宋"/>
                <w:kern w:val="0"/>
                <w:sz w:val="24"/>
                <w:highlight w:val="none"/>
              </w:rPr>
              <w:t>:</w:t>
            </w:r>
            <w:r>
              <w:rPr>
                <w:rFonts w:hint="eastAsia" w:ascii="宋体" w:hAnsi="宋体" w:cs="仿宋"/>
                <w:kern w:val="0"/>
                <w:sz w:val="24"/>
                <w:highlight w:val="none"/>
                <w:lang w:val="zh-TW" w:eastAsia="zh-TW"/>
              </w:rPr>
              <w:t xml:space="preserve"> 支持按照科室维度查看门诊中药饮片处方人次、处方数、药品金额、药品帖数、总味数以及帖均费用等指标</w:t>
            </w:r>
          </w:p>
          <w:p>
            <w:pPr>
              <w:rPr>
                <w:rFonts w:ascii="宋体" w:hAnsi="宋体" w:cs="仿宋"/>
                <w:kern w:val="0"/>
                <w:sz w:val="24"/>
                <w:highlight w:val="none"/>
              </w:rPr>
            </w:pPr>
            <w:r>
              <w:rPr>
                <w:rFonts w:hint="eastAsia" w:ascii="宋体" w:hAnsi="宋体" w:cs="仿宋"/>
                <w:kern w:val="0"/>
                <w:sz w:val="24"/>
                <w:highlight w:val="none"/>
                <w:lang w:val="zh-TW" w:eastAsia="zh-TW"/>
              </w:rPr>
              <w:t>支持按照科室</w:t>
            </w:r>
            <w:r>
              <w:rPr>
                <w:rFonts w:hint="eastAsia" w:ascii="宋体" w:hAnsi="宋体" w:cs="仿宋"/>
                <w:kern w:val="0"/>
                <w:sz w:val="24"/>
                <w:highlight w:val="none"/>
              </w:rPr>
              <w:t>/</w:t>
            </w:r>
            <w:r>
              <w:rPr>
                <w:rFonts w:hint="eastAsia" w:ascii="宋体" w:hAnsi="宋体" w:cs="仿宋"/>
                <w:kern w:val="0"/>
                <w:sz w:val="24"/>
                <w:highlight w:val="none"/>
                <w:lang w:val="zh-TW" w:eastAsia="zh-TW"/>
              </w:rPr>
              <w:t>病区</w:t>
            </w:r>
            <w:r>
              <w:rPr>
                <w:rFonts w:hint="eastAsia" w:ascii="宋体" w:hAnsi="宋体" w:cs="仿宋"/>
                <w:kern w:val="0"/>
                <w:sz w:val="24"/>
                <w:highlight w:val="none"/>
              </w:rPr>
              <w:t>/</w:t>
            </w:r>
            <w:r>
              <w:rPr>
                <w:rFonts w:hint="eastAsia" w:ascii="宋体" w:hAnsi="宋体" w:cs="仿宋"/>
                <w:kern w:val="0"/>
                <w:sz w:val="24"/>
                <w:highlight w:val="none"/>
                <w:lang w:val="zh-TW" w:eastAsia="zh-TW"/>
              </w:rPr>
              <w:t>医疗组维度查看住院中药饮片的出院人次数、药品金额、注射剂人次数、注射剂品规数等</w:t>
            </w:r>
          </w:p>
          <w:p>
            <w:pPr>
              <w:rPr>
                <w:rFonts w:ascii="宋体" w:hAnsi="宋体" w:cs="仿宋"/>
                <w:kern w:val="0"/>
                <w:sz w:val="24"/>
                <w:highlight w:val="none"/>
              </w:rPr>
            </w:pPr>
            <w:r>
              <w:rPr>
                <w:rFonts w:hint="eastAsia" w:ascii="宋体" w:hAnsi="宋体" w:cs="仿宋"/>
                <w:kern w:val="0"/>
                <w:sz w:val="24"/>
                <w:highlight w:val="none"/>
              </w:rPr>
              <w:tab/>
            </w:r>
            <w:r>
              <w:rPr>
                <w:rFonts w:hint="eastAsia" w:ascii="宋体" w:hAnsi="宋体" w:cs="仿宋"/>
                <w:kern w:val="0"/>
                <w:sz w:val="24"/>
                <w:highlight w:val="none"/>
                <w:lang w:val="zh-TW" w:eastAsia="zh-TW"/>
              </w:rPr>
              <w:t>报表样张：</w:t>
            </w:r>
          </w:p>
          <w:p>
            <w:pPr>
              <w:pStyle w:val="267"/>
              <w:numPr>
                <w:ilvl w:val="1"/>
                <w:numId w:val="151"/>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门诊中药饮片使用情况汇总表（科室）</w:t>
            </w:r>
          </w:p>
          <w:p>
            <w:pPr>
              <w:pStyle w:val="267"/>
              <w:numPr>
                <w:ilvl w:val="1"/>
                <w:numId w:val="151"/>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住院中药饮片使用情况汇总表（科室）</w:t>
            </w:r>
          </w:p>
          <w:p>
            <w:pPr>
              <w:pStyle w:val="267"/>
              <w:numPr>
                <w:ilvl w:val="1"/>
                <w:numId w:val="151"/>
              </w:numPr>
              <w:adjustRightInd/>
              <w:spacing w:line="240" w:lineRule="auto"/>
              <w:ind w:firstLine="480"/>
              <w:rPr>
                <w:rFonts w:ascii="宋体" w:hAnsi="宋体" w:eastAsia="宋体" w:cs="仿宋"/>
                <w:kern w:val="0"/>
                <w:highlight w:val="none"/>
                <w:lang w:val="zh-TW" w:eastAsia="zh-TW"/>
              </w:rPr>
            </w:pPr>
            <w:r>
              <w:rPr>
                <w:rFonts w:hint="eastAsia" w:ascii="宋体" w:hAnsi="宋体" w:eastAsia="宋体" w:cs="仿宋"/>
                <w:kern w:val="0"/>
                <w:highlight w:val="none"/>
                <w:lang w:val="zh-TW" w:eastAsia="zh-TW"/>
              </w:rPr>
              <w:t>住院中药饮片使用情况汇总表（病区）</w:t>
            </w:r>
          </w:p>
          <w:p>
            <w:pPr>
              <w:widowControl/>
              <w:spacing w:before="100" w:beforeAutospacing="1" w:after="100" w:afterAutospacing="1"/>
              <w:jc w:val="left"/>
              <w:rPr>
                <w:rFonts w:ascii="宋体" w:hAnsi="宋体" w:cs="仿宋"/>
                <w:color w:val="000000"/>
                <w:kern w:val="0"/>
                <w:sz w:val="24"/>
                <w:highlight w:val="none"/>
              </w:rPr>
            </w:pPr>
            <w:r>
              <w:rPr>
                <w:rFonts w:hint="eastAsia" w:ascii="宋体" w:hAnsi="宋体" w:cs="仿宋"/>
                <w:kern w:val="0"/>
                <w:sz w:val="24"/>
                <w:highlight w:val="none"/>
                <w:lang w:val="zh-TW" w:eastAsia="zh-TW"/>
              </w:rPr>
              <w:t>住院中药饮片使用情况汇总表（医疗组）</w:t>
            </w:r>
          </w:p>
        </w:tc>
      </w:tr>
      <w:tr>
        <w:tblPrEx>
          <w:tblCellMar>
            <w:top w:w="15" w:type="dxa"/>
            <w:left w:w="15" w:type="dxa"/>
            <w:bottom w:w="15" w:type="dxa"/>
            <w:right w:w="15" w:type="dxa"/>
          </w:tblCellMar>
        </w:tblPrEx>
        <w:tc>
          <w:tcPr>
            <w:tcW w:w="935"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jc w:val="left"/>
              <w:rPr>
                <w:rFonts w:ascii="宋体" w:hAnsi="宋体"/>
                <w:color w:val="000000"/>
                <w:kern w:val="0"/>
                <w:sz w:val="24"/>
                <w:highlight w:val="none"/>
              </w:rPr>
            </w:pPr>
            <w:r>
              <w:rPr>
                <w:rFonts w:ascii="宋体" w:hAnsi="宋体"/>
                <w:color w:val="000000"/>
                <w:kern w:val="0"/>
                <w:sz w:val="24"/>
                <w:highlight w:val="none"/>
              </w:rPr>
              <w:t>其他功能</w:t>
            </w:r>
          </w:p>
        </w:tc>
        <w:tc>
          <w:tcPr>
            <w:tcW w:w="4064" w:type="pct"/>
            <w:tcBorders>
              <w:top w:val="single" w:color="C1C7D0" w:sz="6" w:space="0"/>
              <w:left w:val="single" w:color="C1C7D0" w:sz="6" w:space="0"/>
              <w:bottom w:val="single" w:color="C1C7D0" w:sz="6" w:space="0"/>
              <w:right w:val="single" w:color="C1C7D0" w:sz="6" w:space="0"/>
            </w:tcBorders>
            <w:shd w:val="clear" w:color="auto" w:fill="FFFFFF"/>
            <w:tcMar>
              <w:top w:w="105" w:type="dxa"/>
              <w:left w:w="150" w:type="dxa"/>
              <w:bottom w:w="105" w:type="dxa"/>
              <w:right w:w="150" w:type="dxa"/>
            </w:tcMar>
          </w:tcPr>
          <w:p>
            <w:pPr>
              <w:widowControl/>
              <w:numPr>
                <w:ilvl w:val="0"/>
                <w:numId w:val="152"/>
              </w:numPr>
              <w:adjustRightInd/>
              <w:spacing w:before="100" w:beforeAutospacing="1" w:after="100" w:afterAutospacing="1"/>
              <w:jc w:val="left"/>
              <w:rPr>
                <w:rFonts w:ascii="宋体" w:hAnsi="宋体"/>
                <w:color w:val="000000"/>
                <w:kern w:val="0"/>
                <w:sz w:val="24"/>
                <w:highlight w:val="none"/>
              </w:rPr>
            </w:pPr>
            <w:r>
              <w:rPr>
                <w:rFonts w:ascii="宋体" w:hAnsi="宋体"/>
                <w:color w:val="000000"/>
                <w:kern w:val="0"/>
                <w:sz w:val="24"/>
                <w:highlight w:val="none"/>
              </w:rPr>
              <w:t>支持报表按机构》科室</w:t>
            </w:r>
            <w:r>
              <w:rPr>
                <w:rFonts w:hint="eastAsia" w:ascii="宋体" w:hAnsi="宋体"/>
                <w:color w:val="000000"/>
                <w:kern w:val="0"/>
                <w:sz w:val="24"/>
                <w:highlight w:val="none"/>
              </w:rPr>
              <w:t>（住院数据按出院科室统计）》</w:t>
            </w:r>
            <w:r>
              <w:rPr>
                <w:rFonts w:ascii="宋体" w:hAnsi="宋体"/>
                <w:color w:val="000000"/>
                <w:kern w:val="0"/>
                <w:sz w:val="24"/>
                <w:highlight w:val="none"/>
              </w:rPr>
              <w:t>医生（或医疗组）的下钻展示，并支持按条件筛选报表统计结果；</w:t>
            </w:r>
          </w:p>
          <w:p>
            <w:pPr>
              <w:widowControl/>
              <w:numPr>
                <w:ilvl w:val="0"/>
                <w:numId w:val="152"/>
              </w:numPr>
              <w:adjustRightInd/>
              <w:spacing w:before="100" w:beforeAutospacing="1" w:after="100" w:afterAutospacing="1"/>
              <w:jc w:val="left"/>
              <w:rPr>
                <w:rFonts w:ascii="宋体" w:hAnsi="宋体"/>
                <w:color w:val="000000"/>
                <w:kern w:val="0"/>
                <w:sz w:val="24"/>
                <w:highlight w:val="none"/>
              </w:rPr>
            </w:pPr>
            <w:r>
              <w:rPr>
                <w:rFonts w:ascii="宋体" w:hAnsi="宋体"/>
                <w:color w:val="000000"/>
                <w:kern w:val="0"/>
                <w:sz w:val="24"/>
                <w:highlight w:val="none"/>
              </w:rPr>
              <w:t>支持按月、季度、年自动生成周期性报表，同时支持用户</w:t>
            </w:r>
            <w:r>
              <w:rPr>
                <w:rFonts w:hint="eastAsia" w:ascii="宋体" w:hAnsi="宋体"/>
                <w:color w:val="000000"/>
                <w:kern w:val="0"/>
                <w:sz w:val="24"/>
                <w:highlight w:val="none"/>
              </w:rPr>
              <w:t>手动</w:t>
            </w:r>
            <w:r>
              <w:rPr>
                <w:rFonts w:ascii="宋体" w:hAnsi="宋体"/>
                <w:color w:val="000000"/>
                <w:kern w:val="0"/>
                <w:sz w:val="24"/>
                <w:highlight w:val="none"/>
              </w:rPr>
              <w:t>生成非周期性报表数据；</w:t>
            </w:r>
          </w:p>
          <w:p>
            <w:pPr>
              <w:widowControl/>
              <w:numPr>
                <w:ilvl w:val="0"/>
                <w:numId w:val="152"/>
              </w:numPr>
              <w:adjustRightInd/>
              <w:spacing w:before="100" w:beforeAutospacing="1" w:after="100" w:afterAutospacing="1"/>
              <w:jc w:val="left"/>
              <w:rPr>
                <w:rFonts w:ascii="宋体" w:hAnsi="宋体"/>
                <w:color w:val="000000"/>
                <w:kern w:val="0"/>
                <w:sz w:val="24"/>
                <w:highlight w:val="none"/>
              </w:rPr>
            </w:pPr>
            <w:r>
              <w:rPr>
                <w:rFonts w:ascii="宋体" w:hAnsi="宋体"/>
                <w:color w:val="000000"/>
                <w:kern w:val="0"/>
                <w:sz w:val="24"/>
                <w:highlight w:val="none"/>
              </w:rPr>
              <w:t>支持在线调整报表的显示内容，包括显示哪些指标及指标显示顺序；</w:t>
            </w:r>
          </w:p>
          <w:p>
            <w:pPr>
              <w:widowControl/>
              <w:numPr>
                <w:ilvl w:val="0"/>
                <w:numId w:val="152"/>
              </w:numPr>
              <w:adjustRightInd/>
              <w:spacing w:before="100" w:beforeAutospacing="1" w:after="100" w:afterAutospacing="1"/>
              <w:jc w:val="left"/>
              <w:rPr>
                <w:rFonts w:ascii="宋体" w:hAnsi="宋体"/>
                <w:color w:val="000000"/>
                <w:kern w:val="0"/>
                <w:sz w:val="24"/>
                <w:highlight w:val="none"/>
              </w:rPr>
            </w:pPr>
            <w:r>
              <w:rPr>
                <w:rFonts w:ascii="宋体" w:hAnsi="宋体"/>
                <w:color w:val="000000"/>
                <w:kern w:val="0"/>
                <w:sz w:val="24"/>
                <w:highlight w:val="none"/>
              </w:rPr>
              <w:t>支持具体指标统计结果的点击排序；</w:t>
            </w:r>
          </w:p>
          <w:p>
            <w:pPr>
              <w:widowControl/>
              <w:numPr>
                <w:ilvl w:val="0"/>
                <w:numId w:val="152"/>
              </w:numPr>
              <w:adjustRightInd/>
              <w:spacing w:before="100" w:beforeAutospacing="1" w:after="100" w:afterAutospacing="1"/>
              <w:jc w:val="left"/>
              <w:rPr>
                <w:rFonts w:ascii="宋体" w:hAnsi="宋体"/>
                <w:color w:val="000000"/>
                <w:kern w:val="0"/>
                <w:sz w:val="24"/>
                <w:highlight w:val="none"/>
              </w:rPr>
            </w:pPr>
            <w:r>
              <w:rPr>
                <w:rFonts w:ascii="宋体" w:hAnsi="宋体"/>
                <w:color w:val="000000"/>
                <w:kern w:val="0"/>
                <w:sz w:val="24"/>
                <w:highlight w:val="none"/>
              </w:rPr>
              <w:t>支持数据有变化时，提醒用户重新生成报表；</w:t>
            </w:r>
          </w:p>
          <w:p>
            <w:pPr>
              <w:widowControl/>
              <w:numPr>
                <w:ilvl w:val="0"/>
                <w:numId w:val="152"/>
              </w:numPr>
              <w:adjustRightInd/>
              <w:spacing w:before="100" w:beforeAutospacing="1" w:after="100" w:afterAutospacing="1"/>
              <w:jc w:val="left"/>
              <w:rPr>
                <w:rFonts w:ascii="宋体" w:hAnsi="宋体"/>
                <w:color w:val="000000"/>
                <w:kern w:val="0"/>
                <w:sz w:val="24"/>
                <w:highlight w:val="none"/>
              </w:rPr>
            </w:pPr>
            <w:r>
              <w:rPr>
                <w:rFonts w:ascii="宋体" w:hAnsi="宋体"/>
                <w:color w:val="000000"/>
                <w:kern w:val="0"/>
                <w:sz w:val="24"/>
                <w:highlight w:val="none"/>
              </w:rPr>
              <w:t>支持报表导出，导出格式为excel格式；</w:t>
            </w:r>
          </w:p>
          <w:p>
            <w:pPr>
              <w:widowControl/>
              <w:numPr>
                <w:ilvl w:val="0"/>
                <w:numId w:val="152"/>
              </w:numPr>
              <w:adjustRightInd/>
              <w:spacing w:before="100" w:beforeAutospacing="1" w:after="100" w:afterAutospacing="1"/>
              <w:jc w:val="left"/>
              <w:rPr>
                <w:rFonts w:ascii="宋体" w:hAnsi="宋体"/>
                <w:color w:val="000000"/>
                <w:kern w:val="0"/>
                <w:sz w:val="24"/>
                <w:highlight w:val="none"/>
              </w:rPr>
            </w:pPr>
            <w:r>
              <w:rPr>
                <w:rFonts w:ascii="宋体" w:hAnsi="宋体"/>
                <w:color w:val="000000"/>
                <w:kern w:val="0"/>
                <w:sz w:val="24"/>
                <w:highlight w:val="none"/>
              </w:rPr>
              <w:t>支持配置报表查看</w:t>
            </w:r>
            <w:r>
              <w:rPr>
                <w:rFonts w:hint="eastAsia" w:ascii="宋体" w:hAnsi="宋体"/>
                <w:color w:val="000000"/>
                <w:kern w:val="0"/>
                <w:sz w:val="24"/>
                <w:highlight w:val="none"/>
              </w:rPr>
              <w:t>、报表生成、报表管理、报表填写的</w:t>
            </w:r>
            <w:r>
              <w:rPr>
                <w:rFonts w:ascii="宋体" w:hAnsi="宋体"/>
                <w:color w:val="000000"/>
                <w:kern w:val="0"/>
                <w:sz w:val="24"/>
                <w:highlight w:val="none"/>
              </w:rPr>
              <w:t>用户权限。</w:t>
            </w:r>
          </w:p>
        </w:tc>
      </w:tr>
    </w:tbl>
    <w:p>
      <w:pPr>
        <w:pStyle w:val="6"/>
        <w:ind w:firstLine="281"/>
        <w:rPr>
          <w:highlight w:val="none"/>
        </w:rPr>
      </w:pPr>
      <w:r>
        <w:rPr>
          <w:rFonts w:hint="eastAsia"/>
          <w:highlight w:val="none"/>
        </w:rPr>
        <w:t>CA电子签名</w:t>
      </w:r>
    </w:p>
    <w:p>
      <w:pPr>
        <w:pStyle w:val="721"/>
        <w:ind w:firstLine="480"/>
        <w:rPr>
          <w:szCs w:val="24"/>
          <w:highlight w:val="none"/>
        </w:rPr>
      </w:pPr>
      <w:r>
        <w:rPr>
          <w:rFonts w:hint="eastAsia"/>
          <w:szCs w:val="24"/>
          <w:highlight w:val="none"/>
        </w:rPr>
        <w:t>建设范围：嘉善县第一人民医院、北部分院</w:t>
      </w:r>
    </w:p>
    <w:p>
      <w:pPr>
        <w:rPr>
          <w:highlight w:val="none"/>
        </w:rPr>
      </w:pPr>
    </w:p>
    <w:p>
      <w:pPr>
        <w:pStyle w:val="7"/>
        <w:ind w:firstLine="422" w:firstLineChars="150"/>
        <w:rPr>
          <w:highlight w:val="none"/>
        </w:rPr>
      </w:pPr>
      <w:bookmarkStart w:id="30" w:name="_Toc104195695"/>
      <w:r>
        <w:rPr>
          <w:rFonts w:hint="eastAsia"/>
          <w:highlight w:val="none"/>
        </w:rPr>
        <w:t>CA配套硬件</w:t>
      </w:r>
      <w:bookmarkEnd w:id="30"/>
    </w:p>
    <w:p>
      <w:pPr>
        <w:pStyle w:val="721"/>
        <w:numPr>
          <w:ilvl w:val="0"/>
          <w:numId w:val="153"/>
        </w:numPr>
        <w:spacing w:before="163" w:after="163"/>
        <w:ind w:left="426" w:firstLineChars="0"/>
        <w:rPr>
          <w:rFonts w:asciiTheme="minorEastAsia" w:hAnsiTheme="minorEastAsia" w:eastAsiaTheme="minorEastAsia"/>
          <w:b/>
          <w:bCs/>
          <w:szCs w:val="24"/>
          <w:highlight w:val="none"/>
        </w:rPr>
      </w:pPr>
      <w:r>
        <w:rPr>
          <w:rFonts w:hint="eastAsia" w:asciiTheme="minorEastAsia" w:hAnsiTheme="minorEastAsia" w:eastAsiaTheme="minorEastAsia"/>
          <w:b/>
          <w:bCs/>
          <w:szCs w:val="24"/>
          <w:highlight w:val="none"/>
        </w:rPr>
        <w:t>时间戳服务器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779"/>
        <w:gridCol w:w="3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rFonts w:ascii="宋体" w:hAnsi="宋体"/>
                <w:b/>
                <w:sz w:val="24"/>
                <w:highlight w:val="none"/>
              </w:rPr>
            </w:pPr>
            <w:r>
              <w:rPr>
                <w:rFonts w:hint="eastAsia" w:ascii="宋体" w:hAnsi="宋体"/>
                <w:b/>
                <w:sz w:val="24"/>
                <w:highlight w:val="none"/>
              </w:rPr>
              <w:t>序号</w:t>
            </w:r>
          </w:p>
        </w:tc>
        <w:tc>
          <w:tcPr>
            <w:tcW w:w="7558" w:type="dxa"/>
            <w:gridSpan w:val="2"/>
          </w:tcPr>
          <w:p>
            <w:pPr>
              <w:jc w:val="center"/>
              <w:rPr>
                <w:rFonts w:ascii="宋体" w:hAnsi="宋体"/>
                <w:b/>
                <w:sz w:val="24"/>
                <w:highlight w:val="none"/>
              </w:rPr>
            </w:pPr>
            <w:r>
              <w:rPr>
                <w:rFonts w:hint="eastAsia" w:ascii="宋体" w:hAnsi="宋体"/>
                <w:b/>
                <w:sz w:val="24"/>
                <w:highlight w:val="none"/>
              </w:rPr>
              <w:t>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rFonts w:ascii="宋体" w:hAnsi="宋体"/>
                <w:sz w:val="24"/>
                <w:highlight w:val="none"/>
              </w:rPr>
            </w:pPr>
            <w:r>
              <w:rPr>
                <w:rFonts w:hint="eastAsia" w:ascii="宋体" w:hAnsi="宋体"/>
                <w:sz w:val="24"/>
                <w:highlight w:val="none"/>
              </w:rPr>
              <w:t>1</w:t>
            </w:r>
          </w:p>
        </w:tc>
        <w:tc>
          <w:tcPr>
            <w:tcW w:w="7558" w:type="dxa"/>
            <w:gridSpan w:val="2"/>
          </w:tcPr>
          <w:p>
            <w:pPr>
              <w:rPr>
                <w:rFonts w:ascii="宋体" w:hAnsi="宋体"/>
                <w:sz w:val="24"/>
                <w:highlight w:val="none"/>
              </w:rPr>
            </w:pPr>
            <w:r>
              <w:rPr>
                <w:rFonts w:hint="eastAsia" w:ascii="宋体" w:hAnsi="宋体"/>
                <w:b/>
                <w:sz w:val="24"/>
                <w:highlight w:val="none"/>
              </w:rPr>
              <w:t>签发时间戳：</w:t>
            </w:r>
            <w:r>
              <w:rPr>
                <w:rFonts w:hint="eastAsia" w:ascii="宋体" w:hAnsi="宋体"/>
                <w:sz w:val="24"/>
                <w:highlight w:val="none"/>
              </w:rPr>
              <w:t>接收应用系统发来的时间戳签发请求，签发时间戳后将时间戳返回给应用系统，时间戳服务请求遵循国际通用的RFC3161标准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rFonts w:ascii="宋体" w:hAnsi="宋体"/>
                <w:sz w:val="24"/>
                <w:highlight w:val="none"/>
              </w:rPr>
            </w:pPr>
            <w:r>
              <w:rPr>
                <w:rFonts w:hint="eastAsia" w:ascii="宋体" w:hAnsi="宋体"/>
                <w:sz w:val="24"/>
                <w:highlight w:val="none"/>
              </w:rPr>
              <w:t>2</w:t>
            </w:r>
          </w:p>
        </w:tc>
        <w:tc>
          <w:tcPr>
            <w:tcW w:w="7558" w:type="dxa"/>
            <w:gridSpan w:val="2"/>
          </w:tcPr>
          <w:p>
            <w:pPr>
              <w:rPr>
                <w:rFonts w:ascii="宋体" w:hAnsi="宋体"/>
                <w:sz w:val="24"/>
                <w:highlight w:val="none"/>
              </w:rPr>
            </w:pPr>
            <w:r>
              <w:rPr>
                <w:rFonts w:hint="eastAsia" w:ascii="宋体" w:hAnsi="宋体"/>
                <w:b/>
                <w:sz w:val="24"/>
                <w:highlight w:val="none"/>
              </w:rPr>
              <w:t>验证时间戳：</w:t>
            </w:r>
            <w:r>
              <w:rPr>
                <w:rFonts w:hint="eastAsia" w:ascii="宋体" w:hAnsi="宋体"/>
                <w:sz w:val="24"/>
                <w:highlight w:val="none"/>
              </w:rPr>
              <w:t>处理应用系统发来的时间戳验证请求，将时间戳验证结果返回给应用系统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rFonts w:ascii="宋体" w:hAnsi="宋体"/>
                <w:sz w:val="24"/>
                <w:highlight w:val="none"/>
              </w:rPr>
            </w:pPr>
            <w:r>
              <w:rPr>
                <w:rFonts w:hint="eastAsia" w:ascii="宋体" w:hAnsi="宋体"/>
                <w:sz w:val="24"/>
                <w:highlight w:val="none"/>
              </w:rPr>
              <w:t>3</w:t>
            </w:r>
          </w:p>
        </w:tc>
        <w:tc>
          <w:tcPr>
            <w:tcW w:w="7558" w:type="dxa"/>
            <w:gridSpan w:val="2"/>
          </w:tcPr>
          <w:p>
            <w:pPr>
              <w:rPr>
                <w:rFonts w:ascii="宋体" w:hAnsi="宋体"/>
                <w:b/>
                <w:sz w:val="24"/>
                <w:highlight w:val="none"/>
              </w:rPr>
            </w:pPr>
            <w:r>
              <w:rPr>
                <w:rFonts w:hint="eastAsia" w:ascii="宋体" w:hAnsi="宋体"/>
                <w:b/>
                <w:sz w:val="24"/>
                <w:highlight w:val="none"/>
              </w:rPr>
              <w:t>支持算法：</w:t>
            </w:r>
            <w:r>
              <w:rPr>
                <w:rFonts w:hint="eastAsia" w:ascii="宋体" w:hAnsi="宋体"/>
                <w:sz w:val="24"/>
                <w:highlight w:val="none"/>
              </w:rPr>
              <w:t>RSA、SHA1、SM2、SM3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rFonts w:ascii="宋体" w:hAnsi="宋体"/>
                <w:sz w:val="24"/>
                <w:highlight w:val="none"/>
              </w:rPr>
            </w:pPr>
            <w:r>
              <w:rPr>
                <w:rFonts w:hint="eastAsia" w:ascii="宋体" w:hAnsi="宋体"/>
                <w:sz w:val="24"/>
                <w:highlight w:val="none"/>
              </w:rPr>
              <w:t>4</w:t>
            </w:r>
          </w:p>
        </w:tc>
        <w:tc>
          <w:tcPr>
            <w:tcW w:w="7558" w:type="dxa"/>
            <w:gridSpan w:val="2"/>
          </w:tcPr>
          <w:p>
            <w:pPr>
              <w:rPr>
                <w:rFonts w:ascii="宋体" w:hAnsi="宋体"/>
                <w:sz w:val="24"/>
                <w:highlight w:val="none"/>
              </w:rPr>
            </w:pPr>
            <w:r>
              <w:rPr>
                <w:rFonts w:hint="eastAsia" w:ascii="宋体" w:hAnsi="宋体"/>
                <w:b/>
                <w:bCs/>
                <w:sz w:val="24"/>
                <w:highlight w:val="none"/>
              </w:rPr>
              <w:t>权威国家时间源：</w:t>
            </w:r>
            <w:r>
              <w:rPr>
                <w:rFonts w:hint="eastAsia" w:ascii="宋体" w:hAnsi="宋体"/>
                <w:bCs/>
                <w:sz w:val="24"/>
                <w:highlight w:val="none"/>
              </w:rPr>
              <w:t>产品内置国家授时中心时间源,提供多种授时方式，包括：CDMA、北斗2、GPS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rFonts w:ascii="宋体" w:hAnsi="宋体"/>
                <w:sz w:val="24"/>
                <w:highlight w:val="none"/>
              </w:rPr>
            </w:pPr>
            <w:r>
              <w:rPr>
                <w:rFonts w:hint="eastAsia" w:ascii="宋体" w:hAnsi="宋体"/>
                <w:sz w:val="24"/>
                <w:highlight w:val="none"/>
              </w:rPr>
              <w:t>5</w:t>
            </w:r>
          </w:p>
        </w:tc>
        <w:tc>
          <w:tcPr>
            <w:tcW w:w="7558" w:type="dxa"/>
            <w:gridSpan w:val="2"/>
          </w:tcPr>
          <w:p>
            <w:pPr>
              <w:rPr>
                <w:rFonts w:ascii="宋体" w:hAnsi="宋体"/>
                <w:sz w:val="24"/>
                <w:highlight w:val="none"/>
              </w:rPr>
            </w:pPr>
            <w:r>
              <w:rPr>
                <w:rFonts w:hint="eastAsia" w:ascii="宋体" w:hAnsi="宋体"/>
                <w:b/>
                <w:sz w:val="24"/>
                <w:highlight w:val="none"/>
              </w:rPr>
              <w:t>时间同步:</w:t>
            </w:r>
            <w:r>
              <w:rPr>
                <w:rFonts w:ascii="宋体" w:hAnsi="宋体"/>
                <w:sz w:val="24"/>
                <w:highlight w:val="none"/>
              </w:rPr>
              <w:t xml:space="preserve"> </w:t>
            </w:r>
            <w:r>
              <w:rPr>
                <w:rFonts w:hint="eastAsia" w:ascii="宋体" w:hAnsi="宋体"/>
                <w:sz w:val="24"/>
                <w:highlight w:val="none"/>
              </w:rPr>
              <w:t>支持NTP、SNTP时间同步协议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rFonts w:ascii="宋体" w:hAnsi="宋体"/>
                <w:sz w:val="24"/>
                <w:highlight w:val="none"/>
              </w:rPr>
            </w:pPr>
            <w:r>
              <w:rPr>
                <w:rFonts w:hint="eastAsia" w:ascii="宋体" w:hAnsi="宋体"/>
                <w:sz w:val="24"/>
                <w:highlight w:val="none"/>
              </w:rPr>
              <w:t>6</w:t>
            </w:r>
          </w:p>
        </w:tc>
        <w:tc>
          <w:tcPr>
            <w:tcW w:w="7558" w:type="dxa"/>
            <w:gridSpan w:val="2"/>
          </w:tcPr>
          <w:p>
            <w:pPr>
              <w:rPr>
                <w:rFonts w:ascii="宋体" w:hAnsi="宋体"/>
                <w:sz w:val="24"/>
                <w:highlight w:val="none"/>
              </w:rPr>
            </w:pPr>
            <w:r>
              <w:rPr>
                <w:rFonts w:hint="eastAsia" w:ascii="宋体" w:hAnsi="宋体"/>
                <w:b/>
                <w:sz w:val="24"/>
                <w:highlight w:val="none"/>
              </w:rPr>
              <w:t>授时精度</w:t>
            </w:r>
            <w:r>
              <w:rPr>
                <w:rFonts w:hint="eastAsia" w:ascii="宋体" w:hAnsi="宋体"/>
                <w:sz w:val="24"/>
                <w:highlight w:val="none"/>
              </w:rPr>
              <w:t>：0.5-3ms(毫秒)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rFonts w:ascii="宋体" w:hAnsi="宋体"/>
                <w:sz w:val="24"/>
                <w:highlight w:val="none"/>
              </w:rPr>
            </w:pPr>
            <w:r>
              <w:rPr>
                <w:rFonts w:hint="eastAsia" w:ascii="宋体" w:hAnsi="宋体"/>
                <w:sz w:val="24"/>
                <w:highlight w:val="none"/>
              </w:rPr>
              <w:t>7</w:t>
            </w:r>
          </w:p>
        </w:tc>
        <w:tc>
          <w:tcPr>
            <w:tcW w:w="7558" w:type="dxa"/>
            <w:gridSpan w:val="2"/>
          </w:tcPr>
          <w:p>
            <w:pPr>
              <w:rPr>
                <w:rFonts w:ascii="宋体" w:hAnsi="宋体"/>
                <w:sz w:val="24"/>
                <w:highlight w:val="none"/>
              </w:rPr>
            </w:pPr>
            <w:r>
              <w:rPr>
                <w:rFonts w:hint="eastAsia" w:ascii="宋体" w:hAnsi="宋体"/>
                <w:b/>
                <w:sz w:val="24"/>
                <w:highlight w:val="none"/>
              </w:rPr>
              <w:t>守时精度</w:t>
            </w:r>
            <w:r>
              <w:rPr>
                <w:rFonts w:hint="eastAsia" w:ascii="宋体" w:hAnsi="宋体"/>
                <w:sz w:val="24"/>
                <w:highlight w:val="none"/>
              </w:rPr>
              <w:t>：&lt;1ms（72小时），内置恒温晶振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rPr>
                <w:rFonts w:ascii="宋体" w:hAnsi="宋体"/>
                <w:b/>
                <w:sz w:val="24"/>
                <w:highlight w:val="none"/>
              </w:rPr>
            </w:pPr>
            <w:r>
              <w:rPr>
                <w:rFonts w:hint="eastAsia" w:ascii="宋体" w:hAnsi="宋体"/>
                <w:b/>
                <w:sz w:val="24"/>
                <w:highlight w:val="none"/>
              </w:rPr>
              <w:t>序号</w:t>
            </w:r>
          </w:p>
        </w:tc>
        <w:tc>
          <w:tcPr>
            <w:tcW w:w="7558" w:type="dxa"/>
            <w:gridSpan w:val="2"/>
          </w:tcPr>
          <w:p>
            <w:pPr>
              <w:jc w:val="center"/>
              <w:rPr>
                <w:rFonts w:ascii="宋体" w:hAnsi="宋体"/>
                <w:b/>
                <w:sz w:val="24"/>
                <w:highlight w:val="none"/>
              </w:rPr>
            </w:pPr>
            <w:r>
              <w:rPr>
                <w:rFonts w:hint="eastAsia" w:ascii="宋体" w:hAnsi="宋体"/>
                <w:b/>
                <w:sz w:val="24"/>
                <w:highlight w:val="none"/>
              </w:rPr>
              <w:t>非功能指标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88" w:type="dxa"/>
            <w:vAlign w:val="center"/>
          </w:tcPr>
          <w:p>
            <w:pPr>
              <w:jc w:val="center"/>
              <w:rPr>
                <w:rFonts w:ascii="宋体" w:hAnsi="宋体"/>
                <w:sz w:val="24"/>
                <w:highlight w:val="none"/>
              </w:rPr>
            </w:pPr>
            <w:r>
              <w:rPr>
                <w:rFonts w:hint="eastAsia" w:ascii="宋体" w:hAnsi="宋体"/>
                <w:sz w:val="24"/>
                <w:highlight w:val="none"/>
              </w:rPr>
              <w:t>1</w:t>
            </w:r>
          </w:p>
        </w:tc>
        <w:tc>
          <w:tcPr>
            <w:tcW w:w="7558" w:type="dxa"/>
            <w:gridSpan w:val="2"/>
          </w:tcPr>
          <w:p>
            <w:pPr>
              <w:rPr>
                <w:rFonts w:ascii="宋体" w:hAnsi="宋体"/>
                <w:sz w:val="24"/>
                <w:highlight w:val="none"/>
              </w:rPr>
            </w:pPr>
            <w:r>
              <w:rPr>
                <w:rFonts w:hint="eastAsia" w:ascii="宋体" w:hAnsi="宋体"/>
                <w:sz w:val="24"/>
                <w:highlight w:val="none"/>
              </w:rPr>
              <w:t>提供备份恢复功能，可通过界面备份当前所有配置，保证系统瘫痪时的快速恢复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88" w:type="dxa"/>
            <w:vAlign w:val="center"/>
          </w:tcPr>
          <w:p>
            <w:pPr>
              <w:jc w:val="center"/>
              <w:rPr>
                <w:rFonts w:ascii="宋体" w:hAnsi="宋体"/>
                <w:sz w:val="24"/>
                <w:highlight w:val="none"/>
              </w:rPr>
            </w:pPr>
            <w:r>
              <w:rPr>
                <w:rFonts w:hint="eastAsia" w:ascii="宋体" w:hAnsi="宋体"/>
                <w:sz w:val="24"/>
                <w:highlight w:val="none"/>
              </w:rPr>
              <w:t>2</w:t>
            </w:r>
          </w:p>
        </w:tc>
        <w:tc>
          <w:tcPr>
            <w:tcW w:w="7558" w:type="dxa"/>
            <w:gridSpan w:val="2"/>
          </w:tcPr>
          <w:p>
            <w:pPr>
              <w:rPr>
                <w:rFonts w:ascii="宋体" w:hAnsi="宋体"/>
                <w:sz w:val="24"/>
                <w:highlight w:val="none"/>
              </w:rPr>
            </w:pPr>
            <w:r>
              <w:rPr>
                <w:rFonts w:hint="eastAsia" w:ascii="宋体" w:hAnsi="宋体"/>
                <w:sz w:val="24"/>
                <w:highlight w:val="none"/>
              </w:rPr>
              <w:t>支持双机、负载均衡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88" w:type="dxa"/>
            <w:vAlign w:val="center"/>
          </w:tcPr>
          <w:p>
            <w:pPr>
              <w:jc w:val="center"/>
              <w:rPr>
                <w:rFonts w:ascii="宋体" w:hAnsi="宋体"/>
                <w:sz w:val="24"/>
                <w:highlight w:val="none"/>
              </w:rPr>
            </w:pPr>
            <w:r>
              <w:rPr>
                <w:rFonts w:hint="eastAsia" w:ascii="宋体" w:hAnsi="宋体"/>
                <w:sz w:val="24"/>
                <w:highlight w:val="none"/>
              </w:rPr>
              <w:t>3</w:t>
            </w:r>
          </w:p>
        </w:tc>
        <w:tc>
          <w:tcPr>
            <w:tcW w:w="7558" w:type="dxa"/>
            <w:gridSpan w:val="2"/>
          </w:tcPr>
          <w:p>
            <w:pPr>
              <w:rPr>
                <w:rFonts w:ascii="宋体" w:hAnsi="宋体"/>
                <w:sz w:val="24"/>
                <w:highlight w:val="none"/>
              </w:rPr>
            </w:pPr>
            <w:r>
              <w:rPr>
                <w:rFonts w:hint="eastAsia" w:ascii="宋体" w:hAnsi="宋体"/>
                <w:sz w:val="24"/>
                <w:highlight w:val="none"/>
              </w:rPr>
              <w:t>提供C、COM 、Java 等主流开发API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vAlign w:val="center"/>
          </w:tcPr>
          <w:p>
            <w:pPr>
              <w:jc w:val="center"/>
              <w:rPr>
                <w:rFonts w:ascii="宋体" w:hAnsi="宋体"/>
                <w:sz w:val="24"/>
                <w:highlight w:val="none"/>
              </w:rPr>
            </w:pPr>
            <w:r>
              <w:rPr>
                <w:rFonts w:hint="eastAsia" w:ascii="宋体" w:hAnsi="宋体"/>
                <w:sz w:val="24"/>
                <w:highlight w:val="none"/>
              </w:rPr>
              <w:t>4</w:t>
            </w:r>
          </w:p>
        </w:tc>
        <w:tc>
          <w:tcPr>
            <w:tcW w:w="7558" w:type="dxa"/>
            <w:gridSpan w:val="2"/>
          </w:tcPr>
          <w:p>
            <w:pPr>
              <w:rPr>
                <w:rFonts w:ascii="宋体" w:hAnsi="宋体"/>
                <w:sz w:val="24"/>
                <w:highlight w:val="none"/>
              </w:rPr>
            </w:pPr>
            <w:r>
              <w:rPr>
                <w:rFonts w:hint="eastAsia" w:ascii="宋体" w:hAnsi="宋体"/>
                <w:sz w:val="24"/>
                <w:highlight w:val="none"/>
              </w:rPr>
              <w:t>SM2时间戳签发性能≥1</w:t>
            </w:r>
            <w:r>
              <w:rPr>
                <w:rFonts w:ascii="宋体" w:hAnsi="宋体"/>
                <w:sz w:val="24"/>
                <w:highlight w:val="none"/>
              </w:rPr>
              <w:t>000</w:t>
            </w:r>
            <w:r>
              <w:rPr>
                <w:rFonts w:hint="eastAsia" w:ascii="宋体" w:hAnsi="宋体"/>
                <w:sz w:val="24"/>
                <w:highlight w:val="none"/>
              </w:rPr>
              <w:t>次/秒</w:t>
            </w:r>
            <w:r>
              <w:rPr>
                <w:rFonts w:ascii="宋体" w:hAnsi="宋体"/>
                <w:sz w:val="24"/>
                <w:highlight w:val="none"/>
              </w:rPr>
              <w:t>,SM2</w:t>
            </w:r>
            <w:r>
              <w:rPr>
                <w:rFonts w:hint="eastAsia" w:ascii="宋体" w:hAnsi="宋体"/>
                <w:sz w:val="24"/>
                <w:highlight w:val="none"/>
              </w:rPr>
              <w:t>时间戳验证性能≥500次/秒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vAlign w:val="center"/>
          </w:tcPr>
          <w:p>
            <w:pPr>
              <w:jc w:val="center"/>
              <w:rPr>
                <w:rFonts w:ascii="宋体" w:hAnsi="宋体"/>
                <w:b/>
                <w:sz w:val="24"/>
                <w:highlight w:val="none"/>
              </w:rPr>
            </w:pPr>
            <w:r>
              <w:rPr>
                <w:rFonts w:hint="eastAsia" w:ascii="宋体" w:hAnsi="宋体"/>
                <w:b/>
                <w:sz w:val="24"/>
                <w:highlight w:val="none"/>
              </w:rPr>
              <w:t>序号</w:t>
            </w:r>
          </w:p>
        </w:tc>
        <w:tc>
          <w:tcPr>
            <w:tcW w:w="7558" w:type="dxa"/>
            <w:gridSpan w:val="2"/>
          </w:tcPr>
          <w:p>
            <w:pPr>
              <w:jc w:val="center"/>
              <w:rPr>
                <w:rFonts w:ascii="宋体" w:hAnsi="宋体"/>
                <w:b/>
                <w:sz w:val="24"/>
                <w:highlight w:val="none"/>
              </w:rPr>
            </w:pPr>
            <w:r>
              <w:rPr>
                <w:rFonts w:hint="eastAsia" w:ascii="宋体" w:hAnsi="宋体"/>
                <w:b/>
                <w:sz w:val="24"/>
                <w:highlight w:val="none"/>
              </w:rPr>
              <w:t>产品规格要求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8" w:type="dxa"/>
            <w:vAlign w:val="center"/>
          </w:tcPr>
          <w:p>
            <w:pPr>
              <w:jc w:val="center"/>
              <w:rPr>
                <w:rFonts w:ascii="宋体" w:hAnsi="宋体"/>
                <w:sz w:val="24"/>
                <w:highlight w:val="none"/>
              </w:rPr>
            </w:pPr>
            <w:r>
              <w:rPr>
                <w:rFonts w:hint="eastAsia" w:ascii="宋体" w:hAnsi="宋体"/>
                <w:sz w:val="24"/>
                <w:highlight w:val="none"/>
              </w:rPr>
              <w:t>1</w:t>
            </w:r>
          </w:p>
        </w:tc>
        <w:tc>
          <w:tcPr>
            <w:tcW w:w="3779" w:type="dxa"/>
          </w:tcPr>
          <w:p>
            <w:pPr>
              <w:rPr>
                <w:rFonts w:ascii="宋体" w:hAnsi="宋体"/>
                <w:sz w:val="24"/>
                <w:highlight w:val="none"/>
              </w:rPr>
            </w:pPr>
            <w:r>
              <w:rPr>
                <w:rFonts w:hint="eastAsia" w:ascii="宋体" w:hAnsi="宋体"/>
                <w:sz w:val="24"/>
                <w:highlight w:val="none"/>
              </w:rPr>
              <w:t>设备高度</w:t>
            </w:r>
          </w:p>
        </w:tc>
        <w:tc>
          <w:tcPr>
            <w:tcW w:w="3779" w:type="dxa"/>
            <w:vAlign w:val="center"/>
          </w:tcPr>
          <w:p>
            <w:pPr>
              <w:rPr>
                <w:rFonts w:ascii="宋体" w:hAnsi="宋体"/>
                <w:sz w:val="24"/>
                <w:highlight w:val="none"/>
              </w:rPr>
            </w:pPr>
            <w:r>
              <w:rPr>
                <w:rFonts w:hint="eastAsia" w:ascii="宋体" w:hAnsi="宋体"/>
                <w:sz w:val="24"/>
                <w:highlight w:val="none"/>
              </w:rPr>
              <w:t>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vAlign w:val="center"/>
          </w:tcPr>
          <w:p>
            <w:pPr>
              <w:jc w:val="center"/>
              <w:rPr>
                <w:rFonts w:ascii="宋体" w:hAnsi="宋体"/>
                <w:sz w:val="24"/>
                <w:highlight w:val="none"/>
              </w:rPr>
            </w:pPr>
            <w:r>
              <w:rPr>
                <w:rFonts w:hint="eastAsia" w:ascii="宋体" w:hAnsi="宋体"/>
                <w:sz w:val="24"/>
                <w:highlight w:val="none"/>
              </w:rPr>
              <w:t>2</w:t>
            </w:r>
          </w:p>
        </w:tc>
        <w:tc>
          <w:tcPr>
            <w:tcW w:w="3779" w:type="dxa"/>
          </w:tcPr>
          <w:p>
            <w:pPr>
              <w:rPr>
                <w:rFonts w:ascii="宋体" w:hAnsi="宋体"/>
                <w:sz w:val="24"/>
                <w:highlight w:val="none"/>
              </w:rPr>
            </w:pPr>
            <w:r>
              <w:rPr>
                <w:rFonts w:hint="eastAsia" w:ascii="宋体" w:hAnsi="宋体"/>
                <w:sz w:val="24"/>
                <w:highlight w:val="none"/>
              </w:rPr>
              <w:t>网络接口</w:t>
            </w:r>
          </w:p>
        </w:tc>
        <w:tc>
          <w:tcPr>
            <w:tcW w:w="3779" w:type="dxa"/>
            <w:vAlign w:val="center"/>
          </w:tcPr>
          <w:p>
            <w:pPr>
              <w:rPr>
                <w:rFonts w:ascii="宋体" w:hAnsi="宋体"/>
                <w:sz w:val="24"/>
                <w:highlight w:val="none"/>
              </w:rPr>
            </w:pPr>
            <w:r>
              <w:rPr>
                <w:rFonts w:hint="eastAsia" w:ascii="宋体" w:hAnsi="宋体"/>
                <w:sz w:val="24"/>
                <w:highlight w:val="none"/>
              </w:rPr>
              <w:t>2个千兆网口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vAlign w:val="center"/>
          </w:tcPr>
          <w:p>
            <w:pPr>
              <w:jc w:val="center"/>
              <w:rPr>
                <w:rFonts w:ascii="宋体" w:hAnsi="宋体"/>
                <w:sz w:val="24"/>
                <w:highlight w:val="none"/>
              </w:rPr>
            </w:pPr>
            <w:r>
              <w:rPr>
                <w:rFonts w:hint="eastAsia" w:ascii="宋体" w:hAnsi="宋体"/>
                <w:sz w:val="24"/>
                <w:highlight w:val="none"/>
              </w:rPr>
              <w:t>3</w:t>
            </w:r>
          </w:p>
        </w:tc>
        <w:tc>
          <w:tcPr>
            <w:tcW w:w="3779" w:type="dxa"/>
          </w:tcPr>
          <w:p>
            <w:pPr>
              <w:rPr>
                <w:rFonts w:ascii="宋体" w:hAnsi="宋体"/>
                <w:sz w:val="24"/>
                <w:highlight w:val="none"/>
              </w:rPr>
            </w:pPr>
            <w:r>
              <w:rPr>
                <w:rFonts w:hint="eastAsia" w:ascii="宋体" w:hAnsi="宋体"/>
                <w:sz w:val="24"/>
                <w:highlight w:val="none"/>
              </w:rPr>
              <w:t>电源指标</w:t>
            </w:r>
          </w:p>
        </w:tc>
        <w:tc>
          <w:tcPr>
            <w:tcW w:w="3779" w:type="dxa"/>
            <w:vAlign w:val="center"/>
          </w:tcPr>
          <w:p>
            <w:pPr>
              <w:rPr>
                <w:rFonts w:ascii="宋体" w:hAnsi="宋体"/>
                <w:sz w:val="24"/>
                <w:highlight w:val="none"/>
              </w:rPr>
            </w:pPr>
            <w:r>
              <w:rPr>
                <w:rFonts w:hint="eastAsia" w:ascii="宋体" w:hAnsi="宋体"/>
                <w:sz w:val="24"/>
                <w:highlight w:val="none"/>
              </w:rPr>
              <w:t>1个工控电源</w:t>
            </w:r>
          </w:p>
        </w:tc>
      </w:tr>
    </w:tbl>
    <w:p>
      <w:pPr>
        <w:pStyle w:val="721"/>
        <w:numPr>
          <w:ilvl w:val="0"/>
          <w:numId w:val="153"/>
        </w:numPr>
        <w:spacing w:before="163" w:after="163"/>
        <w:ind w:left="426" w:firstLineChars="0"/>
        <w:rPr>
          <w:b/>
          <w:bCs/>
          <w:szCs w:val="24"/>
          <w:highlight w:val="none"/>
        </w:rPr>
      </w:pPr>
      <w:r>
        <w:rPr>
          <w:rFonts w:hint="eastAsia"/>
          <w:b/>
          <w:bCs/>
          <w:szCs w:val="24"/>
          <w:highlight w:val="none"/>
        </w:rPr>
        <w:t>手写信息数字签名板</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7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highlight w:val="none"/>
              </w:rPr>
            </w:pPr>
            <w:r>
              <w:rPr>
                <w:rFonts w:hint="eastAsia" w:ascii="宋体" w:hAnsi="宋体"/>
                <w:b/>
                <w:sz w:val="24"/>
                <w:highlight w:val="none"/>
              </w:rPr>
              <w:t>序号</w:t>
            </w:r>
          </w:p>
        </w:tc>
        <w:tc>
          <w:tcPr>
            <w:tcW w:w="7558" w:type="dxa"/>
            <w:tcBorders>
              <w:top w:val="single" w:color="auto" w:sz="4" w:space="0"/>
              <w:left w:val="single" w:color="auto" w:sz="4" w:space="0"/>
              <w:bottom w:val="single" w:color="auto" w:sz="4" w:space="0"/>
              <w:right w:val="single" w:color="auto" w:sz="4" w:space="0"/>
            </w:tcBorders>
          </w:tcPr>
          <w:p>
            <w:pPr>
              <w:jc w:val="center"/>
              <w:rPr>
                <w:rFonts w:ascii="宋体" w:hAnsi="宋体"/>
                <w:b/>
                <w:sz w:val="24"/>
                <w:highlight w:val="none"/>
              </w:rPr>
            </w:pPr>
            <w:r>
              <w:rPr>
                <w:rFonts w:hint="eastAsia" w:ascii="宋体" w:hAnsi="宋体"/>
                <w:b/>
                <w:sz w:val="24"/>
                <w:highlight w:val="none"/>
              </w:rPr>
              <w:t>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1</w:t>
            </w:r>
          </w:p>
        </w:tc>
        <w:tc>
          <w:tcPr>
            <w:tcW w:w="7558" w:type="dxa"/>
            <w:tcBorders>
              <w:top w:val="single" w:color="auto" w:sz="4" w:space="0"/>
              <w:left w:val="single" w:color="auto" w:sz="4" w:space="0"/>
              <w:bottom w:val="single" w:color="auto" w:sz="4" w:space="0"/>
              <w:right w:val="single" w:color="auto" w:sz="4" w:space="0"/>
            </w:tcBorders>
          </w:tcPr>
          <w:p>
            <w:pPr>
              <w:rPr>
                <w:rFonts w:ascii="宋体" w:hAnsi="宋体"/>
                <w:sz w:val="24"/>
                <w:highlight w:val="none"/>
              </w:rPr>
            </w:pPr>
            <w:r>
              <w:rPr>
                <w:rFonts w:hint="eastAsia" w:ascii="宋体" w:hAnsi="宋体"/>
                <w:sz w:val="24"/>
                <w:highlight w:val="none"/>
              </w:rPr>
              <w:t>手写签名采集：通过显示屏签名板采集签名笔迹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2</w:t>
            </w:r>
          </w:p>
        </w:tc>
        <w:tc>
          <w:tcPr>
            <w:tcW w:w="7558" w:type="dxa"/>
            <w:tcBorders>
              <w:top w:val="single" w:color="auto" w:sz="4" w:space="0"/>
              <w:left w:val="single" w:color="auto" w:sz="4" w:space="0"/>
              <w:bottom w:val="single" w:color="auto" w:sz="4" w:space="0"/>
              <w:right w:val="single" w:color="auto" w:sz="4" w:space="0"/>
            </w:tcBorders>
          </w:tcPr>
          <w:p>
            <w:pPr>
              <w:rPr>
                <w:rFonts w:ascii="宋体" w:hAnsi="宋体"/>
                <w:sz w:val="24"/>
                <w:highlight w:val="none"/>
              </w:rPr>
            </w:pPr>
            <w:r>
              <w:rPr>
                <w:rFonts w:hint="eastAsia" w:ascii="宋体" w:hAnsi="宋体"/>
                <w:sz w:val="24"/>
                <w:highlight w:val="none"/>
              </w:rPr>
              <w:t>签</w:t>
            </w:r>
            <w:r>
              <w:rPr>
                <w:rFonts w:ascii="宋体" w:hAnsi="宋体"/>
                <w:sz w:val="24"/>
                <w:highlight w:val="none"/>
              </w:rPr>
              <w:t>名者</w:t>
            </w:r>
            <w:r>
              <w:rPr>
                <w:rFonts w:hint="eastAsia" w:ascii="宋体" w:hAnsi="宋体"/>
                <w:sz w:val="24"/>
                <w:highlight w:val="none"/>
              </w:rPr>
              <w:t>生物</w:t>
            </w:r>
            <w:r>
              <w:rPr>
                <w:rFonts w:ascii="宋体" w:hAnsi="宋体"/>
                <w:sz w:val="24"/>
                <w:highlight w:val="none"/>
              </w:rPr>
              <w:t>信息</w:t>
            </w:r>
            <w:r>
              <w:rPr>
                <w:rFonts w:hint="eastAsia" w:ascii="宋体" w:hAnsi="宋体"/>
                <w:sz w:val="24"/>
                <w:highlight w:val="none"/>
              </w:rPr>
              <w:t>采集：支持指纹采集模块及摄</w:t>
            </w:r>
            <w:r>
              <w:rPr>
                <w:rFonts w:ascii="宋体" w:hAnsi="宋体"/>
                <w:sz w:val="24"/>
                <w:highlight w:val="none"/>
              </w:rPr>
              <w:t>像头，</w:t>
            </w:r>
            <w:r>
              <w:rPr>
                <w:rFonts w:hint="eastAsia" w:ascii="宋体" w:hAnsi="宋体"/>
                <w:sz w:val="24"/>
                <w:highlight w:val="none"/>
              </w:rPr>
              <w:t>由</w:t>
            </w:r>
            <w:r>
              <w:rPr>
                <w:rFonts w:ascii="宋体" w:hAnsi="宋体"/>
                <w:sz w:val="24"/>
                <w:highlight w:val="none"/>
              </w:rPr>
              <w:t>医院选</w:t>
            </w:r>
            <w:r>
              <w:rPr>
                <w:rFonts w:hint="eastAsia" w:ascii="宋体" w:hAnsi="宋体"/>
                <w:sz w:val="24"/>
                <w:highlight w:val="none"/>
              </w:rPr>
              <w:t>择</w:t>
            </w:r>
            <w:r>
              <w:rPr>
                <w:rFonts w:ascii="宋体" w:hAnsi="宋体"/>
                <w:sz w:val="24"/>
                <w:highlight w:val="none"/>
              </w:rPr>
              <w:t>配备的生物信息采集模块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3</w:t>
            </w:r>
          </w:p>
        </w:tc>
        <w:tc>
          <w:tcPr>
            <w:tcW w:w="7558" w:type="dxa"/>
            <w:tcBorders>
              <w:top w:val="single" w:color="auto" w:sz="4" w:space="0"/>
              <w:left w:val="single" w:color="auto" w:sz="4" w:space="0"/>
              <w:bottom w:val="single" w:color="auto" w:sz="4" w:space="0"/>
              <w:right w:val="single" w:color="auto" w:sz="4" w:space="0"/>
            </w:tcBorders>
          </w:tcPr>
          <w:p>
            <w:pPr>
              <w:rPr>
                <w:rFonts w:ascii="宋体" w:hAnsi="宋体"/>
                <w:sz w:val="24"/>
                <w:highlight w:val="none"/>
              </w:rPr>
            </w:pPr>
            <w:r>
              <w:rPr>
                <w:rFonts w:hint="eastAsia" w:ascii="宋体" w:hAnsi="宋体"/>
                <w:sz w:val="24"/>
                <w:highlight w:val="none"/>
              </w:rPr>
              <w:t>采用</w:t>
            </w:r>
            <w:r>
              <w:rPr>
                <w:rFonts w:ascii="宋体" w:hAnsi="宋体"/>
                <w:sz w:val="24"/>
                <w:highlight w:val="none"/>
              </w:rPr>
              <w:t>电磁</w:t>
            </w:r>
            <w:r>
              <w:rPr>
                <w:rFonts w:hint="eastAsia" w:ascii="宋体" w:hAnsi="宋体"/>
                <w:sz w:val="24"/>
                <w:highlight w:val="none"/>
              </w:rPr>
              <w:t>压感</w:t>
            </w:r>
            <w:r>
              <w:rPr>
                <w:rFonts w:ascii="宋体" w:hAnsi="宋体"/>
                <w:sz w:val="24"/>
                <w:highlight w:val="none"/>
              </w:rPr>
              <w:t>相应技术，实现对签名人手写生物特征的完整采集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4</w:t>
            </w:r>
          </w:p>
        </w:tc>
        <w:tc>
          <w:tcPr>
            <w:tcW w:w="7558" w:type="dxa"/>
            <w:tcBorders>
              <w:top w:val="single" w:color="auto" w:sz="4" w:space="0"/>
              <w:left w:val="single" w:color="auto" w:sz="4" w:space="0"/>
              <w:bottom w:val="single" w:color="auto" w:sz="4" w:space="0"/>
              <w:right w:val="single" w:color="auto" w:sz="4" w:space="0"/>
            </w:tcBorders>
          </w:tcPr>
          <w:p>
            <w:pPr>
              <w:rPr>
                <w:rFonts w:ascii="宋体" w:hAnsi="宋体"/>
                <w:sz w:val="24"/>
                <w:highlight w:val="none"/>
              </w:rPr>
            </w:pPr>
            <w:r>
              <w:rPr>
                <w:rFonts w:hint="eastAsia" w:ascii="宋体" w:hAnsi="宋体"/>
                <w:sz w:val="24"/>
                <w:highlight w:val="none"/>
              </w:rPr>
              <w:t>显</w:t>
            </w:r>
            <w:r>
              <w:rPr>
                <w:rFonts w:ascii="宋体" w:hAnsi="宋体"/>
                <w:sz w:val="24"/>
                <w:highlight w:val="none"/>
              </w:rPr>
              <w:t>示屏大小：不小于</w:t>
            </w:r>
            <w:r>
              <w:rPr>
                <w:rFonts w:hint="eastAsia" w:ascii="宋体" w:hAnsi="宋体"/>
                <w:sz w:val="24"/>
                <w:highlight w:val="none"/>
              </w:rPr>
              <w:t>10寸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ascii="宋体" w:hAnsi="宋体"/>
                <w:sz w:val="24"/>
                <w:highlight w:val="none"/>
              </w:rPr>
              <w:t>5</w:t>
            </w:r>
          </w:p>
        </w:tc>
        <w:tc>
          <w:tcPr>
            <w:tcW w:w="7558" w:type="dxa"/>
            <w:tcBorders>
              <w:top w:val="single" w:color="auto" w:sz="4" w:space="0"/>
              <w:left w:val="single" w:color="auto" w:sz="4" w:space="0"/>
              <w:bottom w:val="single" w:color="auto" w:sz="4" w:space="0"/>
              <w:right w:val="single" w:color="auto" w:sz="4" w:space="0"/>
            </w:tcBorders>
          </w:tcPr>
          <w:p>
            <w:pPr>
              <w:rPr>
                <w:rFonts w:ascii="宋体" w:hAnsi="宋体"/>
                <w:sz w:val="24"/>
                <w:highlight w:val="none"/>
              </w:rPr>
            </w:pPr>
            <w:r>
              <w:rPr>
                <w:rFonts w:hint="eastAsia" w:ascii="宋体" w:hAnsi="宋体"/>
                <w:sz w:val="24"/>
                <w:highlight w:val="none"/>
              </w:rPr>
              <w:t>电源：USB总线供电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ascii="宋体" w:hAnsi="宋体"/>
                <w:sz w:val="24"/>
                <w:highlight w:val="none"/>
              </w:rPr>
              <w:t>6</w:t>
            </w:r>
          </w:p>
        </w:tc>
        <w:tc>
          <w:tcPr>
            <w:tcW w:w="7558" w:type="dxa"/>
            <w:tcBorders>
              <w:top w:val="single" w:color="auto" w:sz="4" w:space="0"/>
              <w:left w:val="single" w:color="auto" w:sz="4" w:space="0"/>
              <w:bottom w:val="single" w:color="auto" w:sz="4" w:space="0"/>
              <w:right w:val="single" w:color="auto" w:sz="4" w:space="0"/>
            </w:tcBorders>
          </w:tcPr>
          <w:p>
            <w:pPr>
              <w:rPr>
                <w:rFonts w:ascii="宋体" w:hAnsi="宋体"/>
                <w:sz w:val="24"/>
                <w:highlight w:val="none"/>
              </w:rPr>
            </w:pPr>
            <w:r>
              <w:rPr>
                <w:rFonts w:hint="eastAsia" w:ascii="宋体" w:hAnsi="宋体"/>
                <w:sz w:val="24"/>
                <w:highlight w:val="none"/>
              </w:rPr>
              <w:t>扩展：支持USB扩展，如二代身份证读取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highlight w:val="none"/>
              </w:rPr>
            </w:pPr>
            <w:r>
              <w:rPr>
                <w:rFonts w:hint="eastAsia" w:ascii="宋体" w:hAnsi="宋体"/>
                <w:b/>
                <w:sz w:val="24"/>
                <w:highlight w:val="none"/>
              </w:rPr>
              <w:t>序号</w:t>
            </w:r>
          </w:p>
        </w:tc>
        <w:tc>
          <w:tcPr>
            <w:tcW w:w="7558" w:type="dxa"/>
            <w:tcBorders>
              <w:top w:val="single" w:color="auto" w:sz="4" w:space="0"/>
              <w:left w:val="single" w:color="auto" w:sz="4" w:space="0"/>
              <w:bottom w:val="single" w:color="auto" w:sz="4" w:space="0"/>
              <w:right w:val="single" w:color="auto" w:sz="4" w:space="0"/>
            </w:tcBorders>
          </w:tcPr>
          <w:p>
            <w:pPr>
              <w:jc w:val="center"/>
              <w:rPr>
                <w:rFonts w:ascii="宋体" w:hAnsi="宋体"/>
                <w:b/>
                <w:sz w:val="24"/>
                <w:highlight w:val="none"/>
              </w:rPr>
            </w:pPr>
            <w:r>
              <w:rPr>
                <w:rFonts w:hint="eastAsia" w:ascii="宋体" w:hAnsi="宋体"/>
                <w:b/>
                <w:sz w:val="24"/>
                <w:highlight w:val="none"/>
              </w:rPr>
              <w:t>非功能指标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1</w:t>
            </w:r>
          </w:p>
        </w:tc>
        <w:tc>
          <w:tcPr>
            <w:tcW w:w="7558" w:type="dxa"/>
            <w:tcBorders>
              <w:top w:val="single" w:color="auto" w:sz="4" w:space="0"/>
              <w:left w:val="single" w:color="auto" w:sz="4" w:space="0"/>
              <w:bottom w:val="single" w:color="auto" w:sz="4" w:space="0"/>
              <w:right w:val="single" w:color="auto" w:sz="4" w:space="0"/>
            </w:tcBorders>
          </w:tcPr>
          <w:p>
            <w:pPr>
              <w:rPr>
                <w:rFonts w:ascii="宋体" w:hAnsi="宋体"/>
                <w:sz w:val="24"/>
                <w:highlight w:val="none"/>
              </w:rPr>
            </w:pPr>
            <w:r>
              <w:rPr>
                <w:rFonts w:hint="eastAsia" w:ascii="宋体" w:hAnsi="宋体"/>
                <w:sz w:val="24"/>
                <w:highlight w:val="none"/>
              </w:rPr>
              <w:t>兼容性：windows XP/vista/win7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2</w:t>
            </w:r>
          </w:p>
        </w:tc>
        <w:tc>
          <w:tcPr>
            <w:tcW w:w="7558" w:type="dxa"/>
            <w:tcBorders>
              <w:top w:val="single" w:color="auto" w:sz="4" w:space="0"/>
              <w:left w:val="single" w:color="auto" w:sz="4" w:space="0"/>
              <w:bottom w:val="single" w:color="auto" w:sz="4" w:space="0"/>
              <w:right w:val="single" w:color="auto" w:sz="4" w:space="0"/>
            </w:tcBorders>
          </w:tcPr>
          <w:p>
            <w:pPr>
              <w:rPr>
                <w:rFonts w:ascii="宋体" w:hAnsi="宋体"/>
                <w:sz w:val="24"/>
                <w:highlight w:val="none"/>
              </w:rPr>
            </w:pPr>
            <w:r>
              <w:rPr>
                <w:rFonts w:hint="eastAsia" w:ascii="宋体" w:hAnsi="宋体"/>
                <w:sz w:val="24"/>
                <w:highlight w:val="none"/>
              </w:rPr>
              <w:t>屏显区域：</w:t>
            </w:r>
            <w:r>
              <w:rPr>
                <w:rFonts w:ascii="宋体" w:hAnsi="宋体"/>
                <w:sz w:val="24"/>
                <w:highlight w:val="none"/>
              </w:rPr>
              <w:t>76.78 x 39.58mm</w:t>
            </w:r>
            <w:r>
              <w:rPr>
                <w:rFonts w:hint="eastAsia" w:ascii="宋体" w:hAnsi="宋体"/>
                <w:sz w:val="24"/>
                <w:highlight w:val="none"/>
              </w:rPr>
              <w:t>，像素240 x 120，电磁响应，分辨率3200lpi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3</w:t>
            </w:r>
          </w:p>
        </w:tc>
        <w:tc>
          <w:tcPr>
            <w:tcW w:w="7558" w:type="dxa"/>
            <w:tcBorders>
              <w:top w:val="single" w:color="auto" w:sz="4" w:space="0"/>
              <w:left w:val="single" w:color="auto" w:sz="4" w:space="0"/>
              <w:bottom w:val="single" w:color="auto" w:sz="4" w:space="0"/>
              <w:right w:val="single" w:color="auto" w:sz="4" w:space="0"/>
            </w:tcBorders>
          </w:tcPr>
          <w:p>
            <w:pPr>
              <w:rPr>
                <w:rFonts w:ascii="宋体" w:hAnsi="宋体"/>
                <w:sz w:val="24"/>
                <w:highlight w:val="none"/>
              </w:rPr>
            </w:pPr>
            <w:r>
              <w:rPr>
                <w:rFonts w:hint="eastAsia" w:ascii="宋体" w:hAnsi="宋体"/>
                <w:sz w:val="24"/>
                <w:highlight w:val="none"/>
              </w:rPr>
              <w:t>指纹采集：光学指纹采集，图象分辨率</w:t>
            </w:r>
            <w:r>
              <w:rPr>
                <w:rFonts w:ascii="宋体" w:hAnsi="宋体"/>
                <w:sz w:val="24"/>
                <w:highlight w:val="none"/>
              </w:rPr>
              <w:t>500DPI</w:t>
            </w:r>
            <w:r>
              <w:rPr>
                <w:rFonts w:hint="eastAsia" w:ascii="宋体" w:hAnsi="宋体"/>
                <w:sz w:val="24"/>
                <w:highlight w:val="none"/>
              </w:rPr>
              <w:t>，指纹比对</w:t>
            </w:r>
            <w:r>
              <w:rPr>
                <w:rFonts w:ascii="宋体" w:hAnsi="宋体"/>
                <w:sz w:val="24"/>
                <w:highlight w:val="none"/>
              </w:rPr>
              <w:t>1</w:t>
            </w: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w:t>
            </w:r>
            <w:r>
              <w:rPr>
                <w:rFonts w:ascii="宋体" w:hAnsi="宋体"/>
                <w:sz w:val="24"/>
                <w:highlight w:val="none"/>
              </w:rPr>
              <w:t>N</w:t>
            </w:r>
          </w:p>
        </w:tc>
      </w:tr>
    </w:tbl>
    <w:p>
      <w:pPr>
        <w:pStyle w:val="721"/>
        <w:numPr>
          <w:ilvl w:val="0"/>
          <w:numId w:val="153"/>
        </w:numPr>
        <w:spacing w:before="163" w:after="163"/>
        <w:ind w:left="426" w:firstLineChars="0"/>
        <w:rPr>
          <w:b/>
          <w:bCs/>
          <w:szCs w:val="24"/>
          <w:highlight w:val="none"/>
        </w:rPr>
      </w:pPr>
      <w:r>
        <w:rPr>
          <w:rFonts w:hint="eastAsia"/>
          <w:b/>
          <w:bCs/>
          <w:szCs w:val="24"/>
          <w:highlight w:val="none"/>
        </w:rPr>
        <w:t>个人数字证书</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rPr>
                <w:rFonts w:ascii="宋体" w:hAnsi="宋体"/>
                <w:b/>
                <w:sz w:val="24"/>
                <w:highlight w:val="none"/>
              </w:rPr>
            </w:pPr>
            <w:r>
              <w:rPr>
                <w:rFonts w:hint="eastAsia" w:ascii="宋体" w:hAnsi="宋体"/>
                <w:b/>
                <w:sz w:val="24"/>
                <w:highlight w:val="none"/>
              </w:rPr>
              <w:t>序号</w:t>
            </w:r>
          </w:p>
        </w:tc>
        <w:tc>
          <w:tcPr>
            <w:tcW w:w="7431" w:type="dxa"/>
          </w:tcPr>
          <w:p>
            <w:pPr>
              <w:jc w:val="center"/>
              <w:rPr>
                <w:rFonts w:ascii="宋体" w:hAnsi="宋体"/>
                <w:b/>
                <w:sz w:val="24"/>
                <w:highlight w:val="none"/>
              </w:rPr>
            </w:pPr>
            <w:r>
              <w:rPr>
                <w:rFonts w:hint="eastAsia" w:ascii="宋体" w:hAnsi="宋体"/>
                <w:b/>
                <w:sz w:val="24"/>
                <w:highlight w:val="none"/>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rPr>
                <w:rFonts w:ascii="宋体" w:hAnsi="宋体"/>
                <w:sz w:val="24"/>
                <w:highlight w:val="none"/>
              </w:rPr>
            </w:pPr>
            <w:r>
              <w:rPr>
                <w:rFonts w:hint="eastAsia" w:ascii="宋体" w:hAnsi="宋体"/>
                <w:sz w:val="24"/>
                <w:highlight w:val="none"/>
              </w:rPr>
              <w:t>1</w:t>
            </w:r>
          </w:p>
        </w:tc>
        <w:tc>
          <w:tcPr>
            <w:tcW w:w="7431" w:type="dxa"/>
          </w:tcPr>
          <w:p>
            <w:pPr>
              <w:jc w:val="left"/>
              <w:rPr>
                <w:rFonts w:ascii="宋体" w:hAnsi="宋体"/>
                <w:sz w:val="24"/>
                <w:highlight w:val="none"/>
              </w:rPr>
            </w:pPr>
            <w:r>
              <w:rPr>
                <w:rFonts w:hint="eastAsia" w:ascii="宋体" w:hAnsi="宋体"/>
                <w:sz w:val="24"/>
                <w:highlight w:val="none"/>
              </w:rPr>
              <w:t>标识个人用户网络身份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rPr>
                <w:rFonts w:ascii="宋体" w:hAnsi="宋体"/>
                <w:sz w:val="24"/>
                <w:highlight w:val="none"/>
              </w:rPr>
            </w:pPr>
            <w:r>
              <w:rPr>
                <w:rFonts w:hint="eastAsia" w:ascii="宋体" w:hAnsi="宋体"/>
                <w:sz w:val="24"/>
                <w:highlight w:val="none"/>
              </w:rPr>
              <w:t>2</w:t>
            </w:r>
          </w:p>
        </w:tc>
        <w:tc>
          <w:tcPr>
            <w:tcW w:w="7431" w:type="dxa"/>
          </w:tcPr>
          <w:p>
            <w:pPr>
              <w:jc w:val="left"/>
              <w:rPr>
                <w:rFonts w:ascii="宋体" w:hAnsi="宋体"/>
                <w:sz w:val="24"/>
                <w:highlight w:val="none"/>
              </w:rPr>
            </w:pPr>
            <w:r>
              <w:rPr>
                <w:rFonts w:hint="eastAsia" w:ascii="宋体" w:hAnsi="宋体"/>
                <w:sz w:val="24"/>
                <w:highlight w:val="none"/>
              </w:rPr>
              <w:t>符合卫生部《卫生系统数字证书格式规范（试行）》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rPr>
                <w:rFonts w:ascii="宋体" w:hAnsi="宋体"/>
                <w:sz w:val="24"/>
                <w:highlight w:val="none"/>
              </w:rPr>
            </w:pPr>
            <w:r>
              <w:rPr>
                <w:rFonts w:hint="eastAsia" w:ascii="宋体" w:hAnsi="宋体"/>
                <w:sz w:val="24"/>
                <w:highlight w:val="none"/>
              </w:rPr>
              <w:t>3</w:t>
            </w:r>
          </w:p>
        </w:tc>
        <w:tc>
          <w:tcPr>
            <w:tcW w:w="7431" w:type="dxa"/>
          </w:tcPr>
          <w:p>
            <w:pPr>
              <w:jc w:val="left"/>
              <w:rPr>
                <w:rFonts w:ascii="宋体" w:hAnsi="宋体"/>
                <w:sz w:val="24"/>
                <w:highlight w:val="none"/>
              </w:rPr>
            </w:pPr>
            <w:r>
              <w:rPr>
                <w:rFonts w:hint="eastAsia" w:ascii="宋体" w:hAnsi="宋体"/>
                <w:sz w:val="24"/>
                <w:highlight w:val="none"/>
              </w:rPr>
              <w:t>符合卫生部《卫生系统电子认证服务规范（试行）》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rPr>
                <w:rFonts w:ascii="宋体" w:hAnsi="宋体"/>
                <w:sz w:val="24"/>
                <w:highlight w:val="none"/>
              </w:rPr>
            </w:pPr>
            <w:r>
              <w:rPr>
                <w:rFonts w:hint="eastAsia" w:ascii="宋体" w:hAnsi="宋体"/>
                <w:sz w:val="24"/>
                <w:highlight w:val="none"/>
              </w:rPr>
              <w:t>4</w:t>
            </w:r>
          </w:p>
        </w:tc>
        <w:tc>
          <w:tcPr>
            <w:tcW w:w="7431" w:type="dxa"/>
          </w:tcPr>
          <w:p>
            <w:pPr>
              <w:jc w:val="left"/>
              <w:rPr>
                <w:rFonts w:ascii="宋体" w:hAnsi="宋体"/>
                <w:sz w:val="24"/>
                <w:highlight w:val="none"/>
              </w:rPr>
            </w:pPr>
            <w:r>
              <w:rPr>
                <w:rFonts w:hint="eastAsia" w:ascii="宋体" w:hAnsi="宋体"/>
                <w:sz w:val="24"/>
                <w:highlight w:val="none"/>
              </w:rPr>
              <w:t>证书格式标准遵循x．509v3标准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rPr>
                <w:rFonts w:ascii="宋体" w:hAnsi="宋体"/>
                <w:sz w:val="24"/>
                <w:highlight w:val="none"/>
              </w:rPr>
            </w:pPr>
            <w:r>
              <w:rPr>
                <w:rFonts w:hint="eastAsia" w:ascii="宋体" w:hAnsi="宋体"/>
                <w:sz w:val="24"/>
                <w:highlight w:val="none"/>
              </w:rPr>
              <w:t>5</w:t>
            </w:r>
          </w:p>
        </w:tc>
        <w:tc>
          <w:tcPr>
            <w:tcW w:w="7431" w:type="dxa"/>
          </w:tcPr>
          <w:p>
            <w:pPr>
              <w:jc w:val="left"/>
              <w:rPr>
                <w:rFonts w:ascii="宋体" w:hAnsi="宋体"/>
                <w:sz w:val="24"/>
                <w:highlight w:val="none"/>
              </w:rPr>
            </w:pPr>
            <w:r>
              <w:rPr>
                <w:rFonts w:hint="eastAsia" w:ascii="宋体" w:hAnsi="宋体"/>
                <w:sz w:val="24"/>
                <w:highlight w:val="none"/>
              </w:rPr>
              <w:t>支持存放介质：智能USBKey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rPr>
                <w:rFonts w:ascii="宋体" w:hAnsi="宋体"/>
                <w:sz w:val="24"/>
                <w:highlight w:val="none"/>
              </w:rPr>
            </w:pPr>
            <w:r>
              <w:rPr>
                <w:rFonts w:hint="eastAsia" w:ascii="宋体" w:hAnsi="宋体"/>
                <w:sz w:val="24"/>
                <w:highlight w:val="none"/>
              </w:rPr>
              <w:t>6</w:t>
            </w:r>
          </w:p>
        </w:tc>
        <w:tc>
          <w:tcPr>
            <w:tcW w:w="7431" w:type="dxa"/>
          </w:tcPr>
          <w:p>
            <w:pPr>
              <w:jc w:val="left"/>
              <w:rPr>
                <w:rFonts w:ascii="宋体" w:hAnsi="宋体"/>
                <w:sz w:val="24"/>
                <w:highlight w:val="none"/>
              </w:rPr>
            </w:pPr>
            <w:r>
              <w:rPr>
                <w:rFonts w:hint="eastAsia" w:ascii="宋体" w:hAnsi="宋体"/>
                <w:sz w:val="24"/>
                <w:highlight w:val="none"/>
              </w:rPr>
              <w:t>支持自定义证书扩展域管理</w:t>
            </w:r>
          </w:p>
        </w:tc>
      </w:tr>
    </w:tbl>
    <w:p>
      <w:pPr>
        <w:pStyle w:val="721"/>
        <w:numPr>
          <w:ilvl w:val="0"/>
          <w:numId w:val="153"/>
        </w:numPr>
        <w:spacing w:before="163" w:after="163"/>
        <w:ind w:left="426" w:firstLineChars="0"/>
        <w:rPr>
          <w:b/>
          <w:bCs/>
          <w:szCs w:val="24"/>
          <w:highlight w:val="none"/>
        </w:rPr>
      </w:pPr>
      <w:r>
        <w:rPr>
          <w:rFonts w:hint="eastAsia"/>
          <w:b/>
          <w:bCs/>
          <w:szCs w:val="24"/>
          <w:highlight w:val="none"/>
        </w:rPr>
        <w:t>单位数字证书</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rPr>
                <w:rFonts w:ascii="宋体" w:hAnsi="宋体"/>
                <w:b/>
                <w:sz w:val="24"/>
                <w:highlight w:val="none"/>
              </w:rPr>
            </w:pPr>
            <w:r>
              <w:rPr>
                <w:rFonts w:hint="eastAsia" w:ascii="宋体" w:hAnsi="宋体"/>
                <w:b/>
                <w:sz w:val="24"/>
                <w:highlight w:val="none"/>
              </w:rPr>
              <w:t>序号</w:t>
            </w:r>
          </w:p>
        </w:tc>
        <w:tc>
          <w:tcPr>
            <w:tcW w:w="7431" w:type="dxa"/>
          </w:tcPr>
          <w:p>
            <w:pPr>
              <w:ind w:firstLine="482"/>
              <w:jc w:val="center"/>
              <w:rPr>
                <w:rFonts w:ascii="宋体" w:hAnsi="宋体"/>
                <w:b/>
                <w:sz w:val="24"/>
                <w:highlight w:val="none"/>
              </w:rPr>
            </w:pPr>
            <w:r>
              <w:rPr>
                <w:rFonts w:hint="eastAsia" w:ascii="宋体" w:hAnsi="宋体"/>
                <w:b/>
                <w:sz w:val="24"/>
                <w:highlight w:val="none"/>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ind w:firstLine="480"/>
              <w:jc w:val="center"/>
              <w:rPr>
                <w:rFonts w:ascii="宋体" w:hAnsi="宋体"/>
                <w:sz w:val="24"/>
                <w:highlight w:val="none"/>
              </w:rPr>
            </w:pPr>
            <w:r>
              <w:rPr>
                <w:rFonts w:hint="eastAsia" w:ascii="宋体" w:hAnsi="宋体"/>
                <w:sz w:val="24"/>
                <w:highlight w:val="none"/>
              </w:rPr>
              <w:t>1</w:t>
            </w:r>
          </w:p>
        </w:tc>
        <w:tc>
          <w:tcPr>
            <w:tcW w:w="7431" w:type="dxa"/>
          </w:tcPr>
          <w:p>
            <w:pPr>
              <w:jc w:val="left"/>
              <w:rPr>
                <w:rFonts w:ascii="宋体" w:hAnsi="宋体"/>
                <w:sz w:val="24"/>
                <w:highlight w:val="none"/>
              </w:rPr>
            </w:pPr>
            <w:r>
              <w:rPr>
                <w:rFonts w:hint="eastAsia" w:ascii="宋体" w:hAnsi="宋体"/>
                <w:sz w:val="24"/>
                <w:highlight w:val="none"/>
              </w:rPr>
              <w:t>标识单位用户网络身份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ind w:firstLine="480"/>
              <w:jc w:val="center"/>
              <w:rPr>
                <w:rFonts w:ascii="宋体" w:hAnsi="宋体"/>
                <w:sz w:val="24"/>
                <w:highlight w:val="none"/>
              </w:rPr>
            </w:pPr>
            <w:r>
              <w:rPr>
                <w:rFonts w:hint="eastAsia" w:ascii="宋体" w:hAnsi="宋体"/>
                <w:sz w:val="24"/>
                <w:highlight w:val="none"/>
              </w:rPr>
              <w:t>2</w:t>
            </w:r>
          </w:p>
        </w:tc>
        <w:tc>
          <w:tcPr>
            <w:tcW w:w="7431" w:type="dxa"/>
          </w:tcPr>
          <w:p>
            <w:pPr>
              <w:jc w:val="left"/>
              <w:rPr>
                <w:rFonts w:ascii="宋体" w:hAnsi="宋体"/>
                <w:sz w:val="24"/>
                <w:highlight w:val="none"/>
              </w:rPr>
            </w:pPr>
            <w:r>
              <w:rPr>
                <w:rFonts w:hint="eastAsia" w:ascii="宋体" w:hAnsi="宋体"/>
                <w:sz w:val="24"/>
                <w:highlight w:val="none"/>
              </w:rPr>
              <w:t>证书格式标准遵循x．509v3标准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ind w:firstLine="480"/>
              <w:jc w:val="center"/>
              <w:rPr>
                <w:rFonts w:ascii="宋体" w:hAnsi="宋体"/>
                <w:sz w:val="24"/>
                <w:highlight w:val="none"/>
              </w:rPr>
            </w:pPr>
            <w:r>
              <w:rPr>
                <w:rFonts w:hint="eastAsia" w:ascii="宋体" w:hAnsi="宋体"/>
                <w:sz w:val="24"/>
                <w:highlight w:val="none"/>
              </w:rPr>
              <w:t>3</w:t>
            </w:r>
          </w:p>
        </w:tc>
        <w:tc>
          <w:tcPr>
            <w:tcW w:w="7431" w:type="dxa"/>
          </w:tcPr>
          <w:p>
            <w:pPr>
              <w:jc w:val="left"/>
              <w:rPr>
                <w:rFonts w:ascii="宋体" w:hAnsi="宋体"/>
                <w:sz w:val="24"/>
                <w:highlight w:val="none"/>
              </w:rPr>
            </w:pPr>
            <w:r>
              <w:rPr>
                <w:rFonts w:hint="eastAsia" w:ascii="宋体" w:hAnsi="宋体"/>
                <w:sz w:val="24"/>
                <w:highlight w:val="none"/>
              </w:rPr>
              <w:t>支持存放介质：智能USBKey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ind w:firstLine="480"/>
              <w:jc w:val="center"/>
              <w:rPr>
                <w:rFonts w:ascii="宋体" w:hAnsi="宋体"/>
                <w:sz w:val="24"/>
                <w:highlight w:val="none"/>
              </w:rPr>
            </w:pPr>
            <w:r>
              <w:rPr>
                <w:rFonts w:hint="eastAsia" w:ascii="宋体" w:hAnsi="宋体"/>
                <w:sz w:val="24"/>
                <w:highlight w:val="none"/>
              </w:rPr>
              <w:t>4</w:t>
            </w:r>
          </w:p>
        </w:tc>
        <w:tc>
          <w:tcPr>
            <w:tcW w:w="7431" w:type="dxa"/>
          </w:tcPr>
          <w:p>
            <w:pPr>
              <w:jc w:val="left"/>
              <w:rPr>
                <w:rFonts w:ascii="宋体" w:hAnsi="宋体"/>
                <w:sz w:val="24"/>
                <w:highlight w:val="none"/>
              </w:rPr>
            </w:pPr>
            <w:r>
              <w:rPr>
                <w:rFonts w:hint="eastAsia" w:ascii="宋体" w:hAnsi="宋体"/>
                <w:sz w:val="24"/>
                <w:highlight w:val="none"/>
              </w:rPr>
              <w:t>支持自定义证书扩展域管理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ind w:firstLine="480"/>
              <w:jc w:val="center"/>
              <w:rPr>
                <w:rFonts w:ascii="宋体" w:hAnsi="宋体"/>
                <w:sz w:val="24"/>
                <w:highlight w:val="none"/>
              </w:rPr>
            </w:pPr>
            <w:r>
              <w:rPr>
                <w:rFonts w:hint="eastAsia" w:ascii="宋体" w:hAnsi="宋体"/>
                <w:sz w:val="24"/>
                <w:highlight w:val="none"/>
              </w:rPr>
              <w:t>5</w:t>
            </w:r>
          </w:p>
        </w:tc>
        <w:tc>
          <w:tcPr>
            <w:tcW w:w="7431" w:type="dxa"/>
          </w:tcPr>
          <w:p>
            <w:pPr>
              <w:jc w:val="left"/>
              <w:rPr>
                <w:rFonts w:ascii="宋体" w:hAnsi="宋体"/>
                <w:sz w:val="24"/>
                <w:highlight w:val="none"/>
              </w:rPr>
            </w:pPr>
            <w:r>
              <w:rPr>
                <w:rFonts w:hint="eastAsia" w:ascii="宋体" w:hAnsi="宋体"/>
                <w:sz w:val="24"/>
                <w:highlight w:val="none"/>
              </w:rPr>
              <w:t>支持算法： RSA1024、RSA2048、SM2</w:t>
            </w:r>
          </w:p>
        </w:tc>
      </w:tr>
    </w:tbl>
    <w:p>
      <w:pPr>
        <w:pStyle w:val="7"/>
        <w:ind w:firstLine="422" w:firstLineChars="150"/>
        <w:rPr>
          <w:highlight w:val="none"/>
        </w:rPr>
      </w:pPr>
      <w:bookmarkStart w:id="31" w:name="_Toc104195696"/>
      <w:r>
        <w:rPr>
          <w:rFonts w:hint="eastAsia"/>
          <w:highlight w:val="none"/>
        </w:rPr>
        <w:t>CA软件环境</w:t>
      </w:r>
      <w:bookmarkEnd w:id="31"/>
    </w:p>
    <w:p>
      <w:pPr>
        <w:pStyle w:val="721"/>
        <w:numPr>
          <w:ilvl w:val="0"/>
          <w:numId w:val="154"/>
        </w:numPr>
        <w:spacing w:before="163" w:after="163"/>
        <w:ind w:left="426" w:firstLineChars="0"/>
        <w:rPr>
          <w:b/>
          <w:bCs/>
          <w:szCs w:val="24"/>
          <w:highlight w:val="none"/>
        </w:rPr>
      </w:pPr>
      <w:r>
        <w:rPr>
          <w:rFonts w:hint="eastAsia"/>
          <w:b/>
          <w:bCs/>
          <w:szCs w:val="24"/>
          <w:highlight w:val="none"/>
        </w:rPr>
        <w:t>移动协同签名服务</w:t>
      </w:r>
    </w:p>
    <w:tbl>
      <w:tblPr>
        <w:tblStyle w:val="64"/>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57"/>
        <w:gridCol w:w="1230"/>
        <w:gridCol w:w="6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157" w:type="dxa"/>
            <w:shd w:val="clear" w:color="auto" w:fill="FFFFFF" w:themeFill="background1"/>
            <w:vAlign w:val="center"/>
          </w:tcPr>
          <w:p>
            <w:pPr>
              <w:widowControl/>
              <w:jc w:val="left"/>
              <w:rPr>
                <w:rFonts w:ascii="宋体" w:hAnsi="宋体" w:cs="宋体"/>
                <w:b/>
                <w:bCs/>
                <w:color w:val="000000"/>
                <w:kern w:val="0"/>
                <w:sz w:val="24"/>
                <w:highlight w:val="none"/>
              </w:rPr>
            </w:pPr>
            <w:r>
              <w:rPr>
                <w:rFonts w:hint="eastAsia" w:ascii="宋体" w:hAnsi="宋体" w:cs="宋体"/>
                <w:b/>
                <w:bCs/>
                <w:color w:val="000000"/>
                <w:kern w:val="0"/>
                <w:sz w:val="24"/>
                <w:highlight w:val="none"/>
              </w:rPr>
              <w:t>产品/服务</w:t>
            </w:r>
          </w:p>
        </w:tc>
        <w:tc>
          <w:tcPr>
            <w:tcW w:w="1230" w:type="dxa"/>
            <w:shd w:val="clear" w:color="auto" w:fill="FFFFFF" w:themeFill="background1"/>
            <w:vAlign w:val="center"/>
          </w:tcPr>
          <w:p>
            <w:pPr>
              <w:widowControl/>
              <w:jc w:val="left"/>
              <w:rPr>
                <w:rFonts w:ascii="宋体" w:hAnsi="宋体" w:cs="宋体"/>
                <w:b/>
                <w:bCs/>
                <w:color w:val="000000"/>
                <w:kern w:val="0"/>
                <w:sz w:val="24"/>
                <w:highlight w:val="none"/>
              </w:rPr>
            </w:pPr>
            <w:r>
              <w:rPr>
                <w:rFonts w:hint="eastAsia" w:ascii="宋体" w:hAnsi="宋体" w:cs="宋体"/>
                <w:b/>
                <w:bCs/>
                <w:color w:val="000000"/>
                <w:kern w:val="0"/>
                <w:sz w:val="24"/>
                <w:highlight w:val="none"/>
              </w:rPr>
              <w:t>技术指标项</w:t>
            </w:r>
          </w:p>
        </w:tc>
        <w:tc>
          <w:tcPr>
            <w:tcW w:w="6170" w:type="dxa"/>
            <w:shd w:val="clear" w:color="auto" w:fill="FFFFFF" w:themeFill="background1"/>
            <w:vAlign w:val="center"/>
          </w:tcPr>
          <w:p>
            <w:pPr>
              <w:widowControl/>
              <w:jc w:val="left"/>
              <w:rPr>
                <w:rFonts w:ascii="宋体" w:hAnsi="宋体" w:cs="宋体"/>
                <w:b/>
                <w:bCs/>
                <w:color w:val="000000"/>
                <w:kern w:val="0"/>
                <w:sz w:val="24"/>
                <w:highlight w:val="none"/>
              </w:rPr>
            </w:pPr>
            <w:r>
              <w:rPr>
                <w:rFonts w:hint="eastAsia" w:ascii="宋体" w:hAnsi="宋体" w:cs="宋体"/>
                <w:b/>
                <w:bCs/>
                <w:color w:val="000000"/>
                <w:kern w:val="0"/>
                <w:sz w:val="24"/>
                <w:highlight w:val="none"/>
              </w:rPr>
              <w:t>详细技术要求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1157" w:type="dxa"/>
            <w:vMerge w:val="restart"/>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CA服务</w:t>
            </w:r>
          </w:p>
        </w:tc>
        <w:tc>
          <w:tcPr>
            <w:tcW w:w="1230" w:type="dxa"/>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证书服务</w:t>
            </w:r>
          </w:p>
        </w:tc>
        <w:tc>
          <w:tcPr>
            <w:tcW w:w="6170" w:type="dxa"/>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支持连接第三方CA，为用户申请签发数字证书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1157" w:type="dxa"/>
            <w:vMerge w:val="continue"/>
            <w:shd w:val="clear" w:color="auto" w:fill="auto"/>
            <w:vAlign w:val="center"/>
          </w:tcPr>
          <w:p>
            <w:pPr>
              <w:jc w:val="center"/>
              <w:rPr>
                <w:rFonts w:ascii="宋体" w:hAnsi="宋体" w:cs="宋体"/>
                <w:color w:val="000000"/>
                <w:kern w:val="0"/>
                <w:sz w:val="24"/>
                <w:highlight w:val="none"/>
              </w:rPr>
            </w:pPr>
          </w:p>
        </w:tc>
        <w:tc>
          <w:tcPr>
            <w:tcW w:w="1230" w:type="dxa"/>
            <w:shd w:val="clear" w:color="auto" w:fill="auto"/>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身份认证</w:t>
            </w:r>
          </w:p>
        </w:tc>
        <w:tc>
          <w:tcPr>
            <w:tcW w:w="6170" w:type="dxa"/>
            <w:shd w:val="clear" w:color="auto" w:fill="auto"/>
            <w:vAlign w:val="center"/>
          </w:tcPr>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提供认证服务接口，支持基于数字证书的身份认证方式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1157" w:type="dxa"/>
            <w:vMerge w:val="continue"/>
            <w:shd w:val="clear" w:color="auto" w:fill="auto"/>
            <w:vAlign w:val="center"/>
          </w:tcPr>
          <w:p>
            <w:pPr>
              <w:jc w:val="center"/>
              <w:rPr>
                <w:rFonts w:ascii="宋体" w:hAnsi="宋体" w:cs="宋体"/>
                <w:color w:val="000000"/>
                <w:kern w:val="0"/>
                <w:sz w:val="24"/>
                <w:highlight w:val="none"/>
              </w:rPr>
            </w:pPr>
          </w:p>
        </w:tc>
        <w:tc>
          <w:tcPr>
            <w:tcW w:w="1230" w:type="dxa"/>
            <w:shd w:val="clear" w:color="auto" w:fill="auto"/>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数据签名</w:t>
            </w:r>
          </w:p>
        </w:tc>
        <w:tc>
          <w:tcPr>
            <w:tcW w:w="6170" w:type="dxa"/>
            <w:shd w:val="clear" w:color="auto" w:fill="auto"/>
            <w:vAlign w:val="center"/>
          </w:tcPr>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提供数据签名服务接口，支持业务系统发起签名请求，服务器与用户手机完成协同签名。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1157" w:type="dxa"/>
            <w:vMerge w:val="continue"/>
            <w:shd w:val="clear" w:color="auto" w:fill="auto"/>
            <w:vAlign w:val="center"/>
          </w:tcPr>
          <w:p>
            <w:pPr>
              <w:jc w:val="center"/>
              <w:rPr>
                <w:rFonts w:ascii="宋体" w:hAnsi="宋体" w:cs="宋体"/>
                <w:color w:val="000000"/>
                <w:kern w:val="0"/>
                <w:sz w:val="24"/>
                <w:highlight w:val="none"/>
              </w:rPr>
            </w:pPr>
          </w:p>
        </w:tc>
        <w:tc>
          <w:tcPr>
            <w:tcW w:w="1230" w:type="dxa"/>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签名验证</w:t>
            </w:r>
          </w:p>
        </w:tc>
        <w:tc>
          <w:tcPr>
            <w:tcW w:w="6170" w:type="dxa"/>
            <w:shd w:val="clear" w:color="auto" w:fill="auto"/>
            <w:vAlign w:val="center"/>
          </w:tcPr>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基于标准PKI验证过程，支持验证PKCS1/PKCS7标准格式的电子签名，包括验证签名及证书有效性等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1157" w:type="dxa"/>
            <w:vMerge w:val="continue"/>
            <w:shd w:val="clear" w:color="auto" w:fill="auto"/>
            <w:vAlign w:val="center"/>
          </w:tcPr>
          <w:p>
            <w:pPr>
              <w:jc w:val="center"/>
              <w:rPr>
                <w:rFonts w:ascii="宋体" w:hAnsi="宋体" w:cs="宋体"/>
                <w:color w:val="000000"/>
                <w:kern w:val="0"/>
                <w:sz w:val="24"/>
                <w:highlight w:val="none"/>
              </w:rPr>
            </w:pPr>
          </w:p>
        </w:tc>
        <w:tc>
          <w:tcPr>
            <w:tcW w:w="1230" w:type="dxa"/>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PDF电子签章</w:t>
            </w:r>
          </w:p>
        </w:tc>
        <w:tc>
          <w:tcPr>
            <w:tcW w:w="6170" w:type="dxa"/>
            <w:shd w:val="clear" w:color="auto" w:fill="auto"/>
            <w:vAlign w:val="center"/>
          </w:tcPr>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对PDF文档进行电子签章，并且在电子文档上显示签章图片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1157" w:type="dxa"/>
            <w:vMerge w:val="continue"/>
            <w:shd w:val="clear" w:color="auto" w:fill="auto"/>
            <w:vAlign w:val="center"/>
          </w:tcPr>
          <w:p>
            <w:pPr>
              <w:jc w:val="center"/>
              <w:rPr>
                <w:rFonts w:ascii="宋体" w:hAnsi="宋体" w:cs="宋体"/>
                <w:color w:val="000000"/>
                <w:kern w:val="0"/>
                <w:sz w:val="24"/>
                <w:highlight w:val="none"/>
              </w:rPr>
            </w:pPr>
          </w:p>
        </w:tc>
        <w:tc>
          <w:tcPr>
            <w:tcW w:w="1230" w:type="dxa"/>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PDF电子签章验证</w:t>
            </w:r>
          </w:p>
        </w:tc>
        <w:tc>
          <w:tcPr>
            <w:tcW w:w="6170" w:type="dxa"/>
            <w:shd w:val="clear" w:color="auto" w:fill="auto"/>
            <w:vAlign w:val="center"/>
          </w:tcPr>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验证PDF签名文档有效性、完整性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1157" w:type="dxa"/>
            <w:vMerge w:val="continue"/>
            <w:shd w:val="clear" w:color="auto" w:fill="auto"/>
            <w:vAlign w:val="center"/>
          </w:tcPr>
          <w:p>
            <w:pPr>
              <w:jc w:val="center"/>
              <w:rPr>
                <w:rFonts w:ascii="宋体" w:hAnsi="宋体" w:cs="宋体"/>
                <w:color w:val="000000"/>
                <w:kern w:val="0"/>
                <w:sz w:val="24"/>
                <w:highlight w:val="none"/>
              </w:rPr>
            </w:pPr>
          </w:p>
        </w:tc>
        <w:tc>
          <w:tcPr>
            <w:tcW w:w="1230" w:type="dxa"/>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应用管理</w:t>
            </w:r>
          </w:p>
        </w:tc>
        <w:tc>
          <w:tcPr>
            <w:tcW w:w="6170" w:type="dxa"/>
            <w:shd w:val="clear" w:color="auto" w:fill="auto"/>
            <w:vAlign w:val="center"/>
          </w:tcPr>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管理接入的业务应用，支持对业务应用的添加、编辑、冻结、解冻、注销等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1157" w:type="dxa"/>
            <w:vMerge w:val="continue"/>
            <w:shd w:val="clear" w:color="auto" w:fill="auto"/>
            <w:vAlign w:val="center"/>
          </w:tcPr>
          <w:p>
            <w:pPr>
              <w:jc w:val="center"/>
              <w:rPr>
                <w:rFonts w:ascii="宋体" w:hAnsi="宋体" w:cs="宋体"/>
                <w:color w:val="000000"/>
                <w:kern w:val="0"/>
                <w:sz w:val="24"/>
                <w:highlight w:val="none"/>
              </w:rPr>
            </w:pPr>
          </w:p>
        </w:tc>
        <w:tc>
          <w:tcPr>
            <w:tcW w:w="1230" w:type="dxa"/>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用户管理</w:t>
            </w:r>
          </w:p>
        </w:tc>
        <w:tc>
          <w:tcPr>
            <w:tcW w:w="6170" w:type="dxa"/>
            <w:shd w:val="clear" w:color="auto" w:fill="auto"/>
            <w:vAlign w:val="center"/>
          </w:tcPr>
          <w:p>
            <w:pPr>
              <w:widowControl/>
              <w:tabs>
                <w:tab w:val="left" w:pos="10080"/>
              </w:tabs>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管理证书用户，支持用户变更手机号、冻结、解冻、注销等操作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1157" w:type="dxa"/>
            <w:vMerge w:val="continue"/>
            <w:shd w:val="clear" w:color="auto" w:fill="auto"/>
            <w:vAlign w:val="center"/>
          </w:tcPr>
          <w:p>
            <w:pPr>
              <w:jc w:val="center"/>
              <w:rPr>
                <w:rFonts w:ascii="宋体" w:hAnsi="宋体" w:cs="宋体"/>
                <w:color w:val="000000"/>
                <w:kern w:val="0"/>
                <w:sz w:val="24"/>
                <w:highlight w:val="none"/>
              </w:rPr>
            </w:pPr>
          </w:p>
        </w:tc>
        <w:tc>
          <w:tcPr>
            <w:tcW w:w="1230" w:type="dxa"/>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设备管理</w:t>
            </w:r>
          </w:p>
        </w:tc>
        <w:tc>
          <w:tcPr>
            <w:tcW w:w="6170" w:type="dxa"/>
            <w:shd w:val="clear" w:color="auto" w:fill="auto"/>
            <w:vAlign w:val="center"/>
          </w:tcPr>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支持用户在多个移动终端设备上使用同一个用户身份，支持对用户终端设备的绑定、解绑等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1157" w:type="dxa"/>
            <w:vMerge w:val="continue"/>
            <w:shd w:val="clear" w:color="auto" w:fill="auto"/>
            <w:vAlign w:val="center"/>
          </w:tcPr>
          <w:p>
            <w:pPr>
              <w:jc w:val="center"/>
              <w:rPr>
                <w:rFonts w:ascii="宋体" w:hAnsi="宋体" w:cs="宋体"/>
                <w:color w:val="000000"/>
                <w:kern w:val="0"/>
                <w:sz w:val="24"/>
                <w:highlight w:val="none"/>
              </w:rPr>
            </w:pPr>
          </w:p>
        </w:tc>
        <w:tc>
          <w:tcPr>
            <w:tcW w:w="1230" w:type="dxa"/>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密钥管理</w:t>
            </w:r>
          </w:p>
        </w:tc>
        <w:tc>
          <w:tcPr>
            <w:tcW w:w="6170" w:type="dxa"/>
            <w:shd w:val="clear" w:color="auto" w:fill="auto"/>
            <w:vAlign w:val="center"/>
          </w:tcPr>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提供密钥生成、存储、销毁、归档、统计产销等功能，支持密钥由移动终端和服务器协商产生，采用密钥分割技术保存密钥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1157" w:type="dxa"/>
            <w:vMerge w:val="continue"/>
            <w:shd w:val="clear" w:color="auto" w:fill="auto"/>
            <w:vAlign w:val="center"/>
          </w:tcPr>
          <w:p>
            <w:pPr>
              <w:jc w:val="center"/>
              <w:rPr>
                <w:rFonts w:ascii="宋体" w:hAnsi="宋体" w:cs="宋体"/>
                <w:color w:val="000000"/>
                <w:kern w:val="0"/>
                <w:sz w:val="24"/>
                <w:highlight w:val="none"/>
              </w:rPr>
            </w:pPr>
          </w:p>
        </w:tc>
        <w:tc>
          <w:tcPr>
            <w:tcW w:w="1230" w:type="dxa"/>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系统管理</w:t>
            </w:r>
          </w:p>
        </w:tc>
        <w:tc>
          <w:tcPr>
            <w:tcW w:w="6170" w:type="dxa"/>
            <w:shd w:val="clear" w:color="auto" w:fill="auto"/>
            <w:vAlign w:val="center"/>
          </w:tcPr>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支持对系统配置及对系统管理员进行管理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1157" w:type="dxa"/>
            <w:vMerge w:val="continue"/>
            <w:shd w:val="clear" w:color="auto" w:fill="auto"/>
            <w:vAlign w:val="center"/>
          </w:tcPr>
          <w:p>
            <w:pPr>
              <w:jc w:val="center"/>
              <w:rPr>
                <w:rFonts w:ascii="宋体" w:hAnsi="宋体" w:cs="宋体"/>
                <w:color w:val="000000"/>
                <w:kern w:val="0"/>
                <w:sz w:val="24"/>
                <w:highlight w:val="none"/>
              </w:rPr>
            </w:pPr>
          </w:p>
        </w:tc>
        <w:tc>
          <w:tcPr>
            <w:tcW w:w="1230" w:type="dxa"/>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统计分析</w:t>
            </w:r>
          </w:p>
        </w:tc>
        <w:tc>
          <w:tcPr>
            <w:tcW w:w="6170" w:type="dxa"/>
            <w:shd w:val="clear" w:color="auto" w:fill="auto"/>
            <w:vAlign w:val="center"/>
          </w:tcPr>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提供对数据签名、PDF签章等数据的统计查询功能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1157" w:type="dxa"/>
            <w:vMerge w:val="continue"/>
            <w:shd w:val="clear" w:color="auto" w:fill="auto"/>
            <w:vAlign w:val="center"/>
          </w:tcPr>
          <w:p>
            <w:pPr>
              <w:jc w:val="center"/>
              <w:rPr>
                <w:rFonts w:ascii="宋体" w:hAnsi="宋体" w:cs="宋体"/>
                <w:color w:val="000000"/>
                <w:kern w:val="0"/>
                <w:sz w:val="24"/>
                <w:highlight w:val="none"/>
              </w:rPr>
            </w:pPr>
          </w:p>
        </w:tc>
        <w:tc>
          <w:tcPr>
            <w:tcW w:w="1230" w:type="dxa"/>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日志审计</w:t>
            </w:r>
          </w:p>
        </w:tc>
        <w:tc>
          <w:tcPr>
            <w:tcW w:w="6170" w:type="dxa"/>
            <w:shd w:val="clear" w:color="auto" w:fill="auto"/>
            <w:vAlign w:val="center"/>
          </w:tcPr>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提供业务操作日志、管理员操作日志等审计功能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1157" w:type="dxa"/>
            <w:vMerge w:val="continue"/>
            <w:shd w:val="clear" w:color="auto" w:fill="auto"/>
            <w:vAlign w:val="center"/>
          </w:tcPr>
          <w:p>
            <w:pPr>
              <w:jc w:val="center"/>
              <w:rPr>
                <w:rFonts w:ascii="宋体" w:hAnsi="宋体" w:cs="宋体"/>
                <w:color w:val="000000"/>
                <w:kern w:val="0"/>
                <w:sz w:val="24"/>
                <w:highlight w:val="none"/>
              </w:rPr>
            </w:pPr>
          </w:p>
        </w:tc>
        <w:tc>
          <w:tcPr>
            <w:tcW w:w="1230" w:type="dxa"/>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接口服务</w:t>
            </w:r>
          </w:p>
        </w:tc>
        <w:tc>
          <w:tcPr>
            <w:tcW w:w="6170" w:type="dxa"/>
            <w:shd w:val="clear" w:color="auto" w:fill="auto"/>
            <w:vAlign w:val="center"/>
          </w:tcPr>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基于手机端可提供SDK开发包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1157" w:type="dxa"/>
            <w:vMerge w:val="restart"/>
            <w:shd w:val="clear" w:color="auto" w:fill="auto"/>
            <w:vAlign w:val="center"/>
          </w:tcPr>
          <w:p>
            <w:pPr>
              <w:widowControl/>
              <w:ind w:firstLine="240" w:firstLineChars="100"/>
              <w:jc w:val="left"/>
              <w:rPr>
                <w:rFonts w:ascii="宋体" w:hAnsi="宋体" w:cs="宋体"/>
                <w:color w:val="000000"/>
                <w:kern w:val="0"/>
                <w:sz w:val="24"/>
                <w:highlight w:val="none"/>
              </w:rPr>
            </w:pPr>
            <w:r>
              <w:rPr>
                <w:rFonts w:hint="eastAsia" w:ascii="宋体" w:hAnsi="宋体" w:cs="宋体"/>
                <w:color w:val="000000"/>
                <w:kern w:val="0"/>
                <w:sz w:val="24"/>
                <w:highlight w:val="none"/>
              </w:rPr>
              <w:t>手机端</w:t>
            </w:r>
            <w:r>
              <w:rPr>
                <w:rFonts w:ascii="宋体" w:hAnsi="宋体" w:cs="宋体"/>
                <w:color w:val="000000"/>
                <w:kern w:val="0"/>
                <w:sz w:val="24"/>
                <w:highlight w:val="none"/>
              </w:rPr>
              <w:t>APP/SDK</w:t>
            </w:r>
          </w:p>
        </w:tc>
        <w:tc>
          <w:tcPr>
            <w:tcW w:w="1230" w:type="dxa"/>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证书下载</w:t>
            </w:r>
          </w:p>
        </w:tc>
        <w:tc>
          <w:tcPr>
            <w:tcW w:w="6170" w:type="dxa"/>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支持用户在移动端下载个人证书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1157" w:type="dxa"/>
            <w:vMerge w:val="continue"/>
            <w:shd w:val="clear" w:color="auto" w:fill="auto"/>
            <w:vAlign w:val="center"/>
          </w:tcPr>
          <w:p>
            <w:pPr>
              <w:jc w:val="center"/>
              <w:rPr>
                <w:rFonts w:ascii="宋体" w:hAnsi="宋体" w:cs="宋体"/>
                <w:color w:val="000000"/>
                <w:kern w:val="0"/>
                <w:sz w:val="24"/>
                <w:highlight w:val="none"/>
              </w:rPr>
            </w:pPr>
          </w:p>
        </w:tc>
        <w:tc>
          <w:tcPr>
            <w:tcW w:w="1230" w:type="dxa"/>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数据签名</w:t>
            </w:r>
          </w:p>
        </w:tc>
        <w:tc>
          <w:tcPr>
            <w:tcW w:w="6170" w:type="dxa"/>
            <w:shd w:val="clear" w:color="auto" w:fill="auto"/>
            <w:vAlign w:val="center"/>
          </w:tcPr>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支持用户在移动端签署业务数据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1157" w:type="dxa"/>
            <w:vMerge w:val="continue"/>
            <w:shd w:val="clear" w:color="auto" w:fill="auto"/>
            <w:vAlign w:val="center"/>
          </w:tcPr>
          <w:p>
            <w:pPr>
              <w:jc w:val="center"/>
              <w:rPr>
                <w:rFonts w:ascii="宋体" w:hAnsi="宋体" w:cs="宋体"/>
                <w:color w:val="000000"/>
                <w:kern w:val="0"/>
                <w:sz w:val="24"/>
                <w:highlight w:val="none"/>
              </w:rPr>
            </w:pPr>
          </w:p>
        </w:tc>
        <w:tc>
          <w:tcPr>
            <w:tcW w:w="1230" w:type="dxa"/>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文档签章</w:t>
            </w:r>
          </w:p>
        </w:tc>
        <w:tc>
          <w:tcPr>
            <w:tcW w:w="6170" w:type="dxa"/>
            <w:shd w:val="clear" w:color="auto" w:fill="auto"/>
            <w:vAlign w:val="center"/>
          </w:tcPr>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支持用户在移动端签署PDF文档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1157" w:type="dxa"/>
            <w:vMerge w:val="continue"/>
            <w:shd w:val="clear" w:color="auto" w:fill="auto"/>
            <w:vAlign w:val="center"/>
          </w:tcPr>
          <w:p>
            <w:pPr>
              <w:jc w:val="center"/>
              <w:rPr>
                <w:rFonts w:ascii="宋体" w:hAnsi="宋体" w:cs="宋体"/>
                <w:color w:val="000000"/>
                <w:kern w:val="0"/>
                <w:sz w:val="24"/>
                <w:highlight w:val="none"/>
              </w:rPr>
            </w:pPr>
          </w:p>
        </w:tc>
        <w:tc>
          <w:tcPr>
            <w:tcW w:w="1230" w:type="dxa"/>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扫码签名</w:t>
            </w:r>
          </w:p>
        </w:tc>
        <w:tc>
          <w:tcPr>
            <w:tcW w:w="6170" w:type="dxa"/>
            <w:shd w:val="clear" w:color="auto" w:fill="auto"/>
            <w:vAlign w:val="center"/>
          </w:tcPr>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支持手机扫描二维码登陆认证功能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1157" w:type="dxa"/>
            <w:vMerge w:val="continue"/>
            <w:shd w:val="clear" w:color="auto" w:fill="auto"/>
            <w:vAlign w:val="center"/>
          </w:tcPr>
          <w:p>
            <w:pPr>
              <w:jc w:val="center"/>
              <w:rPr>
                <w:rFonts w:ascii="宋体" w:hAnsi="宋体" w:cs="宋体"/>
                <w:color w:val="000000"/>
                <w:kern w:val="0"/>
                <w:sz w:val="24"/>
                <w:highlight w:val="none"/>
              </w:rPr>
            </w:pPr>
          </w:p>
        </w:tc>
        <w:tc>
          <w:tcPr>
            <w:tcW w:w="1230" w:type="dxa"/>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批量签名</w:t>
            </w:r>
          </w:p>
        </w:tc>
        <w:tc>
          <w:tcPr>
            <w:tcW w:w="6170" w:type="dxa"/>
            <w:shd w:val="clear" w:color="auto" w:fill="auto"/>
            <w:vAlign w:val="center"/>
          </w:tcPr>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支持用户在移动端批量签署业务数据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1157" w:type="dxa"/>
            <w:vMerge w:val="continue"/>
            <w:shd w:val="clear" w:color="auto" w:fill="auto"/>
            <w:vAlign w:val="center"/>
          </w:tcPr>
          <w:p>
            <w:pPr>
              <w:jc w:val="center"/>
              <w:rPr>
                <w:rFonts w:ascii="宋体" w:hAnsi="宋体" w:cs="宋体"/>
                <w:color w:val="000000"/>
                <w:kern w:val="0"/>
                <w:sz w:val="24"/>
                <w:highlight w:val="none"/>
              </w:rPr>
            </w:pPr>
          </w:p>
        </w:tc>
        <w:tc>
          <w:tcPr>
            <w:tcW w:w="1230" w:type="dxa"/>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设置签名图片</w:t>
            </w:r>
          </w:p>
        </w:tc>
        <w:tc>
          <w:tcPr>
            <w:tcW w:w="6170" w:type="dxa"/>
            <w:shd w:val="clear" w:color="auto" w:fill="auto"/>
            <w:vAlign w:val="center"/>
          </w:tcPr>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支持用户在移动端设置手写签名图片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1157" w:type="dxa"/>
            <w:vMerge w:val="continue"/>
            <w:shd w:val="clear" w:color="auto" w:fill="auto"/>
            <w:vAlign w:val="center"/>
          </w:tcPr>
          <w:p>
            <w:pPr>
              <w:jc w:val="center"/>
              <w:rPr>
                <w:rFonts w:ascii="宋体" w:hAnsi="宋体" w:cs="宋体"/>
                <w:color w:val="000000"/>
                <w:kern w:val="0"/>
                <w:sz w:val="24"/>
                <w:highlight w:val="none"/>
              </w:rPr>
            </w:pPr>
          </w:p>
        </w:tc>
        <w:tc>
          <w:tcPr>
            <w:tcW w:w="1230" w:type="dxa"/>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指纹签名</w:t>
            </w:r>
          </w:p>
        </w:tc>
        <w:tc>
          <w:tcPr>
            <w:tcW w:w="6170" w:type="dxa"/>
            <w:shd w:val="clear" w:color="auto" w:fill="auto"/>
            <w:vAlign w:val="center"/>
          </w:tcPr>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支持用户在移动端使用指纹代替证书口令进行签名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1157" w:type="dxa"/>
            <w:vMerge w:val="continue"/>
            <w:shd w:val="clear" w:color="auto" w:fill="auto"/>
            <w:vAlign w:val="center"/>
          </w:tcPr>
          <w:p>
            <w:pPr>
              <w:jc w:val="center"/>
              <w:rPr>
                <w:rFonts w:ascii="宋体" w:hAnsi="宋体" w:cs="宋体"/>
                <w:color w:val="000000"/>
                <w:kern w:val="0"/>
                <w:sz w:val="24"/>
                <w:highlight w:val="none"/>
              </w:rPr>
            </w:pPr>
          </w:p>
        </w:tc>
        <w:tc>
          <w:tcPr>
            <w:tcW w:w="1230" w:type="dxa"/>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接口服务</w:t>
            </w:r>
          </w:p>
        </w:tc>
        <w:tc>
          <w:tcPr>
            <w:tcW w:w="6170" w:type="dxa"/>
            <w:shd w:val="clear" w:color="auto" w:fill="auto"/>
            <w:vAlign w:val="center"/>
          </w:tcPr>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提供手机端证书下载、数据签名、文档签章、扫码签名等接口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1157" w:type="dxa"/>
            <w:vMerge w:val="continue"/>
            <w:shd w:val="clear" w:color="auto" w:fill="auto"/>
            <w:vAlign w:val="center"/>
          </w:tcPr>
          <w:p>
            <w:pPr>
              <w:jc w:val="center"/>
              <w:rPr>
                <w:rFonts w:ascii="宋体" w:hAnsi="宋体" w:cs="宋体"/>
                <w:color w:val="000000"/>
                <w:kern w:val="0"/>
                <w:sz w:val="24"/>
                <w:highlight w:val="none"/>
              </w:rPr>
            </w:pPr>
          </w:p>
        </w:tc>
        <w:tc>
          <w:tcPr>
            <w:tcW w:w="1230" w:type="dxa"/>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运行环境</w:t>
            </w:r>
          </w:p>
        </w:tc>
        <w:tc>
          <w:tcPr>
            <w:tcW w:w="6170" w:type="dxa"/>
            <w:shd w:val="clear" w:color="auto" w:fill="auto"/>
            <w:vAlign w:val="center"/>
          </w:tcPr>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支持Android</w:t>
            </w:r>
            <w:r>
              <w:rPr>
                <w:rFonts w:ascii="宋体" w:hAnsi="宋体" w:cs="宋体"/>
                <w:color w:val="000000"/>
                <w:kern w:val="0"/>
                <w:sz w:val="24"/>
                <w:highlight w:val="none"/>
              </w:rPr>
              <w:t>4.2</w:t>
            </w:r>
            <w:r>
              <w:rPr>
                <w:rFonts w:hint="eastAsia" w:ascii="宋体" w:hAnsi="宋体" w:cs="宋体"/>
                <w:color w:val="000000"/>
                <w:kern w:val="0"/>
                <w:sz w:val="24"/>
                <w:highlight w:val="none"/>
              </w:rPr>
              <w:t>、iOS</w:t>
            </w:r>
            <w:r>
              <w:rPr>
                <w:rFonts w:ascii="宋体" w:hAnsi="宋体" w:cs="宋体"/>
                <w:color w:val="000000"/>
                <w:kern w:val="0"/>
                <w:sz w:val="24"/>
                <w:highlight w:val="none"/>
              </w:rPr>
              <w:t>8</w:t>
            </w:r>
            <w:r>
              <w:rPr>
                <w:rFonts w:hint="eastAsia" w:ascii="宋体" w:hAnsi="宋体" w:cs="宋体"/>
                <w:color w:val="000000"/>
                <w:kern w:val="0"/>
                <w:sz w:val="24"/>
                <w:highlight w:val="none"/>
              </w:rPr>
              <w:t>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1157" w:type="dxa"/>
            <w:vMerge w:val="continue"/>
            <w:shd w:val="clear" w:color="auto" w:fill="auto"/>
            <w:vAlign w:val="center"/>
          </w:tcPr>
          <w:p>
            <w:pPr>
              <w:jc w:val="center"/>
              <w:rPr>
                <w:rFonts w:ascii="宋体" w:hAnsi="宋体" w:cs="宋体"/>
                <w:color w:val="000000"/>
                <w:kern w:val="0"/>
                <w:sz w:val="24"/>
                <w:highlight w:val="none"/>
              </w:rPr>
            </w:pPr>
          </w:p>
        </w:tc>
        <w:tc>
          <w:tcPr>
            <w:tcW w:w="1230" w:type="dxa"/>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主要性能参数</w:t>
            </w:r>
          </w:p>
        </w:tc>
        <w:tc>
          <w:tcPr>
            <w:tcW w:w="6170" w:type="dxa"/>
            <w:shd w:val="clear" w:color="auto" w:fill="auto"/>
            <w:vAlign w:val="center"/>
          </w:tcPr>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最大用户数：3000；最大并发量300；SM2协同签名1000次/秒。</w:t>
            </w:r>
          </w:p>
        </w:tc>
      </w:tr>
    </w:tbl>
    <w:p>
      <w:pPr>
        <w:pStyle w:val="721"/>
        <w:numPr>
          <w:ilvl w:val="0"/>
          <w:numId w:val="154"/>
        </w:numPr>
        <w:spacing w:before="163" w:after="163"/>
        <w:ind w:left="426" w:firstLineChars="0"/>
        <w:rPr>
          <w:b/>
          <w:bCs/>
          <w:szCs w:val="24"/>
          <w:highlight w:val="none"/>
        </w:rPr>
      </w:pPr>
      <w:r>
        <w:rPr>
          <w:rFonts w:hint="eastAsia"/>
          <w:b/>
          <w:bCs/>
          <w:szCs w:val="24"/>
          <w:highlight w:val="none"/>
        </w:rPr>
        <w:t>手写数字签名系统</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7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highlight w:val="none"/>
              </w:rPr>
            </w:pPr>
            <w:r>
              <w:rPr>
                <w:rFonts w:hint="eastAsia" w:ascii="宋体" w:hAnsi="宋体"/>
                <w:b/>
                <w:sz w:val="24"/>
                <w:highlight w:val="none"/>
              </w:rPr>
              <w:t>序号</w:t>
            </w:r>
          </w:p>
        </w:tc>
        <w:tc>
          <w:tcPr>
            <w:tcW w:w="7558" w:type="dxa"/>
            <w:tcBorders>
              <w:top w:val="single" w:color="auto" w:sz="4" w:space="0"/>
              <w:left w:val="single" w:color="auto" w:sz="4" w:space="0"/>
              <w:bottom w:val="single" w:color="auto" w:sz="4" w:space="0"/>
              <w:right w:val="single" w:color="auto" w:sz="4" w:space="0"/>
            </w:tcBorders>
          </w:tcPr>
          <w:p>
            <w:pPr>
              <w:jc w:val="center"/>
              <w:rPr>
                <w:rFonts w:ascii="宋体" w:hAnsi="宋体"/>
                <w:b/>
                <w:sz w:val="24"/>
                <w:highlight w:val="none"/>
              </w:rPr>
            </w:pPr>
            <w:r>
              <w:rPr>
                <w:rFonts w:hint="eastAsia" w:ascii="宋体" w:hAnsi="宋体"/>
                <w:b/>
                <w:sz w:val="24"/>
                <w:highlight w:val="none"/>
              </w:rPr>
              <w:t>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1</w:t>
            </w:r>
          </w:p>
        </w:tc>
        <w:tc>
          <w:tcPr>
            <w:tcW w:w="7558" w:type="dxa"/>
            <w:tcBorders>
              <w:top w:val="single" w:color="auto" w:sz="4" w:space="0"/>
              <w:left w:val="single" w:color="auto" w:sz="4" w:space="0"/>
              <w:bottom w:val="single" w:color="auto" w:sz="4" w:space="0"/>
              <w:right w:val="single" w:color="auto" w:sz="4" w:space="0"/>
            </w:tcBorders>
          </w:tcPr>
          <w:p>
            <w:pPr>
              <w:rPr>
                <w:rFonts w:ascii="宋体" w:hAnsi="宋体"/>
                <w:sz w:val="24"/>
                <w:highlight w:val="none"/>
              </w:rPr>
            </w:pPr>
            <w:r>
              <w:rPr>
                <w:rFonts w:hint="eastAsia" w:ascii="宋体" w:hAnsi="宋体"/>
                <w:sz w:val="24"/>
                <w:highlight w:val="none"/>
              </w:rPr>
              <w:t>申请和获取签名数字证书。根据签名业务及签名人鉴证信息，向电子认证服务机构证书服务平台申请颁发数字证书。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2</w:t>
            </w:r>
          </w:p>
        </w:tc>
        <w:tc>
          <w:tcPr>
            <w:tcW w:w="7558" w:type="dxa"/>
            <w:tcBorders>
              <w:top w:val="single" w:color="auto" w:sz="4" w:space="0"/>
              <w:left w:val="single" w:color="auto" w:sz="4" w:space="0"/>
              <w:bottom w:val="single" w:color="auto" w:sz="4" w:space="0"/>
              <w:right w:val="single" w:color="auto" w:sz="4" w:space="0"/>
            </w:tcBorders>
          </w:tcPr>
          <w:p>
            <w:pPr>
              <w:rPr>
                <w:rFonts w:ascii="宋体" w:hAnsi="宋体"/>
                <w:sz w:val="24"/>
                <w:highlight w:val="none"/>
              </w:rPr>
            </w:pPr>
            <w:r>
              <w:rPr>
                <w:rFonts w:hint="eastAsia" w:ascii="宋体" w:hAnsi="宋体"/>
                <w:sz w:val="24"/>
                <w:highlight w:val="none"/>
              </w:rPr>
              <w:t>通过手写数字签名终端，获取签名人手写签字笔迹，作为数字签名可视化展现效果图示。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3</w:t>
            </w:r>
          </w:p>
        </w:tc>
        <w:tc>
          <w:tcPr>
            <w:tcW w:w="7558" w:type="dxa"/>
            <w:tcBorders>
              <w:top w:val="single" w:color="auto" w:sz="4" w:space="0"/>
              <w:left w:val="single" w:color="auto" w:sz="4" w:space="0"/>
              <w:bottom w:val="single" w:color="auto" w:sz="4" w:space="0"/>
              <w:right w:val="single" w:color="auto" w:sz="4" w:space="0"/>
            </w:tcBorders>
          </w:tcPr>
          <w:p>
            <w:pPr>
              <w:rPr>
                <w:rFonts w:ascii="宋体" w:hAnsi="宋体"/>
                <w:sz w:val="24"/>
                <w:highlight w:val="none"/>
              </w:rPr>
            </w:pPr>
            <w:r>
              <w:rPr>
                <w:rFonts w:hint="eastAsia" w:ascii="宋体" w:hAnsi="宋体"/>
                <w:sz w:val="24"/>
                <w:highlight w:val="none"/>
              </w:rPr>
              <w:t>使用数字签名密码算法，对知情同意书进行密码运算，保护知情同意书的有效性。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ascii="宋体" w:hAnsi="宋体"/>
                <w:sz w:val="24"/>
                <w:highlight w:val="none"/>
              </w:rPr>
              <w:t>4</w:t>
            </w:r>
          </w:p>
        </w:tc>
        <w:tc>
          <w:tcPr>
            <w:tcW w:w="7558" w:type="dxa"/>
            <w:tcBorders>
              <w:top w:val="single" w:color="auto" w:sz="4" w:space="0"/>
              <w:left w:val="single" w:color="auto" w:sz="4" w:space="0"/>
              <w:bottom w:val="single" w:color="auto" w:sz="4" w:space="0"/>
              <w:right w:val="single" w:color="auto" w:sz="4" w:space="0"/>
            </w:tcBorders>
          </w:tcPr>
          <w:p>
            <w:pPr>
              <w:rPr>
                <w:rFonts w:ascii="宋体" w:hAnsi="宋体"/>
                <w:sz w:val="24"/>
                <w:highlight w:val="none"/>
              </w:rPr>
            </w:pPr>
            <w:r>
              <w:rPr>
                <w:rFonts w:hint="eastAsia" w:ascii="宋体" w:hAnsi="宋体"/>
                <w:sz w:val="24"/>
                <w:highlight w:val="none"/>
              </w:rPr>
              <w:t>实现将不同格式的知情同意文书数据转换为PDF版式。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ascii="宋体" w:hAnsi="宋体"/>
                <w:sz w:val="24"/>
                <w:highlight w:val="none"/>
              </w:rPr>
              <w:t>5</w:t>
            </w:r>
          </w:p>
        </w:tc>
        <w:tc>
          <w:tcPr>
            <w:tcW w:w="7558" w:type="dxa"/>
            <w:tcBorders>
              <w:top w:val="single" w:color="auto" w:sz="4" w:space="0"/>
              <w:left w:val="single" w:color="auto" w:sz="4" w:space="0"/>
              <w:bottom w:val="single" w:color="auto" w:sz="4" w:space="0"/>
              <w:right w:val="single" w:color="auto" w:sz="4" w:space="0"/>
            </w:tcBorders>
          </w:tcPr>
          <w:p>
            <w:pPr>
              <w:rPr>
                <w:rFonts w:ascii="宋体" w:hAnsi="宋体"/>
                <w:sz w:val="24"/>
                <w:highlight w:val="none"/>
              </w:rPr>
            </w:pPr>
            <w:r>
              <w:rPr>
                <w:rFonts w:hint="eastAsia" w:ascii="宋体" w:hAnsi="宋体"/>
                <w:sz w:val="24"/>
                <w:highlight w:val="none"/>
              </w:rPr>
              <w:t>提供知情同意书的存储、归档、展现、验证举证服务。支持知情同意书共享、同步到电子病历系统。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highlight w:val="none"/>
              </w:rPr>
            </w:pPr>
            <w:r>
              <w:rPr>
                <w:rFonts w:hint="eastAsia" w:ascii="宋体" w:hAnsi="宋体"/>
                <w:b/>
                <w:sz w:val="24"/>
                <w:highlight w:val="none"/>
              </w:rPr>
              <w:t>序号</w:t>
            </w:r>
          </w:p>
        </w:tc>
        <w:tc>
          <w:tcPr>
            <w:tcW w:w="7558" w:type="dxa"/>
            <w:tcBorders>
              <w:top w:val="single" w:color="auto" w:sz="4" w:space="0"/>
              <w:left w:val="single" w:color="auto" w:sz="4" w:space="0"/>
              <w:bottom w:val="single" w:color="auto" w:sz="4" w:space="0"/>
              <w:right w:val="single" w:color="auto" w:sz="4" w:space="0"/>
            </w:tcBorders>
          </w:tcPr>
          <w:p>
            <w:pPr>
              <w:jc w:val="center"/>
              <w:rPr>
                <w:rFonts w:ascii="宋体" w:hAnsi="宋体"/>
                <w:b/>
                <w:sz w:val="24"/>
                <w:highlight w:val="none"/>
              </w:rPr>
            </w:pPr>
            <w:r>
              <w:rPr>
                <w:rFonts w:hint="eastAsia" w:ascii="宋体" w:hAnsi="宋体"/>
                <w:b/>
                <w:sz w:val="24"/>
                <w:highlight w:val="none"/>
              </w:rPr>
              <w:t>非功能指标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1</w:t>
            </w:r>
          </w:p>
        </w:tc>
        <w:tc>
          <w:tcPr>
            <w:tcW w:w="7558" w:type="dxa"/>
            <w:tcBorders>
              <w:top w:val="single" w:color="auto" w:sz="4" w:space="0"/>
              <w:left w:val="single" w:color="auto" w:sz="4" w:space="0"/>
              <w:bottom w:val="single" w:color="auto" w:sz="4" w:space="0"/>
              <w:right w:val="single" w:color="auto" w:sz="4" w:space="0"/>
            </w:tcBorders>
          </w:tcPr>
          <w:p>
            <w:pPr>
              <w:rPr>
                <w:rFonts w:ascii="宋体" w:hAnsi="宋体"/>
                <w:sz w:val="24"/>
                <w:highlight w:val="none"/>
              </w:rPr>
            </w:pPr>
            <w:r>
              <w:rPr>
                <w:rFonts w:hint="eastAsia" w:ascii="宋体" w:hAnsi="宋体"/>
                <w:sz w:val="24"/>
                <w:highlight w:val="none"/>
              </w:rPr>
              <w:t>支持的应用环境Windows server2000/2003/2008;Linux;Unix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2</w:t>
            </w:r>
          </w:p>
        </w:tc>
        <w:tc>
          <w:tcPr>
            <w:tcW w:w="7558" w:type="dxa"/>
            <w:tcBorders>
              <w:top w:val="single" w:color="auto" w:sz="4" w:space="0"/>
              <w:left w:val="single" w:color="auto" w:sz="4" w:space="0"/>
              <w:bottom w:val="single" w:color="auto" w:sz="4" w:space="0"/>
              <w:right w:val="single" w:color="auto" w:sz="4" w:space="0"/>
            </w:tcBorders>
          </w:tcPr>
          <w:p>
            <w:pPr>
              <w:rPr>
                <w:rFonts w:ascii="宋体" w:hAnsi="宋体"/>
                <w:sz w:val="24"/>
                <w:highlight w:val="none"/>
              </w:rPr>
            </w:pPr>
            <w:r>
              <w:rPr>
                <w:rFonts w:hint="eastAsia" w:ascii="宋体" w:hAnsi="宋体"/>
                <w:sz w:val="24"/>
                <w:highlight w:val="none"/>
              </w:rPr>
              <w:t>提供C、 Java 等主流开发API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3</w:t>
            </w:r>
          </w:p>
        </w:tc>
        <w:tc>
          <w:tcPr>
            <w:tcW w:w="7558" w:type="dxa"/>
            <w:tcBorders>
              <w:top w:val="single" w:color="auto" w:sz="4" w:space="0"/>
              <w:left w:val="single" w:color="auto" w:sz="4" w:space="0"/>
              <w:bottom w:val="single" w:color="auto" w:sz="4" w:space="0"/>
              <w:right w:val="single" w:color="auto" w:sz="4" w:space="0"/>
            </w:tcBorders>
          </w:tcPr>
          <w:p>
            <w:pPr>
              <w:rPr>
                <w:rFonts w:ascii="宋体" w:hAnsi="宋体"/>
                <w:color w:val="FF0000"/>
                <w:sz w:val="24"/>
                <w:highlight w:val="none"/>
              </w:rPr>
            </w:pPr>
            <w:r>
              <w:rPr>
                <w:rFonts w:hint="eastAsia" w:ascii="宋体" w:hAnsi="宋体"/>
                <w:sz w:val="24"/>
                <w:highlight w:val="none"/>
              </w:rPr>
              <w:t>业务处理能力不小于108000笔/小时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4</w:t>
            </w:r>
          </w:p>
        </w:tc>
        <w:tc>
          <w:tcPr>
            <w:tcW w:w="7558" w:type="dxa"/>
            <w:tcBorders>
              <w:top w:val="single" w:color="auto" w:sz="4" w:space="0"/>
              <w:left w:val="single" w:color="auto" w:sz="4" w:space="0"/>
              <w:bottom w:val="single" w:color="auto" w:sz="4" w:space="0"/>
              <w:right w:val="single" w:color="auto" w:sz="4" w:space="0"/>
            </w:tcBorders>
          </w:tcPr>
          <w:p>
            <w:pPr>
              <w:rPr>
                <w:rFonts w:ascii="宋体" w:hAnsi="宋体"/>
                <w:sz w:val="24"/>
                <w:highlight w:val="none"/>
              </w:rPr>
            </w:pPr>
            <w:r>
              <w:rPr>
                <w:rFonts w:hint="eastAsia" w:ascii="宋体" w:hAnsi="宋体"/>
                <w:sz w:val="24"/>
                <w:highlight w:val="none"/>
              </w:rPr>
              <w:t>适用环境：千兆环境，并发用户多</w:t>
            </w:r>
          </w:p>
        </w:tc>
      </w:tr>
    </w:tbl>
    <w:p>
      <w:pPr>
        <w:pStyle w:val="721"/>
        <w:numPr>
          <w:ilvl w:val="0"/>
          <w:numId w:val="154"/>
        </w:numPr>
        <w:spacing w:before="163" w:after="163"/>
        <w:ind w:left="426" w:firstLineChars="0"/>
        <w:rPr>
          <w:b/>
          <w:bCs/>
          <w:szCs w:val="24"/>
          <w:highlight w:val="none"/>
        </w:rPr>
      </w:pPr>
      <w:r>
        <w:rPr>
          <w:rFonts w:hint="eastAsia"/>
          <w:b/>
          <w:bCs/>
          <w:szCs w:val="24"/>
          <w:highlight w:val="none"/>
        </w:rPr>
        <w:t>PDF签章服务</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highlight w:val="none"/>
              </w:rPr>
            </w:pPr>
            <w:r>
              <w:rPr>
                <w:rFonts w:hint="eastAsia" w:ascii="宋体" w:hAnsi="宋体"/>
                <w:b/>
                <w:sz w:val="24"/>
                <w:highlight w:val="none"/>
              </w:rPr>
              <w:t>序号</w:t>
            </w:r>
          </w:p>
        </w:tc>
        <w:tc>
          <w:tcPr>
            <w:tcW w:w="7545" w:type="dxa"/>
            <w:tcBorders>
              <w:top w:val="single" w:color="auto" w:sz="4" w:space="0"/>
              <w:left w:val="single" w:color="auto" w:sz="4" w:space="0"/>
              <w:bottom w:val="single" w:color="auto" w:sz="4" w:space="0"/>
              <w:right w:val="single" w:color="auto" w:sz="4" w:space="0"/>
            </w:tcBorders>
          </w:tcPr>
          <w:p>
            <w:pPr>
              <w:jc w:val="center"/>
              <w:rPr>
                <w:rFonts w:ascii="宋体" w:hAnsi="宋体"/>
                <w:b/>
                <w:sz w:val="24"/>
                <w:highlight w:val="none"/>
              </w:rPr>
            </w:pPr>
            <w:r>
              <w:rPr>
                <w:rFonts w:hint="eastAsia" w:ascii="宋体" w:hAnsi="宋体"/>
                <w:b/>
                <w:sz w:val="24"/>
                <w:highlight w:val="none"/>
              </w:rPr>
              <w:t>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1</w:t>
            </w:r>
          </w:p>
        </w:tc>
        <w:tc>
          <w:tcPr>
            <w:tcW w:w="7545" w:type="dxa"/>
            <w:tcBorders>
              <w:top w:val="single" w:color="auto" w:sz="4" w:space="0"/>
              <w:left w:val="single" w:color="auto" w:sz="4" w:space="0"/>
              <w:bottom w:val="single" w:color="auto" w:sz="4" w:space="0"/>
              <w:right w:val="single" w:color="auto" w:sz="4" w:space="0"/>
            </w:tcBorders>
          </w:tcPr>
          <w:p>
            <w:pPr>
              <w:jc w:val="left"/>
              <w:rPr>
                <w:rFonts w:ascii="宋体" w:hAnsi="宋体"/>
                <w:sz w:val="24"/>
                <w:highlight w:val="none"/>
              </w:rPr>
            </w:pPr>
            <w:r>
              <w:rPr>
                <w:rFonts w:hint="eastAsia" w:ascii="宋体" w:hAnsi="宋体"/>
                <w:sz w:val="24"/>
                <w:highlight w:val="none"/>
              </w:rPr>
              <w:t>对PDF格式的文档进行电子签章，并且在电子文档上显示签章图片；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2</w:t>
            </w:r>
          </w:p>
        </w:tc>
        <w:tc>
          <w:tcPr>
            <w:tcW w:w="7545" w:type="dxa"/>
            <w:tcBorders>
              <w:top w:val="single" w:color="auto" w:sz="4" w:space="0"/>
              <w:left w:val="single" w:color="auto" w:sz="4" w:space="0"/>
              <w:bottom w:val="single" w:color="auto" w:sz="4" w:space="0"/>
              <w:right w:val="single" w:color="auto" w:sz="4" w:space="0"/>
            </w:tcBorders>
          </w:tcPr>
          <w:p>
            <w:pPr>
              <w:jc w:val="left"/>
              <w:rPr>
                <w:rFonts w:ascii="宋体" w:hAnsi="宋体"/>
                <w:sz w:val="24"/>
                <w:highlight w:val="none"/>
              </w:rPr>
            </w:pPr>
            <w:r>
              <w:rPr>
                <w:rFonts w:hint="eastAsia" w:ascii="宋体" w:hAnsi="宋体"/>
                <w:sz w:val="24"/>
                <w:highlight w:val="none"/>
              </w:rPr>
              <w:t>管理签章应用的服务器证书、签章图片、签章展现属性、签章定位、透明度等；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3</w:t>
            </w:r>
          </w:p>
        </w:tc>
        <w:tc>
          <w:tcPr>
            <w:tcW w:w="7545" w:type="dxa"/>
            <w:tcBorders>
              <w:top w:val="single" w:color="auto" w:sz="4" w:space="0"/>
              <w:left w:val="single" w:color="auto" w:sz="4" w:space="0"/>
              <w:bottom w:val="single" w:color="auto" w:sz="4" w:space="0"/>
              <w:right w:val="single" w:color="auto" w:sz="4" w:space="0"/>
            </w:tcBorders>
          </w:tcPr>
          <w:p>
            <w:pPr>
              <w:jc w:val="left"/>
              <w:rPr>
                <w:rFonts w:ascii="宋体" w:hAnsi="宋体"/>
                <w:sz w:val="24"/>
                <w:highlight w:val="none"/>
              </w:rPr>
            </w:pPr>
            <w:r>
              <w:rPr>
                <w:rFonts w:hint="eastAsia" w:ascii="宋体" w:hAnsi="宋体"/>
                <w:sz w:val="24"/>
                <w:highlight w:val="none"/>
              </w:rPr>
              <w:t>对签章业务进行统计与分析，并对系统管理和维护进行日志记录和审计；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4</w:t>
            </w:r>
          </w:p>
        </w:tc>
        <w:tc>
          <w:tcPr>
            <w:tcW w:w="7545" w:type="dxa"/>
            <w:tcBorders>
              <w:top w:val="single" w:color="auto" w:sz="4" w:space="0"/>
              <w:left w:val="single" w:color="auto" w:sz="4" w:space="0"/>
              <w:bottom w:val="single" w:color="auto" w:sz="4" w:space="0"/>
              <w:right w:val="single" w:color="auto" w:sz="4" w:space="0"/>
            </w:tcBorders>
          </w:tcPr>
          <w:p>
            <w:pPr>
              <w:jc w:val="left"/>
              <w:rPr>
                <w:rFonts w:ascii="宋体" w:hAnsi="宋体"/>
                <w:sz w:val="24"/>
                <w:highlight w:val="none"/>
              </w:rPr>
            </w:pPr>
            <w:r>
              <w:rPr>
                <w:rFonts w:hint="eastAsia" w:ascii="宋体" w:hAnsi="宋体"/>
                <w:sz w:val="24"/>
                <w:highlight w:val="none"/>
              </w:rPr>
              <w:t>打开签章后的PDF文档时，自动对文档签章进行验证；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5</w:t>
            </w:r>
          </w:p>
        </w:tc>
        <w:tc>
          <w:tcPr>
            <w:tcW w:w="7545" w:type="dxa"/>
            <w:tcBorders>
              <w:top w:val="single" w:color="auto" w:sz="4" w:space="0"/>
              <w:left w:val="single" w:color="auto" w:sz="4" w:space="0"/>
              <w:bottom w:val="single" w:color="auto" w:sz="4" w:space="0"/>
              <w:right w:val="single" w:color="auto" w:sz="4" w:space="0"/>
            </w:tcBorders>
          </w:tcPr>
          <w:p>
            <w:pPr>
              <w:jc w:val="left"/>
              <w:rPr>
                <w:rFonts w:ascii="宋体" w:hAnsi="宋体"/>
                <w:sz w:val="24"/>
                <w:highlight w:val="none"/>
              </w:rPr>
            </w:pPr>
            <w:r>
              <w:rPr>
                <w:rFonts w:hint="eastAsia" w:ascii="宋体" w:hAnsi="宋体"/>
                <w:sz w:val="24"/>
                <w:highlight w:val="none"/>
              </w:rPr>
              <w:t>对签章后的PDF文档中的指定签章进行验证。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highlight w:val="none"/>
              </w:rPr>
            </w:pPr>
            <w:r>
              <w:rPr>
                <w:rFonts w:hint="eastAsia" w:ascii="宋体" w:hAnsi="宋体"/>
                <w:b/>
                <w:sz w:val="24"/>
                <w:highlight w:val="none"/>
              </w:rPr>
              <w:t>序号</w:t>
            </w:r>
          </w:p>
        </w:tc>
        <w:tc>
          <w:tcPr>
            <w:tcW w:w="7545" w:type="dxa"/>
            <w:tcBorders>
              <w:top w:val="single" w:color="auto" w:sz="4" w:space="0"/>
              <w:left w:val="single" w:color="auto" w:sz="4" w:space="0"/>
              <w:bottom w:val="single" w:color="auto" w:sz="4" w:space="0"/>
              <w:right w:val="single" w:color="auto" w:sz="4" w:space="0"/>
            </w:tcBorders>
          </w:tcPr>
          <w:p>
            <w:pPr>
              <w:jc w:val="center"/>
              <w:rPr>
                <w:rFonts w:ascii="宋体" w:hAnsi="宋体"/>
                <w:b/>
                <w:sz w:val="24"/>
                <w:highlight w:val="none"/>
              </w:rPr>
            </w:pPr>
            <w:r>
              <w:rPr>
                <w:rFonts w:hint="eastAsia" w:ascii="宋体" w:hAnsi="宋体"/>
                <w:b/>
                <w:sz w:val="24"/>
                <w:highlight w:val="none"/>
              </w:rPr>
              <w:t>非功能指标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1</w:t>
            </w:r>
          </w:p>
        </w:tc>
        <w:tc>
          <w:tcPr>
            <w:tcW w:w="7545" w:type="dxa"/>
            <w:tcBorders>
              <w:top w:val="single" w:color="auto" w:sz="4" w:space="0"/>
              <w:left w:val="single" w:color="auto" w:sz="4" w:space="0"/>
              <w:bottom w:val="single" w:color="auto" w:sz="4" w:space="0"/>
              <w:right w:val="single" w:color="auto" w:sz="4" w:space="0"/>
            </w:tcBorders>
          </w:tcPr>
          <w:p>
            <w:pPr>
              <w:rPr>
                <w:rFonts w:ascii="宋体" w:hAnsi="宋体"/>
                <w:sz w:val="24"/>
                <w:highlight w:val="none"/>
              </w:rPr>
            </w:pPr>
            <w:r>
              <w:rPr>
                <w:rFonts w:hint="eastAsia" w:ascii="宋体" w:hAnsi="宋体"/>
                <w:sz w:val="24"/>
                <w:highlight w:val="none"/>
              </w:rPr>
              <w:t>支持的应用环境Windows同；Linux；AIX；Solaris；Unix；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2</w:t>
            </w:r>
          </w:p>
        </w:tc>
        <w:tc>
          <w:tcPr>
            <w:tcW w:w="7545" w:type="dxa"/>
            <w:tcBorders>
              <w:top w:val="single" w:color="auto" w:sz="4" w:space="0"/>
              <w:left w:val="single" w:color="auto" w:sz="4" w:space="0"/>
              <w:bottom w:val="single" w:color="auto" w:sz="4" w:space="0"/>
              <w:right w:val="single" w:color="auto" w:sz="4" w:space="0"/>
            </w:tcBorders>
          </w:tcPr>
          <w:p>
            <w:pPr>
              <w:rPr>
                <w:rFonts w:ascii="宋体" w:hAnsi="宋体"/>
                <w:sz w:val="24"/>
                <w:highlight w:val="none"/>
              </w:rPr>
            </w:pPr>
            <w:r>
              <w:rPr>
                <w:rFonts w:hint="eastAsia" w:ascii="宋体" w:hAnsi="宋体"/>
                <w:sz w:val="24"/>
                <w:highlight w:val="none"/>
              </w:rPr>
              <w:t>提供C、Java 等主流开发API；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3</w:t>
            </w:r>
          </w:p>
        </w:tc>
        <w:tc>
          <w:tcPr>
            <w:tcW w:w="7545" w:type="dxa"/>
            <w:tcBorders>
              <w:top w:val="single" w:color="auto" w:sz="4" w:space="0"/>
              <w:left w:val="single" w:color="auto" w:sz="4" w:space="0"/>
              <w:bottom w:val="single" w:color="auto" w:sz="4" w:space="0"/>
              <w:right w:val="single" w:color="auto" w:sz="4" w:space="0"/>
            </w:tcBorders>
          </w:tcPr>
          <w:p>
            <w:pPr>
              <w:rPr>
                <w:rFonts w:ascii="宋体" w:hAnsi="宋体"/>
                <w:sz w:val="24"/>
                <w:highlight w:val="none"/>
              </w:rPr>
            </w:pPr>
            <w:r>
              <w:rPr>
                <w:rFonts w:hint="eastAsia" w:ascii="宋体" w:hAnsi="宋体"/>
                <w:sz w:val="24"/>
                <w:highlight w:val="none"/>
              </w:rPr>
              <w:t>业务处理能力不小于</w:t>
            </w:r>
            <w:r>
              <w:rPr>
                <w:rFonts w:ascii="宋体" w:hAnsi="宋体"/>
                <w:sz w:val="24"/>
                <w:highlight w:val="none"/>
              </w:rPr>
              <w:t>10</w:t>
            </w:r>
            <w:r>
              <w:rPr>
                <w:rFonts w:hint="eastAsia" w:ascii="宋体" w:hAnsi="宋体"/>
                <w:sz w:val="24"/>
                <w:highlight w:val="none"/>
              </w:rPr>
              <w:t>0个/秒；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4</w:t>
            </w:r>
          </w:p>
        </w:tc>
        <w:tc>
          <w:tcPr>
            <w:tcW w:w="7545" w:type="dxa"/>
            <w:tcBorders>
              <w:top w:val="single" w:color="auto" w:sz="4" w:space="0"/>
              <w:left w:val="single" w:color="auto" w:sz="4" w:space="0"/>
              <w:bottom w:val="single" w:color="auto" w:sz="4" w:space="0"/>
              <w:right w:val="single" w:color="auto" w:sz="4" w:space="0"/>
            </w:tcBorders>
          </w:tcPr>
          <w:p>
            <w:pPr>
              <w:rPr>
                <w:rFonts w:ascii="宋体" w:hAnsi="宋体"/>
                <w:sz w:val="24"/>
                <w:highlight w:val="none"/>
              </w:rPr>
            </w:pPr>
            <w:r>
              <w:rPr>
                <w:rFonts w:hint="eastAsia" w:ascii="宋体" w:hAnsi="宋体"/>
                <w:sz w:val="24"/>
                <w:highlight w:val="none"/>
              </w:rPr>
              <w:t>适用环境：千兆环境，并发用户多。</w:t>
            </w:r>
          </w:p>
        </w:tc>
      </w:tr>
    </w:tbl>
    <w:p>
      <w:pPr>
        <w:pStyle w:val="6"/>
        <w:ind w:firstLine="281"/>
        <w:rPr>
          <w:highlight w:val="none"/>
        </w:rPr>
      </w:pPr>
      <w:r>
        <w:rPr>
          <w:rFonts w:hint="eastAsia"/>
          <w:highlight w:val="none"/>
        </w:rPr>
        <w:t>临床辅助诊断CDSS系统</w:t>
      </w:r>
    </w:p>
    <w:p>
      <w:pPr>
        <w:pStyle w:val="721"/>
        <w:spacing w:before="163" w:after="163"/>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临床决策支持系统(CDSS)基于权威医学知识库，无缝嵌入医院信息生态，智能分析患者完整数据，为临床诊疗提供符合循证医学证据的决策支持，在门急诊、住院环节实时辅助医护人员优化诊疗方案。</w:t>
      </w:r>
    </w:p>
    <w:p>
      <w:pPr>
        <w:pStyle w:val="721"/>
        <w:ind w:firstLine="0" w:firstLineChars="0"/>
        <w:rPr>
          <w:b/>
          <w:bCs/>
          <w:szCs w:val="24"/>
          <w:highlight w:val="none"/>
        </w:rPr>
      </w:pPr>
      <w:r>
        <w:rPr>
          <w:rFonts w:hint="eastAsia"/>
          <w:b/>
          <w:bCs/>
          <w:szCs w:val="24"/>
          <w:highlight w:val="none"/>
        </w:rPr>
        <w:t>功能要求：</w:t>
      </w:r>
    </w:p>
    <w:p>
      <w:pPr>
        <w:pStyle w:val="721"/>
        <w:numPr>
          <w:ilvl w:val="0"/>
          <w:numId w:val="155"/>
        </w:numPr>
        <w:spacing w:before="163" w:after="163"/>
        <w:ind w:left="851" w:firstLineChars="0"/>
        <w:rPr>
          <w:rFonts w:asciiTheme="minorEastAsia" w:hAnsiTheme="minorEastAsia" w:eastAsiaTheme="minorEastAsia"/>
          <w:b/>
          <w:bCs/>
          <w:szCs w:val="24"/>
          <w:highlight w:val="none"/>
        </w:rPr>
      </w:pPr>
      <w:r>
        <w:rPr>
          <w:rFonts w:hint="eastAsia" w:asciiTheme="minorEastAsia" w:hAnsiTheme="minorEastAsia" w:eastAsiaTheme="minorEastAsia"/>
          <w:b/>
          <w:bCs/>
          <w:szCs w:val="24"/>
          <w:highlight w:val="none"/>
        </w:rPr>
        <w:t>知识库</w:t>
      </w:r>
    </w:p>
    <w:p>
      <w:pPr>
        <w:pStyle w:val="721"/>
        <w:numPr>
          <w:ilvl w:val="0"/>
          <w:numId w:val="156"/>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知识库检索</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支持通过多种方式（关键字、标题首字母）检索知识库内容，涉及疾病知识、检验检查知识、评估表、药品说明书等知识内容。</w:t>
      </w:r>
    </w:p>
    <w:p>
      <w:pPr>
        <w:pStyle w:val="721"/>
        <w:numPr>
          <w:ilvl w:val="0"/>
          <w:numId w:val="156"/>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疾病详情</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疾病知识库能够提供疾病的详细知识内容，应包含疾病定义、病因、病理、临床表现、检查、并发症、诊断、鉴别诊断、治疗、预防的详细知识库内容，为医生的继续学习提供了丰富的素材。</w:t>
      </w:r>
    </w:p>
    <w:p>
      <w:pPr>
        <w:pStyle w:val="721"/>
        <w:numPr>
          <w:ilvl w:val="0"/>
          <w:numId w:val="156"/>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处置建议</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知识库能够提供疾病的处置建议，其中内容应包含：治疗原则、非药物治疗、合并症治疗的三项内容。</w:t>
      </w:r>
    </w:p>
    <w:p>
      <w:pPr>
        <w:pStyle w:val="721"/>
        <w:numPr>
          <w:ilvl w:val="0"/>
          <w:numId w:val="156"/>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用药建议</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知识库能够提供疾病的用药建议，应包含疾病分型以及不同分型详细的药物治疗建议。</w:t>
      </w:r>
    </w:p>
    <w:p>
      <w:pPr>
        <w:pStyle w:val="721"/>
        <w:numPr>
          <w:ilvl w:val="0"/>
          <w:numId w:val="156"/>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检查建议</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知识库能够提供疾病的检查建议，应包含疾病相关的实验室检查、影像学检查、病原学检查的详细知识内容。</w:t>
      </w:r>
    </w:p>
    <w:p>
      <w:pPr>
        <w:pStyle w:val="721"/>
        <w:numPr>
          <w:ilvl w:val="0"/>
          <w:numId w:val="156"/>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患者指导</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知识库能够提供疾病相关的患者出院指导说明。</w:t>
      </w:r>
    </w:p>
    <w:p>
      <w:pPr>
        <w:pStyle w:val="721"/>
        <w:numPr>
          <w:ilvl w:val="0"/>
          <w:numId w:val="156"/>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检验/检查</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知识库能够提供检验/检查项目说明。检验项目说明涵盖检验项目定义、合理参考范围和临床意义等内容；检查项目说明涵盖检查项目定义、检查适用范围以及影像学结果说明等内容。</w:t>
      </w:r>
    </w:p>
    <w:p>
      <w:pPr>
        <w:pStyle w:val="721"/>
        <w:numPr>
          <w:ilvl w:val="0"/>
          <w:numId w:val="156"/>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药品说明书</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知识库能够提供药品说明书。</w:t>
      </w:r>
    </w:p>
    <w:p>
      <w:pPr>
        <w:pStyle w:val="721"/>
        <w:numPr>
          <w:ilvl w:val="0"/>
          <w:numId w:val="156"/>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评估表</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知识库能够提供临床常见评估表。</w:t>
      </w:r>
    </w:p>
    <w:p>
      <w:pPr>
        <w:pStyle w:val="721"/>
        <w:numPr>
          <w:ilvl w:val="0"/>
          <w:numId w:val="155"/>
        </w:numPr>
        <w:spacing w:before="163" w:after="163"/>
        <w:ind w:left="851" w:firstLineChars="0"/>
        <w:rPr>
          <w:rFonts w:asciiTheme="minorEastAsia" w:hAnsiTheme="minorEastAsia" w:eastAsiaTheme="minorEastAsia"/>
          <w:b/>
          <w:bCs/>
          <w:szCs w:val="24"/>
          <w:highlight w:val="none"/>
        </w:rPr>
      </w:pPr>
      <w:r>
        <w:rPr>
          <w:rFonts w:hint="eastAsia" w:asciiTheme="minorEastAsia" w:hAnsiTheme="minorEastAsia" w:eastAsiaTheme="minorEastAsia"/>
          <w:b/>
          <w:bCs/>
          <w:szCs w:val="24"/>
          <w:highlight w:val="none"/>
        </w:rPr>
        <w:t>医院自建知识库</w:t>
      </w:r>
    </w:p>
    <w:p>
      <w:pPr>
        <w:pStyle w:val="721"/>
        <w:numPr>
          <w:ilvl w:val="0"/>
          <w:numId w:val="158"/>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知识应用</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支持医院自行维护知识，维护的知识内容可以与院内知识库相结合，并可以直接在提供给医院的产品中立即生效应用。</w:t>
      </w:r>
    </w:p>
    <w:p>
      <w:pPr>
        <w:pStyle w:val="721"/>
        <w:numPr>
          <w:ilvl w:val="0"/>
          <w:numId w:val="158"/>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字典对照</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支持医院字典与系统知识库字典进行对应，至少应包含：药品、检验检查、手术、诊断、药品频率、护理医嘱字典。支持区分医院门诊／急诊、住院字典分别对照。</w:t>
      </w:r>
    </w:p>
    <w:p>
      <w:pPr>
        <w:pStyle w:val="721"/>
        <w:numPr>
          <w:ilvl w:val="0"/>
          <w:numId w:val="158"/>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知识维护</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支持医院自行知识维护，至少应包含：文献、疾病详情、患者指导、处置建议、用药建议、检查建议、药品说明书、出院指导、检验检查说明等内容的自行维护。</w:t>
      </w:r>
    </w:p>
    <w:p>
      <w:pPr>
        <w:pStyle w:val="721"/>
        <w:numPr>
          <w:ilvl w:val="0"/>
          <w:numId w:val="158"/>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检验合理性规则</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支持医院根据医院（门/急诊、住院）检验字典，维护与患者症状、临床表现、诊断、检查/检验结果、手术、性别、年龄等情况相关的检验合理性规则。</w:t>
      </w:r>
    </w:p>
    <w:p>
      <w:pPr>
        <w:pStyle w:val="721"/>
        <w:numPr>
          <w:ilvl w:val="0"/>
          <w:numId w:val="158"/>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检查合理性规则</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支持医院根据医院（门/急诊、住院）检查字典，维护与患者症状、临床表现、诊断、检查/检验结果、手术、性别、年龄相关的检查合理性规则。</w:t>
      </w:r>
    </w:p>
    <w:p>
      <w:pPr>
        <w:pStyle w:val="721"/>
        <w:numPr>
          <w:ilvl w:val="0"/>
          <w:numId w:val="158"/>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手术合理性规则</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支持医院根据医院手术字典，维护与患者症状、临床表现、诊断、检查/检验结果、手术、性别、年龄相关的手术合理性规则。</w:t>
      </w:r>
    </w:p>
    <w:p>
      <w:pPr>
        <w:pStyle w:val="721"/>
        <w:numPr>
          <w:ilvl w:val="0"/>
          <w:numId w:val="155"/>
        </w:numPr>
        <w:spacing w:before="163" w:after="163"/>
        <w:ind w:left="851" w:firstLineChars="0"/>
        <w:rPr>
          <w:rFonts w:asciiTheme="minorEastAsia" w:hAnsiTheme="minorEastAsia" w:eastAsiaTheme="minorEastAsia"/>
          <w:b/>
          <w:bCs/>
          <w:szCs w:val="24"/>
          <w:highlight w:val="none"/>
        </w:rPr>
      </w:pPr>
      <w:r>
        <w:rPr>
          <w:rFonts w:hint="eastAsia" w:asciiTheme="minorEastAsia" w:hAnsiTheme="minorEastAsia" w:eastAsiaTheme="minorEastAsia"/>
          <w:b/>
          <w:bCs/>
          <w:szCs w:val="24"/>
          <w:highlight w:val="none"/>
        </w:rPr>
        <w:t>病房医生辅助系统</w:t>
      </w:r>
    </w:p>
    <w:p>
      <w:pPr>
        <w:pStyle w:val="721"/>
        <w:numPr>
          <w:ilvl w:val="0"/>
          <w:numId w:val="159"/>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鉴别诊断</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支持结合患者的临床表现（主诉），智能判断患者疑似疾病，实时引导医生全面考虑患者病情，避免漏诊、误诊。</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支持医生根据系统推荐的鉴别诊断，直接查阅诊断相关的疾病详情以及与之相关的文献、指南。</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支持科室，至少包括：普内科（消化内科、呼吸内科、心内科等等）、普外科（心血管外科、神经外科等等）、骨科、妇科、儿科。</w:t>
      </w:r>
    </w:p>
    <w:p>
      <w:pPr>
        <w:pStyle w:val="721"/>
        <w:numPr>
          <w:ilvl w:val="0"/>
          <w:numId w:val="159"/>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检查分析</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结合患者当次诊断、主诉、病史等病情情况，对患者的检查报告结果进行解读，判断检查结果支持的诊断建议、排除的诊断、以及更详细的诊断分型，严重程度分级以及后续的治疗措施等。</w:t>
      </w:r>
    </w:p>
    <w:p>
      <w:pPr>
        <w:pStyle w:val="721"/>
        <w:numPr>
          <w:ilvl w:val="0"/>
          <w:numId w:val="159"/>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检验分析</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根据患者的检验结果，系统应支持自动判断检验值是否异常及提醒，并进行检验结果解读。提示检验结果解读时，提示结果原因，帮助医生快速判断校验。</w:t>
      </w:r>
    </w:p>
    <w:p>
      <w:pPr>
        <w:pStyle w:val="721"/>
        <w:numPr>
          <w:ilvl w:val="0"/>
          <w:numId w:val="159"/>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推荐评估表</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根据患者当前病情，系统可实时为医生推荐该患者需要进行评估的评估表。</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根据患者评分情况进行程度分析，自动计算分值，并评估患者当前情况。</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医生进行评估时，可以根据患者生命体征、检验结果项目自动完成对应评估项目的评估。</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支持在线完成评估，可将评分结果及分析自动写回患者电子病历中。</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医生可以根据病人病情需要，主动搜索相应评估表，并在完成评估时将评估结果写回电子病历中。</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支持查阅患者所有在线评估的评估表历史。</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支持评估完成的评估表进行在线打印。</w:t>
      </w:r>
    </w:p>
    <w:p>
      <w:pPr>
        <w:pStyle w:val="721"/>
        <w:numPr>
          <w:ilvl w:val="0"/>
          <w:numId w:val="159"/>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推荐治疗方案</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推荐治疗方案，根据患者当次诊断，结合现病史、既往史、用药史、检验结果、检查结果等情况，为医生智能推荐符合临床路径要求的治疗方案及对应的用药方案。</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治疗方案推荐，根据最新指南推荐，能够推荐多套治疗方案建议及用药治疗建议。</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检查/检验方案推荐，根据最新指南推荐，帮助医生推荐适宜的多套检查/检验方案，供医生选择。</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检查项写回，根据医院现有的电子病历、HIS系统支持回写的功能，医生根据需要及实际情况选择合适的检查项，智能写回到患者电子病历中。</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支持科室，至少包括：普内科（消化内科、呼吸内科、心内科等等）、普外科（心血管外科、神经外科等等）、骨科、妇科、儿科。</w:t>
      </w:r>
    </w:p>
    <w:p>
      <w:pPr>
        <w:pStyle w:val="721"/>
        <w:numPr>
          <w:ilvl w:val="0"/>
          <w:numId w:val="159"/>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临床预警-危急值</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根据患者的检验结果，在医生开具检验医嘱时，自动审核检验值是否落在危急值高值/阳性或低值的范围内，对大于危急值高值或低于危急值低值的检验细项主动进行提示。</w:t>
      </w:r>
    </w:p>
    <w:p>
      <w:pPr>
        <w:pStyle w:val="721"/>
        <w:numPr>
          <w:ilvl w:val="0"/>
          <w:numId w:val="159"/>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临床预警-检查/检验合理性</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根据患者的症状、临床表现、诊断、检查/检验结果等情况，在医生开具检查/检验医嘱时，自动审核合理性，对禁忌项目主动进行提示。</w:t>
      </w:r>
    </w:p>
    <w:p>
      <w:pPr>
        <w:pStyle w:val="721"/>
        <w:numPr>
          <w:ilvl w:val="0"/>
          <w:numId w:val="159"/>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检查/检验重复性审核</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支持对重复开具的检验／检查项目可以进行审核提示。</w:t>
      </w:r>
    </w:p>
    <w:p>
      <w:pPr>
        <w:pStyle w:val="721"/>
        <w:numPr>
          <w:ilvl w:val="0"/>
          <w:numId w:val="159"/>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临床预警-诊断合理性</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支持根据患者情况（性别、年龄）审查诊断是否合理，并继续实时提示。</w:t>
      </w:r>
    </w:p>
    <w:p>
      <w:pPr>
        <w:pStyle w:val="721"/>
        <w:numPr>
          <w:ilvl w:val="0"/>
          <w:numId w:val="159"/>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临床预警-手术/操作合理性</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根据患者的症状、临床表现、诊断、检查/检验结果等情况，在医生开具手术医嘱/手术申请单时，自动审核合理性，对禁忌项目主动进行提示。</w:t>
      </w:r>
    </w:p>
    <w:p>
      <w:pPr>
        <w:pStyle w:val="721"/>
        <w:numPr>
          <w:ilvl w:val="0"/>
          <w:numId w:val="159"/>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手术并发症</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结合患者手术类型、手术时间及术后患者的临床表现，检查/检验结果，对术后有可能引起并发症的相关内容进行预警提示，避免医生遗漏。</w:t>
      </w:r>
    </w:p>
    <w:p>
      <w:pPr>
        <w:pStyle w:val="721"/>
        <w:numPr>
          <w:ilvl w:val="0"/>
          <w:numId w:val="155"/>
        </w:numPr>
        <w:spacing w:before="163" w:after="163"/>
        <w:ind w:left="851" w:firstLineChars="0"/>
        <w:rPr>
          <w:rFonts w:asciiTheme="minorEastAsia" w:hAnsiTheme="minorEastAsia" w:eastAsiaTheme="minorEastAsia"/>
          <w:b/>
          <w:bCs/>
          <w:szCs w:val="24"/>
          <w:highlight w:val="none"/>
        </w:rPr>
      </w:pPr>
      <w:r>
        <w:rPr>
          <w:rFonts w:hint="eastAsia" w:asciiTheme="minorEastAsia" w:hAnsiTheme="minorEastAsia" w:eastAsiaTheme="minorEastAsia"/>
          <w:b/>
          <w:bCs/>
          <w:szCs w:val="24"/>
          <w:highlight w:val="none"/>
        </w:rPr>
        <w:t>门诊医生辅助系统</w:t>
      </w:r>
    </w:p>
    <w:p>
      <w:pPr>
        <w:pStyle w:val="721"/>
        <w:numPr>
          <w:ilvl w:val="0"/>
          <w:numId w:val="160"/>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鉴别诊断</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支持结合患者的临床表现（主诉），智能判断患者疑似疾病，实时引导医生全面考虑患者病情，避免漏诊、误诊。</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支持医生根据系统推荐的鉴别诊断，直接查阅诊断相关的疾病详情介绍以及文献、指南。</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系统应支持危重疾病疑似诊断，根据医生录入患者的病历信息，系统进行智能判断后，智能推荐患者存在的疑似危重疾病和疑似诊断详情，帮助医生进行鉴别诊断疾病，支持医生在诊疗过程参考疾病信息，快速确诊疾病。当主诉更改后，系统应智能识别主诉信息，并自动进行重新识别推荐。</w:t>
      </w:r>
    </w:p>
    <w:p>
      <w:pPr>
        <w:pStyle w:val="721"/>
        <w:numPr>
          <w:ilvl w:val="0"/>
          <w:numId w:val="160"/>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评估表工具</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根据患者当前病情，系统实时为医生推荐该患者需要进行评估的评估表。</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根据患者评分情况进行程度分析，自动计算分值，并评估患者当前情况。</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医生进行评估时，可以根据患者生命体征、检验结果项目自动完成对应评估项目的评估。</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支持在线完成评估，可将评分结果及分析自动写回患者电子病历中。</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医生可以根据病人病情需要，主动搜索相应评估表，并在完成评估时将评估结果写回电子病历中。</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支持查阅患者所有在线评估的评估表历史。</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支持评估完成的评估表进行在线打印。</w:t>
      </w:r>
    </w:p>
    <w:p>
      <w:pPr>
        <w:pStyle w:val="721"/>
        <w:numPr>
          <w:ilvl w:val="0"/>
          <w:numId w:val="160"/>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推荐治疗方案</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推荐治疗方案，根据患者当次诊断，结合现病史、既往史、用药史、检验结果、检查结果等情况，为医生智能推荐符合临床路径要求的治疗方案及对应的用药方案。</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治疗方案推荐，根据最新指南推荐，能够推荐多套治疗方案建议及用药治疗建议，并能够结合患者情况区分推荐级别。</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检查/检验方案推荐，根据最新指南推荐，帮助医生推荐适宜的多套检查/检验方案，供医生选择。</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检查项写回，根据医院现有的电子病历、HIS系统支持回写的功能，医生根据需要及实际情况选择合适的检查项，智能写回到患者电子病历中。</w:t>
      </w:r>
    </w:p>
    <w:p>
      <w:pPr>
        <w:pStyle w:val="721"/>
        <w:numPr>
          <w:ilvl w:val="0"/>
          <w:numId w:val="160"/>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检查合理性</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根据患者的症状、临床表现、诊断、检查结果等 情况，在医生开具检查医嘱时，自动审核合理性，对禁忌和相对禁忌的项目主动进行提示。</w:t>
      </w:r>
    </w:p>
    <w:p>
      <w:pPr>
        <w:pStyle w:val="721"/>
        <w:numPr>
          <w:ilvl w:val="0"/>
          <w:numId w:val="160"/>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检验合理性</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根据患者的症状、临床表现、诊断、检验结果等情况，在医生开具检验医嘱时，自动审核合理性，对禁忌和相对禁忌的项目主动进行提示。</w:t>
      </w:r>
    </w:p>
    <w:p>
      <w:pPr>
        <w:pStyle w:val="721"/>
        <w:numPr>
          <w:ilvl w:val="0"/>
          <w:numId w:val="160"/>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辅助问诊</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问诊推荐：根据患者的症状、临床表现为医生智能推荐相关问诊路径，协助医生完成患者临床问诊。</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可视化问诊路径：提供图形可视化问诊路径，方便医生能够通过可视化交互快速完成问诊。</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智能识别危重病情，提醒医生对患者尽早干预，减少因未及时干预而引起的严重临床后果。</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根据医生问诊结论能够提供相应的处理方案。</w:t>
      </w:r>
    </w:p>
    <w:p>
      <w:pPr>
        <w:pStyle w:val="721"/>
        <w:numPr>
          <w:ilvl w:val="0"/>
          <w:numId w:val="157"/>
        </w:numPr>
        <w:spacing w:before="163" w:after="163"/>
        <w:ind w:firstLineChars="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问诊记录：支持根据系统提供的图形化问诊路径自动生成问诊记录。</w:t>
      </w:r>
    </w:p>
    <w:p>
      <w:pPr>
        <w:pStyle w:val="6"/>
        <w:ind w:firstLine="281"/>
        <w:rPr>
          <w:highlight w:val="none"/>
        </w:rPr>
      </w:pPr>
      <w:r>
        <w:rPr>
          <w:rFonts w:hint="eastAsia"/>
          <w:highlight w:val="none"/>
        </w:rPr>
        <w:t>AI病历质检系统</w:t>
      </w:r>
    </w:p>
    <w:p>
      <w:pPr>
        <w:pStyle w:val="980"/>
        <w:ind w:firstLine="480"/>
        <w:rPr>
          <w:sz w:val="24"/>
          <w:szCs w:val="24"/>
          <w:highlight w:val="none"/>
        </w:rPr>
      </w:pPr>
      <w:r>
        <w:rPr>
          <w:rFonts w:hint="eastAsia"/>
          <w:sz w:val="24"/>
          <w:szCs w:val="24"/>
          <w:highlight w:val="none"/>
        </w:rPr>
        <w:t>（一）</w:t>
      </w:r>
      <w:r>
        <w:rPr>
          <w:sz w:val="24"/>
          <w:szCs w:val="24"/>
          <w:highlight w:val="none"/>
        </w:rPr>
        <w:t>系统技术规格基本要求</w:t>
      </w:r>
    </w:p>
    <w:p>
      <w:pPr>
        <w:pStyle w:val="980"/>
        <w:ind w:firstLine="480"/>
        <w:rPr>
          <w:sz w:val="24"/>
          <w:szCs w:val="24"/>
          <w:highlight w:val="none"/>
        </w:rPr>
      </w:pPr>
      <w:r>
        <w:rPr>
          <w:sz w:val="24"/>
          <w:szCs w:val="24"/>
          <w:highlight w:val="none"/>
        </w:rPr>
        <w:t>1. 安全要求：系统服务器必须在医院内网安装。</w:t>
      </w:r>
    </w:p>
    <w:p>
      <w:pPr>
        <w:pStyle w:val="980"/>
        <w:ind w:firstLine="480"/>
        <w:rPr>
          <w:sz w:val="24"/>
          <w:szCs w:val="24"/>
          <w:highlight w:val="none"/>
        </w:rPr>
      </w:pPr>
      <w:r>
        <w:rPr>
          <w:sz w:val="24"/>
          <w:szCs w:val="24"/>
          <w:highlight w:val="none"/>
        </w:rPr>
        <w:t>2. 接口要求</w:t>
      </w:r>
    </w:p>
    <w:p>
      <w:pPr>
        <w:pStyle w:val="980"/>
        <w:ind w:firstLine="480"/>
        <w:rPr>
          <w:sz w:val="24"/>
          <w:szCs w:val="24"/>
          <w:highlight w:val="none"/>
        </w:rPr>
      </w:pPr>
      <w:r>
        <w:rPr>
          <w:sz w:val="24"/>
          <w:szCs w:val="24"/>
          <w:highlight w:val="none"/>
        </w:rPr>
        <w:t>2.1. 符合卫</w:t>
      </w:r>
      <w:r>
        <w:rPr>
          <w:rFonts w:hint="eastAsia"/>
          <w:sz w:val="24"/>
          <w:szCs w:val="24"/>
          <w:highlight w:val="none"/>
        </w:rPr>
        <w:t>健</w:t>
      </w:r>
      <w:r>
        <w:rPr>
          <w:sz w:val="24"/>
          <w:szCs w:val="24"/>
          <w:highlight w:val="none"/>
        </w:rPr>
        <w:t>委颁布的《医院信息系统功能基本规范》；</w:t>
      </w:r>
    </w:p>
    <w:p>
      <w:pPr>
        <w:pStyle w:val="980"/>
        <w:ind w:firstLine="480"/>
        <w:rPr>
          <w:sz w:val="24"/>
          <w:szCs w:val="24"/>
          <w:highlight w:val="none"/>
        </w:rPr>
      </w:pPr>
      <w:r>
        <w:rPr>
          <w:sz w:val="24"/>
          <w:szCs w:val="24"/>
          <w:highlight w:val="none"/>
        </w:rPr>
        <w:t>2.2. 符合卫</w:t>
      </w:r>
      <w:r>
        <w:rPr>
          <w:rFonts w:hint="eastAsia"/>
          <w:sz w:val="24"/>
          <w:szCs w:val="24"/>
          <w:highlight w:val="none"/>
        </w:rPr>
        <w:t>健</w:t>
      </w:r>
      <w:r>
        <w:rPr>
          <w:sz w:val="24"/>
          <w:szCs w:val="24"/>
          <w:highlight w:val="none"/>
        </w:rPr>
        <w:t>委颁布的《电子病历系统功能规范（试行）》；</w:t>
      </w:r>
    </w:p>
    <w:p>
      <w:pPr>
        <w:pStyle w:val="980"/>
        <w:ind w:firstLine="480"/>
        <w:rPr>
          <w:sz w:val="24"/>
          <w:szCs w:val="24"/>
          <w:highlight w:val="none"/>
        </w:rPr>
      </w:pPr>
      <w:r>
        <w:rPr>
          <w:sz w:val="24"/>
          <w:szCs w:val="24"/>
          <w:highlight w:val="none"/>
        </w:rPr>
        <w:t>2.3. 符合卫</w:t>
      </w:r>
      <w:r>
        <w:rPr>
          <w:rFonts w:hint="eastAsia"/>
          <w:sz w:val="24"/>
          <w:szCs w:val="24"/>
          <w:highlight w:val="none"/>
        </w:rPr>
        <w:t>健</w:t>
      </w:r>
      <w:r>
        <w:rPr>
          <w:sz w:val="24"/>
          <w:szCs w:val="24"/>
          <w:highlight w:val="none"/>
        </w:rPr>
        <w:t>委颁发的《电子病历系统功能应用水平分级评价方法及标准（试行）》；</w:t>
      </w:r>
    </w:p>
    <w:p>
      <w:pPr>
        <w:pStyle w:val="980"/>
        <w:ind w:firstLine="480"/>
        <w:rPr>
          <w:sz w:val="24"/>
          <w:szCs w:val="24"/>
          <w:highlight w:val="none"/>
        </w:rPr>
      </w:pPr>
      <w:r>
        <w:rPr>
          <w:sz w:val="24"/>
          <w:szCs w:val="24"/>
          <w:highlight w:val="none"/>
        </w:rPr>
        <w:t>2.4. 能够与医院住院电子病历对接，获取电子病历中的数据内容，包括但不限于主诉、现病史、既往史等信息。</w:t>
      </w:r>
    </w:p>
    <w:p>
      <w:pPr>
        <w:pStyle w:val="980"/>
        <w:ind w:firstLine="480"/>
        <w:rPr>
          <w:sz w:val="24"/>
          <w:szCs w:val="24"/>
          <w:highlight w:val="none"/>
        </w:rPr>
      </w:pPr>
      <w:r>
        <w:rPr>
          <w:sz w:val="24"/>
          <w:szCs w:val="24"/>
          <w:highlight w:val="none"/>
        </w:rPr>
        <w:t>2.5. 能够与医院集成平台对接，获取集成平台中的数据内容，包括但不限于患者检验结果、检查报告、医嘱内容等；</w:t>
      </w:r>
    </w:p>
    <w:p>
      <w:pPr>
        <w:pStyle w:val="980"/>
        <w:ind w:firstLine="480"/>
        <w:rPr>
          <w:sz w:val="24"/>
          <w:szCs w:val="24"/>
          <w:highlight w:val="none"/>
        </w:rPr>
      </w:pPr>
      <w:r>
        <w:rPr>
          <w:sz w:val="24"/>
          <w:szCs w:val="24"/>
          <w:highlight w:val="none"/>
        </w:rPr>
        <w:t>2.6. 能够与医院医嘱对接，获取医嘱信息，包括但不限于药品、检验、检查、手术医嘱；</w:t>
      </w:r>
    </w:p>
    <w:p>
      <w:pPr>
        <w:pStyle w:val="980"/>
        <w:ind w:firstLine="480"/>
        <w:rPr>
          <w:sz w:val="24"/>
          <w:szCs w:val="24"/>
          <w:highlight w:val="none"/>
        </w:rPr>
      </w:pPr>
      <w:r>
        <w:rPr>
          <w:sz w:val="24"/>
          <w:szCs w:val="24"/>
          <w:highlight w:val="none"/>
        </w:rPr>
        <w:t>3. 性能要求：避免因计算机故障导致的医疗工作的延迟和医疗差错。</w:t>
      </w:r>
    </w:p>
    <w:p>
      <w:pPr>
        <w:pStyle w:val="980"/>
        <w:ind w:firstLine="480"/>
        <w:rPr>
          <w:sz w:val="24"/>
          <w:szCs w:val="24"/>
          <w:highlight w:val="none"/>
        </w:rPr>
      </w:pPr>
      <w:r>
        <w:rPr>
          <w:sz w:val="24"/>
          <w:szCs w:val="24"/>
          <w:highlight w:val="none"/>
        </w:rPr>
        <w:t>4. 数据格式化要求：不需要电子病历实现结构化录入，可以从非结构化电子病历内容中，通过机器学习，自动抽取结构化信息。</w:t>
      </w:r>
    </w:p>
    <w:p>
      <w:pPr>
        <w:pStyle w:val="980"/>
        <w:ind w:firstLine="480"/>
        <w:rPr>
          <w:sz w:val="24"/>
          <w:szCs w:val="24"/>
          <w:highlight w:val="none"/>
        </w:rPr>
      </w:pPr>
      <w:r>
        <w:rPr>
          <w:sz w:val="24"/>
          <w:szCs w:val="24"/>
          <w:highlight w:val="none"/>
        </w:rPr>
        <w:t>5. 终端用户操作性能指标：软件系统要体现易于理解掌握、操作简单、提示清晰、逻辑性强，直观简洁、帮助信息丰富等特点，保证操作人员以最快速度和最少的击键次数完成工作。</w:t>
      </w:r>
    </w:p>
    <w:p>
      <w:pPr>
        <w:rPr>
          <w:rFonts w:ascii="新宋体" w:hAnsi="新宋体" w:eastAsia="新宋体" w:cs="新宋体"/>
          <w:sz w:val="24"/>
          <w:highlight w:val="none"/>
        </w:rPr>
      </w:pPr>
      <w:r>
        <w:rPr>
          <w:rFonts w:hint="eastAsia" w:ascii="新宋体" w:hAnsi="新宋体" w:eastAsia="新宋体" w:cs="新宋体"/>
          <w:sz w:val="24"/>
          <w:highlight w:val="none"/>
        </w:rPr>
        <w:t>（二）</w:t>
      </w:r>
      <w:r>
        <w:rPr>
          <w:rFonts w:ascii="新宋体" w:hAnsi="新宋体" w:eastAsia="新宋体" w:cs="新宋体"/>
          <w:sz w:val="24"/>
          <w:highlight w:val="none"/>
        </w:rPr>
        <w:t>系统功能</w:t>
      </w:r>
      <w:r>
        <w:rPr>
          <w:rFonts w:hint="eastAsia" w:ascii="新宋体" w:hAnsi="新宋体" w:eastAsia="新宋体" w:cs="新宋体"/>
          <w:sz w:val="24"/>
          <w:highlight w:val="none"/>
        </w:rPr>
        <w:t>参数</w:t>
      </w:r>
      <w:r>
        <w:rPr>
          <w:rFonts w:ascii="新宋体" w:hAnsi="新宋体" w:eastAsia="新宋体" w:cs="新宋体"/>
          <w:sz w:val="24"/>
          <w:highlight w:val="none"/>
        </w:rPr>
        <w:t>要求</w:t>
      </w:r>
    </w:p>
    <w:p>
      <w:pPr>
        <w:pStyle w:val="980"/>
        <w:ind w:firstLine="480"/>
        <w:rPr>
          <w:sz w:val="24"/>
          <w:szCs w:val="24"/>
          <w:highlight w:val="none"/>
        </w:rPr>
      </w:pPr>
      <w:r>
        <w:rPr>
          <w:rFonts w:hint="eastAsia"/>
          <w:sz w:val="24"/>
          <w:szCs w:val="24"/>
          <w:highlight w:val="none"/>
        </w:rPr>
        <w:t>病历</w:t>
      </w:r>
      <w:r>
        <w:rPr>
          <w:sz w:val="24"/>
          <w:szCs w:val="24"/>
          <w:highlight w:val="none"/>
        </w:rPr>
        <w:t>质量控制系统</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756"/>
        <w:gridCol w:w="6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pStyle w:val="963"/>
              <w:kinsoku w:val="0"/>
              <w:overflowPunct w:val="0"/>
              <w:spacing w:line="400" w:lineRule="exact"/>
              <w:rPr>
                <w:rFonts w:ascii="Times New Roman" w:hAnsi="Times New Roman"/>
                <w:b/>
                <w:bCs/>
                <w:szCs w:val="24"/>
                <w:highlight w:val="none"/>
              </w:rPr>
            </w:pPr>
            <w:r>
              <w:rPr>
                <w:rFonts w:ascii="Times New Roman" w:hAnsi="Times New Roman"/>
                <w:b/>
                <w:bCs/>
                <w:szCs w:val="24"/>
                <w:highlight w:val="none"/>
              </w:rPr>
              <w:t>分系统名称</w:t>
            </w:r>
          </w:p>
        </w:tc>
        <w:tc>
          <w:tcPr>
            <w:tcW w:w="1756" w:type="dxa"/>
            <w:vAlign w:val="center"/>
          </w:tcPr>
          <w:p>
            <w:pPr>
              <w:pStyle w:val="963"/>
              <w:kinsoku w:val="0"/>
              <w:overflowPunct w:val="0"/>
              <w:spacing w:line="400" w:lineRule="exact"/>
              <w:jc w:val="center"/>
              <w:rPr>
                <w:rFonts w:ascii="Times New Roman" w:hAnsi="Times New Roman"/>
                <w:b/>
                <w:bCs/>
                <w:szCs w:val="24"/>
                <w:highlight w:val="none"/>
              </w:rPr>
            </w:pPr>
            <w:r>
              <w:rPr>
                <w:rFonts w:ascii="Times New Roman" w:hAnsi="Times New Roman"/>
                <w:b/>
                <w:bCs/>
                <w:szCs w:val="24"/>
                <w:highlight w:val="none"/>
              </w:rPr>
              <w:t>系统功能</w:t>
            </w:r>
          </w:p>
        </w:tc>
        <w:tc>
          <w:tcPr>
            <w:tcW w:w="6616" w:type="dxa"/>
          </w:tcPr>
          <w:p>
            <w:pPr>
              <w:pStyle w:val="963"/>
              <w:kinsoku w:val="0"/>
              <w:overflowPunct w:val="0"/>
              <w:spacing w:line="400" w:lineRule="exact"/>
              <w:jc w:val="center"/>
              <w:rPr>
                <w:rFonts w:ascii="Times New Roman" w:hAnsi="Times New Roman"/>
                <w:b/>
                <w:bCs/>
                <w:szCs w:val="24"/>
                <w:highlight w:val="none"/>
              </w:rPr>
            </w:pPr>
            <w:r>
              <w:rPr>
                <w:rFonts w:ascii="Times New Roman" w:hAnsi="Times New Roman"/>
                <w:b/>
                <w:bCs/>
                <w:szCs w:val="24"/>
                <w:highlight w:val="none"/>
              </w:rPr>
              <w:t>功能描述及要求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restart"/>
            <w:vAlign w:val="center"/>
          </w:tcPr>
          <w:p>
            <w:pPr>
              <w:pStyle w:val="963"/>
              <w:kinsoku w:val="0"/>
              <w:overflowPunct w:val="0"/>
              <w:spacing w:line="400" w:lineRule="exact"/>
              <w:jc w:val="center"/>
              <w:rPr>
                <w:rFonts w:ascii="Times New Roman" w:hAnsi="Times New Roman"/>
                <w:szCs w:val="24"/>
                <w:highlight w:val="none"/>
              </w:rPr>
            </w:pPr>
            <w:r>
              <w:rPr>
                <w:rFonts w:hint="eastAsia" w:ascii="Times New Roman" w:hAnsi="Times New Roman"/>
                <w:szCs w:val="24"/>
                <w:highlight w:val="none"/>
              </w:rPr>
              <w:t>病历运行质控</w:t>
            </w:r>
          </w:p>
        </w:tc>
        <w:tc>
          <w:tcPr>
            <w:tcW w:w="1756" w:type="dxa"/>
            <w:vAlign w:val="center"/>
          </w:tcPr>
          <w:p>
            <w:pPr>
              <w:pStyle w:val="963"/>
              <w:kinsoku w:val="0"/>
              <w:overflowPunct w:val="0"/>
              <w:spacing w:line="400" w:lineRule="exact"/>
              <w:jc w:val="center"/>
              <w:rPr>
                <w:rFonts w:ascii="Times New Roman" w:hAnsi="Times New Roman"/>
                <w:szCs w:val="24"/>
                <w:highlight w:val="none"/>
              </w:rPr>
            </w:pPr>
            <w:r>
              <w:rPr>
                <w:rFonts w:hint="eastAsia" w:ascii="Times New Roman" w:hAnsi="Times New Roman"/>
                <w:szCs w:val="24"/>
                <w:highlight w:val="none"/>
              </w:rPr>
              <w:t>实时提醒</w:t>
            </w:r>
          </w:p>
        </w:tc>
        <w:tc>
          <w:tcPr>
            <w:tcW w:w="6616" w:type="dxa"/>
            <w:vAlign w:val="center"/>
          </w:tcPr>
          <w:p>
            <w:pPr>
              <w:widowControl/>
              <w:spacing w:line="400" w:lineRule="exact"/>
              <w:jc w:val="left"/>
              <w:rPr>
                <w:sz w:val="24"/>
                <w:highlight w:val="none"/>
              </w:rPr>
            </w:pPr>
            <w:r>
              <w:rPr>
                <w:rFonts w:hint="eastAsia"/>
                <w:sz w:val="24"/>
                <w:highlight w:val="none"/>
              </w:rPr>
              <w:t>系统能够通过和院内EMR系统对接，在临床医生书写电子病历文书的同时实时、主动解读，当病历内容存在缺陷时，系统应主动提示医生当前文书存在的质控缺陷，在医生修正缺陷内容后，质控提示可实时消失。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pStyle w:val="963"/>
              <w:kinsoku w:val="0"/>
              <w:overflowPunct w:val="0"/>
              <w:spacing w:line="400" w:lineRule="exact"/>
              <w:jc w:val="center"/>
              <w:rPr>
                <w:rFonts w:ascii="Times New Roman" w:hAnsi="Times New Roman"/>
                <w:szCs w:val="24"/>
                <w:highlight w:val="none"/>
                <w:lang w:eastAsia="zh-CN"/>
              </w:rPr>
            </w:pPr>
          </w:p>
        </w:tc>
        <w:tc>
          <w:tcPr>
            <w:tcW w:w="1756" w:type="dxa"/>
            <w:vAlign w:val="center"/>
          </w:tcPr>
          <w:p>
            <w:pPr>
              <w:pStyle w:val="963"/>
              <w:kinsoku w:val="0"/>
              <w:overflowPunct w:val="0"/>
              <w:spacing w:line="400" w:lineRule="exact"/>
              <w:jc w:val="center"/>
              <w:rPr>
                <w:rFonts w:ascii="Times New Roman" w:hAnsi="Times New Roman"/>
                <w:szCs w:val="24"/>
                <w:highlight w:val="none"/>
              </w:rPr>
            </w:pPr>
            <w:r>
              <w:rPr>
                <w:rFonts w:hint="eastAsia" w:ascii="Times New Roman" w:hAnsi="Times New Roman"/>
                <w:szCs w:val="24"/>
                <w:highlight w:val="none"/>
              </w:rPr>
              <w:t>单项否决提醒</w:t>
            </w:r>
          </w:p>
        </w:tc>
        <w:tc>
          <w:tcPr>
            <w:tcW w:w="6616" w:type="dxa"/>
            <w:vAlign w:val="center"/>
          </w:tcPr>
          <w:p>
            <w:pPr>
              <w:widowControl/>
              <w:spacing w:line="400" w:lineRule="exact"/>
              <w:jc w:val="left"/>
              <w:rPr>
                <w:sz w:val="24"/>
                <w:highlight w:val="none"/>
              </w:rPr>
            </w:pPr>
            <w:r>
              <w:rPr>
                <w:rFonts w:hint="eastAsia"/>
                <w:sz w:val="24"/>
                <w:highlight w:val="none"/>
              </w:rPr>
              <w:t>系统能够支持对病历以及文书的单项否决进行判断并提醒，当病历或文书存在单项否决缺陷时，系统应实时、主动提醒医生相关质控缺陷，在医生修正缺陷内容后，单项否决提示实时消失。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pStyle w:val="963"/>
              <w:kinsoku w:val="0"/>
              <w:overflowPunct w:val="0"/>
              <w:spacing w:line="400" w:lineRule="exact"/>
              <w:jc w:val="center"/>
              <w:rPr>
                <w:rFonts w:ascii="Times New Roman" w:hAnsi="Times New Roman"/>
                <w:szCs w:val="24"/>
                <w:highlight w:val="none"/>
                <w:lang w:eastAsia="zh-CN"/>
              </w:rPr>
            </w:pPr>
          </w:p>
        </w:tc>
        <w:tc>
          <w:tcPr>
            <w:tcW w:w="1756" w:type="dxa"/>
            <w:vAlign w:val="center"/>
          </w:tcPr>
          <w:p>
            <w:pPr>
              <w:pStyle w:val="963"/>
              <w:kinsoku w:val="0"/>
              <w:overflowPunct w:val="0"/>
              <w:spacing w:line="400" w:lineRule="exact"/>
              <w:jc w:val="center"/>
              <w:rPr>
                <w:rFonts w:ascii="Times New Roman" w:hAnsi="Times New Roman"/>
                <w:szCs w:val="24"/>
                <w:highlight w:val="none"/>
              </w:rPr>
            </w:pPr>
            <w:r>
              <w:rPr>
                <w:rFonts w:hint="eastAsia" w:ascii="Times New Roman" w:hAnsi="Times New Roman"/>
                <w:szCs w:val="24"/>
                <w:highlight w:val="none"/>
              </w:rPr>
              <w:t>形式质控</w:t>
            </w:r>
          </w:p>
        </w:tc>
        <w:tc>
          <w:tcPr>
            <w:tcW w:w="6616" w:type="dxa"/>
            <w:vAlign w:val="center"/>
          </w:tcPr>
          <w:p>
            <w:pPr>
              <w:widowControl/>
              <w:spacing w:line="400" w:lineRule="exact"/>
              <w:jc w:val="left"/>
              <w:rPr>
                <w:sz w:val="24"/>
                <w:highlight w:val="none"/>
              </w:rPr>
            </w:pPr>
            <w:r>
              <w:rPr>
                <w:rFonts w:hint="eastAsia"/>
                <w:sz w:val="24"/>
                <w:highlight w:val="none"/>
              </w:rPr>
              <w:t>系统能够支持对全病历文书记录的及时性、完整性、一致性、合理性进行智能判断，包含：入院记录、首次病程记录、手术记录、会诊记录、输血记录、转科记录等，并主动提醒形式质控缺陷，在医生修正缺陷内容后，质控提示实时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pStyle w:val="963"/>
              <w:kinsoku w:val="0"/>
              <w:overflowPunct w:val="0"/>
              <w:spacing w:line="400" w:lineRule="exact"/>
              <w:jc w:val="center"/>
              <w:rPr>
                <w:rFonts w:ascii="Times New Roman" w:hAnsi="Times New Roman"/>
                <w:szCs w:val="24"/>
                <w:highlight w:val="none"/>
                <w:lang w:eastAsia="zh-CN"/>
              </w:rPr>
            </w:pPr>
          </w:p>
        </w:tc>
        <w:tc>
          <w:tcPr>
            <w:tcW w:w="1756" w:type="dxa"/>
            <w:vAlign w:val="center"/>
          </w:tcPr>
          <w:p>
            <w:pPr>
              <w:pStyle w:val="963"/>
              <w:kinsoku w:val="0"/>
              <w:overflowPunct w:val="0"/>
              <w:spacing w:line="400" w:lineRule="exact"/>
              <w:jc w:val="center"/>
              <w:rPr>
                <w:rFonts w:ascii="Times New Roman" w:hAnsi="Times New Roman"/>
                <w:szCs w:val="24"/>
                <w:highlight w:val="none"/>
              </w:rPr>
            </w:pPr>
            <w:r>
              <w:rPr>
                <w:rFonts w:hint="eastAsia" w:ascii="Times New Roman" w:hAnsi="Times New Roman"/>
                <w:szCs w:val="24"/>
                <w:highlight w:val="none"/>
              </w:rPr>
              <w:t>内涵质控</w:t>
            </w:r>
          </w:p>
        </w:tc>
        <w:tc>
          <w:tcPr>
            <w:tcW w:w="6616" w:type="dxa"/>
            <w:vAlign w:val="center"/>
          </w:tcPr>
          <w:p>
            <w:pPr>
              <w:widowControl/>
              <w:spacing w:line="400" w:lineRule="exact"/>
              <w:jc w:val="left"/>
              <w:rPr>
                <w:sz w:val="24"/>
                <w:highlight w:val="none"/>
              </w:rPr>
            </w:pPr>
            <w:r>
              <w:rPr>
                <w:rFonts w:hint="eastAsia"/>
                <w:sz w:val="24"/>
                <w:highlight w:val="none"/>
              </w:rPr>
              <w:t>系统能够支持对各类医疗文书内容进行后结构化处理，并通过术语映射、模型训练、大数据分析，对全病历进行内涵质控，包括但不限于：病历文书记录的完整性、上下文的描述一致性、诊疗措施的记录合理性、不同文书雷同性等，并应主动提醒医生内涵质控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restart"/>
            <w:vAlign w:val="center"/>
          </w:tcPr>
          <w:p>
            <w:pPr>
              <w:pStyle w:val="963"/>
              <w:kinsoku w:val="0"/>
              <w:overflowPunct w:val="0"/>
              <w:spacing w:line="400" w:lineRule="exact"/>
              <w:jc w:val="center"/>
              <w:rPr>
                <w:rFonts w:ascii="Times New Roman" w:hAnsi="Times New Roman"/>
                <w:szCs w:val="24"/>
                <w:highlight w:val="none"/>
              </w:rPr>
            </w:pPr>
            <w:r>
              <w:rPr>
                <w:rFonts w:hint="eastAsia" w:ascii="Times New Roman" w:hAnsi="Times New Roman"/>
                <w:szCs w:val="24"/>
                <w:highlight w:val="none"/>
              </w:rPr>
              <w:t>病历终末质控</w:t>
            </w:r>
          </w:p>
        </w:tc>
        <w:tc>
          <w:tcPr>
            <w:tcW w:w="1756" w:type="dxa"/>
            <w:vAlign w:val="center"/>
          </w:tcPr>
          <w:p>
            <w:pPr>
              <w:pStyle w:val="963"/>
              <w:kinsoku w:val="0"/>
              <w:overflowPunct w:val="0"/>
              <w:spacing w:line="400" w:lineRule="exact"/>
              <w:jc w:val="center"/>
              <w:rPr>
                <w:rFonts w:ascii="Times New Roman" w:hAnsi="Times New Roman"/>
                <w:szCs w:val="24"/>
                <w:highlight w:val="none"/>
              </w:rPr>
            </w:pPr>
            <w:r>
              <w:rPr>
                <w:rFonts w:hint="eastAsia" w:ascii="Times New Roman" w:hAnsi="Times New Roman"/>
                <w:szCs w:val="24"/>
                <w:highlight w:val="none"/>
              </w:rPr>
              <w:t>自动评分</w:t>
            </w:r>
          </w:p>
        </w:tc>
        <w:tc>
          <w:tcPr>
            <w:tcW w:w="6616" w:type="dxa"/>
            <w:vAlign w:val="center"/>
          </w:tcPr>
          <w:p>
            <w:pPr>
              <w:widowControl/>
              <w:spacing w:line="400" w:lineRule="exact"/>
              <w:jc w:val="left"/>
              <w:rPr>
                <w:sz w:val="24"/>
                <w:highlight w:val="none"/>
              </w:rPr>
            </w:pPr>
            <w:r>
              <w:rPr>
                <w:rFonts w:hint="eastAsia"/>
                <w:sz w:val="24"/>
                <w:highlight w:val="none"/>
              </w:rPr>
              <w:t>系统能够支持对全部出院患者的对各类医疗文书进行后结构化处理，对全病历进行形式质控和内涵质控（包括但不限于病情记录是否完整、诊断依据是否充分、诊疗行为的记录是否合理等），并自动计算病历得分及病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pStyle w:val="963"/>
              <w:kinsoku w:val="0"/>
              <w:overflowPunct w:val="0"/>
              <w:spacing w:line="400" w:lineRule="exact"/>
              <w:jc w:val="center"/>
              <w:rPr>
                <w:rFonts w:ascii="Times New Roman" w:hAnsi="Times New Roman"/>
                <w:szCs w:val="24"/>
                <w:highlight w:val="none"/>
                <w:lang w:eastAsia="zh-CN"/>
              </w:rPr>
            </w:pPr>
          </w:p>
        </w:tc>
        <w:tc>
          <w:tcPr>
            <w:tcW w:w="1756" w:type="dxa"/>
            <w:vAlign w:val="center"/>
          </w:tcPr>
          <w:p>
            <w:pPr>
              <w:pStyle w:val="963"/>
              <w:kinsoku w:val="0"/>
              <w:overflowPunct w:val="0"/>
              <w:spacing w:line="400" w:lineRule="exact"/>
              <w:jc w:val="center"/>
              <w:rPr>
                <w:rFonts w:ascii="Times New Roman" w:hAnsi="Times New Roman"/>
                <w:szCs w:val="24"/>
                <w:highlight w:val="none"/>
              </w:rPr>
            </w:pPr>
            <w:r>
              <w:rPr>
                <w:rFonts w:hint="eastAsia" w:ascii="Times New Roman" w:hAnsi="Times New Roman"/>
                <w:szCs w:val="24"/>
                <w:highlight w:val="none"/>
              </w:rPr>
              <w:t>单项否决提醒</w:t>
            </w:r>
          </w:p>
        </w:tc>
        <w:tc>
          <w:tcPr>
            <w:tcW w:w="6616" w:type="dxa"/>
            <w:vAlign w:val="center"/>
          </w:tcPr>
          <w:p>
            <w:pPr>
              <w:widowControl/>
              <w:spacing w:line="400" w:lineRule="exact"/>
              <w:jc w:val="left"/>
              <w:rPr>
                <w:sz w:val="24"/>
                <w:highlight w:val="none"/>
              </w:rPr>
            </w:pPr>
            <w:r>
              <w:rPr>
                <w:rFonts w:hint="eastAsia"/>
                <w:sz w:val="24"/>
                <w:highlight w:val="none"/>
              </w:rPr>
              <w:t>系统能够对病历以及文书的单项否决进行判断，若病历或文书存在单项否决缺陷，系统应主动提醒质控缺陷。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pStyle w:val="963"/>
              <w:kinsoku w:val="0"/>
              <w:overflowPunct w:val="0"/>
              <w:spacing w:line="400" w:lineRule="exact"/>
              <w:jc w:val="center"/>
              <w:rPr>
                <w:rFonts w:ascii="Times New Roman" w:hAnsi="Times New Roman"/>
                <w:szCs w:val="24"/>
                <w:highlight w:val="none"/>
                <w:lang w:eastAsia="zh-CN"/>
              </w:rPr>
            </w:pPr>
          </w:p>
        </w:tc>
        <w:tc>
          <w:tcPr>
            <w:tcW w:w="1756" w:type="dxa"/>
            <w:vAlign w:val="center"/>
          </w:tcPr>
          <w:p>
            <w:pPr>
              <w:pStyle w:val="963"/>
              <w:kinsoku w:val="0"/>
              <w:overflowPunct w:val="0"/>
              <w:spacing w:line="400" w:lineRule="exact"/>
              <w:jc w:val="center"/>
              <w:rPr>
                <w:rFonts w:ascii="Times New Roman" w:hAnsi="Times New Roman"/>
                <w:szCs w:val="24"/>
                <w:highlight w:val="none"/>
              </w:rPr>
            </w:pPr>
            <w:r>
              <w:rPr>
                <w:rFonts w:hint="eastAsia" w:ascii="Times New Roman" w:hAnsi="Times New Roman"/>
                <w:szCs w:val="24"/>
                <w:highlight w:val="none"/>
              </w:rPr>
              <w:t>形式质控</w:t>
            </w:r>
          </w:p>
        </w:tc>
        <w:tc>
          <w:tcPr>
            <w:tcW w:w="6616" w:type="dxa"/>
            <w:vAlign w:val="center"/>
          </w:tcPr>
          <w:p>
            <w:pPr>
              <w:widowControl/>
              <w:spacing w:line="400" w:lineRule="exact"/>
              <w:jc w:val="left"/>
              <w:rPr>
                <w:sz w:val="24"/>
                <w:highlight w:val="none"/>
              </w:rPr>
            </w:pPr>
            <w:r>
              <w:rPr>
                <w:rFonts w:hint="eastAsia"/>
                <w:sz w:val="24"/>
                <w:highlight w:val="none"/>
              </w:rPr>
              <w:t>系统能够支持对全病历文书记录的及时性、完整性、一致性、合理性进行智能判断，包含入院记录、首次病程记录、手术记录、会诊记录、输血记录、转科记录等，并主动提醒形式质控缺陷。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pStyle w:val="963"/>
              <w:kinsoku w:val="0"/>
              <w:overflowPunct w:val="0"/>
              <w:spacing w:line="400" w:lineRule="exact"/>
              <w:jc w:val="center"/>
              <w:rPr>
                <w:rFonts w:ascii="Times New Roman" w:hAnsi="Times New Roman"/>
                <w:szCs w:val="24"/>
                <w:highlight w:val="none"/>
                <w:lang w:eastAsia="zh-CN"/>
              </w:rPr>
            </w:pPr>
          </w:p>
        </w:tc>
        <w:tc>
          <w:tcPr>
            <w:tcW w:w="1756" w:type="dxa"/>
            <w:vAlign w:val="center"/>
          </w:tcPr>
          <w:p>
            <w:pPr>
              <w:pStyle w:val="963"/>
              <w:kinsoku w:val="0"/>
              <w:overflowPunct w:val="0"/>
              <w:spacing w:line="400" w:lineRule="exact"/>
              <w:jc w:val="center"/>
              <w:rPr>
                <w:rFonts w:ascii="Times New Roman" w:hAnsi="Times New Roman"/>
                <w:szCs w:val="24"/>
                <w:highlight w:val="none"/>
              </w:rPr>
            </w:pPr>
            <w:r>
              <w:rPr>
                <w:rFonts w:hint="eastAsia" w:ascii="Times New Roman" w:hAnsi="Times New Roman"/>
                <w:szCs w:val="24"/>
                <w:highlight w:val="none"/>
              </w:rPr>
              <w:t>内涵质控</w:t>
            </w:r>
          </w:p>
        </w:tc>
        <w:tc>
          <w:tcPr>
            <w:tcW w:w="6616" w:type="dxa"/>
            <w:vAlign w:val="center"/>
          </w:tcPr>
          <w:p>
            <w:pPr>
              <w:pStyle w:val="963"/>
              <w:kinsoku w:val="0"/>
              <w:overflowPunct w:val="0"/>
              <w:spacing w:line="400" w:lineRule="exact"/>
              <w:rPr>
                <w:rFonts w:ascii="Times New Roman" w:hAnsi="Times New Roman"/>
                <w:szCs w:val="24"/>
                <w:highlight w:val="none"/>
                <w:lang w:eastAsia="zh-CN"/>
              </w:rPr>
            </w:pPr>
            <w:r>
              <w:rPr>
                <w:rFonts w:hint="eastAsia" w:ascii="Times New Roman" w:hAnsi="Times New Roman"/>
                <w:szCs w:val="24"/>
                <w:highlight w:val="none"/>
                <w:lang w:eastAsia="zh-CN"/>
              </w:rPr>
              <w:t>系统能够支持对各类医疗文书内容进行后结构化处理，并通过术语映射、模型训练、大数据分析，对全病历进行内涵质控，包括但不限于：病历文书记录的完整性、上下文的描述一致性、诊疗措施的记录合理性、不同文书雷同性等，并主动提醒形式质控缺陷，在医生修正缺陷内容后，质控提示实时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restart"/>
            <w:vAlign w:val="center"/>
          </w:tcPr>
          <w:p>
            <w:pPr>
              <w:pStyle w:val="963"/>
              <w:kinsoku w:val="0"/>
              <w:overflowPunct w:val="0"/>
              <w:spacing w:line="400" w:lineRule="exact"/>
              <w:jc w:val="center"/>
              <w:rPr>
                <w:rFonts w:ascii="Times New Roman" w:hAnsi="Times New Roman"/>
                <w:szCs w:val="24"/>
                <w:highlight w:val="none"/>
              </w:rPr>
            </w:pPr>
            <w:r>
              <w:rPr>
                <w:rFonts w:hint="eastAsia" w:ascii="Times New Roman" w:hAnsi="Times New Roman"/>
                <w:szCs w:val="24"/>
                <w:highlight w:val="none"/>
              </w:rPr>
              <w:t>病历审核</w:t>
            </w:r>
          </w:p>
        </w:tc>
        <w:tc>
          <w:tcPr>
            <w:tcW w:w="1756" w:type="dxa"/>
            <w:vAlign w:val="center"/>
          </w:tcPr>
          <w:p>
            <w:pPr>
              <w:spacing w:line="400" w:lineRule="exact"/>
              <w:jc w:val="center"/>
              <w:rPr>
                <w:sz w:val="24"/>
                <w:highlight w:val="none"/>
              </w:rPr>
            </w:pPr>
            <w:r>
              <w:rPr>
                <w:rFonts w:hint="eastAsia"/>
                <w:sz w:val="24"/>
                <w:highlight w:val="none"/>
              </w:rPr>
              <w:t>自定义检索</w:t>
            </w:r>
          </w:p>
        </w:tc>
        <w:tc>
          <w:tcPr>
            <w:tcW w:w="6616" w:type="dxa"/>
            <w:vAlign w:val="center"/>
          </w:tcPr>
          <w:p>
            <w:pPr>
              <w:widowControl/>
              <w:spacing w:line="400" w:lineRule="exact"/>
              <w:jc w:val="left"/>
              <w:rPr>
                <w:sz w:val="24"/>
                <w:highlight w:val="none"/>
              </w:rPr>
            </w:pPr>
            <w:r>
              <w:rPr>
                <w:rFonts w:hint="eastAsia"/>
                <w:sz w:val="24"/>
                <w:highlight w:val="none"/>
              </w:rPr>
              <w:t>系统能够支持按科室/病区、出院日期、主管医生、患者姓名、住院号以及病历特点（死亡患者、手术患者、疑难病历等）、病历等级、病历得分等条件多维度检索在院运行病历并支持病历下钻查看缺陷详情和病历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pStyle w:val="963"/>
              <w:kinsoku w:val="0"/>
              <w:overflowPunct w:val="0"/>
              <w:spacing w:line="400" w:lineRule="exact"/>
              <w:jc w:val="center"/>
              <w:rPr>
                <w:rFonts w:ascii="Times New Roman" w:hAnsi="Times New Roman"/>
                <w:szCs w:val="24"/>
                <w:highlight w:val="none"/>
                <w:lang w:eastAsia="zh-CN"/>
              </w:rPr>
            </w:pPr>
          </w:p>
        </w:tc>
        <w:tc>
          <w:tcPr>
            <w:tcW w:w="1756" w:type="dxa"/>
            <w:vAlign w:val="center"/>
          </w:tcPr>
          <w:p>
            <w:pPr>
              <w:spacing w:line="400" w:lineRule="exact"/>
              <w:jc w:val="center"/>
              <w:rPr>
                <w:sz w:val="24"/>
                <w:highlight w:val="none"/>
              </w:rPr>
            </w:pPr>
            <w:r>
              <w:rPr>
                <w:rFonts w:hint="eastAsia"/>
                <w:sz w:val="24"/>
                <w:highlight w:val="none"/>
              </w:rPr>
              <w:t>审核任务分配</w:t>
            </w:r>
          </w:p>
        </w:tc>
        <w:tc>
          <w:tcPr>
            <w:tcW w:w="6616" w:type="dxa"/>
            <w:vAlign w:val="center"/>
          </w:tcPr>
          <w:p>
            <w:pPr>
              <w:widowControl/>
              <w:spacing w:line="400" w:lineRule="exact"/>
              <w:jc w:val="left"/>
              <w:rPr>
                <w:sz w:val="24"/>
                <w:highlight w:val="none"/>
              </w:rPr>
            </w:pPr>
            <w:r>
              <w:rPr>
                <w:rFonts w:hint="eastAsia"/>
                <w:sz w:val="24"/>
                <w:highlight w:val="none"/>
              </w:rPr>
              <w:t>系统能够支持通过权限分配指定人员创建病历审核任务并下发给指定的审核人员，质控员可查看到分配给自己的任务和期望完成的时间，并支持快速定位到自身需要质控的病历，任务创建人员可随时查看病历审核任务的进度，并支持查看对应病历的质控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pStyle w:val="963"/>
              <w:kinsoku w:val="0"/>
              <w:overflowPunct w:val="0"/>
              <w:spacing w:line="400" w:lineRule="exact"/>
              <w:jc w:val="center"/>
              <w:rPr>
                <w:rFonts w:ascii="Times New Roman" w:hAnsi="Times New Roman"/>
                <w:szCs w:val="24"/>
                <w:highlight w:val="none"/>
                <w:lang w:eastAsia="zh-CN"/>
              </w:rPr>
            </w:pPr>
          </w:p>
        </w:tc>
        <w:tc>
          <w:tcPr>
            <w:tcW w:w="1756" w:type="dxa"/>
            <w:vAlign w:val="center"/>
          </w:tcPr>
          <w:p>
            <w:pPr>
              <w:spacing w:line="400" w:lineRule="exact"/>
              <w:jc w:val="center"/>
              <w:rPr>
                <w:sz w:val="24"/>
                <w:highlight w:val="none"/>
              </w:rPr>
            </w:pPr>
            <w:r>
              <w:rPr>
                <w:rFonts w:hint="eastAsia"/>
                <w:sz w:val="24"/>
                <w:highlight w:val="none"/>
              </w:rPr>
              <w:t>人工二次审核</w:t>
            </w:r>
          </w:p>
        </w:tc>
        <w:tc>
          <w:tcPr>
            <w:tcW w:w="6616" w:type="dxa"/>
            <w:vAlign w:val="center"/>
          </w:tcPr>
          <w:p>
            <w:pPr>
              <w:spacing w:line="400" w:lineRule="exact"/>
              <w:jc w:val="left"/>
              <w:rPr>
                <w:sz w:val="24"/>
                <w:highlight w:val="none"/>
              </w:rPr>
            </w:pPr>
            <w:r>
              <w:rPr>
                <w:rFonts w:hint="eastAsia"/>
                <w:sz w:val="24"/>
                <w:highlight w:val="none"/>
              </w:rPr>
              <w:t>质控缺陷总览：</w:t>
            </w:r>
          </w:p>
          <w:p>
            <w:pPr>
              <w:spacing w:line="400" w:lineRule="exact"/>
              <w:jc w:val="left"/>
              <w:rPr>
                <w:sz w:val="24"/>
                <w:highlight w:val="none"/>
              </w:rPr>
            </w:pPr>
            <w:r>
              <w:rPr>
                <w:rFonts w:hint="eastAsia"/>
                <w:sz w:val="24"/>
                <w:highlight w:val="none"/>
              </w:rPr>
              <w:t>在质控员选择一份病历进行人工审核时，系统应展示当前病历的所有质控缺陷，支持按文书模块查看缺陷明细，并可查看当前的质控评分表及扣分明细；</w:t>
            </w:r>
          </w:p>
          <w:p>
            <w:pPr>
              <w:spacing w:line="400" w:lineRule="exact"/>
              <w:rPr>
                <w:sz w:val="24"/>
                <w:highlight w:val="none"/>
              </w:rPr>
            </w:pPr>
            <w:r>
              <w:rPr>
                <w:rFonts w:hint="eastAsia"/>
                <w:sz w:val="24"/>
                <w:highlight w:val="none"/>
              </w:rPr>
              <w:t>病历原文浏览：</w:t>
            </w:r>
          </w:p>
          <w:p>
            <w:pPr>
              <w:spacing w:line="400" w:lineRule="exact"/>
              <w:rPr>
                <w:sz w:val="24"/>
                <w:highlight w:val="none"/>
              </w:rPr>
            </w:pPr>
            <w:r>
              <w:rPr>
                <w:rFonts w:hint="eastAsia"/>
                <w:sz w:val="24"/>
                <w:highlight w:val="none"/>
              </w:rPr>
              <w:t>在质控员选择一份病历进行人工审核时，系统应按院内文书模板选择并展示对应的病历文书原文，并展示当前选中病历文书的所有缺陷详情；</w:t>
            </w:r>
          </w:p>
          <w:p>
            <w:pPr>
              <w:spacing w:line="400" w:lineRule="exact"/>
              <w:rPr>
                <w:sz w:val="24"/>
                <w:highlight w:val="none"/>
              </w:rPr>
            </w:pPr>
            <w:r>
              <w:rPr>
                <w:rFonts w:hint="eastAsia"/>
                <w:sz w:val="24"/>
                <w:highlight w:val="none"/>
              </w:rPr>
              <w:t>缺陷自动定位：</w:t>
            </w:r>
          </w:p>
          <w:p>
            <w:pPr>
              <w:pStyle w:val="16"/>
              <w:spacing w:line="400" w:lineRule="exact"/>
              <w:ind w:firstLine="0"/>
              <w:rPr>
                <w:highlight w:val="none"/>
              </w:rPr>
            </w:pPr>
            <w:r>
              <w:rPr>
                <w:rFonts w:hint="eastAsia"/>
                <w:highlight w:val="none"/>
              </w:rPr>
              <w:t>当质控员在查看缺陷条目时，点击缺陷条目后，系统应支持自动跳转至该缺陷对应的病历文书原文位置，并高亮显示；</w:t>
            </w:r>
          </w:p>
          <w:p>
            <w:pPr>
              <w:pStyle w:val="16"/>
              <w:spacing w:line="400" w:lineRule="exact"/>
              <w:ind w:firstLine="0"/>
              <w:rPr>
                <w:highlight w:val="none"/>
              </w:rPr>
            </w:pPr>
            <w:r>
              <w:rPr>
                <w:rFonts w:hint="eastAsia"/>
                <w:highlight w:val="none"/>
              </w:rPr>
              <w:t>质控结果修改：</w:t>
            </w:r>
          </w:p>
          <w:p>
            <w:pPr>
              <w:widowControl/>
              <w:spacing w:line="400" w:lineRule="exact"/>
              <w:jc w:val="left"/>
              <w:rPr>
                <w:sz w:val="24"/>
                <w:highlight w:val="none"/>
              </w:rPr>
            </w:pPr>
            <w:r>
              <w:rPr>
                <w:rFonts w:hint="eastAsia"/>
                <w:sz w:val="24"/>
                <w:highlight w:val="none"/>
              </w:rPr>
              <w:t>当质控员需要对AI质控结果进行修改时，可选中一条缺陷提示，进行批注或删除质控该条目，也可通过新增的方式，增加新的缺陷条目，并且在修改质控条目后系统实时更新该病历的缺陷详情以及病历得分和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pStyle w:val="963"/>
              <w:kinsoku w:val="0"/>
              <w:overflowPunct w:val="0"/>
              <w:spacing w:line="400" w:lineRule="exact"/>
              <w:jc w:val="center"/>
              <w:rPr>
                <w:rFonts w:ascii="Times New Roman" w:hAnsi="Times New Roman"/>
                <w:szCs w:val="24"/>
                <w:highlight w:val="none"/>
                <w:lang w:eastAsia="zh-CN"/>
              </w:rPr>
            </w:pPr>
          </w:p>
        </w:tc>
        <w:tc>
          <w:tcPr>
            <w:tcW w:w="1756" w:type="dxa"/>
            <w:vAlign w:val="center"/>
          </w:tcPr>
          <w:p>
            <w:pPr>
              <w:spacing w:line="400" w:lineRule="exact"/>
              <w:jc w:val="center"/>
              <w:rPr>
                <w:sz w:val="24"/>
                <w:highlight w:val="none"/>
              </w:rPr>
            </w:pPr>
            <w:r>
              <w:rPr>
                <w:rFonts w:hint="eastAsia"/>
                <w:sz w:val="24"/>
                <w:highlight w:val="none"/>
              </w:rPr>
              <w:t>审核意见反馈交互</w:t>
            </w:r>
          </w:p>
        </w:tc>
        <w:tc>
          <w:tcPr>
            <w:tcW w:w="6616" w:type="dxa"/>
            <w:vAlign w:val="center"/>
          </w:tcPr>
          <w:p>
            <w:pPr>
              <w:spacing w:line="400" w:lineRule="exact"/>
              <w:jc w:val="left"/>
              <w:rPr>
                <w:sz w:val="24"/>
                <w:highlight w:val="none"/>
              </w:rPr>
            </w:pPr>
            <w:r>
              <w:rPr>
                <w:rFonts w:hint="eastAsia"/>
                <w:sz w:val="24"/>
                <w:highlight w:val="none"/>
              </w:rPr>
              <w:t>在质控员进行病历的人工审核时，系统能够选择当前病历是否通过人工审核，并且有通过/驳回的确认操作，支持备注描述驳回原因，被驳回的病历在医生端将实时同步提醒，并高亮展示驳回原因，临床医生可对被驳回的病历进行申诉并将申诉理由反馈至对应的质控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pStyle w:val="963"/>
              <w:kinsoku w:val="0"/>
              <w:overflowPunct w:val="0"/>
              <w:spacing w:line="400" w:lineRule="exact"/>
              <w:jc w:val="center"/>
              <w:rPr>
                <w:rFonts w:ascii="Times New Roman" w:hAnsi="Times New Roman"/>
                <w:szCs w:val="24"/>
                <w:highlight w:val="none"/>
                <w:lang w:eastAsia="zh-CN"/>
              </w:rPr>
            </w:pPr>
          </w:p>
        </w:tc>
        <w:tc>
          <w:tcPr>
            <w:tcW w:w="1756" w:type="dxa"/>
            <w:vAlign w:val="center"/>
          </w:tcPr>
          <w:p>
            <w:pPr>
              <w:spacing w:line="400" w:lineRule="exact"/>
              <w:jc w:val="center"/>
              <w:rPr>
                <w:sz w:val="24"/>
                <w:highlight w:val="none"/>
              </w:rPr>
            </w:pPr>
            <w:r>
              <w:rPr>
                <w:rFonts w:hint="eastAsia"/>
                <w:sz w:val="24"/>
                <w:highlight w:val="none"/>
              </w:rPr>
              <w:t>审核统计</w:t>
            </w:r>
          </w:p>
        </w:tc>
        <w:tc>
          <w:tcPr>
            <w:tcW w:w="6616" w:type="dxa"/>
            <w:vAlign w:val="center"/>
          </w:tcPr>
          <w:p>
            <w:pPr>
              <w:spacing w:line="400" w:lineRule="exact"/>
              <w:jc w:val="left"/>
              <w:rPr>
                <w:sz w:val="24"/>
                <w:highlight w:val="none"/>
              </w:rPr>
            </w:pPr>
            <w:r>
              <w:rPr>
                <w:rFonts w:hint="eastAsia"/>
                <w:sz w:val="24"/>
                <w:highlight w:val="none"/>
              </w:rPr>
              <w:t>系统能够根据多级角色的审核结果从不同维度统计医生行为数据，包括但不限于：医生是否对审核结果进行反馈与修改；以及各个科室、医生组医生的整改率趋势变化及排行；人工审核结果中发现的院内常见问题及常见问题在科室、医生组中的排行情况，常见问题文书分布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restart"/>
            <w:vAlign w:val="center"/>
          </w:tcPr>
          <w:p>
            <w:pPr>
              <w:spacing w:line="400" w:lineRule="exact"/>
              <w:jc w:val="center"/>
              <w:rPr>
                <w:sz w:val="24"/>
                <w:highlight w:val="none"/>
              </w:rPr>
            </w:pPr>
            <w:r>
              <w:rPr>
                <w:rFonts w:hint="eastAsia"/>
                <w:sz w:val="24"/>
                <w:highlight w:val="none"/>
              </w:rPr>
              <w:t>病历内涵质控</w:t>
            </w:r>
          </w:p>
        </w:tc>
        <w:tc>
          <w:tcPr>
            <w:tcW w:w="1756" w:type="dxa"/>
            <w:vAlign w:val="center"/>
          </w:tcPr>
          <w:p>
            <w:pPr>
              <w:spacing w:line="400" w:lineRule="exact"/>
              <w:jc w:val="center"/>
              <w:rPr>
                <w:sz w:val="24"/>
                <w:highlight w:val="none"/>
              </w:rPr>
            </w:pPr>
            <w:r>
              <w:rPr>
                <w:rFonts w:hint="eastAsia"/>
                <w:sz w:val="24"/>
                <w:highlight w:val="none"/>
              </w:rPr>
              <w:t>文书记录缺陷</w:t>
            </w:r>
          </w:p>
        </w:tc>
        <w:tc>
          <w:tcPr>
            <w:tcW w:w="6616" w:type="dxa"/>
            <w:vAlign w:val="center"/>
          </w:tcPr>
          <w:p>
            <w:pPr>
              <w:spacing w:line="400" w:lineRule="exact"/>
              <w:jc w:val="left"/>
              <w:rPr>
                <w:sz w:val="24"/>
                <w:highlight w:val="none"/>
              </w:rPr>
            </w:pPr>
            <w:r>
              <w:rPr>
                <w:rFonts w:hint="eastAsia"/>
                <w:sz w:val="24"/>
                <w:highlight w:val="none"/>
              </w:rPr>
              <w:t>系统可检查各病历文书的记录内容是否存在缺陷；如：主诉缺少时间；现病史主症状缺少诱因、发病地点、性质、程度、加重缓解因素、就诊经过等描述；首次副主任/主任医师查房鉴别诊断、诊疗计划记录不完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spacing w:line="400" w:lineRule="exact"/>
              <w:jc w:val="center"/>
              <w:rPr>
                <w:sz w:val="24"/>
                <w:highlight w:val="none"/>
              </w:rPr>
            </w:pPr>
          </w:p>
        </w:tc>
        <w:tc>
          <w:tcPr>
            <w:tcW w:w="1756" w:type="dxa"/>
            <w:vMerge w:val="restart"/>
            <w:vAlign w:val="center"/>
          </w:tcPr>
          <w:p>
            <w:pPr>
              <w:spacing w:line="400" w:lineRule="exact"/>
              <w:jc w:val="center"/>
              <w:rPr>
                <w:sz w:val="24"/>
                <w:highlight w:val="none"/>
              </w:rPr>
            </w:pPr>
            <w:r>
              <w:rPr>
                <w:rFonts w:hint="eastAsia"/>
                <w:sz w:val="24"/>
                <w:highlight w:val="none"/>
              </w:rPr>
              <w:t>上下文一致性</w:t>
            </w:r>
          </w:p>
        </w:tc>
        <w:tc>
          <w:tcPr>
            <w:tcW w:w="6616" w:type="dxa"/>
            <w:vAlign w:val="center"/>
          </w:tcPr>
          <w:p>
            <w:pPr>
              <w:spacing w:line="400" w:lineRule="exact"/>
              <w:jc w:val="left"/>
              <w:rPr>
                <w:sz w:val="24"/>
                <w:highlight w:val="none"/>
              </w:rPr>
            </w:pPr>
            <w:r>
              <w:rPr>
                <w:rFonts w:hint="eastAsia"/>
                <w:sz w:val="24"/>
                <w:highlight w:val="none"/>
              </w:rPr>
              <w:t>单一文书一致性：</w:t>
            </w:r>
          </w:p>
          <w:p>
            <w:pPr>
              <w:spacing w:line="400" w:lineRule="exact"/>
              <w:jc w:val="left"/>
              <w:rPr>
                <w:sz w:val="24"/>
                <w:highlight w:val="none"/>
              </w:rPr>
            </w:pPr>
            <w:r>
              <w:rPr>
                <w:rFonts w:hint="eastAsia"/>
                <w:sz w:val="24"/>
                <w:highlight w:val="none"/>
              </w:rPr>
              <w:t>系统可检查当前文书中对同一情况的记录是否一致，以此来保证数据准确性，如：入院记录主诉与现病史描述的一致性；体格检查与专科检查记录的一致性；现病史中手术史/外伤史/药物过敏史等与既往史中手术史/外伤史/药物过敏史记录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spacing w:line="400" w:lineRule="exact"/>
              <w:jc w:val="center"/>
              <w:rPr>
                <w:sz w:val="24"/>
                <w:highlight w:val="none"/>
              </w:rPr>
            </w:pPr>
          </w:p>
        </w:tc>
        <w:tc>
          <w:tcPr>
            <w:tcW w:w="1756" w:type="dxa"/>
            <w:vMerge w:val="continue"/>
            <w:vAlign w:val="center"/>
          </w:tcPr>
          <w:p>
            <w:pPr>
              <w:spacing w:line="400" w:lineRule="exact"/>
              <w:jc w:val="center"/>
              <w:rPr>
                <w:sz w:val="24"/>
                <w:highlight w:val="none"/>
              </w:rPr>
            </w:pPr>
          </w:p>
        </w:tc>
        <w:tc>
          <w:tcPr>
            <w:tcW w:w="6616" w:type="dxa"/>
            <w:vAlign w:val="center"/>
          </w:tcPr>
          <w:p>
            <w:pPr>
              <w:spacing w:line="400" w:lineRule="exact"/>
              <w:jc w:val="left"/>
              <w:rPr>
                <w:sz w:val="24"/>
                <w:highlight w:val="none"/>
              </w:rPr>
            </w:pPr>
            <w:r>
              <w:rPr>
                <w:rFonts w:hint="eastAsia"/>
                <w:sz w:val="24"/>
                <w:highlight w:val="none"/>
              </w:rPr>
              <w:t>跨文书一致性：</w:t>
            </w:r>
          </w:p>
          <w:p>
            <w:pPr>
              <w:spacing w:line="400" w:lineRule="exact"/>
              <w:jc w:val="left"/>
              <w:rPr>
                <w:sz w:val="24"/>
                <w:highlight w:val="none"/>
              </w:rPr>
            </w:pPr>
            <w:r>
              <w:rPr>
                <w:rFonts w:hint="eastAsia"/>
                <w:sz w:val="24"/>
                <w:highlight w:val="none"/>
              </w:rPr>
              <w:t>系统可检查全病历文书中对同一情况的记录是否一致，以此来保证数据准确性性，如：手术记录中手术名称/麻醉方式/术中生命体征等与术后首次病程记录中的手术名称/麻醉方式/术中生命体征等记录的一致性，出院记录中的出院带药与医嘱开立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spacing w:line="400" w:lineRule="exact"/>
              <w:jc w:val="center"/>
              <w:rPr>
                <w:sz w:val="24"/>
                <w:highlight w:val="none"/>
              </w:rPr>
            </w:pPr>
          </w:p>
        </w:tc>
        <w:tc>
          <w:tcPr>
            <w:tcW w:w="1756" w:type="dxa"/>
            <w:vAlign w:val="center"/>
          </w:tcPr>
          <w:p>
            <w:pPr>
              <w:spacing w:line="400" w:lineRule="exact"/>
              <w:jc w:val="center"/>
              <w:rPr>
                <w:sz w:val="24"/>
                <w:highlight w:val="none"/>
              </w:rPr>
            </w:pPr>
            <w:r>
              <w:rPr>
                <w:rFonts w:hint="eastAsia"/>
                <w:sz w:val="24"/>
                <w:highlight w:val="none"/>
              </w:rPr>
              <w:t>诊疗过程合理性</w:t>
            </w:r>
          </w:p>
        </w:tc>
        <w:tc>
          <w:tcPr>
            <w:tcW w:w="6616" w:type="dxa"/>
            <w:vAlign w:val="center"/>
          </w:tcPr>
          <w:p>
            <w:pPr>
              <w:spacing w:line="400" w:lineRule="exact"/>
              <w:jc w:val="left"/>
              <w:rPr>
                <w:sz w:val="24"/>
                <w:highlight w:val="none"/>
              </w:rPr>
            </w:pPr>
            <w:r>
              <w:rPr>
                <w:rFonts w:hint="eastAsia"/>
                <w:sz w:val="24"/>
                <w:highlight w:val="none"/>
              </w:rPr>
              <w:t>系统可结合患者全病历文书以及医嘱、检验检查结果等，判断医生的诊疗行为的记录是否符合患者病情特点，如：诊断是否存在合理的诊断依据；重大检验检查结果是否有及时记录；抗生素/激素等药物药物的使用是否有及时记录；限制级抗生素使用前是否有细菌培养结果；血制品输注是否符合输血指征；输血记录是否有血制品、剂量及不良反应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spacing w:line="400" w:lineRule="exact"/>
              <w:jc w:val="center"/>
              <w:rPr>
                <w:sz w:val="24"/>
                <w:highlight w:val="none"/>
              </w:rPr>
            </w:pPr>
          </w:p>
        </w:tc>
        <w:tc>
          <w:tcPr>
            <w:tcW w:w="1756" w:type="dxa"/>
            <w:vAlign w:val="center"/>
          </w:tcPr>
          <w:p>
            <w:pPr>
              <w:spacing w:line="400" w:lineRule="exact"/>
              <w:jc w:val="center"/>
              <w:rPr>
                <w:sz w:val="24"/>
                <w:highlight w:val="none"/>
              </w:rPr>
            </w:pPr>
            <w:r>
              <w:rPr>
                <w:rFonts w:hint="eastAsia"/>
                <w:sz w:val="24"/>
                <w:highlight w:val="none"/>
              </w:rPr>
              <w:t>客观逻辑一致性</w:t>
            </w:r>
          </w:p>
        </w:tc>
        <w:tc>
          <w:tcPr>
            <w:tcW w:w="6616" w:type="dxa"/>
            <w:vAlign w:val="center"/>
          </w:tcPr>
          <w:p>
            <w:pPr>
              <w:spacing w:line="400" w:lineRule="exact"/>
              <w:jc w:val="left"/>
              <w:rPr>
                <w:sz w:val="24"/>
                <w:highlight w:val="none"/>
              </w:rPr>
            </w:pPr>
            <w:r>
              <w:rPr>
                <w:rFonts w:hint="eastAsia"/>
                <w:sz w:val="24"/>
                <w:highlight w:val="none"/>
              </w:rPr>
              <w:t>系统可检查全病历中记录的内容是否符合客观逻辑一致性，</w:t>
            </w:r>
          </w:p>
          <w:p>
            <w:pPr>
              <w:spacing w:line="400" w:lineRule="exact"/>
              <w:jc w:val="left"/>
              <w:rPr>
                <w:sz w:val="24"/>
                <w:highlight w:val="none"/>
              </w:rPr>
            </w:pPr>
            <w:r>
              <w:rPr>
                <w:rFonts w:hint="eastAsia"/>
                <w:sz w:val="24"/>
                <w:highlight w:val="none"/>
              </w:rPr>
              <w:t>患者基本信息（性别、年龄、特殊人员）与入院记录中症状描述的一致性；</w:t>
            </w:r>
          </w:p>
          <w:p>
            <w:pPr>
              <w:spacing w:line="400" w:lineRule="exact"/>
              <w:jc w:val="left"/>
              <w:rPr>
                <w:sz w:val="24"/>
                <w:highlight w:val="none"/>
              </w:rPr>
            </w:pPr>
            <w:r>
              <w:rPr>
                <w:rFonts w:hint="eastAsia"/>
                <w:sz w:val="24"/>
                <w:highlight w:val="none"/>
              </w:rPr>
              <w:t>患者基本信息（性别、年龄、特殊人员）与入院记录中体格检查/专科检查描述的一致性；</w:t>
            </w:r>
          </w:p>
          <w:p>
            <w:pPr>
              <w:spacing w:line="400" w:lineRule="exact"/>
              <w:jc w:val="left"/>
              <w:rPr>
                <w:sz w:val="24"/>
                <w:highlight w:val="none"/>
              </w:rPr>
            </w:pPr>
            <w:r>
              <w:rPr>
                <w:rFonts w:hint="eastAsia"/>
                <w:sz w:val="24"/>
                <w:highlight w:val="none"/>
              </w:rPr>
              <w:t>患者基本信息（性别、年龄、特殊人员）与入院记录中初步诊断/修正诊断/补充诊断记录的一致性等；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spacing w:line="400" w:lineRule="exact"/>
              <w:jc w:val="center"/>
              <w:rPr>
                <w:sz w:val="24"/>
                <w:highlight w:val="none"/>
              </w:rPr>
            </w:pPr>
          </w:p>
        </w:tc>
        <w:tc>
          <w:tcPr>
            <w:tcW w:w="1756" w:type="dxa"/>
            <w:vAlign w:val="center"/>
          </w:tcPr>
          <w:p>
            <w:pPr>
              <w:spacing w:line="400" w:lineRule="exact"/>
              <w:jc w:val="center"/>
              <w:rPr>
                <w:sz w:val="24"/>
                <w:highlight w:val="none"/>
              </w:rPr>
            </w:pPr>
            <w:r>
              <w:rPr>
                <w:rFonts w:hint="eastAsia"/>
                <w:sz w:val="24"/>
                <w:highlight w:val="none"/>
              </w:rPr>
              <w:t>雷同性提醒</w:t>
            </w:r>
          </w:p>
        </w:tc>
        <w:tc>
          <w:tcPr>
            <w:tcW w:w="6616" w:type="dxa"/>
            <w:vAlign w:val="center"/>
          </w:tcPr>
          <w:p>
            <w:pPr>
              <w:spacing w:line="400" w:lineRule="exact"/>
              <w:jc w:val="left"/>
              <w:rPr>
                <w:sz w:val="24"/>
                <w:highlight w:val="none"/>
              </w:rPr>
            </w:pPr>
            <w:r>
              <w:rPr>
                <w:rFonts w:hint="eastAsia"/>
                <w:sz w:val="24"/>
                <w:highlight w:val="none"/>
              </w:rPr>
              <w:t>系统可检查全病历文书记录，对文书进行雷同性判断，当相似度超过一定比例后主动提示质控缺陷，如：首次病程记录中的病历特点和入院记录现病史记录的雷同性判断；首次副主任医医师查房记录与首次主任医师查房记录的雷同性判断；日常查房记录的雷同性判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restart"/>
            <w:vAlign w:val="center"/>
          </w:tcPr>
          <w:p>
            <w:pPr>
              <w:spacing w:line="400" w:lineRule="exact"/>
              <w:jc w:val="center"/>
              <w:rPr>
                <w:sz w:val="24"/>
                <w:highlight w:val="none"/>
              </w:rPr>
            </w:pPr>
            <w:r>
              <w:rPr>
                <w:rFonts w:hint="eastAsia"/>
                <w:sz w:val="24"/>
                <w:highlight w:val="none"/>
              </w:rPr>
              <w:t>质控配置</w:t>
            </w:r>
          </w:p>
        </w:tc>
        <w:tc>
          <w:tcPr>
            <w:tcW w:w="1756" w:type="dxa"/>
            <w:vAlign w:val="center"/>
          </w:tcPr>
          <w:p>
            <w:pPr>
              <w:spacing w:line="400" w:lineRule="exact"/>
              <w:jc w:val="center"/>
              <w:rPr>
                <w:sz w:val="24"/>
                <w:highlight w:val="none"/>
              </w:rPr>
            </w:pPr>
            <w:r>
              <w:rPr>
                <w:rFonts w:hint="eastAsia"/>
                <w:sz w:val="24"/>
                <w:highlight w:val="none"/>
              </w:rPr>
              <w:t>规则查询</w:t>
            </w:r>
          </w:p>
        </w:tc>
        <w:tc>
          <w:tcPr>
            <w:tcW w:w="6616" w:type="dxa"/>
            <w:vAlign w:val="center"/>
          </w:tcPr>
          <w:p>
            <w:pPr>
              <w:spacing w:line="400" w:lineRule="exact"/>
              <w:jc w:val="left"/>
              <w:rPr>
                <w:sz w:val="24"/>
                <w:highlight w:val="none"/>
              </w:rPr>
            </w:pPr>
            <w:r>
              <w:rPr>
                <w:rFonts w:hint="eastAsia"/>
                <w:sz w:val="24"/>
                <w:highlight w:val="none"/>
              </w:rPr>
              <w:t>质控规则应满足《病历书写基本规范》、《医疗质量安全核心制度》相关要求，支持按不同条件检索和查看规则条目；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spacing w:line="400" w:lineRule="exact"/>
              <w:jc w:val="center"/>
              <w:rPr>
                <w:sz w:val="24"/>
                <w:highlight w:val="none"/>
              </w:rPr>
            </w:pPr>
          </w:p>
        </w:tc>
        <w:tc>
          <w:tcPr>
            <w:tcW w:w="1756" w:type="dxa"/>
            <w:vAlign w:val="center"/>
          </w:tcPr>
          <w:p>
            <w:pPr>
              <w:spacing w:line="400" w:lineRule="exact"/>
              <w:jc w:val="center"/>
              <w:rPr>
                <w:sz w:val="24"/>
                <w:highlight w:val="none"/>
              </w:rPr>
            </w:pPr>
            <w:r>
              <w:rPr>
                <w:rFonts w:hint="eastAsia"/>
                <w:sz w:val="24"/>
                <w:highlight w:val="none"/>
              </w:rPr>
              <w:t>规则配置</w:t>
            </w:r>
          </w:p>
        </w:tc>
        <w:tc>
          <w:tcPr>
            <w:tcW w:w="6616" w:type="dxa"/>
            <w:vAlign w:val="center"/>
          </w:tcPr>
          <w:p>
            <w:pPr>
              <w:spacing w:line="400" w:lineRule="exact"/>
              <w:jc w:val="left"/>
              <w:rPr>
                <w:sz w:val="24"/>
                <w:highlight w:val="none"/>
              </w:rPr>
            </w:pPr>
            <w:r>
              <w:rPr>
                <w:rFonts w:hint="eastAsia"/>
                <w:sz w:val="24"/>
                <w:highlight w:val="none"/>
              </w:rPr>
              <w:t>系统应支持根据医院实际质控情况，自定义调整规则的启用/关闭、提醒类型、提醒级别等，以满足医院个性化管理需求；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spacing w:line="400" w:lineRule="exact"/>
              <w:jc w:val="center"/>
              <w:rPr>
                <w:sz w:val="24"/>
                <w:highlight w:val="none"/>
              </w:rPr>
            </w:pPr>
          </w:p>
        </w:tc>
        <w:tc>
          <w:tcPr>
            <w:tcW w:w="1756" w:type="dxa"/>
            <w:vAlign w:val="center"/>
          </w:tcPr>
          <w:p>
            <w:pPr>
              <w:spacing w:line="400" w:lineRule="exact"/>
              <w:jc w:val="center"/>
              <w:rPr>
                <w:sz w:val="24"/>
                <w:highlight w:val="none"/>
              </w:rPr>
            </w:pPr>
            <w:r>
              <w:rPr>
                <w:rFonts w:hint="eastAsia"/>
                <w:sz w:val="24"/>
                <w:highlight w:val="none"/>
              </w:rPr>
              <w:t>自定义规则</w:t>
            </w:r>
          </w:p>
        </w:tc>
        <w:tc>
          <w:tcPr>
            <w:tcW w:w="6616" w:type="dxa"/>
            <w:vAlign w:val="center"/>
          </w:tcPr>
          <w:p>
            <w:pPr>
              <w:spacing w:line="400" w:lineRule="exact"/>
              <w:jc w:val="left"/>
              <w:rPr>
                <w:sz w:val="24"/>
                <w:highlight w:val="none"/>
              </w:rPr>
            </w:pPr>
            <w:r>
              <w:rPr>
                <w:rFonts w:hint="eastAsia"/>
                <w:sz w:val="24"/>
                <w:highlight w:val="none"/>
              </w:rPr>
              <w:t>系统支持院方自行定义质控点，如：先兆流产患者需要在入院记录现病史中描述宫缩、宫颈情况和阴道见红等情况，在工作后台可以进行自定义配置，配置完成后现场即可打开该规则查看结果，并可以进行配置质控点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spacing w:line="400" w:lineRule="exact"/>
              <w:jc w:val="center"/>
              <w:rPr>
                <w:sz w:val="24"/>
                <w:highlight w:val="none"/>
              </w:rPr>
            </w:pPr>
          </w:p>
        </w:tc>
        <w:tc>
          <w:tcPr>
            <w:tcW w:w="1756" w:type="dxa"/>
            <w:vAlign w:val="center"/>
          </w:tcPr>
          <w:p>
            <w:pPr>
              <w:spacing w:line="400" w:lineRule="exact"/>
              <w:jc w:val="center"/>
              <w:rPr>
                <w:sz w:val="24"/>
                <w:highlight w:val="none"/>
              </w:rPr>
            </w:pPr>
            <w:r>
              <w:rPr>
                <w:rFonts w:hint="eastAsia"/>
                <w:sz w:val="24"/>
                <w:highlight w:val="none"/>
              </w:rPr>
              <w:t>评分表配置</w:t>
            </w:r>
          </w:p>
        </w:tc>
        <w:tc>
          <w:tcPr>
            <w:tcW w:w="6616" w:type="dxa"/>
            <w:vAlign w:val="center"/>
          </w:tcPr>
          <w:p>
            <w:pPr>
              <w:spacing w:line="400" w:lineRule="exact"/>
              <w:jc w:val="left"/>
              <w:rPr>
                <w:sz w:val="24"/>
                <w:highlight w:val="none"/>
              </w:rPr>
            </w:pPr>
            <w:r>
              <w:rPr>
                <w:rFonts w:hint="eastAsia"/>
                <w:sz w:val="24"/>
                <w:highlight w:val="none"/>
              </w:rPr>
              <w:t>系统应支持多版本评分表切换，如《北京市2009年版住院病历书写质量评估标准》、《浙江省住院病历质量检查评分表2021版》、《浙江省运行病历、医疗核心制度检查评分标准》等，并支持医院新增病历质控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restart"/>
            <w:vAlign w:val="center"/>
          </w:tcPr>
          <w:p>
            <w:pPr>
              <w:spacing w:line="400" w:lineRule="exact"/>
              <w:jc w:val="center"/>
              <w:rPr>
                <w:sz w:val="24"/>
                <w:highlight w:val="none"/>
              </w:rPr>
            </w:pPr>
            <w:r>
              <w:rPr>
                <w:rFonts w:hint="eastAsia"/>
                <w:sz w:val="24"/>
                <w:highlight w:val="none"/>
              </w:rPr>
              <w:t>病历质量管理</w:t>
            </w:r>
          </w:p>
        </w:tc>
        <w:tc>
          <w:tcPr>
            <w:tcW w:w="1756" w:type="dxa"/>
            <w:vMerge w:val="restart"/>
            <w:vAlign w:val="center"/>
          </w:tcPr>
          <w:p>
            <w:pPr>
              <w:spacing w:line="400" w:lineRule="exact"/>
              <w:jc w:val="center"/>
              <w:rPr>
                <w:sz w:val="24"/>
                <w:highlight w:val="none"/>
              </w:rPr>
            </w:pPr>
            <w:r>
              <w:rPr>
                <w:rFonts w:hint="eastAsia"/>
                <w:sz w:val="24"/>
                <w:highlight w:val="none"/>
              </w:rPr>
              <w:t>工作台</w:t>
            </w:r>
          </w:p>
        </w:tc>
        <w:tc>
          <w:tcPr>
            <w:tcW w:w="6616" w:type="dxa"/>
            <w:vAlign w:val="center"/>
          </w:tcPr>
          <w:p>
            <w:pPr>
              <w:spacing w:line="400" w:lineRule="exact"/>
              <w:jc w:val="left"/>
              <w:rPr>
                <w:sz w:val="24"/>
                <w:highlight w:val="none"/>
              </w:rPr>
            </w:pPr>
            <w:r>
              <w:rPr>
                <w:rFonts w:hint="eastAsia"/>
                <w:sz w:val="24"/>
                <w:highlight w:val="none"/>
              </w:rPr>
              <w:t>出院患者统计：</w:t>
            </w:r>
          </w:p>
          <w:p>
            <w:pPr>
              <w:spacing w:line="400" w:lineRule="exact"/>
              <w:jc w:val="left"/>
              <w:rPr>
                <w:sz w:val="24"/>
                <w:highlight w:val="none"/>
              </w:rPr>
            </w:pPr>
            <w:r>
              <w:rPr>
                <w:rFonts w:hint="eastAsia"/>
                <w:sz w:val="24"/>
                <w:highlight w:val="none"/>
              </w:rPr>
              <w:t>系统可按月/年份/自定义时间段统计出院患者总人数、死亡人数、已审核病历数等，可点击统计结果下钻查看患者明细及病历详情，并支持按权限进行全院/科室/医疗组/个人等不同层面的统计结果展示。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spacing w:line="400" w:lineRule="exact"/>
              <w:jc w:val="center"/>
              <w:rPr>
                <w:sz w:val="24"/>
                <w:highlight w:val="none"/>
              </w:rPr>
            </w:pPr>
          </w:p>
        </w:tc>
        <w:tc>
          <w:tcPr>
            <w:tcW w:w="1756" w:type="dxa"/>
            <w:vMerge w:val="continue"/>
            <w:vAlign w:val="center"/>
          </w:tcPr>
          <w:p>
            <w:pPr>
              <w:spacing w:line="400" w:lineRule="exact"/>
              <w:jc w:val="center"/>
              <w:rPr>
                <w:sz w:val="24"/>
                <w:highlight w:val="none"/>
              </w:rPr>
            </w:pPr>
          </w:p>
        </w:tc>
        <w:tc>
          <w:tcPr>
            <w:tcW w:w="6616" w:type="dxa"/>
            <w:vAlign w:val="center"/>
          </w:tcPr>
          <w:p>
            <w:pPr>
              <w:spacing w:line="400" w:lineRule="exact"/>
              <w:jc w:val="left"/>
              <w:rPr>
                <w:sz w:val="24"/>
                <w:highlight w:val="none"/>
              </w:rPr>
            </w:pPr>
            <w:r>
              <w:rPr>
                <w:rFonts w:hint="eastAsia"/>
                <w:sz w:val="24"/>
                <w:highlight w:val="none"/>
              </w:rPr>
              <w:t>病历等级统计：</w:t>
            </w:r>
          </w:p>
          <w:p>
            <w:pPr>
              <w:spacing w:line="400" w:lineRule="exact"/>
              <w:jc w:val="left"/>
              <w:rPr>
                <w:sz w:val="24"/>
                <w:highlight w:val="none"/>
              </w:rPr>
            </w:pPr>
            <w:r>
              <w:rPr>
                <w:rFonts w:hint="eastAsia"/>
                <w:sz w:val="24"/>
                <w:highlight w:val="none"/>
              </w:rPr>
              <w:t>系统可按月/年份/自定义时间段统计任意时间段内的甲/乙/丙级病历的比例，通过饼状图进行展示，并支持按权限进行全院/科室/医疗组/个人等不同层面的数据展示。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spacing w:line="400" w:lineRule="exact"/>
              <w:jc w:val="center"/>
              <w:rPr>
                <w:sz w:val="24"/>
                <w:highlight w:val="none"/>
              </w:rPr>
            </w:pPr>
          </w:p>
        </w:tc>
        <w:tc>
          <w:tcPr>
            <w:tcW w:w="1756" w:type="dxa"/>
            <w:vMerge w:val="continue"/>
            <w:vAlign w:val="center"/>
          </w:tcPr>
          <w:p>
            <w:pPr>
              <w:spacing w:line="400" w:lineRule="exact"/>
              <w:jc w:val="center"/>
              <w:rPr>
                <w:sz w:val="24"/>
                <w:highlight w:val="none"/>
              </w:rPr>
            </w:pPr>
          </w:p>
        </w:tc>
        <w:tc>
          <w:tcPr>
            <w:tcW w:w="6616" w:type="dxa"/>
            <w:vAlign w:val="center"/>
          </w:tcPr>
          <w:p>
            <w:pPr>
              <w:spacing w:line="400" w:lineRule="exact"/>
              <w:jc w:val="left"/>
              <w:rPr>
                <w:sz w:val="24"/>
                <w:highlight w:val="none"/>
              </w:rPr>
            </w:pPr>
            <w:r>
              <w:rPr>
                <w:rFonts w:hint="eastAsia"/>
                <w:sz w:val="24"/>
                <w:highlight w:val="none"/>
              </w:rPr>
              <w:t>临床医生质控详情：</w:t>
            </w:r>
          </w:p>
          <w:p>
            <w:pPr>
              <w:spacing w:line="400" w:lineRule="exact"/>
              <w:jc w:val="left"/>
              <w:rPr>
                <w:sz w:val="24"/>
                <w:highlight w:val="none"/>
              </w:rPr>
            </w:pPr>
            <w:r>
              <w:rPr>
                <w:rFonts w:hint="eastAsia"/>
                <w:sz w:val="24"/>
                <w:highlight w:val="none"/>
              </w:rPr>
              <w:t>系统可统计全院各临床医生的病历质控情况并排名，可查看某医生在任意时间段内的出院患者数量、死亡患者数量、病历书写平均分、病历拼接文书数控、被驳回的病历数量等，支持按姓名条件检索查看院内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spacing w:line="400" w:lineRule="exact"/>
              <w:jc w:val="center"/>
              <w:rPr>
                <w:sz w:val="24"/>
                <w:highlight w:val="none"/>
              </w:rPr>
            </w:pPr>
          </w:p>
        </w:tc>
        <w:tc>
          <w:tcPr>
            <w:tcW w:w="1756" w:type="dxa"/>
            <w:vMerge w:val="continue"/>
            <w:vAlign w:val="center"/>
          </w:tcPr>
          <w:p>
            <w:pPr>
              <w:spacing w:line="400" w:lineRule="exact"/>
              <w:jc w:val="center"/>
              <w:rPr>
                <w:sz w:val="24"/>
                <w:highlight w:val="none"/>
              </w:rPr>
            </w:pPr>
          </w:p>
        </w:tc>
        <w:tc>
          <w:tcPr>
            <w:tcW w:w="6616" w:type="dxa"/>
            <w:vAlign w:val="center"/>
          </w:tcPr>
          <w:p>
            <w:pPr>
              <w:spacing w:line="400" w:lineRule="exact"/>
              <w:jc w:val="left"/>
              <w:rPr>
                <w:sz w:val="24"/>
                <w:highlight w:val="none"/>
              </w:rPr>
            </w:pPr>
            <w:r>
              <w:rPr>
                <w:rFonts w:hint="eastAsia"/>
                <w:sz w:val="24"/>
                <w:highlight w:val="none"/>
              </w:rPr>
              <w:t>运行病历缺陷统计：</w:t>
            </w:r>
          </w:p>
          <w:p>
            <w:pPr>
              <w:spacing w:line="400" w:lineRule="exact"/>
              <w:jc w:val="left"/>
              <w:rPr>
                <w:sz w:val="24"/>
                <w:highlight w:val="none"/>
              </w:rPr>
            </w:pPr>
            <w:r>
              <w:rPr>
                <w:rFonts w:hint="eastAsia"/>
                <w:sz w:val="24"/>
                <w:highlight w:val="none"/>
              </w:rPr>
              <w:t>系统可统计目前在院患者的病历书写缺陷条目，并提示对应的病历数量，可通过点击病历数量展示触发该规则的病历的基本信息及病历原文。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spacing w:line="400" w:lineRule="exact"/>
              <w:jc w:val="center"/>
              <w:rPr>
                <w:sz w:val="24"/>
                <w:highlight w:val="none"/>
              </w:rPr>
            </w:pPr>
          </w:p>
        </w:tc>
        <w:tc>
          <w:tcPr>
            <w:tcW w:w="1756" w:type="dxa"/>
            <w:vAlign w:val="center"/>
          </w:tcPr>
          <w:p>
            <w:pPr>
              <w:spacing w:line="400" w:lineRule="exact"/>
              <w:jc w:val="center"/>
              <w:rPr>
                <w:sz w:val="24"/>
                <w:highlight w:val="none"/>
              </w:rPr>
            </w:pPr>
            <w:r>
              <w:rPr>
                <w:rFonts w:hint="eastAsia"/>
                <w:sz w:val="24"/>
                <w:highlight w:val="none"/>
              </w:rPr>
              <w:t>病历质量整体情况统计</w:t>
            </w:r>
          </w:p>
        </w:tc>
        <w:tc>
          <w:tcPr>
            <w:tcW w:w="6616" w:type="dxa"/>
            <w:vAlign w:val="center"/>
          </w:tcPr>
          <w:p>
            <w:pPr>
              <w:spacing w:line="400" w:lineRule="exact"/>
              <w:jc w:val="left"/>
              <w:rPr>
                <w:sz w:val="24"/>
                <w:highlight w:val="none"/>
              </w:rPr>
            </w:pPr>
            <w:r>
              <w:rPr>
                <w:rFonts w:hint="eastAsia"/>
                <w:sz w:val="24"/>
                <w:highlight w:val="none"/>
              </w:rPr>
              <w:t>系统可自动统计全院病历质控情况，自动区分运行数据和终末数据，可通过柱状图、饼状图查看科室质控问题数量排名、单项否决项比例、质控缺陷占比、文书缺陷占比、全院及科室时效性问题分布情况等，并支持按权限进行全院/科室/医疗组/个人等不同层面的统计结果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spacing w:line="400" w:lineRule="exact"/>
              <w:jc w:val="center"/>
              <w:rPr>
                <w:sz w:val="24"/>
                <w:highlight w:val="none"/>
              </w:rPr>
            </w:pPr>
          </w:p>
        </w:tc>
        <w:tc>
          <w:tcPr>
            <w:tcW w:w="1756" w:type="dxa"/>
            <w:vAlign w:val="center"/>
          </w:tcPr>
          <w:p>
            <w:pPr>
              <w:spacing w:line="400" w:lineRule="exact"/>
              <w:jc w:val="center"/>
              <w:rPr>
                <w:sz w:val="24"/>
                <w:highlight w:val="none"/>
              </w:rPr>
            </w:pPr>
            <w:r>
              <w:rPr>
                <w:rFonts w:hint="eastAsia"/>
                <w:sz w:val="24"/>
                <w:highlight w:val="none"/>
              </w:rPr>
              <w:t>病案管理质    量控制指标</w:t>
            </w:r>
          </w:p>
        </w:tc>
        <w:tc>
          <w:tcPr>
            <w:tcW w:w="6616" w:type="dxa"/>
            <w:vAlign w:val="center"/>
          </w:tcPr>
          <w:p>
            <w:pPr>
              <w:spacing w:line="400" w:lineRule="exact"/>
              <w:jc w:val="left"/>
              <w:rPr>
                <w:sz w:val="24"/>
                <w:highlight w:val="none"/>
              </w:rPr>
            </w:pPr>
            <w:r>
              <w:rPr>
                <w:sz w:val="24"/>
                <w:highlight w:val="none"/>
              </w:rPr>
              <w:t>系统可自动统计病案管理质量控制指标，包括人力资源配置指标、重大检查结果符合率、病历书写时效性指标、诊疗行为记录符合率、病历归档质量指标等共二十七项统计指标，并支持按自定义时间段及科室查看不同层面的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spacing w:line="400" w:lineRule="exact"/>
              <w:jc w:val="center"/>
              <w:rPr>
                <w:sz w:val="24"/>
                <w:highlight w:val="none"/>
              </w:rPr>
            </w:pPr>
          </w:p>
        </w:tc>
        <w:tc>
          <w:tcPr>
            <w:tcW w:w="1756" w:type="dxa"/>
            <w:vAlign w:val="center"/>
          </w:tcPr>
          <w:p>
            <w:pPr>
              <w:spacing w:line="400" w:lineRule="exact"/>
              <w:jc w:val="center"/>
              <w:rPr>
                <w:sz w:val="24"/>
                <w:highlight w:val="none"/>
              </w:rPr>
            </w:pPr>
            <w:r>
              <w:rPr>
                <w:rFonts w:hint="eastAsia"/>
                <w:sz w:val="24"/>
                <w:highlight w:val="none"/>
              </w:rPr>
              <w:t>病历质控问题明细</w:t>
            </w:r>
          </w:p>
        </w:tc>
        <w:tc>
          <w:tcPr>
            <w:tcW w:w="6616" w:type="dxa"/>
            <w:vAlign w:val="center"/>
          </w:tcPr>
          <w:p>
            <w:pPr>
              <w:spacing w:line="400" w:lineRule="exact"/>
              <w:jc w:val="left"/>
              <w:rPr>
                <w:sz w:val="24"/>
                <w:highlight w:val="none"/>
              </w:rPr>
            </w:pPr>
            <w:r>
              <w:rPr>
                <w:rFonts w:hint="eastAsia"/>
                <w:sz w:val="24"/>
                <w:highlight w:val="none"/>
              </w:rPr>
              <w:t>系统可查看全院各科室在任意时间段的质控缺陷明细，并可查看该质控缺陷对应数量的病历详情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spacing w:line="400" w:lineRule="exact"/>
              <w:jc w:val="center"/>
              <w:rPr>
                <w:sz w:val="24"/>
                <w:highlight w:val="none"/>
              </w:rPr>
            </w:pPr>
          </w:p>
        </w:tc>
        <w:tc>
          <w:tcPr>
            <w:tcW w:w="1756" w:type="dxa"/>
            <w:vAlign w:val="center"/>
          </w:tcPr>
          <w:p>
            <w:pPr>
              <w:spacing w:line="400" w:lineRule="exact"/>
              <w:jc w:val="center"/>
              <w:rPr>
                <w:sz w:val="24"/>
                <w:highlight w:val="none"/>
              </w:rPr>
            </w:pPr>
            <w:r>
              <w:rPr>
                <w:rFonts w:hint="eastAsia"/>
                <w:sz w:val="24"/>
                <w:highlight w:val="none"/>
              </w:rPr>
              <w:t>文书时效性监测</w:t>
            </w:r>
          </w:p>
        </w:tc>
        <w:tc>
          <w:tcPr>
            <w:tcW w:w="6616" w:type="dxa"/>
            <w:vAlign w:val="center"/>
          </w:tcPr>
          <w:p>
            <w:pPr>
              <w:spacing w:line="400" w:lineRule="exact"/>
              <w:jc w:val="left"/>
              <w:rPr>
                <w:sz w:val="24"/>
                <w:highlight w:val="none"/>
              </w:rPr>
            </w:pPr>
            <w:r>
              <w:rPr>
                <w:rFonts w:hint="eastAsia"/>
                <w:sz w:val="24"/>
                <w:highlight w:val="none"/>
              </w:rPr>
              <w:t>系统可对全部在院患者的文书时效性进行实时监测，如入院记录在患者入院后多少小时完成、谈话记录在患者入院后多少小时完成、手术记录在患者术后多少小时完成等，并支持按权限进行全院/科室/医疗组等不同层面的统计结果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restart"/>
            <w:vAlign w:val="center"/>
          </w:tcPr>
          <w:p>
            <w:pPr>
              <w:spacing w:line="400" w:lineRule="exact"/>
              <w:jc w:val="center"/>
              <w:rPr>
                <w:sz w:val="24"/>
                <w:highlight w:val="none"/>
              </w:rPr>
            </w:pPr>
            <w:r>
              <w:rPr>
                <w:rFonts w:hint="eastAsia"/>
                <w:sz w:val="24"/>
                <w:highlight w:val="none"/>
              </w:rPr>
              <w:t>权限配置</w:t>
            </w:r>
          </w:p>
        </w:tc>
        <w:tc>
          <w:tcPr>
            <w:tcW w:w="1756" w:type="dxa"/>
            <w:vMerge w:val="restart"/>
            <w:vAlign w:val="center"/>
          </w:tcPr>
          <w:p>
            <w:pPr>
              <w:spacing w:line="400" w:lineRule="exact"/>
              <w:jc w:val="center"/>
              <w:rPr>
                <w:sz w:val="24"/>
                <w:highlight w:val="none"/>
              </w:rPr>
            </w:pPr>
            <w:r>
              <w:rPr>
                <w:rFonts w:hint="eastAsia"/>
                <w:sz w:val="24"/>
                <w:highlight w:val="none"/>
              </w:rPr>
              <w:t>用户管理</w:t>
            </w:r>
          </w:p>
        </w:tc>
        <w:tc>
          <w:tcPr>
            <w:tcW w:w="6616" w:type="dxa"/>
            <w:vAlign w:val="center"/>
          </w:tcPr>
          <w:p>
            <w:pPr>
              <w:spacing w:line="400" w:lineRule="exact"/>
              <w:jc w:val="left"/>
              <w:rPr>
                <w:sz w:val="24"/>
                <w:highlight w:val="none"/>
              </w:rPr>
            </w:pPr>
            <w:r>
              <w:rPr>
                <w:rFonts w:hint="eastAsia"/>
                <w:sz w:val="24"/>
                <w:highlight w:val="none"/>
              </w:rPr>
              <w:t>系统应支持管理员设置不同角色权限，不同权限的角色在使用时功能模块和数据不一致。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spacing w:line="400" w:lineRule="exact"/>
              <w:jc w:val="center"/>
              <w:rPr>
                <w:sz w:val="24"/>
                <w:highlight w:val="none"/>
              </w:rPr>
            </w:pPr>
          </w:p>
        </w:tc>
        <w:tc>
          <w:tcPr>
            <w:tcW w:w="1756" w:type="dxa"/>
            <w:vMerge w:val="continue"/>
            <w:vAlign w:val="center"/>
          </w:tcPr>
          <w:p>
            <w:pPr>
              <w:spacing w:line="400" w:lineRule="exact"/>
              <w:jc w:val="center"/>
              <w:rPr>
                <w:sz w:val="24"/>
                <w:highlight w:val="none"/>
              </w:rPr>
            </w:pPr>
          </w:p>
        </w:tc>
        <w:tc>
          <w:tcPr>
            <w:tcW w:w="6616" w:type="dxa"/>
            <w:vAlign w:val="center"/>
          </w:tcPr>
          <w:p>
            <w:pPr>
              <w:spacing w:line="400" w:lineRule="exact"/>
              <w:jc w:val="left"/>
              <w:rPr>
                <w:sz w:val="24"/>
                <w:highlight w:val="none"/>
              </w:rPr>
            </w:pPr>
            <w:r>
              <w:rPr>
                <w:rFonts w:hint="eastAsia"/>
                <w:sz w:val="24"/>
                <w:highlight w:val="none"/>
              </w:rPr>
              <w:t>系统应支持管理员对病历审核流程的级别进行自定义配置管理。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spacing w:line="400" w:lineRule="exact"/>
              <w:jc w:val="center"/>
              <w:rPr>
                <w:sz w:val="24"/>
                <w:highlight w:val="none"/>
              </w:rPr>
            </w:pPr>
          </w:p>
        </w:tc>
        <w:tc>
          <w:tcPr>
            <w:tcW w:w="1756" w:type="dxa"/>
            <w:vMerge w:val="continue"/>
            <w:vAlign w:val="center"/>
          </w:tcPr>
          <w:p>
            <w:pPr>
              <w:spacing w:line="400" w:lineRule="exact"/>
              <w:jc w:val="center"/>
              <w:rPr>
                <w:sz w:val="24"/>
                <w:highlight w:val="none"/>
              </w:rPr>
            </w:pPr>
          </w:p>
        </w:tc>
        <w:tc>
          <w:tcPr>
            <w:tcW w:w="6616" w:type="dxa"/>
            <w:vAlign w:val="center"/>
          </w:tcPr>
          <w:p>
            <w:pPr>
              <w:spacing w:line="400" w:lineRule="exact"/>
              <w:jc w:val="left"/>
              <w:rPr>
                <w:sz w:val="24"/>
                <w:highlight w:val="none"/>
              </w:rPr>
            </w:pPr>
            <w:r>
              <w:rPr>
                <w:rFonts w:hint="eastAsia"/>
                <w:sz w:val="24"/>
                <w:highlight w:val="none"/>
              </w:rPr>
              <w:t>系统应支持管理员对角色的功能模块权限进行自定义配置管理。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continue"/>
            <w:vAlign w:val="center"/>
          </w:tcPr>
          <w:p>
            <w:pPr>
              <w:spacing w:line="400" w:lineRule="exact"/>
              <w:jc w:val="center"/>
              <w:rPr>
                <w:sz w:val="24"/>
                <w:highlight w:val="none"/>
              </w:rPr>
            </w:pPr>
          </w:p>
        </w:tc>
        <w:tc>
          <w:tcPr>
            <w:tcW w:w="1756" w:type="dxa"/>
            <w:vMerge w:val="continue"/>
            <w:vAlign w:val="center"/>
          </w:tcPr>
          <w:p>
            <w:pPr>
              <w:spacing w:line="400" w:lineRule="exact"/>
              <w:jc w:val="center"/>
              <w:rPr>
                <w:sz w:val="24"/>
                <w:highlight w:val="none"/>
              </w:rPr>
            </w:pPr>
          </w:p>
        </w:tc>
        <w:tc>
          <w:tcPr>
            <w:tcW w:w="6616" w:type="dxa"/>
            <w:vAlign w:val="center"/>
          </w:tcPr>
          <w:p>
            <w:pPr>
              <w:spacing w:line="400" w:lineRule="exact"/>
              <w:jc w:val="left"/>
              <w:rPr>
                <w:sz w:val="24"/>
                <w:highlight w:val="none"/>
              </w:rPr>
            </w:pPr>
            <w:r>
              <w:rPr>
                <w:rFonts w:hint="eastAsia"/>
                <w:sz w:val="24"/>
                <w:highlight w:val="none"/>
              </w:rPr>
              <w:t>系统应支持管理员对角色数据查看权限的范围进行自定义配置管理。</w:t>
            </w:r>
          </w:p>
        </w:tc>
      </w:tr>
    </w:tbl>
    <w:p>
      <w:pPr>
        <w:pStyle w:val="980"/>
        <w:ind w:firstLine="420"/>
        <w:rPr>
          <w:bCs/>
          <w:highlight w:val="none"/>
        </w:rPr>
      </w:pPr>
      <w:r>
        <w:rPr>
          <w:rFonts w:hint="eastAsia"/>
          <w:highlight w:val="none"/>
        </w:rPr>
        <w:t>（三）</w:t>
      </w:r>
      <w:r>
        <w:rPr>
          <w:highlight w:val="none"/>
        </w:rPr>
        <w:t>系统功能</w:t>
      </w:r>
      <w:r>
        <w:rPr>
          <w:rFonts w:hint="eastAsia"/>
          <w:highlight w:val="none"/>
        </w:rPr>
        <w:t>参数</w:t>
      </w:r>
      <w:r>
        <w:rPr>
          <w:highlight w:val="none"/>
        </w:rPr>
        <w:t>要求</w:t>
      </w:r>
    </w:p>
    <w:p>
      <w:pPr>
        <w:pStyle w:val="980"/>
        <w:ind w:firstLine="420"/>
        <w:rPr>
          <w:highlight w:val="none"/>
        </w:rPr>
      </w:pPr>
      <w:r>
        <w:rPr>
          <w:highlight w:val="none"/>
        </w:rPr>
        <w:t>病案首页控制系统</w:t>
      </w:r>
    </w:p>
    <w:tbl>
      <w:tblPr>
        <w:tblStyle w:val="64"/>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752"/>
        <w:gridCol w:w="6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Align w:val="center"/>
          </w:tcPr>
          <w:p>
            <w:pPr>
              <w:pStyle w:val="60"/>
              <w:widowControl w:val="0"/>
              <w:kinsoku w:val="0"/>
              <w:overflowPunct w:val="0"/>
              <w:spacing w:before="0" w:beforeAutospacing="0" w:after="0" w:afterAutospacing="0" w:line="400" w:lineRule="exact"/>
              <w:ind w:firstLine="482"/>
              <w:jc w:val="both"/>
              <w:rPr>
                <w:rFonts w:ascii="Times New Roman" w:hAnsi="Times New Roman"/>
                <w:highlight w:val="none"/>
              </w:rPr>
            </w:pPr>
            <w:r>
              <w:rPr>
                <w:rFonts w:hint="eastAsia"/>
                <w:b/>
                <w:kern w:val="2"/>
                <w:highlight w:val="none"/>
              </w:rPr>
              <w:t>分系统名称</w:t>
            </w:r>
          </w:p>
        </w:tc>
        <w:tc>
          <w:tcPr>
            <w:tcW w:w="1752" w:type="dxa"/>
            <w:vAlign w:val="center"/>
          </w:tcPr>
          <w:p>
            <w:pPr>
              <w:pStyle w:val="60"/>
              <w:widowControl w:val="0"/>
              <w:kinsoku w:val="0"/>
              <w:overflowPunct w:val="0"/>
              <w:spacing w:before="0" w:beforeAutospacing="0" w:after="0" w:afterAutospacing="0" w:line="400" w:lineRule="exact"/>
              <w:ind w:firstLine="482"/>
              <w:jc w:val="center"/>
              <w:rPr>
                <w:rFonts w:ascii="Times New Roman" w:hAnsi="Times New Roman"/>
                <w:highlight w:val="none"/>
              </w:rPr>
            </w:pPr>
            <w:r>
              <w:rPr>
                <w:rFonts w:hint="eastAsia"/>
                <w:b/>
                <w:kern w:val="2"/>
                <w:highlight w:val="none"/>
              </w:rPr>
              <w:t>系统功能</w:t>
            </w:r>
          </w:p>
        </w:tc>
        <w:tc>
          <w:tcPr>
            <w:tcW w:w="6877" w:type="dxa"/>
          </w:tcPr>
          <w:p>
            <w:pPr>
              <w:pStyle w:val="60"/>
              <w:widowControl w:val="0"/>
              <w:kinsoku w:val="0"/>
              <w:overflowPunct w:val="0"/>
              <w:spacing w:before="0" w:beforeAutospacing="0" w:after="0" w:afterAutospacing="0" w:line="400" w:lineRule="exact"/>
              <w:ind w:firstLine="482"/>
              <w:jc w:val="center"/>
              <w:rPr>
                <w:rFonts w:ascii="Times New Roman" w:hAnsi="Times New Roman"/>
                <w:highlight w:val="none"/>
              </w:rPr>
            </w:pPr>
            <w:r>
              <w:rPr>
                <w:rFonts w:hint="eastAsia"/>
                <w:b/>
                <w:kern w:val="2"/>
                <w:highlight w:val="none"/>
              </w:rPr>
              <w:t>功能描述及要求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vAlign w:val="center"/>
          </w:tcPr>
          <w:p>
            <w:pPr>
              <w:spacing w:line="440" w:lineRule="exact"/>
              <w:jc w:val="center"/>
              <w:rPr>
                <w:sz w:val="24"/>
                <w:highlight w:val="none"/>
              </w:rPr>
            </w:pPr>
            <w:r>
              <w:rPr>
                <w:rFonts w:hint="eastAsia"/>
                <w:kern w:val="0"/>
                <w:sz w:val="24"/>
                <w:highlight w:val="none"/>
              </w:rPr>
              <w:t>病案首页</w:t>
            </w:r>
            <w:r>
              <w:rPr>
                <w:kern w:val="0"/>
                <w:sz w:val="24"/>
                <w:highlight w:val="none"/>
              </w:rPr>
              <w:t>形式质控</w:t>
            </w:r>
          </w:p>
        </w:tc>
        <w:tc>
          <w:tcPr>
            <w:tcW w:w="1752" w:type="dxa"/>
            <w:vMerge w:val="restart"/>
            <w:vAlign w:val="center"/>
          </w:tcPr>
          <w:p>
            <w:pPr>
              <w:spacing w:line="440" w:lineRule="exact"/>
              <w:jc w:val="center"/>
              <w:rPr>
                <w:sz w:val="24"/>
                <w:highlight w:val="none"/>
              </w:rPr>
            </w:pPr>
            <w:r>
              <w:rPr>
                <w:kern w:val="0"/>
                <w:sz w:val="24"/>
                <w:highlight w:val="none"/>
              </w:rPr>
              <w:t>病案首页数据合理性</w:t>
            </w:r>
          </w:p>
        </w:tc>
        <w:tc>
          <w:tcPr>
            <w:tcW w:w="6877" w:type="dxa"/>
            <w:vAlign w:val="center"/>
          </w:tcPr>
          <w:p>
            <w:pPr>
              <w:spacing w:line="440" w:lineRule="exact"/>
              <w:jc w:val="left"/>
              <w:rPr>
                <w:sz w:val="24"/>
                <w:highlight w:val="none"/>
              </w:rPr>
            </w:pPr>
            <w:r>
              <w:rPr>
                <w:kern w:val="0"/>
                <w:sz w:val="24"/>
                <w:highlight w:val="none"/>
              </w:rPr>
              <w:t>满足国卫办医发〔2016〕24号《国家卫生计生委办公厅关于印发住院病案首页数据填写质量规范（暂行）和住院病案首页数据质量管理与控制指标（2016版）的通知》中病案首页数据质量填写规范的要求。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pStyle w:val="963"/>
              <w:kinsoku w:val="0"/>
              <w:overflowPunct w:val="0"/>
              <w:spacing w:line="440" w:lineRule="exact"/>
              <w:rPr>
                <w:rFonts w:ascii="Times New Roman" w:hAnsi="Times New Roman"/>
                <w:szCs w:val="24"/>
                <w:highlight w:val="none"/>
                <w:lang w:eastAsia="zh-CN"/>
              </w:rPr>
            </w:pPr>
            <w:r>
              <w:rPr>
                <w:rFonts w:ascii="Times New Roman" w:hAnsi="Times New Roman"/>
                <w:szCs w:val="24"/>
                <w:highlight w:val="none"/>
                <w:lang w:eastAsia="zh-CN"/>
              </w:rPr>
              <w:t>病案首页数据完整性质控</w:t>
            </w:r>
            <w:r>
              <w:rPr>
                <w:rFonts w:hint="eastAsia" w:ascii="Times New Roman" w:hAnsi="Times New Roman"/>
                <w:szCs w:val="24"/>
                <w:highlight w:val="none"/>
                <w:lang w:eastAsia="zh-CN"/>
              </w:rPr>
              <w:t>，应</w:t>
            </w:r>
            <w:r>
              <w:rPr>
                <w:rFonts w:ascii="Times New Roman" w:hAnsi="Times New Roman"/>
                <w:szCs w:val="24"/>
                <w:highlight w:val="none"/>
                <w:lang w:eastAsia="zh-CN"/>
              </w:rPr>
              <w:t>包含全部82个首页数据/条件必填项的完整性审核，</w:t>
            </w:r>
            <w:r>
              <w:rPr>
                <w:rFonts w:hint="eastAsia" w:ascii="Times New Roman" w:hAnsi="Times New Roman"/>
                <w:szCs w:val="24"/>
                <w:highlight w:val="none"/>
                <w:lang w:eastAsia="zh-CN"/>
              </w:rPr>
              <w:t>应至少包括该患者病历全部过程中的六大详细信息模块：</w:t>
            </w:r>
          </w:p>
          <w:p>
            <w:pPr>
              <w:pStyle w:val="963"/>
              <w:kinsoku w:val="0"/>
              <w:overflowPunct w:val="0"/>
              <w:spacing w:line="440" w:lineRule="exact"/>
              <w:rPr>
                <w:rFonts w:ascii="Times New Roman" w:hAnsi="Times New Roman"/>
                <w:szCs w:val="24"/>
                <w:highlight w:val="none"/>
                <w:lang w:eastAsia="zh-CN"/>
              </w:rPr>
            </w:pPr>
            <w:r>
              <w:rPr>
                <w:rFonts w:hint="eastAsia" w:ascii="Times New Roman" w:hAnsi="Times New Roman"/>
                <w:szCs w:val="24"/>
                <w:highlight w:val="none"/>
                <w:lang w:eastAsia="zh-CN"/>
              </w:rPr>
              <w:t>模块1：病历号、姓名、性别、民族、职业、出生日期、新生儿入院体重、籍贯、户口详细地址、现住地址、现住址电话等详细信息；</w:t>
            </w:r>
          </w:p>
          <w:p>
            <w:pPr>
              <w:pStyle w:val="963"/>
              <w:kinsoku w:val="0"/>
              <w:overflowPunct w:val="0"/>
              <w:spacing w:line="440" w:lineRule="exact"/>
              <w:rPr>
                <w:rFonts w:ascii="Times New Roman" w:hAnsi="Times New Roman"/>
                <w:szCs w:val="24"/>
                <w:highlight w:val="none"/>
                <w:lang w:eastAsia="zh-CN"/>
              </w:rPr>
            </w:pPr>
            <w:r>
              <w:rPr>
                <w:rFonts w:hint="eastAsia" w:ascii="Times New Roman" w:hAnsi="Times New Roman"/>
                <w:szCs w:val="24"/>
                <w:highlight w:val="none"/>
                <w:lang w:eastAsia="zh-CN"/>
              </w:rPr>
              <w:t>模块2：住院次数、身份证号、年龄、婚姻状况、国籍、新生儿出生体重、出生地址、户口地址、户口邮编、现住详细地址、现住地邮编等详细信息；</w:t>
            </w:r>
          </w:p>
          <w:p>
            <w:pPr>
              <w:pStyle w:val="963"/>
              <w:kinsoku w:val="0"/>
              <w:overflowPunct w:val="0"/>
              <w:spacing w:line="440" w:lineRule="exact"/>
              <w:rPr>
                <w:rFonts w:ascii="Times New Roman" w:hAnsi="Times New Roman"/>
                <w:szCs w:val="24"/>
                <w:highlight w:val="none"/>
                <w:lang w:eastAsia="zh-CN"/>
              </w:rPr>
            </w:pPr>
            <w:r>
              <w:rPr>
                <w:rFonts w:hint="eastAsia" w:ascii="Times New Roman" w:hAnsi="Times New Roman"/>
                <w:szCs w:val="24"/>
                <w:highlight w:val="none"/>
                <w:lang w:eastAsia="zh-CN"/>
              </w:rPr>
              <w:t>模块3：医疗付费方式、入院时间、入院床号、主任医生ID、住院医生ID、病案质量、质控护士姓名、血型、损伤/中毒的外部因素等详细信息；</w:t>
            </w:r>
          </w:p>
          <w:p>
            <w:pPr>
              <w:pStyle w:val="963"/>
              <w:kinsoku w:val="0"/>
              <w:overflowPunct w:val="0"/>
              <w:spacing w:line="440" w:lineRule="exact"/>
              <w:rPr>
                <w:rFonts w:ascii="Times New Roman" w:hAnsi="Times New Roman"/>
                <w:szCs w:val="24"/>
                <w:highlight w:val="none"/>
                <w:lang w:eastAsia="zh-CN"/>
              </w:rPr>
            </w:pPr>
            <w:r>
              <w:rPr>
                <w:rFonts w:hint="eastAsia" w:ascii="Times New Roman" w:hAnsi="Times New Roman"/>
                <w:szCs w:val="24"/>
                <w:highlight w:val="none"/>
                <w:lang w:eastAsia="zh-CN"/>
              </w:rPr>
              <w:t>模块4：入院途径、入院病区、科主任ID、主治医生ID、责任护士姓名、质控医生姓名、质控日期、RH血型等详细信息；</w:t>
            </w:r>
          </w:p>
          <w:p>
            <w:pPr>
              <w:pStyle w:val="963"/>
              <w:kinsoku w:val="0"/>
              <w:overflowPunct w:val="0"/>
              <w:spacing w:line="440" w:lineRule="exact"/>
              <w:rPr>
                <w:rFonts w:ascii="Times New Roman" w:hAnsi="Times New Roman"/>
                <w:szCs w:val="24"/>
                <w:highlight w:val="none"/>
                <w:lang w:eastAsia="zh-CN"/>
              </w:rPr>
            </w:pPr>
            <w:r>
              <w:rPr>
                <w:rFonts w:hint="eastAsia" w:ascii="Times New Roman" w:hAnsi="Times New Roman"/>
                <w:szCs w:val="24"/>
                <w:highlight w:val="none"/>
                <w:lang w:eastAsia="zh-CN"/>
              </w:rPr>
              <w:t>模块5：出院日期、出院床号、接收医疗机构名称、再入院计划目的、入院后患者昏迷时间、抢救次数、尸检标志、临床路径管理、入院与出院等详细信息；</w:t>
            </w:r>
          </w:p>
          <w:p>
            <w:pPr>
              <w:spacing w:line="440" w:lineRule="exact"/>
              <w:jc w:val="left"/>
              <w:rPr>
                <w:sz w:val="24"/>
                <w:highlight w:val="none"/>
              </w:rPr>
            </w:pPr>
            <w:r>
              <w:rPr>
                <w:rFonts w:hint="eastAsia"/>
                <w:kern w:val="0"/>
                <w:sz w:val="24"/>
                <w:highlight w:val="none"/>
              </w:rPr>
              <w:t>模块6：住院天数、离院方式、是否有出院31天内再入院计划、入院前患者昏迷时间、主要诊断治愈好转情况、抢救成功次数、单病种管理、门诊与出院等详细内容。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spacing w:line="440" w:lineRule="exact"/>
              <w:jc w:val="left"/>
              <w:rPr>
                <w:sz w:val="24"/>
                <w:highlight w:val="none"/>
              </w:rPr>
            </w:pPr>
            <w:r>
              <w:rPr>
                <w:kern w:val="0"/>
                <w:sz w:val="24"/>
                <w:highlight w:val="none"/>
              </w:rPr>
              <w:t>病案首页数据合理性质控：包含全部首页数据中规定值域范围、取值代码的质量控制。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vAlign w:val="center"/>
          </w:tcPr>
          <w:p>
            <w:pPr>
              <w:spacing w:line="440" w:lineRule="exact"/>
              <w:jc w:val="center"/>
              <w:rPr>
                <w:sz w:val="24"/>
                <w:highlight w:val="none"/>
              </w:rPr>
            </w:pPr>
            <w:r>
              <w:rPr>
                <w:rFonts w:hint="eastAsia"/>
                <w:kern w:val="0"/>
                <w:sz w:val="24"/>
                <w:highlight w:val="none"/>
              </w:rPr>
              <w:t>病案首页</w:t>
            </w:r>
            <w:r>
              <w:rPr>
                <w:kern w:val="0"/>
                <w:sz w:val="24"/>
                <w:highlight w:val="none"/>
              </w:rPr>
              <w:t>内涵</w:t>
            </w:r>
            <w:r>
              <w:rPr>
                <w:rFonts w:hint="eastAsia"/>
                <w:kern w:val="0"/>
                <w:sz w:val="24"/>
                <w:highlight w:val="none"/>
              </w:rPr>
              <w:t>实时</w:t>
            </w:r>
            <w:r>
              <w:rPr>
                <w:kern w:val="0"/>
                <w:sz w:val="24"/>
                <w:highlight w:val="none"/>
              </w:rPr>
              <w:t>质控</w:t>
            </w:r>
          </w:p>
        </w:tc>
        <w:tc>
          <w:tcPr>
            <w:tcW w:w="1752" w:type="dxa"/>
            <w:vAlign w:val="center"/>
          </w:tcPr>
          <w:p>
            <w:pPr>
              <w:spacing w:line="440" w:lineRule="exact"/>
              <w:jc w:val="center"/>
              <w:rPr>
                <w:sz w:val="24"/>
                <w:highlight w:val="none"/>
              </w:rPr>
            </w:pPr>
            <w:r>
              <w:rPr>
                <w:kern w:val="0"/>
                <w:sz w:val="24"/>
                <w:highlight w:val="none"/>
              </w:rPr>
              <w:t>病案首页数据合规性</w:t>
            </w:r>
          </w:p>
        </w:tc>
        <w:tc>
          <w:tcPr>
            <w:tcW w:w="6877" w:type="dxa"/>
            <w:vAlign w:val="center"/>
          </w:tcPr>
          <w:p>
            <w:pPr>
              <w:spacing w:line="440" w:lineRule="exact"/>
              <w:jc w:val="left"/>
              <w:rPr>
                <w:sz w:val="24"/>
                <w:highlight w:val="none"/>
              </w:rPr>
            </w:pPr>
            <w:r>
              <w:rPr>
                <w:kern w:val="0"/>
                <w:sz w:val="24"/>
                <w:highlight w:val="none"/>
              </w:rPr>
              <w:t>满足HQMS对病案首页上报数据校验标准，对上报数据的合规性进行质量控制，如</w:t>
            </w:r>
            <w:r>
              <w:rPr>
                <w:rFonts w:hint="eastAsia"/>
                <w:kern w:val="0"/>
                <w:sz w:val="24"/>
                <w:highlight w:val="none"/>
              </w:rPr>
              <w:t>：</w:t>
            </w:r>
            <w:r>
              <w:rPr>
                <w:kern w:val="0"/>
                <w:sz w:val="24"/>
                <w:highlight w:val="none"/>
              </w:rPr>
              <w:t>住院总费用不等于明细费用之合。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Align w:val="center"/>
          </w:tcPr>
          <w:p>
            <w:pPr>
              <w:spacing w:line="440" w:lineRule="exact"/>
              <w:jc w:val="center"/>
              <w:rPr>
                <w:sz w:val="24"/>
                <w:highlight w:val="none"/>
              </w:rPr>
            </w:pPr>
            <w:r>
              <w:rPr>
                <w:kern w:val="0"/>
                <w:sz w:val="24"/>
                <w:highlight w:val="none"/>
              </w:rPr>
              <w:t>病案首页数据相互检验</w:t>
            </w:r>
            <w:r>
              <w:rPr>
                <w:rFonts w:hint="eastAsia"/>
                <w:kern w:val="0"/>
                <w:sz w:val="24"/>
                <w:highlight w:val="none"/>
              </w:rPr>
              <w:t>一致</w:t>
            </w:r>
            <w:r>
              <w:rPr>
                <w:kern w:val="0"/>
                <w:sz w:val="24"/>
                <w:highlight w:val="none"/>
              </w:rPr>
              <w:t>性</w:t>
            </w:r>
          </w:p>
        </w:tc>
        <w:tc>
          <w:tcPr>
            <w:tcW w:w="6877" w:type="dxa"/>
            <w:vAlign w:val="center"/>
          </w:tcPr>
          <w:p>
            <w:pPr>
              <w:spacing w:line="440" w:lineRule="exact"/>
              <w:jc w:val="left"/>
              <w:rPr>
                <w:sz w:val="24"/>
                <w:highlight w:val="none"/>
              </w:rPr>
            </w:pPr>
            <w:r>
              <w:rPr>
                <w:kern w:val="0"/>
                <w:sz w:val="24"/>
                <w:highlight w:val="none"/>
              </w:rPr>
              <w:t>对患者基本信息、诊断、手术等信息相互间矛盾的情况进行质量控制，例如：患者性别与诊断不匹配</w:t>
            </w:r>
            <w:r>
              <w:rPr>
                <w:rFonts w:hint="eastAsia"/>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Align w:val="center"/>
          </w:tcPr>
          <w:p>
            <w:pPr>
              <w:spacing w:line="440" w:lineRule="exact"/>
              <w:jc w:val="center"/>
              <w:rPr>
                <w:sz w:val="24"/>
                <w:highlight w:val="none"/>
              </w:rPr>
            </w:pPr>
            <w:r>
              <w:rPr>
                <w:kern w:val="0"/>
                <w:sz w:val="24"/>
                <w:highlight w:val="none"/>
              </w:rPr>
              <w:t>主诊断和其他诊断选择质控</w:t>
            </w:r>
          </w:p>
        </w:tc>
        <w:tc>
          <w:tcPr>
            <w:tcW w:w="6877" w:type="dxa"/>
            <w:vAlign w:val="center"/>
          </w:tcPr>
          <w:p>
            <w:pPr>
              <w:spacing w:line="440" w:lineRule="exact"/>
              <w:jc w:val="left"/>
              <w:rPr>
                <w:sz w:val="24"/>
                <w:highlight w:val="none"/>
              </w:rPr>
            </w:pPr>
            <w:r>
              <w:rPr>
                <w:kern w:val="0"/>
                <w:sz w:val="24"/>
                <w:highlight w:val="none"/>
              </w:rPr>
              <w:t>对病案首页主诊断与其它诊断的选择进行质量控制，如</w:t>
            </w:r>
            <w:r>
              <w:rPr>
                <w:rFonts w:hint="eastAsia"/>
                <w:kern w:val="0"/>
                <w:sz w:val="24"/>
                <w:highlight w:val="none"/>
              </w:rPr>
              <w:t>：</w:t>
            </w:r>
            <w:r>
              <w:rPr>
                <w:kern w:val="0"/>
                <w:sz w:val="24"/>
                <w:highlight w:val="none"/>
              </w:rPr>
              <w:t>当主诊断选择为未特指的疾病，其它诊断为更准确的疾病时，优先使用准确的疾病为主诊断。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Align w:val="center"/>
          </w:tcPr>
          <w:p>
            <w:pPr>
              <w:spacing w:line="440" w:lineRule="exact"/>
              <w:jc w:val="center"/>
              <w:rPr>
                <w:sz w:val="24"/>
                <w:highlight w:val="none"/>
              </w:rPr>
            </w:pPr>
            <w:r>
              <w:rPr>
                <w:kern w:val="0"/>
                <w:sz w:val="24"/>
                <w:highlight w:val="none"/>
              </w:rPr>
              <w:t>诊断和手术选择合理性质控</w:t>
            </w:r>
          </w:p>
        </w:tc>
        <w:tc>
          <w:tcPr>
            <w:tcW w:w="6877" w:type="dxa"/>
            <w:vAlign w:val="center"/>
          </w:tcPr>
          <w:p>
            <w:pPr>
              <w:spacing w:line="440" w:lineRule="exact"/>
              <w:jc w:val="left"/>
              <w:rPr>
                <w:sz w:val="24"/>
                <w:highlight w:val="none"/>
              </w:rPr>
            </w:pPr>
            <w:r>
              <w:rPr>
                <w:kern w:val="0"/>
                <w:sz w:val="24"/>
                <w:highlight w:val="none"/>
              </w:rPr>
              <w:t>对病案首页的诊断与手术选择的合理性进行质量控制，如</w:t>
            </w:r>
            <w:r>
              <w:rPr>
                <w:rFonts w:hint="eastAsia"/>
                <w:kern w:val="0"/>
                <w:sz w:val="24"/>
                <w:highlight w:val="none"/>
              </w:rPr>
              <w:t>：</w:t>
            </w:r>
            <w:r>
              <w:rPr>
                <w:kern w:val="0"/>
                <w:sz w:val="24"/>
                <w:highlight w:val="none"/>
              </w:rPr>
              <w:t>当一个患者存在多个手术时，主要手术选择与主要诊断相关的手术。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vAlign w:val="center"/>
          </w:tcPr>
          <w:p>
            <w:pPr>
              <w:spacing w:line="440" w:lineRule="exact"/>
              <w:jc w:val="center"/>
              <w:rPr>
                <w:sz w:val="24"/>
                <w:highlight w:val="none"/>
              </w:rPr>
            </w:pPr>
            <w:r>
              <w:rPr>
                <w:rFonts w:hint="eastAsia"/>
                <w:kern w:val="0"/>
                <w:sz w:val="24"/>
                <w:highlight w:val="none"/>
              </w:rPr>
              <w:t>病案首页</w:t>
            </w:r>
            <w:r>
              <w:rPr>
                <w:kern w:val="0"/>
                <w:sz w:val="24"/>
                <w:highlight w:val="none"/>
              </w:rPr>
              <w:t>质控流程</w:t>
            </w:r>
            <w:r>
              <w:rPr>
                <w:rFonts w:hint="eastAsia"/>
                <w:kern w:val="0"/>
                <w:sz w:val="24"/>
                <w:highlight w:val="none"/>
              </w:rPr>
              <w:t>管理</w:t>
            </w:r>
          </w:p>
        </w:tc>
        <w:tc>
          <w:tcPr>
            <w:tcW w:w="1752" w:type="dxa"/>
            <w:vMerge w:val="restart"/>
            <w:vAlign w:val="center"/>
          </w:tcPr>
          <w:p>
            <w:pPr>
              <w:spacing w:line="440" w:lineRule="exact"/>
              <w:jc w:val="center"/>
              <w:rPr>
                <w:sz w:val="24"/>
                <w:highlight w:val="none"/>
              </w:rPr>
            </w:pPr>
            <w:r>
              <w:rPr>
                <w:kern w:val="0"/>
                <w:sz w:val="24"/>
                <w:highlight w:val="none"/>
              </w:rPr>
              <w:t>医生与病案室质控</w:t>
            </w:r>
            <w:r>
              <w:rPr>
                <w:rFonts w:hint="eastAsia"/>
                <w:kern w:val="0"/>
                <w:sz w:val="24"/>
                <w:highlight w:val="none"/>
              </w:rPr>
              <w:t>联动</w:t>
            </w:r>
          </w:p>
        </w:tc>
        <w:tc>
          <w:tcPr>
            <w:tcW w:w="6877" w:type="dxa"/>
            <w:vAlign w:val="center"/>
          </w:tcPr>
          <w:p>
            <w:pPr>
              <w:spacing w:line="440" w:lineRule="exact"/>
              <w:jc w:val="left"/>
              <w:rPr>
                <w:sz w:val="24"/>
                <w:highlight w:val="none"/>
              </w:rPr>
            </w:pPr>
            <w:r>
              <w:rPr>
                <w:rFonts w:hint="eastAsia" w:ascii="宋体" w:hAnsi="宋体"/>
                <w:sz w:val="24"/>
                <w:highlight w:val="none"/>
              </w:rPr>
              <w:t>系统支持病案室端根据病历AI审核结果，包括：病案首页得分、总病案首页问题数量、病案首页问题分布等维度进行结果展示，并支持病案室端二次人工审核。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spacing w:line="440" w:lineRule="exact"/>
              <w:jc w:val="left"/>
              <w:rPr>
                <w:sz w:val="24"/>
                <w:highlight w:val="none"/>
              </w:rPr>
            </w:pPr>
            <w:r>
              <w:rPr>
                <w:kern w:val="0"/>
                <w:sz w:val="24"/>
                <w:highlight w:val="none"/>
              </w:rPr>
              <w:t>当病案室在发现首页质量问题时，可线上驳回并填写驳回原因等信息反馈给医生，</w:t>
            </w:r>
            <w:r>
              <w:rPr>
                <w:rFonts w:hint="eastAsia" w:ascii="宋体" w:hAnsi="宋体" w:cs="宋体"/>
                <w:sz w:val="24"/>
                <w:highlight w:val="none"/>
              </w:rPr>
              <w:t>被打回的病历在医生端有通过/驳回标识，并显示人工修改意见。</w:t>
            </w:r>
            <w:r>
              <w:rPr>
                <w:kern w:val="0"/>
                <w:sz w:val="24"/>
                <w:highlight w:val="none"/>
              </w:rPr>
              <w:t>医生修改后再反馈给病案</w:t>
            </w:r>
            <w:r>
              <w:rPr>
                <w:rFonts w:hint="eastAsia"/>
                <w:kern w:val="0"/>
                <w:sz w:val="24"/>
                <w:highlight w:val="none"/>
              </w:rPr>
              <w:t>室</w:t>
            </w:r>
            <w:r>
              <w:rPr>
                <w:kern w:val="0"/>
                <w:sz w:val="24"/>
                <w:highlight w:val="none"/>
              </w:rPr>
              <w:t>再次进行审核，审核通过后，进行归档处理。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vAlign w:val="center"/>
          </w:tcPr>
          <w:p>
            <w:pPr>
              <w:spacing w:line="440" w:lineRule="exact"/>
              <w:jc w:val="center"/>
              <w:rPr>
                <w:sz w:val="24"/>
                <w:highlight w:val="none"/>
              </w:rPr>
            </w:pPr>
            <w:r>
              <w:rPr>
                <w:rFonts w:hint="eastAsia"/>
                <w:kern w:val="0"/>
                <w:sz w:val="24"/>
                <w:highlight w:val="none"/>
              </w:rPr>
              <w:t>病案首页</w:t>
            </w:r>
            <w:r>
              <w:rPr>
                <w:kern w:val="0"/>
                <w:sz w:val="24"/>
                <w:highlight w:val="none"/>
              </w:rPr>
              <w:t>360</w:t>
            </w:r>
            <w:r>
              <w:rPr>
                <w:rFonts w:hint="eastAsia"/>
                <w:kern w:val="0"/>
                <w:sz w:val="24"/>
                <w:highlight w:val="none"/>
              </w:rPr>
              <w:t>视图浏览</w:t>
            </w:r>
          </w:p>
        </w:tc>
        <w:tc>
          <w:tcPr>
            <w:tcW w:w="1752" w:type="dxa"/>
            <w:vAlign w:val="center"/>
          </w:tcPr>
          <w:p>
            <w:pPr>
              <w:spacing w:line="440" w:lineRule="exact"/>
              <w:jc w:val="center"/>
              <w:rPr>
                <w:sz w:val="24"/>
                <w:highlight w:val="none"/>
              </w:rPr>
            </w:pPr>
            <w:r>
              <w:rPr>
                <w:kern w:val="0"/>
                <w:sz w:val="24"/>
                <w:highlight w:val="none"/>
              </w:rPr>
              <w:t>病案及诊疗资料浏览</w:t>
            </w:r>
          </w:p>
        </w:tc>
        <w:tc>
          <w:tcPr>
            <w:tcW w:w="6877" w:type="dxa"/>
            <w:vAlign w:val="center"/>
          </w:tcPr>
          <w:p>
            <w:pPr>
              <w:spacing w:line="440" w:lineRule="exact"/>
              <w:jc w:val="left"/>
              <w:rPr>
                <w:sz w:val="24"/>
                <w:highlight w:val="none"/>
              </w:rPr>
            </w:pPr>
            <w:r>
              <w:rPr>
                <w:rFonts w:hint="eastAsia" w:ascii="宋体" w:hAnsi="宋体" w:cs="宋体"/>
                <w:sz w:val="24"/>
                <w:highlight w:val="none"/>
              </w:rPr>
              <w:t>支持</w:t>
            </w:r>
            <w:r>
              <w:rPr>
                <w:kern w:val="0"/>
                <w:sz w:val="24"/>
                <w:highlight w:val="none"/>
              </w:rPr>
              <w:t>在质控过程中随时浏览患者本次住院的360</w:t>
            </w:r>
            <w:r>
              <w:rPr>
                <w:rFonts w:hint="eastAsia"/>
                <w:kern w:val="0"/>
                <w:sz w:val="24"/>
                <w:highlight w:val="none"/>
              </w:rPr>
              <w:t>维度</w:t>
            </w:r>
            <w:r>
              <w:rPr>
                <w:kern w:val="0"/>
                <w:sz w:val="24"/>
                <w:highlight w:val="none"/>
              </w:rPr>
              <w:t>信息，</w:t>
            </w:r>
            <w:r>
              <w:rPr>
                <w:rFonts w:hint="eastAsia"/>
                <w:kern w:val="0"/>
                <w:sz w:val="24"/>
                <w:highlight w:val="none"/>
              </w:rPr>
              <w:t>应</w:t>
            </w:r>
            <w:r>
              <w:rPr>
                <w:kern w:val="0"/>
                <w:sz w:val="24"/>
                <w:highlight w:val="none"/>
              </w:rPr>
              <w:t>包括</w:t>
            </w:r>
            <w:r>
              <w:rPr>
                <w:rFonts w:hint="eastAsia"/>
                <w:kern w:val="0"/>
                <w:sz w:val="24"/>
                <w:highlight w:val="none"/>
              </w:rPr>
              <w:t>：</w:t>
            </w:r>
            <w:r>
              <w:rPr>
                <w:kern w:val="0"/>
                <w:sz w:val="24"/>
                <w:highlight w:val="none"/>
              </w:rPr>
              <w:t>患者基本信息、入院记录、出院/死亡记录、病程记录、医嘱、检验检查结果、谈话记录等相关信息。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restart"/>
            <w:vAlign w:val="center"/>
          </w:tcPr>
          <w:p>
            <w:pPr>
              <w:spacing w:line="440" w:lineRule="exact"/>
              <w:jc w:val="center"/>
              <w:rPr>
                <w:sz w:val="24"/>
                <w:highlight w:val="none"/>
              </w:rPr>
            </w:pPr>
            <w:r>
              <w:rPr>
                <w:rFonts w:hint="eastAsia" w:ascii="宋体" w:hAnsi="宋体"/>
                <w:sz w:val="24"/>
                <w:highlight w:val="none"/>
              </w:rPr>
              <w:t>病案首页质控点</w:t>
            </w:r>
          </w:p>
        </w:tc>
        <w:tc>
          <w:tcPr>
            <w:tcW w:w="6877" w:type="dxa"/>
            <w:vAlign w:val="center"/>
          </w:tcPr>
          <w:p>
            <w:pPr>
              <w:spacing w:line="440" w:lineRule="exact"/>
              <w:jc w:val="left"/>
              <w:rPr>
                <w:sz w:val="24"/>
                <w:highlight w:val="none"/>
              </w:rPr>
            </w:pPr>
            <w:r>
              <w:rPr>
                <w:rFonts w:hint="eastAsia" w:ascii="宋体" w:hAnsi="宋体"/>
                <w:sz w:val="24"/>
                <w:highlight w:val="none"/>
              </w:rPr>
              <w:t>系统应覆盖至少70个必填项目自动</w:t>
            </w:r>
            <w:r>
              <w:rPr>
                <w:rFonts w:ascii="宋体" w:hAnsi="宋体"/>
                <w:sz w:val="24"/>
                <w:highlight w:val="none"/>
              </w:rPr>
              <w:t>质控</w:t>
            </w:r>
            <w:r>
              <w:rPr>
                <w:rFonts w:hint="eastAsia" w:ascii="宋体" w:hAnsi="宋体"/>
                <w:sz w:val="24"/>
                <w:highlight w:val="none"/>
              </w:rPr>
              <w:t>，应包括：医疗机构、组织机构代码、住院次数、入院途径、入院途径等。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widowControl/>
              <w:spacing w:line="440" w:lineRule="exact"/>
              <w:jc w:val="left"/>
              <w:rPr>
                <w:rFonts w:ascii="宋体" w:hAnsi="宋体"/>
                <w:sz w:val="24"/>
                <w:highlight w:val="none"/>
              </w:rPr>
            </w:pPr>
            <w:r>
              <w:rPr>
                <w:rFonts w:hint="eastAsia" w:ascii="宋体" w:hAnsi="宋体"/>
                <w:sz w:val="24"/>
                <w:highlight w:val="none"/>
              </w:rPr>
              <w:t>入院记录正在治疗的疾病未列入病案首页其他诊断中：</w:t>
            </w:r>
          </w:p>
          <w:p>
            <w:pPr>
              <w:spacing w:line="440" w:lineRule="exact"/>
              <w:jc w:val="left"/>
              <w:rPr>
                <w:sz w:val="24"/>
                <w:highlight w:val="none"/>
              </w:rPr>
            </w:pPr>
            <w:r>
              <w:rPr>
                <w:rFonts w:hint="eastAsia" w:ascii="宋体" w:hAnsi="宋体"/>
                <w:sz w:val="24"/>
                <w:highlight w:val="none"/>
              </w:rPr>
              <w:t>医院入院记录特殊字段“正在治疗的疾病及用药”中明确书写的在患疾病未写入病案首页其他诊断中。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widowControl/>
              <w:spacing w:line="440" w:lineRule="exact"/>
              <w:jc w:val="left"/>
              <w:rPr>
                <w:rFonts w:ascii="宋体" w:hAnsi="宋体"/>
                <w:sz w:val="24"/>
                <w:highlight w:val="none"/>
              </w:rPr>
            </w:pPr>
            <w:r>
              <w:rPr>
                <w:rFonts w:hint="eastAsia" w:ascii="宋体" w:hAnsi="宋体"/>
                <w:sz w:val="24"/>
                <w:highlight w:val="none"/>
              </w:rPr>
              <w:t>异常检验结果未下入病案首页诊断中：</w:t>
            </w:r>
          </w:p>
          <w:p>
            <w:pPr>
              <w:spacing w:line="440" w:lineRule="exact"/>
              <w:jc w:val="left"/>
              <w:rPr>
                <w:sz w:val="24"/>
                <w:highlight w:val="none"/>
              </w:rPr>
            </w:pPr>
            <w:r>
              <w:rPr>
                <w:rFonts w:hint="eastAsia" w:ascii="宋体" w:hAnsi="宋体"/>
                <w:sz w:val="24"/>
                <w:highlight w:val="none"/>
              </w:rPr>
              <w:t>如检验结果明确存在血常规血红蛋白减少、术前筛查梅毒阳性，但病案首页未见贫血、梅毒感染等相关诊断。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widowControl/>
              <w:spacing w:line="440" w:lineRule="exact"/>
              <w:jc w:val="left"/>
              <w:rPr>
                <w:rFonts w:ascii="宋体" w:hAnsi="宋体"/>
                <w:sz w:val="24"/>
                <w:highlight w:val="none"/>
              </w:rPr>
            </w:pPr>
            <w:r>
              <w:rPr>
                <w:rFonts w:hint="eastAsia" w:ascii="宋体" w:hAnsi="宋体"/>
                <w:sz w:val="24"/>
                <w:highlight w:val="none"/>
              </w:rPr>
              <w:t>既往史中诊断未下入病案首页其他诊断：</w:t>
            </w:r>
          </w:p>
          <w:p>
            <w:pPr>
              <w:spacing w:line="440" w:lineRule="exact"/>
              <w:jc w:val="left"/>
              <w:rPr>
                <w:sz w:val="24"/>
                <w:highlight w:val="none"/>
              </w:rPr>
            </w:pPr>
            <w:r>
              <w:rPr>
                <w:rFonts w:hint="eastAsia" w:ascii="宋体" w:hAnsi="宋体"/>
                <w:sz w:val="24"/>
                <w:highlight w:val="none"/>
              </w:rPr>
              <w:t>如患者既往史中明确存在糖尿病病史，但病案首页中未见相关诊断。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widowControl/>
              <w:spacing w:line="440" w:lineRule="exact"/>
              <w:jc w:val="left"/>
              <w:rPr>
                <w:rFonts w:ascii="宋体" w:hAnsi="宋体" w:cs="宋体"/>
                <w:sz w:val="24"/>
                <w:highlight w:val="none"/>
              </w:rPr>
            </w:pPr>
            <w:r>
              <w:rPr>
                <w:rFonts w:hint="eastAsia" w:ascii="宋体" w:hAnsi="宋体" w:cs="宋体"/>
                <w:sz w:val="24"/>
                <w:highlight w:val="none"/>
              </w:rPr>
              <w:t>病案首页的其他诊断选择遗漏：</w:t>
            </w:r>
          </w:p>
          <w:p>
            <w:pPr>
              <w:widowControl/>
              <w:spacing w:line="440" w:lineRule="exact"/>
              <w:jc w:val="left"/>
              <w:rPr>
                <w:rFonts w:ascii="宋体" w:hAnsi="宋体" w:cs="宋体"/>
                <w:sz w:val="24"/>
                <w:highlight w:val="none"/>
              </w:rPr>
            </w:pPr>
            <w:r>
              <w:rPr>
                <w:rFonts w:hint="eastAsia" w:ascii="宋体" w:hAnsi="宋体" w:cs="宋体"/>
                <w:sz w:val="24"/>
                <w:highlight w:val="none"/>
              </w:rPr>
              <w:t>（1）RIS报告中能确诊的疾病未能加入到其他诊断中；</w:t>
            </w:r>
          </w:p>
          <w:p>
            <w:pPr>
              <w:widowControl/>
              <w:spacing w:line="440" w:lineRule="exact"/>
              <w:jc w:val="left"/>
              <w:rPr>
                <w:rFonts w:ascii="宋体" w:hAnsi="宋体" w:cs="宋体"/>
                <w:sz w:val="24"/>
                <w:highlight w:val="none"/>
              </w:rPr>
            </w:pPr>
            <w:r>
              <w:rPr>
                <w:rFonts w:hint="eastAsia" w:ascii="宋体" w:hAnsi="宋体" w:cs="宋体"/>
                <w:sz w:val="24"/>
                <w:highlight w:val="none"/>
              </w:rPr>
              <w:t>（2）术中诊断未加入其他诊断；</w:t>
            </w:r>
          </w:p>
          <w:p>
            <w:pPr>
              <w:spacing w:line="440" w:lineRule="exact"/>
              <w:jc w:val="left"/>
              <w:rPr>
                <w:sz w:val="24"/>
                <w:highlight w:val="none"/>
              </w:rPr>
            </w:pPr>
            <w:r>
              <w:rPr>
                <w:rFonts w:hint="eastAsia" w:ascii="宋体" w:hAnsi="宋体" w:cs="宋体"/>
                <w:sz w:val="24"/>
                <w:highlight w:val="none"/>
              </w:rPr>
              <w:t>（3）LIS报告中能确诊的疾病；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widowControl/>
              <w:spacing w:line="440" w:lineRule="exact"/>
              <w:jc w:val="left"/>
              <w:rPr>
                <w:rFonts w:ascii="宋体" w:hAnsi="宋体" w:cs="宋体"/>
                <w:sz w:val="24"/>
                <w:highlight w:val="none"/>
              </w:rPr>
            </w:pPr>
            <w:r>
              <w:rPr>
                <w:rFonts w:hint="eastAsia" w:ascii="宋体" w:hAnsi="宋体" w:cs="宋体"/>
                <w:sz w:val="24"/>
                <w:highlight w:val="none"/>
              </w:rPr>
              <w:t>病案首页的其他诊断选择错误：</w:t>
            </w:r>
          </w:p>
          <w:p>
            <w:pPr>
              <w:widowControl/>
              <w:spacing w:line="440" w:lineRule="exact"/>
              <w:jc w:val="left"/>
              <w:rPr>
                <w:rFonts w:ascii="宋体" w:hAnsi="宋体" w:cs="宋体"/>
                <w:sz w:val="24"/>
                <w:highlight w:val="none"/>
              </w:rPr>
            </w:pPr>
            <w:r>
              <w:rPr>
                <w:rFonts w:hint="eastAsia" w:ascii="宋体" w:hAnsi="宋体" w:cs="宋体"/>
                <w:sz w:val="24"/>
                <w:highlight w:val="none"/>
              </w:rPr>
              <w:t>（1）患者长期维持治疗状态未加入其他诊断；</w:t>
            </w:r>
          </w:p>
          <w:p>
            <w:pPr>
              <w:widowControl/>
              <w:spacing w:line="440" w:lineRule="exact"/>
              <w:jc w:val="left"/>
              <w:rPr>
                <w:rFonts w:ascii="宋体" w:hAnsi="宋体" w:cs="宋体"/>
                <w:sz w:val="24"/>
                <w:highlight w:val="none"/>
              </w:rPr>
            </w:pPr>
            <w:r>
              <w:rPr>
                <w:rFonts w:hint="eastAsia" w:ascii="宋体" w:hAnsi="宋体" w:cs="宋体"/>
                <w:sz w:val="24"/>
                <w:highlight w:val="none"/>
              </w:rPr>
              <w:t>（2）门诊诊断缺失；</w:t>
            </w:r>
          </w:p>
          <w:p>
            <w:pPr>
              <w:spacing w:line="440" w:lineRule="exact"/>
              <w:jc w:val="left"/>
              <w:rPr>
                <w:sz w:val="24"/>
                <w:highlight w:val="none"/>
              </w:rPr>
            </w:pPr>
            <w:r>
              <w:rPr>
                <w:rFonts w:hint="eastAsia" w:ascii="宋体" w:hAnsi="宋体" w:cs="宋体"/>
                <w:sz w:val="24"/>
                <w:highlight w:val="none"/>
              </w:rPr>
              <w:t>（3）手术未执行的原因未加入诊断；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widowControl/>
              <w:spacing w:line="440" w:lineRule="exact"/>
              <w:jc w:val="left"/>
              <w:rPr>
                <w:rFonts w:ascii="宋体" w:hAnsi="宋体" w:cs="宋体"/>
                <w:sz w:val="24"/>
                <w:highlight w:val="none"/>
              </w:rPr>
            </w:pPr>
            <w:r>
              <w:rPr>
                <w:rFonts w:hint="eastAsia" w:ascii="宋体" w:hAnsi="宋体" w:cs="宋体"/>
                <w:sz w:val="24"/>
                <w:highlight w:val="none"/>
              </w:rPr>
              <w:t>病案首页诊断编码错误：</w:t>
            </w:r>
          </w:p>
          <w:p>
            <w:pPr>
              <w:spacing w:line="440" w:lineRule="exact"/>
              <w:jc w:val="left"/>
              <w:rPr>
                <w:sz w:val="24"/>
                <w:highlight w:val="none"/>
              </w:rPr>
            </w:pPr>
            <w:r>
              <w:rPr>
                <w:rFonts w:hint="eastAsia" w:ascii="宋体" w:hAnsi="宋体" w:cs="宋体"/>
                <w:sz w:val="24"/>
                <w:highlight w:val="none"/>
              </w:rPr>
              <w:t>病程记录已明确诊断，依然用R码做诊断；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vAlign w:val="center"/>
          </w:tcPr>
          <w:p>
            <w:pPr>
              <w:spacing w:line="440" w:lineRule="exact"/>
              <w:jc w:val="center"/>
              <w:rPr>
                <w:sz w:val="24"/>
                <w:highlight w:val="none"/>
              </w:rPr>
            </w:pPr>
            <w:r>
              <w:rPr>
                <w:rFonts w:hint="eastAsia"/>
                <w:kern w:val="0"/>
                <w:sz w:val="24"/>
                <w:highlight w:val="none"/>
              </w:rPr>
              <w:t>病案</w:t>
            </w:r>
            <w:r>
              <w:rPr>
                <w:kern w:val="0"/>
                <w:sz w:val="24"/>
                <w:highlight w:val="none"/>
              </w:rPr>
              <w:t>事前提醒</w:t>
            </w:r>
          </w:p>
        </w:tc>
        <w:tc>
          <w:tcPr>
            <w:tcW w:w="1752" w:type="dxa"/>
            <w:vMerge w:val="restart"/>
            <w:vAlign w:val="center"/>
          </w:tcPr>
          <w:p>
            <w:pPr>
              <w:spacing w:line="440" w:lineRule="exact"/>
              <w:jc w:val="center"/>
              <w:rPr>
                <w:sz w:val="24"/>
                <w:highlight w:val="none"/>
              </w:rPr>
            </w:pPr>
            <w:r>
              <w:rPr>
                <w:kern w:val="0"/>
                <w:sz w:val="24"/>
                <w:highlight w:val="none"/>
              </w:rPr>
              <w:t>医生实时质控</w:t>
            </w:r>
          </w:p>
        </w:tc>
        <w:tc>
          <w:tcPr>
            <w:tcW w:w="6877" w:type="dxa"/>
            <w:vAlign w:val="center"/>
          </w:tcPr>
          <w:p>
            <w:pPr>
              <w:spacing w:line="440" w:lineRule="exact"/>
              <w:jc w:val="left"/>
              <w:rPr>
                <w:sz w:val="24"/>
                <w:highlight w:val="none"/>
              </w:rPr>
            </w:pPr>
            <w:r>
              <w:rPr>
                <w:kern w:val="0"/>
                <w:sz w:val="24"/>
                <w:highlight w:val="none"/>
              </w:rPr>
              <w:t>支持在医生端实时、智能提示质控问题，医生可根据提示内容和建议修改方案进行病案的修改</w:t>
            </w:r>
            <w:r>
              <w:rPr>
                <w:rFonts w:hint="eastAsia"/>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spacing w:line="440" w:lineRule="exact"/>
              <w:jc w:val="left"/>
              <w:rPr>
                <w:sz w:val="24"/>
                <w:highlight w:val="none"/>
              </w:rPr>
            </w:pPr>
            <w:r>
              <w:rPr>
                <w:kern w:val="0"/>
                <w:sz w:val="24"/>
                <w:highlight w:val="none"/>
              </w:rPr>
              <w:t>支持按问题的级别显示问题排序，级别高的问题显示在最前面</w:t>
            </w:r>
            <w:r>
              <w:rPr>
                <w:rFonts w:hint="eastAsia"/>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spacing w:line="440" w:lineRule="exact"/>
              <w:jc w:val="left"/>
              <w:rPr>
                <w:sz w:val="24"/>
                <w:highlight w:val="none"/>
              </w:rPr>
            </w:pPr>
            <w:r>
              <w:rPr>
                <w:kern w:val="0"/>
                <w:sz w:val="24"/>
                <w:highlight w:val="none"/>
              </w:rPr>
              <w:t>支持查看人工质控结果，对人工驳回的病案进行实时反馈</w:t>
            </w:r>
            <w:r>
              <w:rPr>
                <w:rFonts w:hint="eastAsia"/>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spacing w:line="440" w:lineRule="exact"/>
              <w:jc w:val="left"/>
              <w:rPr>
                <w:sz w:val="24"/>
                <w:highlight w:val="none"/>
              </w:rPr>
            </w:pPr>
            <w:r>
              <w:rPr>
                <w:kern w:val="0"/>
                <w:sz w:val="24"/>
                <w:highlight w:val="none"/>
              </w:rPr>
              <w:t>支持查询人工反馈有问题的病案列表，并查看问题</w:t>
            </w:r>
            <w:r>
              <w:rPr>
                <w:rFonts w:hint="eastAsia"/>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vAlign w:val="center"/>
          </w:tcPr>
          <w:p>
            <w:pPr>
              <w:spacing w:line="440" w:lineRule="exact"/>
              <w:jc w:val="center"/>
              <w:rPr>
                <w:sz w:val="24"/>
                <w:highlight w:val="none"/>
              </w:rPr>
            </w:pPr>
            <w:r>
              <w:rPr>
                <w:rFonts w:hint="eastAsia"/>
                <w:kern w:val="0"/>
                <w:sz w:val="24"/>
                <w:highlight w:val="none"/>
              </w:rPr>
              <w:t>病案</w:t>
            </w:r>
            <w:r>
              <w:rPr>
                <w:kern w:val="0"/>
                <w:sz w:val="24"/>
                <w:highlight w:val="none"/>
              </w:rPr>
              <w:t>事中质控</w:t>
            </w:r>
          </w:p>
        </w:tc>
        <w:tc>
          <w:tcPr>
            <w:tcW w:w="1752" w:type="dxa"/>
            <w:vAlign w:val="center"/>
          </w:tcPr>
          <w:p>
            <w:pPr>
              <w:spacing w:line="440" w:lineRule="exact"/>
              <w:jc w:val="center"/>
              <w:rPr>
                <w:sz w:val="24"/>
                <w:highlight w:val="none"/>
              </w:rPr>
            </w:pPr>
            <w:r>
              <w:rPr>
                <w:kern w:val="0"/>
                <w:sz w:val="24"/>
                <w:highlight w:val="none"/>
              </w:rPr>
              <w:t>病案首页查询</w:t>
            </w:r>
          </w:p>
        </w:tc>
        <w:tc>
          <w:tcPr>
            <w:tcW w:w="6877" w:type="dxa"/>
            <w:vAlign w:val="center"/>
          </w:tcPr>
          <w:p>
            <w:pPr>
              <w:spacing w:line="440" w:lineRule="exact"/>
              <w:jc w:val="left"/>
              <w:rPr>
                <w:sz w:val="24"/>
                <w:highlight w:val="none"/>
              </w:rPr>
            </w:pPr>
            <w:r>
              <w:rPr>
                <w:kern w:val="0"/>
                <w:sz w:val="24"/>
                <w:highlight w:val="none"/>
              </w:rPr>
              <w:t>支持病案首页按科室、病区、出入院日期、病案号、患者、问题类型、首页得分等条件进行快速查询，可根据数据权限按科室、按病区控制数据查询范围</w:t>
            </w:r>
            <w:r>
              <w:rPr>
                <w:rFonts w:hint="eastAsia"/>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restart"/>
            <w:vAlign w:val="center"/>
          </w:tcPr>
          <w:p>
            <w:pPr>
              <w:spacing w:line="440" w:lineRule="exact"/>
              <w:jc w:val="center"/>
              <w:rPr>
                <w:sz w:val="24"/>
                <w:highlight w:val="none"/>
              </w:rPr>
            </w:pPr>
            <w:r>
              <w:rPr>
                <w:kern w:val="0"/>
                <w:sz w:val="24"/>
                <w:highlight w:val="none"/>
              </w:rPr>
              <w:t>质控人员实时质控</w:t>
            </w:r>
          </w:p>
        </w:tc>
        <w:tc>
          <w:tcPr>
            <w:tcW w:w="6877" w:type="dxa"/>
            <w:vAlign w:val="center"/>
          </w:tcPr>
          <w:p>
            <w:pPr>
              <w:spacing w:line="440" w:lineRule="exact"/>
              <w:jc w:val="left"/>
              <w:rPr>
                <w:sz w:val="24"/>
                <w:highlight w:val="none"/>
              </w:rPr>
            </w:pPr>
            <w:r>
              <w:rPr>
                <w:kern w:val="0"/>
                <w:sz w:val="24"/>
                <w:highlight w:val="none"/>
              </w:rPr>
              <w:t>支持质控人员快速查询病案、并对系统质控结果进行人工质控</w:t>
            </w:r>
            <w:r>
              <w:rPr>
                <w:rFonts w:hint="eastAsia"/>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spacing w:line="440" w:lineRule="exact"/>
              <w:jc w:val="left"/>
              <w:rPr>
                <w:sz w:val="24"/>
                <w:highlight w:val="none"/>
              </w:rPr>
            </w:pPr>
            <w:r>
              <w:rPr>
                <w:kern w:val="0"/>
                <w:sz w:val="24"/>
                <w:highlight w:val="none"/>
              </w:rPr>
              <w:t>支持人工质控结果实时反馈给医生</w:t>
            </w:r>
            <w:r>
              <w:rPr>
                <w:rFonts w:hint="eastAsia"/>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spacing w:line="440" w:lineRule="exact"/>
              <w:jc w:val="left"/>
              <w:rPr>
                <w:sz w:val="24"/>
                <w:highlight w:val="none"/>
              </w:rPr>
            </w:pPr>
            <w:r>
              <w:rPr>
                <w:kern w:val="0"/>
                <w:sz w:val="24"/>
                <w:highlight w:val="none"/>
              </w:rPr>
              <w:t>支持医生反馈的病案快速查询，并对医生反馈的结果进行再次审核</w:t>
            </w:r>
            <w:r>
              <w:rPr>
                <w:rFonts w:hint="eastAsia"/>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restart"/>
            <w:vAlign w:val="center"/>
          </w:tcPr>
          <w:p>
            <w:pPr>
              <w:spacing w:line="440" w:lineRule="exact"/>
              <w:jc w:val="center"/>
              <w:rPr>
                <w:sz w:val="24"/>
                <w:highlight w:val="none"/>
              </w:rPr>
            </w:pPr>
            <w:r>
              <w:rPr>
                <w:kern w:val="0"/>
                <w:sz w:val="24"/>
                <w:highlight w:val="none"/>
              </w:rPr>
              <w:t>分级管理</w:t>
            </w:r>
          </w:p>
        </w:tc>
        <w:tc>
          <w:tcPr>
            <w:tcW w:w="6877" w:type="dxa"/>
            <w:vAlign w:val="center"/>
          </w:tcPr>
          <w:p>
            <w:pPr>
              <w:spacing w:line="440" w:lineRule="exact"/>
              <w:jc w:val="left"/>
              <w:rPr>
                <w:sz w:val="24"/>
                <w:highlight w:val="none"/>
              </w:rPr>
            </w:pPr>
            <w:r>
              <w:rPr>
                <w:kern w:val="0"/>
                <w:sz w:val="24"/>
                <w:highlight w:val="none"/>
              </w:rPr>
              <w:t>系统支持病案室、医务处、科主任、质控员、临床医生、责任医生等人员6个级别的配置</w:t>
            </w:r>
            <w:r>
              <w:rPr>
                <w:rFonts w:hint="eastAsia"/>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spacing w:line="440" w:lineRule="exact"/>
              <w:jc w:val="left"/>
              <w:rPr>
                <w:sz w:val="24"/>
                <w:highlight w:val="none"/>
              </w:rPr>
            </w:pPr>
            <w:r>
              <w:rPr>
                <w:kern w:val="0"/>
                <w:sz w:val="24"/>
                <w:highlight w:val="none"/>
              </w:rPr>
              <w:t>系统支持多级质控，系统会以最高级别人员的结果为最终结果</w:t>
            </w:r>
            <w:r>
              <w:rPr>
                <w:rFonts w:hint="eastAsia"/>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Align w:val="center"/>
          </w:tcPr>
          <w:p>
            <w:pPr>
              <w:spacing w:line="440" w:lineRule="exact"/>
              <w:jc w:val="center"/>
              <w:rPr>
                <w:sz w:val="24"/>
                <w:highlight w:val="none"/>
              </w:rPr>
            </w:pPr>
            <w:r>
              <w:rPr>
                <w:rFonts w:hint="eastAsia"/>
                <w:kern w:val="0"/>
                <w:sz w:val="24"/>
                <w:highlight w:val="none"/>
              </w:rPr>
              <w:t>病案</w:t>
            </w:r>
            <w:r>
              <w:rPr>
                <w:kern w:val="0"/>
                <w:sz w:val="24"/>
                <w:highlight w:val="none"/>
              </w:rPr>
              <w:t>首页</w:t>
            </w:r>
            <w:r>
              <w:rPr>
                <w:rFonts w:hint="eastAsia"/>
                <w:kern w:val="0"/>
                <w:sz w:val="24"/>
                <w:highlight w:val="none"/>
              </w:rPr>
              <w:t>自动</w:t>
            </w:r>
            <w:r>
              <w:rPr>
                <w:kern w:val="0"/>
                <w:sz w:val="24"/>
                <w:highlight w:val="none"/>
              </w:rPr>
              <w:t>评分</w:t>
            </w:r>
          </w:p>
        </w:tc>
        <w:tc>
          <w:tcPr>
            <w:tcW w:w="6877" w:type="dxa"/>
            <w:vAlign w:val="center"/>
          </w:tcPr>
          <w:p>
            <w:pPr>
              <w:spacing w:line="440" w:lineRule="exact"/>
              <w:jc w:val="left"/>
              <w:rPr>
                <w:sz w:val="24"/>
                <w:highlight w:val="none"/>
              </w:rPr>
            </w:pPr>
            <w:r>
              <w:rPr>
                <w:kern w:val="0"/>
                <w:sz w:val="24"/>
                <w:highlight w:val="none"/>
              </w:rPr>
              <w:t>系统支持对首页质量进行自动评分，并对扣分项目的问题进行展示，支持人工调整评分结果</w:t>
            </w:r>
            <w:r>
              <w:rPr>
                <w:rFonts w:hint="eastAsia"/>
                <w:kern w:val="0"/>
                <w:sz w:val="24"/>
                <w:highlight w:val="none"/>
              </w:rPr>
              <w:t>，</w:t>
            </w:r>
            <w:r>
              <w:rPr>
                <w:rFonts w:hint="eastAsia" w:ascii="宋体" w:hAnsi="宋体" w:cs="宋体"/>
                <w:sz w:val="24"/>
                <w:highlight w:val="none"/>
              </w:rPr>
              <w:t>支持医院绩效考核。病案首页得分情况，应至少包括：病历类型、项目类型、评分项、分值、得分、提醒事项等多维度内容展示，供医生审核通过。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restart"/>
            <w:vAlign w:val="center"/>
          </w:tcPr>
          <w:p>
            <w:pPr>
              <w:spacing w:line="440" w:lineRule="exact"/>
              <w:jc w:val="center"/>
              <w:rPr>
                <w:sz w:val="24"/>
                <w:highlight w:val="none"/>
              </w:rPr>
            </w:pPr>
            <w:r>
              <w:rPr>
                <w:rFonts w:hint="eastAsia" w:ascii="宋体" w:hAnsi="宋体"/>
                <w:sz w:val="24"/>
                <w:highlight w:val="none"/>
              </w:rPr>
              <w:t>数据记录源头质控</w:t>
            </w:r>
          </w:p>
        </w:tc>
        <w:tc>
          <w:tcPr>
            <w:tcW w:w="6877" w:type="dxa"/>
            <w:vAlign w:val="center"/>
          </w:tcPr>
          <w:p>
            <w:pPr>
              <w:spacing w:line="440" w:lineRule="exact"/>
              <w:jc w:val="left"/>
              <w:rPr>
                <w:sz w:val="24"/>
                <w:highlight w:val="none"/>
              </w:rPr>
            </w:pPr>
            <w:r>
              <w:rPr>
                <w:rFonts w:hint="eastAsia" w:ascii="宋体" w:hAnsi="宋体"/>
                <w:sz w:val="24"/>
                <w:highlight w:val="none"/>
              </w:rPr>
              <w:t>支持从数据记录源头（医生、编码员）的行为开始质控，确保数据的完整、准确、实时，帮助医生、编码员提高病案书写规范。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pStyle w:val="963"/>
              <w:kinsoku w:val="0"/>
              <w:overflowPunct w:val="0"/>
              <w:spacing w:line="440" w:lineRule="exact"/>
              <w:rPr>
                <w:rFonts w:ascii="宋体" w:hAnsi="宋体"/>
                <w:szCs w:val="24"/>
                <w:highlight w:val="none"/>
                <w:lang w:eastAsia="zh-CN"/>
              </w:rPr>
            </w:pPr>
            <w:r>
              <w:rPr>
                <w:rFonts w:hint="eastAsia" w:ascii="宋体" w:hAnsi="宋体"/>
                <w:szCs w:val="24"/>
                <w:highlight w:val="none"/>
                <w:lang w:eastAsia="zh-CN"/>
              </w:rPr>
              <w:t>跟随源头信息修改而及时更新：</w:t>
            </w:r>
          </w:p>
          <w:p>
            <w:pPr>
              <w:spacing w:line="440" w:lineRule="exact"/>
              <w:jc w:val="left"/>
              <w:rPr>
                <w:sz w:val="24"/>
                <w:highlight w:val="none"/>
              </w:rPr>
            </w:pPr>
            <w:r>
              <w:rPr>
                <w:rFonts w:hint="eastAsia" w:ascii="宋体" w:hAnsi="宋体"/>
                <w:sz w:val="24"/>
                <w:highlight w:val="none"/>
              </w:rPr>
              <w:t>系统支持原始诊疗信息查看，可实时主动抓取修改后的源头信息，及时提醒医生，有效降低因智能化层级较低的信息化建设产生的新质控问题。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vAlign w:val="center"/>
          </w:tcPr>
          <w:p>
            <w:pPr>
              <w:spacing w:line="440" w:lineRule="exact"/>
              <w:jc w:val="center"/>
              <w:rPr>
                <w:sz w:val="24"/>
                <w:highlight w:val="none"/>
              </w:rPr>
            </w:pPr>
            <w:r>
              <w:rPr>
                <w:rFonts w:hint="eastAsia"/>
                <w:kern w:val="0"/>
                <w:sz w:val="24"/>
                <w:highlight w:val="none"/>
              </w:rPr>
              <w:t>病案</w:t>
            </w:r>
            <w:r>
              <w:rPr>
                <w:kern w:val="0"/>
                <w:sz w:val="24"/>
                <w:highlight w:val="none"/>
              </w:rPr>
              <w:t>事后质控</w:t>
            </w:r>
          </w:p>
        </w:tc>
        <w:tc>
          <w:tcPr>
            <w:tcW w:w="1752" w:type="dxa"/>
            <w:vMerge w:val="restart"/>
            <w:vAlign w:val="center"/>
          </w:tcPr>
          <w:p>
            <w:pPr>
              <w:spacing w:line="440" w:lineRule="exact"/>
              <w:jc w:val="center"/>
              <w:rPr>
                <w:sz w:val="24"/>
                <w:highlight w:val="none"/>
              </w:rPr>
            </w:pPr>
            <w:r>
              <w:rPr>
                <w:kern w:val="0"/>
                <w:sz w:val="24"/>
                <w:highlight w:val="none"/>
              </w:rPr>
              <w:t>质控任务管理</w:t>
            </w:r>
          </w:p>
        </w:tc>
        <w:tc>
          <w:tcPr>
            <w:tcW w:w="6877" w:type="dxa"/>
            <w:vAlign w:val="center"/>
          </w:tcPr>
          <w:p>
            <w:pPr>
              <w:spacing w:line="440" w:lineRule="exact"/>
              <w:jc w:val="left"/>
              <w:rPr>
                <w:sz w:val="24"/>
                <w:highlight w:val="none"/>
              </w:rPr>
            </w:pPr>
            <w:r>
              <w:rPr>
                <w:rFonts w:hint="eastAsia"/>
                <w:kern w:val="0"/>
                <w:sz w:val="24"/>
                <w:highlight w:val="none"/>
              </w:rPr>
              <w:t>支持</w:t>
            </w:r>
            <w:r>
              <w:rPr>
                <w:kern w:val="0"/>
                <w:sz w:val="24"/>
                <w:highlight w:val="none"/>
              </w:rPr>
              <w:t>质控管理人员定期创建质控任务，并指定任务执行人和期望完成日期，然后选择要进行抽查的病案（支持随机选择）完成任务的创建</w:t>
            </w:r>
            <w:r>
              <w:rPr>
                <w:rFonts w:hint="eastAsia"/>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spacing w:line="440" w:lineRule="exact"/>
              <w:jc w:val="left"/>
              <w:rPr>
                <w:sz w:val="24"/>
                <w:highlight w:val="none"/>
              </w:rPr>
            </w:pPr>
            <w:r>
              <w:rPr>
                <w:rFonts w:hint="eastAsia"/>
                <w:kern w:val="0"/>
                <w:sz w:val="24"/>
                <w:highlight w:val="none"/>
              </w:rPr>
              <w:t>支持</w:t>
            </w:r>
            <w:r>
              <w:rPr>
                <w:kern w:val="0"/>
                <w:sz w:val="24"/>
                <w:highlight w:val="none"/>
              </w:rPr>
              <w:t>质控管理人员实时查看质控任务的进展情况，以及质控结果，在任务完成后，可以结束任务</w:t>
            </w:r>
            <w:r>
              <w:rPr>
                <w:rFonts w:hint="eastAsia"/>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spacing w:line="440" w:lineRule="exact"/>
              <w:jc w:val="left"/>
              <w:rPr>
                <w:sz w:val="24"/>
                <w:highlight w:val="none"/>
              </w:rPr>
            </w:pPr>
            <w:r>
              <w:rPr>
                <w:kern w:val="0"/>
                <w:sz w:val="24"/>
                <w:highlight w:val="none"/>
              </w:rPr>
              <w:t>质控人员接到质控任务后，对任务中的病案进行质量审核</w:t>
            </w:r>
            <w:r>
              <w:rPr>
                <w:rFonts w:hint="eastAsia"/>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Align w:val="center"/>
          </w:tcPr>
          <w:p>
            <w:pPr>
              <w:spacing w:line="440" w:lineRule="exact"/>
              <w:jc w:val="center"/>
              <w:rPr>
                <w:sz w:val="24"/>
                <w:highlight w:val="none"/>
              </w:rPr>
            </w:pPr>
            <w:r>
              <w:rPr>
                <w:rFonts w:hint="eastAsia"/>
                <w:kern w:val="0"/>
                <w:sz w:val="24"/>
                <w:highlight w:val="none"/>
              </w:rPr>
              <w:t>质控问题快速原文定位</w:t>
            </w:r>
          </w:p>
        </w:tc>
        <w:tc>
          <w:tcPr>
            <w:tcW w:w="6877" w:type="dxa"/>
            <w:vAlign w:val="center"/>
          </w:tcPr>
          <w:p>
            <w:pPr>
              <w:spacing w:line="440" w:lineRule="exact"/>
              <w:jc w:val="left"/>
              <w:rPr>
                <w:sz w:val="24"/>
                <w:highlight w:val="none"/>
              </w:rPr>
            </w:pPr>
            <w:r>
              <w:rPr>
                <w:kern w:val="0"/>
                <w:sz w:val="24"/>
                <w:highlight w:val="none"/>
              </w:rPr>
              <w:t>质控人员在质控过程中可添加系统未质控出的问题，系统质控的问题支持快速原文定位，方便人工对结果进行快速判断</w:t>
            </w:r>
            <w:r>
              <w:rPr>
                <w:rFonts w:hint="eastAsia"/>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vAlign w:val="center"/>
          </w:tcPr>
          <w:p>
            <w:pPr>
              <w:spacing w:line="440" w:lineRule="exact"/>
              <w:jc w:val="center"/>
              <w:rPr>
                <w:sz w:val="24"/>
                <w:highlight w:val="none"/>
              </w:rPr>
            </w:pPr>
            <w:r>
              <w:rPr>
                <w:rFonts w:hint="eastAsia"/>
                <w:kern w:val="0"/>
                <w:sz w:val="24"/>
                <w:highlight w:val="none"/>
              </w:rPr>
              <w:t>病案首页</w:t>
            </w:r>
            <w:r>
              <w:rPr>
                <w:kern w:val="0"/>
                <w:sz w:val="24"/>
                <w:highlight w:val="none"/>
              </w:rPr>
              <w:t>质控规则维护</w:t>
            </w:r>
          </w:p>
        </w:tc>
        <w:tc>
          <w:tcPr>
            <w:tcW w:w="1752" w:type="dxa"/>
            <w:vMerge w:val="restart"/>
            <w:vAlign w:val="center"/>
          </w:tcPr>
          <w:p>
            <w:pPr>
              <w:spacing w:line="440" w:lineRule="exact"/>
              <w:jc w:val="center"/>
              <w:rPr>
                <w:sz w:val="24"/>
                <w:highlight w:val="none"/>
              </w:rPr>
            </w:pPr>
            <w:r>
              <w:rPr>
                <w:kern w:val="0"/>
                <w:sz w:val="24"/>
                <w:highlight w:val="none"/>
              </w:rPr>
              <w:t>病案质控规则</w:t>
            </w:r>
          </w:p>
        </w:tc>
        <w:tc>
          <w:tcPr>
            <w:tcW w:w="6877" w:type="dxa"/>
            <w:vAlign w:val="center"/>
          </w:tcPr>
          <w:p>
            <w:pPr>
              <w:spacing w:line="440" w:lineRule="exact"/>
              <w:jc w:val="left"/>
              <w:rPr>
                <w:sz w:val="24"/>
                <w:highlight w:val="none"/>
              </w:rPr>
            </w:pPr>
            <w:r>
              <w:rPr>
                <w:kern w:val="0"/>
                <w:sz w:val="24"/>
                <w:highlight w:val="none"/>
              </w:rPr>
              <w:t>支持按规则名称、规则逻辑、规则类型、专科类型、规则分类、规则环节、规则来源等维度进行规则的查询</w:t>
            </w:r>
            <w:r>
              <w:rPr>
                <w:rFonts w:hint="eastAsia"/>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spacing w:line="440" w:lineRule="exact"/>
              <w:jc w:val="left"/>
              <w:rPr>
                <w:sz w:val="24"/>
                <w:highlight w:val="none"/>
              </w:rPr>
            </w:pPr>
            <w:r>
              <w:rPr>
                <w:kern w:val="0"/>
                <w:sz w:val="24"/>
                <w:highlight w:val="none"/>
              </w:rPr>
              <w:t>支持规则的生效状态进行开启/关闭</w:t>
            </w:r>
            <w:r>
              <w:rPr>
                <w:rFonts w:hint="eastAsia"/>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spacing w:line="440" w:lineRule="exact"/>
              <w:jc w:val="left"/>
              <w:rPr>
                <w:sz w:val="24"/>
                <w:highlight w:val="none"/>
              </w:rPr>
            </w:pPr>
            <w:r>
              <w:rPr>
                <w:kern w:val="0"/>
                <w:sz w:val="24"/>
                <w:highlight w:val="none"/>
              </w:rPr>
              <w:t>支持规则级别的配置，支持3级配置，3级为最高级别</w:t>
            </w:r>
            <w:r>
              <w:rPr>
                <w:rFonts w:hint="eastAsia"/>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vAlign w:val="center"/>
          </w:tcPr>
          <w:p>
            <w:pPr>
              <w:spacing w:line="440" w:lineRule="exact"/>
              <w:jc w:val="center"/>
              <w:rPr>
                <w:sz w:val="24"/>
                <w:highlight w:val="none"/>
              </w:rPr>
            </w:pPr>
            <w:r>
              <w:rPr>
                <w:kern w:val="0"/>
                <w:sz w:val="24"/>
                <w:highlight w:val="none"/>
              </w:rPr>
              <w:t>360维度</w:t>
            </w:r>
            <w:r>
              <w:rPr>
                <w:rFonts w:hint="eastAsia"/>
                <w:kern w:val="0"/>
                <w:sz w:val="24"/>
                <w:highlight w:val="none"/>
              </w:rPr>
              <w:t>病案首页</w:t>
            </w:r>
            <w:r>
              <w:rPr>
                <w:kern w:val="0"/>
                <w:sz w:val="24"/>
                <w:highlight w:val="none"/>
              </w:rPr>
              <w:t>数据</w:t>
            </w:r>
            <w:r>
              <w:rPr>
                <w:rFonts w:hint="eastAsia"/>
                <w:kern w:val="0"/>
                <w:sz w:val="24"/>
                <w:highlight w:val="none"/>
              </w:rPr>
              <w:t>质量管理和</w:t>
            </w:r>
            <w:r>
              <w:rPr>
                <w:kern w:val="0"/>
                <w:sz w:val="24"/>
                <w:highlight w:val="none"/>
              </w:rPr>
              <w:t>分析</w:t>
            </w:r>
          </w:p>
        </w:tc>
        <w:tc>
          <w:tcPr>
            <w:tcW w:w="1752" w:type="dxa"/>
            <w:vMerge w:val="restart"/>
            <w:vAlign w:val="center"/>
          </w:tcPr>
          <w:p>
            <w:pPr>
              <w:spacing w:line="440" w:lineRule="exact"/>
              <w:jc w:val="center"/>
              <w:rPr>
                <w:sz w:val="24"/>
                <w:highlight w:val="none"/>
              </w:rPr>
            </w:pPr>
            <w:r>
              <w:rPr>
                <w:kern w:val="0"/>
                <w:sz w:val="24"/>
                <w:highlight w:val="none"/>
              </w:rPr>
              <w:t>病案</w:t>
            </w:r>
            <w:r>
              <w:rPr>
                <w:rFonts w:hint="eastAsia"/>
                <w:kern w:val="0"/>
                <w:sz w:val="24"/>
                <w:highlight w:val="none"/>
              </w:rPr>
              <w:t>统计</w:t>
            </w:r>
            <w:r>
              <w:rPr>
                <w:kern w:val="0"/>
                <w:sz w:val="24"/>
                <w:highlight w:val="none"/>
              </w:rPr>
              <w:t>分析</w:t>
            </w:r>
          </w:p>
        </w:tc>
        <w:tc>
          <w:tcPr>
            <w:tcW w:w="6877" w:type="dxa"/>
            <w:vAlign w:val="center"/>
          </w:tcPr>
          <w:p>
            <w:pPr>
              <w:spacing w:line="440" w:lineRule="exact"/>
              <w:jc w:val="left"/>
              <w:rPr>
                <w:sz w:val="24"/>
                <w:highlight w:val="none"/>
              </w:rPr>
            </w:pPr>
            <w:r>
              <w:rPr>
                <w:rFonts w:hint="eastAsia" w:ascii="宋体" w:hAnsi="宋体" w:cs="宋体"/>
                <w:sz w:val="24"/>
                <w:highlight w:val="none"/>
              </w:rPr>
              <w:t>系统应支持按一定时间范围、科室等不同维度进行全院病案首页质控情况分析，实时显示出院患者数、入院患者数、门诊患者数、使用抗菌药物患者数、手术患者数。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spacing w:line="440" w:lineRule="exact"/>
              <w:jc w:val="left"/>
              <w:rPr>
                <w:sz w:val="24"/>
                <w:highlight w:val="none"/>
              </w:rPr>
            </w:pPr>
            <w:r>
              <w:rPr>
                <w:rFonts w:hint="eastAsia" w:ascii="宋体" w:hAnsi="宋体" w:cs="宋体"/>
                <w:sz w:val="24"/>
                <w:highlight w:val="none"/>
              </w:rPr>
              <w:t>系统应支持全院病案首页问题情况在一定时间段内的多维度数据展示，至少应包括：单项否决问题数、完整性问题数、合规性问题数、一致性问题数、总体问题数、当月环比率、质量问题情况趋势等病历数据内容</w:t>
            </w:r>
            <w:r>
              <w:rPr>
                <w:rFonts w:hint="eastAsia"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spacing w:line="440" w:lineRule="exact"/>
              <w:jc w:val="left"/>
              <w:rPr>
                <w:sz w:val="24"/>
                <w:highlight w:val="none"/>
              </w:rPr>
            </w:pPr>
            <w:r>
              <w:rPr>
                <w:rFonts w:hint="eastAsia" w:ascii="宋体" w:hAnsi="宋体" w:cs="宋体"/>
                <w:sz w:val="24"/>
                <w:highlight w:val="none"/>
              </w:rPr>
              <w:t>系统应支持不同病区科室/医生病案首页问题执行情况进行分析，至少包括：单项否决问题数、完整性问题数、合规性问题数、一致性问题数、总体等数据内容进行走势分析。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restart"/>
            <w:vAlign w:val="center"/>
          </w:tcPr>
          <w:p>
            <w:pPr>
              <w:spacing w:line="440" w:lineRule="exact"/>
              <w:jc w:val="center"/>
              <w:rPr>
                <w:sz w:val="24"/>
                <w:highlight w:val="none"/>
              </w:rPr>
            </w:pPr>
            <w:r>
              <w:rPr>
                <w:kern w:val="0"/>
                <w:sz w:val="24"/>
                <w:highlight w:val="none"/>
              </w:rPr>
              <w:t>病案问题分析</w:t>
            </w:r>
          </w:p>
        </w:tc>
        <w:tc>
          <w:tcPr>
            <w:tcW w:w="6877" w:type="dxa"/>
            <w:vAlign w:val="center"/>
          </w:tcPr>
          <w:p>
            <w:pPr>
              <w:spacing w:line="440" w:lineRule="exact"/>
              <w:jc w:val="left"/>
              <w:rPr>
                <w:sz w:val="24"/>
                <w:highlight w:val="none"/>
              </w:rPr>
            </w:pPr>
            <w:r>
              <w:rPr>
                <w:kern w:val="0"/>
                <w:sz w:val="24"/>
                <w:highlight w:val="none"/>
              </w:rPr>
              <w:t>按日期范围统计问题数量、问题发生率、问题采纳率</w:t>
            </w:r>
            <w:r>
              <w:rPr>
                <w:rFonts w:hint="eastAsia"/>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spacing w:line="440" w:lineRule="exact"/>
              <w:jc w:val="left"/>
              <w:rPr>
                <w:sz w:val="24"/>
                <w:highlight w:val="none"/>
              </w:rPr>
            </w:pPr>
            <w:r>
              <w:rPr>
                <w:kern w:val="0"/>
                <w:sz w:val="24"/>
                <w:highlight w:val="none"/>
              </w:rPr>
              <w:t>按日、月、年统计问题的数量、问题发生率、问题采纳率的趋势</w:t>
            </w:r>
            <w:r>
              <w:rPr>
                <w:rFonts w:hint="eastAsia"/>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spacing w:line="440" w:lineRule="exact"/>
              <w:jc w:val="left"/>
              <w:rPr>
                <w:sz w:val="24"/>
                <w:highlight w:val="none"/>
              </w:rPr>
            </w:pPr>
            <w:r>
              <w:rPr>
                <w:kern w:val="0"/>
                <w:sz w:val="24"/>
                <w:highlight w:val="none"/>
              </w:rPr>
              <w:t>按质控问题统计科室、医疗组、医生，问题的数量、问题发生率、问题采纳率</w:t>
            </w:r>
            <w:r>
              <w:rPr>
                <w:rFonts w:hint="eastAsia"/>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restart"/>
            <w:vAlign w:val="center"/>
          </w:tcPr>
          <w:p>
            <w:pPr>
              <w:spacing w:line="440" w:lineRule="exact"/>
              <w:jc w:val="center"/>
              <w:rPr>
                <w:sz w:val="24"/>
                <w:highlight w:val="none"/>
              </w:rPr>
            </w:pPr>
            <w:r>
              <w:rPr>
                <w:kern w:val="0"/>
                <w:sz w:val="24"/>
                <w:highlight w:val="none"/>
              </w:rPr>
              <w:t>问题追溯</w:t>
            </w:r>
          </w:p>
        </w:tc>
        <w:tc>
          <w:tcPr>
            <w:tcW w:w="6877" w:type="dxa"/>
            <w:vAlign w:val="center"/>
          </w:tcPr>
          <w:p>
            <w:pPr>
              <w:spacing w:line="440" w:lineRule="exact"/>
              <w:jc w:val="left"/>
              <w:rPr>
                <w:sz w:val="24"/>
                <w:highlight w:val="none"/>
              </w:rPr>
            </w:pPr>
            <w:r>
              <w:rPr>
                <w:kern w:val="0"/>
                <w:sz w:val="24"/>
                <w:highlight w:val="none"/>
              </w:rPr>
              <w:t>支持统计分析结果下钻到每一份病案</w:t>
            </w:r>
            <w:r>
              <w:rPr>
                <w:rFonts w:hint="eastAsia"/>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spacing w:line="440" w:lineRule="exact"/>
              <w:jc w:val="left"/>
              <w:rPr>
                <w:sz w:val="24"/>
                <w:highlight w:val="none"/>
              </w:rPr>
            </w:pPr>
            <w:r>
              <w:rPr>
                <w:rFonts w:hint="eastAsia" w:ascii="宋体" w:hAnsi="宋体" w:cs="宋体"/>
                <w:sz w:val="24"/>
                <w:highlight w:val="none"/>
              </w:rPr>
              <w:t>支持对全院病案首页质控情况进行可视化、多维度展示，能够帮助医院质控部门对全面及时掌握医院质控现状，并协助制定合理的质量改进计划。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vAlign w:val="center"/>
          </w:tcPr>
          <w:p>
            <w:pPr>
              <w:spacing w:line="440" w:lineRule="exact"/>
              <w:jc w:val="center"/>
              <w:rPr>
                <w:sz w:val="24"/>
                <w:highlight w:val="none"/>
              </w:rPr>
            </w:pPr>
            <w:r>
              <w:rPr>
                <w:rFonts w:hint="eastAsia"/>
                <w:sz w:val="24"/>
                <w:highlight w:val="none"/>
              </w:rPr>
              <w:t>权限配置</w:t>
            </w:r>
          </w:p>
        </w:tc>
        <w:tc>
          <w:tcPr>
            <w:tcW w:w="1752" w:type="dxa"/>
            <w:vMerge w:val="restart"/>
            <w:vAlign w:val="center"/>
          </w:tcPr>
          <w:p>
            <w:pPr>
              <w:spacing w:line="440" w:lineRule="exact"/>
              <w:jc w:val="center"/>
              <w:rPr>
                <w:sz w:val="24"/>
                <w:highlight w:val="none"/>
              </w:rPr>
            </w:pPr>
            <w:r>
              <w:rPr>
                <w:rFonts w:hint="eastAsia"/>
                <w:sz w:val="24"/>
                <w:highlight w:val="none"/>
              </w:rPr>
              <w:t>用户管理</w:t>
            </w:r>
          </w:p>
        </w:tc>
        <w:tc>
          <w:tcPr>
            <w:tcW w:w="6877" w:type="dxa"/>
            <w:vAlign w:val="center"/>
          </w:tcPr>
          <w:p>
            <w:pPr>
              <w:spacing w:line="440" w:lineRule="exact"/>
              <w:jc w:val="left"/>
              <w:rPr>
                <w:sz w:val="24"/>
                <w:highlight w:val="none"/>
              </w:rPr>
            </w:pPr>
            <w:r>
              <w:rPr>
                <w:rFonts w:hint="eastAsia"/>
                <w:sz w:val="24"/>
                <w:highlight w:val="none"/>
              </w:rPr>
              <w:t>系统应支持管理员设置不同角色权限，不同权限的角色在使用时功能模块和数据不一致。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rFonts w:ascii="微软雅黑" w:hAnsi="微软雅黑" w:eastAsia="微软雅黑" w:cs="微软雅黑"/>
                <w:b/>
                <w:bCs/>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spacing w:line="440" w:lineRule="exact"/>
              <w:jc w:val="left"/>
              <w:rPr>
                <w:sz w:val="24"/>
                <w:highlight w:val="none"/>
              </w:rPr>
            </w:pPr>
            <w:r>
              <w:rPr>
                <w:rFonts w:hint="eastAsia"/>
                <w:sz w:val="24"/>
                <w:highlight w:val="none"/>
              </w:rPr>
              <w:t>系统应支持管理员对病历审核流程的级别进行自定义配置管理。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rFonts w:ascii="微软雅黑" w:hAnsi="微软雅黑" w:eastAsia="微软雅黑" w:cs="微软雅黑"/>
                <w:b/>
                <w:bCs/>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spacing w:line="440" w:lineRule="exact"/>
              <w:jc w:val="left"/>
              <w:rPr>
                <w:sz w:val="24"/>
                <w:highlight w:val="none"/>
              </w:rPr>
            </w:pPr>
            <w:r>
              <w:rPr>
                <w:rFonts w:hint="eastAsia"/>
                <w:sz w:val="24"/>
                <w:highlight w:val="none"/>
              </w:rPr>
              <w:t>系统应支持管理员对角色的功能模块权限进行自定义配置管理。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rFonts w:ascii="微软雅黑" w:hAnsi="微软雅黑" w:eastAsia="微软雅黑" w:cs="微软雅黑"/>
                <w:b/>
                <w:bCs/>
                <w:sz w:val="24"/>
                <w:highlight w:val="none"/>
              </w:rPr>
            </w:pPr>
          </w:p>
        </w:tc>
        <w:tc>
          <w:tcPr>
            <w:tcW w:w="1752" w:type="dxa"/>
            <w:vMerge w:val="continue"/>
            <w:vAlign w:val="center"/>
          </w:tcPr>
          <w:p>
            <w:pPr>
              <w:spacing w:line="440" w:lineRule="exact"/>
              <w:jc w:val="center"/>
              <w:rPr>
                <w:sz w:val="24"/>
                <w:highlight w:val="none"/>
              </w:rPr>
            </w:pPr>
          </w:p>
        </w:tc>
        <w:tc>
          <w:tcPr>
            <w:tcW w:w="6877" w:type="dxa"/>
            <w:vAlign w:val="center"/>
          </w:tcPr>
          <w:p>
            <w:pPr>
              <w:spacing w:line="440" w:lineRule="exact"/>
              <w:jc w:val="left"/>
              <w:rPr>
                <w:sz w:val="24"/>
                <w:highlight w:val="none"/>
              </w:rPr>
            </w:pPr>
            <w:r>
              <w:rPr>
                <w:rFonts w:hint="eastAsia"/>
                <w:sz w:val="24"/>
                <w:highlight w:val="none"/>
              </w:rPr>
              <w:t>系统应支持管理员对角色数据查看权限的范围进行自定义配置管理。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rFonts w:ascii="微软雅黑" w:hAnsi="微软雅黑" w:eastAsia="微软雅黑" w:cs="微软雅黑"/>
                <w:b/>
                <w:bCs/>
                <w:sz w:val="24"/>
                <w:highlight w:val="none"/>
              </w:rPr>
            </w:pPr>
          </w:p>
        </w:tc>
        <w:tc>
          <w:tcPr>
            <w:tcW w:w="1752" w:type="dxa"/>
            <w:vAlign w:val="center"/>
          </w:tcPr>
          <w:p>
            <w:pPr>
              <w:spacing w:line="440" w:lineRule="exact"/>
              <w:jc w:val="center"/>
              <w:rPr>
                <w:sz w:val="24"/>
                <w:highlight w:val="none"/>
              </w:rPr>
            </w:pPr>
            <w:r>
              <w:rPr>
                <w:sz w:val="24"/>
                <w:highlight w:val="none"/>
              </w:rPr>
              <w:t>字典维护</w:t>
            </w:r>
          </w:p>
        </w:tc>
        <w:tc>
          <w:tcPr>
            <w:tcW w:w="6877" w:type="dxa"/>
            <w:vAlign w:val="center"/>
          </w:tcPr>
          <w:p>
            <w:pPr>
              <w:spacing w:line="440" w:lineRule="exact"/>
              <w:jc w:val="left"/>
              <w:rPr>
                <w:sz w:val="24"/>
                <w:highlight w:val="none"/>
              </w:rPr>
            </w:pPr>
            <w:r>
              <w:rPr>
                <w:sz w:val="24"/>
                <w:highlight w:val="none"/>
              </w:rPr>
              <w:t>质检问题字典维护，按照国家规定配置质检评分表，提供质检问题模板维护功能。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vAlign w:val="center"/>
          </w:tcPr>
          <w:p>
            <w:pPr>
              <w:spacing w:line="440" w:lineRule="exact"/>
              <w:jc w:val="center"/>
              <w:rPr>
                <w:rFonts w:ascii="微软雅黑" w:hAnsi="微软雅黑" w:eastAsia="微软雅黑" w:cs="微软雅黑"/>
                <w:b/>
                <w:bCs/>
                <w:sz w:val="24"/>
                <w:highlight w:val="none"/>
              </w:rPr>
            </w:pPr>
          </w:p>
        </w:tc>
        <w:tc>
          <w:tcPr>
            <w:tcW w:w="1752" w:type="dxa"/>
            <w:vAlign w:val="center"/>
          </w:tcPr>
          <w:p>
            <w:pPr>
              <w:spacing w:line="440" w:lineRule="exact"/>
              <w:jc w:val="center"/>
              <w:rPr>
                <w:sz w:val="24"/>
                <w:highlight w:val="none"/>
              </w:rPr>
            </w:pPr>
            <w:r>
              <w:rPr>
                <w:sz w:val="24"/>
                <w:highlight w:val="none"/>
              </w:rPr>
              <w:t>ICD10查询</w:t>
            </w:r>
          </w:p>
        </w:tc>
        <w:tc>
          <w:tcPr>
            <w:tcW w:w="6877" w:type="dxa"/>
            <w:vAlign w:val="center"/>
          </w:tcPr>
          <w:p>
            <w:pPr>
              <w:spacing w:line="440" w:lineRule="exact"/>
              <w:jc w:val="left"/>
              <w:rPr>
                <w:sz w:val="24"/>
                <w:highlight w:val="none"/>
              </w:rPr>
            </w:pPr>
            <w:r>
              <w:rPr>
                <w:sz w:val="24"/>
                <w:highlight w:val="none"/>
              </w:rPr>
              <w:t>ICD10诊断库查询，提供诊断库检查功能</w:t>
            </w:r>
            <w:r>
              <w:rPr>
                <w:rFonts w:hint="eastAsia"/>
                <w:sz w:val="24"/>
                <w:highlight w:val="none"/>
              </w:rPr>
              <w:t>。</w:t>
            </w:r>
          </w:p>
        </w:tc>
      </w:tr>
    </w:tbl>
    <w:p>
      <w:pPr>
        <w:pStyle w:val="6"/>
        <w:ind w:firstLine="281"/>
        <w:rPr>
          <w:highlight w:val="none"/>
        </w:rPr>
      </w:pPr>
      <w:r>
        <w:rPr>
          <w:rFonts w:hint="eastAsia"/>
          <w:highlight w:val="none"/>
        </w:rPr>
        <w:t>单病种管理系统</w:t>
      </w:r>
    </w:p>
    <w:tbl>
      <w:tblPr>
        <w:tblStyle w:val="64"/>
        <w:tblW w:w="10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993"/>
        <w:gridCol w:w="5830"/>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宋体" w:hAnsi="宋体" w:cs="宋体"/>
                <w:sz w:val="24"/>
                <w:highlight w:val="none"/>
              </w:rPr>
            </w:pPr>
            <w:r>
              <w:rPr>
                <w:rFonts w:hint="eastAsia" w:ascii="宋体" w:hAnsi="宋体" w:cs="宋体"/>
                <w:sz w:val="24"/>
                <w:highlight w:val="none"/>
              </w:rPr>
              <w:t>分类</w:t>
            </w:r>
          </w:p>
        </w:tc>
        <w:tc>
          <w:tcPr>
            <w:tcW w:w="850" w:type="dxa"/>
            <w:vAlign w:val="center"/>
          </w:tcPr>
          <w:p>
            <w:pPr>
              <w:jc w:val="center"/>
              <w:rPr>
                <w:rFonts w:ascii="宋体" w:hAnsi="宋体" w:cs="宋体"/>
                <w:sz w:val="24"/>
                <w:highlight w:val="none"/>
              </w:rPr>
            </w:pPr>
            <w:r>
              <w:rPr>
                <w:rFonts w:hint="eastAsia" w:ascii="宋体" w:hAnsi="宋体" w:cs="宋体"/>
                <w:sz w:val="24"/>
                <w:highlight w:val="none"/>
              </w:rPr>
              <w:t>模块</w:t>
            </w:r>
          </w:p>
        </w:tc>
        <w:tc>
          <w:tcPr>
            <w:tcW w:w="993" w:type="dxa"/>
            <w:vAlign w:val="center"/>
          </w:tcPr>
          <w:p>
            <w:pPr>
              <w:jc w:val="center"/>
              <w:rPr>
                <w:rFonts w:ascii="宋体" w:hAnsi="宋体" w:cs="宋体"/>
                <w:sz w:val="24"/>
                <w:highlight w:val="none"/>
              </w:rPr>
            </w:pPr>
            <w:r>
              <w:rPr>
                <w:rFonts w:hint="eastAsia" w:ascii="宋体" w:hAnsi="宋体" w:cs="宋体"/>
                <w:sz w:val="24"/>
                <w:highlight w:val="none"/>
              </w:rPr>
              <w:t>功能</w:t>
            </w:r>
          </w:p>
        </w:tc>
        <w:tc>
          <w:tcPr>
            <w:tcW w:w="5830" w:type="dxa"/>
            <w:vAlign w:val="center"/>
          </w:tcPr>
          <w:p>
            <w:pPr>
              <w:jc w:val="center"/>
              <w:rPr>
                <w:rFonts w:ascii="宋体" w:hAnsi="宋体" w:cs="宋体"/>
                <w:sz w:val="24"/>
                <w:highlight w:val="none"/>
              </w:rPr>
            </w:pPr>
            <w:r>
              <w:rPr>
                <w:rFonts w:hint="eastAsia" w:ascii="宋体" w:hAnsi="宋体" w:cs="宋体"/>
                <w:sz w:val="24"/>
                <w:highlight w:val="none"/>
              </w:rPr>
              <w:t>需求</w:t>
            </w:r>
          </w:p>
        </w:tc>
        <w:tc>
          <w:tcPr>
            <w:tcW w:w="1525" w:type="dxa"/>
          </w:tcPr>
          <w:p>
            <w:pPr>
              <w:ind w:right="7"/>
              <w:jc w:val="center"/>
              <w:rPr>
                <w:rFonts w:ascii="宋体" w:hAnsi="宋体" w:cs="宋体"/>
                <w:sz w:val="24"/>
                <w:highlight w:val="none"/>
                <w:lang w:eastAsia="zh-Hans"/>
              </w:rPr>
            </w:pPr>
            <w:r>
              <w:rPr>
                <w:rFonts w:hint="eastAsia" w:ascii="宋体" w:hAnsi="宋体" w:cs="宋体"/>
                <w:sz w:val="24"/>
                <w:highlight w:val="none"/>
                <w:lang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46" w:type="dxa"/>
            <w:vMerge w:val="restart"/>
            <w:vAlign w:val="center"/>
          </w:tcPr>
          <w:p>
            <w:pPr>
              <w:rPr>
                <w:rFonts w:ascii="宋体" w:hAnsi="宋体" w:cs="宋体"/>
                <w:sz w:val="24"/>
                <w:highlight w:val="none"/>
              </w:rPr>
            </w:pPr>
            <w:r>
              <w:rPr>
                <w:rFonts w:hint="eastAsia" w:ascii="宋体" w:hAnsi="宋体" w:cs="宋体"/>
                <w:sz w:val="24"/>
                <w:highlight w:val="none"/>
              </w:rPr>
              <w:t>1.系统要求</w:t>
            </w:r>
          </w:p>
        </w:tc>
        <w:tc>
          <w:tcPr>
            <w:tcW w:w="850" w:type="dxa"/>
            <w:vMerge w:val="restart"/>
            <w:vAlign w:val="center"/>
          </w:tcPr>
          <w:p>
            <w:pPr>
              <w:rPr>
                <w:rFonts w:ascii="宋体" w:hAnsi="宋体" w:cs="宋体"/>
                <w:sz w:val="24"/>
                <w:highlight w:val="none"/>
              </w:rPr>
            </w:pPr>
            <w:r>
              <w:rPr>
                <w:rFonts w:hint="eastAsia" w:ascii="宋体" w:hAnsi="宋体" w:cs="宋体"/>
                <w:sz w:val="24"/>
                <w:highlight w:val="none"/>
              </w:rPr>
              <w:t>1.1架构</w:t>
            </w:r>
          </w:p>
        </w:tc>
        <w:tc>
          <w:tcPr>
            <w:tcW w:w="993" w:type="dxa"/>
            <w:vAlign w:val="center"/>
          </w:tcPr>
          <w:p>
            <w:pPr>
              <w:rPr>
                <w:rFonts w:ascii="宋体" w:hAnsi="宋体" w:cs="宋体"/>
                <w:sz w:val="24"/>
                <w:highlight w:val="none"/>
              </w:rPr>
            </w:pPr>
            <w:r>
              <w:rPr>
                <w:rFonts w:hint="eastAsia" w:ascii="宋体" w:hAnsi="宋体" w:cs="宋体"/>
                <w:sz w:val="24"/>
                <w:highlight w:val="none"/>
              </w:rPr>
              <w:t>1.1.1整体架构要求</w:t>
            </w:r>
          </w:p>
        </w:tc>
        <w:tc>
          <w:tcPr>
            <w:tcW w:w="5830" w:type="dxa"/>
            <w:vAlign w:val="center"/>
          </w:tcPr>
          <w:p>
            <w:pPr>
              <w:rPr>
                <w:rFonts w:ascii="宋体" w:hAnsi="宋体" w:cs="宋体"/>
                <w:sz w:val="24"/>
                <w:highlight w:val="none"/>
              </w:rPr>
            </w:pPr>
            <w:r>
              <w:rPr>
                <w:rFonts w:hint="eastAsia" w:ascii="宋体" w:hAnsi="宋体" w:cs="宋体"/>
                <w:sz w:val="24"/>
                <w:highlight w:val="none"/>
              </w:rPr>
              <w:t>系统采用B/S架构模式，采用高并发的分布式技术方案，实现服务器虚拟化、容器化、微服务化。</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Align w:val="center"/>
          </w:tcPr>
          <w:p>
            <w:pPr>
              <w:rPr>
                <w:rFonts w:ascii="宋体" w:hAnsi="宋体" w:cs="宋体"/>
                <w:sz w:val="24"/>
                <w:highlight w:val="none"/>
              </w:rPr>
            </w:pPr>
            <w:r>
              <w:rPr>
                <w:rFonts w:hint="eastAsia" w:ascii="宋体" w:hAnsi="宋体" w:cs="宋体"/>
                <w:sz w:val="24"/>
                <w:highlight w:val="none"/>
              </w:rPr>
              <w:t>1.1.2 弹性扩容要求</w:t>
            </w:r>
          </w:p>
        </w:tc>
        <w:tc>
          <w:tcPr>
            <w:tcW w:w="5830" w:type="dxa"/>
            <w:vAlign w:val="center"/>
          </w:tcPr>
          <w:p>
            <w:pPr>
              <w:rPr>
                <w:rFonts w:ascii="宋体" w:hAnsi="宋体" w:cs="宋体"/>
                <w:sz w:val="24"/>
                <w:highlight w:val="none"/>
              </w:rPr>
            </w:pPr>
            <w:r>
              <w:rPr>
                <w:rFonts w:hint="eastAsia" w:ascii="宋体" w:hAnsi="宋体" w:cs="宋体"/>
                <w:sz w:val="24"/>
                <w:highlight w:val="none"/>
              </w:rPr>
              <w:t>系统能够依据未来单病种数据上报的业务发展要求，实现不停机弹性扩容，将扩容对</w:t>
            </w:r>
            <w:r>
              <w:rPr>
                <w:rFonts w:hint="eastAsia" w:ascii="宋体" w:hAnsi="宋体" w:cs="宋体"/>
                <w:sz w:val="24"/>
                <w:highlight w:val="none"/>
                <w:lang w:eastAsia="zh-Hans"/>
              </w:rPr>
              <w:t>业务</w:t>
            </w:r>
            <w:r>
              <w:rPr>
                <w:rFonts w:hint="eastAsia" w:ascii="宋体" w:hAnsi="宋体" w:cs="宋体"/>
                <w:sz w:val="24"/>
                <w:highlight w:val="none"/>
              </w:rPr>
              <w:t>的影响降低到最低。</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Align w:val="center"/>
          </w:tcPr>
          <w:p>
            <w:pPr>
              <w:rPr>
                <w:rFonts w:ascii="宋体" w:hAnsi="宋体" w:cs="宋体"/>
                <w:sz w:val="24"/>
                <w:highlight w:val="none"/>
              </w:rPr>
            </w:pPr>
            <w:r>
              <w:rPr>
                <w:rFonts w:hint="eastAsia" w:ascii="宋体" w:hAnsi="宋体" w:cs="宋体"/>
                <w:sz w:val="24"/>
                <w:highlight w:val="none"/>
              </w:rPr>
              <w:t xml:space="preserve">1.1.3 </w:t>
            </w:r>
            <w:r>
              <w:rPr>
                <w:rFonts w:hint="eastAsia" w:ascii="宋体" w:hAnsi="宋体" w:cs="宋体"/>
                <w:sz w:val="24"/>
                <w:highlight w:val="none"/>
                <w:lang w:eastAsia="zh-Hans"/>
              </w:rPr>
              <w:t>客户端</w:t>
            </w:r>
            <w:r>
              <w:rPr>
                <w:rFonts w:hint="eastAsia" w:ascii="宋体" w:hAnsi="宋体" w:cs="宋体"/>
                <w:sz w:val="24"/>
                <w:highlight w:val="none"/>
              </w:rPr>
              <w:t>要求</w:t>
            </w:r>
          </w:p>
        </w:tc>
        <w:tc>
          <w:tcPr>
            <w:tcW w:w="5830" w:type="dxa"/>
            <w:vAlign w:val="center"/>
          </w:tcPr>
          <w:p>
            <w:pPr>
              <w:rPr>
                <w:rFonts w:ascii="宋体" w:hAnsi="宋体" w:cs="宋体"/>
                <w:sz w:val="24"/>
                <w:highlight w:val="none"/>
              </w:rPr>
            </w:pPr>
            <w:r>
              <w:rPr>
                <w:rFonts w:hint="eastAsia" w:ascii="宋体" w:hAnsi="宋体" w:cs="宋体"/>
                <w:sz w:val="24"/>
                <w:highlight w:val="none"/>
              </w:rPr>
              <w:t>系统支持目前市场上主流的Chrome以及Edge浏览器内核，支持</w:t>
            </w:r>
            <w:r>
              <w:rPr>
                <w:rFonts w:hint="eastAsia" w:ascii="宋体" w:hAnsi="宋体" w:cs="宋体"/>
                <w:sz w:val="24"/>
                <w:highlight w:val="none"/>
                <w:lang w:eastAsia="zh-Hans"/>
              </w:rPr>
              <w:t>IE（</w:t>
            </w:r>
            <w:r>
              <w:rPr>
                <w:rFonts w:hint="eastAsia" w:ascii="宋体" w:hAnsi="宋体" w:cs="宋体"/>
                <w:sz w:val="24"/>
                <w:highlight w:val="none"/>
              </w:rPr>
              <w:t>Edge</w:t>
            </w:r>
            <w:r>
              <w:rPr>
                <w:rFonts w:hint="eastAsia" w:ascii="宋体" w:hAnsi="宋体" w:cs="宋体"/>
                <w:sz w:val="24"/>
                <w:highlight w:val="none"/>
                <w:lang w:eastAsia="zh-Hans"/>
              </w:rPr>
              <w:t>）、Chrome</w:t>
            </w:r>
            <w:r>
              <w:rPr>
                <w:rFonts w:hint="eastAsia" w:ascii="宋体" w:hAnsi="宋体" w:cs="宋体"/>
                <w:sz w:val="24"/>
                <w:highlight w:val="none"/>
              </w:rPr>
              <w:t>、Firefox等浏览器客户端。</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Merge w:val="restart"/>
            <w:vAlign w:val="center"/>
          </w:tcPr>
          <w:p>
            <w:pPr>
              <w:rPr>
                <w:rFonts w:ascii="宋体" w:hAnsi="宋体" w:cs="宋体"/>
                <w:sz w:val="24"/>
                <w:highlight w:val="none"/>
              </w:rPr>
            </w:pPr>
            <w:r>
              <w:rPr>
                <w:rFonts w:hint="eastAsia" w:ascii="宋体" w:hAnsi="宋体" w:cs="宋体"/>
                <w:sz w:val="24"/>
                <w:highlight w:val="none"/>
              </w:rPr>
              <w:t>1.2设计</w:t>
            </w:r>
          </w:p>
        </w:tc>
        <w:tc>
          <w:tcPr>
            <w:tcW w:w="993" w:type="dxa"/>
            <w:vAlign w:val="center"/>
          </w:tcPr>
          <w:p>
            <w:pPr>
              <w:rPr>
                <w:rFonts w:ascii="宋体" w:hAnsi="宋体" w:cs="宋体"/>
                <w:sz w:val="24"/>
                <w:highlight w:val="none"/>
              </w:rPr>
            </w:pPr>
            <w:r>
              <w:rPr>
                <w:rFonts w:hint="eastAsia" w:ascii="宋体" w:hAnsi="宋体" w:cs="宋体"/>
                <w:sz w:val="24"/>
                <w:highlight w:val="none"/>
              </w:rPr>
              <w:t>1.2.1.跨平台支持</w:t>
            </w:r>
          </w:p>
        </w:tc>
        <w:tc>
          <w:tcPr>
            <w:tcW w:w="5830" w:type="dxa"/>
            <w:vAlign w:val="center"/>
          </w:tcPr>
          <w:p>
            <w:pPr>
              <w:rPr>
                <w:rFonts w:ascii="宋体" w:hAnsi="宋体" w:cs="宋体"/>
                <w:sz w:val="24"/>
                <w:highlight w:val="none"/>
              </w:rPr>
            </w:pPr>
            <w:r>
              <w:rPr>
                <w:rFonts w:hint="eastAsia" w:ascii="宋体" w:hAnsi="宋体" w:cs="宋体"/>
                <w:sz w:val="24"/>
                <w:highlight w:val="none"/>
              </w:rPr>
              <w:t>系统需支持医院内外网的本地化、多平台安装。客户端无需安装任何专用软件，通过浏览器使用系统。</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Align w:val="center"/>
          </w:tcPr>
          <w:p>
            <w:pPr>
              <w:rPr>
                <w:rFonts w:ascii="宋体" w:hAnsi="宋体" w:cs="宋体"/>
                <w:sz w:val="24"/>
                <w:highlight w:val="none"/>
              </w:rPr>
            </w:pPr>
            <w:r>
              <w:rPr>
                <w:rFonts w:hint="eastAsia" w:ascii="宋体" w:hAnsi="宋体" w:cs="宋体"/>
                <w:sz w:val="24"/>
                <w:highlight w:val="none"/>
              </w:rPr>
              <w:t>1.2.2.支持不停机更新</w:t>
            </w:r>
          </w:p>
        </w:tc>
        <w:tc>
          <w:tcPr>
            <w:tcW w:w="5830" w:type="dxa"/>
            <w:vAlign w:val="center"/>
          </w:tcPr>
          <w:p>
            <w:pPr>
              <w:rPr>
                <w:rFonts w:ascii="宋体" w:hAnsi="宋体" w:cs="宋体"/>
                <w:sz w:val="24"/>
                <w:highlight w:val="none"/>
              </w:rPr>
            </w:pPr>
            <w:r>
              <w:rPr>
                <w:rFonts w:hint="eastAsia" w:ascii="宋体" w:hAnsi="宋体" w:cs="宋体"/>
                <w:sz w:val="24"/>
                <w:highlight w:val="none"/>
              </w:rPr>
              <w:t>系统升级时，客户端无需更新，服务端更新时不中断现有业务。</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Align w:val="center"/>
          </w:tcPr>
          <w:p>
            <w:pPr>
              <w:rPr>
                <w:rFonts w:ascii="宋体" w:hAnsi="宋体" w:cs="宋体"/>
                <w:sz w:val="24"/>
                <w:highlight w:val="none"/>
              </w:rPr>
            </w:pPr>
            <w:r>
              <w:rPr>
                <w:rFonts w:hint="eastAsia" w:ascii="宋体" w:hAnsi="宋体" w:cs="宋体"/>
                <w:sz w:val="24"/>
                <w:highlight w:val="none"/>
              </w:rPr>
              <w:t>1.2.3.安全性保证</w:t>
            </w:r>
          </w:p>
        </w:tc>
        <w:tc>
          <w:tcPr>
            <w:tcW w:w="5830" w:type="dxa"/>
            <w:vAlign w:val="center"/>
          </w:tcPr>
          <w:p>
            <w:pPr>
              <w:rPr>
                <w:rFonts w:ascii="宋体" w:hAnsi="宋体" w:cs="宋体"/>
                <w:sz w:val="24"/>
                <w:highlight w:val="none"/>
              </w:rPr>
            </w:pPr>
            <w:r>
              <w:rPr>
                <w:rFonts w:hint="eastAsia" w:ascii="宋体" w:hAnsi="宋体" w:cs="宋体"/>
                <w:sz w:val="24"/>
                <w:highlight w:val="none"/>
              </w:rPr>
              <w:t>必须保证系统符合各类安全性要求，如等保</w:t>
            </w:r>
            <w:r>
              <w:rPr>
                <w:rFonts w:ascii="宋体" w:hAnsi="宋体" w:cs="宋体"/>
                <w:sz w:val="24"/>
                <w:highlight w:val="none"/>
              </w:rPr>
              <w:t>2</w:t>
            </w:r>
            <w:r>
              <w:rPr>
                <w:rFonts w:hint="eastAsia" w:ascii="宋体" w:hAnsi="宋体" w:cs="宋体"/>
                <w:sz w:val="24"/>
                <w:highlight w:val="none"/>
              </w:rPr>
              <w:t>.0、病人隐私等。</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Merge w:val="restart"/>
            <w:vAlign w:val="center"/>
          </w:tcPr>
          <w:p>
            <w:pPr>
              <w:rPr>
                <w:rFonts w:ascii="宋体" w:hAnsi="宋体" w:cs="宋体"/>
                <w:sz w:val="24"/>
                <w:highlight w:val="none"/>
              </w:rPr>
            </w:pPr>
            <w:r>
              <w:rPr>
                <w:rFonts w:hint="eastAsia" w:ascii="宋体" w:hAnsi="宋体" w:cs="宋体"/>
                <w:sz w:val="24"/>
                <w:highlight w:val="none"/>
              </w:rPr>
              <w:t>1.3接口</w:t>
            </w:r>
          </w:p>
        </w:tc>
        <w:tc>
          <w:tcPr>
            <w:tcW w:w="993" w:type="dxa"/>
            <w:vAlign w:val="center"/>
          </w:tcPr>
          <w:p>
            <w:pPr>
              <w:rPr>
                <w:rFonts w:ascii="宋体" w:hAnsi="宋体" w:cs="宋体"/>
                <w:sz w:val="24"/>
                <w:highlight w:val="none"/>
              </w:rPr>
            </w:pPr>
            <w:r>
              <w:rPr>
                <w:rFonts w:hint="eastAsia" w:ascii="宋体" w:hAnsi="宋体" w:cs="宋体"/>
                <w:sz w:val="24"/>
                <w:highlight w:val="none"/>
              </w:rPr>
              <w:t>1.3.1.支持单点登录</w:t>
            </w:r>
          </w:p>
        </w:tc>
        <w:tc>
          <w:tcPr>
            <w:tcW w:w="5830" w:type="dxa"/>
            <w:vAlign w:val="center"/>
          </w:tcPr>
          <w:p>
            <w:pPr>
              <w:rPr>
                <w:rFonts w:ascii="宋体" w:hAnsi="宋体" w:cs="宋体"/>
                <w:sz w:val="24"/>
                <w:highlight w:val="none"/>
              </w:rPr>
            </w:pPr>
            <w:r>
              <w:rPr>
                <w:rFonts w:hint="eastAsia" w:ascii="宋体" w:hAnsi="宋体" w:cs="宋体"/>
                <w:sz w:val="24"/>
                <w:highlight w:val="none"/>
              </w:rPr>
              <w:t>可与院内HIS系统、电子病历系统对接实现单点登录；</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Align w:val="center"/>
          </w:tcPr>
          <w:p>
            <w:pPr>
              <w:rPr>
                <w:rFonts w:ascii="宋体" w:hAnsi="宋体" w:cs="宋体"/>
                <w:sz w:val="24"/>
                <w:highlight w:val="none"/>
              </w:rPr>
            </w:pPr>
            <w:r>
              <w:rPr>
                <w:rFonts w:hint="eastAsia" w:ascii="宋体" w:hAnsi="宋体" w:cs="宋体"/>
                <w:sz w:val="24"/>
                <w:highlight w:val="none"/>
              </w:rPr>
              <w:t>1.3.2.支持与院内系统对接</w:t>
            </w:r>
          </w:p>
        </w:tc>
        <w:tc>
          <w:tcPr>
            <w:tcW w:w="5830" w:type="dxa"/>
            <w:vAlign w:val="center"/>
          </w:tcPr>
          <w:p>
            <w:pPr>
              <w:rPr>
                <w:rFonts w:ascii="宋体" w:hAnsi="宋体" w:cs="宋体"/>
                <w:sz w:val="24"/>
                <w:highlight w:val="none"/>
              </w:rPr>
            </w:pPr>
            <w:r>
              <w:rPr>
                <w:rFonts w:hint="eastAsia" w:ascii="宋体" w:hAnsi="宋体" w:cs="宋体"/>
                <w:sz w:val="24"/>
                <w:highlight w:val="none"/>
              </w:rPr>
              <w:t>与医院相关系统紧密无缝连接，能够自动获取患者基本信息</w:t>
            </w:r>
            <w:r>
              <w:rPr>
                <w:rFonts w:hint="eastAsia" w:ascii="宋体" w:hAnsi="宋体" w:cs="宋体"/>
                <w:sz w:val="24"/>
                <w:highlight w:val="none"/>
                <w:lang w:eastAsia="zh-Hans"/>
              </w:rPr>
              <w:t>和临床治疗等信息</w:t>
            </w:r>
            <w:r>
              <w:rPr>
                <w:rFonts w:hint="eastAsia" w:ascii="宋体" w:hAnsi="宋体" w:cs="宋体"/>
                <w:sz w:val="24"/>
                <w:highlight w:val="none"/>
              </w:rPr>
              <w:t>，</w:t>
            </w:r>
            <w:r>
              <w:rPr>
                <w:rFonts w:hint="eastAsia" w:ascii="宋体" w:hAnsi="宋体" w:cs="宋体"/>
                <w:sz w:val="24"/>
                <w:highlight w:val="none"/>
                <w:lang w:eastAsia="zh-Hans"/>
              </w:rPr>
              <w:t>接口符合</w:t>
            </w:r>
            <w:r>
              <w:rPr>
                <w:rFonts w:hint="eastAsia" w:ascii="宋体" w:hAnsi="宋体" w:cs="宋体"/>
                <w:sz w:val="24"/>
                <w:highlight w:val="none"/>
              </w:rPr>
              <w:t>HL7标准；</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Align w:val="center"/>
          </w:tcPr>
          <w:p>
            <w:pPr>
              <w:rPr>
                <w:rFonts w:ascii="宋体" w:hAnsi="宋体" w:cs="宋体"/>
                <w:sz w:val="24"/>
                <w:highlight w:val="none"/>
              </w:rPr>
            </w:pPr>
            <w:r>
              <w:rPr>
                <w:rFonts w:hint="eastAsia" w:ascii="宋体" w:hAnsi="宋体" w:cs="宋体"/>
                <w:sz w:val="24"/>
                <w:highlight w:val="none"/>
              </w:rPr>
              <w:t>1.3.3.接口对接方案</w:t>
            </w:r>
          </w:p>
        </w:tc>
        <w:tc>
          <w:tcPr>
            <w:tcW w:w="5830" w:type="dxa"/>
            <w:vAlign w:val="center"/>
          </w:tcPr>
          <w:p>
            <w:pPr>
              <w:rPr>
                <w:rFonts w:ascii="宋体" w:hAnsi="宋体" w:cs="宋体"/>
                <w:sz w:val="24"/>
                <w:highlight w:val="none"/>
              </w:rPr>
            </w:pPr>
            <w:r>
              <w:rPr>
                <w:rFonts w:hint="eastAsia" w:ascii="宋体" w:hAnsi="宋体" w:cs="宋体"/>
                <w:sz w:val="24"/>
                <w:highlight w:val="none"/>
              </w:rPr>
              <w:t>配合管理需求，实现各类接口功能</w:t>
            </w:r>
            <w:r>
              <w:rPr>
                <w:rFonts w:hint="eastAsia" w:ascii="宋体" w:hAnsi="宋体" w:cs="宋体"/>
                <w:sz w:val="24"/>
                <w:highlight w:val="none"/>
                <w:lang w:eastAsia="zh-Hans"/>
              </w:rPr>
              <w:t>，接口采取可配置化设计。</w:t>
            </w:r>
          </w:p>
        </w:tc>
        <w:tc>
          <w:tcPr>
            <w:tcW w:w="1525" w:type="dxa"/>
          </w:tcPr>
          <w:p>
            <w:pPr>
              <w:rPr>
                <w:rFonts w:ascii="宋体" w:hAnsi="宋体" w:cs="宋体"/>
                <w:sz w:val="24"/>
                <w:highlight w:val="none"/>
                <w:lang w:eastAsia="zh-Hans"/>
              </w:rPr>
            </w:pPr>
            <w:r>
              <w:rPr>
                <w:rFonts w:hint="eastAsia" w:ascii="宋体" w:hAnsi="宋体" w:cs="宋体"/>
                <w:sz w:val="24"/>
                <w:highlight w:val="none"/>
                <w:lang w:eastAsia="zh-Hans"/>
              </w:rPr>
              <w:t>接口需要可配置设计，提升系统的可维护性。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Align w:val="center"/>
          </w:tcPr>
          <w:p>
            <w:pPr>
              <w:rPr>
                <w:rFonts w:ascii="宋体" w:hAnsi="宋体" w:cs="宋体"/>
                <w:sz w:val="24"/>
                <w:highlight w:val="none"/>
              </w:rPr>
            </w:pPr>
            <w:r>
              <w:rPr>
                <w:rFonts w:hint="eastAsia" w:ascii="宋体" w:hAnsi="宋体" w:cs="宋体"/>
                <w:sz w:val="24"/>
                <w:highlight w:val="none"/>
              </w:rPr>
              <w:t>1.4</w:t>
            </w:r>
            <w:r>
              <w:rPr>
                <w:rFonts w:hint="eastAsia" w:ascii="宋体" w:hAnsi="宋体" w:cs="宋体"/>
                <w:sz w:val="24"/>
                <w:highlight w:val="none"/>
                <w:lang w:eastAsia="zh-Hans"/>
              </w:rPr>
              <w:t>数据治理</w:t>
            </w:r>
          </w:p>
        </w:tc>
        <w:tc>
          <w:tcPr>
            <w:tcW w:w="993" w:type="dxa"/>
            <w:vAlign w:val="center"/>
          </w:tcPr>
          <w:p>
            <w:pPr>
              <w:rPr>
                <w:rFonts w:ascii="宋体" w:hAnsi="宋体" w:cs="宋体"/>
                <w:sz w:val="24"/>
                <w:highlight w:val="none"/>
              </w:rPr>
            </w:pPr>
            <w:r>
              <w:rPr>
                <w:rFonts w:hint="eastAsia" w:ascii="宋体" w:hAnsi="宋体" w:cs="宋体"/>
                <w:sz w:val="24"/>
                <w:highlight w:val="none"/>
              </w:rPr>
              <w:t>1.4.1.数据集成和治理</w:t>
            </w:r>
          </w:p>
        </w:tc>
        <w:tc>
          <w:tcPr>
            <w:tcW w:w="5830" w:type="dxa"/>
            <w:vAlign w:val="center"/>
          </w:tcPr>
          <w:p>
            <w:pPr>
              <w:rPr>
                <w:rFonts w:ascii="宋体" w:hAnsi="宋体" w:cs="宋体"/>
                <w:sz w:val="24"/>
                <w:highlight w:val="none"/>
              </w:rPr>
            </w:pPr>
            <w:r>
              <w:rPr>
                <w:rFonts w:hint="eastAsia" w:ascii="宋体" w:hAnsi="宋体" w:cs="宋体"/>
                <w:sz w:val="24"/>
                <w:highlight w:val="none"/>
              </w:rPr>
              <w:t>通过数据仓库技术将分散、零乱、标准不统一的数据经过抽取、清洗转换之后形成单病种的有效数据。</w:t>
            </w:r>
            <w:r>
              <w:rPr>
                <w:rFonts w:hint="eastAsia" w:ascii="宋体" w:hAnsi="宋体" w:cs="宋体"/>
                <w:sz w:val="24"/>
                <w:highlight w:val="none"/>
                <w:lang w:eastAsia="zh-Hans"/>
              </w:rPr>
              <w:t>特别是在数据抽取的过程中系统要具备智能转换能力，如</w:t>
            </w:r>
            <w:r>
              <w:rPr>
                <w:rFonts w:hint="eastAsia" w:ascii="宋体" w:hAnsi="宋体" w:cs="宋体"/>
                <w:sz w:val="24"/>
                <w:highlight w:val="none"/>
              </w:rPr>
              <w:t>根据医院的检验单位自动换算成国家平台使用的单位</w:t>
            </w:r>
            <w:r>
              <w:rPr>
                <w:rFonts w:hint="eastAsia" w:ascii="宋体" w:hAnsi="宋体" w:cs="宋体"/>
                <w:sz w:val="24"/>
                <w:highlight w:val="none"/>
                <w:lang w:eastAsia="zh-Hans"/>
              </w:rPr>
              <w:t>，而无需人工进行转化。</w:t>
            </w:r>
          </w:p>
        </w:tc>
        <w:tc>
          <w:tcPr>
            <w:tcW w:w="1525" w:type="dxa"/>
          </w:tcPr>
          <w:p>
            <w:pPr>
              <w:rPr>
                <w:rFonts w:ascii="宋体" w:hAnsi="宋体" w:cs="宋体"/>
                <w:sz w:val="24"/>
                <w:highlight w:val="none"/>
                <w:lang w:eastAsia="zh-Hans"/>
              </w:rPr>
            </w:pPr>
            <w:r>
              <w:rPr>
                <w:rFonts w:hint="eastAsia" w:ascii="宋体" w:hAnsi="宋体" w:cs="宋体"/>
                <w:sz w:val="24"/>
                <w:highlight w:val="none"/>
                <w:lang w:eastAsia="zh-Hans"/>
              </w:rPr>
              <w:t>对医院现有系统字段，如单位、长度、默认格式等，要求进行标准化转换治理。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vAlign w:val="center"/>
          </w:tcPr>
          <w:p>
            <w:pPr>
              <w:rPr>
                <w:rFonts w:ascii="宋体" w:hAnsi="宋体" w:cs="宋体"/>
                <w:sz w:val="24"/>
                <w:highlight w:val="none"/>
              </w:rPr>
            </w:pPr>
            <w:r>
              <w:rPr>
                <w:rFonts w:hint="eastAsia" w:ascii="宋体" w:hAnsi="宋体" w:cs="宋体"/>
                <w:sz w:val="24"/>
                <w:highlight w:val="none"/>
              </w:rPr>
              <w:t>2.软件需求</w:t>
            </w:r>
          </w:p>
        </w:tc>
        <w:tc>
          <w:tcPr>
            <w:tcW w:w="850" w:type="dxa"/>
            <w:vMerge w:val="restart"/>
            <w:vAlign w:val="center"/>
          </w:tcPr>
          <w:p>
            <w:pPr>
              <w:rPr>
                <w:rFonts w:ascii="宋体" w:hAnsi="宋体" w:cs="宋体"/>
                <w:sz w:val="24"/>
                <w:highlight w:val="none"/>
              </w:rPr>
            </w:pPr>
            <w:r>
              <w:rPr>
                <w:rFonts w:hint="eastAsia" w:ascii="宋体" w:hAnsi="宋体" w:cs="宋体"/>
                <w:sz w:val="24"/>
                <w:highlight w:val="none"/>
              </w:rPr>
              <w:t>2.1数据填报</w:t>
            </w:r>
          </w:p>
        </w:tc>
        <w:tc>
          <w:tcPr>
            <w:tcW w:w="993" w:type="dxa"/>
            <w:vAlign w:val="center"/>
          </w:tcPr>
          <w:p>
            <w:pPr>
              <w:rPr>
                <w:rFonts w:ascii="宋体" w:hAnsi="宋体" w:cs="宋体"/>
                <w:sz w:val="24"/>
                <w:highlight w:val="none"/>
              </w:rPr>
            </w:pPr>
            <w:r>
              <w:rPr>
                <w:rFonts w:hint="eastAsia" w:ascii="宋体" w:hAnsi="宋体" w:cs="宋体"/>
                <w:sz w:val="24"/>
                <w:highlight w:val="none"/>
              </w:rPr>
              <w:t>2.1.1 自动</w:t>
            </w:r>
            <w:r>
              <w:rPr>
                <w:rFonts w:hint="eastAsia" w:ascii="宋体" w:hAnsi="宋体" w:cs="宋体"/>
                <w:sz w:val="24"/>
                <w:highlight w:val="none"/>
                <w:lang w:eastAsia="zh-Hans"/>
              </w:rPr>
              <w:t>抽取</w:t>
            </w:r>
          </w:p>
        </w:tc>
        <w:tc>
          <w:tcPr>
            <w:tcW w:w="5830" w:type="dxa"/>
            <w:vAlign w:val="center"/>
          </w:tcPr>
          <w:p>
            <w:pPr>
              <w:rPr>
                <w:rFonts w:ascii="宋体" w:hAnsi="宋体" w:cs="宋体"/>
                <w:caps/>
                <w:sz w:val="24"/>
                <w:highlight w:val="none"/>
                <w:lang w:eastAsia="zh-Hans"/>
              </w:rPr>
            </w:pPr>
            <w:r>
              <w:rPr>
                <w:rFonts w:hint="eastAsia" w:ascii="宋体" w:hAnsi="宋体" w:cs="宋体"/>
                <w:sz w:val="24"/>
                <w:highlight w:val="none"/>
                <w:lang w:eastAsia="zh-Hans"/>
              </w:rPr>
              <w:t>需</w:t>
            </w:r>
            <w:r>
              <w:rPr>
                <w:rFonts w:hint="eastAsia" w:ascii="宋体" w:hAnsi="宋体" w:cs="宋体"/>
                <w:sz w:val="24"/>
                <w:highlight w:val="none"/>
              </w:rPr>
              <w:t>满足国家卫健委</w:t>
            </w:r>
            <w:r>
              <w:rPr>
                <w:rFonts w:hint="eastAsia" w:ascii="宋体" w:hAnsi="宋体" w:cs="宋体"/>
                <w:sz w:val="24"/>
                <w:highlight w:val="none"/>
                <w:lang w:eastAsia="zh-Hans"/>
              </w:rPr>
              <w:t>2020年</w:t>
            </w:r>
            <w:r>
              <w:rPr>
                <w:rFonts w:hint="eastAsia" w:ascii="宋体" w:hAnsi="宋体" w:cs="宋体"/>
                <w:sz w:val="24"/>
                <w:highlight w:val="none"/>
              </w:rPr>
              <w:t>发布的51个单病种</w:t>
            </w:r>
            <w:r>
              <w:rPr>
                <w:rFonts w:hint="eastAsia" w:ascii="宋体" w:hAnsi="宋体" w:cs="宋体"/>
                <w:caps/>
                <w:sz w:val="24"/>
                <w:highlight w:val="none"/>
              </w:rPr>
              <w:t>/手术</w:t>
            </w:r>
            <w:r>
              <w:rPr>
                <w:rFonts w:hint="eastAsia" w:ascii="宋体" w:hAnsi="宋体" w:cs="宋体"/>
                <w:caps/>
                <w:sz w:val="24"/>
                <w:highlight w:val="none"/>
                <w:lang w:eastAsia="zh-Hans"/>
              </w:rPr>
              <w:t>，以及2022年《国家卫生健康委医政医管局关于进一步做好单病种质量监测数据填报工作的函》中新增的7个疾病/手术。</w:t>
            </w:r>
          </w:p>
          <w:p>
            <w:pPr>
              <w:rPr>
                <w:rFonts w:ascii="宋体" w:hAnsi="宋体" w:cs="宋体"/>
                <w:sz w:val="24"/>
                <w:highlight w:val="none"/>
              </w:rPr>
            </w:pPr>
            <w:r>
              <w:rPr>
                <w:rFonts w:hint="eastAsia" w:ascii="宋体" w:hAnsi="宋体" w:cs="宋体"/>
                <w:sz w:val="24"/>
                <w:highlight w:val="none"/>
              </w:rPr>
              <w:t>支持医院现有的临床诊疗平台进行全数据对接，能自动读取数据，自动读取率</w:t>
            </w:r>
            <w:r>
              <w:rPr>
                <w:rFonts w:hint="eastAsia" w:ascii="宋体" w:hAnsi="宋体" w:cs="宋体"/>
                <w:sz w:val="24"/>
                <w:highlight w:val="none"/>
                <w:lang w:eastAsia="zh-Hans"/>
              </w:rPr>
              <w:t>达到国家上报平台要求的必填字段</w:t>
            </w:r>
            <w:r>
              <w:rPr>
                <w:rFonts w:hint="eastAsia" w:ascii="宋体" w:hAnsi="宋体" w:cs="宋体"/>
                <w:sz w:val="24"/>
                <w:highlight w:val="none"/>
              </w:rPr>
              <w:t>80%并能自动上报。</w:t>
            </w:r>
          </w:p>
        </w:tc>
        <w:tc>
          <w:tcPr>
            <w:tcW w:w="1525" w:type="dxa"/>
          </w:tcPr>
          <w:p>
            <w:pPr>
              <w:rPr>
                <w:rFonts w:ascii="宋体" w:hAnsi="宋体" w:cs="宋体"/>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Align w:val="center"/>
          </w:tcPr>
          <w:p>
            <w:pPr>
              <w:rPr>
                <w:rFonts w:ascii="宋体" w:hAnsi="宋体" w:cs="宋体"/>
                <w:sz w:val="24"/>
                <w:highlight w:val="none"/>
              </w:rPr>
            </w:pPr>
            <w:r>
              <w:rPr>
                <w:rFonts w:hint="eastAsia" w:ascii="宋体" w:hAnsi="宋体" w:cs="宋体"/>
                <w:sz w:val="24"/>
                <w:highlight w:val="none"/>
              </w:rPr>
              <w:t>2.1.2 手</w:t>
            </w:r>
            <w:r>
              <w:rPr>
                <w:rFonts w:hint="eastAsia" w:ascii="宋体" w:hAnsi="宋体" w:cs="宋体"/>
                <w:sz w:val="24"/>
                <w:highlight w:val="none"/>
                <w:lang w:eastAsia="zh-Hans"/>
              </w:rPr>
              <w:t>工填报</w:t>
            </w:r>
          </w:p>
        </w:tc>
        <w:tc>
          <w:tcPr>
            <w:tcW w:w="5830" w:type="dxa"/>
            <w:vAlign w:val="center"/>
          </w:tcPr>
          <w:p>
            <w:pPr>
              <w:rPr>
                <w:rFonts w:ascii="宋体" w:hAnsi="宋体" w:cs="宋体"/>
                <w:sz w:val="24"/>
                <w:highlight w:val="none"/>
              </w:rPr>
            </w:pPr>
            <w:r>
              <w:rPr>
                <w:rFonts w:hint="eastAsia" w:ascii="宋体" w:hAnsi="宋体" w:cs="宋体"/>
                <w:sz w:val="24"/>
                <w:highlight w:val="none"/>
              </w:rPr>
              <w:t>自动抓取符合病种上报要求的病例，</w:t>
            </w:r>
            <w:r>
              <w:rPr>
                <w:rFonts w:hint="eastAsia" w:ascii="宋体" w:hAnsi="宋体" w:cs="宋体"/>
                <w:sz w:val="24"/>
                <w:highlight w:val="none"/>
                <w:lang w:eastAsia="zh-Hans"/>
              </w:rPr>
              <w:t>并根据医院设定的分配规则分配至负责医师。</w:t>
            </w:r>
            <w:r>
              <w:rPr>
                <w:rFonts w:hint="eastAsia" w:ascii="宋体" w:hAnsi="宋体" w:cs="宋体"/>
                <w:sz w:val="24"/>
                <w:highlight w:val="none"/>
              </w:rPr>
              <w:t>自动</w:t>
            </w:r>
            <w:r>
              <w:rPr>
                <w:rFonts w:hint="eastAsia" w:ascii="宋体" w:hAnsi="宋体" w:cs="宋体"/>
                <w:sz w:val="24"/>
                <w:highlight w:val="none"/>
                <w:lang w:eastAsia="zh-Hans"/>
              </w:rPr>
              <w:t>抽取</w:t>
            </w:r>
            <w:r>
              <w:rPr>
                <w:rFonts w:hint="eastAsia" w:ascii="宋体" w:hAnsi="宋体" w:cs="宋体"/>
                <w:sz w:val="24"/>
                <w:highlight w:val="none"/>
              </w:rPr>
              <w:t>的</w:t>
            </w:r>
            <w:r>
              <w:rPr>
                <w:rFonts w:hint="eastAsia" w:ascii="宋体" w:hAnsi="宋体" w:cs="宋体"/>
                <w:sz w:val="24"/>
                <w:highlight w:val="none"/>
                <w:lang w:eastAsia="zh-Hans"/>
              </w:rPr>
              <w:t>数据</w:t>
            </w:r>
            <w:r>
              <w:rPr>
                <w:rFonts w:hint="eastAsia" w:ascii="宋体" w:hAnsi="宋体" w:cs="宋体"/>
                <w:sz w:val="24"/>
                <w:highlight w:val="none"/>
              </w:rPr>
              <w:t>实现自动</w:t>
            </w:r>
            <w:r>
              <w:rPr>
                <w:rFonts w:hint="eastAsia" w:ascii="宋体" w:hAnsi="宋体" w:cs="宋体"/>
                <w:sz w:val="24"/>
                <w:highlight w:val="none"/>
                <w:lang w:eastAsia="zh-Hans"/>
              </w:rPr>
              <w:t>填写</w:t>
            </w:r>
            <w:r>
              <w:rPr>
                <w:rFonts w:hint="eastAsia" w:ascii="宋体" w:hAnsi="宋体" w:cs="宋体"/>
                <w:sz w:val="24"/>
                <w:highlight w:val="none"/>
              </w:rPr>
              <w:t>，无法</w:t>
            </w:r>
            <w:r>
              <w:rPr>
                <w:rFonts w:hint="eastAsia" w:ascii="宋体" w:hAnsi="宋体" w:cs="宋体"/>
                <w:sz w:val="24"/>
                <w:highlight w:val="none"/>
                <w:lang w:eastAsia="zh-Hans"/>
              </w:rPr>
              <w:t>自动获取</w:t>
            </w:r>
            <w:r>
              <w:rPr>
                <w:rFonts w:hint="eastAsia" w:ascii="宋体" w:hAnsi="宋体" w:cs="宋体"/>
                <w:sz w:val="24"/>
                <w:highlight w:val="none"/>
              </w:rPr>
              <w:t>的信息由医师补录，允许医师多次补录并保存</w:t>
            </w:r>
            <w:r>
              <w:rPr>
                <w:rFonts w:hint="eastAsia" w:ascii="宋体" w:hAnsi="宋体" w:cs="宋体"/>
                <w:sz w:val="24"/>
                <w:highlight w:val="none"/>
                <w:lang w:eastAsia="zh-Hans"/>
              </w:rPr>
              <w:t>。</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Align w:val="center"/>
          </w:tcPr>
          <w:p>
            <w:pPr>
              <w:rPr>
                <w:rFonts w:ascii="宋体" w:hAnsi="宋体" w:cs="宋体"/>
                <w:sz w:val="24"/>
                <w:highlight w:val="none"/>
              </w:rPr>
            </w:pPr>
            <w:r>
              <w:rPr>
                <w:rFonts w:hint="eastAsia" w:ascii="宋体" w:hAnsi="宋体" w:cs="宋体"/>
                <w:sz w:val="24"/>
                <w:highlight w:val="none"/>
              </w:rPr>
              <w:t xml:space="preserve">2.1.3 </w:t>
            </w:r>
            <w:r>
              <w:rPr>
                <w:rFonts w:hint="eastAsia" w:ascii="宋体" w:hAnsi="宋体" w:cs="宋体"/>
                <w:sz w:val="24"/>
                <w:highlight w:val="none"/>
                <w:lang w:eastAsia="zh-Hans"/>
              </w:rPr>
              <w:t>草稿箱功能</w:t>
            </w:r>
          </w:p>
        </w:tc>
        <w:tc>
          <w:tcPr>
            <w:tcW w:w="5830" w:type="dxa"/>
            <w:vAlign w:val="center"/>
          </w:tcPr>
          <w:p>
            <w:pPr>
              <w:rPr>
                <w:rFonts w:ascii="宋体" w:hAnsi="宋体" w:cs="宋体"/>
                <w:sz w:val="24"/>
                <w:highlight w:val="none"/>
                <w:lang w:eastAsia="zh-Hans"/>
              </w:rPr>
            </w:pPr>
            <w:r>
              <w:rPr>
                <w:rFonts w:hint="eastAsia" w:ascii="宋体" w:hAnsi="宋体" w:cs="宋体"/>
                <w:sz w:val="24"/>
                <w:highlight w:val="none"/>
                <w:lang w:eastAsia="zh-Hans"/>
              </w:rPr>
              <w:t>系统支持填报过程中将病种数据保存至草稿箱，下次登录时继续填写。</w:t>
            </w:r>
          </w:p>
        </w:tc>
        <w:tc>
          <w:tcPr>
            <w:tcW w:w="1525" w:type="dxa"/>
          </w:tcPr>
          <w:p>
            <w:pPr>
              <w:rPr>
                <w:rFonts w:ascii="宋体" w:hAnsi="宋体" w:cs="宋体"/>
                <w:sz w:val="24"/>
                <w:highlight w:val="none"/>
                <w:lang w:eastAsia="zh-Hans"/>
              </w:rPr>
            </w:pPr>
            <w:r>
              <w:rPr>
                <w:rFonts w:hint="eastAsia" w:ascii="宋体" w:hAnsi="宋体" w:cs="宋体"/>
                <w:sz w:val="24"/>
                <w:highlight w:val="none"/>
                <w:lang w:eastAsia="zh-Hans"/>
              </w:rPr>
              <w:t>医生临时有事中断填报工作时，下次登录系统可以继续之前的填报工作。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Align w:val="center"/>
          </w:tcPr>
          <w:p>
            <w:pPr>
              <w:rPr>
                <w:rFonts w:ascii="宋体" w:hAnsi="宋体" w:cs="宋体"/>
                <w:sz w:val="24"/>
                <w:highlight w:val="none"/>
              </w:rPr>
            </w:pPr>
            <w:r>
              <w:rPr>
                <w:rFonts w:hint="eastAsia" w:ascii="宋体" w:hAnsi="宋体" w:cs="宋体"/>
                <w:sz w:val="24"/>
                <w:highlight w:val="none"/>
              </w:rPr>
              <w:t>2.1.4 病种目录填报</w:t>
            </w:r>
          </w:p>
        </w:tc>
        <w:tc>
          <w:tcPr>
            <w:tcW w:w="5830" w:type="dxa"/>
            <w:vAlign w:val="center"/>
          </w:tcPr>
          <w:p>
            <w:pPr>
              <w:rPr>
                <w:rFonts w:ascii="宋体" w:hAnsi="宋体" w:cs="宋体"/>
                <w:sz w:val="24"/>
                <w:highlight w:val="none"/>
              </w:rPr>
            </w:pPr>
            <w:r>
              <w:rPr>
                <w:rFonts w:hint="eastAsia" w:ascii="宋体" w:hAnsi="宋体" w:cs="宋体"/>
                <w:sz w:val="24"/>
                <w:highlight w:val="none"/>
                <w:lang w:eastAsia="zh-Hans"/>
              </w:rPr>
              <w:t>支持按照不同疾病</w:t>
            </w:r>
            <w:r>
              <w:rPr>
                <w:rFonts w:hint="eastAsia" w:ascii="宋体" w:hAnsi="宋体" w:cs="宋体"/>
                <w:sz w:val="24"/>
                <w:highlight w:val="none"/>
              </w:rPr>
              <w:t>/手术系统分类填报数据。</w:t>
            </w:r>
          </w:p>
        </w:tc>
        <w:tc>
          <w:tcPr>
            <w:tcW w:w="1525" w:type="dxa"/>
          </w:tcPr>
          <w:p>
            <w:pPr>
              <w:rPr>
                <w:rFonts w:ascii="宋体" w:hAnsi="宋体" w:cs="宋体"/>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Align w:val="center"/>
          </w:tcPr>
          <w:p>
            <w:pPr>
              <w:rPr>
                <w:rFonts w:ascii="宋体" w:hAnsi="宋体" w:cs="宋体"/>
                <w:sz w:val="24"/>
                <w:highlight w:val="none"/>
              </w:rPr>
            </w:pPr>
            <w:r>
              <w:rPr>
                <w:rFonts w:hint="eastAsia" w:ascii="宋体" w:hAnsi="宋体" w:cs="宋体"/>
                <w:sz w:val="24"/>
                <w:highlight w:val="none"/>
              </w:rPr>
              <w:t>2.1.5 填报辅助提示</w:t>
            </w:r>
          </w:p>
        </w:tc>
        <w:tc>
          <w:tcPr>
            <w:tcW w:w="5830" w:type="dxa"/>
            <w:vAlign w:val="center"/>
          </w:tcPr>
          <w:p>
            <w:pPr>
              <w:rPr>
                <w:rFonts w:ascii="宋体" w:hAnsi="宋体" w:cs="宋体"/>
                <w:sz w:val="24"/>
                <w:highlight w:val="none"/>
              </w:rPr>
            </w:pPr>
            <w:r>
              <w:rPr>
                <w:rFonts w:hint="eastAsia" w:ascii="宋体" w:hAnsi="宋体" w:cs="宋体"/>
                <w:sz w:val="24"/>
                <w:highlight w:val="none"/>
              </w:rPr>
              <w:t>支持对项目进行填写属性为强制的设置，如果临床存在漏填情况，系统在医生点击保存按钮时进行校验提醒并给予缺陷项提醒。系统</w:t>
            </w:r>
            <w:r>
              <w:rPr>
                <w:rFonts w:hint="eastAsia" w:ascii="宋体" w:hAnsi="宋体" w:cs="宋体"/>
                <w:sz w:val="24"/>
                <w:highlight w:val="none"/>
                <w:lang w:eastAsia="zh-Hans"/>
              </w:rPr>
              <w:t>能</w:t>
            </w:r>
            <w:r>
              <w:rPr>
                <w:rFonts w:hint="eastAsia" w:ascii="宋体" w:hAnsi="宋体" w:cs="宋体"/>
                <w:sz w:val="24"/>
                <w:highlight w:val="none"/>
              </w:rPr>
              <w:t>自动识别病历中的自动取值与默认值设置被医生修改过的状态，</w:t>
            </w:r>
            <w:r>
              <w:rPr>
                <w:rFonts w:hint="eastAsia" w:ascii="宋体" w:hAnsi="宋体" w:cs="宋体"/>
                <w:sz w:val="24"/>
                <w:highlight w:val="none"/>
                <w:lang w:eastAsia="zh-Hans"/>
              </w:rPr>
              <w:t>并</w:t>
            </w:r>
            <w:r>
              <w:rPr>
                <w:rFonts w:hint="eastAsia" w:ascii="宋体" w:hAnsi="宋体" w:cs="宋体"/>
                <w:sz w:val="24"/>
                <w:highlight w:val="none"/>
              </w:rPr>
              <w:t>以</w:t>
            </w:r>
            <w:r>
              <w:rPr>
                <w:rFonts w:hint="eastAsia" w:ascii="宋体" w:hAnsi="宋体" w:cs="宋体"/>
                <w:sz w:val="24"/>
                <w:highlight w:val="none"/>
                <w:lang w:eastAsia="zh-Hans"/>
              </w:rPr>
              <w:t>醒目的颜色进行标记</w:t>
            </w:r>
            <w:r>
              <w:rPr>
                <w:rFonts w:hint="eastAsia" w:ascii="宋体" w:hAnsi="宋体" w:cs="宋体"/>
                <w:sz w:val="24"/>
                <w:highlight w:val="none"/>
              </w:rPr>
              <w:t>提示。</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Align w:val="center"/>
          </w:tcPr>
          <w:p>
            <w:pPr>
              <w:rPr>
                <w:rFonts w:ascii="宋体" w:hAnsi="宋体" w:cs="宋体"/>
                <w:sz w:val="24"/>
                <w:highlight w:val="none"/>
              </w:rPr>
            </w:pPr>
            <w:r>
              <w:rPr>
                <w:rFonts w:ascii="宋体" w:hAnsi="宋体" w:cs="宋体"/>
                <w:sz w:val="24"/>
                <w:highlight w:val="none"/>
              </w:rPr>
              <w:t>2.1.6 数据溯源</w:t>
            </w:r>
          </w:p>
        </w:tc>
        <w:tc>
          <w:tcPr>
            <w:tcW w:w="5830" w:type="dxa"/>
          </w:tcPr>
          <w:p>
            <w:pPr>
              <w:rPr>
                <w:rFonts w:ascii="宋体" w:hAnsi="宋体" w:cs="宋体"/>
                <w:sz w:val="24"/>
                <w:highlight w:val="none"/>
              </w:rPr>
            </w:pPr>
            <w:r>
              <w:rPr>
                <w:rFonts w:ascii="宋体" w:hAnsi="宋体" w:cs="宋体"/>
                <w:sz w:val="24"/>
                <w:highlight w:val="none"/>
              </w:rPr>
              <w:t>系统支持对自动抽取数据的出处来源进行展示，用户可一键查看。</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Align w:val="center"/>
          </w:tcPr>
          <w:p>
            <w:pPr>
              <w:rPr>
                <w:rFonts w:ascii="宋体" w:hAnsi="宋体" w:cs="宋体"/>
                <w:sz w:val="24"/>
                <w:highlight w:val="none"/>
              </w:rPr>
            </w:pPr>
            <w:r>
              <w:rPr>
                <w:rFonts w:ascii="宋体" w:hAnsi="宋体" w:cs="宋体"/>
                <w:sz w:val="24"/>
                <w:highlight w:val="none"/>
              </w:rPr>
              <w:t>2.1.7 评分工具</w:t>
            </w:r>
          </w:p>
        </w:tc>
        <w:tc>
          <w:tcPr>
            <w:tcW w:w="5830" w:type="dxa"/>
          </w:tcPr>
          <w:p>
            <w:pPr>
              <w:rPr>
                <w:rFonts w:ascii="宋体" w:hAnsi="宋体" w:cs="宋体"/>
                <w:sz w:val="24"/>
                <w:highlight w:val="none"/>
              </w:rPr>
            </w:pPr>
            <w:r>
              <w:rPr>
                <w:rFonts w:ascii="宋体" w:hAnsi="宋体" w:cs="宋体"/>
                <w:sz w:val="24"/>
                <w:highlight w:val="none"/>
              </w:rPr>
              <w:t xml:space="preserve">系统自带评分工具，用户可通过勾选评分项弹出对应的评分工具，自动计算获得评分。 </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Align w:val="center"/>
          </w:tcPr>
          <w:p>
            <w:pPr>
              <w:rPr>
                <w:rFonts w:ascii="宋体" w:hAnsi="宋体" w:cs="宋体"/>
                <w:sz w:val="24"/>
                <w:highlight w:val="none"/>
              </w:rPr>
            </w:pPr>
            <w:r>
              <w:rPr>
                <w:rFonts w:ascii="宋体" w:hAnsi="宋体" w:cs="宋体"/>
                <w:sz w:val="24"/>
                <w:highlight w:val="none"/>
              </w:rPr>
              <w:t>2.1.8 填报时患者数据查看</w:t>
            </w:r>
          </w:p>
        </w:tc>
        <w:tc>
          <w:tcPr>
            <w:tcW w:w="5830" w:type="dxa"/>
          </w:tcPr>
          <w:p>
            <w:pPr>
              <w:rPr>
                <w:rFonts w:ascii="宋体" w:hAnsi="宋体" w:cs="宋体"/>
                <w:sz w:val="24"/>
                <w:highlight w:val="none"/>
              </w:rPr>
            </w:pPr>
            <w:r>
              <w:rPr>
                <w:rFonts w:ascii="宋体" w:hAnsi="宋体" w:cs="宋体"/>
                <w:sz w:val="24"/>
                <w:highlight w:val="none"/>
              </w:rPr>
              <w:t>在填报时支持按临时医嘱、长期医嘱、药物医嘱、检验医嘱、检查医嘱、其他医嘱、出院带药分类查看患者就诊信息；检验报告中指标偏高、指标偏低均有明确标记；对已部署数据中心或集成平台的用户支持一键查看患者病历夹。</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Align w:val="center"/>
          </w:tcPr>
          <w:p>
            <w:pPr>
              <w:rPr>
                <w:rFonts w:ascii="宋体" w:hAnsi="宋体" w:cs="宋体"/>
                <w:sz w:val="24"/>
                <w:highlight w:val="none"/>
              </w:rPr>
            </w:pPr>
            <w:r>
              <w:rPr>
                <w:rFonts w:ascii="宋体" w:hAnsi="宋体" w:cs="宋体"/>
                <w:sz w:val="24"/>
                <w:highlight w:val="none"/>
              </w:rPr>
              <w:t>2.1.9 无需填报</w:t>
            </w:r>
          </w:p>
        </w:tc>
        <w:tc>
          <w:tcPr>
            <w:tcW w:w="5830" w:type="dxa"/>
            <w:vAlign w:val="center"/>
          </w:tcPr>
          <w:p>
            <w:pPr>
              <w:rPr>
                <w:rFonts w:ascii="宋体" w:hAnsi="宋体" w:cs="宋体"/>
                <w:sz w:val="24"/>
                <w:highlight w:val="none"/>
              </w:rPr>
            </w:pPr>
            <w:r>
              <w:rPr>
                <w:rFonts w:ascii="宋体" w:hAnsi="宋体" w:cs="宋体"/>
                <w:sz w:val="24"/>
                <w:highlight w:val="none"/>
              </w:rPr>
              <w:t>用户在填报时，可将符合无需填报条件的病例设置为无需填报状态，质控人员审核时可重新设置为需填报的状态。</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846" w:type="dxa"/>
            <w:vMerge w:val="continue"/>
            <w:vAlign w:val="center"/>
          </w:tcPr>
          <w:p>
            <w:pPr>
              <w:rPr>
                <w:rFonts w:ascii="宋体" w:hAnsi="宋体" w:cs="宋体"/>
                <w:sz w:val="24"/>
                <w:highlight w:val="none"/>
              </w:rPr>
            </w:pPr>
          </w:p>
        </w:tc>
        <w:tc>
          <w:tcPr>
            <w:tcW w:w="850" w:type="dxa"/>
            <w:vMerge w:val="restart"/>
            <w:vAlign w:val="center"/>
          </w:tcPr>
          <w:p>
            <w:pPr>
              <w:rPr>
                <w:rFonts w:ascii="宋体" w:hAnsi="宋体" w:cs="宋体"/>
                <w:sz w:val="24"/>
                <w:highlight w:val="none"/>
              </w:rPr>
            </w:pPr>
            <w:r>
              <w:rPr>
                <w:rFonts w:hint="eastAsia" w:ascii="宋体" w:hAnsi="宋体" w:cs="宋体"/>
                <w:sz w:val="24"/>
                <w:highlight w:val="none"/>
              </w:rPr>
              <w:t>2.2上报审核</w:t>
            </w:r>
          </w:p>
        </w:tc>
        <w:tc>
          <w:tcPr>
            <w:tcW w:w="993" w:type="dxa"/>
            <w:vAlign w:val="center"/>
          </w:tcPr>
          <w:p>
            <w:pPr>
              <w:rPr>
                <w:rFonts w:ascii="宋体" w:hAnsi="宋体" w:cs="宋体"/>
                <w:sz w:val="24"/>
                <w:highlight w:val="none"/>
              </w:rPr>
            </w:pPr>
            <w:r>
              <w:rPr>
                <w:rFonts w:hint="eastAsia" w:ascii="宋体" w:hAnsi="宋体" w:cs="宋体"/>
                <w:sz w:val="24"/>
                <w:highlight w:val="none"/>
              </w:rPr>
              <w:t>2.2.1 上报审核</w:t>
            </w:r>
          </w:p>
        </w:tc>
        <w:tc>
          <w:tcPr>
            <w:tcW w:w="5830" w:type="dxa"/>
            <w:vAlign w:val="center"/>
          </w:tcPr>
          <w:p>
            <w:pPr>
              <w:rPr>
                <w:rFonts w:ascii="宋体" w:hAnsi="宋体" w:cs="宋体"/>
                <w:sz w:val="24"/>
                <w:highlight w:val="none"/>
              </w:rPr>
            </w:pPr>
            <w:r>
              <w:rPr>
                <w:rFonts w:hint="eastAsia" w:ascii="宋体" w:hAnsi="宋体" w:cs="宋体"/>
                <w:sz w:val="24"/>
                <w:highlight w:val="none"/>
              </w:rPr>
              <w:t>针对医师填报的病种/</w:t>
            </w:r>
            <w:r>
              <w:rPr>
                <w:rFonts w:hint="eastAsia" w:ascii="宋体" w:hAnsi="宋体" w:cs="宋体"/>
                <w:sz w:val="24"/>
                <w:highlight w:val="none"/>
                <w:lang w:eastAsia="zh-Hans"/>
              </w:rPr>
              <w:t>手术病例</w:t>
            </w:r>
            <w:r>
              <w:rPr>
                <w:rFonts w:hint="eastAsia" w:ascii="宋体" w:hAnsi="宋体" w:cs="宋体"/>
                <w:sz w:val="24"/>
                <w:highlight w:val="none"/>
              </w:rPr>
              <w:t>数据，</w:t>
            </w:r>
            <w:r>
              <w:rPr>
                <w:rFonts w:hint="eastAsia" w:ascii="宋体" w:hAnsi="宋体" w:cs="宋体"/>
                <w:sz w:val="24"/>
                <w:highlight w:val="none"/>
                <w:lang w:eastAsia="zh-Hans"/>
              </w:rPr>
              <w:t>医院</w:t>
            </w:r>
            <w:r>
              <w:rPr>
                <w:rFonts w:hint="eastAsia" w:ascii="宋体" w:hAnsi="宋体" w:cs="宋体"/>
                <w:sz w:val="24"/>
                <w:highlight w:val="none"/>
              </w:rPr>
              <w:t>质控部门</w:t>
            </w:r>
            <w:r>
              <w:rPr>
                <w:rFonts w:hint="eastAsia" w:ascii="宋体" w:hAnsi="宋体" w:cs="宋体"/>
                <w:sz w:val="24"/>
                <w:highlight w:val="none"/>
                <w:lang w:eastAsia="zh-Hans"/>
              </w:rPr>
              <w:t>能</w:t>
            </w:r>
            <w:r>
              <w:rPr>
                <w:rFonts w:hint="eastAsia" w:ascii="宋体" w:hAnsi="宋体" w:cs="宋体"/>
                <w:sz w:val="24"/>
                <w:highlight w:val="none"/>
              </w:rPr>
              <w:t>进行审核、批量审核</w:t>
            </w:r>
            <w:r>
              <w:rPr>
                <w:rFonts w:hint="eastAsia" w:ascii="宋体" w:hAnsi="宋体" w:cs="宋体"/>
                <w:sz w:val="24"/>
                <w:highlight w:val="none"/>
                <w:lang w:eastAsia="zh-Hans"/>
              </w:rPr>
              <w:t>、修改、退回、批量退回</w:t>
            </w:r>
            <w:r>
              <w:rPr>
                <w:rFonts w:hint="eastAsia" w:ascii="宋体" w:hAnsi="宋体" w:cs="宋体"/>
                <w:sz w:val="24"/>
                <w:highlight w:val="none"/>
              </w:rPr>
              <w:t>等功能</w:t>
            </w:r>
            <w:r>
              <w:rPr>
                <w:rFonts w:hint="eastAsia" w:ascii="宋体" w:hAnsi="宋体" w:cs="宋体"/>
                <w:sz w:val="24"/>
                <w:highlight w:val="none"/>
                <w:lang w:eastAsia="zh-Hans"/>
              </w:rPr>
              <w:t>。</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tcPr>
          <w:p>
            <w:pPr>
              <w:rPr>
                <w:rFonts w:ascii="宋体" w:hAnsi="宋体" w:cs="宋体"/>
                <w:sz w:val="24"/>
                <w:highlight w:val="none"/>
              </w:rPr>
            </w:pPr>
            <w:r>
              <w:rPr>
                <w:rFonts w:ascii="宋体" w:hAnsi="宋体" w:cs="宋体"/>
                <w:sz w:val="24"/>
                <w:highlight w:val="none"/>
              </w:rPr>
              <w:t xml:space="preserve">2.2.2 质控提醒 </w:t>
            </w:r>
          </w:p>
        </w:tc>
        <w:tc>
          <w:tcPr>
            <w:tcW w:w="5830" w:type="dxa"/>
          </w:tcPr>
          <w:p>
            <w:pPr>
              <w:rPr>
                <w:rFonts w:ascii="宋体" w:hAnsi="宋体" w:cs="宋体"/>
                <w:sz w:val="24"/>
                <w:highlight w:val="none"/>
              </w:rPr>
            </w:pPr>
            <w:r>
              <w:rPr>
                <w:rFonts w:ascii="宋体" w:hAnsi="宋体" w:cs="宋体"/>
                <w:sz w:val="24"/>
                <w:highlight w:val="none"/>
              </w:rPr>
              <w:t xml:space="preserve">系统可针对患者住院天数、住院费用等终末指标进行质控提醒。提醒触发条件可由用户可自定义配置。 </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Align w:val="center"/>
          </w:tcPr>
          <w:p>
            <w:pPr>
              <w:rPr>
                <w:rFonts w:ascii="宋体" w:hAnsi="宋体" w:cs="宋体"/>
                <w:sz w:val="24"/>
                <w:highlight w:val="none"/>
              </w:rPr>
            </w:pPr>
            <w:r>
              <w:rPr>
                <w:rFonts w:hint="eastAsia" w:ascii="宋体" w:hAnsi="宋体" w:cs="宋体"/>
                <w:sz w:val="24"/>
                <w:highlight w:val="none"/>
              </w:rPr>
              <w:t>2.3一键上报</w:t>
            </w:r>
          </w:p>
        </w:tc>
        <w:tc>
          <w:tcPr>
            <w:tcW w:w="993" w:type="dxa"/>
            <w:vAlign w:val="center"/>
          </w:tcPr>
          <w:p>
            <w:pPr>
              <w:rPr>
                <w:rFonts w:ascii="宋体" w:hAnsi="宋体" w:cs="宋体"/>
                <w:sz w:val="24"/>
                <w:highlight w:val="none"/>
              </w:rPr>
            </w:pPr>
            <w:r>
              <w:rPr>
                <w:rFonts w:hint="eastAsia" w:ascii="宋体" w:hAnsi="宋体" w:cs="宋体"/>
                <w:sz w:val="24"/>
                <w:highlight w:val="none"/>
              </w:rPr>
              <w:t>2.3.1一键上报</w:t>
            </w:r>
          </w:p>
        </w:tc>
        <w:tc>
          <w:tcPr>
            <w:tcW w:w="5830" w:type="dxa"/>
            <w:vAlign w:val="center"/>
          </w:tcPr>
          <w:p>
            <w:pPr>
              <w:rPr>
                <w:rFonts w:ascii="宋体" w:hAnsi="宋体" w:cs="宋体"/>
                <w:sz w:val="24"/>
                <w:highlight w:val="none"/>
              </w:rPr>
            </w:pPr>
            <w:r>
              <w:rPr>
                <w:rFonts w:hint="eastAsia" w:ascii="宋体" w:hAnsi="宋体" w:cs="宋体"/>
                <w:sz w:val="24"/>
                <w:highlight w:val="none"/>
              </w:rPr>
              <w:t>与国家单病种上报平台对接，实现单病种数据的一键上报。如果上报失败</w:t>
            </w:r>
            <w:r>
              <w:rPr>
                <w:rFonts w:hint="eastAsia" w:ascii="宋体" w:hAnsi="宋体" w:cs="宋体"/>
                <w:sz w:val="24"/>
                <w:highlight w:val="none"/>
                <w:lang w:eastAsia="zh-Hans"/>
              </w:rPr>
              <w:t>需</w:t>
            </w:r>
            <w:r>
              <w:rPr>
                <w:rFonts w:hint="eastAsia" w:ascii="宋体" w:hAnsi="宋体" w:cs="宋体"/>
                <w:sz w:val="24"/>
                <w:highlight w:val="none"/>
              </w:rPr>
              <w:t>提示失败</w:t>
            </w:r>
            <w:r>
              <w:rPr>
                <w:rFonts w:hint="eastAsia" w:ascii="宋体" w:hAnsi="宋体" w:cs="宋体"/>
                <w:sz w:val="24"/>
                <w:highlight w:val="none"/>
                <w:lang w:eastAsia="zh-Hans"/>
              </w:rPr>
              <w:t>的</w:t>
            </w:r>
            <w:r>
              <w:rPr>
                <w:rFonts w:hint="eastAsia" w:ascii="宋体" w:hAnsi="宋体" w:cs="宋体"/>
                <w:sz w:val="24"/>
                <w:highlight w:val="none"/>
              </w:rPr>
              <w:t>原因。</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Merge w:val="restart"/>
            <w:vAlign w:val="center"/>
          </w:tcPr>
          <w:p>
            <w:pPr>
              <w:rPr>
                <w:rFonts w:ascii="宋体" w:hAnsi="宋体" w:cs="宋体"/>
                <w:sz w:val="24"/>
                <w:highlight w:val="none"/>
              </w:rPr>
            </w:pPr>
            <w:r>
              <w:rPr>
                <w:rFonts w:hint="eastAsia" w:ascii="宋体" w:hAnsi="宋体" w:cs="宋体"/>
                <w:sz w:val="24"/>
                <w:highlight w:val="none"/>
              </w:rPr>
              <w:t>2.4</w:t>
            </w:r>
            <w:r>
              <w:rPr>
                <w:rFonts w:hint="eastAsia" w:ascii="宋体" w:hAnsi="宋体" w:cs="宋体"/>
                <w:sz w:val="24"/>
                <w:highlight w:val="none"/>
                <w:lang w:eastAsia="zh-Hans"/>
              </w:rPr>
              <w:t>查询</w:t>
            </w:r>
            <w:r>
              <w:rPr>
                <w:rFonts w:hint="eastAsia" w:ascii="宋体" w:hAnsi="宋体" w:cs="宋体"/>
                <w:sz w:val="24"/>
                <w:highlight w:val="none"/>
              </w:rPr>
              <w:t>统计</w:t>
            </w:r>
          </w:p>
        </w:tc>
        <w:tc>
          <w:tcPr>
            <w:tcW w:w="993" w:type="dxa"/>
            <w:vAlign w:val="center"/>
          </w:tcPr>
          <w:p>
            <w:pPr>
              <w:rPr>
                <w:rFonts w:ascii="宋体" w:hAnsi="宋体" w:cs="宋体"/>
                <w:sz w:val="24"/>
                <w:highlight w:val="none"/>
              </w:rPr>
            </w:pPr>
            <w:r>
              <w:rPr>
                <w:rFonts w:hint="eastAsia" w:ascii="宋体" w:hAnsi="宋体" w:cs="宋体"/>
                <w:sz w:val="24"/>
                <w:highlight w:val="none"/>
              </w:rPr>
              <w:t>2.4.1数据统计</w:t>
            </w:r>
          </w:p>
        </w:tc>
        <w:tc>
          <w:tcPr>
            <w:tcW w:w="5830" w:type="dxa"/>
            <w:vAlign w:val="center"/>
          </w:tcPr>
          <w:p>
            <w:pPr>
              <w:rPr>
                <w:rFonts w:ascii="宋体" w:hAnsi="宋体" w:cs="宋体"/>
                <w:sz w:val="24"/>
                <w:highlight w:val="none"/>
              </w:rPr>
            </w:pPr>
            <w:r>
              <w:rPr>
                <w:rFonts w:hint="eastAsia" w:ascii="宋体" w:hAnsi="宋体" w:cs="宋体"/>
                <w:sz w:val="24"/>
                <w:highlight w:val="none"/>
              </w:rPr>
              <w:t>能够查询并导出待上报病种详情（含病种、科室、主管医师、例数）、已上报病种信息（含病种、科室、主管医师、例数等），支持根据病种、上报科室、主管医师、出入院时间、上报不合格、各病种里面各个质控指标等对已上报病种进行查询并导出，形成多类型的统计图和统计表。</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Align w:val="center"/>
          </w:tcPr>
          <w:p>
            <w:pPr>
              <w:rPr>
                <w:rFonts w:ascii="宋体" w:hAnsi="宋体" w:cs="宋体"/>
                <w:sz w:val="24"/>
                <w:highlight w:val="none"/>
              </w:rPr>
            </w:pPr>
            <w:r>
              <w:rPr>
                <w:rFonts w:hint="eastAsia" w:ascii="宋体" w:hAnsi="宋体" w:cs="宋体"/>
                <w:sz w:val="24"/>
                <w:highlight w:val="none"/>
              </w:rPr>
              <w:t>2.4.2 自定义统计报表</w:t>
            </w:r>
          </w:p>
        </w:tc>
        <w:tc>
          <w:tcPr>
            <w:tcW w:w="5830" w:type="dxa"/>
            <w:vAlign w:val="center"/>
          </w:tcPr>
          <w:p>
            <w:pPr>
              <w:rPr>
                <w:rFonts w:ascii="宋体" w:hAnsi="宋体" w:cs="宋体"/>
                <w:sz w:val="24"/>
                <w:highlight w:val="none"/>
              </w:rPr>
            </w:pPr>
            <w:r>
              <w:rPr>
                <w:rFonts w:hint="eastAsia" w:ascii="宋体" w:hAnsi="宋体" w:cs="宋体"/>
                <w:sz w:val="24"/>
                <w:highlight w:val="none"/>
                <w:lang w:eastAsia="zh-Hans"/>
              </w:rPr>
              <w:t>能够对单个科室内的各主管医师的业务数据进行统计，系统支持自定义统计报表设计，可以根据统计需求快速设计报表模版，所有报表模板支持一键导出报表为excel、word、ppt等格式。</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Align w:val="center"/>
          </w:tcPr>
          <w:p>
            <w:pPr>
              <w:rPr>
                <w:rFonts w:ascii="宋体" w:hAnsi="宋体" w:cs="宋体"/>
                <w:sz w:val="24"/>
                <w:highlight w:val="none"/>
              </w:rPr>
            </w:pPr>
            <w:r>
              <w:rPr>
                <w:rFonts w:hint="eastAsia" w:ascii="宋体" w:hAnsi="宋体" w:cs="宋体"/>
                <w:sz w:val="24"/>
                <w:highlight w:val="none"/>
              </w:rPr>
              <w:t xml:space="preserve">2.4.3 </w:t>
            </w:r>
            <w:r>
              <w:rPr>
                <w:rFonts w:hint="eastAsia" w:ascii="宋体" w:hAnsi="宋体" w:cs="宋体"/>
                <w:sz w:val="24"/>
                <w:highlight w:val="none"/>
                <w:lang w:eastAsia="zh-Hans"/>
              </w:rPr>
              <w:t>数据下钻查看</w:t>
            </w:r>
          </w:p>
        </w:tc>
        <w:tc>
          <w:tcPr>
            <w:tcW w:w="5830" w:type="dxa"/>
            <w:vAlign w:val="center"/>
          </w:tcPr>
          <w:p>
            <w:pPr>
              <w:rPr>
                <w:rFonts w:ascii="宋体" w:hAnsi="宋体" w:cs="宋体"/>
                <w:sz w:val="24"/>
                <w:highlight w:val="none"/>
                <w:lang w:eastAsia="zh-Hans"/>
              </w:rPr>
            </w:pPr>
            <w:r>
              <w:rPr>
                <w:rFonts w:hint="eastAsia" w:ascii="宋体" w:hAnsi="宋体" w:cs="宋体"/>
                <w:sz w:val="24"/>
                <w:highlight w:val="none"/>
                <w:lang w:eastAsia="zh-Hans"/>
              </w:rPr>
              <w:t>统计结果界面具有数据下钻功能，质控人员可以通过点击方便得查看构成统计数据的详细的病例数据信息。</w:t>
            </w:r>
          </w:p>
        </w:tc>
        <w:tc>
          <w:tcPr>
            <w:tcW w:w="1525" w:type="dxa"/>
          </w:tcPr>
          <w:p>
            <w:pPr>
              <w:rPr>
                <w:rFonts w:ascii="宋体" w:hAnsi="宋体" w:cs="宋体"/>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Align w:val="center"/>
          </w:tcPr>
          <w:p>
            <w:pPr>
              <w:rPr>
                <w:rFonts w:ascii="宋体" w:hAnsi="宋体" w:cs="宋体"/>
                <w:sz w:val="24"/>
                <w:highlight w:val="none"/>
              </w:rPr>
            </w:pPr>
            <w:r>
              <w:rPr>
                <w:rFonts w:hint="eastAsia" w:ascii="宋体" w:hAnsi="宋体" w:cs="宋体"/>
                <w:sz w:val="24"/>
                <w:highlight w:val="none"/>
              </w:rPr>
              <w:t>2.4.4数据清单导出</w:t>
            </w:r>
          </w:p>
        </w:tc>
        <w:tc>
          <w:tcPr>
            <w:tcW w:w="5830" w:type="dxa"/>
            <w:vAlign w:val="center"/>
          </w:tcPr>
          <w:p>
            <w:pPr>
              <w:rPr>
                <w:rFonts w:ascii="宋体" w:hAnsi="宋体" w:cs="宋体"/>
                <w:sz w:val="24"/>
                <w:highlight w:val="none"/>
              </w:rPr>
            </w:pPr>
            <w:r>
              <w:rPr>
                <w:rFonts w:hint="eastAsia" w:ascii="宋体" w:hAnsi="宋体" w:cs="宋体"/>
                <w:sz w:val="24"/>
                <w:highlight w:val="none"/>
              </w:rPr>
              <w:t>能够导出上报病种</w:t>
            </w:r>
            <w:r>
              <w:rPr>
                <w:rFonts w:hint="eastAsia" w:ascii="宋体" w:hAnsi="宋体" w:cs="宋体"/>
                <w:sz w:val="24"/>
                <w:highlight w:val="none"/>
                <w:lang w:eastAsia="zh-Hans"/>
              </w:rPr>
              <w:t>病例</w:t>
            </w:r>
            <w:r>
              <w:rPr>
                <w:rFonts w:hint="eastAsia" w:ascii="宋体" w:hAnsi="宋体" w:cs="宋体"/>
                <w:sz w:val="24"/>
                <w:highlight w:val="none"/>
              </w:rPr>
              <w:t>的</w:t>
            </w:r>
            <w:r>
              <w:rPr>
                <w:rFonts w:hint="eastAsia" w:ascii="宋体" w:hAnsi="宋体" w:cs="宋体"/>
                <w:sz w:val="24"/>
                <w:highlight w:val="none"/>
                <w:lang w:eastAsia="zh-Hans"/>
              </w:rPr>
              <w:t>数据</w:t>
            </w:r>
            <w:r>
              <w:rPr>
                <w:rFonts w:hint="eastAsia" w:ascii="宋体" w:hAnsi="宋体" w:cs="宋体"/>
                <w:sz w:val="24"/>
                <w:highlight w:val="none"/>
              </w:rPr>
              <w:t>清单</w:t>
            </w:r>
            <w:r>
              <w:rPr>
                <w:rFonts w:hint="eastAsia" w:ascii="宋体" w:hAnsi="宋体" w:cs="宋体"/>
                <w:sz w:val="24"/>
                <w:highlight w:val="none"/>
                <w:lang w:eastAsia="zh-Hans"/>
              </w:rPr>
              <w:t>。</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Align w:val="center"/>
          </w:tcPr>
          <w:p>
            <w:pPr>
              <w:rPr>
                <w:rFonts w:ascii="宋体" w:hAnsi="宋体" w:cs="宋体"/>
                <w:sz w:val="24"/>
                <w:highlight w:val="none"/>
              </w:rPr>
            </w:pPr>
            <w:r>
              <w:rPr>
                <w:rFonts w:hint="eastAsia" w:ascii="宋体" w:hAnsi="宋体" w:cs="宋体"/>
                <w:sz w:val="24"/>
                <w:highlight w:val="none"/>
              </w:rPr>
              <w:t>2.4.5终末质量指标</w:t>
            </w:r>
          </w:p>
        </w:tc>
        <w:tc>
          <w:tcPr>
            <w:tcW w:w="5830" w:type="dxa"/>
            <w:vAlign w:val="center"/>
          </w:tcPr>
          <w:p>
            <w:pPr>
              <w:rPr>
                <w:rFonts w:ascii="宋体" w:hAnsi="宋体" w:cs="宋体"/>
                <w:sz w:val="24"/>
                <w:highlight w:val="none"/>
              </w:rPr>
            </w:pPr>
            <w:r>
              <w:rPr>
                <w:rFonts w:ascii="宋体" w:hAnsi="宋体" w:cs="宋体"/>
                <w:sz w:val="24"/>
                <w:highlight w:val="none"/>
              </w:rPr>
              <w:t>1、可按各病种、各科室统计平均住院天数、均次费用、死亡等，并导出</w:t>
            </w:r>
            <w:r>
              <w:rPr>
                <w:rFonts w:hint="eastAsia" w:ascii="宋体" w:hAnsi="宋体" w:cs="宋体"/>
                <w:sz w:val="24"/>
                <w:highlight w:val="none"/>
              </w:rPr>
              <w:t>为</w:t>
            </w:r>
            <w:r>
              <w:rPr>
                <w:rFonts w:ascii="宋体" w:hAnsi="宋体" w:cs="宋体"/>
                <w:sz w:val="24"/>
                <w:highlight w:val="none"/>
              </w:rPr>
              <w:t xml:space="preserve">excel 格式； </w:t>
            </w:r>
          </w:p>
          <w:p>
            <w:pPr>
              <w:rPr>
                <w:rFonts w:ascii="宋体" w:hAnsi="宋体" w:cs="宋体"/>
                <w:sz w:val="24"/>
                <w:highlight w:val="none"/>
              </w:rPr>
            </w:pPr>
            <w:r>
              <w:rPr>
                <w:rFonts w:ascii="宋体" w:hAnsi="宋体" w:cs="宋体"/>
                <w:sz w:val="24"/>
                <w:highlight w:val="none"/>
              </w:rPr>
              <w:t>2、支持终末指标数据对比分析，包括死亡率、平均住院日、平均住院费用。对比数据来源须为国家、浙江省医政医管部门官方报告数据。可显示对比结果，自动筛选未达标的病例，并支持下钻查看病例列表及病例详细数据。</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Merge w:val="restart"/>
            <w:vAlign w:val="center"/>
          </w:tcPr>
          <w:p>
            <w:pPr>
              <w:rPr>
                <w:rFonts w:ascii="宋体" w:hAnsi="宋体" w:cs="宋体"/>
                <w:sz w:val="24"/>
                <w:highlight w:val="none"/>
              </w:rPr>
            </w:pPr>
            <w:r>
              <w:rPr>
                <w:rFonts w:hint="eastAsia" w:ascii="宋体" w:hAnsi="宋体" w:cs="宋体"/>
                <w:sz w:val="24"/>
                <w:highlight w:val="none"/>
              </w:rPr>
              <w:t>2.5</w:t>
            </w:r>
            <w:r>
              <w:rPr>
                <w:rFonts w:hint="eastAsia" w:ascii="宋体" w:hAnsi="宋体" w:cs="宋体"/>
                <w:sz w:val="24"/>
                <w:highlight w:val="none"/>
                <w:lang w:eastAsia="zh-Hans"/>
              </w:rPr>
              <w:t>指标分析BI</w:t>
            </w:r>
          </w:p>
        </w:tc>
        <w:tc>
          <w:tcPr>
            <w:tcW w:w="993" w:type="dxa"/>
            <w:vMerge w:val="restart"/>
            <w:vAlign w:val="center"/>
          </w:tcPr>
          <w:p>
            <w:pPr>
              <w:rPr>
                <w:rFonts w:ascii="宋体" w:hAnsi="宋体" w:cs="宋体"/>
                <w:sz w:val="24"/>
                <w:highlight w:val="none"/>
              </w:rPr>
            </w:pPr>
            <w:r>
              <w:rPr>
                <w:rFonts w:hint="eastAsia" w:ascii="宋体" w:hAnsi="宋体" w:cs="宋体"/>
                <w:sz w:val="24"/>
                <w:highlight w:val="none"/>
              </w:rPr>
              <w:t xml:space="preserve">2.5.1 </w:t>
            </w:r>
            <w:r>
              <w:rPr>
                <w:rFonts w:hint="eastAsia" w:ascii="宋体" w:hAnsi="宋体" w:cs="宋体"/>
                <w:sz w:val="24"/>
                <w:highlight w:val="none"/>
                <w:lang w:eastAsia="zh-Hans"/>
              </w:rPr>
              <w:t>病种指标自助分析</w:t>
            </w:r>
          </w:p>
        </w:tc>
        <w:tc>
          <w:tcPr>
            <w:tcW w:w="5830" w:type="dxa"/>
            <w:vAlign w:val="center"/>
          </w:tcPr>
          <w:p>
            <w:pPr>
              <w:rPr>
                <w:rFonts w:ascii="宋体" w:hAnsi="宋体" w:cs="宋体"/>
                <w:sz w:val="24"/>
                <w:highlight w:val="none"/>
              </w:rPr>
            </w:pPr>
            <w:r>
              <w:rPr>
                <w:rFonts w:hint="eastAsia" w:ascii="宋体" w:hAnsi="宋体" w:cs="宋体"/>
                <w:sz w:val="24"/>
                <w:highlight w:val="none"/>
              </w:rPr>
              <w:t>针对选定的病种，可以通过拖拽、点选、录入等方式选择作为分组数据、附加数据项，方便针对本病种的所有质量指标（包括终末指标和环节指标）进行分析，并以柱状图、折线图等方式展示分析结果，分析结果可一键切换为其他样式。分析系统有一定的智能化展示能力，如用户的展示样式设置有瑕疵时，系统能自动修正为最合适的展示方式。所有质量指标（包括终末指标和环节指标）需符合最新的单病种质量管理规范。</w:t>
            </w:r>
          </w:p>
        </w:tc>
        <w:tc>
          <w:tcPr>
            <w:tcW w:w="1525" w:type="dxa"/>
            <w:vMerge w:val="restart"/>
            <w:vAlign w:val="center"/>
          </w:tcPr>
          <w:p>
            <w:pPr>
              <w:rPr>
                <w:rFonts w:ascii="宋体" w:hAnsi="宋体" w:cs="宋体"/>
                <w:sz w:val="24"/>
                <w:highlight w:val="none"/>
                <w:lang w:eastAsia="zh-Hans"/>
              </w:rPr>
            </w:pPr>
            <w:r>
              <w:rPr>
                <w:rFonts w:hint="eastAsia" w:ascii="宋体" w:hAnsi="宋体" w:cs="宋体"/>
                <w:sz w:val="24"/>
                <w:highlight w:val="none"/>
                <w:lang w:eastAsia="zh-Hans"/>
              </w:rPr>
              <w:t>协助质控部门提升管理能力和效率，要求（1）系统操作简便（2）支持最新单病种质量指标标准，指标覆盖完整（3）统计维度灵活，数据和结果展示形式丰富。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Merge w:val="continue"/>
            <w:vAlign w:val="center"/>
          </w:tcPr>
          <w:p>
            <w:pPr>
              <w:rPr>
                <w:rFonts w:ascii="宋体" w:hAnsi="宋体" w:cs="宋体"/>
                <w:sz w:val="24"/>
                <w:highlight w:val="none"/>
              </w:rPr>
            </w:pPr>
          </w:p>
        </w:tc>
        <w:tc>
          <w:tcPr>
            <w:tcW w:w="5830" w:type="dxa"/>
            <w:vAlign w:val="center"/>
          </w:tcPr>
          <w:p>
            <w:pPr>
              <w:rPr>
                <w:rFonts w:ascii="宋体" w:hAnsi="宋体" w:cs="宋体"/>
                <w:sz w:val="24"/>
                <w:highlight w:val="none"/>
              </w:rPr>
            </w:pPr>
            <w:r>
              <w:rPr>
                <w:rFonts w:hint="eastAsia" w:ascii="宋体" w:hAnsi="宋体" w:cs="宋体"/>
                <w:sz w:val="24"/>
                <w:highlight w:val="none"/>
              </w:rPr>
              <w:t>支持按季度、半年度、月度、性别、科室等维度进行分组。分析方案界面清晰，操作便捷，对每一个质量监测数据项（及子数据项）、数据填报项，都有指标及分子、分母的专业解释。</w:t>
            </w:r>
          </w:p>
        </w:tc>
        <w:tc>
          <w:tcPr>
            <w:tcW w:w="1525" w:type="dxa"/>
            <w:vMerge w:val="continue"/>
          </w:tcPr>
          <w:p>
            <w:pPr>
              <w:rPr>
                <w:rFonts w:ascii="宋体" w:hAnsi="宋体" w:cs="宋体"/>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Merge w:val="continue"/>
            <w:vAlign w:val="center"/>
          </w:tcPr>
          <w:p>
            <w:pPr>
              <w:rPr>
                <w:rFonts w:ascii="宋体" w:hAnsi="宋体" w:cs="宋体"/>
                <w:sz w:val="24"/>
                <w:highlight w:val="none"/>
              </w:rPr>
            </w:pPr>
          </w:p>
        </w:tc>
        <w:tc>
          <w:tcPr>
            <w:tcW w:w="5830" w:type="dxa"/>
            <w:vAlign w:val="center"/>
          </w:tcPr>
          <w:p>
            <w:pPr>
              <w:rPr>
                <w:rFonts w:ascii="宋体" w:hAnsi="宋体" w:cs="宋体"/>
                <w:sz w:val="24"/>
                <w:highlight w:val="none"/>
              </w:rPr>
            </w:pPr>
            <w:r>
              <w:rPr>
                <w:rFonts w:hint="eastAsia" w:ascii="宋体" w:hAnsi="宋体" w:cs="宋体"/>
                <w:sz w:val="24"/>
                <w:highlight w:val="none"/>
              </w:rPr>
              <w:t>分析方案支持灵活选择统计数据，可以组合多个质量监测数据项、单个质量监测数据项，或质量监测数据项下的子数据项。</w:t>
            </w:r>
          </w:p>
          <w:p>
            <w:pPr>
              <w:rPr>
                <w:rFonts w:ascii="宋体" w:hAnsi="宋体" w:cs="宋体"/>
                <w:sz w:val="24"/>
                <w:highlight w:val="none"/>
              </w:rPr>
            </w:pPr>
            <w:r>
              <w:rPr>
                <w:rFonts w:hint="eastAsia" w:ascii="宋体" w:hAnsi="宋体" w:cs="宋体"/>
                <w:sz w:val="24"/>
                <w:highlight w:val="none"/>
              </w:rPr>
              <w:t>数据统计值支持占比、例数、总计数、平均数、中位数等类型，可以在分析方案中按需选择。</w:t>
            </w:r>
          </w:p>
          <w:p>
            <w:pPr>
              <w:rPr>
                <w:rFonts w:ascii="宋体" w:hAnsi="宋体" w:cs="宋体"/>
                <w:sz w:val="24"/>
                <w:highlight w:val="none"/>
              </w:rPr>
            </w:pPr>
            <w:r>
              <w:rPr>
                <w:rFonts w:hint="eastAsia" w:ascii="宋体" w:hAnsi="宋体" w:cs="宋体"/>
                <w:sz w:val="24"/>
                <w:highlight w:val="none"/>
              </w:rPr>
              <w:t>统计分析结果支持全屏展示，可设定标题并导出图片保存。</w:t>
            </w:r>
          </w:p>
          <w:p>
            <w:pPr>
              <w:rPr>
                <w:rFonts w:ascii="宋体" w:hAnsi="宋体" w:cs="宋体"/>
                <w:sz w:val="24"/>
                <w:highlight w:val="none"/>
              </w:rPr>
            </w:pPr>
            <w:r>
              <w:rPr>
                <w:rFonts w:hint="eastAsia" w:ascii="宋体" w:hAnsi="宋体" w:cs="宋体"/>
                <w:sz w:val="24"/>
                <w:highlight w:val="none"/>
              </w:rPr>
              <w:t>分析方案可以保存为模板（模板名称、标题可自定义），模板支持一键导入。</w:t>
            </w:r>
          </w:p>
        </w:tc>
        <w:tc>
          <w:tcPr>
            <w:tcW w:w="1525" w:type="dxa"/>
            <w:vMerge w:val="continue"/>
          </w:tcPr>
          <w:p>
            <w:pPr>
              <w:rPr>
                <w:rFonts w:ascii="宋体" w:hAnsi="宋体" w:cs="宋体"/>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Merge w:val="restart"/>
            <w:vAlign w:val="center"/>
          </w:tcPr>
          <w:p>
            <w:pPr>
              <w:rPr>
                <w:rFonts w:ascii="宋体" w:hAnsi="宋体" w:cs="宋体"/>
                <w:sz w:val="24"/>
                <w:highlight w:val="none"/>
                <w:lang w:eastAsia="zh-Hans"/>
              </w:rPr>
            </w:pPr>
            <w:r>
              <w:rPr>
                <w:rFonts w:hint="eastAsia" w:ascii="宋体" w:hAnsi="宋体" w:cs="宋体"/>
                <w:sz w:val="24"/>
                <w:highlight w:val="none"/>
              </w:rPr>
              <w:t>2.6</w:t>
            </w:r>
            <w:r>
              <w:rPr>
                <w:rFonts w:hint="eastAsia" w:ascii="宋体" w:hAnsi="宋体" w:cs="宋体"/>
                <w:sz w:val="24"/>
                <w:highlight w:val="none"/>
                <w:lang w:eastAsia="zh-Hans"/>
              </w:rPr>
              <w:t>质控报告</w:t>
            </w:r>
          </w:p>
        </w:tc>
        <w:tc>
          <w:tcPr>
            <w:tcW w:w="993" w:type="dxa"/>
            <w:vAlign w:val="center"/>
          </w:tcPr>
          <w:p>
            <w:pPr>
              <w:rPr>
                <w:rFonts w:ascii="宋体" w:hAnsi="宋体" w:cs="宋体"/>
                <w:sz w:val="24"/>
                <w:highlight w:val="none"/>
              </w:rPr>
            </w:pPr>
            <w:r>
              <w:rPr>
                <w:rFonts w:hint="eastAsia" w:ascii="宋体" w:hAnsi="宋体" w:cs="宋体"/>
                <w:sz w:val="24"/>
                <w:highlight w:val="none"/>
              </w:rPr>
              <w:t>2.6.1.</w:t>
            </w:r>
            <w:r>
              <w:rPr>
                <w:rFonts w:hint="eastAsia" w:ascii="宋体" w:hAnsi="宋体" w:cs="宋体"/>
                <w:sz w:val="24"/>
                <w:highlight w:val="none"/>
                <w:lang w:eastAsia="zh-Hans"/>
              </w:rPr>
              <w:t>质控分析内容</w:t>
            </w:r>
          </w:p>
        </w:tc>
        <w:tc>
          <w:tcPr>
            <w:tcW w:w="5830" w:type="dxa"/>
            <w:vAlign w:val="center"/>
          </w:tcPr>
          <w:p>
            <w:pPr>
              <w:rPr>
                <w:rFonts w:ascii="宋体" w:hAnsi="宋体" w:cs="宋体"/>
                <w:sz w:val="24"/>
                <w:highlight w:val="none"/>
              </w:rPr>
            </w:pPr>
            <w:r>
              <w:rPr>
                <w:rFonts w:hint="eastAsia" w:ascii="宋体" w:hAnsi="宋体" w:cs="宋体"/>
                <w:sz w:val="24"/>
                <w:highlight w:val="none"/>
                <w:lang w:eastAsia="zh-Hans"/>
              </w:rPr>
              <w:t>系统提供自助式的</w:t>
            </w:r>
            <w:r>
              <w:rPr>
                <w:rFonts w:hint="eastAsia" w:ascii="宋体" w:hAnsi="宋体" w:cs="宋体"/>
                <w:sz w:val="24"/>
                <w:highlight w:val="none"/>
              </w:rPr>
              <w:t>单病种质控报告</w:t>
            </w:r>
            <w:r>
              <w:rPr>
                <w:rFonts w:hint="eastAsia" w:ascii="宋体" w:hAnsi="宋体" w:cs="宋体"/>
                <w:sz w:val="24"/>
                <w:highlight w:val="none"/>
                <w:lang w:eastAsia="zh-Hans"/>
              </w:rPr>
              <w:t>功能</w:t>
            </w:r>
            <w:r>
              <w:rPr>
                <w:rFonts w:hint="eastAsia" w:ascii="宋体" w:hAnsi="宋体" w:cs="宋体"/>
                <w:sz w:val="24"/>
                <w:highlight w:val="none"/>
              </w:rPr>
              <w:t>，</w:t>
            </w:r>
            <w:r>
              <w:rPr>
                <w:rFonts w:hint="eastAsia" w:ascii="宋体" w:hAnsi="宋体" w:cs="宋体"/>
                <w:sz w:val="24"/>
                <w:highlight w:val="none"/>
                <w:lang w:eastAsia="zh-Hans"/>
              </w:rPr>
              <w:t>随时根据需要，对</w:t>
            </w:r>
            <w:r>
              <w:rPr>
                <w:rFonts w:hint="eastAsia" w:ascii="宋体" w:hAnsi="宋体" w:cs="宋体"/>
                <w:sz w:val="24"/>
                <w:highlight w:val="none"/>
              </w:rPr>
              <w:t>病种的终末性和过程性质量指标</w:t>
            </w:r>
            <w:r>
              <w:rPr>
                <w:rFonts w:hint="eastAsia" w:ascii="宋体" w:hAnsi="宋体" w:cs="宋体"/>
                <w:sz w:val="24"/>
                <w:highlight w:val="none"/>
                <w:lang w:eastAsia="zh-Hans"/>
              </w:rPr>
              <w:t>进行分析</w:t>
            </w:r>
            <w:r>
              <w:rPr>
                <w:rFonts w:hint="eastAsia" w:ascii="宋体" w:hAnsi="宋体" w:cs="宋体"/>
                <w:sz w:val="24"/>
                <w:highlight w:val="none"/>
              </w:rPr>
              <w:t>，所有分析需依据最新的单病种质控标准，以急性心肌梗死（ST段抬高型，首次住院）为例，</w:t>
            </w:r>
            <w:r>
              <w:rPr>
                <w:rFonts w:hint="eastAsia" w:ascii="宋体" w:hAnsi="宋体" w:cs="宋体"/>
                <w:sz w:val="24"/>
                <w:highlight w:val="none"/>
                <w:lang w:eastAsia="zh-Hans"/>
              </w:rPr>
              <w:t>报告内容中需完整包含</w:t>
            </w:r>
            <w:r>
              <w:rPr>
                <w:rFonts w:hint="eastAsia" w:ascii="宋体" w:hAnsi="宋体" w:cs="宋体"/>
                <w:sz w:val="24"/>
                <w:highlight w:val="none"/>
              </w:rPr>
              <w:t>如下</w:t>
            </w:r>
            <w:r>
              <w:rPr>
                <w:rFonts w:hint="eastAsia" w:ascii="宋体" w:hAnsi="宋体" w:cs="宋体"/>
                <w:sz w:val="24"/>
                <w:highlight w:val="none"/>
                <w:lang w:eastAsia="zh-Hans"/>
              </w:rPr>
              <w:t>内容情况的情况分析</w:t>
            </w:r>
            <w:r>
              <w:rPr>
                <w:rFonts w:hint="eastAsia" w:ascii="宋体" w:hAnsi="宋体" w:cs="宋体"/>
                <w:sz w:val="24"/>
                <w:highlight w:val="none"/>
              </w:rPr>
              <w:t>：</w:t>
            </w:r>
          </w:p>
          <w:p>
            <w:pPr>
              <w:rPr>
                <w:rFonts w:ascii="宋体" w:hAnsi="宋体" w:cs="宋体"/>
                <w:b/>
                <w:bCs/>
                <w:sz w:val="24"/>
                <w:highlight w:val="none"/>
              </w:rPr>
            </w:pPr>
            <w:r>
              <w:rPr>
                <w:rFonts w:hint="eastAsia" w:ascii="宋体" w:hAnsi="宋体" w:cs="宋体"/>
                <w:b/>
                <w:bCs/>
                <w:sz w:val="24"/>
                <w:highlight w:val="none"/>
              </w:rPr>
              <w:t>1</w:t>
            </w:r>
            <w:r>
              <w:rPr>
                <w:rFonts w:hint="eastAsia" w:ascii="宋体" w:hAnsi="宋体" w:cs="宋体"/>
                <w:b/>
                <w:bCs/>
                <w:sz w:val="24"/>
                <w:highlight w:val="none"/>
                <w:lang w:eastAsia="zh-Hans"/>
              </w:rPr>
              <w:t>、</w:t>
            </w:r>
            <w:r>
              <w:rPr>
                <w:rFonts w:hint="eastAsia" w:ascii="宋体" w:hAnsi="宋体" w:cs="宋体"/>
                <w:b/>
                <w:bCs/>
                <w:sz w:val="24"/>
                <w:highlight w:val="none"/>
              </w:rPr>
              <w:t>STEMI-1到达医院后首剂双联抗血小板药物使用情况</w:t>
            </w:r>
          </w:p>
          <w:p>
            <w:pPr>
              <w:rPr>
                <w:rFonts w:ascii="宋体" w:hAnsi="宋体" w:cs="宋体"/>
                <w:sz w:val="24"/>
                <w:highlight w:val="none"/>
              </w:rPr>
            </w:pPr>
            <w:r>
              <w:rPr>
                <w:rFonts w:hint="eastAsia" w:ascii="宋体" w:hAnsi="宋体" w:cs="宋体"/>
                <w:sz w:val="24"/>
                <w:highlight w:val="none"/>
              </w:rPr>
              <w:t>STEMI-1-1</w:t>
            </w:r>
          </w:p>
          <w:p>
            <w:pPr>
              <w:rPr>
                <w:rFonts w:ascii="宋体" w:hAnsi="宋体" w:cs="宋体"/>
                <w:sz w:val="24"/>
                <w:highlight w:val="none"/>
              </w:rPr>
            </w:pPr>
            <w:r>
              <w:rPr>
                <w:rFonts w:hint="eastAsia" w:ascii="宋体" w:hAnsi="宋体" w:cs="宋体"/>
                <w:sz w:val="24"/>
                <w:highlight w:val="none"/>
              </w:rPr>
              <w:t>分子：在STEMI患者到达医院的体格检查“采用Killip分级法评估心功能”的STEMI例数</w:t>
            </w:r>
          </w:p>
          <w:p>
            <w:pPr>
              <w:rPr>
                <w:rFonts w:ascii="宋体" w:hAnsi="宋体" w:cs="宋体"/>
                <w:sz w:val="24"/>
                <w:highlight w:val="none"/>
              </w:rPr>
            </w:pPr>
            <w:r>
              <w:rPr>
                <w:rFonts w:hint="eastAsia" w:ascii="宋体" w:hAnsi="宋体" w:cs="宋体"/>
                <w:sz w:val="24"/>
                <w:highlight w:val="none"/>
              </w:rPr>
              <w:t>分母：同期全部STEMI患者出院的例数"</w:t>
            </w:r>
          </w:p>
          <w:p>
            <w:pPr>
              <w:rPr>
                <w:rFonts w:ascii="宋体" w:hAnsi="宋体" w:cs="宋体"/>
                <w:sz w:val="24"/>
                <w:highlight w:val="none"/>
              </w:rPr>
            </w:pPr>
            <w:r>
              <w:rPr>
                <w:rFonts w:hint="eastAsia" w:ascii="宋体" w:hAnsi="宋体" w:cs="宋体"/>
                <w:sz w:val="24"/>
                <w:highlight w:val="none"/>
              </w:rPr>
              <w:t>STEMI-1-2</w:t>
            </w:r>
          </w:p>
          <w:p>
            <w:pPr>
              <w:rPr>
                <w:rFonts w:ascii="宋体" w:hAnsi="宋体" w:cs="宋体"/>
                <w:sz w:val="24"/>
                <w:highlight w:val="none"/>
              </w:rPr>
            </w:pPr>
            <w:r>
              <w:rPr>
                <w:rFonts w:hint="eastAsia" w:ascii="宋体" w:hAnsi="宋体" w:cs="宋体"/>
                <w:sz w:val="24"/>
                <w:highlight w:val="none"/>
              </w:rPr>
              <w:t>分子：在STEMI患者到达医院10min内完成首份心电图的STEMI例数</w:t>
            </w:r>
          </w:p>
          <w:p>
            <w:pPr>
              <w:rPr>
                <w:rFonts w:ascii="宋体" w:hAnsi="宋体" w:cs="宋体"/>
                <w:sz w:val="24"/>
                <w:highlight w:val="none"/>
              </w:rPr>
            </w:pPr>
            <w:r>
              <w:rPr>
                <w:rFonts w:hint="eastAsia" w:ascii="宋体" w:hAnsi="宋体" w:cs="宋体"/>
                <w:sz w:val="24"/>
                <w:highlight w:val="none"/>
              </w:rPr>
              <w:t>分母：同期全部STEMI患者出院的例数"</w:t>
            </w:r>
          </w:p>
          <w:p>
            <w:pPr>
              <w:rPr>
                <w:rFonts w:ascii="宋体" w:hAnsi="宋体" w:cs="宋体"/>
                <w:sz w:val="24"/>
                <w:highlight w:val="none"/>
              </w:rPr>
            </w:pPr>
            <w:r>
              <w:rPr>
                <w:rFonts w:hint="eastAsia" w:ascii="宋体" w:hAnsi="宋体" w:cs="宋体"/>
                <w:sz w:val="24"/>
                <w:highlight w:val="none"/>
              </w:rPr>
              <w:t>STEMI-1-3</w:t>
            </w:r>
          </w:p>
          <w:p>
            <w:pPr>
              <w:rPr>
                <w:rFonts w:ascii="宋体" w:hAnsi="宋体" w:cs="宋体"/>
                <w:sz w:val="24"/>
                <w:highlight w:val="none"/>
              </w:rPr>
            </w:pPr>
            <w:r>
              <w:rPr>
                <w:rFonts w:hint="eastAsia" w:ascii="宋体" w:hAnsi="宋体" w:cs="宋体"/>
                <w:sz w:val="24"/>
                <w:highlight w:val="none"/>
              </w:rPr>
              <w:t>分子：到院即刻首剂给予双联P2Y12受体拮抗剂负荷剂量的STEMI例数</w:t>
            </w:r>
          </w:p>
          <w:p>
            <w:pPr>
              <w:rPr>
                <w:rFonts w:ascii="宋体" w:hAnsi="宋体" w:cs="宋体"/>
                <w:sz w:val="24"/>
                <w:highlight w:val="none"/>
              </w:rPr>
            </w:pPr>
            <w:r>
              <w:rPr>
                <w:rFonts w:hint="eastAsia" w:ascii="宋体" w:hAnsi="宋体" w:cs="宋体"/>
                <w:sz w:val="24"/>
                <w:highlight w:val="none"/>
              </w:rPr>
              <w:t>分母：同期全部STEMI患者出院的例数"</w:t>
            </w:r>
          </w:p>
          <w:p>
            <w:pPr>
              <w:rPr>
                <w:rFonts w:ascii="宋体" w:hAnsi="宋体" w:cs="宋体"/>
                <w:sz w:val="24"/>
                <w:highlight w:val="none"/>
              </w:rPr>
            </w:pPr>
            <w:r>
              <w:rPr>
                <w:rFonts w:hint="eastAsia" w:ascii="宋体" w:hAnsi="宋体" w:cs="宋体"/>
                <w:sz w:val="24"/>
                <w:highlight w:val="none"/>
              </w:rPr>
              <w:t>STEMI-1-4</w:t>
            </w:r>
          </w:p>
          <w:p>
            <w:pPr>
              <w:rPr>
                <w:rFonts w:ascii="宋体" w:hAnsi="宋体" w:cs="宋体"/>
                <w:sz w:val="24"/>
                <w:highlight w:val="none"/>
              </w:rPr>
            </w:pPr>
            <w:r>
              <w:rPr>
                <w:rFonts w:hint="eastAsia" w:ascii="宋体" w:hAnsi="宋体" w:cs="宋体"/>
                <w:sz w:val="24"/>
                <w:highlight w:val="none"/>
              </w:rPr>
              <w:t>分子：获得心肌酶检测报告（首份急诊标本采集后&lt;=60分钟报告）的STEMI例数</w:t>
            </w:r>
          </w:p>
          <w:p>
            <w:pPr>
              <w:rPr>
                <w:rFonts w:ascii="宋体" w:hAnsi="宋体" w:cs="宋体"/>
                <w:sz w:val="24"/>
                <w:highlight w:val="none"/>
              </w:rPr>
            </w:pPr>
            <w:r>
              <w:rPr>
                <w:rFonts w:hint="eastAsia" w:ascii="宋体" w:hAnsi="宋体" w:cs="宋体"/>
                <w:sz w:val="24"/>
                <w:highlight w:val="none"/>
              </w:rPr>
              <w:t>分母：同期全部STEMI患者出院的例数"</w:t>
            </w:r>
          </w:p>
          <w:p>
            <w:pPr>
              <w:rPr>
                <w:rFonts w:ascii="宋体" w:hAnsi="宋体" w:cs="宋体"/>
                <w:b/>
                <w:bCs/>
                <w:sz w:val="24"/>
                <w:highlight w:val="none"/>
              </w:rPr>
            </w:pPr>
            <w:r>
              <w:rPr>
                <w:rFonts w:hint="eastAsia" w:ascii="宋体" w:hAnsi="宋体" w:cs="宋体"/>
                <w:b/>
                <w:bCs/>
                <w:sz w:val="24"/>
                <w:highlight w:val="none"/>
              </w:rPr>
              <w:t>2</w:t>
            </w:r>
            <w:r>
              <w:rPr>
                <w:rFonts w:hint="eastAsia" w:ascii="宋体" w:hAnsi="宋体" w:cs="宋体"/>
                <w:b/>
                <w:bCs/>
                <w:sz w:val="24"/>
                <w:highlight w:val="none"/>
                <w:lang w:eastAsia="zh-Hans"/>
              </w:rPr>
              <w:t>、</w:t>
            </w:r>
            <w:r>
              <w:rPr>
                <w:rFonts w:hint="eastAsia" w:ascii="宋体" w:hAnsi="宋体" w:cs="宋体"/>
                <w:b/>
                <w:bCs/>
                <w:sz w:val="24"/>
                <w:highlight w:val="none"/>
              </w:rPr>
              <w:t>STEMI-2左心室射血分数</w:t>
            </w:r>
            <w:r>
              <w:rPr>
                <w:rFonts w:hint="eastAsia" w:ascii="宋体" w:hAnsi="宋体" w:cs="宋体"/>
                <w:b/>
                <w:bCs/>
                <w:sz w:val="24"/>
                <w:highlight w:val="none"/>
              </w:rPr>
              <w:tab/>
            </w:r>
          </w:p>
          <w:p>
            <w:pPr>
              <w:rPr>
                <w:rFonts w:ascii="宋体" w:hAnsi="宋体" w:cs="宋体"/>
                <w:sz w:val="24"/>
                <w:highlight w:val="none"/>
              </w:rPr>
            </w:pPr>
            <w:r>
              <w:rPr>
                <w:rFonts w:hint="eastAsia" w:ascii="宋体" w:hAnsi="宋体" w:cs="宋体"/>
                <w:sz w:val="24"/>
                <w:highlight w:val="none"/>
              </w:rPr>
              <w:t>STEMI-2-1</w:t>
            </w:r>
          </w:p>
          <w:p>
            <w:pPr>
              <w:rPr>
                <w:rFonts w:ascii="宋体" w:hAnsi="宋体" w:cs="宋体"/>
                <w:sz w:val="24"/>
                <w:highlight w:val="none"/>
              </w:rPr>
            </w:pPr>
            <w:r>
              <w:rPr>
                <w:rFonts w:hint="eastAsia" w:ascii="宋体" w:hAnsi="宋体" w:cs="宋体"/>
                <w:sz w:val="24"/>
                <w:highlight w:val="none"/>
              </w:rPr>
              <w:t>分子：入院时实施首次左心室功能评价（LVEF）的STEMI例数</w:t>
            </w:r>
          </w:p>
          <w:p>
            <w:pPr>
              <w:rPr>
                <w:rFonts w:ascii="宋体" w:hAnsi="宋体" w:cs="宋体"/>
                <w:sz w:val="24"/>
                <w:highlight w:val="none"/>
              </w:rPr>
            </w:pPr>
            <w:r>
              <w:rPr>
                <w:rFonts w:hint="eastAsia" w:ascii="宋体" w:hAnsi="宋体" w:cs="宋体"/>
                <w:sz w:val="24"/>
                <w:highlight w:val="none"/>
              </w:rPr>
              <w:t>分母：同期全部STEMI患者出院的例数"</w:t>
            </w:r>
          </w:p>
          <w:p>
            <w:pPr>
              <w:rPr>
                <w:rFonts w:ascii="宋体" w:hAnsi="宋体" w:cs="宋体"/>
                <w:sz w:val="24"/>
                <w:highlight w:val="none"/>
              </w:rPr>
            </w:pPr>
            <w:r>
              <w:rPr>
                <w:rFonts w:hint="eastAsia" w:ascii="宋体" w:hAnsi="宋体" w:cs="宋体"/>
                <w:sz w:val="24"/>
                <w:highlight w:val="none"/>
              </w:rPr>
              <w:t>STEMI-2-2</w:t>
            </w:r>
          </w:p>
          <w:p>
            <w:pPr>
              <w:rPr>
                <w:rFonts w:ascii="宋体" w:hAnsi="宋体" w:cs="宋体"/>
                <w:sz w:val="24"/>
                <w:highlight w:val="none"/>
              </w:rPr>
            </w:pPr>
            <w:r>
              <w:rPr>
                <w:rFonts w:hint="eastAsia" w:ascii="宋体" w:hAnsi="宋体" w:cs="宋体"/>
                <w:sz w:val="24"/>
                <w:highlight w:val="none"/>
              </w:rPr>
              <w:t>分子：首次左心室功能评价LVEF值&lt;=40%的STEMI例数</w:t>
            </w:r>
          </w:p>
          <w:p>
            <w:pPr>
              <w:rPr>
                <w:rFonts w:ascii="宋体" w:hAnsi="宋体" w:cs="宋体"/>
                <w:sz w:val="24"/>
                <w:highlight w:val="none"/>
              </w:rPr>
            </w:pPr>
            <w:r>
              <w:rPr>
                <w:rFonts w:hint="eastAsia" w:ascii="宋体" w:hAnsi="宋体" w:cs="宋体"/>
                <w:sz w:val="24"/>
                <w:highlight w:val="none"/>
              </w:rPr>
              <w:t>分母：同期全部STEMI患者出院的例数"</w:t>
            </w:r>
          </w:p>
          <w:p>
            <w:pPr>
              <w:rPr>
                <w:rFonts w:ascii="宋体" w:hAnsi="宋体" w:cs="宋体"/>
                <w:sz w:val="24"/>
                <w:highlight w:val="none"/>
              </w:rPr>
            </w:pPr>
            <w:r>
              <w:rPr>
                <w:rFonts w:hint="eastAsia" w:ascii="宋体" w:hAnsi="宋体" w:cs="宋体"/>
                <w:sz w:val="24"/>
                <w:highlight w:val="none"/>
              </w:rPr>
              <w:t>STEMI-2-3</w:t>
            </w:r>
          </w:p>
          <w:p>
            <w:pPr>
              <w:rPr>
                <w:rFonts w:ascii="宋体" w:hAnsi="宋体" w:cs="宋体"/>
                <w:sz w:val="24"/>
                <w:highlight w:val="none"/>
              </w:rPr>
            </w:pPr>
            <w:r>
              <w:rPr>
                <w:rFonts w:hint="eastAsia" w:ascii="宋体" w:hAnsi="宋体" w:cs="宋体"/>
                <w:sz w:val="24"/>
                <w:highlight w:val="none"/>
              </w:rPr>
              <w:t>分子：入院时实施首次GRACE风险评估的STEMI例数</w:t>
            </w:r>
          </w:p>
          <w:p>
            <w:pPr>
              <w:rPr>
                <w:rFonts w:ascii="宋体" w:hAnsi="宋体" w:cs="宋体"/>
                <w:sz w:val="24"/>
                <w:highlight w:val="none"/>
              </w:rPr>
            </w:pPr>
            <w:r>
              <w:rPr>
                <w:rFonts w:hint="eastAsia" w:ascii="宋体" w:hAnsi="宋体" w:cs="宋体"/>
                <w:sz w:val="24"/>
                <w:highlight w:val="none"/>
              </w:rPr>
              <w:t>分母：同期全部STEMI患者出院的例数"</w:t>
            </w:r>
          </w:p>
          <w:p>
            <w:pPr>
              <w:rPr>
                <w:rFonts w:ascii="宋体" w:hAnsi="宋体" w:cs="宋体"/>
                <w:sz w:val="24"/>
                <w:highlight w:val="none"/>
              </w:rPr>
            </w:pPr>
            <w:r>
              <w:rPr>
                <w:rFonts w:hint="eastAsia" w:ascii="宋体" w:hAnsi="宋体" w:cs="宋体"/>
                <w:sz w:val="24"/>
                <w:highlight w:val="none"/>
              </w:rPr>
              <w:t>STEMI-2-4</w:t>
            </w:r>
          </w:p>
          <w:p>
            <w:pPr>
              <w:rPr>
                <w:rFonts w:ascii="宋体" w:hAnsi="宋体" w:cs="宋体"/>
                <w:sz w:val="24"/>
                <w:highlight w:val="none"/>
              </w:rPr>
            </w:pPr>
            <w:r>
              <w:rPr>
                <w:rFonts w:hint="eastAsia" w:ascii="宋体" w:hAnsi="宋体" w:cs="宋体"/>
                <w:sz w:val="24"/>
                <w:highlight w:val="none"/>
              </w:rPr>
              <w:t>分子：入院时实施首次CRUSADE出血风险评估的STEMI例数</w:t>
            </w:r>
          </w:p>
          <w:p>
            <w:pPr>
              <w:rPr>
                <w:rFonts w:ascii="宋体" w:hAnsi="宋体" w:cs="宋体"/>
                <w:sz w:val="24"/>
                <w:highlight w:val="none"/>
              </w:rPr>
            </w:pPr>
            <w:r>
              <w:rPr>
                <w:rFonts w:hint="eastAsia" w:ascii="宋体" w:hAnsi="宋体" w:cs="宋体"/>
                <w:sz w:val="24"/>
                <w:highlight w:val="none"/>
              </w:rPr>
              <w:t>分母：同期全部STEMI患者出院的例数"</w:t>
            </w:r>
          </w:p>
          <w:p>
            <w:pPr>
              <w:rPr>
                <w:rFonts w:ascii="宋体" w:hAnsi="宋体" w:cs="宋体"/>
                <w:b/>
                <w:bCs/>
                <w:sz w:val="24"/>
                <w:highlight w:val="none"/>
              </w:rPr>
            </w:pPr>
            <w:r>
              <w:rPr>
                <w:rFonts w:hint="eastAsia" w:ascii="宋体" w:hAnsi="宋体" w:cs="宋体"/>
                <w:b/>
                <w:bCs/>
                <w:sz w:val="24"/>
                <w:highlight w:val="none"/>
              </w:rPr>
              <w:t>3</w:t>
            </w:r>
            <w:r>
              <w:rPr>
                <w:rFonts w:hint="eastAsia" w:ascii="宋体" w:hAnsi="宋体" w:cs="宋体"/>
                <w:b/>
                <w:bCs/>
                <w:sz w:val="24"/>
                <w:highlight w:val="none"/>
                <w:lang w:eastAsia="zh-Hans"/>
              </w:rPr>
              <w:t>、</w:t>
            </w:r>
            <w:r>
              <w:rPr>
                <w:rFonts w:hint="eastAsia" w:ascii="宋体" w:hAnsi="宋体" w:cs="宋体"/>
                <w:b/>
                <w:bCs/>
                <w:sz w:val="24"/>
                <w:highlight w:val="none"/>
              </w:rPr>
              <w:t>STEMI-3</w:t>
            </w:r>
            <w:r>
              <w:rPr>
                <w:rFonts w:hint="eastAsia" w:ascii="宋体" w:hAnsi="宋体" w:cs="宋体"/>
                <w:b/>
                <w:bCs/>
                <w:sz w:val="24"/>
                <w:highlight w:val="none"/>
              </w:rPr>
              <w:tab/>
            </w:r>
            <w:r>
              <w:rPr>
                <w:rFonts w:hint="eastAsia" w:ascii="宋体" w:hAnsi="宋体" w:cs="宋体"/>
                <w:b/>
                <w:bCs/>
                <w:sz w:val="24"/>
                <w:highlight w:val="none"/>
              </w:rPr>
              <w:t>再灌注治疗</w:t>
            </w:r>
            <w:r>
              <w:rPr>
                <w:rFonts w:hint="eastAsia" w:ascii="宋体" w:hAnsi="宋体" w:cs="宋体"/>
                <w:b/>
                <w:bCs/>
                <w:sz w:val="24"/>
                <w:highlight w:val="none"/>
              </w:rPr>
              <w:tab/>
            </w:r>
          </w:p>
          <w:p>
            <w:pPr>
              <w:rPr>
                <w:rFonts w:ascii="宋体" w:hAnsi="宋体" w:cs="宋体"/>
                <w:sz w:val="24"/>
                <w:highlight w:val="none"/>
              </w:rPr>
            </w:pPr>
            <w:r>
              <w:rPr>
                <w:rFonts w:hint="eastAsia" w:ascii="宋体" w:hAnsi="宋体" w:cs="宋体"/>
                <w:sz w:val="24"/>
                <w:highlight w:val="none"/>
              </w:rPr>
              <w:t>STEMI-3-1</w:t>
            </w:r>
          </w:p>
          <w:p>
            <w:pPr>
              <w:rPr>
                <w:rFonts w:ascii="宋体" w:hAnsi="宋体" w:cs="宋体"/>
                <w:sz w:val="24"/>
                <w:highlight w:val="none"/>
              </w:rPr>
            </w:pPr>
            <w:r>
              <w:rPr>
                <w:rFonts w:hint="eastAsia" w:ascii="宋体" w:hAnsi="宋体" w:cs="宋体"/>
                <w:sz w:val="24"/>
                <w:highlight w:val="none"/>
              </w:rPr>
              <w:t>分子：获得再灌注治疗的STEMI例数（STEMI-3.1+STEMI-3.2）</w:t>
            </w:r>
          </w:p>
          <w:p>
            <w:pPr>
              <w:rPr>
                <w:rFonts w:ascii="宋体" w:hAnsi="宋体" w:cs="宋体"/>
                <w:sz w:val="24"/>
                <w:highlight w:val="none"/>
              </w:rPr>
            </w:pPr>
            <w:r>
              <w:rPr>
                <w:rFonts w:hint="eastAsia" w:ascii="宋体" w:hAnsi="宋体" w:cs="宋体"/>
                <w:sz w:val="24"/>
                <w:highlight w:val="none"/>
              </w:rPr>
              <w:t>分母：同期全部STEMI患者出院的例数"</w:t>
            </w:r>
          </w:p>
          <w:p>
            <w:pPr>
              <w:rPr>
                <w:rFonts w:ascii="宋体" w:hAnsi="宋体" w:cs="宋体"/>
                <w:sz w:val="24"/>
                <w:highlight w:val="none"/>
              </w:rPr>
            </w:pPr>
            <w:r>
              <w:rPr>
                <w:rFonts w:hint="eastAsia" w:ascii="宋体" w:hAnsi="宋体" w:cs="宋体"/>
                <w:sz w:val="24"/>
                <w:highlight w:val="none"/>
              </w:rPr>
              <w:t>STEMI-3.1</w:t>
            </w:r>
          </w:p>
          <w:p>
            <w:pPr>
              <w:rPr>
                <w:rFonts w:ascii="宋体" w:hAnsi="宋体" w:cs="宋体"/>
                <w:sz w:val="24"/>
                <w:highlight w:val="none"/>
              </w:rPr>
            </w:pPr>
            <w:r>
              <w:rPr>
                <w:rFonts w:hint="eastAsia" w:ascii="宋体" w:hAnsi="宋体" w:cs="宋体"/>
                <w:sz w:val="24"/>
                <w:highlight w:val="none"/>
              </w:rPr>
              <w:t>急诊心电图确诊STEMI时间至溶栓药物注射时间（分钟）</w:t>
            </w:r>
          </w:p>
          <w:p>
            <w:pPr>
              <w:rPr>
                <w:rFonts w:ascii="宋体" w:hAnsi="宋体" w:cs="宋体"/>
                <w:sz w:val="24"/>
                <w:highlight w:val="none"/>
              </w:rPr>
            </w:pPr>
            <w:r>
              <w:rPr>
                <w:rFonts w:hint="eastAsia" w:ascii="宋体" w:hAnsi="宋体" w:cs="宋体"/>
                <w:sz w:val="24"/>
                <w:highlight w:val="none"/>
              </w:rPr>
              <w:t>STEMI-3.1-1</w:t>
            </w:r>
          </w:p>
          <w:p>
            <w:pPr>
              <w:rPr>
                <w:rFonts w:ascii="宋体" w:hAnsi="宋体" w:cs="宋体"/>
                <w:sz w:val="24"/>
                <w:highlight w:val="none"/>
              </w:rPr>
            </w:pPr>
            <w:r>
              <w:rPr>
                <w:rFonts w:hint="eastAsia" w:ascii="宋体" w:hAnsi="宋体" w:cs="宋体"/>
                <w:sz w:val="24"/>
                <w:highlight w:val="none"/>
              </w:rPr>
              <w:t>分子：STEMI具有溶栓适应证，无禁忌证的例数</w:t>
            </w:r>
          </w:p>
          <w:p>
            <w:pPr>
              <w:rPr>
                <w:rFonts w:ascii="宋体" w:hAnsi="宋体" w:cs="宋体"/>
                <w:sz w:val="24"/>
                <w:highlight w:val="none"/>
              </w:rPr>
            </w:pPr>
            <w:r>
              <w:rPr>
                <w:rFonts w:hint="eastAsia" w:ascii="宋体" w:hAnsi="宋体" w:cs="宋体"/>
                <w:sz w:val="24"/>
                <w:highlight w:val="none"/>
              </w:rPr>
              <w:t>分母：同期全部STEMI患者出院的例数"</w:t>
            </w:r>
          </w:p>
          <w:p>
            <w:pPr>
              <w:rPr>
                <w:rFonts w:ascii="宋体" w:hAnsi="宋体" w:cs="宋体"/>
                <w:sz w:val="24"/>
                <w:highlight w:val="none"/>
              </w:rPr>
            </w:pPr>
            <w:r>
              <w:rPr>
                <w:rFonts w:hint="eastAsia" w:ascii="宋体" w:hAnsi="宋体" w:cs="宋体"/>
                <w:sz w:val="24"/>
                <w:highlight w:val="none"/>
              </w:rPr>
              <w:t>STEMI-3.1-2</w:t>
            </w:r>
          </w:p>
          <w:p>
            <w:pPr>
              <w:rPr>
                <w:rFonts w:ascii="宋体" w:hAnsi="宋体" w:cs="宋体"/>
                <w:sz w:val="24"/>
                <w:highlight w:val="none"/>
              </w:rPr>
            </w:pPr>
            <w:r>
              <w:rPr>
                <w:rFonts w:hint="eastAsia" w:ascii="宋体" w:hAnsi="宋体" w:cs="宋体"/>
                <w:sz w:val="24"/>
                <w:highlight w:val="none"/>
              </w:rPr>
              <w:t>分子：STEMI具有溶栓“IA类”适应证的例数</w:t>
            </w:r>
          </w:p>
          <w:p>
            <w:pPr>
              <w:rPr>
                <w:rFonts w:ascii="宋体" w:hAnsi="宋体" w:cs="宋体"/>
                <w:sz w:val="24"/>
                <w:highlight w:val="none"/>
              </w:rPr>
            </w:pPr>
            <w:r>
              <w:rPr>
                <w:rFonts w:hint="eastAsia" w:ascii="宋体" w:hAnsi="宋体" w:cs="宋体"/>
                <w:sz w:val="24"/>
                <w:highlight w:val="none"/>
              </w:rPr>
              <w:t>分母：同期全部发病&lt;=3小时的STEMI患者出院的例数"</w:t>
            </w:r>
          </w:p>
          <w:p>
            <w:pPr>
              <w:rPr>
                <w:rFonts w:ascii="宋体" w:hAnsi="宋体" w:cs="宋体"/>
                <w:sz w:val="24"/>
                <w:highlight w:val="none"/>
              </w:rPr>
            </w:pPr>
            <w:r>
              <w:rPr>
                <w:rFonts w:hint="eastAsia" w:ascii="宋体" w:hAnsi="宋体" w:cs="宋体"/>
                <w:sz w:val="24"/>
                <w:highlight w:val="none"/>
              </w:rPr>
              <w:t>STEMI-3.1-3</w:t>
            </w:r>
          </w:p>
          <w:p>
            <w:pPr>
              <w:rPr>
                <w:rFonts w:ascii="宋体" w:hAnsi="宋体" w:cs="宋体"/>
                <w:sz w:val="24"/>
                <w:highlight w:val="none"/>
              </w:rPr>
            </w:pPr>
            <w:r>
              <w:rPr>
                <w:rFonts w:hint="eastAsia" w:ascii="宋体" w:hAnsi="宋体" w:cs="宋体"/>
                <w:sz w:val="24"/>
                <w:highlight w:val="none"/>
              </w:rPr>
              <w:t>分子：急诊心电图确诊STEMI时间至溶栓药物注射时间&lt;=30分钟的例数</w:t>
            </w:r>
          </w:p>
          <w:p>
            <w:pPr>
              <w:rPr>
                <w:rFonts w:ascii="宋体" w:hAnsi="宋体" w:cs="宋体"/>
                <w:sz w:val="24"/>
                <w:highlight w:val="none"/>
              </w:rPr>
            </w:pPr>
            <w:r>
              <w:rPr>
                <w:rFonts w:hint="eastAsia" w:ascii="宋体" w:hAnsi="宋体" w:cs="宋体"/>
                <w:sz w:val="24"/>
                <w:highlight w:val="none"/>
              </w:rPr>
              <w:t>分母：同期全部住院STEMI具有“IA类”溶栓适应证，无禁忌证的例数"</w:t>
            </w:r>
          </w:p>
          <w:p>
            <w:pPr>
              <w:rPr>
                <w:rFonts w:ascii="宋体" w:hAnsi="宋体" w:cs="宋体"/>
                <w:sz w:val="24"/>
                <w:highlight w:val="none"/>
              </w:rPr>
            </w:pPr>
            <w:r>
              <w:rPr>
                <w:rFonts w:hint="eastAsia" w:ascii="宋体" w:hAnsi="宋体" w:cs="宋体"/>
                <w:sz w:val="24"/>
                <w:highlight w:val="none"/>
              </w:rPr>
              <w:t>STEMI-3.1-A进门急诊心电图STEMI确诊时间至溶栓药物注射（D2N）时间（分钟）中位数</w:t>
            </w:r>
          </w:p>
          <w:p>
            <w:pPr>
              <w:rPr>
                <w:rFonts w:ascii="宋体" w:hAnsi="宋体" w:cs="宋体"/>
                <w:sz w:val="24"/>
                <w:highlight w:val="none"/>
              </w:rPr>
            </w:pPr>
            <w:r>
              <w:rPr>
                <w:rFonts w:hint="eastAsia" w:ascii="宋体" w:hAnsi="宋体" w:cs="宋体"/>
                <w:sz w:val="24"/>
                <w:highlight w:val="none"/>
              </w:rPr>
              <w:t>STEMI-3.2</w:t>
            </w:r>
          </w:p>
          <w:p>
            <w:pPr>
              <w:rPr>
                <w:rFonts w:ascii="宋体" w:hAnsi="宋体" w:cs="宋体"/>
                <w:sz w:val="24"/>
                <w:highlight w:val="none"/>
              </w:rPr>
            </w:pPr>
            <w:r>
              <w:rPr>
                <w:rFonts w:hint="eastAsia" w:ascii="宋体" w:hAnsi="宋体" w:cs="宋体"/>
                <w:sz w:val="24"/>
                <w:highlight w:val="none"/>
              </w:rPr>
              <w:t>急诊心电图确诊STEMI时间至经皮冠状动脉介入治疗（PCI）导丝通过梗死相关动脉时间（分钟）</w:t>
            </w:r>
          </w:p>
          <w:p>
            <w:pPr>
              <w:rPr>
                <w:rFonts w:ascii="宋体" w:hAnsi="宋体" w:cs="宋体"/>
                <w:sz w:val="24"/>
                <w:highlight w:val="none"/>
              </w:rPr>
            </w:pPr>
            <w:r>
              <w:rPr>
                <w:rFonts w:hint="eastAsia" w:ascii="宋体" w:hAnsi="宋体" w:cs="宋体"/>
                <w:sz w:val="24"/>
                <w:highlight w:val="none"/>
              </w:rPr>
              <w:t>STEMI-3.2-1</w:t>
            </w:r>
          </w:p>
          <w:p>
            <w:pPr>
              <w:rPr>
                <w:rFonts w:ascii="宋体" w:hAnsi="宋体" w:cs="宋体"/>
                <w:sz w:val="24"/>
                <w:highlight w:val="none"/>
              </w:rPr>
            </w:pPr>
            <w:r>
              <w:rPr>
                <w:rFonts w:hint="eastAsia" w:ascii="宋体" w:hAnsi="宋体" w:cs="宋体"/>
                <w:sz w:val="24"/>
                <w:highlight w:val="none"/>
              </w:rPr>
              <w:t>分子：STEMI具有PCI适应证的例数</w:t>
            </w:r>
          </w:p>
          <w:p>
            <w:pPr>
              <w:rPr>
                <w:rFonts w:ascii="宋体" w:hAnsi="宋体" w:cs="宋体"/>
                <w:sz w:val="24"/>
                <w:highlight w:val="none"/>
              </w:rPr>
            </w:pPr>
            <w:r>
              <w:rPr>
                <w:rFonts w:hint="eastAsia" w:ascii="宋体" w:hAnsi="宋体" w:cs="宋体"/>
                <w:sz w:val="24"/>
                <w:highlight w:val="none"/>
              </w:rPr>
              <w:t>分母：同期全部STEMI患者出院的例数"</w:t>
            </w:r>
          </w:p>
          <w:p>
            <w:pPr>
              <w:rPr>
                <w:rFonts w:ascii="宋体" w:hAnsi="宋体" w:cs="宋体"/>
                <w:sz w:val="24"/>
                <w:highlight w:val="none"/>
              </w:rPr>
            </w:pPr>
            <w:r>
              <w:rPr>
                <w:rFonts w:hint="eastAsia" w:ascii="宋体" w:hAnsi="宋体" w:cs="宋体"/>
                <w:sz w:val="24"/>
                <w:highlight w:val="none"/>
              </w:rPr>
              <w:t>STEMI-3.2-2</w:t>
            </w:r>
          </w:p>
          <w:p>
            <w:pPr>
              <w:rPr>
                <w:rFonts w:ascii="宋体" w:hAnsi="宋体" w:cs="宋体"/>
                <w:sz w:val="24"/>
                <w:highlight w:val="none"/>
              </w:rPr>
            </w:pPr>
            <w:r>
              <w:rPr>
                <w:rFonts w:hint="eastAsia" w:ascii="宋体" w:hAnsi="宋体" w:cs="宋体"/>
                <w:sz w:val="24"/>
                <w:highlight w:val="none"/>
              </w:rPr>
              <w:t>分子：STEMI具有直接PCI-IA类推荐适应证的例数</w:t>
            </w:r>
          </w:p>
          <w:p>
            <w:pPr>
              <w:rPr>
                <w:rFonts w:ascii="宋体" w:hAnsi="宋体" w:cs="宋体"/>
                <w:sz w:val="24"/>
                <w:highlight w:val="none"/>
              </w:rPr>
            </w:pPr>
            <w:r>
              <w:rPr>
                <w:rFonts w:hint="eastAsia" w:ascii="宋体" w:hAnsi="宋体" w:cs="宋体"/>
                <w:sz w:val="24"/>
                <w:highlight w:val="none"/>
              </w:rPr>
              <w:t>分母：同期全部发病12h内的STEMI患者出院的例数"</w:t>
            </w:r>
          </w:p>
          <w:p>
            <w:pPr>
              <w:rPr>
                <w:rFonts w:ascii="宋体" w:hAnsi="宋体" w:cs="宋体"/>
                <w:sz w:val="24"/>
                <w:highlight w:val="none"/>
              </w:rPr>
            </w:pPr>
            <w:r>
              <w:rPr>
                <w:rFonts w:hint="eastAsia" w:ascii="宋体" w:hAnsi="宋体" w:cs="宋体"/>
                <w:sz w:val="24"/>
                <w:highlight w:val="none"/>
              </w:rPr>
              <w:t>STEMI-3.2-3</w:t>
            </w:r>
          </w:p>
          <w:p>
            <w:pPr>
              <w:rPr>
                <w:rFonts w:ascii="宋体" w:hAnsi="宋体" w:cs="宋体"/>
                <w:sz w:val="24"/>
                <w:highlight w:val="none"/>
              </w:rPr>
            </w:pPr>
            <w:r>
              <w:rPr>
                <w:rFonts w:hint="eastAsia" w:ascii="宋体" w:hAnsi="宋体" w:cs="宋体"/>
                <w:sz w:val="24"/>
                <w:highlight w:val="none"/>
              </w:rPr>
              <w:t>分子：急诊ECG确诊STEMI时间至PCI导丝通过靶病变（D2B）时间&lt;=90分钟的例数</w:t>
            </w:r>
          </w:p>
          <w:p>
            <w:pPr>
              <w:rPr>
                <w:rFonts w:ascii="宋体" w:hAnsi="宋体" w:cs="宋体"/>
                <w:sz w:val="24"/>
                <w:highlight w:val="none"/>
              </w:rPr>
            </w:pPr>
            <w:r>
              <w:rPr>
                <w:rFonts w:hint="eastAsia" w:ascii="宋体" w:hAnsi="宋体" w:cs="宋体"/>
                <w:sz w:val="24"/>
                <w:highlight w:val="none"/>
              </w:rPr>
              <w:t>分母：同期发病12h内的STEMI实施PCI的例数"</w:t>
            </w:r>
          </w:p>
          <w:p>
            <w:pPr>
              <w:rPr>
                <w:rFonts w:ascii="宋体" w:hAnsi="宋体" w:cs="宋体"/>
                <w:sz w:val="24"/>
                <w:highlight w:val="none"/>
              </w:rPr>
            </w:pPr>
            <w:r>
              <w:rPr>
                <w:rFonts w:hint="eastAsia" w:ascii="宋体" w:hAnsi="宋体" w:cs="宋体"/>
                <w:sz w:val="24"/>
                <w:highlight w:val="none"/>
              </w:rPr>
              <w:t>STEMI-3.2-4</w:t>
            </w:r>
          </w:p>
          <w:p>
            <w:pPr>
              <w:rPr>
                <w:rFonts w:ascii="宋体" w:hAnsi="宋体" w:cs="宋体"/>
                <w:sz w:val="24"/>
                <w:highlight w:val="none"/>
              </w:rPr>
            </w:pPr>
            <w:r>
              <w:rPr>
                <w:rFonts w:hint="eastAsia" w:ascii="宋体" w:hAnsi="宋体" w:cs="宋体"/>
                <w:sz w:val="24"/>
                <w:highlight w:val="none"/>
              </w:rPr>
              <w:t>分子：复杂3支或复杂左主干病变患者的STEMI例数</w:t>
            </w:r>
          </w:p>
          <w:p>
            <w:pPr>
              <w:rPr>
                <w:rFonts w:ascii="宋体" w:hAnsi="宋体" w:cs="宋体"/>
                <w:sz w:val="24"/>
                <w:highlight w:val="none"/>
              </w:rPr>
            </w:pPr>
            <w:r>
              <w:rPr>
                <w:rFonts w:hint="eastAsia" w:ascii="宋体" w:hAnsi="宋体" w:cs="宋体"/>
                <w:sz w:val="24"/>
                <w:highlight w:val="none"/>
              </w:rPr>
              <w:t>分母：同期发病12h内的STEMI实施PCI的例数"</w:t>
            </w:r>
          </w:p>
          <w:p>
            <w:pPr>
              <w:rPr>
                <w:rFonts w:ascii="宋体" w:hAnsi="宋体" w:cs="宋体"/>
                <w:sz w:val="24"/>
                <w:highlight w:val="none"/>
              </w:rPr>
            </w:pPr>
            <w:r>
              <w:rPr>
                <w:rFonts w:hint="eastAsia" w:ascii="宋体" w:hAnsi="宋体" w:cs="宋体"/>
                <w:sz w:val="24"/>
                <w:highlight w:val="none"/>
              </w:rPr>
              <w:t>STEMI-3.2-5</w:t>
            </w:r>
          </w:p>
          <w:p>
            <w:pPr>
              <w:rPr>
                <w:rFonts w:ascii="宋体" w:hAnsi="宋体" w:cs="宋体"/>
                <w:sz w:val="24"/>
                <w:highlight w:val="none"/>
              </w:rPr>
            </w:pPr>
            <w:r>
              <w:rPr>
                <w:rFonts w:hint="eastAsia" w:ascii="宋体" w:hAnsi="宋体" w:cs="宋体"/>
                <w:sz w:val="24"/>
                <w:highlight w:val="none"/>
              </w:rPr>
              <w:t>分子：复杂3支或复杂左主干病变患者由心脏团队讨论决策的STEMI例数</w:t>
            </w:r>
          </w:p>
          <w:p>
            <w:pPr>
              <w:rPr>
                <w:rFonts w:ascii="宋体" w:hAnsi="宋体" w:cs="宋体"/>
                <w:sz w:val="24"/>
                <w:highlight w:val="none"/>
              </w:rPr>
            </w:pPr>
            <w:r>
              <w:rPr>
                <w:rFonts w:hint="eastAsia" w:ascii="宋体" w:hAnsi="宋体" w:cs="宋体"/>
                <w:sz w:val="24"/>
                <w:highlight w:val="none"/>
              </w:rPr>
              <w:t>分母：复杂3支或复杂左主干病变患者的STEMI例数"</w:t>
            </w:r>
          </w:p>
          <w:p>
            <w:pPr>
              <w:rPr>
                <w:rFonts w:ascii="宋体" w:hAnsi="宋体" w:cs="宋体"/>
                <w:sz w:val="24"/>
                <w:highlight w:val="none"/>
              </w:rPr>
            </w:pPr>
            <w:r>
              <w:rPr>
                <w:rFonts w:hint="eastAsia" w:ascii="宋体" w:hAnsi="宋体" w:cs="宋体"/>
                <w:sz w:val="24"/>
                <w:highlight w:val="none"/>
              </w:rPr>
              <w:t>STEMI-3.2-7</w:t>
            </w:r>
          </w:p>
          <w:p>
            <w:pPr>
              <w:rPr>
                <w:rFonts w:ascii="宋体" w:hAnsi="宋体" w:cs="宋体"/>
                <w:sz w:val="24"/>
                <w:highlight w:val="none"/>
              </w:rPr>
            </w:pPr>
            <w:r>
              <w:rPr>
                <w:rFonts w:hint="eastAsia" w:ascii="宋体" w:hAnsi="宋体" w:cs="宋体"/>
                <w:sz w:val="24"/>
                <w:highlight w:val="none"/>
              </w:rPr>
              <w:t>分子：STEMI患者PCI治疗出现术近期发症的例数</w:t>
            </w:r>
          </w:p>
          <w:p>
            <w:pPr>
              <w:rPr>
                <w:rFonts w:ascii="宋体" w:hAnsi="宋体" w:cs="宋体"/>
                <w:sz w:val="24"/>
                <w:highlight w:val="none"/>
              </w:rPr>
            </w:pPr>
            <w:r>
              <w:rPr>
                <w:rFonts w:hint="eastAsia" w:ascii="宋体" w:hAnsi="宋体" w:cs="宋体"/>
                <w:sz w:val="24"/>
                <w:highlight w:val="none"/>
              </w:rPr>
              <w:t>分母：同期STEMI实施PCI的例数"</w:t>
            </w:r>
          </w:p>
          <w:p>
            <w:pPr>
              <w:rPr>
                <w:rFonts w:ascii="宋体" w:hAnsi="宋体" w:cs="宋体"/>
                <w:sz w:val="24"/>
                <w:highlight w:val="none"/>
              </w:rPr>
            </w:pPr>
            <w:r>
              <w:rPr>
                <w:rFonts w:hint="eastAsia" w:ascii="宋体" w:hAnsi="宋体" w:cs="宋体"/>
                <w:sz w:val="24"/>
                <w:highlight w:val="none"/>
              </w:rPr>
              <w:t>STEMI-3.2-8</w:t>
            </w:r>
          </w:p>
          <w:p>
            <w:pPr>
              <w:rPr>
                <w:rFonts w:ascii="宋体" w:hAnsi="宋体" w:cs="宋体"/>
                <w:sz w:val="24"/>
                <w:highlight w:val="none"/>
              </w:rPr>
            </w:pPr>
            <w:r>
              <w:rPr>
                <w:rFonts w:hint="eastAsia" w:ascii="宋体" w:hAnsi="宋体" w:cs="宋体"/>
                <w:sz w:val="24"/>
                <w:highlight w:val="none"/>
              </w:rPr>
              <w:t>分子：STEMI患者PCI治疗围术期抗凝治疗的例数</w:t>
            </w:r>
          </w:p>
          <w:p>
            <w:pPr>
              <w:rPr>
                <w:rFonts w:ascii="宋体" w:hAnsi="宋体" w:cs="宋体"/>
                <w:sz w:val="24"/>
                <w:highlight w:val="none"/>
              </w:rPr>
            </w:pPr>
            <w:r>
              <w:rPr>
                <w:rFonts w:hint="eastAsia" w:ascii="宋体" w:hAnsi="宋体" w:cs="宋体"/>
                <w:sz w:val="24"/>
                <w:highlight w:val="none"/>
              </w:rPr>
              <w:t>分母：同期STEMI实施PCI的例数"</w:t>
            </w:r>
          </w:p>
          <w:p>
            <w:pPr>
              <w:rPr>
                <w:rFonts w:ascii="宋体" w:hAnsi="宋体" w:cs="宋体"/>
                <w:sz w:val="24"/>
                <w:highlight w:val="none"/>
              </w:rPr>
            </w:pPr>
            <w:r>
              <w:rPr>
                <w:rFonts w:hint="eastAsia" w:ascii="宋体" w:hAnsi="宋体" w:cs="宋体"/>
                <w:sz w:val="24"/>
                <w:highlight w:val="none"/>
              </w:rPr>
              <w:t>STEMI-3.2-A</w:t>
            </w:r>
          </w:p>
          <w:p>
            <w:pPr>
              <w:rPr>
                <w:rFonts w:ascii="宋体" w:hAnsi="宋体" w:cs="宋体"/>
                <w:sz w:val="24"/>
                <w:highlight w:val="none"/>
              </w:rPr>
            </w:pPr>
            <w:r>
              <w:rPr>
                <w:rFonts w:hint="eastAsia" w:ascii="宋体" w:hAnsi="宋体" w:cs="宋体"/>
                <w:sz w:val="24"/>
                <w:highlight w:val="none"/>
              </w:rPr>
              <w:t>急诊ECG确诊STEMI时间至PCI导丝通过靶病变（D2B）时间（分钟）中位数</w:t>
            </w:r>
          </w:p>
          <w:p>
            <w:pPr>
              <w:rPr>
                <w:rFonts w:ascii="宋体" w:hAnsi="宋体" w:cs="宋体"/>
                <w:b/>
                <w:bCs/>
                <w:sz w:val="24"/>
                <w:highlight w:val="none"/>
              </w:rPr>
            </w:pPr>
            <w:r>
              <w:rPr>
                <w:rFonts w:hint="eastAsia" w:ascii="宋体" w:hAnsi="宋体" w:cs="宋体"/>
                <w:b/>
                <w:bCs/>
                <w:sz w:val="24"/>
                <w:highlight w:val="none"/>
              </w:rPr>
              <w:t>4</w:t>
            </w:r>
            <w:r>
              <w:rPr>
                <w:rFonts w:hint="eastAsia" w:ascii="宋体" w:hAnsi="宋体" w:cs="宋体"/>
                <w:b/>
                <w:bCs/>
                <w:sz w:val="24"/>
                <w:highlight w:val="none"/>
                <w:lang w:eastAsia="zh-Hans"/>
              </w:rPr>
              <w:t>、</w:t>
            </w:r>
            <w:r>
              <w:rPr>
                <w:rFonts w:hint="eastAsia" w:ascii="宋体" w:hAnsi="宋体" w:cs="宋体"/>
                <w:b/>
                <w:bCs/>
                <w:sz w:val="24"/>
                <w:highlight w:val="none"/>
              </w:rPr>
              <w:t>STEMI-4</w:t>
            </w:r>
            <w:r>
              <w:rPr>
                <w:rFonts w:hint="eastAsia" w:ascii="宋体" w:hAnsi="宋体" w:cs="宋体"/>
                <w:b/>
                <w:bCs/>
                <w:sz w:val="24"/>
                <w:highlight w:val="none"/>
              </w:rPr>
              <w:tab/>
            </w:r>
            <w:r>
              <w:rPr>
                <w:rFonts w:hint="eastAsia" w:ascii="宋体" w:hAnsi="宋体" w:cs="宋体"/>
                <w:b/>
                <w:bCs/>
                <w:sz w:val="24"/>
                <w:highlight w:val="none"/>
              </w:rPr>
              <w:t>到达医院后β受体阻滞剂使用情况</w:t>
            </w:r>
            <w:r>
              <w:rPr>
                <w:rFonts w:hint="eastAsia" w:ascii="宋体" w:hAnsi="宋体" w:cs="宋体"/>
                <w:b/>
                <w:bCs/>
                <w:sz w:val="24"/>
                <w:highlight w:val="none"/>
              </w:rPr>
              <w:tab/>
            </w:r>
          </w:p>
          <w:p>
            <w:pPr>
              <w:rPr>
                <w:rFonts w:ascii="宋体" w:hAnsi="宋体" w:cs="宋体"/>
                <w:sz w:val="24"/>
                <w:highlight w:val="none"/>
              </w:rPr>
            </w:pPr>
            <w:r>
              <w:rPr>
                <w:rFonts w:hint="eastAsia" w:ascii="宋体" w:hAnsi="宋体" w:cs="宋体"/>
                <w:sz w:val="24"/>
                <w:highlight w:val="none"/>
              </w:rPr>
              <w:t>STEMI-4-1</w:t>
            </w:r>
          </w:p>
          <w:p>
            <w:pPr>
              <w:rPr>
                <w:rFonts w:ascii="宋体" w:hAnsi="宋体" w:cs="宋体"/>
                <w:sz w:val="24"/>
                <w:highlight w:val="none"/>
              </w:rPr>
            </w:pPr>
            <w:r>
              <w:rPr>
                <w:rFonts w:hint="eastAsia" w:ascii="宋体" w:hAnsi="宋体" w:cs="宋体"/>
                <w:sz w:val="24"/>
                <w:highlight w:val="none"/>
              </w:rPr>
              <w:t>分子：入院24h内使用首剂β受体阻滞剂的STEMI例数</w:t>
            </w:r>
          </w:p>
          <w:p>
            <w:pPr>
              <w:rPr>
                <w:rFonts w:ascii="宋体" w:hAnsi="宋体" w:cs="宋体"/>
                <w:sz w:val="24"/>
                <w:highlight w:val="none"/>
              </w:rPr>
            </w:pPr>
            <w:r>
              <w:rPr>
                <w:rFonts w:hint="eastAsia" w:ascii="宋体" w:hAnsi="宋体" w:cs="宋体"/>
                <w:sz w:val="24"/>
                <w:highlight w:val="none"/>
              </w:rPr>
              <w:t>分母：同期全部STEMI患者出院的例数"</w:t>
            </w:r>
          </w:p>
          <w:p>
            <w:pPr>
              <w:rPr>
                <w:rFonts w:ascii="宋体" w:hAnsi="宋体" w:cs="宋体"/>
                <w:b/>
                <w:bCs/>
                <w:sz w:val="24"/>
                <w:highlight w:val="none"/>
              </w:rPr>
            </w:pPr>
            <w:r>
              <w:rPr>
                <w:rFonts w:hint="eastAsia" w:ascii="宋体" w:hAnsi="宋体" w:cs="宋体"/>
                <w:b/>
                <w:bCs/>
                <w:sz w:val="24"/>
                <w:highlight w:val="none"/>
              </w:rPr>
              <w:t>5</w:t>
            </w:r>
            <w:r>
              <w:rPr>
                <w:rFonts w:hint="eastAsia" w:ascii="宋体" w:hAnsi="宋体" w:cs="宋体"/>
                <w:b/>
                <w:bCs/>
                <w:sz w:val="24"/>
                <w:highlight w:val="none"/>
                <w:lang w:eastAsia="zh-Hans"/>
              </w:rPr>
              <w:t>、</w:t>
            </w:r>
            <w:r>
              <w:rPr>
                <w:rFonts w:hint="eastAsia" w:ascii="宋体" w:hAnsi="宋体" w:cs="宋体"/>
                <w:b/>
                <w:bCs/>
                <w:sz w:val="24"/>
                <w:highlight w:val="none"/>
              </w:rPr>
              <w:t>STEMI-5</w:t>
            </w:r>
            <w:r>
              <w:rPr>
                <w:rFonts w:hint="eastAsia" w:ascii="宋体" w:hAnsi="宋体" w:cs="宋体"/>
                <w:b/>
                <w:bCs/>
                <w:sz w:val="24"/>
                <w:highlight w:val="none"/>
              </w:rPr>
              <w:tab/>
            </w:r>
            <w:r>
              <w:rPr>
                <w:rFonts w:hint="eastAsia" w:ascii="宋体" w:hAnsi="宋体" w:cs="宋体"/>
                <w:b/>
                <w:bCs/>
                <w:sz w:val="24"/>
                <w:highlight w:val="none"/>
              </w:rPr>
              <w:t>住院期间受体阻滞剂、双联抗血小板药物、血管紧张素转化酶抑制剂（ACEI）或血管紧张素受体阻断剂（ARB）、他汀类药物使用情况</w:t>
            </w:r>
          </w:p>
          <w:p>
            <w:pPr>
              <w:rPr>
                <w:rFonts w:ascii="宋体" w:hAnsi="宋体" w:cs="宋体"/>
                <w:sz w:val="24"/>
                <w:highlight w:val="none"/>
              </w:rPr>
            </w:pPr>
            <w:r>
              <w:rPr>
                <w:rFonts w:hint="eastAsia" w:ascii="宋体" w:hAnsi="宋体" w:cs="宋体"/>
                <w:sz w:val="24"/>
                <w:highlight w:val="none"/>
              </w:rPr>
              <w:t>STEMI-5-1</w:t>
            </w:r>
          </w:p>
          <w:p>
            <w:pPr>
              <w:rPr>
                <w:rFonts w:ascii="宋体" w:hAnsi="宋体" w:cs="宋体"/>
                <w:sz w:val="24"/>
                <w:highlight w:val="none"/>
              </w:rPr>
            </w:pPr>
            <w:r>
              <w:rPr>
                <w:rFonts w:hint="eastAsia" w:ascii="宋体" w:hAnsi="宋体" w:cs="宋体"/>
                <w:sz w:val="24"/>
                <w:highlight w:val="none"/>
              </w:rPr>
              <w:t>分子：住院期间使用双联抗血小板药的STEMI例数</w:t>
            </w:r>
          </w:p>
          <w:p>
            <w:pPr>
              <w:rPr>
                <w:rFonts w:ascii="宋体" w:hAnsi="宋体" w:cs="宋体"/>
                <w:sz w:val="24"/>
                <w:highlight w:val="none"/>
              </w:rPr>
            </w:pPr>
            <w:r>
              <w:rPr>
                <w:rFonts w:hint="eastAsia" w:ascii="宋体" w:hAnsi="宋体" w:cs="宋体"/>
                <w:sz w:val="24"/>
                <w:highlight w:val="none"/>
              </w:rPr>
              <w:t>分母：同期全部STEMI患者出院的例数（无使用阿司匹林禁忌证）"</w:t>
            </w:r>
          </w:p>
          <w:p>
            <w:pPr>
              <w:rPr>
                <w:rFonts w:ascii="宋体" w:hAnsi="宋体" w:cs="宋体"/>
                <w:sz w:val="24"/>
                <w:highlight w:val="none"/>
              </w:rPr>
            </w:pPr>
            <w:r>
              <w:rPr>
                <w:rFonts w:hint="eastAsia" w:ascii="宋体" w:hAnsi="宋体" w:cs="宋体"/>
                <w:sz w:val="24"/>
                <w:highlight w:val="none"/>
              </w:rPr>
              <w:t>STEMI-5-2</w:t>
            </w:r>
          </w:p>
          <w:p>
            <w:pPr>
              <w:rPr>
                <w:rFonts w:ascii="宋体" w:hAnsi="宋体" w:cs="宋体"/>
                <w:sz w:val="24"/>
                <w:highlight w:val="none"/>
              </w:rPr>
            </w:pPr>
            <w:r>
              <w:rPr>
                <w:rFonts w:hint="eastAsia" w:ascii="宋体" w:hAnsi="宋体" w:cs="宋体"/>
                <w:sz w:val="24"/>
                <w:highlight w:val="none"/>
              </w:rPr>
              <w:t>分子：住院期间使用β阻滞剂的STEMI例数</w:t>
            </w:r>
          </w:p>
          <w:p>
            <w:pPr>
              <w:rPr>
                <w:rFonts w:ascii="宋体" w:hAnsi="宋体" w:cs="宋体"/>
                <w:sz w:val="24"/>
                <w:highlight w:val="none"/>
              </w:rPr>
            </w:pPr>
            <w:r>
              <w:rPr>
                <w:rFonts w:hint="eastAsia" w:ascii="宋体" w:hAnsi="宋体" w:cs="宋体"/>
                <w:sz w:val="24"/>
                <w:highlight w:val="none"/>
              </w:rPr>
              <w:t>分母：同期全部STEMI患者出院的例数（无使用β阻滞剂禁忌证）"</w:t>
            </w:r>
          </w:p>
          <w:p>
            <w:pPr>
              <w:rPr>
                <w:rFonts w:ascii="宋体" w:hAnsi="宋体" w:cs="宋体"/>
                <w:sz w:val="24"/>
                <w:highlight w:val="none"/>
              </w:rPr>
            </w:pPr>
            <w:r>
              <w:rPr>
                <w:rFonts w:hint="eastAsia" w:ascii="宋体" w:hAnsi="宋体" w:cs="宋体"/>
                <w:sz w:val="24"/>
                <w:highlight w:val="none"/>
              </w:rPr>
              <w:t>STEMI-5-3</w:t>
            </w:r>
          </w:p>
          <w:p>
            <w:pPr>
              <w:rPr>
                <w:rFonts w:ascii="宋体" w:hAnsi="宋体" w:cs="宋体"/>
                <w:sz w:val="24"/>
                <w:highlight w:val="none"/>
              </w:rPr>
            </w:pPr>
            <w:r>
              <w:rPr>
                <w:rFonts w:hint="eastAsia" w:ascii="宋体" w:hAnsi="宋体" w:cs="宋体"/>
                <w:sz w:val="24"/>
                <w:highlight w:val="none"/>
              </w:rPr>
              <w:t>分子：住院期间使用ACEI/ARB的STEMI例数</w:t>
            </w:r>
          </w:p>
          <w:p>
            <w:pPr>
              <w:rPr>
                <w:rFonts w:ascii="宋体" w:hAnsi="宋体" w:cs="宋体"/>
                <w:sz w:val="24"/>
                <w:highlight w:val="none"/>
              </w:rPr>
            </w:pPr>
            <w:r>
              <w:rPr>
                <w:rFonts w:hint="eastAsia" w:ascii="宋体" w:hAnsi="宋体" w:cs="宋体"/>
                <w:sz w:val="24"/>
                <w:highlight w:val="none"/>
              </w:rPr>
              <w:t>分母：同期全部STEMI患者出院的例数（无使用ACEI/ARB禁忌证）"</w:t>
            </w:r>
          </w:p>
          <w:p>
            <w:pPr>
              <w:rPr>
                <w:rFonts w:ascii="宋体" w:hAnsi="宋体" w:cs="宋体"/>
                <w:sz w:val="24"/>
                <w:highlight w:val="none"/>
              </w:rPr>
            </w:pPr>
            <w:r>
              <w:rPr>
                <w:rFonts w:hint="eastAsia" w:ascii="宋体" w:hAnsi="宋体" w:cs="宋体"/>
                <w:sz w:val="24"/>
                <w:highlight w:val="none"/>
              </w:rPr>
              <w:t>STEMI-5-4</w:t>
            </w:r>
          </w:p>
          <w:p>
            <w:pPr>
              <w:rPr>
                <w:rFonts w:ascii="宋体" w:hAnsi="宋体" w:cs="宋体"/>
                <w:sz w:val="24"/>
                <w:highlight w:val="none"/>
              </w:rPr>
            </w:pPr>
            <w:r>
              <w:rPr>
                <w:rFonts w:hint="eastAsia" w:ascii="宋体" w:hAnsi="宋体" w:cs="宋体"/>
                <w:sz w:val="24"/>
                <w:highlight w:val="none"/>
              </w:rPr>
              <w:t>分子：住院期间使用他汀类药物的STEMI例数</w:t>
            </w:r>
          </w:p>
          <w:p>
            <w:pPr>
              <w:rPr>
                <w:rFonts w:ascii="宋体" w:hAnsi="宋体" w:cs="宋体"/>
                <w:sz w:val="24"/>
                <w:highlight w:val="none"/>
              </w:rPr>
            </w:pPr>
            <w:r>
              <w:rPr>
                <w:rFonts w:hint="eastAsia" w:ascii="宋体" w:hAnsi="宋体" w:cs="宋体"/>
                <w:sz w:val="24"/>
                <w:highlight w:val="none"/>
              </w:rPr>
              <w:t>分母：同期全部STEMI患者出院的例数（无使用他汀类药物禁忌证）"</w:t>
            </w:r>
          </w:p>
          <w:p>
            <w:pPr>
              <w:rPr>
                <w:rFonts w:ascii="宋体" w:hAnsi="宋体" w:cs="宋体"/>
                <w:b/>
                <w:bCs/>
                <w:sz w:val="24"/>
                <w:highlight w:val="none"/>
              </w:rPr>
            </w:pPr>
            <w:r>
              <w:rPr>
                <w:rFonts w:hint="eastAsia" w:ascii="宋体" w:hAnsi="宋体" w:cs="宋体"/>
                <w:b/>
                <w:bCs/>
                <w:sz w:val="24"/>
                <w:highlight w:val="none"/>
              </w:rPr>
              <w:t>6</w:t>
            </w:r>
            <w:r>
              <w:rPr>
                <w:rFonts w:hint="eastAsia" w:ascii="宋体" w:hAnsi="宋体" w:cs="宋体"/>
                <w:b/>
                <w:bCs/>
                <w:sz w:val="24"/>
                <w:highlight w:val="none"/>
                <w:lang w:eastAsia="zh-Hans"/>
              </w:rPr>
              <w:t>、</w:t>
            </w:r>
            <w:r>
              <w:rPr>
                <w:rFonts w:hint="eastAsia" w:ascii="宋体" w:hAnsi="宋体" w:cs="宋体"/>
                <w:b/>
                <w:bCs/>
                <w:sz w:val="24"/>
                <w:highlight w:val="none"/>
              </w:rPr>
              <w:t>STEMI-6</w:t>
            </w:r>
            <w:r>
              <w:rPr>
                <w:rFonts w:hint="eastAsia" w:ascii="宋体" w:hAnsi="宋体" w:cs="宋体"/>
                <w:b/>
                <w:bCs/>
                <w:sz w:val="24"/>
                <w:highlight w:val="none"/>
              </w:rPr>
              <w:tab/>
            </w:r>
            <w:r>
              <w:rPr>
                <w:rFonts w:hint="eastAsia" w:ascii="宋体" w:hAnsi="宋体" w:cs="宋体"/>
                <w:b/>
                <w:bCs/>
                <w:sz w:val="24"/>
                <w:highlight w:val="none"/>
              </w:rPr>
              <w:t>出院时β受体阻滞剂、双联抗血小板药物、ACEI或ARB、他汀类药物、醛固酮受体拮抗剂使用情况</w:t>
            </w:r>
          </w:p>
          <w:p>
            <w:pPr>
              <w:rPr>
                <w:rFonts w:ascii="宋体" w:hAnsi="宋体" w:cs="宋体"/>
                <w:sz w:val="24"/>
                <w:highlight w:val="none"/>
              </w:rPr>
            </w:pPr>
            <w:r>
              <w:rPr>
                <w:rFonts w:hint="eastAsia" w:ascii="宋体" w:hAnsi="宋体" w:cs="宋体"/>
                <w:sz w:val="24"/>
                <w:highlight w:val="none"/>
              </w:rPr>
              <w:tab/>
            </w:r>
          </w:p>
          <w:p>
            <w:pPr>
              <w:rPr>
                <w:rFonts w:ascii="宋体" w:hAnsi="宋体" w:cs="宋体"/>
                <w:sz w:val="24"/>
                <w:highlight w:val="none"/>
              </w:rPr>
            </w:pPr>
            <w:r>
              <w:rPr>
                <w:rFonts w:hint="eastAsia" w:ascii="宋体" w:hAnsi="宋体" w:cs="宋体"/>
                <w:sz w:val="24"/>
                <w:highlight w:val="none"/>
              </w:rPr>
              <w:t>STEMI-6-1</w:t>
            </w:r>
          </w:p>
          <w:p>
            <w:pPr>
              <w:rPr>
                <w:rFonts w:ascii="宋体" w:hAnsi="宋体" w:cs="宋体"/>
                <w:sz w:val="24"/>
                <w:highlight w:val="none"/>
              </w:rPr>
            </w:pPr>
            <w:r>
              <w:rPr>
                <w:rFonts w:hint="eastAsia" w:ascii="宋体" w:hAnsi="宋体" w:cs="宋体"/>
                <w:sz w:val="24"/>
                <w:highlight w:val="none"/>
              </w:rPr>
              <w:t>分子：出院时带药继续使用双联抗血小板药物的STEMI例数</w:t>
            </w:r>
          </w:p>
          <w:p>
            <w:pPr>
              <w:rPr>
                <w:rFonts w:ascii="宋体" w:hAnsi="宋体" w:cs="宋体"/>
                <w:sz w:val="24"/>
                <w:highlight w:val="none"/>
              </w:rPr>
            </w:pPr>
            <w:r>
              <w:rPr>
                <w:rFonts w:hint="eastAsia" w:ascii="宋体" w:hAnsi="宋体" w:cs="宋体"/>
                <w:sz w:val="24"/>
                <w:highlight w:val="none"/>
              </w:rPr>
              <w:t>分母：同期全部STEMI出院例数（无使用阿司匹林禁忌证）"</w:t>
            </w:r>
          </w:p>
          <w:p>
            <w:pPr>
              <w:rPr>
                <w:rFonts w:ascii="宋体" w:hAnsi="宋体" w:cs="宋体"/>
                <w:sz w:val="24"/>
                <w:highlight w:val="none"/>
              </w:rPr>
            </w:pPr>
            <w:r>
              <w:rPr>
                <w:rFonts w:hint="eastAsia" w:ascii="宋体" w:hAnsi="宋体" w:cs="宋体"/>
                <w:sz w:val="24"/>
                <w:highlight w:val="none"/>
              </w:rPr>
              <w:t>STEMI-6-2</w:t>
            </w:r>
          </w:p>
          <w:p>
            <w:pPr>
              <w:rPr>
                <w:rFonts w:ascii="宋体" w:hAnsi="宋体" w:cs="宋体"/>
                <w:sz w:val="24"/>
                <w:highlight w:val="none"/>
              </w:rPr>
            </w:pPr>
            <w:r>
              <w:rPr>
                <w:rFonts w:hint="eastAsia" w:ascii="宋体" w:hAnsi="宋体" w:cs="宋体"/>
                <w:sz w:val="24"/>
                <w:highlight w:val="none"/>
              </w:rPr>
              <w:t>分子：出院时带药继续使用β阻滞剂的STEMI例数</w:t>
            </w:r>
          </w:p>
          <w:p>
            <w:pPr>
              <w:rPr>
                <w:rFonts w:ascii="宋体" w:hAnsi="宋体" w:cs="宋体"/>
                <w:sz w:val="24"/>
                <w:highlight w:val="none"/>
              </w:rPr>
            </w:pPr>
            <w:r>
              <w:rPr>
                <w:rFonts w:hint="eastAsia" w:ascii="宋体" w:hAnsi="宋体" w:cs="宋体"/>
                <w:sz w:val="24"/>
                <w:highlight w:val="none"/>
              </w:rPr>
              <w:t>分母：同期全部STEMI出院例数（无使用β阻滞剂禁忌证）"</w:t>
            </w:r>
          </w:p>
          <w:p>
            <w:pPr>
              <w:rPr>
                <w:rFonts w:ascii="宋体" w:hAnsi="宋体" w:cs="宋体"/>
                <w:sz w:val="24"/>
                <w:highlight w:val="none"/>
              </w:rPr>
            </w:pPr>
            <w:r>
              <w:rPr>
                <w:rFonts w:hint="eastAsia" w:ascii="宋体" w:hAnsi="宋体" w:cs="宋体"/>
                <w:sz w:val="24"/>
                <w:highlight w:val="none"/>
              </w:rPr>
              <w:t>STEMI-6-3</w:t>
            </w:r>
          </w:p>
          <w:p>
            <w:pPr>
              <w:rPr>
                <w:rFonts w:ascii="宋体" w:hAnsi="宋体" w:cs="宋体"/>
                <w:sz w:val="24"/>
                <w:highlight w:val="none"/>
              </w:rPr>
            </w:pPr>
            <w:r>
              <w:rPr>
                <w:rFonts w:hint="eastAsia" w:ascii="宋体" w:hAnsi="宋体" w:cs="宋体"/>
                <w:sz w:val="24"/>
                <w:highlight w:val="none"/>
              </w:rPr>
              <w:t>分子：出院时带药继续使用ACEI/ARB的STEMI例数</w:t>
            </w:r>
          </w:p>
          <w:p>
            <w:pPr>
              <w:rPr>
                <w:rFonts w:ascii="宋体" w:hAnsi="宋体" w:cs="宋体"/>
                <w:sz w:val="24"/>
                <w:highlight w:val="none"/>
              </w:rPr>
            </w:pPr>
            <w:r>
              <w:rPr>
                <w:rFonts w:hint="eastAsia" w:ascii="宋体" w:hAnsi="宋体" w:cs="宋体"/>
                <w:sz w:val="24"/>
                <w:highlight w:val="none"/>
              </w:rPr>
              <w:t>分母：同期全部STEMI出院例数（无使用ACEI/ARB禁忌证）"</w:t>
            </w:r>
          </w:p>
          <w:p>
            <w:pPr>
              <w:rPr>
                <w:rFonts w:ascii="宋体" w:hAnsi="宋体" w:cs="宋体"/>
                <w:sz w:val="24"/>
                <w:highlight w:val="none"/>
              </w:rPr>
            </w:pPr>
            <w:r>
              <w:rPr>
                <w:rFonts w:hint="eastAsia" w:ascii="宋体" w:hAnsi="宋体" w:cs="宋体"/>
                <w:sz w:val="24"/>
                <w:highlight w:val="none"/>
              </w:rPr>
              <w:t>STEMI-6-4</w:t>
            </w:r>
          </w:p>
          <w:p>
            <w:pPr>
              <w:rPr>
                <w:rFonts w:ascii="宋体" w:hAnsi="宋体" w:cs="宋体"/>
                <w:sz w:val="24"/>
                <w:highlight w:val="none"/>
              </w:rPr>
            </w:pPr>
            <w:r>
              <w:rPr>
                <w:rFonts w:hint="eastAsia" w:ascii="宋体" w:hAnsi="宋体" w:cs="宋体"/>
                <w:sz w:val="24"/>
                <w:highlight w:val="none"/>
              </w:rPr>
              <w:t>分子：出院时带药继续使用他汀类药物的STEMI例数</w:t>
            </w:r>
          </w:p>
          <w:p>
            <w:pPr>
              <w:rPr>
                <w:rFonts w:ascii="宋体" w:hAnsi="宋体" w:cs="宋体"/>
                <w:sz w:val="24"/>
                <w:highlight w:val="none"/>
              </w:rPr>
            </w:pPr>
            <w:r>
              <w:rPr>
                <w:rFonts w:hint="eastAsia" w:ascii="宋体" w:hAnsi="宋体" w:cs="宋体"/>
                <w:sz w:val="24"/>
                <w:highlight w:val="none"/>
              </w:rPr>
              <w:t>分母：同期全部STEMI出院例数（无使用他汀类药物禁忌证）"</w:t>
            </w:r>
          </w:p>
          <w:p>
            <w:pPr>
              <w:rPr>
                <w:rFonts w:ascii="宋体" w:hAnsi="宋体" w:cs="宋体"/>
                <w:sz w:val="24"/>
                <w:highlight w:val="none"/>
              </w:rPr>
            </w:pPr>
            <w:r>
              <w:rPr>
                <w:rFonts w:hint="eastAsia" w:ascii="宋体" w:hAnsi="宋体" w:cs="宋体"/>
                <w:sz w:val="24"/>
                <w:highlight w:val="none"/>
              </w:rPr>
              <w:t>STEMI-6-5</w:t>
            </w:r>
          </w:p>
          <w:p>
            <w:pPr>
              <w:rPr>
                <w:rFonts w:ascii="宋体" w:hAnsi="宋体" w:cs="宋体"/>
                <w:sz w:val="24"/>
                <w:highlight w:val="none"/>
              </w:rPr>
            </w:pPr>
            <w:r>
              <w:rPr>
                <w:rFonts w:hint="eastAsia" w:ascii="宋体" w:hAnsi="宋体" w:cs="宋体"/>
                <w:sz w:val="24"/>
                <w:highlight w:val="none"/>
              </w:rPr>
              <w:t>分子：出院时带药继续使用醛固酮类药物的STEMI例数</w:t>
            </w:r>
          </w:p>
          <w:p>
            <w:pPr>
              <w:rPr>
                <w:rFonts w:ascii="宋体" w:hAnsi="宋体" w:cs="宋体"/>
                <w:sz w:val="24"/>
                <w:highlight w:val="none"/>
              </w:rPr>
            </w:pPr>
            <w:r>
              <w:rPr>
                <w:rFonts w:hint="eastAsia" w:ascii="宋体" w:hAnsi="宋体" w:cs="宋体"/>
                <w:sz w:val="24"/>
                <w:highlight w:val="none"/>
              </w:rPr>
              <w:t>分母：同期全部STEMI出院例数（无使用醛固酮类药物忌症）"</w:t>
            </w:r>
          </w:p>
          <w:p>
            <w:pPr>
              <w:rPr>
                <w:rFonts w:ascii="宋体" w:hAnsi="宋体" w:cs="宋体"/>
                <w:sz w:val="24"/>
                <w:highlight w:val="none"/>
              </w:rPr>
            </w:pPr>
            <w:r>
              <w:rPr>
                <w:rFonts w:hint="eastAsia" w:ascii="宋体" w:hAnsi="宋体" w:cs="宋体"/>
                <w:b/>
                <w:bCs/>
                <w:sz w:val="24"/>
                <w:highlight w:val="none"/>
              </w:rPr>
              <w:t>7</w:t>
            </w:r>
            <w:r>
              <w:rPr>
                <w:rFonts w:hint="eastAsia" w:ascii="宋体" w:hAnsi="宋体" w:cs="宋体"/>
                <w:b/>
                <w:bCs/>
                <w:sz w:val="24"/>
                <w:highlight w:val="none"/>
                <w:lang w:eastAsia="zh-Hans"/>
              </w:rPr>
              <w:t>、</w:t>
            </w:r>
            <w:r>
              <w:rPr>
                <w:rFonts w:hint="eastAsia" w:ascii="宋体" w:hAnsi="宋体" w:cs="宋体"/>
                <w:b/>
                <w:bCs/>
                <w:sz w:val="24"/>
                <w:highlight w:val="none"/>
              </w:rPr>
              <w:t>STEMI-7</w:t>
            </w:r>
            <w:r>
              <w:rPr>
                <w:rFonts w:hint="eastAsia" w:ascii="宋体" w:hAnsi="宋体" w:cs="宋体"/>
                <w:b/>
                <w:bCs/>
                <w:sz w:val="24"/>
                <w:highlight w:val="none"/>
              </w:rPr>
              <w:tab/>
            </w:r>
            <w:r>
              <w:rPr>
                <w:rFonts w:hint="eastAsia" w:ascii="宋体" w:hAnsi="宋体" w:cs="宋体"/>
                <w:b/>
                <w:bCs/>
                <w:sz w:val="24"/>
                <w:highlight w:val="none"/>
              </w:rPr>
              <w:t>血脂评价实施情况</w:t>
            </w:r>
            <w:r>
              <w:rPr>
                <w:rFonts w:hint="eastAsia" w:ascii="宋体" w:hAnsi="宋体" w:cs="宋体"/>
                <w:sz w:val="24"/>
                <w:highlight w:val="none"/>
              </w:rPr>
              <w:tab/>
            </w:r>
          </w:p>
          <w:p>
            <w:pPr>
              <w:rPr>
                <w:rFonts w:ascii="宋体" w:hAnsi="宋体" w:cs="宋体"/>
                <w:sz w:val="24"/>
                <w:highlight w:val="none"/>
              </w:rPr>
            </w:pPr>
            <w:r>
              <w:rPr>
                <w:rFonts w:hint="eastAsia" w:ascii="宋体" w:hAnsi="宋体" w:cs="宋体"/>
                <w:sz w:val="24"/>
                <w:highlight w:val="none"/>
              </w:rPr>
              <w:t>STEMI-7-1</w:t>
            </w:r>
          </w:p>
          <w:p>
            <w:pPr>
              <w:rPr>
                <w:rFonts w:ascii="宋体" w:hAnsi="宋体" w:cs="宋体"/>
                <w:sz w:val="24"/>
                <w:highlight w:val="none"/>
              </w:rPr>
            </w:pPr>
            <w:r>
              <w:rPr>
                <w:rFonts w:hint="eastAsia" w:ascii="宋体" w:hAnsi="宋体" w:cs="宋体"/>
                <w:sz w:val="24"/>
                <w:highlight w:val="none"/>
              </w:rPr>
              <w:t>分子：住院期间进行血脂评价（LDL）的STEMI例数</w:t>
            </w:r>
          </w:p>
          <w:p>
            <w:pPr>
              <w:rPr>
                <w:rFonts w:ascii="宋体" w:hAnsi="宋体" w:cs="宋体"/>
                <w:sz w:val="24"/>
                <w:highlight w:val="none"/>
              </w:rPr>
            </w:pPr>
            <w:r>
              <w:rPr>
                <w:rFonts w:hint="eastAsia" w:ascii="宋体" w:hAnsi="宋体" w:cs="宋体"/>
                <w:sz w:val="24"/>
                <w:highlight w:val="none"/>
              </w:rPr>
              <w:t>分母：同期全部STEMI患者出院的例数"</w:t>
            </w:r>
          </w:p>
          <w:p>
            <w:pPr>
              <w:rPr>
                <w:rFonts w:ascii="宋体" w:hAnsi="宋体" w:cs="宋体"/>
                <w:sz w:val="24"/>
                <w:highlight w:val="none"/>
              </w:rPr>
            </w:pPr>
            <w:r>
              <w:rPr>
                <w:rFonts w:hint="eastAsia" w:ascii="宋体" w:hAnsi="宋体" w:cs="宋体"/>
                <w:sz w:val="24"/>
                <w:highlight w:val="none"/>
              </w:rPr>
              <w:t>STEMI-7-2</w:t>
            </w:r>
          </w:p>
          <w:p>
            <w:pPr>
              <w:rPr>
                <w:rFonts w:ascii="宋体" w:hAnsi="宋体" w:cs="宋体"/>
                <w:sz w:val="24"/>
                <w:highlight w:val="none"/>
              </w:rPr>
            </w:pPr>
            <w:r>
              <w:rPr>
                <w:rFonts w:hint="eastAsia" w:ascii="宋体" w:hAnsi="宋体" w:cs="宋体"/>
                <w:sz w:val="24"/>
                <w:highlight w:val="none"/>
              </w:rPr>
              <w:t>分子：住院期间使用他汀类药物治疗的STEMI例数</w:t>
            </w:r>
          </w:p>
          <w:p>
            <w:pPr>
              <w:rPr>
                <w:rFonts w:ascii="宋体" w:hAnsi="宋体" w:cs="宋体"/>
                <w:sz w:val="24"/>
                <w:highlight w:val="none"/>
              </w:rPr>
            </w:pPr>
            <w:r>
              <w:rPr>
                <w:rFonts w:hint="eastAsia" w:ascii="宋体" w:hAnsi="宋体" w:cs="宋体"/>
                <w:sz w:val="24"/>
                <w:highlight w:val="none"/>
              </w:rPr>
              <w:t>分母：同期全部STEMI患者出院的例数"</w:t>
            </w:r>
          </w:p>
          <w:p>
            <w:pPr>
              <w:rPr>
                <w:rFonts w:ascii="宋体" w:hAnsi="宋体" w:cs="宋体"/>
                <w:sz w:val="24"/>
                <w:highlight w:val="none"/>
              </w:rPr>
            </w:pPr>
            <w:r>
              <w:rPr>
                <w:rFonts w:hint="eastAsia" w:ascii="宋体" w:hAnsi="宋体" w:cs="宋体"/>
                <w:b/>
                <w:bCs/>
                <w:sz w:val="24"/>
                <w:highlight w:val="none"/>
              </w:rPr>
              <w:t>8</w:t>
            </w:r>
            <w:r>
              <w:rPr>
                <w:rFonts w:hint="eastAsia" w:ascii="宋体" w:hAnsi="宋体" w:cs="宋体"/>
                <w:b/>
                <w:bCs/>
                <w:sz w:val="24"/>
                <w:highlight w:val="none"/>
                <w:lang w:eastAsia="zh-Hans"/>
              </w:rPr>
              <w:t>、</w:t>
            </w:r>
            <w:r>
              <w:rPr>
                <w:rFonts w:hint="eastAsia" w:ascii="宋体" w:hAnsi="宋体" w:cs="宋体"/>
                <w:b/>
                <w:bCs/>
                <w:sz w:val="24"/>
                <w:highlight w:val="none"/>
              </w:rPr>
              <w:t>STEMI-8</w:t>
            </w:r>
            <w:r>
              <w:rPr>
                <w:rFonts w:hint="eastAsia" w:ascii="宋体" w:hAnsi="宋体" w:cs="宋体"/>
                <w:b/>
                <w:bCs/>
                <w:sz w:val="24"/>
                <w:highlight w:val="none"/>
              </w:rPr>
              <w:tab/>
            </w:r>
            <w:r>
              <w:rPr>
                <w:rFonts w:hint="eastAsia" w:ascii="宋体" w:hAnsi="宋体" w:cs="宋体"/>
                <w:b/>
                <w:bCs/>
                <w:sz w:val="24"/>
                <w:highlight w:val="none"/>
              </w:rPr>
              <w:t>住院期间为患者提供健康教育与出院时提供教育告知五要素情况</w:t>
            </w:r>
            <w:r>
              <w:rPr>
                <w:rFonts w:hint="eastAsia" w:ascii="宋体" w:hAnsi="宋体" w:cs="宋体"/>
                <w:sz w:val="24"/>
                <w:highlight w:val="none"/>
              </w:rPr>
              <w:tab/>
            </w:r>
          </w:p>
          <w:p>
            <w:pPr>
              <w:rPr>
                <w:rFonts w:ascii="宋体" w:hAnsi="宋体" w:cs="宋体"/>
                <w:sz w:val="24"/>
                <w:highlight w:val="none"/>
              </w:rPr>
            </w:pPr>
            <w:r>
              <w:rPr>
                <w:rFonts w:hint="eastAsia" w:ascii="宋体" w:hAnsi="宋体" w:cs="宋体"/>
                <w:sz w:val="24"/>
                <w:highlight w:val="none"/>
              </w:rPr>
              <w:t>STEMI-8.1 住院期间急性期康复和出院后稳定期的心脏康复</w:t>
            </w:r>
            <w:r>
              <w:rPr>
                <w:rFonts w:hint="eastAsia" w:ascii="宋体" w:hAnsi="宋体" w:cs="宋体"/>
                <w:sz w:val="24"/>
                <w:highlight w:val="none"/>
              </w:rPr>
              <w:tab/>
            </w:r>
          </w:p>
          <w:p>
            <w:pPr>
              <w:rPr>
                <w:rFonts w:ascii="宋体" w:hAnsi="宋体" w:cs="宋体"/>
                <w:sz w:val="24"/>
                <w:highlight w:val="none"/>
              </w:rPr>
            </w:pPr>
            <w:r>
              <w:rPr>
                <w:rFonts w:hint="eastAsia" w:ascii="宋体" w:hAnsi="宋体" w:cs="宋体"/>
                <w:sz w:val="24"/>
                <w:highlight w:val="none"/>
              </w:rPr>
              <w:t>STEMI-8.1-1</w:t>
            </w:r>
          </w:p>
          <w:p>
            <w:pPr>
              <w:rPr>
                <w:rFonts w:ascii="宋体" w:hAnsi="宋体" w:cs="宋体"/>
                <w:sz w:val="24"/>
                <w:highlight w:val="none"/>
              </w:rPr>
            </w:pPr>
            <w:r>
              <w:rPr>
                <w:rFonts w:hint="eastAsia" w:ascii="宋体" w:hAnsi="宋体" w:cs="宋体"/>
                <w:sz w:val="24"/>
                <w:highlight w:val="none"/>
              </w:rPr>
              <w:t>分子：住院期间急性期实施康复的信息的STEMI例数</w:t>
            </w:r>
          </w:p>
          <w:p>
            <w:pPr>
              <w:rPr>
                <w:rFonts w:ascii="宋体" w:hAnsi="宋体" w:cs="宋体"/>
                <w:sz w:val="24"/>
                <w:highlight w:val="none"/>
              </w:rPr>
            </w:pPr>
            <w:r>
              <w:rPr>
                <w:rFonts w:hint="eastAsia" w:ascii="宋体" w:hAnsi="宋体" w:cs="宋体"/>
                <w:sz w:val="24"/>
                <w:highlight w:val="none"/>
              </w:rPr>
              <w:t>分母：同期全部STEMI患者出院的例数"</w:t>
            </w:r>
          </w:p>
          <w:p>
            <w:pPr>
              <w:rPr>
                <w:rFonts w:ascii="宋体" w:hAnsi="宋体" w:cs="宋体"/>
                <w:sz w:val="24"/>
                <w:highlight w:val="none"/>
              </w:rPr>
            </w:pPr>
            <w:r>
              <w:rPr>
                <w:rFonts w:hint="eastAsia" w:ascii="宋体" w:hAnsi="宋体" w:cs="宋体"/>
                <w:sz w:val="24"/>
                <w:highlight w:val="none"/>
              </w:rPr>
              <w:t>STEMI-8.1-2</w:t>
            </w:r>
          </w:p>
          <w:p>
            <w:pPr>
              <w:rPr>
                <w:rFonts w:ascii="宋体" w:hAnsi="宋体" w:cs="宋体"/>
                <w:sz w:val="24"/>
                <w:highlight w:val="none"/>
              </w:rPr>
            </w:pPr>
            <w:r>
              <w:rPr>
                <w:rFonts w:hint="eastAsia" w:ascii="宋体" w:hAnsi="宋体" w:cs="宋体"/>
                <w:sz w:val="24"/>
                <w:highlight w:val="none"/>
              </w:rPr>
              <w:t>分子：出院后告知稳定期实施心脏康复治疗的STEMI例数</w:t>
            </w:r>
          </w:p>
          <w:p>
            <w:pPr>
              <w:rPr>
                <w:rFonts w:ascii="宋体" w:hAnsi="宋体" w:cs="宋体"/>
                <w:sz w:val="24"/>
                <w:highlight w:val="none"/>
              </w:rPr>
            </w:pPr>
            <w:r>
              <w:rPr>
                <w:rFonts w:hint="eastAsia" w:ascii="宋体" w:hAnsi="宋体" w:cs="宋体"/>
                <w:sz w:val="24"/>
                <w:highlight w:val="none"/>
              </w:rPr>
              <w:t>分母：同期全部STEMI患者出院的例数"</w:t>
            </w:r>
          </w:p>
          <w:p>
            <w:pPr>
              <w:rPr>
                <w:rFonts w:ascii="宋体" w:hAnsi="宋体" w:cs="宋体"/>
                <w:sz w:val="24"/>
                <w:highlight w:val="none"/>
              </w:rPr>
            </w:pPr>
            <w:r>
              <w:rPr>
                <w:rFonts w:hint="eastAsia" w:ascii="宋体" w:hAnsi="宋体" w:cs="宋体"/>
                <w:sz w:val="24"/>
                <w:highlight w:val="none"/>
              </w:rPr>
              <w:t>STEMI-8.2</w:t>
            </w:r>
          </w:p>
          <w:p>
            <w:pPr>
              <w:rPr>
                <w:rFonts w:ascii="宋体" w:hAnsi="宋体" w:cs="宋体"/>
                <w:sz w:val="24"/>
                <w:highlight w:val="none"/>
              </w:rPr>
            </w:pPr>
            <w:r>
              <w:rPr>
                <w:rFonts w:hint="eastAsia" w:ascii="宋体" w:hAnsi="宋体" w:cs="宋体"/>
                <w:sz w:val="24"/>
                <w:highlight w:val="none"/>
              </w:rPr>
              <w:t>控制危险因素与戒烟</w:t>
            </w:r>
            <w:r>
              <w:rPr>
                <w:rFonts w:hint="eastAsia" w:ascii="宋体" w:hAnsi="宋体" w:cs="宋体"/>
                <w:sz w:val="24"/>
                <w:highlight w:val="none"/>
              </w:rPr>
              <w:tab/>
            </w:r>
          </w:p>
          <w:p>
            <w:pPr>
              <w:rPr>
                <w:rFonts w:ascii="宋体" w:hAnsi="宋体" w:cs="宋体"/>
                <w:sz w:val="24"/>
                <w:highlight w:val="none"/>
              </w:rPr>
            </w:pPr>
            <w:r>
              <w:rPr>
                <w:rFonts w:hint="eastAsia" w:ascii="宋体" w:hAnsi="宋体" w:cs="宋体"/>
                <w:sz w:val="24"/>
                <w:highlight w:val="none"/>
              </w:rPr>
              <w:t>STEMI-8.2-1</w:t>
            </w:r>
          </w:p>
          <w:p>
            <w:pPr>
              <w:rPr>
                <w:rFonts w:ascii="宋体" w:hAnsi="宋体" w:cs="宋体"/>
                <w:sz w:val="24"/>
                <w:highlight w:val="none"/>
              </w:rPr>
            </w:pPr>
            <w:r>
              <w:rPr>
                <w:rFonts w:hint="eastAsia" w:ascii="宋体" w:hAnsi="宋体" w:cs="宋体"/>
                <w:sz w:val="24"/>
                <w:highlight w:val="none"/>
              </w:rPr>
              <w:t>分子：实施危险因素评估与控制教育的STEMI例数</w:t>
            </w:r>
          </w:p>
          <w:p>
            <w:pPr>
              <w:rPr>
                <w:rFonts w:ascii="宋体" w:hAnsi="宋体" w:cs="宋体"/>
                <w:sz w:val="24"/>
                <w:highlight w:val="none"/>
              </w:rPr>
            </w:pPr>
            <w:r>
              <w:rPr>
                <w:rFonts w:hint="eastAsia" w:ascii="宋体" w:hAnsi="宋体" w:cs="宋体"/>
                <w:sz w:val="24"/>
                <w:highlight w:val="none"/>
              </w:rPr>
              <w:t>分母：同期全部STEMI患者出院的例数"</w:t>
            </w:r>
          </w:p>
          <w:p>
            <w:pPr>
              <w:rPr>
                <w:rFonts w:ascii="宋体" w:hAnsi="宋体" w:cs="宋体"/>
                <w:sz w:val="24"/>
                <w:highlight w:val="none"/>
              </w:rPr>
            </w:pPr>
            <w:r>
              <w:rPr>
                <w:rFonts w:hint="eastAsia" w:ascii="宋体" w:hAnsi="宋体" w:cs="宋体"/>
                <w:sz w:val="24"/>
                <w:highlight w:val="none"/>
              </w:rPr>
              <w:t>STEMI-8.3</w:t>
            </w:r>
          </w:p>
          <w:p>
            <w:pPr>
              <w:rPr>
                <w:rFonts w:ascii="宋体" w:hAnsi="宋体" w:cs="宋体"/>
                <w:sz w:val="24"/>
                <w:highlight w:val="none"/>
              </w:rPr>
            </w:pPr>
            <w:r>
              <w:rPr>
                <w:rFonts w:hint="eastAsia" w:ascii="宋体" w:hAnsi="宋体" w:cs="宋体"/>
                <w:sz w:val="24"/>
                <w:highlight w:val="none"/>
              </w:rPr>
              <w:t>坚持二级预防</w:t>
            </w:r>
            <w:r>
              <w:rPr>
                <w:rFonts w:hint="eastAsia" w:ascii="宋体" w:hAnsi="宋体" w:cs="宋体"/>
                <w:sz w:val="24"/>
                <w:highlight w:val="none"/>
              </w:rPr>
              <w:tab/>
            </w:r>
          </w:p>
          <w:p>
            <w:pPr>
              <w:rPr>
                <w:rFonts w:ascii="宋体" w:hAnsi="宋体" w:cs="宋体"/>
                <w:sz w:val="24"/>
                <w:highlight w:val="none"/>
              </w:rPr>
            </w:pPr>
            <w:r>
              <w:rPr>
                <w:rFonts w:hint="eastAsia" w:ascii="宋体" w:hAnsi="宋体" w:cs="宋体"/>
                <w:sz w:val="24"/>
                <w:highlight w:val="none"/>
              </w:rPr>
              <w:t>STEMI-8.3-1</w:t>
            </w:r>
          </w:p>
          <w:p>
            <w:pPr>
              <w:rPr>
                <w:rFonts w:ascii="宋体" w:hAnsi="宋体" w:cs="宋体"/>
                <w:sz w:val="24"/>
                <w:highlight w:val="none"/>
              </w:rPr>
            </w:pPr>
            <w:r>
              <w:rPr>
                <w:rFonts w:hint="eastAsia" w:ascii="宋体" w:hAnsi="宋体" w:cs="宋体"/>
                <w:sz w:val="24"/>
                <w:highlight w:val="none"/>
              </w:rPr>
              <w:t>分子：有实施血运重建后长期生活方式和危险因素控制（3/或4项）记录的STEMI例数</w:t>
            </w:r>
          </w:p>
          <w:p>
            <w:pPr>
              <w:rPr>
                <w:rFonts w:ascii="宋体" w:hAnsi="宋体" w:cs="宋体"/>
                <w:sz w:val="24"/>
                <w:highlight w:val="none"/>
              </w:rPr>
            </w:pPr>
            <w:r>
              <w:rPr>
                <w:rFonts w:hint="eastAsia" w:ascii="宋体" w:hAnsi="宋体" w:cs="宋体"/>
                <w:sz w:val="24"/>
                <w:highlight w:val="none"/>
              </w:rPr>
              <w:t>分母：同期全部STEMI患者出院的例数"</w:t>
            </w:r>
          </w:p>
          <w:p>
            <w:pPr>
              <w:rPr>
                <w:rFonts w:ascii="宋体" w:hAnsi="宋体" w:cs="宋体"/>
                <w:sz w:val="24"/>
                <w:highlight w:val="none"/>
              </w:rPr>
            </w:pPr>
            <w:r>
              <w:rPr>
                <w:rFonts w:hint="eastAsia" w:ascii="宋体" w:hAnsi="宋体" w:cs="宋体"/>
                <w:sz w:val="24"/>
                <w:highlight w:val="none"/>
              </w:rPr>
              <w:t>STEMI-8.4</w:t>
            </w:r>
          </w:p>
          <w:p>
            <w:pPr>
              <w:rPr>
                <w:rFonts w:ascii="宋体" w:hAnsi="宋体" w:cs="宋体"/>
                <w:sz w:val="24"/>
                <w:highlight w:val="none"/>
              </w:rPr>
            </w:pPr>
            <w:r>
              <w:rPr>
                <w:rFonts w:hint="eastAsia" w:ascii="宋体" w:hAnsi="宋体" w:cs="宋体"/>
                <w:sz w:val="24"/>
                <w:highlight w:val="none"/>
              </w:rPr>
              <w:t>履行出院教育与告知五项要素</w:t>
            </w:r>
            <w:r>
              <w:rPr>
                <w:rFonts w:hint="eastAsia" w:ascii="宋体" w:hAnsi="宋体" w:cs="宋体"/>
                <w:sz w:val="24"/>
                <w:highlight w:val="none"/>
              </w:rPr>
              <w:tab/>
            </w:r>
          </w:p>
          <w:p>
            <w:pPr>
              <w:rPr>
                <w:rFonts w:ascii="宋体" w:hAnsi="宋体" w:cs="宋体"/>
                <w:sz w:val="24"/>
                <w:highlight w:val="none"/>
              </w:rPr>
            </w:pPr>
            <w:r>
              <w:rPr>
                <w:rFonts w:hint="eastAsia" w:ascii="宋体" w:hAnsi="宋体" w:cs="宋体"/>
                <w:sz w:val="24"/>
                <w:highlight w:val="none"/>
              </w:rPr>
              <w:t>STEMI-8.4-1</w:t>
            </w:r>
          </w:p>
          <w:p>
            <w:pPr>
              <w:rPr>
                <w:rFonts w:ascii="宋体" w:hAnsi="宋体" w:cs="宋体"/>
                <w:sz w:val="24"/>
                <w:highlight w:val="none"/>
              </w:rPr>
            </w:pPr>
            <w:r>
              <w:rPr>
                <w:rFonts w:hint="eastAsia" w:ascii="宋体" w:hAnsi="宋体" w:cs="宋体"/>
                <w:sz w:val="24"/>
                <w:highlight w:val="none"/>
              </w:rPr>
              <w:t>分子：获得履行出院教育与告知五项要素教育的STEMI例数</w:t>
            </w:r>
          </w:p>
          <w:p>
            <w:pPr>
              <w:rPr>
                <w:rFonts w:ascii="宋体" w:hAnsi="宋体" w:cs="宋体"/>
                <w:sz w:val="24"/>
                <w:highlight w:val="none"/>
              </w:rPr>
            </w:pPr>
            <w:r>
              <w:rPr>
                <w:rFonts w:hint="eastAsia" w:ascii="宋体" w:hAnsi="宋体" w:cs="宋体"/>
                <w:sz w:val="24"/>
                <w:highlight w:val="none"/>
              </w:rPr>
              <w:t>分母：同期全部STEMI患者出院的例数"</w:t>
            </w:r>
          </w:p>
          <w:p>
            <w:pPr>
              <w:rPr>
                <w:rFonts w:ascii="宋体" w:hAnsi="宋体" w:cs="宋体"/>
                <w:sz w:val="24"/>
                <w:highlight w:val="none"/>
              </w:rPr>
            </w:pPr>
            <w:r>
              <w:rPr>
                <w:rFonts w:hint="eastAsia" w:ascii="宋体" w:hAnsi="宋体" w:cs="宋体"/>
                <w:sz w:val="24"/>
                <w:highlight w:val="none"/>
              </w:rPr>
              <w:t>STEMI-8.5</w:t>
            </w:r>
          </w:p>
          <w:p>
            <w:pPr>
              <w:rPr>
                <w:rFonts w:ascii="宋体" w:hAnsi="宋体" w:cs="宋体"/>
                <w:sz w:val="24"/>
                <w:highlight w:val="none"/>
              </w:rPr>
            </w:pPr>
            <w:r>
              <w:rPr>
                <w:rFonts w:hint="eastAsia" w:ascii="宋体" w:hAnsi="宋体" w:cs="宋体"/>
                <w:sz w:val="24"/>
                <w:highlight w:val="none"/>
              </w:rPr>
              <w:t>出院前风险评估</w:t>
            </w:r>
            <w:r>
              <w:rPr>
                <w:rFonts w:hint="eastAsia" w:ascii="宋体" w:hAnsi="宋体" w:cs="宋体"/>
                <w:sz w:val="24"/>
                <w:highlight w:val="none"/>
              </w:rPr>
              <w:tab/>
            </w:r>
          </w:p>
          <w:p>
            <w:pPr>
              <w:rPr>
                <w:rFonts w:ascii="宋体" w:hAnsi="宋体" w:cs="宋体"/>
                <w:sz w:val="24"/>
                <w:highlight w:val="none"/>
              </w:rPr>
            </w:pPr>
            <w:r>
              <w:rPr>
                <w:rFonts w:hint="eastAsia" w:ascii="宋体" w:hAnsi="宋体" w:cs="宋体"/>
                <w:sz w:val="24"/>
                <w:highlight w:val="none"/>
              </w:rPr>
              <w:t>STEMI-8.5-1</w:t>
            </w:r>
          </w:p>
          <w:p>
            <w:pPr>
              <w:rPr>
                <w:rFonts w:ascii="宋体" w:hAnsi="宋体" w:cs="宋体"/>
                <w:sz w:val="24"/>
                <w:highlight w:val="none"/>
              </w:rPr>
            </w:pPr>
            <w:r>
              <w:rPr>
                <w:rFonts w:hint="eastAsia" w:ascii="宋体" w:hAnsi="宋体" w:cs="宋体"/>
                <w:sz w:val="24"/>
                <w:highlight w:val="none"/>
              </w:rPr>
              <w:t>分子：有出院时状态评估记录的STEMI例数</w:t>
            </w:r>
          </w:p>
          <w:p>
            <w:pPr>
              <w:rPr>
                <w:rFonts w:ascii="宋体" w:hAnsi="宋体" w:cs="宋体"/>
                <w:sz w:val="24"/>
                <w:highlight w:val="none"/>
              </w:rPr>
            </w:pPr>
            <w:r>
              <w:rPr>
                <w:rFonts w:hint="eastAsia" w:ascii="宋体" w:hAnsi="宋体" w:cs="宋体"/>
                <w:sz w:val="24"/>
                <w:highlight w:val="none"/>
              </w:rPr>
              <w:t>分母：同期全部STEMI患者出院的例数"</w:t>
            </w:r>
          </w:p>
          <w:p>
            <w:pPr>
              <w:rPr>
                <w:rFonts w:ascii="宋体" w:hAnsi="宋体" w:cs="宋体"/>
                <w:sz w:val="24"/>
                <w:highlight w:val="none"/>
              </w:rPr>
            </w:pPr>
            <w:r>
              <w:rPr>
                <w:rFonts w:hint="eastAsia" w:ascii="宋体" w:hAnsi="宋体" w:cs="宋体"/>
                <w:sz w:val="24"/>
                <w:highlight w:val="none"/>
              </w:rPr>
              <w:t>STEMI-8.5-2</w:t>
            </w:r>
          </w:p>
          <w:p>
            <w:pPr>
              <w:rPr>
                <w:rFonts w:ascii="宋体" w:hAnsi="宋体" w:cs="宋体"/>
                <w:sz w:val="24"/>
                <w:highlight w:val="none"/>
              </w:rPr>
            </w:pPr>
            <w:r>
              <w:rPr>
                <w:rFonts w:hint="eastAsia" w:ascii="宋体" w:hAnsi="宋体" w:cs="宋体"/>
                <w:sz w:val="24"/>
                <w:highlight w:val="none"/>
              </w:rPr>
              <w:t>分子：有出院前GRACE危险评估分层记录的STEMI例数</w:t>
            </w:r>
          </w:p>
          <w:p>
            <w:pPr>
              <w:rPr>
                <w:rFonts w:ascii="宋体" w:hAnsi="宋体" w:cs="宋体"/>
                <w:sz w:val="24"/>
                <w:highlight w:val="none"/>
              </w:rPr>
            </w:pPr>
            <w:r>
              <w:rPr>
                <w:rFonts w:hint="eastAsia" w:ascii="宋体" w:hAnsi="宋体" w:cs="宋体"/>
                <w:sz w:val="24"/>
                <w:highlight w:val="none"/>
              </w:rPr>
              <w:t>分母：同期全部STEMI患者出院的例数"</w:t>
            </w:r>
          </w:p>
          <w:p>
            <w:pPr>
              <w:rPr>
                <w:rFonts w:ascii="宋体" w:hAnsi="宋体" w:cs="宋体"/>
                <w:b/>
                <w:bCs/>
                <w:sz w:val="24"/>
                <w:highlight w:val="none"/>
              </w:rPr>
            </w:pPr>
            <w:r>
              <w:rPr>
                <w:rFonts w:hint="eastAsia" w:ascii="宋体" w:hAnsi="宋体" w:cs="宋体"/>
                <w:b/>
                <w:bCs/>
                <w:sz w:val="24"/>
                <w:highlight w:val="none"/>
              </w:rPr>
              <w:t>9</w:t>
            </w:r>
            <w:r>
              <w:rPr>
                <w:rFonts w:hint="eastAsia" w:ascii="宋体" w:hAnsi="宋体" w:cs="宋体"/>
                <w:b/>
                <w:bCs/>
                <w:sz w:val="24"/>
                <w:highlight w:val="none"/>
                <w:lang w:eastAsia="zh-Hans"/>
              </w:rPr>
              <w:t>、</w:t>
            </w:r>
            <w:r>
              <w:rPr>
                <w:rFonts w:hint="eastAsia" w:ascii="宋体" w:hAnsi="宋体" w:cs="宋体"/>
                <w:b/>
                <w:bCs/>
                <w:sz w:val="24"/>
                <w:highlight w:val="none"/>
              </w:rPr>
              <w:t>STEMI-9</w:t>
            </w:r>
            <w:r>
              <w:rPr>
                <w:rFonts w:hint="eastAsia" w:ascii="宋体" w:hAnsi="宋体" w:cs="宋体"/>
                <w:b/>
                <w:bCs/>
                <w:sz w:val="24"/>
                <w:highlight w:val="none"/>
              </w:rPr>
              <w:tab/>
            </w:r>
            <w:r>
              <w:rPr>
                <w:rFonts w:hint="eastAsia" w:ascii="宋体" w:hAnsi="宋体" w:cs="宋体"/>
                <w:b/>
                <w:bCs/>
                <w:sz w:val="24"/>
                <w:highlight w:val="none"/>
              </w:rPr>
              <w:t>离院方式</w:t>
            </w:r>
            <w:r>
              <w:rPr>
                <w:rFonts w:hint="eastAsia" w:ascii="宋体" w:hAnsi="宋体" w:cs="宋体"/>
                <w:b/>
                <w:bCs/>
                <w:sz w:val="24"/>
                <w:highlight w:val="none"/>
              </w:rPr>
              <w:tab/>
            </w:r>
          </w:p>
          <w:p>
            <w:pPr>
              <w:rPr>
                <w:rFonts w:ascii="宋体" w:hAnsi="宋体" w:cs="宋体"/>
                <w:sz w:val="24"/>
                <w:highlight w:val="none"/>
              </w:rPr>
            </w:pPr>
            <w:r>
              <w:rPr>
                <w:rFonts w:hint="eastAsia" w:ascii="宋体" w:hAnsi="宋体" w:cs="宋体"/>
                <w:sz w:val="24"/>
                <w:highlight w:val="none"/>
              </w:rPr>
              <w:t>STEMI-9-1</w:t>
            </w:r>
          </w:p>
          <w:p>
            <w:pPr>
              <w:rPr>
                <w:rFonts w:ascii="宋体" w:hAnsi="宋体" w:cs="宋体"/>
                <w:sz w:val="24"/>
                <w:highlight w:val="none"/>
              </w:rPr>
            </w:pPr>
            <w:r>
              <w:rPr>
                <w:rFonts w:hint="eastAsia" w:ascii="宋体" w:hAnsi="宋体" w:cs="宋体"/>
                <w:sz w:val="24"/>
                <w:highlight w:val="none"/>
              </w:rPr>
              <w:t>分子：离院方式为死亡的STEMI例数</w:t>
            </w:r>
          </w:p>
          <w:p>
            <w:pPr>
              <w:rPr>
                <w:rFonts w:ascii="宋体" w:hAnsi="宋体" w:cs="宋体"/>
                <w:sz w:val="24"/>
                <w:highlight w:val="none"/>
              </w:rPr>
            </w:pPr>
            <w:r>
              <w:rPr>
                <w:rFonts w:hint="eastAsia" w:ascii="宋体" w:hAnsi="宋体" w:cs="宋体"/>
                <w:sz w:val="24"/>
                <w:highlight w:val="none"/>
              </w:rPr>
              <w:t>分母：同期全部STEMI患者出院的例数"</w:t>
            </w:r>
          </w:p>
          <w:p>
            <w:pPr>
              <w:rPr>
                <w:rFonts w:ascii="宋体" w:hAnsi="宋体" w:cs="宋体"/>
                <w:sz w:val="24"/>
                <w:highlight w:val="none"/>
              </w:rPr>
            </w:pPr>
            <w:r>
              <w:rPr>
                <w:rFonts w:hint="eastAsia" w:ascii="宋体" w:hAnsi="宋体" w:cs="宋体"/>
                <w:sz w:val="24"/>
                <w:highlight w:val="none"/>
              </w:rPr>
              <w:t>STEMI-9-2</w:t>
            </w:r>
          </w:p>
          <w:p>
            <w:pPr>
              <w:rPr>
                <w:rFonts w:ascii="宋体" w:hAnsi="宋体" w:cs="宋体"/>
                <w:sz w:val="24"/>
                <w:highlight w:val="none"/>
              </w:rPr>
            </w:pPr>
            <w:r>
              <w:rPr>
                <w:rFonts w:hint="eastAsia" w:ascii="宋体" w:hAnsi="宋体" w:cs="宋体"/>
                <w:sz w:val="24"/>
                <w:highlight w:val="none"/>
              </w:rPr>
              <w:t>分子：离院方式为非医嘱离院的STEMI例数</w:t>
            </w:r>
          </w:p>
          <w:p>
            <w:pPr>
              <w:rPr>
                <w:rFonts w:ascii="宋体" w:hAnsi="宋体" w:cs="宋体"/>
                <w:sz w:val="24"/>
                <w:highlight w:val="none"/>
              </w:rPr>
            </w:pPr>
            <w:r>
              <w:rPr>
                <w:rFonts w:hint="eastAsia" w:ascii="宋体" w:hAnsi="宋体" w:cs="宋体"/>
                <w:sz w:val="24"/>
                <w:highlight w:val="none"/>
              </w:rPr>
              <w:t>分母：同期全部STEMI患者出院的例数"</w:t>
            </w:r>
          </w:p>
          <w:p>
            <w:pPr>
              <w:rPr>
                <w:rFonts w:ascii="宋体" w:hAnsi="宋体" w:cs="宋体"/>
                <w:b/>
                <w:bCs/>
                <w:sz w:val="24"/>
                <w:highlight w:val="none"/>
              </w:rPr>
            </w:pPr>
            <w:r>
              <w:rPr>
                <w:rFonts w:hint="eastAsia" w:ascii="宋体" w:hAnsi="宋体" w:cs="宋体"/>
                <w:b/>
                <w:bCs/>
                <w:sz w:val="24"/>
                <w:highlight w:val="none"/>
              </w:rPr>
              <w:t>10</w:t>
            </w:r>
            <w:r>
              <w:rPr>
                <w:rFonts w:hint="eastAsia" w:ascii="宋体" w:hAnsi="宋体" w:cs="宋体"/>
                <w:b/>
                <w:bCs/>
                <w:sz w:val="24"/>
                <w:highlight w:val="none"/>
                <w:lang w:eastAsia="zh-Hans"/>
              </w:rPr>
              <w:t>、</w:t>
            </w:r>
            <w:r>
              <w:rPr>
                <w:rFonts w:hint="eastAsia" w:ascii="宋体" w:hAnsi="宋体" w:cs="宋体"/>
                <w:b/>
                <w:bCs/>
                <w:sz w:val="24"/>
                <w:highlight w:val="none"/>
              </w:rPr>
              <w:t>STEMI-10</w:t>
            </w:r>
          </w:p>
          <w:p>
            <w:pPr>
              <w:rPr>
                <w:rFonts w:ascii="宋体" w:hAnsi="宋体" w:cs="宋体"/>
                <w:sz w:val="24"/>
                <w:highlight w:val="none"/>
              </w:rPr>
            </w:pPr>
            <w:r>
              <w:rPr>
                <w:rFonts w:hint="eastAsia" w:ascii="宋体" w:hAnsi="宋体" w:cs="宋体"/>
                <w:sz w:val="24"/>
                <w:highlight w:val="none"/>
              </w:rPr>
              <w:t>患者对服务的体验与评价</w:t>
            </w:r>
            <w:r>
              <w:rPr>
                <w:rFonts w:hint="eastAsia" w:ascii="宋体" w:hAnsi="宋体" w:cs="宋体"/>
                <w:sz w:val="24"/>
                <w:highlight w:val="none"/>
              </w:rPr>
              <w:tab/>
            </w:r>
          </w:p>
          <w:p>
            <w:pPr>
              <w:rPr>
                <w:rFonts w:ascii="宋体" w:hAnsi="宋体" w:cs="宋体"/>
                <w:sz w:val="24"/>
                <w:highlight w:val="none"/>
              </w:rPr>
            </w:pPr>
            <w:r>
              <w:rPr>
                <w:rFonts w:hint="eastAsia" w:ascii="宋体" w:hAnsi="宋体" w:cs="宋体"/>
                <w:sz w:val="24"/>
                <w:highlight w:val="none"/>
              </w:rPr>
              <w:t>STEMI-10-1</w:t>
            </w:r>
          </w:p>
          <w:p>
            <w:pPr>
              <w:rPr>
                <w:rFonts w:ascii="宋体" w:hAnsi="宋体" w:cs="宋体"/>
                <w:sz w:val="24"/>
                <w:highlight w:val="none"/>
              </w:rPr>
            </w:pPr>
            <w:r>
              <w:rPr>
                <w:rFonts w:hint="eastAsia" w:ascii="宋体" w:hAnsi="宋体" w:cs="宋体"/>
                <w:sz w:val="24"/>
                <w:highlight w:val="none"/>
              </w:rPr>
              <w:t>分子：被调查评价11项33条的评分均值&gt;=7分的STEMI住院的例数</w:t>
            </w:r>
          </w:p>
          <w:p>
            <w:pPr>
              <w:rPr>
                <w:rFonts w:ascii="宋体" w:hAnsi="宋体" w:cs="宋体"/>
                <w:sz w:val="24"/>
                <w:highlight w:val="none"/>
              </w:rPr>
            </w:pPr>
            <w:r>
              <w:rPr>
                <w:rFonts w:hint="eastAsia" w:ascii="宋体" w:hAnsi="宋体" w:cs="宋体"/>
                <w:sz w:val="24"/>
                <w:highlight w:val="none"/>
              </w:rPr>
              <w:t>分母：同期全部STEMI患者出院的例数"</w:t>
            </w:r>
          </w:p>
          <w:p>
            <w:pPr>
              <w:rPr>
                <w:rFonts w:ascii="宋体" w:hAnsi="宋体" w:cs="宋体"/>
                <w:sz w:val="24"/>
                <w:highlight w:val="none"/>
              </w:rPr>
            </w:pPr>
            <w:r>
              <w:rPr>
                <w:rFonts w:hint="eastAsia" w:ascii="宋体" w:hAnsi="宋体" w:cs="宋体"/>
                <w:b/>
                <w:bCs/>
                <w:sz w:val="24"/>
                <w:highlight w:val="none"/>
              </w:rPr>
              <w:t>11</w:t>
            </w:r>
            <w:r>
              <w:rPr>
                <w:rFonts w:hint="eastAsia" w:ascii="宋体" w:hAnsi="宋体" w:cs="宋体"/>
                <w:b/>
                <w:bCs/>
                <w:sz w:val="24"/>
                <w:highlight w:val="none"/>
                <w:lang w:eastAsia="zh-Hans"/>
              </w:rPr>
              <w:t>、</w:t>
            </w:r>
            <w:r>
              <w:rPr>
                <w:rFonts w:hint="eastAsia" w:ascii="宋体" w:hAnsi="宋体" w:cs="宋体"/>
                <w:b/>
                <w:bCs/>
                <w:sz w:val="24"/>
                <w:highlight w:val="none"/>
              </w:rPr>
              <w:t>资源消耗</w:t>
            </w:r>
            <w:r>
              <w:rPr>
                <w:rFonts w:hint="eastAsia" w:ascii="宋体" w:hAnsi="宋体" w:cs="宋体"/>
                <w:b/>
                <w:bCs/>
                <w:sz w:val="24"/>
                <w:highlight w:val="none"/>
              </w:rPr>
              <w:tab/>
            </w:r>
            <w:r>
              <w:rPr>
                <w:rFonts w:hint="eastAsia" w:ascii="宋体" w:hAnsi="宋体" w:cs="宋体"/>
                <w:sz w:val="24"/>
                <w:highlight w:val="none"/>
              </w:rPr>
              <w:tab/>
            </w:r>
          </w:p>
          <w:p>
            <w:pPr>
              <w:rPr>
                <w:rFonts w:ascii="宋体" w:hAnsi="宋体" w:cs="宋体"/>
                <w:sz w:val="24"/>
                <w:highlight w:val="none"/>
              </w:rPr>
            </w:pPr>
            <w:r>
              <w:rPr>
                <w:rFonts w:hint="eastAsia" w:ascii="宋体" w:hAnsi="宋体" w:cs="宋体"/>
                <w:sz w:val="24"/>
                <w:highlight w:val="none"/>
              </w:rPr>
              <w:t>STEMI-21住院天数</w:t>
            </w:r>
          </w:p>
          <w:p>
            <w:pPr>
              <w:rPr>
                <w:rFonts w:ascii="宋体" w:hAnsi="宋体" w:cs="宋体"/>
                <w:sz w:val="24"/>
                <w:highlight w:val="none"/>
              </w:rPr>
            </w:pPr>
            <w:r>
              <w:rPr>
                <w:rFonts w:hint="eastAsia" w:ascii="宋体" w:hAnsi="宋体" w:cs="宋体"/>
                <w:sz w:val="24"/>
                <w:highlight w:val="none"/>
              </w:rPr>
              <w:t>1STEMI-22住院总费用</w:t>
            </w:r>
          </w:p>
          <w:p>
            <w:pPr>
              <w:rPr>
                <w:rFonts w:ascii="宋体" w:hAnsi="宋体" w:cs="宋体"/>
                <w:sz w:val="24"/>
                <w:highlight w:val="none"/>
              </w:rPr>
            </w:pPr>
            <w:r>
              <w:rPr>
                <w:rFonts w:hint="eastAsia" w:ascii="宋体" w:hAnsi="宋体" w:cs="宋体"/>
                <w:sz w:val="24"/>
                <w:highlight w:val="none"/>
              </w:rPr>
              <w:t>STEMI-23药费</w:t>
            </w:r>
          </w:p>
          <w:p>
            <w:pPr>
              <w:rPr>
                <w:rFonts w:ascii="宋体" w:hAnsi="宋体" w:cs="宋体"/>
                <w:sz w:val="24"/>
                <w:highlight w:val="none"/>
              </w:rPr>
            </w:pPr>
            <w:r>
              <w:rPr>
                <w:rFonts w:hint="eastAsia" w:ascii="宋体" w:hAnsi="宋体" w:cs="宋体"/>
                <w:sz w:val="24"/>
                <w:highlight w:val="none"/>
              </w:rPr>
              <w:t>STEMI-24手术治疗费用</w:t>
            </w:r>
          </w:p>
          <w:p>
            <w:pPr>
              <w:rPr>
                <w:rFonts w:ascii="宋体" w:hAnsi="宋体" w:cs="宋体"/>
                <w:sz w:val="24"/>
                <w:highlight w:val="none"/>
              </w:rPr>
            </w:pPr>
            <w:r>
              <w:rPr>
                <w:rFonts w:hint="eastAsia" w:ascii="宋体" w:hAnsi="宋体" w:cs="宋体"/>
                <w:sz w:val="24"/>
                <w:highlight w:val="none"/>
              </w:rPr>
              <w:t>STEMI-25手术用一次性医用材料费用</w:t>
            </w:r>
          </w:p>
        </w:tc>
        <w:tc>
          <w:tcPr>
            <w:tcW w:w="1525" w:type="dxa"/>
            <w:vAlign w:val="center"/>
          </w:tcPr>
          <w:p>
            <w:pPr>
              <w:rPr>
                <w:rFonts w:ascii="宋体" w:hAnsi="宋体" w:cs="宋体"/>
                <w:sz w:val="24"/>
                <w:highlight w:val="none"/>
                <w:lang w:eastAsia="zh-Hans"/>
              </w:rPr>
            </w:pPr>
            <w:r>
              <w:rPr>
                <w:rFonts w:hint="eastAsia" w:ascii="宋体" w:hAnsi="宋体" w:cs="宋体"/>
                <w:sz w:val="24"/>
                <w:highlight w:val="none"/>
                <w:lang w:eastAsia="zh-Hans"/>
              </w:rPr>
              <w:t>符合最新的质控标准，报告的内容详尽，指标口径权威、标准。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lang w:eastAsia="zh-Hans"/>
              </w:rPr>
            </w:pPr>
          </w:p>
        </w:tc>
        <w:tc>
          <w:tcPr>
            <w:tcW w:w="993" w:type="dxa"/>
            <w:vAlign w:val="center"/>
          </w:tcPr>
          <w:p>
            <w:pPr>
              <w:rPr>
                <w:rFonts w:ascii="宋体" w:hAnsi="宋体" w:cs="宋体"/>
                <w:sz w:val="24"/>
                <w:highlight w:val="none"/>
              </w:rPr>
            </w:pPr>
            <w:r>
              <w:rPr>
                <w:rFonts w:hint="eastAsia" w:ascii="宋体" w:hAnsi="宋体" w:cs="宋体"/>
                <w:sz w:val="24"/>
                <w:highlight w:val="none"/>
              </w:rPr>
              <w:t>2.6.2.病种整体情况分析报告</w:t>
            </w:r>
          </w:p>
        </w:tc>
        <w:tc>
          <w:tcPr>
            <w:tcW w:w="5830" w:type="dxa"/>
            <w:vAlign w:val="center"/>
          </w:tcPr>
          <w:p>
            <w:pPr>
              <w:rPr>
                <w:rFonts w:ascii="宋体" w:hAnsi="宋体" w:cs="宋体"/>
                <w:sz w:val="24"/>
                <w:highlight w:val="none"/>
              </w:rPr>
            </w:pPr>
            <w:r>
              <w:rPr>
                <w:rFonts w:hint="eastAsia" w:ascii="宋体" w:hAnsi="宋体" w:cs="宋体"/>
                <w:sz w:val="24"/>
                <w:highlight w:val="none"/>
              </w:rPr>
              <w:t>病种整体情况分析报告，支持自定义时间范围、统计的病种设置、预览。</w:t>
            </w:r>
          </w:p>
          <w:p>
            <w:pPr>
              <w:rPr>
                <w:rFonts w:ascii="宋体" w:hAnsi="宋体" w:cs="宋体"/>
                <w:sz w:val="24"/>
                <w:highlight w:val="none"/>
              </w:rPr>
            </w:pPr>
            <w:r>
              <w:rPr>
                <w:rFonts w:hint="eastAsia" w:ascii="宋体" w:hAnsi="宋体" w:cs="宋体"/>
                <w:sz w:val="24"/>
                <w:highlight w:val="none"/>
              </w:rPr>
              <w:t>可以对报告标题、一级标题、二级标题进行自定义设置</w:t>
            </w:r>
            <w:r>
              <w:rPr>
                <w:rFonts w:hint="eastAsia" w:ascii="宋体" w:hAnsi="宋体" w:cs="宋体"/>
                <w:sz w:val="24"/>
                <w:highlight w:val="none"/>
                <w:lang w:eastAsia="zh-Hans"/>
              </w:rPr>
              <w:t>。</w:t>
            </w:r>
          </w:p>
          <w:p>
            <w:pPr>
              <w:rPr>
                <w:rFonts w:ascii="宋体" w:hAnsi="宋体" w:cs="宋体"/>
                <w:sz w:val="24"/>
                <w:highlight w:val="none"/>
              </w:rPr>
            </w:pPr>
            <w:r>
              <w:rPr>
                <w:rFonts w:hint="eastAsia" w:ascii="宋体" w:hAnsi="宋体" w:cs="宋体"/>
                <w:sz w:val="24"/>
                <w:highlight w:val="none"/>
              </w:rPr>
              <w:t>可设置分析方案的文字描述内容，包含分析对象和内容、数据来源、分析方法等</w:t>
            </w:r>
            <w:r>
              <w:rPr>
                <w:rFonts w:hint="eastAsia" w:ascii="宋体" w:hAnsi="宋体" w:cs="宋体"/>
                <w:sz w:val="24"/>
                <w:highlight w:val="none"/>
                <w:lang w:eastAsia="zh-Hans"/>
              </w:rPr>
              <w:t>。</w:t>
            </w:r>
          </w:p>
          <w:p>
            <w:pPr>
              <w:rPr>
                <w:rFonts w:ascii="宋体" w:hAnsi="宋体" w:cs="宋体"/>
                <w:sz w:val="24"/>
                <w:highlight w:val="none"/>
              </w:rPr>
            </w:pPr>
            <w:r>
              <w:rPr>
                <w:rFonts w:hint="eastAsia" w:ascii="宋体" w:hAnsi="宋体" w:cs="宋体"/>
                <w:sz w:val="24"/>
                <w:highlight w:val="none"/>
              </w:rPr>
              <w:t>报告可展现病种上报数量统计、病种平均住院日统计、病种次均费用统计、病种病死率统计、病例上报数量月分布、病例上报数量科室分布等。</w:t>
            </w:r>
          </w:p>
        </w:tc>
        <w:tc>
          <w:tcPr>
            <w:tcW w:w="1525" w:type="dxa"/>
            <w:vAlign w:val="center"/>
          </w:tcPr>
          <w:p>
            <w:pPr>
              <w:rPr>
                <w:rFonts w:ascii="宋体" w:hAnsi="宋体" w:cs="宋体"/>
                <w:sz w:val="24"/>
                <w:highlight w:val="none"/>
                <w:lang w:eastAsia="zh-Hans"/>
              </w:rPr>
            </w:pPr>
            <w:r>
              <w:rPr>
                <w:rFonts w:hint="eastAsia" w:ascii="宋体" w:hAnsi="宋体" w:cs="宋体"/>
                <w:sz w:val="24"/>
                <w:highlight w:val="none"/>
                <w:lang w:eastAsia="zh-Hans"/>
              </w:rPr>
              <w:t>自助式方式出具病种整体情况分析报告，节约质控部门编制质控报告的时间，提高管理效率。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lang w:eastAsia="zh-Hans"/>
              </w:rPr>
            </w:pPr>
          </w:p>
        </w:tc>
        <w:tc>
          <w:tcPr>
            <w:tcW w:w="993" w:type="dxa"/>
            <w:vAlign w:val="center"/>
          </w:tcPr>
          <w:p>
            <w:pPr>
              <w:rPr>
                <w:rFonts w:ascii="宋体" w:hAnsi="宋体" w:cs="宋体"/>
                <w:sz w:val="24"/>
                <w:highlight w:val="none"/>
              </w:rPr>
            </w:pPr>
            <w:r>
              <w:rPr>
                <w:rFonts w:hint="eastAsia" w:ascii="宋体" w:hAnsi="宋体" w:cs="宋体"/>
                <w:sz w:val="24"/>
                <w:highlight w:val="none"/>
              </w:rPr>
              <w:t>2.6.3.病种指标详情分析报告</w:t>
            </w:r>
          </w:p>
        </w:tc>
        <w:tc>
          <w:tcPr>
            <w:tcW w:w="5830" w:type="dxa"/>
            <w:vAlign w:val="center"/>
          </w:tcPr>
          <w:p>
            <w:pPr>
              <w:rPr>
                <w:rFonts w:ascii="宋体" w:hAnsi="宋体" w:cs="宋体"/>
                <w:sz w:val="24"/>
                <w:highlight w:val="none"/>
              </w:rPr>
            </w:pPr>
            <w:r>
              <w:rPr>
                <w:rFonts w:hint="eastAsia" w:ascii="宋体" w:hAnsi="宋体" w:cs="宋体"/>
                <w:sz w:val="24"/>
                <w:highlight w:val="none"/>
              </w:rPr>
              <w:t>病种指标详情分析报告，支持自定义时间范围，数据分组支持月度、季度、半年度、年度，预览。</w:t>
            </w:r>
          </w:p>
          <w:p>
            <w:pPr>
              <w:rPr>
                <w:rFonts w:ascii="宋体" w:hAnsi="宋体" w:cs="宋体"/>
                <w:sz w:val="24"/>
                <w:highlight w:val="none"/>
              </w:rPr>
            </w:pPr>
            <w:r>
              <w:rPr>
                <w:rFonts w:hint="eastAsia" w:ascii="宋体" w:hAnsi="宋体" w:cs="宋体"/>
                <w:sz w:val="24"/>
                <w:highlight w:val="none"/>
              </w:rPr>
              <w:t>可以对报告标题、一级标题、二级标题进行自定义设置。</w:t>
            </w:r>
          </w:p>
          <w:p>
            <w:pPr>
              <w:rPr>
                <w:rFonts w:ascii="宋体" w:hAnsi="宋体" w:cs="宋体"/>
                <w:sz w:val="24"/>
                <w:highlight w:val="none"/>
              </w:rPr>
            </w:pPr>
            <w:r>
              <w:rPr>
                <w:rFonts w:hint="eastAsia" w:ascii="宋体" w:hAnsi="宋体" w:cs="宋体"/>
                <w:sz w:val="24"/>
                <w:highlight w:val="none"/>
              </w:rPr>
              <w:t>可设置分析方案的文字描述内容，包含分析对象和内容、数据来源、分析方法等</w:t>
            </w:r>
          </w:p>
          <w:p>
            <w:pPr>
              <w:rPr>
                <w:rFonts w:ascii="宋体" w:hAnsi="宋体" w:cs="宋体"/>
                <w:sz w:val="24"/>
                <w:highlight w:val="none"/>
                <w:lang w:eastAsia="zh-Hans"/>
              </w:rPr>
            </w:pPr>
            <w:r>
              <w:rPr>
                <w:rFonts w:hint="eastAsia" w:ascii="宋体" w:hAnsi="宋体" w:cs="宋体"/>
                <w:sz w:val="24"/>
                <w:highlight w:val="none"/>
              </w:rPr>
              <w:t>支持病例上报数量按时间段对比分布、按科室对比分布、质控整体情况分析、资源消耗整体情况分析，其中质控整体情况分析、资源消耗整体情况分析支持自定义展现的指标项（可从全部指标项中选择）</w:t>
            </w:r>
          </w:p>
        </w:tc>
        <w:tc>
          <w:tcPr>
            <w:tcW w:w="1525" w:type="dxa"/>
            <w:vAlign w:val="center"/>
          </w:tcPr>
          <w:p>
            <w:pPr>
              <w:rPr>
                <w:rFonts w:ascii="宋体" w:hAnsi="宋体" w:cs="宋体"/>
                <w:sz w:val="24"/>
                <w:highlight w:val="none"/>
                <w:lang w:eastAsia="zh-Hans"/>
              </w:rPr>
            </w:pPr>
            <w:r>
              <w:rPr>
                <w:rFonts w:hint="eastAsia" w:ascii="宋体" w:hAnsi="宋体" w:cs="宋体"/>
                <w:sz w:val="24"/>
                <w:highlight w:val="none"/>
                <w:lang w:eastAsia="zh-Hans"/>
              </w:rPr>
              <w:t>自助式方式出具病种指标详情分析报告，节约质控部门编制质控报告的时间，提高管理效率。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Align w:val="center"/>
          </w:tcPr>
          <w:p>
            <w:pPr>
              <w:rPr>
                <w:rFonts w:ascii="宋体" w:hAnsi="宋体" w:cs="宋体"/>
                <w:sz w:val="24"/>
                <w:highlight w:val="none"/>
                <w:lang w:eastAsia="zh-Hans"/>
              </w:rPr>
            </w:pPr>
          </w:p>
        </w:tc>
        <w:tc>
          <w:tcPr>
            <w:tcW w:w="993" w:type="dxa"/>
            <w:vAlign w:val="center"/>
          </w:tcPr>
          <w:p>
            <w:pPr>
              <w:rPr>
                <w:rFonts w:ascii="宋体" w:hAnsi="宋体" w:cs="宋体"/>
                <w:sz w:val="24"/>
                <w:highlight w:val="none"/>
              </w:rPr>
            </w:pPr>
            <w:r>
              <w:rPr>
                <w:rFonts w:ascii="宋体" w:hAnsi="宋体" w:cs="宋体"/>
                <w:sz w:val="24"/>
                <w:highlight w:val="none"/>
              </w:rPr>
              <w:t>2.6.4.自定义单病种质控报告</w:t>
            </w:r>
          </w:p>
        </w:tc>
        <w:tc>
          <w:tcPr>
            <w:tcW w:w="5830" w:type="dxa"/>
            <w:vAlign w:val="center"/>
          </w:tcPr>
          <w:p>
            <w:pPr>
              <w:rPr>
                <w:rFonts w:ascii="宋体" w:hAnsi="宋体" w:cs="宋体"/>
                <w:sz w:val="24"/>
                <w:highlight w:val="none"/>
              </w:rPr>
            </w:pPr>
            <w:r>
              <w:rPr>
                <w:rFonts w:ascii="宋体" w:hAnsi="宋体" w:cs="宋体"/>
                <w:sz w:val="24"/>
                <w:highlight w:val="none"/>
              </w:rPr>
              <w:t>支持对报告内容进行自定义，自由编辑报告结构、设置统计时间范围、可跨多病种选取指标、建立图表及文本说明；支持将定义好的报告保存为模版，可导入模版，设定统计时间，生成新的报告；报告可导出为 pdf 格式，pdf 文件需带有目录和页码。</w:t>
            </w:r>
          </w:p>
        </w:tc>
        <w:tc>
          <w:tcPr>
            <w:tcW w:w="1525" w:type="dxa"/>
            <w:vAlign w:val="center"/>
          </w:tcPr>
          <w:p>
            <w:pPr>
              <w:rPr>
                <w:rFonts w:ascii="宋体" w:hAnsi="宋体" w:cs="宋体"/>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Align w:val="center"/>
          </w:tcPr>
          <w:p>
            <w:pPr>
              <w:rPr>
                <w:rFonts w:ascii="宋体" w:hAnsi="宋体" w:cs="宋体"/>
                <w:sz w:val="24"/>
                <w:highlight w:val="none"/>
                <w:lang w:eastAsia="zh-Hans"/>
              </w:rPr>
            </w:pPr>
          </w:p>
        </w:tc>
        <w:tc>
          <w:tcPr>
            <w:tcW w:w="993" w:type="dxa"/>
            <w:vAlign w:val="center"/>
          </w:tcPr>
          <w:p>
            <w:pPr>
              <w:rPr>
                <w:rFonts w:ascii="宋体" w:hAnsi="宋体" w:cs="宋体"/>
                <w:sz w:val="24"/>
                <w:highlight w:val="none"/>
              </w:rPr>
            </w:pPr>
            <w:r>
              <w:rPr>
                <w:rFonts w:ascii="宋体" w:hAnsi="宋体" w:cs="宋体"/>
                <w:sz w:val="24"/>
                <w:highlight w:val="none"/>
              </w:rPr>
              <w:t>2.6.5.数据看板</w:t>
            </w:r>
          </w:p>
        </w:tc>
        <w:tc>
          <w:tcPr>
            <w:tcW w:w="5830" w:type="dxa"/>
            <w:vAlign w:val="center"/>
          </w:tcPr>
          <w:p>
            <w:pPr>
              <w:rPr>
                <w:rFonts w:ascii="宋体" w:hAnsi="宋体" w:cs="宋体"/>
                <w:sz w:val="24"/>
                <w:highlight w:val="none"/>
              </w:rPr>
            </w:pPr>
            <w:r>
              <w:rPr>
                <w:rFonts w:ascii="宋体" w:hAnsi="宋体" w:cs="宋体"/>
                <w:sz w:val="24"/>
                <w:highlight w:val="none"/>
              </w:rPr>
              <w:t>支持大屏数据看板功能（可全屏）， 对重点指标进行监测，可以按需设置看板的内容，监测时间范围、监测数据、图表样式。</w:t>
            </w:r>
          </w:p>
        </w:tc>
        <w:tc>
          <w:tcPr>
            <w:tcW w:w="1525" w:type="dxa"/>
            <w:vAlign w:val="center"/>
          </w:tcPr>
          <w:p>
            <w:pPr>
              <w:rPr>
                <w:rFonts w:ascii="宋体" w:hAnsi="宋体" w:cs="宋体"/>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846" w:type="dxa"/>
            <w:vMerge w:val="continue"/>
            <w:vAlign w:val="center"/>
          </w:tcPr>
          <w:p>
            <w:pPr>
              <w:rPr>
                <w:rFonts w:ascii="宋体" w:hAnsi="宋体" w:cs="宋体"/>
                <w:sz w:val="24"/>
                <w:highlight w:val="none"/>
              </w:rPr>
            </w:pPr>
          </w:p>
        </w:tc>
        <w:tc>
          <w:tcPr>
            <w:tcW w:w="850" w:type="dxa"/>
            <w:vMerge w:val="restart"/>
            <w:vAlign w:val="center"/>
          </w:tcPr>
          <w:p>
            <w:pPr>
              <w:rPr>
                <w:rFonts w:ascii="宋体" w:hAnsi="宋体" w:cs="宋体"/>
                <w:sz w:val="24"/>
                <w:highlight w:val="none"/>
                <w:lang w:eastAsia="zh-Hans"/>
              </w:rPr>
            </w:pPr>
            <w:r>
              <w:rPr>
                <w:rFonts w:hint="eastAsia" w:ascii="宋体" w:hAnsi="宋体" w:cs="宋体"/>
                <w:sz w:val="24"/>
                <w:highlight w:val="none"/>
                <w:lang w:eastAsia="zh-Hans"/>
              </w:rPr>
              <w:t>2.</w:t>
            </w:r>
            <w:r>
              <w:rPr>
                <w:rFonts w:ascii="宋体" w:hAnsi="宋体" w:cs="宋体"/>
                <w:sz w:val="24"/>
                <w:highlight w:val="none"/>
                <w:lang w:eastAsia="zh-Hans"/>
              </w:rPr>
              <w:t>7</w:t>
            </w:r>
            <w:r>
              <w:rPr>
                <w:rFonts w:hint="eastAsia" w:ascii="宋体" w:hAnsi="宋体" w:cs="宋体"/>
                <w:sz w:val="24"/>
                <w:highlight w:val="none"/>
                <w:lang w:eastAsia="zh-Hans"/>
              </w:rPr>
              <w:t>病种管理</w:t>
            </w:r>
          </w:p>
        </w:tc>
        <w:tc>
          <w:tcPr>
            <w:tcW w:w="993" w:type="dxa"/>
            <w:vAlign w:val="center"/>
          </w:tcPr>
          <w:p>
            <w:pPr>
              <w:rPr>
                <w:rFonts w:ascii="宋体" w:hAnsi="宋体" w:cs="宋体"/>
                <w:sz w:val="24"/>
                <w:highlight w:val="none"/>
                <w:lang w:eastAsia="zh-Hans"/>
              </w:rPr>
            </w:pPr>
            <w:r>
              <w:rPr>
                <w:rFonts w:hint="eastAsia" w:ascii="宋体" w:hAnsi="宋体" w:cs="宋体"/>
                <w:sz w:val="24"/>
                <w:highlight w:val="none"/>
                <w:lang w:eastAsia="zh-Hans"/>
              </w:rPr>
              <w:t>2.</w:t>
            </w:r>
            <w:r>
              <w:rPr>
                <w:rFonts w:ascii="宋体" w:hAnsi="宋体" w:cs="宋体"/>
                <w:sz w:val="24"/>
                <w:highlight w:val="none"/>
                <w:lang w:eastAsia="zh-Hans"/>
              </w:rPr>
              <w:t>7</w:t>
            </w:r>
            <w:r>
              <w:rPr>
                <w:rFonts w:hint="eastAsia" w:ascii="宋体" w:hAnsi="宋体" w:cs="宋体"/>
                <w:sz w:val="24"/>
                <w:highlight w:val="none"/>
                <w:lang w:eastAsia="zh-Hans"/>
              </w:rPr>
              <w:t>.1单病种数据库建设</w:t>
            </w:r>
          </w:p>
        </w:tc>
        <w:tc>
          <w:tcPr>
            <w:tcW w:w="5830" w:type="dxa"/>
            <w:vAlign w:val="center"/>
          </w:tcPr>
          <w:p>
            <w:pPr>
              <w:rPr>
                <w:rFonts w:ascii="宋体" w:hAnsi="宋体" w:cs="宋体"/>
                <w:sz w:val="24"/>
                <w:highlight w:val="none"/>
              </w:rPr>
            </w:pPr>
            <w:r>
              <w:rPr>
                <w:rFonts w:hint="eastAsia" w:ascii="宋体" w:hAnsi="宋体" w:cs="宋体"/>
                <w:sz w:val="24"/>
                <w:highlight w:val="none"/>
              </w:rPr>
              <w:t>根据国家单病种上报数据监测规范、单病种质量管理手册</w:t>
            </w:r>
            <w:r>
              <w:rPr>
                <w:rFonts w:hint="eastAsia" w:ascii="宋体" w:hAnsi="宋体" w:cs="宋体"/>
                <w:sz w:val="24"/>
                <w:highlight w:val="none"/>
                <w:lang w:eastAsia="zh-Hans"/>
              </w:rPr>
              <w:t>、重点专业和技术质量控制监测</w:t>
            </w:r>
            <w:r>
              <w:rPr>
                <w:rFonts w:hint="eastAsia" w:ascii="宋体" w:hAnsi="宋体" w:cs="宋体"/>
                <w:sz w:val="24"/>
                <w:highlight w:val="none"/>
              </w:rPr>
              <w:t>等规范的要求，建立本院单病种数据库</w:t>
            </w:r>
            <w:r>
              <w:rPr>
                <w:rFonts w:hint="eastAsia" w:ascii="宋体" w:hAnsi="宋体" w:cs="宋体"/>
                <w:sz w:val="24"/>
                <w:highlight w:val="none"/>
                <w:lang w:eastAsia="zh-Hans"/>
              </w:rPr>
              <w:t>，以满足医院开展单病种质量监控、医疗服务能力与质量安全监测、医院绩效考核管理、专科诊疗能力提升等质量管理制度的需要。</w:t>
            </w:r>
          </w:p>
        </w:tc>
        <w:tc>
          <w:tcPr>
            <w:tcW w:w="1525" w:type="dxa"/>
            <w:vAlign w:val="center"/>
          </w:tcPr>
          <w:p>
            <w:pPr>
              <w:rPr>
                <w:rFonts w:ascii="宋体" w:hAnsi="宋体" w:cs="宋体"/>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lang w:eastAsia="zh-Hans"/>
              </w:rPr>
            </w:pPr>
          </w:p>
        </w:tc>
        <w:tc>
          <w:tcPr>
            <w:tcW w:w="993" w:type="dxa"/>
            <w:vAlign w:val="center"/>
          </w:tcPr>
          <w:p>
            <w:pPr>
              <w:rPr>
                <w:rFonts w:ascii="宋体" w:hAnsi="宋体" w:cs="宋体"/>
                <w:sz w:val="24"/>
                <w:highlight w:val="none"/>
                <w:lang w:eastAsia="zh-Hans"/>
              </w:rPr>
            </w:pPr>
            <w:r>
              <w:rPr>
                <w:rFonts w:hint="eastAsia" w:ascii="宋体" w:hAnsi="宋体" w:cs="宋体"/>
                <w:sz w:val="24"/>
                <w:highlight w:val="none"/>
                <w:lang w:eastAsia="zh-Hans"/>
              </w:rPr>
              <w:t>2.</w:t>
            </w:r>
            <w:r>
              <w:rPr>
                <w:rFonts w:ascii="宋体" w:hAnsi="宋体" w:cs="宋体"/>
                <w:sz w:val="24"/>
                <w:highlight w:val="none"/>
                <w:lang w:eastAsia="zh-Hans"/>
              </w:rPr>
              <w:t>7</w:t>
            </w:r>
            <w:r>
              <w:rPr>
                <w:rFonts w:hint="eastAsia" w:ascii="宋体" w:hAnsi="宋体" w:cs="宋体"/>
                <w:sz w:val="24"/>
                <w:highlight w:val="none"/>
                <w:lang w:eastAsia="zh-Hans"/>
              </w:rPr>
              <w:t>.2病种信息维护</w:t>
            </w:r>
          </w:p>
        </w:tc>
        <w:tc>
          <w:tcPr>
            <w:tcW w:w="5830" w:type="dxa"/>
            <w:vAlign w:val="center"/>
          </w:tcPr>
          <w:p>
            <w:pPr>
              <w:rPr>
                <w:rFonts w:ascii="宋体" w:hAnsi="宋体" w:cs="宋体"/>
                <w:sz w:val="24"/>
                <w:highlight w:val="none"/>
              </w:rPr>
            </w:pPr>
            <w:r>
              <w:rPr>
                <w:rFonts w:hint="eastAsia" w:ascii="宋体" w:hAnsi="宋体" w:cs="宋体"/>
                <w:sz w:val="24"/>
                <w:highlight w:val="none"/>
                <w:lang w:eastAsia="zh-Hans"/>
              </w:rPr>
              <w:t>支持</w:t>
            </w:r>
            <w:r>
              <w:rPr>
                <w:rFonts w:hint="eastAsia" w:ascii="宋体" w:hAnsi="宋体" w:cs="宋体"/>
                <w:sz w:val="24"/>
                <w:highlight w:val="none"/>
              </w:rPr>
              <w:t>对病种的入径规则、默认值规则、上传规则、符合上报条件项、无需上报条件项等进行配置，具备灵活删除、增加、修改等功能，便于病种的扩展和规则维护。</w:t>
            </w:r>
          </w:p>
        </w:tc>
        <w:tc>
          <w:tcPr>
            <w:tcW w:w="1525" w:type="dxa"/>
            <w:vAlign w:val="center"/>
          </w:tcPr>
          <w:p>
            <w:pPr>
              <w:rPr>
                <w:rFonts w:ascii="宋体" w:hAnsi="宋体" w:cs="宋体"/>
                <w:sz w:val="24"/>
                <w:highlight w:val="none"/>
                <w:lang w:eastAsia="zh-Hans"/>
              </w:rPr>
            </w:pPr>
            <w:r>
              <w:rPr>
                <w:rFonts w:hint="eastAsia" w:ascii="宋体" w:hAnsi="宋体" w:cs="宋体"/>
                <w:sz w:val="24"/>
                <w:highlight w:val="none"/>
                <w:lang w:eastAsia="zh-Hans"/>
              </w:rPr>
              <w:t>病种信息维护功能可以在最短的时间内实现系统的更新升级，不耽误医院正常使用。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Align w:val="center"/>
          </w:tcPr>
          <w:p>
            <w:pPr>
              <w:rPr>
                <w:rFonts w:ascii="宋体" w:hAnsi="宋体" w:cs="宋体"/>
                <w:sz w:val="24"/>
                <w:highlight w:val="none"/>
              </w:rPr>
            </w:pPr>
            <w:r>
              <w:rPr>
                <w:rFonts w:hint="eastAsia" w:ascii="宋体" w:hAnsi="宋体" w:cs="宋体"/>
                <w:sz w:val="24"/>
                <w:highlight w:val="none"/>
                <w:lang w:eastAsia="zh-Hans"/>
              </w:rPr>
              <w:t>2.</w:t>
            </w:r>
            <w:r>
              <w:rPr>
                <w:rFonts w:ascii="宋体" w:hAnsi="宋体" w:cs="宋体"/>
                <w:sz w:val="24"/>
                <w:highlight w:val="none"/>
                <w:lang w:eastAsia="zh-Hans"/>
              </w:rPr>
              <w:t>7</w:t>
            </w:r>
            <w:r>
              <w:rPr>
                <w:rFonts w:hint="eastAsia" w:ascii="宋体" w:hAnsi="宋体" w:cs="宋体"/>
                <w:sz w:val="24"/>
                <w:highlight w:val="none"/>
                <w:lang w:eastAsia="zh-Hans"/>
              </w:rPr>
              <w:t>.3消息推送</w:t>
            </w:r>
          </w:p>
        </w:tc>
        <w:tc>
          <w:tcPr>
            <w:tcW w:w="5830" w:type="dxa"/>
            <w:vAlign w:val="center"/>
          </w:tcPr>
          <w:p>
            <w:pPr>
              <w:rPr>
                <w:rFonts w:ascii="宋体" w:hAnsi="宋体" w:cs="宋体"/>
                <w:sz w:val="24"/>
                <w:highlight w:val="none"/>
                <w:lang w:eastAsia="zh-Hans"/>
              </w:rPr>
            </w:pPr>
            <w:r>
              <w:rPr>
                <w:rFonts w:hint="eastAsia" w:ascii="宋体" w:hAnsi="宋体" w:cs="宋体"/>
                <w:sz w:val="24"/>
                <w:highlight w:val="none"/>
                <w:lang w:eastAsia="zh-Hans"/>
              </w:rPr>
              <w:t>质控科室可以对填报医师、超期未填报病例、填报过程中错误等信息，设定自动发送消息到相关人员，内容支持自定义编辑。</w:t>
            </w:r>
          </w:p>
        </w:tc>
        <w:tc>
          <w:tcPr>
            <w:tcW w:w="1525" w:type="dxa"/>
            <w:vAlign w:val="center"/>
          </w:tcPr>
          <w:p>
            <w:pPr>
              <w:rPr>
                <w:rFonts w:ascii="宋体" w:hAnsi="宋体" w:cs="宋体"/>
                <w:sz w:val="24"/>
                <w:highlight w:val="none"/>
                <w:lang w:eastAsia="zh-Hans"/>
              </w:rPr>
            </w:pPr>
            <w:r>
              <w:rPr>
                <w:rFonts w:hint="eastAsia" w:ascii="宋体" w:hAnsi="宋体" w:cs="宋体"/>
                <w:sz w:val="24"/>
                <w:highlight w:val="none"/>
                <w:lang w:eastAsia="zh-Hans"/>
              </w:rPr>
              <w:t>减少医务/质控部门的沟通成本。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Merge w:val="restart"/>
            <w:vAlign w:val="center"/>
          </w:tcPr>
          <w:p>
            <w:pPr>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8</w:t>
            </w:r>
            <w:r>
              <w:rPr>
                <w:rFonts w:hint="eastAsia" w:ascii="宋体" w:hAnsi="宋体" w:cs="宋体"/>
                <w:sz w:val="24"/>
                <w:highlight w:val="none"/>
              </w:rPr>
              <w:t>基础信息维护</w:t>
            </w:r>
          </w:p>
        </w:tc>
        <w:tc>
          <w:tcPr>
            <w:tcW w:w="993" w:type="dxa"/>
            <w:vAlign w:val="center"/>
          </w:tcPr>
          <w:p>
            <w:pPr>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8</w:t>
            </w:r>
            <w:r>
              <w:rPr>
                <w:rFonts w:hint="eastAsia" w:ascii="宋体" w:hAnsi="宋体" w:cs="宋体"/>
                <w:sz w:val="24"/>
                <w:highlight w:val="none"/>
              </w:rPr>
              <w:t xml:space="preserve">.1 </w:t>
            </w:r>
            <w:r>
              <w:rPr>
                <w:rFonts w:hint="eastAsia" w:ascii="宋体" w:hAnsi="宋体" w:cs="宋体"/>
                <w:sz w:val="24"/>
                <w:highlight w:val="none"/>
                <w:lang w:eastAsia="zh-Hans"/>
              </w:rPr>
              <w:t>用户管理</w:t>
            </w:r>
          </w:p>
        </w:tc>
        <w:tc>
          <w:tcPr>
            <w:tcW w:w="5830" w:type="dxa"/>
            <w:vAlign w:val="center"/>
          </w:tcPr>
          <w:p>
            <w:pPr>
              <w:rPr>
                <w:rFonts w:ascii="宋体" w:hAnsi="宋体" w:cs="宋体"/>
                <w:sz w:val="24"/>
                <w:highlight w:val="none"/>
              </w:rPr>
            </w:pPr>
            <w:r>
              <w:rPr>
                <w:rFonts w:hint="eastAsia" w:ascii="宋体" w:hAnsi="宋体" w:cs="宋体"/>
                <w:sz w:val="24"/>
                <w:highlight w:val="none"/>
              </w:rPr>
              <w:t>系统支持组织机构和人员数据的维护功能，同一个用户可以分配多个角色使其登录系统时随着不同的登录角色而拥有不同的权限。</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Align w:val="center"/>
          </w:tcPr>
          <w:p>
            <w:pPr>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8</w:t>
            </w:r>
            <w:r>
              <w:rPr>
                <w:rFonts w:hint="eastAsia" w:ascii="宋体" w:hAnsi="宋体" w:cs="宋体"/>
                <w:sz w:val="24"/>
                <w:highlight w:val="none"/>
              </w:rPr>
              <w:t>.2</w:t>
            </w:r>
            <w:r>
              <w:rPr>
                <w:rFonts w:hint="eastAsia" w:ascii="宋体" w:hAnsi="宋体" w:cs="宋体"/>
                <w:sz w:val="24"/>
                <w:highlight w:val="none"/>
                <w:lang w:eastAsia="zh-Hans"/>
              </w:rPr>
              <w:t>角色</w:t>
            </w:r>
            <w:r>
              <w:rPr>
                <w:rFonts w:hint="eastAsia" w:ascii="宋体" w:hAnsi="宋体" w:cs="宋体"/>
                <w:sz w:val="24"/>
                <w:highlight w:val="none"/>
              </w:rPr>
              <w:t>管理</w:t>
            </w:r>
          </w:p>
        </w:tc>
        <w:tc>
          <w:tcPr>
            <w:tcW w:w="5830" w:type="dxa"/>
            <w:vAlign w:val="center"/>
          </w:tcPr>
          <w:p>
            <w:pPr>
              <w:rPr>
                <w:rFonts w:ascii="宋体" w:hAnsi="宋体" w:cs="宋体"/>
                <w:sz w:val="24"/>
                <w:highlight w:val="none"/>
              </w:rPr>
            </w:pPr>
            <w:r>
              <w:rPr>
                <w:rFonts w:hint="eastAsia" w:ascii="宋体" w:hAnsi="宋体" w:cs="宋体"/>
                <w:sz w:val="24"/>
                <w:highlight w:val="none"/>
              </w:rPr>
              <w:t>系统支持用户自定义角色功能，支持为每类角色分配不同权限功能。</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Align w:val="center"/>
          </w:tcPr>
          <w:p>
            <w:pPr>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8</w:t>
            </w:r>
            <w:r>
              <w:rPr>
                <w:rFonts w:hint="eastAsia" w:ascii="宋体" w:hAnsi="宋体" w:cs="宋体"/>
                <w:sz w:val="24"/>
                <w:highlight w:val="none"/>
              </w:rPr>
              <w:t>.3 菜单</w:t>
            </w:r>
            <w:r>
              <w:rPr>
                <w:rFonts w:hint="eastAsia" w:ascii="宋体" w:hAnsi="宋体" w:cs="宋体"/>
                <w:sz w:val="24"/>
                <w:highlight w:val="none"/>
                <w:lang w:eastAsia="zh-Hans"/>
              </w:rPr>
              <w:t>配置</w:t>
            </w:r>
          </w:p>
        </w:tc>
        <w:tc>
          <w:tcPr>
            <w:tcW w:w="5830" w:type="dxa"/>
            <w:vAlign w:val="center"/>
          </w:tcPr>
          <w:p>
            <w:pPr>
              <w:rPr>
                <w:rFonts w:ascii="宋体" w:hAnsi="宋体" w:cs="宋体"/>
                <w:sz w:val="24"/>
                <w:highlight w:val="none"/>
              </w:rPr>
            </w:pPr>
            <w:r>
              <w:rPr>
                <w:rFonts w:hint="eastAsia" w:ascii="宋体" w:hAnsi="宋体" w:cs="宋体"/>
                <w:sz w:val="24"/>
                <w:highlight w:val="none"/>
              </w:rPr>
              <w:t>系统可以灵活配置系统的菜单，包括菜单的名称、顺序、父子关系等。</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Align w:val="center"/>
          </w:tcPr>
          <w:p>
            <w:pPr>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8</w:t>
            </w:r>
            <w:r>
              <w:rPr>
                <w:rFonts w:hint="eastAsia" w:ascii="宋体" w:hAnsi="宋体" w:cs="宋体"/>
                <w:sz w:val="24"/>
                <w:highlight w:val="none"/>
              </w:rPr>
              <w:t>.4 科室管理</w:t>
            </w:r>
          </w:p>
        </w:tc>
        <w:tc>
          <w:tcPr>
            <w:tcW w:w="5830" w:type="dxa"/>
            <w:vAlign w:val="center"/>
          </w:tcPr>
          <w:p>
            <w:pPr>
              <w:rPr>
                <w:rFonts w:ascii="宋体" w:hAnsi="宋体" w:cs="宋体"/>
                <w:sz w:val="24"/>
                <w:highlight w:val="none"/>
              </w:rPr>
            </w:pPr>
            <w:r>
              <w:rPr>
                <w:rFonts w:hint="eastAsia" w:ascii="宋体" w:hAnsi="宋体" w:cs="宋体"/>
                <w:sz w:val="24"/>
                <w:highlight w:val="none"/>
              </w:rPr>
              <w:t>系统支持用户自定义科室可能，可以为每个用户分配归属于不同科室</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Align w:val="center"/>
          </w:tcPr>
          <w:p>
            <w:pPr>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8</w:t>
            </w:r>
            <w:r>
              <w:rPr>
                <w:rFonts w:hint="eastAsia" w:ascii="宋体" w:hAnsi="宋体" w:cs="宋体"/>
                <w:sz w:val="24"/>
                <w:highlight w:val="none"/>
              </w:rPr>
              <w:t>.5 机构管理</w:t>
            </w:r>
          </w:p>
        </w:tc>
        <w:tc>
          <w:tcPr>
            <w:tcW w:w="5830" w:type="dxa"/>
            <w:vAlign w:val="center"/>
          </w:tcPr>
          <w:p>
            <w:pPr>
              <w:rPr>
                <w:rFonts w:ascii="宋体" w:hAnsi="宋体" w:cs="宋体"/>
                <w:sz w:val="24"/>
                <w:highlight w:val="none"/>
              </w:rPr>
            </w:pPr>
            <w:r>
              <w:rPr>
                <w:rFonts w:hint="eastAsia" w:ascii="宋体" w:hAnsi="宋体" w:cs="宋体"/>
                <w:sz w:val="24"/>
                <w:highlight w:val="none"/>
              </w:rPr>
              <w:t>系统支持多院区与区域医共体机构配置，不同医院应用不同上传路劲和规则。</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46" w:type="dxa"/>
            <w:vMerge w:val="continue"/>
            <w:vAlign w:val="center"/>
          </w:tcPr>
          <w:p>
            <w:pPr>
              <w:rPr>
                <w:rFonts w:ascii="宋体" w:hAnsi="宋体" w:cs="宋体"/>
                <w:sz w:val="24"/>
                <w:highlight w:val="none"/>
              </w:rPr>
            </w:pPr>
          </w:p>
        </w:tc>
        <w:tc>
          <w:tcPr>
            <w:tcW w:w="850" w:type="dxa"/>
            <w:vMerge w:val="restart"/>
            <w:vAlign w:val="center"/>
          </w:tcPr>
          <w:p>
            <w:pPr>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9</w:t>
            </w:r>
            <w:r>
              <w:rPr>
                <w:rFonts w:hint="eastAsia" w:ascii="宋体" w:hAnsi="宋体" w:cs="宋体"/>
                <w:sz w:val="24"/>
                <w:highlight w:val="none"/>
              </w:rPr>
              <w:t>日志管理</w:t>
            </w:r>
          </w:p>
        </w:tc>
        <w:tc>
          <w:tcPr>
            <w:tcW w:w="993" w:type="dxa"/>
            <w:vAlign w:val="center"/>
          </w:tcPr>
          <w:p>
            <w:pPr>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9</w:t>
            </w:r>
            <w:r>
              <w:rPr>
                <w:rFonts w:hint="eastAsia" w:ascii="宋体" w:hAnsi="宋体" w:cs="宋体"/>
                <w:sz w:val="24"/>
                <w:highlight w:val="none"/>
              </w:rPr>
              <w:t>.1短信发送日志</w:t>
            </w:r>
          </w:p>
        </w:tc>
        <w:tc>
          <w:tcPr>
            <w:tcW w:w="5830" w:type="dxa"/>
            <w:vAlign w:val="center"/>
          </w:tcPr>
          <w:p>
            <w:pPr>
              <w:rPr>
                <w:rFonts w:ascii="宋体" w:hAnsi="宋体" w:cs="宋体"/>
                <w:sz w:val="24"/>
                <w:highlight w:val="none"/>
              </w:rPr>
            </w:pPr>
            <w:r>
              <w:rPr>
                <w:rFonts w:hint="eastAsia" w:ascii="宋体" w:hAnsi="宋体" w:cs="宋体"/>
                <w:sz w:val="24"/>
                <w:highlight w:val="none"/>
              </w:rPr>
              <w:t>系统支持查看因退回、过程提醒等功能发送给用户的短信信息内容日志。</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Align w:val="center"/>
          </w:tcPr>
          <w:p>
            <w:pPr>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9</w:t>
            </w:r>
            <w:r>
              <w:rPr>
                <w:rFonts w:hint="eastAsia" w:ascii="宋体" w:hAnsi="宋体" w:cs="宋体"/>
                <w:sz w:val="24"/>
                <w:highlight w:val="none"/>
              </w:rPr>
              <w:t>.2上传日志记录</w:t>
            </w:r>
          </w:p>
        </w:tc>
        <w:tc>
          <w:tcPr>
            <w:tcW w:w="5830" w:type="dxa"/>
            <w:vAlign w:val="center"/>
          </w:tcPr>
          <w:p>
            <w:pPr>
              <w:rPr>
                <w:rFonts w:ascii="宋体" w:hAnsi="宋体" w:cs="宋体"/>
                <w:sz w:val="24"/>
                <w:highlight w:val="none"/>
              </w:rPr>
            </w:pPr>
            <w:r>
              <w:rPr>
                <w:rFonts w:hint="eastAsia" w:ascii="宋体" w:hAnsi="宋体" w:cs="宋体"/>
                <w:sz w:val="24"/>
                <w:highlight w:val="none"/>
              </w:rPr>
              <w:t>系统支持查看所有上传单病种的日志记录，包括成功与失败（含原因）。</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Align w:val="center"/>
          </w:tcPr>
          <w:p>
            <w:pPr>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9</w:t>
            </w:r>
            <w:r>
              <w:rPr>
                <w:rFonts w:hint="eastAsia" w:ascii="宋体" w:hAnsi="宋体" w:cs="宋体"/>
                <w:sz w:val="24"/>
                <w:highlight w:val="none"/>
              </w:rPr>
              <w:t>.3系统日志查询</w:t>
            </w:r>
          </w:p>
        </w:tc>
        <w:tc>
          <w:tcPr>
            <w:tcW w:w="5830" w:type="dxa"/>
            <w:vAlign w:val="center"/>
          </w:tcPr>
          <w:p>
            <w:pPr>
              <w:rPr>
                <w:rFonts w:ascii="宋体" w:hAnsi="宋体" w:cs="宋体"/>
                <w:sz w:val="24"/>
                <w:highlight w:val="none"/>
              </w:rPr>
            </w:pPr>
            <w:r>
              <w:rPr>
                <w:rFonts w:hint="eastAsia" w:ascii="宋体" w:hAnsi="宋体" w:cs="宋体"/>
                <w:sz w:val="24"/>
                <w:highlight w:val="none"/>
              </w:rPr>
              <w:t>支持系统自动记录操作和审核记录，上报记录，针对上报错误的病例有上报错误原因说明；</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vAlign w:val="center"/>
          </w:tcPr>
          <w:p>
            <w:pPr>
              <w:rPr>
                <w:rFonts w:ascii="宋体" w:hAnsi="宋体" w:cs="宋体"/>
                <w:sz w:val="24"/>
                <w:highlight w:val="none"/>
              </w:rPr>
            </w:pPr>
            <w:r>
              <w:rPr>
                <w:rFonts w:ascii="宋体" w:hAnsi="宋体" w:cs="宋体"/>
                <w:sz w:val="24"/>
                <w:highlight w:val="none"/>
              </w:rPr>
              <w:t>3.运维需求</w:t>
            </w:r>
          </w:p>
        </w:tc>
        <w:tc>
          <w:tcPr>
            <w:tcW w:w="850" w:type="dxa"/>
            <w:vMerge w:val="restart"/>
            <w:vAlign w:val="center"/>
          </w:tcPr>
          <w:p>
            <w:pPr>
              <w:rPr>
                <w:rFonts w:ascii="宋体" w:hAnsi="宋体" w:cs="宋体"/>
                <w:sz w:val="24"/>
                <w:highlight w:val="none"/>
              </w:rPr>
            </w:pPr>
            <w:r>
              <w:rPr>
                <w:rFonts w:ascii="宋体" w:hAnsi="宋体" w:cs="宋体"/>
                <w:sz w:val="24"/>
                <w:highlight w:val="none"/>
              </w:rPr>
              <w:t>3.1服务状态侦测和告警通知</w:t>
            </w:r>
          </w:p>
        </w:tc>
        <w:tc>
          <w:tcPr>
            <w:tcW w:w="993" w:type="dxa"/>
            <w:vAlign w:val="center"/>
          </w:tcPr>
          <w:p>
            <w:pPr>
              <w:rPr>
                <w:rFonts w:ascii="宋体" w:hAnsi="宋体" w:cs="宋体"/>
                <w:sz w:val="24"/>
                <w:highlight w:val="none"/>
              </w:rPr>
            </w:pPr>
            <w:r>
              <w:rPr>
                <w:rFonts w:ascii="宋体" w:hAnsi="宋体" w:cs="宋体"/>
                <w:sz w:val="24"/>
                <w:highlight w:val="none"/>
              </w:rPr>
              <w:t>3.1.1服务状态侦测</w:t>
            </w:r>
          </w:p>
        </w:tc>
        <w:tc>
          <w:tcPr>
            <w:tcW w:w="5830" w:type="dxa"/>
            <w:vAlign w:val="center"/>
          </w:tcPr>
          <w:p>
            <w:pPr>
              <w:rPr>
                <w:rFonts w:ascii="宋体" w:hAnsi="宋体" w:cs="宋体"/>
                <w:sz w:val="24"/>
                <w:highlight w:val="none"/>
              </w:rPr>
            </w:pPr>
            <w:r>
              <w:rPr>
                <w:rFonts w:ascii="宋体" w:hAnsi="宋体" w:cs="宋体"/>
                <w:sz w:val="24"/>
                <w:highlight w:val="none"/>
              </w:rPr>
              <w:t>系统支持将服务端运行状态信息（CPU 使用率、内存 Heap 状态、系统主进程状态等）定时报送至集中运维平台，运维平台能及时主动掌握服务端运行状态。</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Align w:val="center"/>
          </w:tcPr>
          <w:p>
            <w:pPr>
              <w:rPr>
                <w:rFonts w:ascii="宋体" w:hAnsi="宋体" w:cs="宋体"/>
                <w:sz w:val="24"/>
                <w:highlight w:val="none"/>
              </w:rPr>
            </w:pPr>
            <w:r>
              <w:rPr>
                <w:rFonts w:ascii="宋体" w:hAnsi="宋体" w:cs="宋体"/>
                <w:sz w:val="24"/>
                <w:highlight w:val="none"/>
              </w:rPr>
              <w:t>3.1.2状态通知</w:t>
            </w:r>
          </w:p>
        </w:tc>
        <w:tc>
          <w:tcPr>
            <w:tcW w:w="5830" w:type="dxa"/>
            <w:vAlign w:val="center"/>
          </w:tcPr>
          <w:p>
            <w:pPr>
              <w:rPr>
                <w:rFonts w:ascii="宋体" w:hAnsi="宋体" w:cs="宋体"/>
                <w:sz w:val="24"/>
                <w:highlight w:val="none"/>
              </w:rPr>
            </w:pPr>
            <w:r>
              <w:rPr>
                <w:rFonts w:ascii="宋体" w:hAnsi="宋体" w:cs="宋体"/>
                <w:sz w:val="24"/>
                <w:highlight w:val="none"/>
              </w:rPr>
              <w:t>当出现服务端运行状态异常（CPU 持续占用过高、可用内存不足、系统主进程异常等），运维人员和医院信息部门能实时收到异常状态通知，及时进行故障排除。</w:t>
            </w:r>
          </w:p>
        </w:tc>
        <w:tc>
          <w:tcPr>
            <w:tcW w:w="1525"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rPr>
                <w:rFonts w:ascii="宋体" w:hAnsi="宋体" w:cs="宋体"/>
                <w:sz w:val="24"/>
                <w:highlight w:val="none"/>
              </w:rPr>
            </w:pPr>
          </w:p>
        </w:tc>
        <w:tc>
          <w:tcPr>
            <w:tcW w:w="850" w:type="dxa"/>
            <w:vMerge w:val="continue"/>
            <w:vAlign w:val="center"/>
          </w:tcPr>
          <w:p>
            <w:pPr>
              <w:rPr>
                <w:rFonts w:ascii="宋体" w:hAnsi="宋体" w:cs="宋体"/>
                <w:sz w:val="24"/>
                <w:highlight w:val="none"/>
              </w:rPr>
            </w:pPr>
          </w:p>
        </w:tc>
        <w:tc>
          <w:tcPr>
            <w:tcW w:w="993" w:type="dxa"/>
            <w:vAlign w:val="center"/>
          </w:tcPr>
          <w:p>
            <w:pPr>
              <w:rPr>
                <w:rFonts w:ascii="宋体" w:hAnsi="宋体" w:cs="宋体"/>
                <w:sz w:val="24"/>
                <w:highlight w:val="none"/>
              </w:rPr>
            </w:pPr>
            <w:r>
              <w:rPr>
                <w:rFonts w:ascii="宋体" w:hAnsi="宋体" w:cs="宋体"/>
                <w:sz w:val="24"/>
                <w:highlight w:val="none"/>
              </w:rPr>
              <w:t>3.1.3通知开关</w:t>
            </w:r>
          </w:p>
        </w:tc>
        <w:tc>
          <w:tcPr>
            <w:tcW w:w="5830" w:type="dxa"/>
            <w:vAlign w:val="center"/>
          </w:tcPr>
          <w:p>
            <w:pPr>
              <w:rPr>
                <w:rFonts w:ascii="宋体" w:hAnsi="宋体" w:cs="宋体"/>
                <w:sz w:val="24"/>
                <w:highlight w:val="none"/>
              </w:rPr>
            </w:pPr>
            <w:r>
              <w:rPr>
                <w:rFonts w:ascii="宋体" w:hAnsi="宋体" w:cs="宋体"/>
                <w:sz w:val="24"/>
                <w:highlight w:val="none"/>
              </w:rPr>
              <w:t>系统支持开关，用户可自助控制本功能的开启。</w:t>
            </w:r>
          </w:p>
        </w:tc>
        <w:tc>
          <w:tcPr>
            <w:tcW w:w="1525" w:type="dxa"/>
          </w:tcPr>
          <w:p>
            <w:pPr>
              <w:rPr>
                <w:rFonts w:ascii="宋体" w:hAnsi="宋体" w:cs="宋体"/>
                <w:sz w:val="24"/>
                <w:highlight w:val="none"/>
              </w:rPr>
            </w:pPr>
          </w:p>
        </w:tc>
      </w:tr>
    </w:tbl>
    <w:p>
      <w:pPr>
        <w:pStyle w:val="6"/>
        <w:ind w:firstLine="281"/>
        <w:rPr>
          <w:highlight w:val="none"/>
        </w:rPr>
      </w:pPr>
      <w:r>
        <w:rPr>
          <w:rFonts w:hint="eastAsia"/>
          <w:highlight w:val="none"/>
        </w:rPr>
        <w:t>报表制作工具</w:t>
      </w:r>
    </w:p>
    <w:p>
      <w:pPr>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为了满足日益增长的数据统计分析的需要，根据以往多年医疗信息化经验，开发出一套面对最终用户的自定义报表平台，允许医院用户可以通过提供基本的SQL就可以实现和专业程序效果一样的用户报表。</w:t>
      </w:r>
    </w:p>
    <w:p>
      <w:pPr>
        <w:pStyle w:val="721"/>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服务范围：嘉善县第一人民医院、北部分院</w:t>
      </w:r>
    </w:p>
    <w:p>
      <w:pPr>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功能要求：</w:t>
      </w:r>
    </w:p>
    <w:p>
      <w:pPr>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rPr>
        <w:tab/>
      </w:r>
      <w:r>
        <w:rPr>
          <w:rFonts w:hint="eastAsia" w:asciiTheme="minorEastAsia" w:hAnsiTheme="minorEastAsia" w:eastAsiaTheme="minorEastAsia"/>
          <w:sz w:val="24"/>
          <w:highlight w:val="none"/>
        </w:rPr>
        <w:t>用户可以通过自定义SQL语句创建新报表；</w:t>
      </w:r>
    </w:p>
    <w:p>
      <w:pPr>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hint="eastAsia" w:asciiTheme="minorEastAsia" w:hAnsiTheme="minorEastAsia" w:eastAsiaTheme="minorEastAsia"/>
          <w:sz w:val="24"/>
          <w:highlight w:val="none"/>
        </w:rPr>
        <w:tab/>
      </w:r>
      <w:r>
        <w:rPr>
          <w:rFonts w:hint="eastAsia" w:asciiTheme="minorEastAsia" w:hAnsiTheme="minorEastAsia" w:eastAsiaTheme="minorEastAsia"/>
          <w:sz w:val="24"/>
          <w:highlight w:val="none"/>
        </w:rPr>
        <w:t>人性化，智能化报表数据源定义工具；</w:t>
      </w:r>
    </w:p>
    <w:p>
      <w:pPr>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asciiTheme="minorEastAsia" w:hAnsiTheme="minorEastAsia" w:eastAsiaTheme="minorEastAsia"/>
          <w:sz w:val="24"/>
          <w:highlight w:val="none"/>
        </w:rPr>
        <w:tab/>
      </w:r>
      <w:r>
        <w:rPr>
          <w:rFonts w:hint="eastAsia" w:asciiTheme="minorEastAsia" w:hAnsiTheme="minorEastAsia" w:eastAsiaTheme="minorEastAsia"/>
          <w:sz w:val="24"/>
          <w:highlight w:val="none"/>
        </w:rPr>
        <w:t>内置多种类型报表查询条件（如日期范围，下拉框等），允许用户在自定义报表中任意组合使用；</w:t>
      </w:r>
    </w:p>
    <w:p>
      <w:pPr>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hint="eastAsia" w:asciiTheme="minorEastAsia" w:hAnsiTheme="minorEastAsia" w:eastAsiaTheme="minorEastAsia"/>
          <w:sz w:val="24"/>
          <w:highlight w:val="none"/>
        </w:rPr>
        <w:tab/>
      </w:r>
      <w:r>
        <w:rPr>
          <w:rFonts w:hint="eastAsia" w:asciiTheme="minorEastAsia" w:hAnsiTheme="minorEastAsia" w:eastAsiaTheme="minorEastAsia"/>
          <w:sz w:val="24"/>
          <w:highlight w:val="none"/>
        </w:rPr>
        <w:t>Web形式的报表展现界面，无需安装即可为终端用户展示报表数据；</w:t>
      </w:r>
    </w:p>
    <w:p>
      <w:pPr>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hint="eastAsia" w:asciiTheme="minorEastAsia" w:hAnsiTheme="minorEastAsia" w:eastAsiaTheme="minorEastAsia"/>
          <w:sz w:val="24"/>
          <w:highlight w:val="none"/>
        </w:rPr>
        <w:tab/>
      </w:r>
      <w:r>
        <w:rPr>
          <w:rFonts w:hint="eastAsia" w:asciiTheme="minorEastAsia" w:hAnsiTheme="minorEastAsia" w:eastAsiaTheme="minorEastAsia"/>
          <w:sz w:val="24"/>
          <w:highlight w:val="none"/>
        </w:rPr>
        <w:t>用户新增报表无需编译程序即可发布到最终用户；</w:t>
      </w:r>
    </w:p>
    <w:p>
      <w:pPr>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hint="eastAsia" w:asciiTheme="minorEastAsia" w:hAnsiTheme="minorEastAsia" w:eastAsiaTheme="minorEastAsia"/>
          <w:sz w:val="24"/>
          <w:highlight w:val="none"/>
        </w:rPr>
        <w:tab/>
      </w:r>
      <w:r>
        <w:rPr>
          <w:rFonts w:hint="eastAsia" w:asciiTheme="minorEastAsia" w:hAnsiTheme="minorEastAsia" w:eastAsiaTheme="minorEastAsia"/>
          <w:sz w:val="24"/>
          <w:highlight w:val="none"/>
        </w:rPr>
        <w:t>Web形式的报表展现系统允许用户对数据进行自由排序、过滤、并支持数据导出到Excel等通用格式；</w:t>
      </w:r>
    </w:p>
    <w:p>
      <w:pPr>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hint="eastAsia" w:asciiTheme="minorEastAsia" w:hAnsiTheme="minorEastAsia" w:eastAsiaTheme="minorEastAsia"/>
          <w:sz w:val="24"/>
          <w:highlight w:val="none"/>
        </w:rPr>
        <w:tab/>
      </w:r>
      <w:r>
        <w:rPr>
          <w:rFonts w:hint="eastAsia" w:asciiTheme="minorEastAsia" w:hAnsiTheme="minorEastAsia" w:eastAsiaTheme="minorEastAsia"/>
          <w:sz w:val="24"/>
          <w:highlight w:val="none"/>
        </w:rPr>
        <w:t>自定义报表中心拥有完整的权限管理功能，支持对报表查询及子功能项进行全面管理。</w:t>
      </w:r>
    </w:p>
    <w:p>
      <w:pPr>
        <w:pStyle w:val="6"/>
        <w:ind w:firstLine="281"/>
        <w:rPr>
          <w:highlight w:val="none"/>
        </w:rPr>
      </w:pPr>
      <w:r>
        <w:rPr>
          <w:rFonts w:hint="eastAsia"/>
          <w:highlight w:val="none"/>
        </w:rPr>
        <w:t>纸质病历扫描系统</w:t>
      </w:r>
    </w:p>
    <w:p>
      <w:pPr>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基于大数据存储技术面向医院用户进行病历资料归档管理，助推医院实现病案无纸化。借助一体化数据集成技术实现了临床病历数据自动采集；借助CA实现可靠性电子签名。通过病历医护审签、病历提交、签收核对、质检、自动分类、组套打印等实现临床无纸化病案归档，降低医院运营成本，进一步减轻医务人员工作压力。</w:t>
      </w:r>
    </w:p>
    <w:p>
      <w:pPr>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（1）将电子医疗数据从源头采集进行档案化封装，形成与应用无关、不可抵赖、易阅读、被法律认可的版式文档；</w:t>
      </w:r>
    </w:p>
    <w:p>
      <w:pPr>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（2）采用模板技术、可控的虚拟打印技术实现对电子医疗数据的PDF版式转化；</w:t>
      </w:r>
    </w:p>
    <w:p>
      <w:pPr>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（3）基于《医疗机构病历管理规定》《电子病历基本规范》《卫生系统电子认证服务管理办法》等文件，设计电子病案管理和使用的业务功能，实现医院病案生成和归档管理</w:t>
      </w:r>
    </w:p>
    <w:p>
      <w:pPr>
        <w:pStyle w:val="721"/>
        <w:spacing w:before="163" w:after="163"/>
        <w:ind w:firstLine="0" w:firstLineChars="0"/>
        <w:rPr>
          <w:rFonts w:asciiTheme="minorEastAsia" w:hAnsiTheme="minorEastAsia" w:eastAsiaTheme="minorEastAsia"/>
          <w:b/>
          <w:bCs/>
          <w:szCs w:val="24"/>
          <w:highlight w:val="none"/>
        </w:rPr>
      </w:pPr>
      <w:r>
        <w:rPr>
          <w:rFonts w:asciiTheme="minorEastAsia" w:hAnsiTheme="minorEastAsia" w:eastAsiaTheme="minorEastAsia"/>
          <w:b/>
          <w:bCs/>
          <w:szCs w:val="24"/>
          <w:highlight w:val="none"/>
        </w:rPr>
        <w:t>功能</w:t>
      </w:r>
      <w:r>
        <w:rPr>
          <w:rFonts w:hint="eastAsia" w:asciiTheme="minorEastAsia" w:hAnsiTheme="minorEastAsia" w:eastAsiaTheme="minorEastAsia"/>
          <w:b/>
          <w:bCs/>
          <w:szCs w:val="24"/>
          <w:highlight w:val="none"/>
        </w:rPr>
        <w:t>要求：</w:t>
      </w:r>
    </w:p>
    <w:p>
      <w:pPr>
        <w:pStyle w:val="721"/>
        <w:numPr>
          <w:ilvl w:val="0"/>
          <w:numId w:val="161"/>
        </w:numPr>
        <w:spacing w:before="163" w:after="163"/>
        <w:ind w:left="426" w:firstLineChars="0"/>
        <w:rPr>
          <w:rFonts w:asciiTheme="minorEastAsia" w:hAnsiTheme="minorEastAsia" w:eastAsiaTheme="minorEastAsia"/>
          <w:b/>
          <w:bCs/>
          <w:szCs w:val="24"/>
          <w:highlight w:val="none"/>
        </w:rPr>
      </w:pPr>
      <w:r>
        <w:rPr>
          <w:rFonts w:hint="eastAsia" w:asciiTheme="minorEastAsia" w:hAnsiTheme="minorEastAsia" w:eastAsiaTheme="minorEastAsia"/>
          <w:b/>
          <w:bCs/>
          <w:szCs w:val="24"/>
          <w:highlight w:val="none"/>
        </w:rPr>
        <w:t>数据接口</w:t>
      </w:r>
    </w:p>
    <w:p>
      <w:pPr>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接口层能够完成平台与院内HIS、EMR、LIS、RIS、PACS、DSS等系统的对接，获取医疗业务数据并提供病案相关数据。</w:t>
      </w:r>
    </w:p>
    <w:p>
      <w:pPr>
        <w:pStyle w:val="721"/>
        <w:numPr>
          <w:ilvl w:val="0"/>
          <w:numId w:val="161"/>
        </w:numPr>
        <w:spacing w:before="163" w:after="163"/>
        <w:ind w:left="426" w:firstLineChars="0"/>
        <w:rPr>
          <w:rFonts w:asciiTheme="minorEastAsia" w:hAnsiTheme="minorEastAsia" w:eastAsiaTheme="minorEastAsia"/>
          <w:b/>
          <w:bCs/>
          <w:szCs w:val="24"/>
          <w:highlight w:val="none"/>
        </w:rPr>
      </w:pPr>
      <w:r>
        <w:rPr>
          <w:rFonts w:hint="eastAsia" w:asciiTheme="minorEastAsia" w:hAnsiTheme="minorEastAsia" w:eastAsiaTheme="minorEastAsia"/>
          <w:b/>
          <w:bCs/>
          <w:szCs w:val="24"/>
          <w:highlight w:val="none"/>
        </w:rPr>
        <w:t>数据转换</w:t>
      </w:r>
    </w:p>
    <w:p>
      <w:pPr>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支持自动对客户端上传的文件进行解析、清洗、转换、加密操作，同时集中采集各业务系统（如HIS、LIS、PACS等）数据统一整合并通过中间件将数据转换成对应格式，从而形成独立的电子病历归档库，以备后续的业务模块使用。</w:t>
      </w:r>
    </w:p>
    <w:p>
      <w:pPr>
        <w:pStyle w:val="721"/>
        <w:numPr>
          <w:ilvl w:val="0"/>
          <w:numId w:val="161"/>
        </w:numPr>
        <w:spacing w:before="163" w:after="163"/>
        <w:ind w:left="426" w:firstLineChars="0"/>
        <w:rPr>
          <w:rFonts w:asciiTheme="minorEastAsia" w:hAnsiTheme="minorEastAsia" w:eastAsiaTheme="minorEastAsia"/>
          <w:b/>
          <w:bCs/>
          <w:szCs w:val="24"/>
          <w:highlight w:val="none"/>
        </w:rPr>
      </w:pPr>
      <w:r>
        <w:rPr>
          <w:rFonts w:hint="eastAsia" w:asciiTheme="minorEastAsia" w:hAnsiTheme="minorEastAsia" w:eastAsiaTheme="minorEastAsia"/>
          <w:b/>
          <w:bCs/>
          <w:szCs w:val="24"/>
          <w:highlight w:val="none"/>
        </w:rPr>
        <w:t>虚拟打印</w:t>
      </w:r>
    </w:p>
    <w:p>
      <w:pPr>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支持用于医疗病案打印的PDF虚拟打印机，实现病案信息统一输出的PDF文档格式文件。</w:t>
      </w:r>
    </w:p>
    <w:p>
      <w:pPr>
        <w:pStyle w:val="721"/>
        <w:numPr>
          <w:ilvl w:val="0"/>
          <w:numId w:val="161"/>
        </w:numPr>
        <w:spacing w:before="163" w:after="163"/>
        <w:ind w:left="426" w:firstLineChars="0"/>
        <w:rPr>
          <w:rFonts w:asciiTheme="minorEastAsia" w:hAnsiTheme="minorEastAsia" w:eastAsiaTheme="minorEastAsia"/>
          <w:b/>
          <w:bCs/>
          <w:szCs w:val="24"/>
          <w:highlight w:val="none"/>
        </w:rPr>
      </w:pPr>
      <w:r>
        <w:rPr>
          <w:rFonts w:hint="eastAsia" w:asciiTheme="minorEastAsia" w:hAnsiTheme="minorEastAsia" w:eastAsiaTheme="minorEastAsia"/>
          <w:b/>
          <w:bCs/>
          <w:szCs w:val="24"/>
          <w:highlight w:val="none"/>
        </w:rPr>
        <w:t>数字签名</w:t>
      </w:r>
    </w:p>
    <w:p>
      <w:pPr>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支持调用数字签名接口，实现与CA数字签名对接，保证无纸化病案图片的合法性，是系统具有法律效力和可信性。</w:t>
      </w:r>
    </w:p>
    <w:p>
      <w:pPr>
        <w:pStyle w:val="721"/>
        <w:numPr>
          <w:ilvl w:val="0"/>
          <w:numId w:val="161"/>
        </w:numPr>
        <w:spacing w:before="163" w:after="163"/>
        <w:ind w:left="426" w:firstLineChars="0"/>
        <w:rPr>
          <w:rFonts w:asciiTheme="minorEastAsia" w:hAnsiTheme="minorEastAsia" w:eastAsiaTheme="minorEastAsia"/>
          <w:b/>
          <w:bCs/>
          <w:szCs w:val="24"/>
          <w:highlight w:val="none"/>
        </w:rPr>
      </w:pPr>
      <w:r>
        <w:rPr>
          <w:rFonts w:hint="eastAsia" w:asciiTheme="minorEastAsia" w:hAnsiTheme="minorEastAsia" w:eastAsiaTheme="minorEastAsia"/>
          <w:b/>
          <w:bCs/>
          <w:szCs w:val="24"/>
          <w:highlight w:val="none"/>
        </w:rPr>
        <w:t>综合查询</w:t>
      </w:r>
    </w:p>
    <w:p>
      <w:pPr>
        <w:rPr>
          <w:highlight w:val="none"/>
        </w:rPr>
      </w:pPr>
      <w:r>
        <w:rPr>
          <w:rFonts w:hint="eastAsia" w:asciiTheme="minorEastAsia" w:hAnsiTheme="minorEastAsia" w:eastAsiaTheme="minorEastAsia"/>
          <w:sz w:val="24"/>
          <w:highlight w:val="none"/>
        </w:rPr>
        <w:t>支持医务人员可以根据具体的查询内容选择所需要的查询调节进行查询。</w:t>
      </w:r>
    </w:p>
    <w:p>
      <w:pPr>
        <w:pStyle w:val="6"/>
        <w:rPr>
          <w:highlight w:val="none"/>
        </w:rPr>
      </w:pPr>
      <w:r>
        <w:rPr>
          <w:rFonts w:hint="eastAsia"/>
          <w:highlight w:val="none"/>
        </w:rPr>
        <w:t>在线诊疗系统</w:t>
      </w:r>
    </w:p>
    <w:p>
      <w:pPr>
        <w:pStyle w:val="721"/>
        <w:ind w:firstLine="480"/>
        <w:rPr>
          <w:szCs w:val="24"/>
          <w:highlight w:val="none"/>
        </w:rPr>
      </w:pPr>
      <w:r>
        <w:rPr>
          <w:rFonts w:hint="eastAsia"/>
          <w:szCs w:val="24"/>
          <w:highlight w:val="none"/>
        </w:rPr>
        <w:t>一、患者端：</w:t>
      </w:r>
    </w:p>
    <w:p>
      <w:pPr>
        <w:pStyle w:val="721"/>
        <w:ind w:firstLine="480"/>
        <w:rPr>
          <w:szCs w:val="24"/>
          <w:highlight w:val="none"/>
        </w:rPr>
      </w:pPr>
      <w:r>
        <w:rPr>
          <w:rFonts w:hint="eastAsia"/>
          <w:szCs w:val="24"/>
          <w:highlight w:val="none"/>
        </w:rPr>
        <w:t>个人中心：</w:t>
      </w:r>
    </w:p>
    <w:p>
      <w:pPr>
        <w:pStyle w:val="721"/>
        <w:ind w:firstLine="480"/>
        <w:rPr>
          <w:szCs w:val="24"/>
          <w:highlight w:val="none"/>
        </w:rPr>
      </w:pPr>
      <w:r>
        <w:rPr>
          <w:rFonts w:hint="eastAsia"/>
          <w:szCs w:val="24"/>
          <w:highlight w:val="none"/>
        </w:rPr>
        <w:t>支持患者个人中心首页展示，居民可通过提交个人基本信息完成实名认证，系统自动获取医院信息系统的就诊卡信息，居民基于以上这些信息进行提交，即可完成就诊卡的绑定；可添加多个就诊人。</w:t>
      </w:r>
    </w:p>
    <w:p>
      <w:pPr>
        <w:pStyle w:val="721"/>
        <w:ind w:firstLine="480"/>
        <w:rPr>
          <w:szCs w:val="24"/>
          <w:highlight w:val="none"/>
        </w:rPr>
      </w:pPr>
      <w:r>
        <w:rPr>
          <w:rFonts w:hint="eastAsia"/>
          <w:szCs w:val="24"/>
          <w:highlight w:val="none"/>
        </w:rPr>
        <w:t>医院介绍：</w:t>
      </w:r>
    </w:p>
    <w:p>
      <w:pPr>
        <w:pStyle w:val="721"/>
        <w:ind w:firstLine="480"/>
        <w:rPr>
          <w:szCs w:val="24"/>
          <w:highlight w:val="none"/>
        </w:rPr>
      </w:pPr>
      <w:r>
        <w:rPr>
          <w:rFonts w:hint="eastAsia"/>
          <w:szCs w:val="24"/>
          <w:highlight w:val="none"/>
        </w:rPr>
        <w:t>支持提供医院简介供患者查看。患者可以查看医院、科室、医生的详细介绍、专长特色；</w:t>
      </w:r>
    </w:p>
    <w:p>
      <w:pPr>
        <w:pStyle w:val="721"/>
        <w:ind w:firstLine="480"/>
        <w:rPr>
          <w:szCs w:val="24"/>
          <w:highlight w:val="none"/>
        </w:rPr>
      </w:pPr>
      <w:r>
        <w:rPr>
          <w:rFonts w:hint="eastAsia"/>
          <w:szCs w:val="24"/>
          <w:highlight w:val="none"/>
        </w:rPr>
        <w:t>就诊指导：</w:t>
      </w:r>
    </w:p>
    <w:p>
      <w:pPr>
        <w:pStyle w:val="721"/>
        <w:ind w:firstLine="480"/>
        <w:rPr>
          <w:szCs w:val="24"/>
          <w:highlight w:val="none"/>
        </w:rPr>
      </w:pPr>
      <w:r>
        <w:rPr>
          <w:rFonts w:hint="eastAsia"/>
          <w:szCs w:val="24"/>
          <w:highlight w:val="none"/>
        </w:rPr>
        <w:t>支持居民查询相关就医指南，包括手机缴费及退款处理介绍、医院客服电话等。</w:t>
      </w:r>
    </w:p>
    <w:p>
      <w:pPr>
        <w:pStyle w:val="721"/>
        <w:ind w:firstLine="480"/>
        <w:rPr>
          <w:szCs w:val="24"/>
          <w:highlight w:val="none"/>
        </w:rPr>
      </w:pPr>
      <w:r>
        <w:rPr>
          <w:rFonts w:hint="eastAsia"/>
          <w:szCs w:val="24"/>
          <w:highlight w:val="none"/>
        </w:rPr>
        <w:t>健康资讯：</w:t>
      </w:r>
    </w:p>
    <w:p>
      <w:pPr>
        <w:pStyle w:val="721"/>
        <w:ind w:firstLine="480"/>
        <w:rPr>
          <w:szCs w:val="24"/>
          <w:highlight w:val="none"/>
        </w:rPr>
      </w:pPr>
      <w:r>
        <w:rPr>
          <w:rFonts w:hint="eastAsia"/>
          <w:szCs w:val="24"/>
          <w:highlight w:val="none"/>
        </w:rPr>
        <w:t>支持居民查看个人健康管理知识、讯息，可进行关键字搜索，查询需要了解的关键健康咨询信息。</w:t>
      </w:r>
    </w:p>
    <w:p>
      <w:pPr>
        <w:pStyle w:val="721"/>
        <w:ind w:firstLine="480"/>
        <w:rPr>
          <w:szCs w:val="24"/>
          <w:highlight w:val="none"/>
        </w:rPr>
      </w:pPr>
      <w:r>
        <w:rPr>
          <w:rFonts w:hint="eastAsia"/>
          <w:szCs w:val="24"/>
          <w:highlight w:val="none"/>
        </w:rPr>
        <w:t>在线咨询（医、护都要包括）：</w:t>
      </w:r>
    </w:p>
    <w:p>
      <w:pPr>
        <w:pStyle w:val="721"/>
        <w:ind w:firstLine="480"/>
        <w:rPr>
          <w:szCs w:val="24"/>
          <w:highlight w:val="none"/>
        </w:rPr>
      </w:pPr>
      <w:r>
        <w:rPr>
          <w:rFonts w:hint="eastAsia"/>
          <w:szCs w:val="24"/>
          <w:highlight w:val="none"/>
        </w:rPr>
        <w:t>居民可以选择想要咨询的科室，支持居民输入个人病情描述，包括症状描述、患病时长、医院检查、用药情况等内容，支持上传图片资料，包括病症部位、检查报告或其他病情资料，同时提交并其描述和上传的图片资料，进行线上图文咨询，提交后可与医生进行线上文字对话。</w:t>
      </w:r>
    </w:p>
    <w:p>
      <w:pPr>
        <w:pStyle w:val="721"/>
        <w:ind w:firstLine="480"/>
        <w:rPr>
          <w:szCs w:val="24"/>
          <w:highlight w:val="none"/>
        </w:rPr>
      </w:pPr>
      <w:r>
        <w:rPr>
          <w:rFonts w:hint="eastAsia"/>
          <w:szCs w:val="24"/>
          <w:highlight w:val="none"/>
        </w:rPr>
        <w:t>在线复诊：</w:t>
      </w:r>
    </w:p>
    <w:p>
      <w:pPr>
        <w:pStyle w:val="721"/>
        <w:ind w:firstLine="480"/>
        <w:rPr>
          <w:szCs w:val="24"/>
          <w:highlight w:val="none"/>
        </w:rPr>
      </w:pPr>
      <w:r>
        <w:rPr>
          <w:rFonts w:hint="eastAsia"/>
          <w:szCs w:val="24"/>
          <w:highlight w:val="none"/>
        </w:rPr>
        <w:t>患者在3个月内线下有诊疗记录的慢性病、常见病可以选择在线上诊疗系统就诊。</w:t>
      </w:r>
    </w:p>
    <w:p>
      <w:pPr>
        <w:pStyle w:val="721"/>
        <w:ind w:firstLine="480"/>
        <w:rPr>
          <w:szCs w:val="24"/>
          <w:highlight w:val="none"/>
        </w:rPr>
      </w:pPr>
      <w:r>
        <w:rPr>
          <w:rFonts w:hint="eastAsia"/>
          <w:szCs w:val="24"/>
          <w:highlight w:val="none"/>
        </w:rPr>
        <w:t>药事服务（对接院外药房）：</w:t>
      </w:r>
    </w:p>
    <w:p>
      <w:pPr>
        <w:pStyle w:val="721"/>
        <w:ind w:firstLine="480"/>
        <w:rPr>
          <w:szCs w:val="24"/>
          <w:highlight w:val="none"/>
        </w:rPr>
      </w:pPr>
      <w:r>
        <w:rPr>
          <w:rFonts w:hint="eastAsia"/>
          <w:szCs w:val="24"/>
          <w:highlight w:val="none"/>
        </w:rPr>
        <w:t>支持线上诊疗药事服务，支持对接院外药房进行处方流转药品配送。</w:t>
      </w:r>
    </w:p>
    <w:p>
      <w:pPr>
        <w:pStyle w:val="721"/>
        <w:ind w:firstLine="480"/>
        <w:rPr>
          <w:szCs w:val="24"/>
          <w:highlight w:val="none"/>
        </w:rPr>
      </w:pPr>
      <w:r>
        <w:rPr>
          <w:rFonts w:hint="eastAsia"/>
          <w:szCs w:val="24"/>
          <w:highlight w:val="none"/>
        </w:rPr>
        <w:t>消息推送：</w:t>
      </w:r>
    </w:p>
    <w:p>
      <w:pPr>
        <w:pStyle w:val="721"/>
        <w:ind w:firstLine="480"/>
        <w:rPr>
          <w:szCs w:val="24"/>
          <w:highlight w:val="none"/>
        </w:rPr>
      </w:pPr>
      <w:r>
        <w:rPr>
          <w:rFonts w:hint="eastAsia"/>
          <w:szCs w:val="24"/>
          <w:highlight w:val="none"/>
        </w:rPr>
        <w:t>支持各类诊疗信息及消息线上推送给患者。</w:t>
      </w:r>
    </w:p>
    <w:p>
      <w:pPr>
        <w:pStyle w:val="721"/>
        <w:ind w:firstLine="480"/>
        <w:rPr>
          <w:szCs w:val="24"/>
          <w:highlight w:val="none"/>
        </w:rPr>
      </w:pPr>
      <w:r>
        <w:rPr>
          <w:rFonts w:hint="eastAsia"/>
          <w:szCs w:val="24"/>
          <w:highlight w:val="none"/>
        </w:rPr>
        <w:t>预约挂号（对接在线医保支付）：</w:t>
      </w:r>
    </w:p>
    <w:p>
      <w:pPr>
        <w:pStyle w:val="721"/>
        <w:ind w:firstLine="480"/>
        <w:rPr>
          <w:szCs w:val="24"/>
          <w:highlight w:val="none"/>
        </w:rPr>
      </w:pPr>
      <w:r>
        <w:rPr>
          <w:rFonts w:hint="eastAsia"/>
          <w:szCs w:val="24"/>
          <w:highlight w:val="none"/>
        </w:rPr>
        <w:t>实现医院门诊分时段预约挂号，患者可自由选择就诊科室/专家、就诊日期和时间进行挂号。挂号成功后患者可以收到系统消息，消息包含预约科室/专家、就诊时间、就诊地点等内容。</w:t>
      </w:r>
    </w:p>
    <w:p>
      <w:pPr>
        <w:pStyle w:val="721"/>
        <w:ind w:firstLine="480"/>
        <w:rPr>
          <w:szCs w:val="24"/>
          <w:highlight w:val="none"/>
        </w:rPr>
      </w:pPr>
      <w:r>
        <w:rPr>
          <w:rFonts w:hint="eastAsia"/>
          <w:szCs w:val="24"/>
          <w:highlight w:val="none"/>
        </w:rPr>
        <w:t>当日取号（对接在线医保支付）：</w:t>
      </w:r>
    </w:p>
    <w:p>
      <w:pPr>
        <w:pStyle w:val="721"/>
        <w:ind w:firstLine="480"/>
        <w:rPr>
          <w:szCs w:val="24"/>
          <w:highlight w:val="none"/>
        </w:rPr>
      </w:pPr>
      <w:r>
        <w:rPr>
          <w:rFonts w:hint="eastAsia"/>
          <w:szCs w:val="24"/>
          <w:highlight w:val="none"/>
        </w:rPr>
        <w:t>实现当天医院门诊分时段挂号，患者可选择就诊科室/专家、就诊时间进行挂号。挂号成功后患者可以收到系统消息，消息包含预约科室/专家、就诊时间、就诊地点等内容。</w:t>
      </w:r>
    </w:p>
    <w:p>
      <w:pPr>
        <w:pStyle w:val="721"/>
        <w:ind w:firstLine="480"/>
        <w:rPr>
          <w:szCs w:val="24"/>
          <w:highlight w:val="none"/>
        </w:rPr>
      </w:pPr>
      <w:r>
        <w:rPr>
          <w:rFonts w:hint="eastAsia"/>
          <w:szCs w:val="24"/>
          <w:highlight w:val="none"/>
        </w:rPr>
        <w:t>候诊叫号：</w:t>
      </w:r>
    </w:p>
    <w:p>
      <w:pPr>
        <w:pStyle w:val="721"/>
        <w:ind w:firstLine="480"/>
        <w:rPr>
          <w:highlight w:val="none"/>
        </w:rPr>
      </w:pPr>
      <w:r>
        <w:rPr>
          <w:rFonts w:hint="eastAsia"/>
          <w:highlight w:val="none"/>
        </w:rPr>
        <w:t>患者预约挂号成功后，即可进入候诊服务</w:t>
      </w:r>
      <w:r>
        <w:rPr>
          <w:rFonts w:hint="eastAsia" w:ascii="微软雅黑" w:hAnsi="微软雅黑"/>
          <w:highlight w:val="none"/>
        </w:rPr>
        <w:t>队列</w:t>
      </w:r>
      <w:r>
        <w:rPr>
          <w:rFonts w:hint="eastAsia"/>
          <w:highlight w:val="none"/>
        </w:rPr>
        <w:t>，临近排队到号时，系统自动推送叫号提醒，保证患者不过号。</w:t>
      </w:r>
    </w:p>
    <w:p>
      <w:pPr>
        <w:pStyle w:val="721"/>
        <w:ind w:firstLine="480"/>
        <w:rPr>
          <w:szCs w:val="24"/>
          <w:highlight w:val="none"/>
        </w:rPr>
      </w:pPr>
      <w:r>
        <w:rPr>
          <w:rFonts w:hint="eastAsia"/>
          <w:szCs w:val="24"/>
          <w:highlight w:val="none"/>
        </w:rPr>
        <w:t>报告单查询：</w:t>
      </w:r>
    </w:p>
    <w:p>
      <w:pPr>
        <w:pStyle w:val="721"/>
        <w:ind w:firstLine="480"/>
        <w:rPr>
          <w:highlight w:val="none"/>
        </w:rPr>
      </w:pPr>
      <w:r>
        <w:rPr>
          <w:rFonts w:hint="eastAsia"/>
          <w:highlight w:val="none"/>
        </w:rPr>
        <w:t>检查检验报告出具后，患者可以在手机查看每个检查检验项目的具体内容和结果，系统还可会提示参考值和检验结果，方便患者随时</w:t>
      </w:r>
      <w:r>
        <w:rPr>
          <w:rFonts w:hint="eastAsia" w:ascii="微软雅黑" w:hAnsi="微软雅黑"/>
          <w:highlight w:val="none"/>
        </w:rPr>
        <w:t>查看</w:t>
      </w:r>
      <w:r>
        <w:rPr>
          <w:rFonts w:hint="eastAsia"/>
          <w:highlight w:val="none"/>
        </w:rPr>
        <w:t>。</w:t>
      </w:r>
    </w:p>
    <w:p>
      <w:pPr>
        <w:pStyle w:val="721"/>
        <w:ind w:firstLine="480"/>
        <w:rPr>
          <w:szCs w:val="24"/>
          <w:highlight w:val="none"/>
        </w:rPr>
      </w:pPr>
      <w:r>
        <w:rPr>
          <w:rFonts w:hint="eastAsia"/>
          <w:szCs w:val="24"/>
          <w:highlight w:val="none"/>
        </w:rPr>
        <w:t>门诊缴费（对接在线医保支付）：</w:t>
      </w:r>
    </w:p>
    <w:p>
      <w:pPr>
        <w:pStyle w:val="721"/>
        <w:ind w:firstLine="480"/>
        <w:rPr>
          <w:szCs w:val="24"/>
          <w:highlight w:val="none"/>
        </w:rPr>
      </w:pPr>
      <w:r>
        <w:rPr>
          <w:rFonts w:hint="eastAsia"/>
          <w:szCs w:val="24"/>
          <w:highlight w:val="none"/>
        </w:rPr>
        <w:t>患者经过医生诊断后，无需再次排队缴费，系统将自动推送账单至患者手机，患者只需输入支付密码即可完成其他项目的支付</w:t>
      </w:r>
    </w:p>
    <w:p>
      <w:pPr>
        <w:pStyle w:val="721"/>
        <w:ind w:firstLine="480"/>
        <w:rPr>
          <w:szCs w:val="24"/>
          <w:highlight w:val="none"/>
        </w:rPr>
      </w:pPr>
      <w:r>
        <w:rPr>
          <w:rFonts w:hint="eastAsia"/>
          <w:szCs w:val="24"/>
          <w:highlight w:val="none"/>
        </w:rPr>
        <w:t>病案号相关：</w:t>
      </w:r>
    </w:p>
    <w:p>
      <w:pPr>
        <w:pStyle w:val="721"/>
        <w:ind w:firstLine="480"/>
        <w:rPr>
          <w:szCs w:val="24"/>
          <w:highlight w:val="none"/>
        </w:rPr>
      </w:pPr>
      <w:r>
        <w:rPr>
          <w:rFonts w:hint="eastAsia"/>
          <w:szCs w:val="24"/>
          <w:highlight w:val="none"/>
        </w:rPr>
        <w:t>支持患者病案信息数据线上查询。</w:t>
      </w:r>
    </w:p>
    <w:p>
      <w:pPr>
        <w:pStyle w:val="721"/>
        <w:ind w:firstLine="480"/>
        <w:rPr>
          <w:szCs w:val="24"/>
          <w:highlight w:val="none"/>
        </w:rPr>
      </w:pPr>
      <w:r>
        <w:rPr>
          <w:rFonts w:hint="eastAsia"/>
          <w:szCs w:val="24"/>
          <w:highlight w:val="none"/>
        </w:rPr>
        <w:t>在线开单（在线咨询时医生根据实际需要开检查、检验单）：</w:t>
      </w:r>
    </w:p>
    <w:p>
      <w:pPr>
        <w:pStyle w:val="721"/>
        <w:ind w:firstLine="480"/>
        <w:rPr>
          <w:szCs w:val="24"/>
          <w:highlight w:val="none"/>
        </w:rPr>
      </w:pPr>
      <w:r>
        <w:rPr>
          <w:rFonts w:hint="eastAsia"/>
          <w:szCs w:val="24"/>
          <w:highlight w:val="none"/>
        </w:rPr>
        <w:t>支持线上开立检查检验申请单。</w:t>
      </w:r>
    </w:p>
    <w:p>
      <w:pPr>
        <w:pStyle w:val="721"/>
        <w:ind w:firstLine="480"/>
        <w:rPr>
          <w:szCs w:val="24"/>
          <w:highlight w:val="none"/>
        </w:rPr>
      </w:pPr>
      <w:r>
        <w:rPr>
          <w:rFonts w:hint="eastAsia"/>
          <w:szCs w:val="24"/>
          <w:highlight w:val="none"/>
        </w:rPr>
        <w:t>二、医护端：</w:t>
      </w:r>
    </w:p>
    <w:p>
      <w:pPr>
        <w:pStyle w:val="721"/>
        <w:ind w:firstLine="480"/>
        <w:rPr>
          <w:szCs w:val="24"/>
          <w:highlight w:val="none"/>
        </w:rPr>
      </w:pPr>
      <w:r>
        <w:rPr>
          <w:rFonts w:hint="eastAsia"/>
          <w:szCs w:val="24"/>
          <w:highlight w:val="none"/>
        </w:rPr>
        <w:t>个人中心：</w:t>
      </w:r>
    </w:p>
    <w:p>
      <w:pPr>
        <w:pStyle w:val="721"/>
        <w:ind w:firstLine="480"/>
        <w:rPr>
          <w:szCs w:val="24"/>
          <w:highlight w:val="none"/>
        </w:rPr>
      </w:pPr>
      <w:r>
        <w:rPr>
          <w:rFonts w:hint="eastAsia"/>
          <w:szCs w:val="24"/>
          <w:highlight w:val="none"/>
        </w:rPr>
        <w:t>支持医护个人中心数据显示，包括医生姓名、职称、擅长医学技能简介等。</w:t>
      </w:r>
    </w:p>
    <w:p>
      <w:pPr>
        <w:pStyle w:val="721"/>
        <w:ind w:firstLine="480"/>
        <w:rPr>
          <w:szCs w:val="24"/>
          <w:highlight w:val="none"/>
        </w:rPr>
      </w:pPr>
      <w:r>
        <w:rPr>
          <w:rFonts w:hint="eastAsia"/>
          <w:szCs w:val="24"/>
          <w:highlight w:val="none"/>
        </w:rPr>
        <w:t>在线咨询：</w:t>
      </w:r>
    </w:p>
    <w:p>
      <w:pPr>
        <w:pStyle w:val="721"/>
        <w:ind w:firstLine="480"/>
        <w:rPr>
          <w:szCs w:val="24"/>
          <w:highlight w:val="none"/>
        </w:rPr>
      </w:pPr>
      <w:r>
        <w:rPr>
          <w:rFonts w:hint="eastAsia"/>
          <w:szCs w:val="24"/>
          <w:highlight w:val="none"/>
        </w:rPr>
        <w:t>支持医生在线完成对应患者的图文咨询回复，查询咨询患者列表信息。</w:t>
      </w:r>
    </w:p>
    <w:p>
      <w:pPr>
        <w:pStyle w:val="721"/>
        <w:ind w:firstLine="480"/>
        <w:rPr>
          <w:szCs w:val="24"/>
          <w:highlight w:val="none"/>
        </w:rPr>
      </w:pPr>
      <w:r>
        <w:rPr>
          <w:rFonts w:hint="eastAsia"/>
          <w:szCs w:val="24"/>
          <w:highlight w:val="none"/>
        </w:rPr>
        <w:t>在线处方：</w:t>
      </w:r>
    </w:p>
    <w:p>
      <w:pPr>
        <w:pStyle w:val="721"/>
        <w:ind w:firstLine="480"/>
        <w:rPr>
          <w:szCs w:val="24"/>
          <w:highlight w:val="none"/>
        </w:rPr>
      </w:pPr>
      <w:r>
        <w:rPr>
          <w:rFonts w:hint="eastAsia"/>
          <w:szCs w:val="24"/>
          <w:highlight w:val="none"/>
        </w:rPr>
        <w:t>医生可以通过平台选择医院内诊疗资源，实现在线开据检查检验申请单、电子处方等医嘱开单功能。</w:t>
      </w:r>
    </w:p>
    <w:p>
      <w:pPr>
        <w:pStyle w:val="721"/>
        <w:ind w:firstLine="480"/>
        <w:rPr>
          <w:szCs w:val="24"/>
          <w:highlight w:val="none"/>
        </w:rPr>
      </w:pPr>
      <w:r>
        <w:rPr>
          <w:rFonts w:hint="eastAsia"/>
          <w:szCs w:val="24"/>
          <w:highlight w:val="none"/>
        </w:rPr>
        <w:t>业务设置：</w:t>
      </w:r>
    </w:p>
    <w:p>
      <w:pPr>
        <w:pStyle w:val="721"/>
        <w:ind w:firstLine="480"/>
        <w:rPr>
          <w:szCs w:val="24"/>
          <w:highlight w:val="none"/>
        </w:rPr>
      </w:pPr>
      <w:r>
        <w:rPr>
          <w:rFonts w:hint="eastAsia"/>
          <w:szCs w:val="24"/>
          <w:highlight w:val="none"/>
        </w:rPr>
        <w:t>支持医生业务功能配置，医生可自行控制接诊时间。</w:t>
      </w:r>
    </w:p>
    <w:p>
      <w:pPr>
        <w:pStyle w:val="721"/>
        <w:ind w:firstLine="480"/>
        <w:rPr>
          <w:szCs w:val="24"/>
          <w:highlight w:val="none"/>
        </w:rPr>
      </w:pPr>
      <w:r>
        <w:rPr>
          <w:rFonts w:hint="eastAsia"/>
          <w:szCs w:val="24"/>
          <w:highlight w:val="none"/>
        </w:rPr>
        <w:t>三、平台端:</w:t>
      </w:r>
    </w:p>
    <w:p>
      <w:pPr>
        <w:pStyle w:val="721"/>
        <w:ind w:firstLine="480"/>
        <w:rPr>
          <w:szCs w:val="24"/>
          <w:highlight w:val="none"/>
        </w:rPr>
      </w:pPr>
      <w:r>
        <w:rPr>
          <w:rFonts w:hint="eastAsia"/>
          <w:szCs w:val="24"/>
          <w:highlight w:val="none"/>
        </w:rPr>
        <w:t>平台管理：</w:t>
      </w:r>
    </w:p>
    <w:p>
      <w:pPr>
        <w:pStyle w:val="721"/>
        <w:ind w:firstLine="480"/>
        <w:rPr>
          <w:highlight w:val="none"/>
        </w:rPr>
      </w:pPr>
      <w:r>
        <w:rPr>
          <w:rFonts w:hint="eastAsia"/>
          <w:szCs w:val="24"/>
          <w:highlight w:val="none"/>
        </w:rPr>
        <w:t>平台管理员可以通过本功能，统一管理医院各个账号的用户信息，包括角色、密码、联系方式等信息。支持统一管理各类模块功能的用户查看使用权限。支持</w:t>
      </w:r>
      <w:r>
        <w:rPr>
          <w:rFonts w:hint="eastAsia"/>
          <w:highlight w:val="none"/>
        </w:rPr>
        <w:t>维护医院支付账户、对账设置等内容，包括账户ID、支付渠道、业务场景、支付模式、AppID、主商户号/子商户号等内容，以及对账设置、编辑账户信息等操作。</w:t>
      </w:r>
    </w:p>
    <w:p>
      <w:pPr>
        <w:pStyle w:val="721"/>
        <w:ind w:firstLine="480"/>
        <w:rPr>
          <w:szCs w:val="24"/>
          <w:highlight w:val="none"/>
        </w:rPr>
      </w:pPr>
      <w:r>
        <w:rPr>
          <w:rFonts w:hint="eastAsia"/>
          <w:szCs w:val="24"/>
          <w:highlight w:val="none"/>
        </w:rPr>
        <w:t>业务管理：</w:t>
      </w:r>
    </w:p>
    <w:p>
      <w:pPr>
        <w:pStyle w:val="721"/>
        <w:ind w:firstLine="480"/>
        <w:rPr>
          <w:szCs w:val="24"/>
          <w:highlight w:val="none"/>
        </w:rPr>
      </w:pPr>
      <w:r>
        <w:rPr>
          <w:rFonts w:hint="eastAsia"/>
          <w:szCs w:val="24"/>
          <w:highlight w:val="none"/>
        </w:rPr>
        <w:t>支持各类业务类功能进行统一管理，包括线上问诊、业务基础数据维护等内容。</w:t>
      </w:r>
    </w:p>
    <w:p>
      <w:pPr>
        <w:pStyle w:val="721"/>
        <w:ind w:firstLine="480"/>
        <w:rPr>
          <w:szCs w:val="24"/>
          <w:highlight w:val="none"/>
        </w:rPr>
      </w:pPr>
      <w:r>
        <w:rPr>
          <w:rFonts w:hint="eastAsia"/>
          <w:szCs w:val="24"/>
          <w:highlight w:val="none"/>
        </w:rPr>
        <w:t>财务管理：</w:t>
      </w:r>
    </w:p>
    <w:p>
      <w:pPr>
        <w:pStyle w:val="721"/>
        <w:ind w:firstLine="480"/>
        <w:rPr>
          <w:szCs w:val="24"/>
          <w:highlight w:val="none"/>
        </w:rPr>
      </w:pPr>
      <w:r>
        <w:rPr>
          <w:rFonts w:hint="eastAsia"/>
          <w:szCs w:val="24"/>
          <w:highlight w:val="none"/>
        </w:rPr>
        <w:t>支持财务数据统计、线上对账、异常订单处理等操作。</w:t>
      </w:r>
    </w:p>
    <w:p>
      <w:pPr>
        <w:pStyle w:val="721"/>
        <w:ind w:firstLine="480"/>
        <w:rPr>
          <w:szCs w:val="24"/>
          <w:highlight w:val="none"/>
        </w:rPr>
      </w:pPr>
      <w:r>
        <w:rPr>
          <w:rFonts w:hint="eastAsia"/>
          <w:szCs w:val="24"/>
          <w:highlight w:val="none"/>
        </w:rPr>
        <w:t>运营管理：</w:t>
      </w:r>
    </w:p>
    <w:p>
      <w:pPr>
        <w:pStyle w:val="721"/>
        <w:ind w:firstLine="480"/>
        <w:rPr>
          <w:szCs w:val="24"/>
          <w:highlight w:val="none"/>
        </w:rPr>
      </w:pPr>
      <w:r>
        <w:rPr>
          <w:rFonts w:hint="eastAsia"/>
          <w:szCs w:val="24"/>
          <w:highlight w:val="none"/>
        </w:rPr>
        <w:t>支持各类运营数据统计汇总。</w:t>
      </w:r>
    </w:p>
    <w:p>
      <w:pPr>
        <w:pStyle w:val="5"/>
        <w:ind w:left="0" w:firstLine="0"/>
        <w:rPr>
          <w:highlight w:val="none"/>
        </w:rPr>
      </w:pPr>
      <w:r>
        <w:rPr>
          <w:rFonts w:hint="eastAsia"/>
          <w:highlight w:val="none"/>
        </w:rPr>
        <w:t>接口对接</w:t>
      </w:r>
    </w:p>
    <w:p>
      <w:pPr>
        <w:pStyle w:val="6"/>
        <w:ind w:firstLine="281"/>
        <w:rPr>
          <w:highlight w:val="none"/>
        </w:rPr>
      </w:pPr>
      <w:r>
        <w:rPr>
          <w:rFonts w:hint="eastAsia"/>
          <w:highlight w:val="none"/>
        </w:rPr>
        <w:t>手麻监护系统</w:t>
      </w:r>
    </w:p>
    <w:p>
      <w:pPr>
        <w:ind w:firstLine="480" w:firstLineChars="200"/>
        <w:rPr>
          <w:rFonts w:ascii="宋体" w:hAnsi="宋体"/>
          <w:sz w:val="24"/>
          <w:highlight w:val="none"/>
        </w:rPr>
      </w:pPr>
      <w:r>
        <w:rPr>
          <w:rFonts w:hint="eastAsia" w:ascii="宋体" w:hAnsi="宋体"/>
          <w:sz w:val="24"/>
          <w:highlight w:val="none"/>
        </w:rPr>
        <w:t>支持手麻监护系统接口对接</w:t>
      </w:r>
    </w:p>
    <w:p>
      <w:pPr>
        <w:ind w:firstLine="480" w:firstLineChars="200"/>
        <w:rPr>
          <w:rFonts w:ascii="宋体" w:hAnsi="宋体"/>
          <w:sz w:val="24"/>
          <w:highlight w:val="none"/>
        </w:rPr>
      </w:pPr>
      <w:r>
        <w:rPr>
          <w:rFonts w:hint="eastAsia" w:ascii="宋体" w:hAnsi="宋体"/>
          <w:sz w:val="24"/>
          <w:highlight w:val="none"/>
        </w:rPr>
        <w:t>需包含北部分院接口对接</w:t>
      </w:r>
    </w:p>
    <w:p>
      <w:pPr>
        <w:pStyle w:val="6"/>
        <w:ind w:firstLine="281"/>
        <w:rPr>
          <w:highlight w:val="none"/>
        </w:rPr>
      </w:pPr>
      <w:r>
        <w:rPr>
          <w:rFonts w:hint="eastAsia"/>
          <w:highlight w:val="none"/>
        </w:rPr>
        <w:t>血透管理系统</w:t>
      </w:r>
    </w:p>
    <w:p>
      <w:pPr>
        <w:ind w:firstLine="480" w:firstLineChars="200"/>
        <w:rPr>
          <w:rFonts w:ascii="宋体" w:hAnsi="宋体"/>
          <w:sz w:val="24"/>
          <w:highlight w:val="none"/>
        </w:rPr>
      </w:pPr>
      <w:r>
        <w:rPr>
          <w:rFonts w:hint="eastAsia" w:ascii="宋体" w:hAnsi="宋体"/>
          <w:sz w:val="24"/>
          <w:highlight w:val="none"/>
        </w:rPr>
        <w:t>支持血透管理系统接口对接</w:t>
      </w:r>
    </w:p>
    <w:p>
      <w:pPr>
        <w:ind w:firstLine="480" w:firstLineChars="200"/>
        <w:rPr>
          <w:rFonts w:ascii="宋体" w:hAnsi="宋体"/>
          <w:sz w:val="24"/>
          <w:highlight w:val="none"/>
        </w:rPr>
      </w:pPr>
      <w:r>
        <w:rPr>
          <w:rFonts w:hint="eastAsia" w:ascii="宋体" w:hAnsi="宋体"/>
          <w:sz w:val="24"/>
          <w:highlight w:val="none"/>
        </w:rPr>
        <w:t>需包含北部分院接口对接</w:t>
      </w:r>
    </w:p>
    <w:p>
      <w:pPr>
        <w:pStyle w:val="6"/>
        <w:ind w:firstLine="281"/>
        <w:rPr>
          <w:highlight w:val="none"/>
        </w:rPr>
      </w:pPr>
      <w:r>
        <w:rPr>
          <w:rFonts w:hint="eastAsia"/>
          <w:highlight w:val="none"/>
        </w:rPr>
        <w:t>病案管理系统</w:t>
      </w:r>
    </w:p>
    <w:p>
      <w:pPr>
        <w:ind w:firstLine="480" w:firstLineChars="200"/>
        <w:rPr>
          <w:rFonts w:ascii="宋体" w:hAnsi="宋体"/>
          <w:sz w:val="24"/>
          <w:highlight w:val="none"/>
        </w:rPr>
      </w:pPr>
      <w:r>
        <w:rPr>
          <w:rFonts w:hint="eastAsia" w:ascii="宋体" w:hAnsi="宋体"/>
          <w:sz w:val="24"/>
          <w:highlight w:val="none"/>
        </w:rPr>
        <w:t>支持病案管理系统接口对接，国家临床版2</w:t>
      </w:r>
      <w:r>
        <w:rPr>
          <w:rFonts w:ascii="宋体" w:hAnsi="宋体"/>
          <w:sz w:val="24"/>
          <w:highlight w:val="none"/>
        </w:rPr>
        <w:t>022</w:t>
      </w:r>
      <w:r>
        <w:rPr>
          <w:rFonts w:hint="eastAsia" w:ascii="宋体" w:hAnsi="宋体"/>
          <w:sz w:val="24"/>
          <w:highlight w:val="none"/>
        </w:rPr>
        <w:t>汇总升级。</w:t>
      </w:r>
    </w:p>
    <w:p>
      <w:pPr>
        <w:ind w:firstLine="480" w:firstLineChars="200"/>
        <w:rPr>
          <w:rFonts w:ascii="宋体" w:hAnsi="宋体"/>
          <w:sz w:val="24"/>
          <w:highlight w:val="none"/>
        </w:rPr>
      </w:pPr>
      <w:r>
        <w:rPr>
          <w:rFonts w:hint="eastAsia" w:ascii="宋体" w:hAnsi="宋体"/>
          <w:sz w:val="24"/>
          <w:highlight w:val="none"/>
        </w:rPr>
        <w:t>需包含北部分院接口对接</w:t>
      </w:r>
    </w:p>
    <w:p>
      <w:pPr>
        <w:pStyle w:val="6"/>
        <w:ind w:firstLine="281"/>
        <w:rPr>
          <w:highlight w:val="none"/>
        </w:rPr>
      </w:pPr>
      <w:r>
        <w:rPr>
          <w:rFonts w:hint="eastAsia"/>
          <w:highlight w:val="none"/>
        </w:rPr>
        <w:t>消毒供应室系统</w:t>
      </w:r>
    </w:p>
    <w:p>
      <w:pPr>
        <w:ind w:firstLine="480" w:firstLineChars="200"/>
        <w:rPr>
          <w:rFonts w:ascii="宋体" w:hAnsi="宋体"/>
          <w:sz w:val="24"/>
          <w:highlight w:val="none"/>
        </w:rPr>
      </w:pPr>
      <w:r>
        <w:rPr>
          <w:rFonts w:hint="eastAsia" w:ascii="宋体" w:hAnsi="宋体"/>
          <w:sz w:val="24"/>
          <w:highlight w:val="none"/>
        </w:rPr>
        <w:t>支持消毒供应室系统接口对接</w:t>
      </w:r>
    </w:p>
    <w:p>
      <w:pPr>
        <w:ind w:firstLine="480" w:firstLineChars="200"/>
        <w:rPr>
          <w:rFonts w:ascii="宋体" w:hAnsi="宋体"/>
          <w:sz w:val="24"/>
          <w:highlight w:val="none"/>
        </w:rPr>
      </w:pPr>
      <w:r>
        <w:rPr>
          <w:rFonts w:hint="eastAsia" w:ascii="宋体" w:hAnsi="宋体"/>
          <w:sz w:val="24"/>
          <w:highlight w:val="none"/>
        </w:rPr>
        <w:t>需包含北部分院接口对接</w:t>
      </w:r>
    </w:p>
    <w:p>
      <w:pPr>
        <w:pStyle w:val="6"/>
        <w:ind w:firstLine="281"/>
        <w:rPr>
          <w:highlight w:val="none"/>
        </w:rPr>
      </w:pPr>
      <w:r>
        <w:rPr>
          <w:rFonts w:hint="eastAsia"/>
          <w:highlight w:val="none"/>
        </w:rPr>
        <w:t>物资管理系统</w:t>
      </w:r>
    </w:p>
    <w:p>
      <w:pPr>
        <w:ind w:firstLine="480" w:firstLineChars="200"/>
        <w:rPr>
          <w:rFonts w:ascii="宋体" w:hAnsi="宋体"/>
          <w:sz w:val="24"/>
          <w:highlight w:val="none"/>
        </w:rPr>
      </w:pPr>
      <w:r>
        <w:rPr>
          <w:rFonts w:hint="eastAsia" w:ascii="宋体" w:hAnsi="宋体"/>
          <w:sz w:val="24"/>
          <w:highlight w:val="none"/>
        </w:rPr>
        <w:t>支持物资管理系统接口对接</w:t>
      </w:r>
    </w:p>
    <w:p>
      <w:pPr>
        <w:ind w:firstLine="480" w:firstLineChars="200"/>
        <w:rPr>
          <w:rFonts w:ascii="宋体" w:hAnsi="宋体"/>
          <w:sz w:val="24"/>
          <w:highlight w:val="none"/>
        </w:rPr>
      </w:pPr>
      <w:r>
        <w:rPr>
          <w:rFonts w:hint="eastAsia" w:ascii="宋体" w:hAnsi="宋体"/>
          <w:sz w:val="24"/>
          <w:highlight w:val="none"/>
        </w:rPr>
        <w:t>需包含北部分院接口对接</w:t>
      </w:r>
    </w:p>
    <w:p>
      <w:pPr>
        <w:pStyle w:val="6"/>
        <w:ind w:firstLine="281"/>
        <w:rPr>
          <w:highlight w:val="none"/>
        </w:rPr>
      </w:pPr>
      <w:r>
        <w:rPr>
          <w:rFonts w:hint="eastAsia"/>
          <w:highlight w:val="none"/>
        </w:rPr>
        <w:t>护理管理系统</w:t>
      </w:r>
    </w:p>
    <w:p>
      <w:pPr>
        <w:ind w:firstLine="480" w:firstLineChars="200"/>
        <w:rPr>
          <w:rFonts w:ascii="宋体" w:hAnsi="宋体"/>
          <w:sz w:val="24"/>
          <w:highlight w:val="none"/>
        </w:rPr>
      </w:pPr>
      <w:r>
        <w:rPr>
          <w:rFonts w:hint="eastAsia" w:ascii="宋体" w:hAnsi="宋体"/>
          <w:sz w:val="24"/>
          <w:highlight w:val="none"/>
        </w:rPr>
        <w:t>护理管理系统对接升级，建设范围：嘉善县第一人民医院、北部分院</w:t>
      </w:r>
    </w:p>
    <w:p>
      <w:pPr>
        <w:ind w:firstLine="480" w:firstLineChars="200"/>
        <w:rPr>
          <w:rFonts w:ascii="宋体" w:hAnsi="宋体"/>
          <w:sz w:val="24"/>
          <w:highlight w:val="none"/>
        </w:rPr>
      </w:pPr>
      <w:r>
        <w:rPr>
          <w:rFonts w:hint="eastAsia" w:ascii="宋体" w:hAnsi="宋体"/>
          <w:sz w:val="24"/>
          <w:highlight w:val="none"/>
        </w:rPr>
        <w:t>支持护理敏感指标升级：</w:t>
      </w:r>
    </w:p>
    <w:tbl>
      <w:tblPr>
        <w:tblStyle w:val="64"/>
        <w:tblW w:w="867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266"/>
        <w:gridCol w:w="436"/>
        <w:gridCol w:w="2239"/>
        <w:gridCol w:w="3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45" w:type="dxa"/>
            <w:shd w:val="clear" w:color="000000" w:fill="auto"/>
            <w:vAlign w:val="center"/>
          </w:tcPr>
          <w:p>
            <w:pPr>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rPr>
              <w:t>序号</w:t>
            </w:r>
          </w:p>
        </w:tc>
        <w:tc>
          <w:tcPr>
            <w:tcW w:w="1266" w:type="dxa"/>
            <w:shd w:val="clear" w:color="000000" w:fill="auto"/>
            <w:vAlign w:val="center"/>
          </w:tcPr>
          <w:p>
            <w:pPr>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rPr>
              <w:t>一级功能</w:t>
            </w:r>
          </w:p>
        </w:tc>
        <w:tc>
          <w:tcPr>
            <w:tcW w:w="2675" w:type="dxa"/>
            <w:gridSpan w:val="2"/>
            <w:shd w:val="clear" w:color="000000" w:fill="auto"/>
            <w:vAlign w:val="center"/>
          </w:tcPr>
          <w:p>
            <w:pPr>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rPr>
              <w:t>二级功能</w:t>
            </w:r>
          </w:p>
        </w:tc>
        <w:tc>
          <w:tcPr>
            <w:tcW w:w="3886" w:type="dxa"/>
            <w:shd w:val="clear" w:color="000000" w:fill="auto"/>
            <w:vAlign w:val="center"/>
          </w:tcPr>
          <w:p>
            <w:pPr>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restart"/>
            <w:shd w:val="clear" w:color="auto" w:fill="auto"/>
            <w:noWrap/>
            <w:vAlign w:val="center"/>
          </w:tcPr>
          <w:p>
            <w:pPr>
              <w:jc w:val="center"/>
              <w:rPr>
                <w:rFonts w:ascii="Calibri" w:hAnsi="Calibri" w:eastAsia="等线" w:cs="Calibri"/>
                <w:color w:val="000000"/>
                <w:sz w:val="22"/>
                <w:szCs w:val="22"/>
                <w:highlight w:val="none"/>
              </w:rPr>
            </w:pPr>
            <w:r>
              <w:rPr>
                <w:rFonts w:ascii="Calibri" w:hAnsi="Calibri" w:eastAsia="等线" w:cs="Calibri"/>
                <w:color w:val="000000"/>
                <w:sz w:val="22"/>
                <w:szCs w:val="22"/>
                <w:highlight w:val="none"/>
              </w:rPr>
              <w:t>1</w:t>
            </w:r>
          </w:p>
        </w:tc>
        <w:tc>
          <w:tcPr>
            <w:tcW w:w="1266" w:type="dxa"/>
            <w:vMerge w:val="restart"/>
            <w:shd w:val="clear" w:color="auto" w:fill="auto"/>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国家护理敏感性指标数据（全院）</w:t>
            </w:r>
          </w:p>
        </w:tc>
        <w:tc>
          <w:tcPr>
            <w:tcW w:w="436" w:type="dxa"/>
            <w:vMerge w:val="restart"/>
            <w:shd w:val="clear" w:color="auto" w:fill="auto"/>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结构指标</w:t>
            </w:r>
          </w:p>
        </w:tc>
        <w:tc>
          <w:tcPr>
            <w:tcW w:w="2239" w:type="dxa"/>
            <w:vMerge w:val="restart"/>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医院基本信息数据</w:t>
            </w: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本季度实际开放床位数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季初全院执业护士总人数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季末全院执业护士总人数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季初住院病区执业护士总人数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季末住院病区执业护士总人数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本季度白班责任护士数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本季度白班护理患者数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本季度夜班责任护士数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本季度夜班护理患者数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本季度住院病区执业护士实际上班小时数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本季度住院患者实际占用床日数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季初在院患者数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本季度新入院患者总数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特级护理患者占用床日数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一级护理患者占用床日数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二级护理患者占用床日数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三级护理患者占用床日数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restart"/>
            <w:shd w:val="clear" w:color="auto" w:fill="auto"/>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人力资源结构</w:t>
            </w:r>
          </w:p>
        </w:tc>
        <w:tc>
          <w:tcPr>
            <w:tcW w:w="2239" w:type="dxa"/>
            <w:vMerge w:val="restart"/>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职称相关数据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季初护士（初级）人数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季末护士（初级）人数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季初主管护师人数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季末主管护师人数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季初副主任护师人数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季末副主任护师人数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季初主任护师人数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季末主任护师人数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restart"/>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学历相关数据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季初中专护士人数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季末中专护士人数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季初大专护士人数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季末大专护士人数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季初本科护士人数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季末本科护士人数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季初硕士护士人数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季末硕士护士人数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季初博士护士人数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季末博士护士人数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restart"/>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工作年限相关数据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季初&lt;1年资护士人数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季末&lt;1年资护士人数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季初1≤y&lt;2年资护士人数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季末1≤y&lt;2年资护士人数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季初2≤y&lt;5年资护士人数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季末2≤y&lt;5年资护士人数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季初5≤y&lt;10年资护士人数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季末5≤y&lt;10年资护士人数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季初10≤y&lt;20年资护士人数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季末10≤y&lt;20年资护士人数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季初≥20年资护士人数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季末≥20年资护士人数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restart"/>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离职相关数据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病区执业护士离职总人数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护士（初级）离职人数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护师离职人数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主管护师离职人数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副主任护师离职人数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主任护师离职人数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中专护士离职人数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大专护士离职人数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本科护士离职人数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硕士护士离职人数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博士护士离职人数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&lt;1年资护士离职人数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1≤y&lt;2年资护士离职人数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2≤y&lt;5年资护士离职人数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5≤y&lt;10年资护士离职人数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10≤y&lt;20年资护士离职人数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≥20年资护士离职人数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restart"/>
            <w:shd w:val="clear" w:color="auto" w:fill="auto"/>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结果指标</w:t>
            </w:r>
          </w:p>
        </w:tc>
        <w:tc>
          <w:tcPr>
            <w:tcW w:w="2239"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身体约束相关数据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住院患者身体约束日数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restart"/>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导管非计划拔管相关数据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气管导管非计划拔管例次数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气管导管留置总日数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CVC非计划拔管例次数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CVC留置总日数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PICC非计划拔管例次数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PICC留置总日数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导尿管非计划拔管发生例次数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导尿管留置总日数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胃肠管（经口鼻）非计划拔管发生例次数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胃肠管（经口鼻）留置总日数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restart"/>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导管相关性感染相关数据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PICC相关血流感染发生例次数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CVC相关血流感染发生例次数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VAP发生例次数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有创机械通气的总日数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导尿管相关尿路感染（CAUTI)发生例次数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restart"/>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跌倒相关数据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住院患者跌倒无伤害（0级）例次数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住院患者跌倒轻度伤害（1级）例次数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住院患者跌倒中度伤害（2级）例次数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住院患者跌倒重度伤害（3级）例次数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住院患者跌倒死亡例数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院内压力性损伤相关数据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住院患者2期及以上院内压力性损伤（包括粘膜压力性损伤）新发病例数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职业暴露相关数据</w:t>
            </w: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本季度护士发生锐器伤例次数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restart"/>
            <w:shd w:val="clear" w:color="auto" w:fill="auto"/>
            <w:noWrap/>
            <w:vAlign w:val="center"/>
          </w:tcPr>
          <w:p>
            <w:pPr>
              <w:jc w:val="center"/>
              <w:rPr>
                <w:rFonts w:ascii="Calibri" w:hAnsi="Calibri" w:eastAsia="等线" w:cs="Calibri"/>
                <w:color w:val="000000"/>
                <w:sz w:val="22"/>
                <w:szCs w:val="22"/>
                <w:highlight w:val="none"/>
              </w:rPr>
            </w:pPr>
            <w:r>
              <w:rPr>
                <w:rFonts w:hint="eastAsia" w:ascii="Calibri" w:hAnsi="Calibri" w:eastAsia="等线" w:cs="Calibri"/>
                <w:color w:val="000000"/>
                <w:sz w:val="22"/>
                <w:szCs w:val="22"/>
                <w:highlight w:val="none"/>
              </w:rPr>
              <w:t>2</w:t>
            </w:r>
          </w:p>
        </w:tc>
        <w:tc>
          <w:tcPr>
            <w:tcW w:w="1266" w:type="dxa"/>
            <w:vMerge w:val="restart"/>
            <w:shd w:val="clear" w:color="auto" w:fill="auto"/>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国家护理敏感性指标数据（病区）</w:t>
            </w:r>
          </w:p>
        </w:tc>
        <w:tc>
          <w:tcPr>
            <w:tcW w:w="436" w:type="dxa"/>
            <w:vMerge w:val="restart"/>
            <w:shd w:val="clear" w:color="auto" w:fill="auto"/>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结构指标</w:t>
            </w:r>
          </w:p>
        </w:tc>
        <w:tc>
          <w:tcPr>
            <w:tcW w:w="2239" w:type="dxa"/>
            <w:vMerge w:val="restart"/>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医院基本信息数据</w:t>
            </w: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本季度实际开放床位数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季初病区执业护士总人数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季末病区执业护士总人数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本季度白班责任护士数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本季度白班护理患者数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本季度夜班责任护士数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本季度夜班护理患者数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本季度病区执业护士实际上班小时数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本季度住院患者实际占用床日数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季初在院患者数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本季度新入院病区患者总数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特级护理患者占用床日数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一级护理患者占用床日数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二级护理患者占用床日数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三级护理患者占用床日数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restart"/>
            <w:shd w:val="clear" w:color="auto" w:fill="auto"/>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人力资源结构</w:t>
            </w:r>
          </w:p>
        </w:tc>
        <w:tc>
          <w:tcPr>
            <w:tcW w:w="2239" w:type="dxa"/>
            <w:vMerge w:val="restart"/>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职称相关数据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季初护士（初级）人数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季末护士（初级）人数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季初主管护师人数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季末主管护师人数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季初副主任护师人数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季末副主任护师人数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季初主任护师人数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季末主任护师人数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restart"/>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学历相关数据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季初中专护士人数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季末中专护士人数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季初大专护士人数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季末大专护士人数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季初本科护士人数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季末本科护士人数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季初硕士护士人数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季末硕士护士人数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季初博士护士人数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季末博士护士人数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restart"/>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工作年限相关数据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季初&lt;1年资护士人数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季末&lt;1年资护士人数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季初1≤y&lt;2年资护士人数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季末1≤y&lt;2年资护士人数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季初2≤y&lt;5年资护士人数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季末2≤y&lt;5年资护士人数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季初5≤y&lt;10年资护士人数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季末5≤y&lt;10年资护士人数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季初10≤y&lt;20年资护士人数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季末10≤y&lt;20年资护士人数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季初≥20年资护士人数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季末≥20年资护士人数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离职相关数据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病区执业护士离职总人数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restart"/>
            <w:shd w:val="clear" w:color="auto" w:fill="auto"/>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结果指标</w:t>
            </w:r>
          </w:p>
        </w:tc>
        <w:tc>
          <w:tcPr>
            <w:tcW w:w="2239"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身体约束相关数据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住院患者身体约束日数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restart"/>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导管非计划拔管相关数据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气管导管非计划拔管例次数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气管导管留置总日数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CVC非计划拔管例次数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CVC留置总日数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PICC非计划拔管例次数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PICC留置总日数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导尿管非计划拔管发生例次数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导尿管留置总日数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胃肠管（经口鼻）非计划拔管发生例次数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胃肠管（经口鼻）留置总日数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restart"/>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导管相关性感染相关数据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PICC相关血流感染发生例次数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CVC相关血流感染发生例次数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VAP发生例次数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有创机械通气的总日数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导尿管相关尿路感染（CAUTI)发生例次数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restart"/>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跌倒相关数据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住院患者跌倒无伤害（0级）例次数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住院患者跌倒轻度伤害（1级）例次数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住院患者跌倒中度伤害（2级）例次数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住院患者跌倒重度伤害（3级）例次数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住院患者跌倒死亡例数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病区压力性损伤相关数据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2期及以上病区压力性损伤（包括粘膜压力性损伤）新发病例数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职业暴露相关数据</w:t>
            </w: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本季度护士发生锐器伤例次数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restart"/>
            <w:shd w:val="clear" w:color="auto" w:fill="auto"/>
            <w:noWrap/>
            <w:vAlign w:val="center"/>
          </w:tcPr>
          <w:p>
            <w:pPr>
              <w:jc w:val="center"/>
              <w:rPr>
                <w:rFonts w:ascii="Calibri" w:hAnsi="Calibri" w:eastAsia="等线" w:cs="Calibri"/>
                <w:color w:val="000000"/>
                <w:sz w:val="22"/>
                <w:szCs w:val="22"/>
                <w:highlight w:val="none"/>
              </w:rPr>
            </w:pPr>
            <w:r>
              <w:rPr>
                <w:rFonts w:ascii="Calibri" w:hAnsi="Calibri" w:eastAsia="等线" w:cs="Calibri"/>
                <w:color w:val="000000"/>
                <w:sz w:val="22"/>
                <w:szCs w:val="22"/>
                <w:highlight w:val="none"/>
              </w:rPr>
              <w:t>3</w:t>
            </w:r>
          </w:p>
        </w:tc>
        <w:tc>
          <w:tcPr>
            <w:tcW w:w="1266" w:type="dxa"/>
            <w:vMerge w:val="restart"/>
            <w:shd w:val="clear" w:color="auto" w:fill="auto"/>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国家护理敏感性指标数据（ICU）</w:t>
            </w:r>
          </w:p>
        </w:tc>
        <w:tc>
          <w:tcPr>
            <w:tcW w:w="436" w:type="dxa"/>
            <w:vMerge w:val="restart"/>
            <w:shd w:val="clear" w:color="auto" w:fill="auto"/>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结构指标</w:t>
            </w:r>
          </w:p>
        </w:tc>
        <w:tc>
          <w:tcPr>
            <w:tcW w:w="2239" w:type="dxa"/>
            <w:vMerge w:val="restart"/>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医院基本信息数据</w:t>
            </w: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本季度实际开放床位数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季初ICU执业护士总人数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季末ICU执业护士总人数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本季度白班责任护士数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本季度白班护理患者数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本季度夜班责任护士数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本季度夜班护理患者数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本季度病区执业护士实际上班小时数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本季度住院患者实际占用床日数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季初在院患者数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本季度新入ICU患者总数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特级护理患者占用床日数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一级护理患者占用床日数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restart"/>
            <w:shd w:val="clear" w:color="auto" w:fill="auto"/>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人力资源结构</w:t>
            </w:r>
          </w:p>
        </w:tc>
        <w:tc>
          <w:tcPr>
            <w:tcW w:w="2239" w:type="dxa"/>
            <w:vMerge w:val="restart"/>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职称相关数据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季初护士（初级）人数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季末护士（初级）人数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季初主管护师人数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季末主管护师人数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季初副主任护师人数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季末副主任护师人数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季初主任护师人数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季末主任护师人数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restart"/>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学历相关数据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季初中专护士人数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季末中专护士人数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季初大专护士人数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季末大专护士人数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季初本科护士人数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季末本科护士人数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季初硕士护士人数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季末硕士护士人数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季初博士护士人数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季末博士护士人数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restart"/>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工作年限相关数据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季初ICU科室工作年限&lt;1年护士人数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季末ICU科室工作年限&lt;1年护士人数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季初ICU科室工作年限1≤y&lt;2年护士人数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季末ICU科室工作年限1≤y&lt;2年护士人数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季初ICU科室工作年限2≤y&lt;5年护士人数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季末ICU科室工作年限2≤y&lt;5年护士人数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季初ICU科室工作年限≥5年护士人数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季末ICU科室工作年限≥5年护士人数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离职相关数据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ICU执业护士离职总人数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restart"/>
            <w:shd w:val="clear" w:color="auto" w:fill="auto"/>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结果指标</w:t>
            </w:r>
          </w:p>
        </w:tc>
        <w:tc>
          <w:tcPr>
            <w:tcW w:w="2239"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身体约束相关数据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住院患者身体约束日数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restart"/>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导管非计划拔管相关数据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气管导管非计划拔管例次数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气管导管留置总日数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highlight w:val="none"/>
              </w:rPr>
              <w:t>气管导管非计划拔管后24h内再插管例次数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CVC非计划拔管例次数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CVC留置总日数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PICC非计划拔管例次数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PICC留置总日数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导尿管非计划拔管发生例次数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导尿管留置总日数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胃肠管（经口鼻）非计划拔管发生例次数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胃肠管（经口鼻）留置总日数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restart"/>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导管相关性感染相关数据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PICC相关血流感染发生例次数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CVC相关血流感染发生例次数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VAP发生例次数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有创机械通气的总日数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导尿管相关尿路感染（CAUTI)发生例次数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restart"/>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跌倒相关数据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住院患者跌倒无伤害（0级）例次数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住院患者跌倒轻度伤害（1级）例次数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住院患者跌倒中度伤害（2级）例次数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住院患者跌倒重度伤害（3级）例次数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住院患者跌倒死亡例数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病区压力性损伤相关数据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2期及以上病区压力性损伤（包括粘膜压力性损伤）新发病例数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restart"/>
            <w:shd w:val="clear" w:color="auto" w:fill="auto"/>
            <w:vAlign w:val="center"/>
          </w:tcPr>
          <w:p>
            <w:pPr>
              <w:rPr>
                <w:rFonts w:ascii="宋体" w:hAnsi="宋体" w:cs="宋体"/>
                <w:color w:val="000000"/>
                <w:sz w:val="20"/>
                <w:szCs w:val="20"/>
                <w:highlight w:val="none"/>
              </w:rPr>
            </w:pPr>
            <w:r>
              <w:rPr>
                <w:rFonts w:hint="eastAsia" w:ascii="宋体" w:hAnsi="宋体" w:cs="宋体"/>
                <w:color w:val="000000"/>
                <w:sz w:val="20"/>
                <w:szCs w:val="20"/>
                <w:highlight w:val="none"/>
              </w:rPr>
              <w:t>APACHEII评分情况</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APACHEⅡ评分＜10分患者总数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0"/>
                <w:szCs w:val="20"/>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10分≤APACHEⅡ评分＜15分患者总数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0"/>
                <w:szCs w:val="20"/>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15分≤APACHEⅡ评分＜20分患者总数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0"/>
                <w:szCs w:val="20"/>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20分≤APACHEⅡ评分＜25分患者总数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0"/>
                <w:szCs w:val="20"/>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APACHEⅡ评分≥25分患者总数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职业暴露相关数据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本季度护士发生锐器伤例次数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restart"/>
            <w:shd w:val="clear" w:color="auto" w:fill="auto"/>
            <w:noWrap/>
            <w:vAlign w:val="center"/>
          </w:tcPr>
          <w:p>
            <w:pPr>
              <w:jc w:val="center"/>
              <w:rPr>
                <w:rFonts w:ascii="Calibri" w:hAnsi="Calibri" w:eastAsia="等线" w:cs="Calibri"/>
                <w:color w:val="000000"/>
                <w:sz w:val="22"/>
                <w:szCs w:val="22"/>
                <w:highlight w:val="none"/>
              </w:rPr>
            </w:pPr>
            <w:r>
              <w:rPr>
                <w:rFonts w:ascii="Calibri" w:hAnsi="Calibri" w:eastAsia="等线" w:cs="Calibri"/>
                <w:color w:val="000000"/>
                <w:sz w:val="22"/>
                <w:szCs w:val="22"/>
                <w:highlight w:val="none"/>
              </w:rPr>
              <w:t>4</w:t>
            </w:r>
          </w:p>
        </w:tc>
        <w:tc>
          <w:tcPr>
            <w:tcW w:w="1266" w:type="dxa"/>
            <w:vMerge w:val="restart"/>
            <w:shd w:val="clear" w:color="auto" w:fill="auto"/>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国家护理敏感性指标数据（儿科）</w:t>
            </w:r>
          </w:p>
        </w:tc>
        <w:tc>
          <w:tcPr>
            <w:tcW w:w="436" w:type="dxa"/>
            <w:vMerge w:val="restart"/>
            <w:shd w:val="clear" w:color="auto" w:fill="auto"/>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结构指标</w:t>
            </w:r>
          </w:p>
        </w:tc>
        <w:tc>
          <w:tcPr>
            <w:tcW w:w="2239" w:type="dxa"/>
            <w:vMerge w:val="restart"/>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医院基本信息数据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本季度实际开放床位数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季初病区执业护士总人数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季末病区执业护士总人数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本季度白班责任护士数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本季度白班护理患者数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本季度夜班责任护士数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本季度夜班护理患者数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本季度病区执业护士实际上班小时数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本季度住院患者实际占用床日数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季初在院患者数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本季度新入院病区患者总数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特级护理患者占用床日数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一级护理患者占用床日数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二级护理患者占用床日数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三级护理患者占用床日数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restart"/>
            <w:shd w:val="clear" w:color="auto" w:fill="auto"/>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人力资源结构</w:t>
            </w:r>
          </w:p>
        </w:tc>
        <w:tc>
          <w:tcPr>
            <w:tcW w:w="2239" w:type="dxa"/>
            <w:vMerge w:val="restart"/>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职称相关数据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季初护士（初级）人数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季末护士（初级）人数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季初主管护师人数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季末主管护师人数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季初副主任护师人数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季末副主任护师人数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季初主任护师人数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季末主任护师人数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restart"/>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学历相关数据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季初中专护士人数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季末中专护士人数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季初大专护士人数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季末大专护士人数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季初本科护士人数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季末本科护士人数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季初硕士护士人数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季末硕士护士人数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季初博士护士人数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季末博士护士人数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restart"/>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工作年限相关数据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季初&lt;1年资护士人数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季末&lt;1年资护士人数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季初1≤y&lt;2年资护士人数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季末1≤y&lt;2年资护士人数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季初2≤y&lt;5年资护士人数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季末2≤y&lt;5年资护士人数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季初5≤y&lt;10年资护士人数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季末5≤y&lt;10年资护士人数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季初10≤y&lt;20年资护士人数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季末10≤y&lt;20年资护士人数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季初≥20年资护士人数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季末≥20年资护士人数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离职相关数据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病区执业护士离职总人数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restart"/>
            <w:shd w:val="clear" w:color="auto" w:fill="auto"/>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结果指标</w:t>
            </w:r>
          </w:p>
        </w:tc>
        <w:tc>
          <w:tcPr>
            <w:tcW w:w="2239"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身体约束相关数据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住院患者身体约束日数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restart"/>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导管非计划拔管相关数据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气管导管非计划拔管例次数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气管导管留置总日数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CVC非计划拔管例次数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CVC留置总日数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PICC非计划拔管例次数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PICC留置总日数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导尿管非计划拔管发生例次数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导尿管留置总日数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胃肠管（经口鼻）非计划拔管发生例次数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胃肠管（经口鼻）留置总日数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restart"/>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导管相关性感染相关数据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PICC相关血流感染发生例次数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CVC相关血流感染发生例次数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VAP发生例次数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有创机械通气的总日数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导尿管相关尿路感染（CAUTI)发生例次数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restart"/>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跌倒相关数据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住院患者跌倒无伤害（0级）例次数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住院患者跌倒轻度伤害（1级）例次数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住院患者跌倒中度伤害（2级）例次数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住院患者跌倒重度伤害（3级）例次数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2"/>
                <w:szCs w:val="22"/>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住院患者跌倒死亡例数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病区压力性损伤相关数据</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2期及以上病区压力性损伤（包括粘膜压力性损伤）新发病例数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职业暴露相关数据</w:t>
            </w:r>
          </w:p>
        </w:tc>
        <w:tc>
          <w:tcPr>
            <w:tcW w:w="3886" w:type="dxa"/>
            <w:shd w:val="clear" w:color="auto" w:fill="auto"/>
            <w:vAlign w:val="center"/>
          </w:tcPr>
          <w:p>
            <w:pPr>
              <w:rPr>
                <w:rFonts w:ascii="宋体" w:hAnsi="宋体" w:cs="宋体"/>
                <w:highlight w:val="none"/>
              </w:rPr>
            </w:pPr>
            <w:r>
              <w:rPr>
                <w:rFonts w:hint="eastAsia" w:ascii="宋体" w:hAnsi="宋体" w:cs="宋体"/>
                <w:highlight w:val="none"/>
              </w:rPr>
              <w:t>本季度护士发生锐器伤例次数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restart"/>
            <w:shd w:val="clear" w:color="auto" w:fill="auto"/>
            <w:vAlign w:val="center"/>
          </w:tcPr>
          <w:p>
            <w:pPr>
              <w:rPr>
                <w:rFonts w:ascii="宋体" w:hAnsi="宋体" w:cs="宋体"/>
                <w:color w:val="000000"/>
                <w:sz w:val="20"/>
                <w:szCs w:val="20"/>
                <w:highlight w:val="none"/>
              </w:rPr>
            </w:pPr>
            <w:r>
              <w:rPr>
                <w:rFonts w:hint="eastAsia" w:ascii="宋体" w:hAnsi="宋体" w:cs="宋体"/>
                <w:color w:val="000000"/>
                <w:sz w:val="20"/>
                <w:szCs w:val="20"/>
                <w:highlight w:val="none"/>
              </w:rPr>
              <w:t>儿科相关指标</w:t>
            </w: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新生儿院内尿布发炎发生例次数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0"/>
                <w:szCs w:val="20"/>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住院新生儿实际占用床日数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0"/>
                <w:szCs w:val="20"/>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新生儿中度及以上院内尿布发炎发生例次数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0"/>
                <w:szCs w:val="20"/>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患儿外周静脉输液渗出/外渗发生例次数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0"/>
                <w:szCs w:val="20"/>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患儿外周静脉通路留置总日数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0"/>
                <w:szCs w:val="20"/>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患儿外周静脉输液外渗发生例次数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0"/>
                <w:szCs w:val="20"/>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出院患儿中持续母乳喂养的6月龄内患儿数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5" w:type="dxa"/>
            <w:vMerge w:val="continue"/>
            <w:vAlign w:val="center"/>
          </w:tcPr>
          <w:p>
            <w:pPr>
              <w:rPr>
                <w:rFonts w:ascii="Calibri" w:hAnsi="Calibri" w:eastAsia="等线" w:cs="Calibri"/>
                <w:color w:val="000000"/>
                <w:sz w:val="22"/>
                <w:szCs w:val="22"/>
                <w:highlight w:val="none"/>
              </w:rPr>
            </w:pPr>
          </w:p>
        </w:tc>
        <w:tc>
          <w:tcPr>
            <w:tcW w:w="1266" w:type="dxa"/>
            <w:vMerge w:val="continue"/>
            <w:vAlign w:val="center"/>
          </w:tcPr>
          <w:p>
            <w:pPr>
              <w:rPr>
                <w:rFonts w:ascii="宋体" w:hAnsi="宋体" w:cs="宋体"/>
                <w:color w:val="000000"/>
                <w:sz w:val="22"/>
                <w:szCs w:val="22"/>
                <w:highlight w:val="none"/>
              </w:rPr>
            </w:pPr>
          </w:p>
        </w:tc>
        <w:tc>
          <w:tcPr>
            <w:tcW w:w="436" w:type="dxa"/>
            <w:vMerge w:val="continue"/>
            <w:vAlign w:val="center"/>
          </w:tcPr>
          <w:p>
            <w:pPr>
              <w:rPr>
                <w:rFonts w:ascii="宋体" w:hAnsi="宋体" w:cs="宋体"/>
                <w:color w:val="000000"/>
                <w:sz w:val="22"/>
                <w:szCs w:val="22"/>
                <w:highlight w:val="none"/>
              </w:rPr>
            </w:pPr>
          </w:p>
        </w:tc>
        <w:tc>
          <w:tcPr>
            <w:tcW w:w="2239" w:type="dxa"/>
            <w:vMerge w:val="continue"/>
            <w:vAlign w:val="center"/>
          </w:tcPr>
          <w:p>
            <w:pPr>
              <w:rPr>
                <w:rFonts w:ascii="宋体" w:hAnsi="宋体" w:cs="宋体"/>
                <w:color w:val="000000"/>
                <w:sz w:val="20"/>
                <w:szCs w:val="20"/>
                <w:highlight w:val="none"/>
              </w:rPr>
            </w:pPr>
          </w:p>
        </w:tc>
        <w:tc>
          <w:tcPr>
            <w:tcW w:w="3886" w:type="dxa"/>
            <w:shd w:val="clear" w:color="auto" w:fill="auto"/>
            <w:vAlign w:val="center"/>
          </w:tcPr>
          <w:p>
            <w:pPr>
              <w:rPr>
                <w:rFonts w:ascii="宋体" w:hAnsi="宋体" w:cs="宋体"/>
                <w:color w:val="000000"/>
                <w:sz w:val="22"/>
                <w:szCs w:val="22"/>
                <w:highlight w:val="none"/>
              </w:rPr>
            </w:pPr>
            <w:r>
              <w:rPr>
                <w:rFonts w:hint="eastAsia" w:ascii="宋体" w:hAnsi="宋体" w:cs="宋体"/>
                <w:sz w:val="22"/>
                <w:szCs w:val="22"/>
                <w:highlight w:val="none"/>
              </w:rPr>
              <w:t>出院患儿中入院时为母乳喂养的6月龄内患儿数</w:t>
            </w:r>
          </w:p>
        </w:tc>
      </w:tr>
    </w:tbl>
    <w:p>
      <w:pPr>
        <w:pStyle w:val="2"/>
        <w:rPr>
          <w:highlight w:val="none"/>
        </w:rPr>
      </w:pPr>
    </w:p>
    <w:p>
      <w:pPr>
        <w:pStyle w:val="6"/>
        <w:ind w:firstLine="281"/>
        <w:rPr>
          <w:highlight w:val="none"/>
        </w:rPr>
      </w:pPr>
      <w:bookmarkStart w:id="32" w:name="_Hlk119594727"/>
      <w:r>
        <w:rPr>
          <w:rFonts w:hint="eastAsia"/>
          <w:highlight w:val="none"/>
        </w:rPr>
        <w:t>随访与满意度评价系统</w:t>
      </w:r>
    </w:p>
    <w:bookmarkEnd w:id="32"/>
    <w:p>
      <w:pPr>
        <w:ind w:firstLine="480" w:firstLineChars="200"/>
        <w:rPr>
          <w:rFonts w:hint="eastAsia" w:ascii="宋体" w:hAnsi="宋体"/>
          <w:sz w:val="24"/>
          <w:highlight w:val="none"/>
        </w:rPr>
      </w:pPr>
      <w:r>
        <w:rPr>
          <w:rFonts w:hint="eastAsia" w:ascii="宋体" w:hAnsi="宋体"/>
          <w:sz w:val="24"/>
          <w:highlight w:val="none"/>
        </w:rPr>
        <w:t>支持随访与满意度评价系统接口对接</w:t>
      </w:r>
    </w:p>
    <w:p>
      <w:pPr>
        <w:pStyle w:val="2"/>
        <w:ind w:left="0" w:leftChars="0" w:firstLine="480" w:firstLineChars="200"/>
        <w:rPr>
          <w:highlight w:val="none"/>
        </w:rPr>
      </w:pPr>
      <w:r>
        <w:rPr>
          <w:rFonts w:hint="eastAsia" w:ascii="宋体" w:hAnsi="宋体"/>
          <w:b w:val="0"/>
          <w:bCs w:val="0"/>
          <w:sz w:val="24"/>
          <w:highlight w:val="none"/>
        </w:rPr>
        <w:t>需包含北部分院接口对接</w:t>
      </w:r>
    </w:p>
    <w:p>
      <w:pPr>
        <w:pStyle w:val="6"/>
        <w:ind w:firstLine="281"/>
        <w:rPr>
          <w:highlight w:val="none"/>
        </w:rPr>
      </w:pPr>
      <w:r>
        <w:rPr>
          <w:rFonts w:hint="eastAsia"/>
          <w:highlight w:val="none"/>
        </w:rPr>
        <w:t>与急救系统对接</w:t>
      </w:r>
    </w:p>
    <w:p>
      <w:pPr>
        <w:ind w:firstLine="480" w:firstLineChars="200"/>
        <w:rPr>
          <w:rFonts w:hint="eastAsia" w:ascii="宋体" w:hAnsi="宋体"/>
          <w:sz w:val="24"/>
          <w:highlight w:val="none"/>
        </w:rPr>
      </w:pPr>
      <w:r>
        <w:rPr>
          <w:rFonts w:hint="eastAsia" w:ascii="宋体" w:hAnsi="宋体"/>
          <w:sz w:val="24"/>
          <w:highlight w:val="none"/>
        </w:rPr>
        <w:t>支持与急救系统对接接口对接</w:t>
      </w:r>
    </w:p>
    <w:p>
      <w:pPr>
        <w:pStyle w:val="2"/>
        <w:ind w:left="0" w:leftChars="0" w:firstLine="480" w:firstLineChars="200"/>
        <w:rPr>
          <w:highlight w:val="none"/>
        </w:rPr>
      </w:pPr>
      <w:r>
        <w:rPr>
          <w:rFonts w:hint="eastAsia" w:ascii="宋体" w:hAnsi="宋体"/>
          <w:b w:val="0"/>
          <w:bCs w:val="0"/>
          <w:sz w:val="24"/>
          <w:highlight w:val="none"/>
        </w:rPr>
        <w:t>需包含北部分院接口对接</w:t>
      </w:r>
    </w:p>
    <w:p>
      <w:pPr>
        <w:pStyle w:val="6"/>
        <w:ind w:firstLine="281"/>
        <w:rPr>
          <w:highlight w:val="none"/>
        </w:rPr>
      </w:pPr>
      <w:r>
        <w:rPr>
          <w:rFonts w:hint="eastAsia"/>
          <w:highlight w:val="none"/>
        </w:rPr>
        <w:t>体检管理系统</w:t>
      </w:r>
    </w:p>
    <w:p>
      <w:pPr>
        <w:ind w:firstLine="480" w:firstLineChars="200"/>
        <w:rPr>
          <w:rFonts w:ascii="宋体" w:hAnsi="宋体"/>
          <w:sz w:val="24"/>
          <w:highlight w:val="none"/>
        </w:rPr>
      </w:pPr>
      <w:r>
        <w:rPr>
          <w:rFonts w:hint="eastAsia" w:ascii="宋体" w:hAnsi="宋体"/>
          <w:sz w:val="24"/>
          <w:highlight w:val="none"/>
        </w:rPr>
        <w:t>支持体检管理系统接口对接</w:t>
      </w:r>
    </w:p>
    <w:p>
      <w:pPr>
        <w:pStyle w:val="6"/>
        <w:ind w:left="210" w:leftChars="100" w:firstLine="843" w:firstLineChars="300"/>
        <w:rPr>
          <w:highlight w:val="none"/>
        </w:rPr>
      </w:pPr>
      <w:r>
        <w:rPr>
          <w:rFonts w:hint="eastAsia"/>
          <w:highlight w:val="none"/>
        </w:rPr>
        <w:t>血糖管理系统</w:t>
      </w:r>
    </w:p>
    <w:p>
      <w:pPr>
        <w:ind w:firstLine="480" w:firstLineChars="200"/>
        <w:rPr>
          <w:highlight w:val="none"/>
          <w:lang w:val="zh-CN"/>
        </w:rPr>
      </w:pPr>
      <w:r>
        <w:rPr>
          <w:rFonts w:hint="eastAsia"/>
          <w:sz w:val="24"/>
          <w:highlight w:val="none"/>
          <w:lang w:val="zh-CN"/>
        </w:rPr>
        <w:t>支持血糖管理系统接口对接</w:t>
      </w:r>
    </w:p>
    <w:p>
      <w:pPr>
        <w:pStyle w:val="6"/>
        <w:ind w:firstLine="281"/>
        <w:rPr>
          <w:highlight w:val="none"/>
        </w:rPr>
      </w:pPr>
      <w:r>
        <w:rPr>
          <w:rFonts w:hint="eastAsia"/>
          <w:highlight w:val="none"/>
        </w:rPr>
        <w:t>绩效管理系统</w:t>
      </w:r>
    </w:p>
    <w:p>
      <w:pPr>
        <w:ind w:firstLine="480" w:firstLineChars="200"/>
        <w:rPr>
          <w:rFonts w:ascii="宋体" w:hAnsi="宋体"/>
          <w:sz w:val="24"/>
          <w:highlight w:val="none"/>
        </w:rPr>
      </w:pPr>
      <w:r>
        <w:rPr>
          <w:rFonts w:hint="eastAsia" w:ascii="宋体" w:hAnsi="宋体"/>
          <w:sz w:val="24"/>
          <w:highlight w:val="none"/>
        </w:rPr>
        <w:t>支持绩效管理系统接口对接</w:t>
      </w:r>
    </w:p>
    <w:p>
      <w:pPr>
        <w:pStyle w:val="6"/>
        <w:ind w:firstLine="281"/>
        <w:rPr>
          <w:highlight w:val="none"/>
        </w:rPr>
      </w:pPr>
      <w:r>
        <w:rPr>
          <w:rFonts w:hint="eastAsia"/>
          <w:highlight w:val="none"/>
        </w:rPr>
        <w:t>财务管理软件</w:t>
      </w:r>
    </w:p>
    <w:p>
      <w:pPr>
        <w:ind w:firstLine="480" w:firstLineChars="200"/>
        <w:rPr>
          <w:rFonts w:hint="eastAsia" w:ascii="宋体" w:hAnsi="宋体"/>
          <w:sz w:val="24"/>
          <w:highlight w:val="none"/>
        </w:rPr>
      </w:pPr>
      <w:r>
        <w:rPr>
          <w:rFonts w:hint="eastAsia" w:ascii="宋体" w:hAnsi="宋体"/>
          <w:sz w:val="24"/>
          <w:highlight w:val="none"/>
        </w:rPr>
        <w:t>支持财务管理软件接口对接</w:t>
      </w:r>
    </w:p>
    <w:p>
      <w:pPr>
        <w:pStyle w:val="2"/>
        <w:ind w:left="0" w:leftChars="0" w:firstLine="480" w:firstLineChars="200"/>
        <w:rPr>
          <w:highlight w:val="none"/>
        </w:rPr>
      </w:pPr>
      <w:r>
        <w:rPr>
          <w:rFonts w:hint="eastAsia" w:ascii="宋体" w:hAnsi="宋体"/>
          <w:b w:val="0"/>
          <w:bCs w:val="0"/>
          <w:sz w:val="24"/>
          <w:highlight w:val="none"/>
        </w:rPr>
        <w:t>需包含北部分院接口对接</w:t>
      </w:r>
    </w:p>
    <w:p>
      <w:pPr>
        <w:pStyle w:val="6"/>
        <w:ind w:firstLine="281"/>
        <w:rPr>
          <w:highlight w:val="none"/>
        </w:rPr>
      </w:pPr>
      <w:r>
        <w:rPr>
          <w:rFonts w:hint="eastAsia"/>
          <w:highlight w:val="none"/>
        </w:rPr>
        <w:t>疾病报卡系统</w:t>
      </w:r>
    </w:p>
    <w:p>
      <w:pPr>
        <w:ind w:firstLine="480" w:firstLineChars="200"/>
        <w:rPr>
          <w:rFonts w:hint="eastAsia" w:ascii="宋体" w:hAnsi="宋体"/>
          <w:sz w:val="24"/>
          <w:highlight w:val="none"/>
        </w:rPr>
      </w:pPr>
      <w:r>
        <w:rPr>
          <w:rFonts w:hint="eastAsia" w:ascii="宋体" w:hAnsi="宋体"/>
          <w:sz w:val="24"/>
          <w:highlight w:val="none"/>
        </w:rPr>
        <w:t>支持疾病报卡系统接口对接</w:t>
      </w:r>
    </w:p>
    <w:p>
      <w:pPr>
        <w:pStyle w:val="2"/>
        <w:ind w:left="0" w:leftChars="0" w:firstLine="480" w:firstLineChars="200"/>
        <w:rPr>
          <w:highlight w:val="none"/>
        </w:rPr>
      </w:pPr>
      <w:r>
        <w:rPr>
          <w:rFonts w:hint="eastAsia" w:ascii="宋体" w:hAnsi="宋体"/>
          <w:b w:val="0"/>
          <w:bCs w:val="0"/>
          <w:sz w:val="24"/>
          <w:highlight w:val="none"/>
        </w:rPr>
        <w:t>需包含北部分院接口对接</w:t>
      </w:r>
    </w:p>
    <w:p>
      <w:pPr>
        <w:pStyle w:val="6"/>
        <w:ind w:firstLine="281"/>
        <w:rPr>
          <w:highlight w:val="none"/>
        </w:rPr>
      </w:pPr>
      <w:r>
        <w:rPr>
          <w:rFonts w:hint="eastAsia"/>
          <w:highlight w:val="none"/>
        </w:rPr>
        <w:t>合理用药系统</w:t>
      </w:r>
    </w:p>
    <w:p>
      <w:pPr>
        <w:ind w:firstLine="480" w:firstLineChars="200"/>
        <w:rPr>
          <w:rFonts w:hint="eastAsia" w:ascii="宋体" w:hAnsi="宋体"/>
          <w:sz w:val="24"/>
          <w:highlight w:val="none"/>
        </w:rPr>
      </w:pPr>
      <w:r>
        <w:rPr>
          <w:rFonts w:hint="eastAsia" w:ascii="宋体" w:hAnsi="宋体"/>
          <w:sz w:val="24"/>
          <w:highlight w:val="none"/>
        </w:rPr>
        <w:t>支持合理用药系统接口对接</w:t>
      </w:r>
    </w:p>
    <w:p>
      <w:pPr>
        <w:pStyle w:val="2"/>
        <w:ind w:left="0" w:leftChars="0" w:firstLine="480" w:firstLineChars="200"/>
        <w:rPr>
          <w:highlight w:val="none"/>
        </w:rPr>
      </w:pPr>
      <w:r>
        <w:rPr>
          <w:rFonts w:hint="eastAsia" w:ascii="宋体" w:hAnsi="宋体"/>
          <w:b w:val="0"/>
          <w:bCs w:val="0"/>
          <w:sz w:val="24"/>
          <w:highlight w:val="none"/>
        </w:rPr>
        <w:t>需包含北部分院接口对接</w:t>
      </w:r>
    </w:p>
    <w:p>
      <w:pPr>
        <w:pStyle w:val="6"/>
        <w:ind w:firstLine="281"/>
        <w:rPr>
          <w:highlight w:val="none"/>
        </w:rPr>
      </w:pPr>
      <w:r>
        <w:rPr>
          <w:rFonts w:hint="eastAsia"/>
          <w:highlight w:val="none"/>
        </w:rPr>
        <w:t>院内感染监测系统</w:t>
      </w:r>
    </w:p>
    <w:p>
      <w:pPr>
        <w:ind w:firstLine="480" w:firstLineChars="200"/>
        <w:rPr>
          <w:rFonts w:hint="eastAsia" w:ascii="宋体" w:hAnsi="宋体"/>
          <w:sz w:val="24"/>
          <w:highlight w:val="none"/>
        </w:rPr>
      </w:pPr>
      <w:r>
        <w:rPr>
          <w:rFonts w:hint="eastAsia" w:ascii="宋体" w:hAnsi="宋体"/>
          <w:sz w:val="24"/>
          <w:highlight w:val="none"/>
        </w:rPr>
        <w:t>支持院内感染监测系统接口对接</w:t>
      </w:r>
    </w:p>
    <w:p>
      <w:pPr>
        <w:pStyle w:val="2"/>
        <w:ind w:left="0" w:leftChars="0" w:firstLine="480" w:firstLineChars="200"/>
        <w:rPr>
          <w:highlight w:val="none"/>
        </w:rPr>
      </w:pPr>
      <w:r>
        <w:rPr>
          <w:rFonts w:hint="eastAsia" w:ascii="宋体" w:hAnsi="宋体"/>
          <w:b w:val="0"/>
          <w:bCs w:val="0"/>
          <w:sz w:val="24"/>
          <w:highlight w:val="none"/>
        </w:rPr>
        <w:t>需包含北部分院接口对接</w:t>
      </w:r>
    </w:p>
    <w:p>
      <w:pPr>
        <w:pStyle w:val="6"/>
        <w:ind w:firstLine="281"/>
        <w:rPr>
          <w:highlight w:val="none"/>
        </w:rPr>
      </w:pPr>
      <w:r>
        <w:rPr>
          <w:rFonts w:hint="eastAsia"/>
          <w:highlight w:val="none"/>
        </w:rPr>
        <w:t>门诊抗菌药物管理系统</w:t>
      </w:r>
    </w:p>
    <w:p>
      <w:pPr>
        <w:ind w:firstLine="480" w:firstLineChars="200"/>
        <w:rPr>
          <w:rFonts w:ascii="宋体" w:hAnsi="宋体"/>
          <w:sz w:val="24"/>
          <w:highlight w:val="none"/>
        </w:rPr>
      </w:pPr>
      <w:r>
        <w:rPr>
          <w:rFonts w:hint="eastAsia" w:ascii="宋体" w:hAnsi="宋体"/>
          <w:sz w:val="24"/>
          <w:highlight w:val="none"/>
        </w:rPr>
        <w:t>支持门诊抗菌药物管理系统接口对接</w:t>
      </w:r>
    </w:p>
    <w:p>
      <w:pPr>
        <w:pStyle w:val="6"/>
        <w:ind w:firstLine="281"/>
        <w:rPr>
          <w:highlight w:val="none"/>
        </w:rPr>
      </w:pPr>
      <w:r>
        <w:rPr>
          <w:rFonts w:hint="eastAsia"/>
          <w:highlight w:val="none"/>
        </w:rPr>
        <w:t>包药机系统</w:t>
      </w:r>
    </w:p>
    <w:p>
      <w:pPr>
        <w:ind w:firstLine="480" w:firstLineChars="200"/>
        <w:rPr>
          <w:rFonts w:ascii="宋体" w:hAnsi="宋体"/>
          <w:sz w:val="24"/>
          <w:highlight w:val="none"/>
        </w:rPr>
      </w:pPr>
      <w:r>
        <w:rPr>
          <w:rFonts w:hint="eastAsia" w:ascii="宋体" w:hAnsi="宋体"/>
          <w:sz w:val="24"/>
          <w:highlight w:val="none"/>
        </w:rPr>
        <w:t>支持包药机系统接口对接</w:t>
      </w:r>
    </w:p>
    <w:p>
      <w:pPr>
        <w:ind w:firstLine="480" w:firstLineChars="200"/>
        <w:rPr>
          <w:rFonts w:ascii="宋体" w:hAnsi="宋体"/>
          <w:sz w:val="24"/>
          <w:highlight w:val="none"/>
        </w:rPr>
      </w:pPr>
      <w:r>
        <w:rPr>
          <w:rFonts w:hint="eastAsia" w:ascii="宋体" w:hAnsi="宋体"/>
          <w:sz w:val="24"/>
          <w:highlight w:val="none"/>
        </w:rPr>
        <w:t>需包含北部分院接口对接</w:t>
      </w:r>
    </w:p>
    <w:p>
      <w:pPr>
        <w:pStyle w:val="6"/>
        <w:rPr>
          <w:highlight w:val="none"/>
        </w:rPr>
      </w:pPr>
      <w:r>
        <w:rPr>
          <w:rFonts w:hint="eastAsia"/>
          <w:highlight w:val="none"/>
        </w:rPr>
        <w:t xml:space="preserve"> </w:t>
      </w:r>
      <w:r>
        <w:rPr>
          <w:highlight w:val="none"/>
        </w:rPr>
        <w:t xml:space="preserve">       </w:t>
      </w:r>
      <w:r>
        <w:rPr>
          <w:rFonts w:hint="eastAsia"/>
          <w:highlight w:val="none"/>
        </w:rPr>
        <w:t>发药机系统</w:t>
      </w:r>
    </w:p>
    <w:p>
      <w:pPr>
        <w:rPr>
          <w:rFonts w:ascii="宋体" w:hAnsi="宋体"/>
          <w:sz w:val="24"/>
          <w:highlight w:val="none"/>
        </w:rPr>
      </w:pPr>
      <w:r>
        <w:rPr>
          <w:rFonts w:hint="eastAsia"/>
          <w:highlight w:val="none"/>
          <w:lang w:val="zh-CN"/>
        </w:rPr>
        <w:t xml:space="preserve"> </w:t>
      </w:r>
      <w:r>
        <w:rPr>
          <w:highlight w:val="none"/>
          <w:lang w:val="zh-CN"/>
        </w:rPr>
        <w:t xml:space="preserve">   </w:t>
      </w:r>
      <w:r>
        <w:rPr>
          <w:rFonts w:ascii="宋体" w:hAnsi="宋体"/>
          <w:sz w:val="24"/>
          <w:highlight w:val="none"/>
        </w:rPr>
        <w:t xml:space="preserve"> </w:t>
      </w:r>
      <w:r>
        <w:rPr>
          <w:rFonts w:hint="eastAsia" w:ascii="宋体" w:hAnsi="宋体"/>
          <w:sz w:val="24"/>
          <w:highlight w:val="none"/>
        </w:rPr>
        <w:t>支持发药机系统接口对接</w:t>
      </w:r>
    </w:p>
    <w:p>
      <w:pPr>
        <w:ind w:firstLine="480" w:firstLineChars="200"/>
        <w:rPr>
          <w:rFonts w:ascii="宋体" w:hAnsi="宋体"/>
          <w:sz w:val="24"/>
          <w:highlight w:val="none"/>
        </w:rPr>
      </w:pPr>
      <w:r>
        <w:rPr>
          <w:rFonts w:hint="eastAsia" w:ascii="宋体" w:hAnsi="宋体"/>
          <w:sz w:val="24"/>
          <w:highlight w:val="none"/>
        </w:rPr>
        <w:t>需包含北部分院接口对接</w:t>
      </w:r>
    </w:p>
    <w:p>
      <w:pPr>
        <w:pStyle w:val="6"/>
        <w:ind w:firstLine="281"/>
        <w:rPr>
          <w:highlight w:val="none"/>
        </w:rPr>
      </w:pPr>
      <w:r>
        <w:rPr>
          <w:rFonts w:hint="eastAsia"/>
          <w:highlight w:val="none"/>
        </w:rPr>
        <w:t>智慧病房系统</w:t>
      </w:r>
    </w:p>
    <w:p>
      <w:pPr>
        <w:ind w:firstLine="480" w:firstLineChars="200"/>
        <w:jc w:val="left"/>
        <w:rPr>
          <w:rFonts w:hint="eastAsia" w:ascii="宋体" w:hAnsi="宋体"/>
          <w:sz w:val="24"/>
          <w:highlight w:val="none"/>
        </w:rPr>
      </w:pPr>
      <w:r>
        <w:rPr>
          <w:rFonts w:hint="eastAsia" w:ascii="宋体" w:hAnsi="宋体"/>
          <w:sz w:val="24"/>
          <w:highlight w:val="none"/>
        </w:rPr>
        <w:t>支持智慧病房系统接口对接</w:t>
      </w:r>
      <w:bookmarkEnd w:id="14"/>
    </w:p>
    <w:p>
      <w:pPr>
        <w:pStyle w:val="2"/>
        <w:ind w:left="0" w:leftChars="0" w:firstLine="480" w:firstLineChars="200"/>
        <w:rPr>
          <w:highlight w:val="none"/>
        </w:rPr>
      </w:pPr>
      <w:r>
        <w:rPr>
          <w:rFonts w:hint="eastAsia" w:ascii="宋体" w:hAnsi="宋体"/>
          <w:b w:val="0"/>
          <w:bCs w:val="0"/>
          <w:sz w:val="24"/>
          <w:highlight w:val="none"/>
        </w:rPr>
        <w:t>需包含北部分院接口对接</w:t>
      </w:r>
    </w:p>
    <w:p>
      <w:pPr>
        <w:jc w:val="left"/>
        <w:rPr>
          <w:rFonts w:ascii="仿宋" w:hAnsi="仿宋" w:eastAsia="仿宋" w:cs="仿宋_GB2312"/>
          <w:b/>
          <w:sz w:val="28"/>
          <w:szCs w:val="16"/>
          <w:highlight w:val="none"/>
        </w:rPr>
      </w:pPr>
    </w:p>
    <w:p>
      <w:pPr>
        <w:jc w:val="left"/>
        <w:rPr>
          <w:rFonts w:ascii="仿宋" w:hAnsi="仿宋" w:eastAsia="仿宋" w:cs="仿宋_GB2312"/>
          <w:b/>
          <w:sz w:val="28"/>
          <w:szCs w:val="16"/>
          <w:highlight w:val="none"/>
        </w:rPr>
      </w:pPr>
    </w:p>
    <w:p>
      <w:pPr>
        <w:jc w:val="left"/>
        <w:rPr>
          <w:rFonts w:ascii="仿宋" w:hAnsi="仿宋" w:eastAsia="仿宋" w:cs="仿宋_GB2312"/>
          <w:b/>
          <w:sz w:val="36"/>
          <w:szCs w:val="20"/>
          <w:highlight w:val="none"/>
        </w:rPr>
      </w:pPr>
      <w:r>
        <w:rPr>
          <w:rFonts w:hint="eastAsia" w:ascii="仿宋" w:hAnsi="仿宋" w:eastAsia="仿宋" w:cs="仿宋_GB2312"/>
          <w:b/>
          <w:sz w:val="28"/>
          <w:szCs w:val="16"/>
          <w:highlight w:val="none"/>
        </w:rPr>
        <w:t>商务要求表</w:t>
      </w:r>
    </w:p>
    <w:tbl>
      <w:tblPr>
        <w:tblStyle w:val="64"/>
        <w:tblpPr w:leftFromText="180" w:rightFromText="180" w:vertAnchor="text" w:horzAnchor="page" w:tblpX="1312" w:tblpY="43"/>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7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024" w:type="dxa"/>
            <w:vAlign w:val="center"/>
          </w:tcPr>
          <w:p>
            <w:pPr>
              <w:pStyle w:val="2"/>
              <w:ind w:left="0" w:leftChars="0" w:firstLine="0" w:firstLineChars="0"/>
              <w:jc w:val="center"/>
              <w:rPr>
                <w:rFonts w:ascii="宋体" w:hAnsi="宋体" w:cs="宋体"/>
                <w:b w:val="0"/>
                <w:bCs w:val="0"/>
                <w:sz w:val="24"/>
                <w:szCs w:val="24"/>
                <w:highlight w:val="none"/>
              </w:rPr>
            </w:pPr>
            <w:r>
              <w:rPr>
                <w:rFonts w:hint="eastAsia" w:ascii="宋体" w:hAnsi="宋体" w:cs="宋体"/>
                <w:b w:val="0"/>
                <w:bCs w:val="0"/>
                <w:sz w:val="24"/>
                <w:szCs w:val="24"/>
                <w:highlight w:val="none"/>
              </w:rPr>
              <w:t>服务时间及地点</w:t>
            </w:r>
          </w:p>
        </w:tc>
        <w:tc>
          <w:tcPr>
            <w:tcW w:w="7546" w:type="dxa"/>
            <w:vAlign w:val="center"/>
          </w:tcPr>
          <w:p>
            <w:pPr>
              <w:pStyle w:val="2"/>
              <w:ind w:left="0" w:leftChars="0" w:firstLine="0" w:firstLineChars="0"/>
              <w:rPr>
                <w:rFonts w:ascii="宋体" w:hAnsi="宋体" w:cs="宋体"/>
                <w:b w:val="0"/>
                <w:bCs w:val="0"/>
                <w:sz w:val="24"/>
                <w:szCs w:val="24"/>
                <w:highlight w:val="none"/>
              </w:rPr>
            </w:pPr>
            <w:r>
              <w:rPr>
                <w:rFonts w:hint="eastAsia" w:ascii="宋体" w:hAnsi="宋体" w:cs="宋体"/>
                <w:b w:val="0"/>
                <w:bCs w:val="0"/>
                <w:sz w:val="24"/>
                <w:szCs w:val="24"/>
                <w:highlight w:val="none"/>
              </w:rPr>
              <w:t>服务时间：合同签订后</w:t>
            </w:r>
            <w:r>
              <w:rPr>
                <w:rFonts w:ascii="宋体" w:hAnsi="宋体" w:cs="宋体"/>
                <w:b w:val="0"/>
                <w:bCs w:val="0"/>
                <w:sz w:val="24"/>
                <w:szCs w:val="24"/>
                <w:highlight w:val="none"/>
              </w:rPr>
              <w:t>10</w:t>
            </w:r>
            <w:r>
              <w:rPr>
                <w:rFonts w:hint="eastAsia" w:ascii="宋体" w:hAnsi="宋体" w:cs="宋体"/>
                <w:b w:val="0"/>
                <w:bCs w:val="0"/>
                <w:sz w:val="24"/>
                <w:szCs w:val="24"/>
                <w:highlight w:val="none"/>
              </w:rPr>
              <w:t>个月内完成本项目系统建设，经安装完成、测试通过后，进入试运行及培训，并通过采购人组织验收确认合格，正式交付使用，进入维保期。地点：采购人指定地点。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024" w:type="dxa"/>
            <w:vAlign w:val="center"/>
          </w:tcPr>
          <w:p>
            <w:pPr>
              <w:pStyle w:val="2"/>
              <w:ind w:left="0" w:leftChars="0" w:firstLine="0" w:firstLineChars="0"/>
              <w:jc w:val="center"/>
              <w:rPr>
                <w:rFonts w:ascii="宋体" w:hAnsi="宋体" w:cs="宋体"/>
                <w:b w:val="0"/>
                <w:bCs w:val="0"/>
                <w:sz w:val="24"/>
                <w:szCs w:val="24"/>
                <w:highlight w:val="none"/>
              </w:rPr>
            </w:pPr>
            <w:r>
              <w:rPr>
                <w:rFonts w:hint="eastAsia" w:ascii="宋体" w:hAnsi="宋体" w:cs="宋体"/>
                <w:b w:val="0"/>
                <w:bCs w:val="0"/>
                <w:sz w:val="24"/>
                <w:szCs w:val="24"/>
                <w:highlight w:val="none"/>
              </w:rPr>
              <w:t>验收要求</w:t>
            </w:r>
          </w:p>
        </w:tc>
        <w:tc>
          <w:tcPr>
            <w:tcW w:w="7546" w:type="dxa"/>
            <w:vAlign w:val="center"/>
          </w:tcPr>
          <w:p>
            <w:pPr>
              <w:pStyle w:val="2"/>
              <w:ind w:left="0" w:leftChars="0" w:firstLine="0" w:firstLineChars="0"/>
              <w:rPr>
                <w:rFonts w:ascii="宋体" w:hAnsi="宋体" w:cs="宋体"/>
                <w:b w:val="0"/>
                <w:bCs w:val="0"/>
                <w:sz w:val="24"/>
                <w:szCs w:val="24"/>
                <w:highlight w:val="none"/>
              </w:rPr>
            </w:pPr>
            <w:r>
              <w:rPr>
                <w:rFonts w:hint="eastAsia" w:ascii="宋体" w:hAnsi="宋体" w:cs="宋体"/>
                <w:b w:val="0"/>
                <w:bCs w:val="0"/>
                <w:sz w:val="24"/>
                <w:szCs w:val="24"/>
                <w:highlight w:val="none"/>
              </w:rPr>
              <w:t>1、根据中华人民共和国现行技术标准，按招标文件以及合同规定的验收评定标准等规范，由采购人或组织相关人员进行验收。验收中发现达不到验收标准或合同规定的性能指标，中标人必须免费维护，并且赔偿由此给采购人造成的损失，直到验收合格为止。验收合格后，双方共同签署验收合格报告。</w:t>
            </w:r>
          </w:p>
          <w:p>
            <w:pPr>
              <w:pStyle w:val="2"/>
              <w:ind w:left="0" w:leftChars="0" w:firstLine="0" w:firstLineChars="0"/>
              <w:rPr>
                <w:rFonts w:ascii="宋体" w:hAnsi="宋体" w:cs="宋体"/>
                <w:b w:val="0"/>
                <w:bCs w:val="0"/>
                <w:sz w:val="24"/>
                <w:szCs w:val="24"/>
                <w:highlight w:val="none"/>
              </w:rPr>
            </w:pPr>
            <w:r>
              <w:rPr>
                <w:rFonts w:hint="eastAsia" w:ascii="宋体" w:hAnsi="宋体" w:cs="宋体"/>
                <w:b w:val="0"/>
                <w:bCs w:val="0"/>
                <w:sz w:val="24"/>
                <w:szCs w:val="24"/>
                <w:highlight w:val="none"/>
              </w:rPr>
              <w:t>2、验收费用由</w:t>
            </w:r>
            <w:r>
              <w:rPr>
                <w:rFonts w:hint="eastAsia" w:ascii="宋体" w:hAnsi="宋体" w:cs="宋体"/>
                <w:b w:val="0"/>
                <w:bCs w:val="0"/>
                <w:sz w:val="24"/>
                <w:szCs w:val="24"/>
                <w:highlight w:val="none"/>
                <w:lang w:eastAsia="zh-CN"/>
              </w:rPr>
              <w:t>中标</w:t>
            </w:r>
            <w:r>
              <w:rPr>
                <w:rFonts w:hint="eastAsia" w:ascii="宋体" w:hAnsi="宋体" w:cs="宋体"/>
                <w:b w:val="0"/>
                <w:bCs w:val="0"/>
                <w:sz w:val="24"/>
                <w:szCs w:val="24"/>
                <w:highlight w:val="none"/>
              </w:rPr>
              <w:t>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024" w:type="dxa"/>
            <w:vAlign w:val="center"/>
          </w:tcPr>
          <w:p>
            <w:pPr>
              <w:pStyle w:val="2"/>
              <w:ind w:left="0" w:leftChars="0" w:firstLine="0" w:firstLineChars="0"/>
              <w:jc w:val="center"/>
              <w:rPr>
                <w:rFonts w:ascii="宋体" w:hAnsi="宋体" w:cs="宋体"/>
                <w:b w:val="0"/>
                <w:bCs w:val="0"/>
                <w:sz w:val="24"/>
                <w:szCs w:val="24"/>
                <w:highlight w:val="none"/>
              </w:rPr>
            </w:pPr>
            <w:r>
              <w:rPr>
                <w:rFonts w:hint="eastAsia" w:ascii="宋体" w:hAnsi="宋体" w:cs="宋体"/>
                <w:b w:val="0"/>
                <w:bCs w:val="0"/>
                <w:sz w:val="24"/>
                <w:szCs w:val="24"/>
                <w:highlight w:val="none"/>
              </w:rPr>
              <w:t>付款方式</w:t>
            </w:r>
          </w:p>
        </w:tc>
        <w:tc>
          <w:tcPr>
            <w:tcW w:w="7546" w:type="dxa"/>
            <w:vAlign w:val="center"/>
          </w:tcPr>
          <w:p>
            <w:pPr>
              <w:pStyle w:val="2"/>
              <w:ind w:left="0" w:leftChars="0" w:firstLine="0" w:firstLineChars="0"/>
              <w:rPr>
                <w:rFonts w:ascii="宋体" w:hAnsi="宋体" w:cs="宋体"/>
                <w:b w:val="0"/>
                <w:bCs w:val="0"/>
                <w:sz w:val="24"/>
                <w:highlight w:val="none"/>
              </w:rPr>
            </w:pPr>
            <w:r>
              <w:rPr>
                <w:rFonts w:hint="eastAsia" w:ascii="宋体" w:hAnsi="宋体" w:cs="宋体"/>
                <w:b w:val="0"/>
                <w:bCs w:val="0"/>
                <w:sz w:val="24"/>
                <w:highlight w:val="none"/>
              </w:rPr>
              <w:t>付款方式：</w:t>
            </w:r>
          </w:p>
          <w:p>
            <w:pPr>
              <w:pStyle w:val="2"/>
              <w:ind w:left="0" w:leftChars="0" w:firstLine="0" w:firstLineChars="0"/>
              <w:rPr>
                <w:rFonts w:ascii="宋体" w:hAnsi="宋体" w:cs="宋体"/>
                <w:b w:val="0"/>
                <w:bCs w:val="0"/>
                <w:color w:val="auto"/>
                <w:sz w:val="24"/>
                <w:highlight w:val="none"/>
              </w:rPr>
            </w:pPr>
            <w:r>
              <w:rPr>
                <w:rFonts w:hint="eastAsia" w:ascii="宋体" w:hAnsi="宋体" w:cs="宋体"/>
                <w:b w:val="0"/>
                <w:bCs w:val="0"/>
                <w:color w:val="auto"/>
                <w:sz w:val="24"/>
                <w:highlight w:val="none"/>
              </w:rPr>
              <w:t>1.合同生效以及具备实施条件后</w:t>
            </w:r>
            <w:r>
              <w:rPr>
                <w:rFonts w:hint="eastAsia" w:ascii="宋体" w:hAnsi="宋体" w:cs="宋体"/>
                <w:b w:val="0"/>
                <w:bCs w:val="0"/>
                <w:color w:val="auto"/>
                <w:sz w:val="24"/>
                <w:highlight w:val="none"/>
                <w:lang w:val="en-US" w:eastAsia="zh-CN"/>
              </w:rPr>
              <w:t>7个工作日</w:t>
            </w:r>
            <w:r>
              <w:rPr>
                <w:rFonts w:hint="eastAsia" w:ascii="宋体" w:hAnsi="宋体" w:cs="宋体"/>
                <w:b w:val="0"/>
                <w:bCs w:val="0"/>
                <w:color w:val="auto"/>
                <w:sz w:val="24"/>
                <w:highlight w:val="none"/>
              </w:rPr>
              <w:t>内支付合同金额的40%；</w:t>
            </w:r>
          </w:p>
          <w:p>
            <w:pPr>
              <w:pStyle w:val="2"/>
              <w:ind w:left="0" w:leftChars="0" w:firstLine="0" w:firstLineChars="0"/>
              <w:rPr>
                <w:rFonts w:ascii="宋体" w:hAnsi="宋体" w:cs="宋体"/>
                <w:b w:val="0"/>
                <w:bCs w:val="0"/>
                <w:color w:val="auto"/>
                <w:sz w:val="24"/>
                <w:szCs w:val="24"/>
                <w:highlight w:val="none"/>
              </w:rPr>
            </w:pPr>
            <w:r>
              <w:rPr>
                <w:rFonts w:hint="eastAsia" w:ascii="宋体" w:hAnsi="宋体" w:cs="宋体"/>
                <w:b w:val="0"/>
                <w:bCs w:val="0"/>
                <w:color w:val="auto"/>
                <w:sz w:val="24"/>
                <w:highlight w:val="none"/>
              </w:rPr>
              <w:t>2.</w:t>
            </w:r>
            <w:r>
              <w:rPr>
                <w:rFonts w:hint="eastAsia" w:ascii="宋体" w:hAnsi="宋体" w:cs="宋体"/>
                <w:b w:val="0"/>
                <w:bCs w:val="0"/>
                <w:color w:val="auto"/>
                <w:sz w:val="24"/>
                <w:szCs w:val="24"/>
                <w:highlight w:val="none"/>
              </w:rPr>
              <w:t>每年允许组织两次分模块验收，验收通过后7个工作日内支付验收模块合计金额的5</w:t>
            </w:r>
            <w:r>
              <w:rPr>
                <w:rFonts w:ascii="宋体" w:hAnsi="宋体" w:cs="宋体"/>
                <w:b w:val="0"/>
                <w:bCs w:val="0"/>
                <w:color w:val="auto"/>
                <w:sz w:val="24"/>
                <w:szCs w:val="24"/>
                <w:highlight w:val="none"/>
              </w:rPr>
              <w:t>0</w:t>
            </w:r>
            <w:r>
              <w:rPr>
                <w:rFonts w:hint="eastAsia" w:ascii="宋体" w:hAnsi="宋体" w:cs="宋体"/>
                <w:b w:val="0"/>
                <w:bCs w:val="0"/>
                <w:color w:val="auto"/>
                <w:sz w:val="24"/>
                <w:szCs w:val="24"/>
                <w:highlight w:val="none"/>
              </w:rPr>
              <w:t>%；</w:t>
            </w:r>
          </w:p>
          <w:p>
            <w:pPr>
              <w:pStyle w:val="2"/>
              <w:ind w:left="0" w:leftChars="0" w:firstLine="0" w:firstLineChars="0"/>
              <w:rPr>
                <w:rFonts w:ascii="宋体" w:hAnsi="宋体" w:cs="宋体"/>
                <w:b w:val="0"/>
                <w:bCs w:val="0"/>
                <w:color w:val="auto"/>
                <w:sz w:val="24"/>
                <w:szCs w:val="24"/>
                <w:highlight w:val="none"/>
              </w:rPr>
            </w:pPr>
            <w:r>
              <w:rPr>
                <w:rFonts w:hint="eastAsia" w:ascii="宋体" w:hAnsi="宋体" w:cs="宋体"/>
                <w:b w:val="0"/>
                <w:bCs w:val="0"/>
                <w:color w:val="auto"/>
                <w:sz w:val="24"/>
                <w:highlight w:val="none"/>
              </w:rPr>
              <w:t>3</w:t>
            </w:r>
            <w:r>
              <w:rPr>
                <w:rFonts w:hint="eastAsia" w:ascii="宋体" w:hAnsi="宋体" w:cs="宋体"/>
                <w:b w:val="0"/>
                <w:bCs w:val="0"/>
                <w:color w:val="auto"/>
                <w:sz w:val="24"/>
                <w:highlight w:val="none"/>
                <w:lang w:val="en-US" w:eastAsia="zh-CN"/>
              </w:rPr>
              <w:t>.</w:t>
            </w:r>
            <w:r>
              <w:rPr>
                <w:rFonts w:hint="eastAsia" w:ascii="宋体" w:hAnsi="宋体" w:cs="宋体"/>
                <w:b w:val="0"/>
                <w:bCs w:val="0"/>
                <w:color w:val="auto"/>
                <w:sz w:val="24"/>
                <w:szCs w:val="24"/>
                <w:highlight w:val="none"/>
              </w:rPr>
              <w:t>项目整体验收通过后</w:t>
            </w:r>
            <w:r>
              <w:rPr>
                <w:rFonts w:hint="eastAsia" w:ascii="宋体" w:hAnsi="宋体" w:cs="宋体"/>
                <w:b w:val="0"/>
                <w:bCs w:val="0"/>
                <w:color w:val="auto"/>
                <w:sz w:val="24"/>
                <w:szCs w:val="24"/>
                <w:highlight w:val="none"/>
                <w:lang w:val="en-US" w:eastAsia="zh-CN"/>
              </w:rPr>
              <w:t>7个工作日</w:t>
            </w:r>
            <w:r>
              <w:rPr>
                <w:rFonts w:hint="eastAsia" w:ascii="宋体" w:hAnsi="宋体" w:cs="宋体"/>
                <w:b w:val="0"/>
                <w:bCs w:val="0"/>
                <w:color w:val="auto"/>
                <w:sz w:val="24"/>
                <w:szCs w:val="24"/>
                <w:highlight w:val="none"/>
              </w:rPr>
              <w:t>内支付剩余款项；</w:t>
            </w:r>
          </w:p>
          <w:p>
            <w:pPr>
              <w:pStyle w:val="2"/>
              <w:ind w:left="0" w:leftChars="0" w:firstLine="0" w:firstLineChars="0"/>
              <w:rPr>
                <w:rFonts w:ascii="宋体" w:hAnsi="宋体" w:cs="宋体"/>
                <w:b w:val="0"/>
                <w:bCs w:val="0"/>
                <w:sz w:val="24"/>
                <w:highlight w:val="none"/>
              </w:rPr>
            </w:pPr>
            <w:r>
              <w:rPr>
                <w:rFonts w:hint="eastAsia" w:ascii="宋体" w:hAnsi="宋体" w:cs="宋体"/>
                <w:b w:val="0"/>
                <w:bCs w:val="0"/>
                <w:color w:val="auto"/>
                <w:sz w:val="24"/>
                <w:highlight w:val="none"/>
              </w:rPr>
              <w:t>注：付款前中标单位应按规定向采购人开具正规发票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024" w:type="dxa"/>
            <w:vAlign w:val="center"/>
          </w:tcPr>
          <w:p>
            <w:pPr>
              <w:pStyle w:val="2"/>
              <w:ind w:left="0" w:leftChars="0" w:firstLine="0" w:firstLineChars="0"/>
              <w:jc w:val="center"/>
              <w:rPr>
                <w:rFonts w:ascii="宋体" w:hAnsi="宋体" w:cs="宋体"/>
                <w:b w:val="0"/>
                <w:bCs w:val="0"/>
                <w:sz w:val="24"/>
                <w:szCs w:val="24"/>
                <w:highlight w:val="none"/>
              </w:rPr>
            </w:pPr>
            <w:r>
              <w:rPr>
                <w:rFonts w:hint="eastAsia" w:ascii="宋体" w:hAnsi="宋体" w:cs="宋体"/>
                <w:b w:val="0"/>
                <w:bCs w:val="0"/>
                <w:sz w:val="24"/>
                <w:szCs w:val="24"/>
                <w:highlight w:val="none"/>
              </w:rPr>
              <w:t>售后服务</w:t>
            </w:r>
          </w:p>
        </w:tc>
        <w:tc>
          <w:tcPr>
            <w:tcW w:w="7546" w:type="dxa"/>
            <w:vAlign w:val="center"/>
          </w:tcPr>
          <w:p>
            <w:pPr>
              <w:pStyle w:val="2"/>
              <w:ind w:left="0" w:leftChars="0" w:firstLine="0" w:firstLineChars="0"/>
              <w:rPr>
                <w:rFonts w:ascii="宋体" w:hAnsi="宋体" w:cs="宋体"/>
                <w:b w:val="0"/>
                <w:bCs w:val="0"/>
                <w:sz w:val="24"/>
                <w:szCs w:val="24"/>
                <w:highlight w:val="none"/>
              </w:rPr>
            </w:pPr>
            <w:r>
              <w:rPr>
                <w:rFonts w:hint="eastAsia" w:ascii="宋体" w:hAnsi="宋体" w:cs="宋体"/>
                <w:b w:val="0"/>
                <w:bCs w:val="0"/>
                <w:sz w:val="24"/>
                <w:szCs w:val="24"/>
                <w:highlight w:val="none"/>
              </w:rPr>
              <w:t>（1）本项目软件免费维保期为自项目整体通过验收后1年，在此期间投标人免费提供维护、升级服务。服务形式包括热线电话、远程、网站、电子邮件和现场服务等。</w:t>
            </w:r>
          </w:p>
          <w:p>
            <w:pPr>
              <w:pStyle w:val="2"/>
              <w:ind w:left="0" w:leftChars="0" w:firstLine="0" w:firstLineChars="0"/>
              <w:rPr>
                <w:rFonts w:ascii="宋体" w:hAnsi="宋体" w:cs="宋体"/>
                <w:b w:val="0"/>
                <w:bCs w:val="0"/>
                <w:sz w:val="24"/>
                <w:szCs w:val="24"/>
                <w:highlight w:val="none"/>
              </w:rPr>
            </w:pPr>
            <w:r>
              <w:rPr>
                <w:rFonts w:hint="eastAsia" w:ascii="宋体" w:hAnsi="宋体" w:cs="宋体"/>
                <w:b w:val="0"/>
                <w:bCs w:val="0"/>
                <w:sz w:val="24"/>
                <w:szCs w:val="24"/>
                <w:highlight w:val="none"/>
              </w:rPr>
              <w:t>（2）投标人须根据本次招标文件所制定的目标和范围，提出相应的售后服务方案。</w:t>
            </w:r>
          </w:p>
          <w:p>
            <w:pPr>
              <w:pStyle w:val="2"/>
              <w:ind w:left="0" w:leftChars="0" w:firstLine="0" w:firstLineChars="0"/>
              <w:rPr>
                <w:rFonts w:ascii="宋体" w:hAnsi="宋体" w:cs="宋体"/>
                <w:sz w:val="24"/>
                <w:szCs w:val="24"/>
                <w:highlight w:val="none"/>
              </w:rPr>
            </w:pPr>
            <w:r>
              <w:rPr>
                <w:rFonts w:hint="eastAsia" w:ascii="宋体" w:hAnsi="宋体" w:cs="宋体"/>
                <w:b w:val="0"/>
                <w:bCs w:val="0"/>
                <w:sz w:val="24"/>
                <w:szCs w:val="24"/>
                <w:highlight w:val="none"/>
              </w:rPr>
              <w:t>（3）为了保证本次项目顺利成功，要求投标人承诺项目整体通过验收后提供不少于壹年的软件7*24小时售后技术服务，1小时内做出明确响应和安排，现场响应时间要求是接到用户需求电话后6小时内到达。包括免费升级、功能完善、故障排除、性能调优、技术咨询等，并负责系统的开发、集成，处理、协调与各系统软件等供应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024" w:type="dxa"/>
            <w:vAlign w:val="center"/>
          </w:tcPr>
          <w:p>
            <w:pPr>
              <w:pStyle w:val="2"/>
              <w:ind w:left="0" w:leftChars="0" w:firstLine="0" w:firstLineChars="0"/>
              <w:jc w:val="center"/>
              <w:rPr>
                <w:rFonts w:ascii="宋体" w:hAnsi="宋体" w:cs="宋体"/>
                <w:b w:val="0"/>
                <w:bCs w:val="0"/>
                <w:sz w:val="24"/>
                <w:szCs w:val="24"/>
                <w:highlight w:val="none"/>
              </w:rPr>
            </w:pPr>
            <w:r>
              <w:rPr>
                <w:rFonts w:hint="eastAsia" w:ascii="宋体" w:hAnsi="宋体" w:cs="宋体"/>
                <w:b w:val="0"/>
                <w:bCs w:val="0"/>
                <w:sz w:val="24"/>
                <w:szCs w:val="24"/>
                <w:highlight w:val="none"/>
              </w:rPr>
              <w:t>质量保证</w:t>
            </w:r>
          </w:p>
        </w:tc>
        <w:tc>
          <w:tcPr>
            <w:tcW w:w="7546" w:type="dxa"/>
            <w:vAlign w:val="center"/>
          </w:tcPr>
          <w:p>
            <w:pPr>
              <w:pStyle w:val="2"/>
              <w:ind w:left="0" w:leftChars="0" w:firstLine="0" w:firstLineChars="0"/>
              <w:rPr>
                <w:rFonts w:ascii="宋体" w:hAnsi="宋体" w:cs="宋体"/>
                <w:b w:val="0"/>
                <w:bCs w:val="0"/>
                <w:sz w:val="24"/>
                <w:szCs w:val="24"/>
                <w:highlight w:val="none"/>
              </w:rPr>
            </w:pPr>
            <w:r>
              <w:rPr>
                <w:rFonts w:hint="eastAsia" w:ascii="宋体" w:hAnsi="宋体" w:cs="宋体"/>
                <w:b w:val="0"/>
                <w:bCs w:val="0"/>
                <w:sz w:val="24"/>
                <w:szCs w:val="24"/>
                <w:highlight w:val="none"/>
              </w:rPr>
              <w:t>（1）投标人须保证所提供产品符合国家有关规定。投标人须保证所提供产品具有合法的版权或使用权，本项目采购的产品，如在本项目范围内使用过程中出现版权或使用权纠纷，应由中标人负责，采购人不承担责任。</w:t>
            </w:r>
          </w:p>
          <w:p>
            <w:pPr>
              <w:pStyle w:val="2"/>
              <w:ind w:left="0" w:leftChars="0" w:firstLine="0" w:firstLineChars="0"/>
              <w:rPr>
                <w:rFonts w:ascii="宋体" w:hAnsi="宋体" w:cs="宋体"/>
                <w:b w:val="0"/>
                <w:bCs w:val="0"/>
                <w:sz w:val="24"/>
                <w:szCs w:val="24"/>
                <w:highlight w:val="none"/>
              </w:rPr>
            </w:pPr>
            <w:r>
              <w:rPr>
                <w:rFonts w:hint="eastAsia" w:ascii="宋体" w:hAnsi="宋体" w:cs="宋体"/>
                <w:b w:val="0"/>
                <w:bCs w:val="0"/>
                <w:sz w:val="24"/>
                <w:szCs w:val="24"/>
                <w:highlight w:val="none"/>
              </w:rPr>
              <w:t>（2）投标人必须保证解决项目所涉及的技术问题，如因技术原因无法满足采购人需求，由此产生的风险由投标人承担</w:t>
            </w:r>
          </w:p>
        </w:tc>
      </w:tr>
    </w:tbl>
    <w:p>
      <w:pPr>
        <w:rPr>
          <w:rFonts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ascii="仿宋" w:hAnsi="仿宋" w:eastAsia="仿宋" w:cs="仿宋_GB2312"/>
          <w:b/>
          <w:sz w:val="36"/>
          <w:szCs w:val="20"/>
          <w:highlight w:val="none"/>
        </w:rPr>
      </w:pPr>
      <w:r>
        <w:rPr>
          <w:rFonts w:hint="eastAsia" w:ascii="仿宋" w:hAnsi="仿宋" w:eastAsia="仿宋" w:cs="仿宋_GB2312"/>
          <w:b/>
          <w:sz w:val="36"/>
          <w:szCs w:val="20"/>
          <w:highlight w:val="none"/>
        </w:rPr>
        <w:t>第</w:t>
      </w:r>
      <w:bookmarkEnd w:id="11"/>
      <w:r>
        <w:rPr>
          <w:rFonts w:hint="eastAsia" w:ascii="仿宋" w:hAnsi="仿宋" w:eastAsia="仿宋" w:cs="仿宋_GB2312"/>
          <w:b/>
          <w:sz w:val="36"/>
          <w:szCs w:val="20"/>
          <w:highlight w:val="none"/>
        </w:rPr>
        <w:t>三章</w:t>
      </w:r>
      <w:r>
        <w:rPr>
          <w:rFonts w:ascii="仿宋" w:hAnsi="仿宋" w:eastAsia="仿宋" w:cs="仿宋_GB2312"/>
          <w:b/>
          <w:sz w:val="36"/>
          <w:szCs w:val="20"/>
          <w:highlight w:val="none"/>
        </w:rPr>
        <w:t xml:space="preserve"> 投标人须知</w:t>
      </w:r>
      <w:bookmarkEnd w:id="12"/>
    </w:p>
    <w:bookmarkEnd w:id="13"/>
    <w:p>
      <w:pPr>
        <w:wordWrap w:val="0"/>
        <w:overflowPunct w:val="0"/>
        <w:autoSpaceDE w:val="0"/>
        <w:autoSpaceDN w:val="0"/>
        <w:adjustRightInd/>
        <w:spacing w:before="240" w:beforeLines="100" w:after="240" w:afterLines="100" w:line="360" w:lineRule="atLeast"/>
        <w:jc w:val="center"/>
        <w:rPr>
          <w:rFonts w:ascii="宋体" w:hAnsi="宋体" w:cs="宋体"/>
          <w:b/>
          <w:bCs/>
          <w:sz w:val="28"/>
          <w:szCs w:val="28"/>
          <w:highlight w:val="none"/>
        </w:rPr>
      </w:pPr>
      <w:bookmarkStart w:id="33" w:name="_Toc91899903"/>
      <w:bookmarkStart w:id="34" w:name="第三部分"/>
      <w:bookmarkStart w:id="35" w:name="_Toc164416483"/>
      <w:r>
        <w:rPr>
          <w:rFonts w:hint="eastAsia" w:ascii="宋体" w:hAnsi="宋体" w:cs="宋体"/>
          <w:b/>
          <w:bCs/>
          <w:sz w:val="28"/>
          <w:szCs w:val="28"/>
          <w:highlight w:val="none"/>
        </w:rPr>
        <w:t>电子交易注意事项</w:t>
      </w:r>
    </w:p>
    <w:p>
      <w:pPr>
        <w:wordWrap w:val="0"/>
        <w:overflowPunct w:val="0"/>
        <w:autoSpaceDE w:val="0"/>
        <w:autoSpaceDN w:val="0"/>
        <w:adjustRightInd/>
        <w:spacing w:line="400" w:lineRule="exact"/>
        <w:ind w:firstLine="240" w:firstLineChars="1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　政府采购项目电子交易活动适用《浙江省政府采购项目电子交易管理暂行办法》，现将相关注意事项告知如下：</w:t>
      </w:r>
    </w:p>
    <w:p>
      <w:pPr>
        <w:wordWrap w:val="0"/>
        <w:overflowPunct w:val="0"/>
        <w:autoSpaceDE w:val="0"/>
        <w:autoSpaceDN w:val="0"/>
        <w:adjustRightInd/>
        <w:spacing w:line="400" w:lineRule="exact"/>
        <w:ind w:firstLine="240" w:firstLineChars="100"/>
        <w:jc w:val="left"/>
        <w:rPr>
          <w:rFonts w:ascii="宋体" w:hAnsi="宋体" w:cs="宋体"/>
          <w:sz w:val="24"/>
          <w:highlight w:val="none"/>
        </w:rPr>
      </w:pPr>
      <w:r>
        <w:rPr>
          <w:rFonts w:hint="eastAsia" w:ascii="宋体" w:hAnsi="宋体" w:cs="宋体"/>
          <w:sz w:val="24"/>
          <w:highlight w:val="none"/>
        </w:rPr>
        <w:t>　1.采购代理机构按照招标文件规定的时间通过电子交易平台组织开标、开启投标文件，所有供应商均应当准时在线参加，直至评审结束。</w:t>
      </w:r>
    </w:p>
    <w:p>
      <w:pPr>
        <w:pStyle w:val="60"/>
        <w:widowControl w:val="0"/>
        <w:wordWrap w:val="0"/>
        <w:overflowPunct w:val="0"/>
        <w:autoSpaceDE w:val="0"/>
        <w:autoSpaceDN w:val="0"/>
        <w:adjustRightInd/>
        <w:spacing w:before="0" w:beforeAutospacing="0" w:after="0" w:afterAutospacing="0" w:line="400" w:lineRule="exact"/>
        <w:ind w:firstLine="240" w:firstLineChars="100"/>
        <w:rPr>
          <w:rFonts w:cs="宋体"/>
          <w:kern w:val="2"/>
          <w:highlight w:val="none"/>
        </w:rPr>
      </w:pPr>
      <w:r>
        <w:rPr>
          <w:rFonts w:hint="eastAsia" w:cs="宋体"/>
          <w:kern w:val="2"/>
          <w:highlight w:val="none"/>
        </w:rPr>
        <w:t>　2.采购过程中出现以下情形，导致电子交易平台无法正常运行，或者无法保证电子交易的公平、公正和安全时，采购代理机构可中止电子交易活动：</w:t>
      </w:r>
    </w:p>
    <w:p>
      <w:pPr>
        <w:pStyle w:val="60"/>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（一）电子交易平台发生故障而无法登录访问的； </w:t>
      </w:r>
    </w:p>
    <w:p>
      <w:pPr>
        <w:pStyle w:val="60"/>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（二）电子交易平台应用或数据库出现错误，不能进行正常操作的；</w:t>
      </w:r>
    </w:p>
    <w:p>
      <w:pPr>
        <w:pStyle w:val="60"/>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（三）电子交易平台发现严重安全漏洞，有潜在泄密危险的；</w:t>
      </w:r>
    </w:p>
    <w:p>
      <w:pPr>
        <w:pStyle w:val="60"/>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（四）病毒发作导致不能进行正常操作的； </w:t>
      </w:r>
    </w:p>
    <w:p>
      <w:pPr>
        <w:pStyle w:val="60"/>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（五）其他无法保证电子交易的公平、公正和安全的情况。</w:t>
      </w:r>
    </w:p>
    <w:p>
      <w:pPr>
        <w:pStyle w:val="60"/>
        <w:widowControl w:val="0"/>
        <w:wordWrap w:val="0"/>
        <w:overflowPunct w:val="0"/>
        <w:autoSpaceDE w:val="0"/>
        <w:autoSpaceDN w:val="0"/>
        <w:adjustRightInd/>
        <w:spacing w:before="0" w:beforeAutospacing="0" w:after="0" w:afterAutospacing="0" w:line="400" w:lineRule="exact"/>
        <w:ind w:firstLine="480"/>
        <w:rPr>
          <w:rFonts w:cs="宋体"/>
          <w:kern w:val="2"/>
          <w:highlight w:val="none"/>
        </w:rPr>
      </w:pPr>
      <w:r>
        <w:rPr>
          <w:rFonts w:hint="eastAsia" w:cs="宋体"/>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pPr>
        <w:pStyle w:val="60"/>
        <w:widowControl w:val="0"/>
        <w:wordWrap w:val="0"/>
        <w:overflowPunct w:val="0"/>
        <w:autoSpaceDE w:val="0"/>
        <w:autoSpaceDN w:val="0"/>
        <w:adjustRightInd/>
        <w:spacing w:before="0" w:beforeAutospacing="0" w:after="0" w:afterAutospacing="0" w:line="400" w:lineRule="exact"/>
        <w:ind w:firstLine="480"/>
        <w:rPr>
          <w:rFonts w:cs="宋体"/>
          <w:highlight w:val="none"/>
          <w:shd w:val="clear" w:color="auto" w:fill="FFFFFF"/>
        </w:rPr>
      </w:pPr>
      <w:r>
        <w:rPr>
          <w:rFonts w:hint="eastAsia" w:cs="宋体"/>
          <w:highlight w:val="none"/>
          <w:shd w:val="clear" w:color="auto" w:fill="FFFFFF"/>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25"/>
        <w:wordWrap w:val="0"/>
        <w:overflowPunct w:val="0"/>
        <w:adjustRightInd/>
        <w:spacing w:line="400" w:lineRule="exact"/>
        <w:ind w:firstLine="487"/>
        <w:rPr>
          <w:rFonts w:hAnsi="宋体" w:cs="宋体"/>
          <w:kern w:val="0"/>
          <w:szCs w:val="24"/>
          <w:highlight w:val="none"/>
          <w:shd w:val="clear" w:color="auto" w:fill="FFFFFF"/>
        </w:rPr>
      </w:pPr>
      <w:r>
        <w:rPr>
          <w:rFonts w:hint="eastAsia" w:hAnsi="宋体" w:cs="宋体"/>
          <w:kern w:val="0"/>
          <w:szCs w:val="24"/>
          <w:highlight w:val="none"/>
          <w:shd w:val="clear" w:color="auto" w:fill="FFFFFF"/>
          <w:lang w:val="en-US"/>
        </w:rPr>
        <w:t>4</w:t>
      </w:r>
      <w:r>
        <w:rPr>
          <w:rFonts w:hint="eastAsia" w:hAnsi="宋体" w:cs="宋体"/>
          <w:kern w:val="0"/>
          <w:szCs w:val="24"/>
          <w:highlight w:val="none"/>
          <w:shd w:val="clear" w:color="auto" w:fill="FFFFFF"/>
        </w:rPr>
        <w:t>.供应商须在采购代理机构宣布评审结束、产生中标候选人前时刻关注，配合专家组工作，如有询标（澄清、质疑），在约定时间内（具体时间以询标函上规定的时间为准备）通过</w:t>
      </w:r>
      <w:r>
        <w:rPr>
          <w:rFonts w:hint="eastAsia" w:hAnsi="宋体" w:cs="宋体"/>
          <w:kern w:val="0"/>
          <w:szCs w:val="24"/>
          <w:highlight w:val="none"/>
          <w:shd w:val="clear" w:color="auto" w:fill="FFFFFF"/>
          <w:lang w:val="en-US"/>
        </w:rPr>
        <w:t>CA</w:t>
      </w:r>
      <w:r>
        <w:rPr>
          <w:rFonts w:hint="eastAsia" w:hAnsi="宋体" w:cs="宋体"/>
          <w:kern w:val="0"/>
          <w:szCs w:val="24"/>
          <w:highlight w:val="none"/>
          <w:shd w:val="clear" w:color="auto" w:fill="FFFFFF"/>
        </w:rPr>
        <w:t>进行回复。未按要求回复的，视为放弃澄清。</w:t>
      </w:r>
    </w:p>
    <w:p>
      <w:pPr>
        <w:rPr>
          <w:highlight w:val="none"/>
        </w:rPr>
      </w:pPr>
    </w:p>
    <w:p>
      <w:pPr>
        <w:wordWrap w:val="0"/>
        <w:overflowPunct w:val="0"/>
        <w:autoSpaceDE w:val="0"/>
        <w:autoSpaceDN w:val="0"/>
        <w:snapToGrid w:val="0"/>
        <w:spacing w:line="360" w:lineRule="auto"/>
        <w:rPr>
          <w:rFonts w:ascii="宋体" w:hAnsi="宋体" w:cs="宋体"/>
          <w:b/>
          <w:bCs/>
          <w:sz w:val="28"/>
          <w:highlight w:val="none"/>
        </w:rPr>
      </w:pPr>
    </w:p>
    <w:p>
      <w:pPr>
        <w:wordWrap w:val="0"/>
        <w:overflowPunct w:val="0"/>
        <w:autoSpaceDE w:val="0"/>
        <w:autoSpaceDN w:val="0"/>
        <w:snapToGrid w:val="0"/>
        <w:spacing w:line="360" w:lineRule="auto"/>
        <w:jc w:val="center"/>
        <w:rPr>
          <w:rFonts w:ascii="宋体" w:hAnsi="宋体" w:cs="宋体"/>
          <w:b/>
          <w:bCs/>
          <w:sz w:val="28"/>
          <w:highlight w:val="none"/>
        </w:rPr>
      </w:pPr>
      <w:r>
        <w:rPr>
          <w:rFonts w:hint="eastAsia" w:ascii="宋体" w:hAnsi="宋体" w:cs="宋体"/>
          <w:b/>
          <w:bCs/>
          <w:sz w:val="28"/>
          <w:highlight w:val="none"/>
        </w:rPr>
        <w:t>前附表</w:t>
      </w:r>
    </w:p>
    <w:tbl>
      <w:tblPr>
        <w:tblStyle w:val="64"/>
        <w:tblW w:w="9143" w:type="dxa"/>
        <w:tblInd w:w="142" w:type="dxa"/>
        <w:tblLayout w:type="fixed"/>
        <w:tblCellMar>
          <w:top w:w="0" w:type="dxa"/>
          <w:left w:w="108" w:type="dxa"/>
          <w:bottom w:w="0" w:type="dxa"/>
          <w:right w:w="108" w:type="dxa"/>
        </w:tblCellMar>
      </w:tblPr>
      <w:tblGrid>
        <w:gridCol w:w="744"/>
        <w:gridCol w:w="8399"/>
      </w:tblGrid>
      <w:tr>
        <w:tblPrEx>
          <w:tblCellMar>
            <w:top w:w="0" w:type="dxa"/>
            <w:left w:w="108" w:type="dxa"/>
            <w:bottom w:w="0" w:type="dxa"/>
            <w:right w:w="108" w:type="dxa"/>
          </w:tblCellMar>
        </w:tblPrEx>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sz w:val="24"/>
                <w:highlight w:val="none"/>
              </w:rPr>
            </w:pPr>
            <w:r>
              <w:rPr>
                <w:rFonts w:hint="eastAsia" w:ascii="宋体" w:hAnsi="宋体" w:cs="宋体"/>
                <w:b/>
                <w:sz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sz w:val="24"/>
                <w:highlight w:val="none"/>
              </w:rPr>
            </w:pPr>
            <w:r>
              <w:rPr>
                <w:rFonts w:hint="eastAsia" w:ascii="宋体" w:hAnsi="宋体" w:cs="宋体"/>
                <w:b/>
                <w:sz w:val="24"/>
                <w:highlight w:val="none"/>
              </w:rPr>
              <w:t>内容、要求</w:t>
            </w:r>
          </w:p>
        </w:tc>
      </w:tr>
      <w:tr>
        <w:tblPrEx>
          <w:tblCellMar>
            <w:top w:w="0" w:type="dxa"/>
            <w:left w:w="108" w:type="dxa"/>
            <w:bottom w:w="0" w:type="dxa"/>
            <w:right w:w="108" w:type="dxa"/>
          </w:tblCellMar>
        </w:tblPrEx>
        <w:trPr>
          <w:trHeight w:val="38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w:t>
            </w:r>
          </w:p>
        </w:tc>
        <w:tc>
          <w:tcPr>
            <w:tcW w:w="8399" w:type="dxa"/>
            <w:tcBorders>
              <w:top w:val="single" w:color="auto" w:sz="4" w:space="0"/>
              <w:left w:val="nil"/>
              <w:bottom w:val="single" w:color="auto" w:sz="4" w:space="0"/>
              <w:right w:val="single" w:color="auto" w:sz="4" w:space="0"/>
            </w:tcBorders>
            <w:vAlign w:val="center"/>
          </w:tcPr>
          <w:p>
            <w:pPr>
              <w:pStyle w:val="35"/>
              <w:wordWrap w:val="0"/>
              <w:overflowPunct w:val="0"/>
              <w:autoSpaceDE w:val="0"/>
              <w:autoSpaceDN w:val="0"/>
              <w:adjustRightInd/>
              <w:snapToGrid w:val="0"/>
              <w:spacing w:before="24" w:beforeLines="10" w:after="24" w:afterLines="10" w:line="400" w:lineRule="exact"/>
              <w:rPr>
                <w:rFonts w:hAnsi="宋体" w:cs="宋体"/>
                <w:sz w:val="24"/>
                <w:szCs w:val="24"/>
                <w:highlight w:val="none"/>
              </w:rPr>
            </w:pPr>
            <w:r>
              <w:rPr>
                <w:rFonts w:hint="eastAsia" w:hAnsi="宋体" w:cs="宋体"/>
                <w:sz w:val="24"/>
                <w:szCs w:val="24"/>
                <w:highlight w:val="none"/>
              </w:rPr>
              <w:t xml:space="preserve">    项目名称：浙江省嘉善县第一人民医院新一代信息系统建设项目（二期）</w:t>
            </w:r>
          </w:p>
        </w:tc>
      </w:tr>
      <w:tr>
        <w:tblPrEx>
          <w:tblCellMar>
            <w:top w:w="0" w:type="dxa"/>
            <w:left w:w="108" w:type="dxa"/>
            <w:bottom w:w="0" w:type="dxa"/>
            <w:right w:w="108" w:type="dxa"/>
          </w:tblCellMar>
        </w:tblPrEx>
        <w:trPr>
          <w:trHeight w:val="277"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采购内容：详见第二章。</w:t>
            </w:r>
          </w:p>
        </w:tc>
      </w:tr>
      <w:tr>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3</w:t>
            </w:r>
          </w:p>
        </w:tc>
        <w:tc>
          <w:tcPr>
            <w:tcW w:w="8399" w:type="dxa"/>
            <w:tcBorders>
              <w:top w:val="single" w:color="auto" w:sz="4" w:space="0"/>
              <w:left w:val="nil"/>
              <w:bottom w:val="single" w:color="auto" w:sz="4" w:space="0"/>
              <w:right w:val="single" w:color="auto" w:sz="4" w:space="0"/>
            </w:tcBorders>
            <w:vAlign w:val="center"/>
          </w:tcPr>
          <w:p>
            <w:pPr>
              <w:pStyle w:val="60"/>
              <w:widowControl w:val="0"/>
              <w:overflowPunct w:val="0"/>
              <w:topLinePunct/>
              <w:autoSpaceDE w:val="0"/>
              <w:autoSpaceDN w:val="0"/>
              <w:spacing w:before="24" w:beforeLines="10" w:beforeAutospacing="0" w:after="24" w:afterLines="10" w:afterAutospacing="0" w:line="400" w:lineRule="exact"/>
              <w:ind w:firstLine="480" w:firstLineChars="200"/>
              <w:rPr>
                <w:rFonts w:cs="宋体"/>
                <w:highlight w:val="none"/>
              </w:rPr>
            </w:pPr>
            <w:r>
              <w:rPr>
                <w:rFonts w:hint="eastAsia" w:cs="宋体"/>
                <w:highlight w:val="none"/>
              </w:rPr>
              <w:t>项目预算：</w:t>
            </w:r>
            <w:r>
              <w:rPr>
                <w:rFonts w:hint="eastAsia" w:cs="宋体"/>
                <w:highlight w:val="none"/>
                <w:u w:val="single"/>
              </w:rPr>
              <w:t>2350</w:t>
            </w:r>
            <w:r>
              <w:rPr>
                <w:rFonts w:hint="eastAsia" w:cs="宋体"/>
                <w:highlight w:val="none"/>
                <w:u w:val="single"/>
                <w:lang w:val="en-US" w:eastAsia="zh-CN"/>
              </w:rPr>
              <w:t>.</w:t>
            </w:r>
            <w:r>
              <w:rPr>
                <w:rFonts w:hint="eastAsia" w:cs="宋体"/>
                <w:highlight w:val="none"/>
                <w:u w:val="single"/>
              </w:rPr>
              <w:t>00万元</w:t>
            </w:r>
            <w:r>
              <w:rPr>
                <w:rFonts w:hint="eastAsia" w:cs="宋体"/>
                <w:highlight w:val="none"/>
              </w:rPr>
              <w:t>。</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最高限价</w:t>
            </w:r>
            <w:r>
              <w:rPr>
                <w:rFonts w:hint="eastAsia" w:ascii="宋体" w:hAnsi="宋体" w:cs="宋体"/>
                <w:sz w:val="24"/>
                <w:highlight w:val="none"/>
                <w:lang w:val="en-US" w:eastAsia="zh-CN"/>
              </w:rPr>
              <w:t xml:space="preserve">: </w:t>
            </w:r>
            <w:r>
              <w:rPr>
                <w:rFonts w:hint="eastAsia" w:ascii="宋体" w:hAnsi="宋体" w:cs="宋体"/>
                <w:sz w:val="24"/>
                <w:highlight w:val="none"/>
                <w:u w:val="single"/>
                <w:lang w:val="en-US" w:eastAsia="zh-CN"/>
              </w:rPr>
              <w:t>2210.00</w:t>
            </w:r>
            <w:r>
              <w:rPr>
                <w:rFonts w:hint="eastAsia" w:ascii="宋体" w:hAnsi="宋体" w:cs="宋体"/>
                <w:sz w:val="24"/>
                <w:highlight w:val="none"/>
                <w:u w:val="single"/>
                <w:lang w:eastAsia="zh-CN"/>
              </w:rPr>
              <w:t>万元</w:t>
            </w:r>
            <w:r>
              <w:rPr>
                <w:rFonts w:hint="eastAsia" w:ascii="宋体" w:hAnsi="宋体" w:cs="宋体"/>
                <w:sz w:val="24"/>
                <w:highlight w:val="none"/>
              </w:rPr>
              <w:t>，超最高限价的投标文件无效。</w:t>
            </w:r>
          </w:p>
        </w:tc>
      </w:tr>
      <w:tr>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投标报价及费用：</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1.本项目投标应以人民币报价；</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2.不论投标结果如何，投标人均应自行承担所有与投标有关的全部费用。</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投标保证金：无。</w:t>
            </w:r>
          </w:p>
        </w:tc>
      </w:tr>
      <w:tr>
        <w:tblPrEx>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答疑与澄清：投标人应认真阅读本招标文件，发现其中有误或有不合理要求的，投标人必须在知道或者应当知道之日起七个工作日内以书面形式向采购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tblPrEx>
          <w:tblCellMar>
            <w:top w:w="0" w:type="dxa"/>
            <w:left w:w="108" w:type="dxa"/>
            <w:bottom w:w="0" w:type="dxa"/>
            <w:right w:w="108" w:type="dxa"/>
          </w:tblCellMar>
        </w:tblPrEx>
        <w:trPr>
          <w:trHeight w:val="58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bCs/>
                <w:sz w:val="24"/>
                <w:highlight w:val="none"/>
              </w:rPr>
            </w:pPr>
            <w:r>
              <w:rPr>
                <w:rFonts w:hint="eastAsia" w:ascii="宋体" w:hAnsi="宋体" w:cs="宋体"/>
                <w:bCs/>
                <w:sz w:val="24"/>
                <w:highlight w:val="none"/>
              </w:rPr>
              <w:t xml:space="preserve">    采购公告发布后，在政采云平台已完成注册的供应商登录系统，申请获取采购文件，待审核通过后，可下载采购文件。如果“已申请”标签页显示状态为“审核通过”即为报名成功。</w:t>
            </w:r>
          </w:p>
          <w:p>
            <w:pPr>
              <w:wordWrap w:val="0"/>
              <w:overflowPunct w:val="0"/>
              <w:autoSpaceDE w:val="0"/>
              <w:autoSpaceDN w:val="0"/>
              <w:snapToGrid w:val="0"/>
              <w:spacing w:before="24" w:beforeLines="10" w:after="24" w:afterLines="10" w:line="400" w:lineRule="exact"/>
              <w:rPr>
                <w:rFonts w:ascii="宋体" w:hAnsi="宋体" w:cs="宋体"/>
                <w:bCs/>
                <w:sz w:val="24"/>
                <w:highlight w:val="none"/>
              </w:rPr>
            </w:pPr>
            <w:r>
              <w:rPr>
                <w:rFonts w:hint="eastAsia" w:ascii="宋体" w:hAnsi="宋体" w:cs="宋体"/>
                <w:bCs/>
                <w:sz w:val="24"/>
                <w:highlight w:val="none"/>
              </w:rPr>
              <w:t xml:space="preserve">    路径：用户中心——项目采购——获取采购文件管理。</w:t>
            </w:r>
          </w:p>
          <w:p>
            <w:pPr>
              <w:wordWrap w:val="0"/>
              <w:overflowPunct w:val="0"/>
              <w:autoSpaceDE w:val="0"/>
              <w:autoSpaceDN w:val="0"/>
              <w:snapToGrid w:val="0"/>
              <w:spacing w:before="24" w:beforeLines="10" w:after="24" w:afterLines="10" w:line="400" w:lineRule="exact"/>
              <w:rPr>
                <w:rFonts w:ascii="宋体" w:hAnsi="宋体" w:cs="宋体"/>
                <w:bCs/>
                <w:sz w:val="24"/>
                <w:highlight w:val="none"/>
              </w:rPr>
            </w:pPr>
            <w:r>
              <w:rPr>
                <w:rFonts w:hint="eastAsia" w:ascii="宋体" w:hAnsi="宋体" w:cs="宋体"/>
                <w:bCs/>
                <w:sz w:val="24"/>
                <w:highlight w:val="none"/>
              </w:rPr>
              <w:t xml:space="preserve">    在“已获取”的状态下，供应商可下载查看招标文件。</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bCs/>
                <w:sz w:val="24"/>
                <w:highlight w:val="none"/>
              </w:rPr>
              <w:t xml:space="preserve">    获取采购文件网址：浙江政府采购网（https://zfcg.czt.zj.gov.cn/）</w:t>
            </w:r>
          </w:p>
        </w:tc>
      </w:tr>
      <w:tr>
        <w:tblPrEx>
          <w:tblCellMar>
            <w:top w:w="0" w:type="dxa"/>
            <w:left w:w="108" w:type="dxa"/>
            <w:bottom w:w="0" w:type="dxa"/>
            <w:right w:w="108" w:type="dxa"/>
          </w:tblCellMar>
        </w:tblPrEx>
        <w:trPr>
          <w:trHeight w:val="20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8</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投标文件形式、制作及组成：</w:t>
            </w:r>
          </w:p>
          <w:p>
            <w:pPr>
              <w:wordWrap w:val="0"/>
              <w:overflowPunct w:val="0"/>
              <w:autoSpaceDE w:val="0"/>
              <w:autoSpaceDN w:val="0"/>
              <w:snapToGrid w:val="0"/>
              <w:spacing w:before="24" w:beforeLines="10" w:after="24" w:afterLines="10" w:line="400" w:lineRule="exact"/>
              <w:rPr>
                <w:rFonts w:ascii="宋体" w:hAnsi="宋体" w:cs="宋体"/>
                <w:kern w:val="0"/>
                <w:sz w:val="24"/>
                <w:highlight w:val="none"/>
              </w:rPr>
            </w:pPr>
            <w:r>
              <w:rPr>
                <w:rFonts w:hint="eastAsia" w:ascii="宋体" w:hAnsi="宋体" w:cs="宋体"/>
                <w:kern w:val="0"/>
                <w:sz w:val="24"/>
                <w:highlight w:val="none"/>
              </w:rPr>
              <w:t xml:space="preserve">    投标人应准备电子加密投标文件，按政采云平台供应商项目采购-电子招投标操作指南（网址：https://service.zcygov.cn/#/knowledges/CW1EtGwBFdiHxlNd6I3m/6IMVAG0BFdiHxlNdQ8Na?keyword）及本招标文件要求递交。</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投标文件均由资格文件、商务技术文件、报价文件组成。</w:t>
            </w:r>
          </w:p>
        </w:tc>
      </w:tr>
      <w:tr>
        <w:tblPrEx>
          <w:tblCellMar>
            <w:top w:w="0" w:type="dxa"/>
            <w:left w:w="108" w:type="dxa"/>
            <w:bottom w:w="0" w:type="dxa"/>
            <w:right w:w="108" w:type="dxa"/>
          </w:tblCellMar>
        </w:tblPrEx>
        <w:trPr>
          <w:trHeight w:val="34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9</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投标截止时间：</w:t>
            </w:r>
            <w:r>
              <w:rPr>
                <w:rFonts w:hint="eastAsia" w:ascii="仿宋_GB2312" w:hAnsi="仿宋" w:eastAsia="仿宋_GB2312"/>
                <w:sz w:val="24"/>
                <w:highlight w:val="none"/>
                <w:u w:val="single"/>
              </w:rPr>
              <w:t>2023年</w:t>
            </w:r>
            <w:r>
              <w:rPr>
                <w:rFonts w:hint="eastAsia" w:ascii="仿宋_GB2312" w:hAnsi="仿宋" w:eastAsia="仿宋_GB2312"/>
                <w:sz w:val="24"/>
                <w:highlight w:val="none"/>
                <w:u w:val="single"/>
                <w:lang w:val="en-US" w:eastAsia="zh-CN"/>
              </w:rPr>
              <w:t>2</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24</w:t>
            </w:r>
            <w:r>
              <w:rPr>
                <w:rFonts w:hint="eastAsia" w:ascii="仿宋_GB2312" w:hAnsi="仿宋" w:eastAsia="仿宋_GB2312"/>
                <w:sz w:val="24"/>
                <w:highlight w:val="none"/>
                <w:u w:val="single"/>
              </w:rPr>
              <w:t>日9点30分</w:t>
            </w:r>
            <w:r>
              <w:rPr>
                <w:rFonts w:hint="eastAsia" w:ascii="仿宋_GB2312" w:hAnsi="仿宋" w:eastAsia="仿宋_GB2312"/>
                <w:bCs/>
                <w:sz w:val="24"/>
                <w:highlight w:val="none"/>
                <w:u w:val="single"/>
              </w:rPr>
              <w:t xml:space="preserve"> </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投标地点：政采云平台（https://www.zcygov.cn/）</w:t>
            </w:r>
          </w:p>
        </w:tc>
      </w:tr>
      <w:tr>
        <w:tblPrEx>
          <w:tblCellMar>
            <w:top w:w="0" w:type="dxa"/>
            <w:left w:w="108" w:type="dxa"/>
            <w:bottom w:w="0" w:type="dxa"/>
            <w:right w:w="108" w:type="dxa"/>
          </w:tblCellMar>
        </w:tblPrEx>
        <w:trPr>
          <w:trHeight w:val="3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10</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b/>
                <w:bCs/>
                <w:kern w:val="0"/>
                <w:sz w:val="24"/>
                <w:highlight w:val="none"/>
              </w:rPr>
              <w:t xml:space="preserve">    </w:t>
            </w:r>
            <w:r>
              <w:rPr>
                <w:rFonts w:hint="eastAsia" w:ascii="宋体" w:hAnsi="宋体" w:cs="宋体"/>
                <w:kern w:val="0"/>
                <w:sz w:val="24"/>
                <w:highlight w:val="none"/>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CellMar>
            <w:top w:w="0" w:type="dxa"/>
            <w:left w:w="108" w:type="dxa"/>
            <w:bottom w:w="0" w:type="dxa"/>
            <w:right w:w="108" w:type="dxa"/>
          </w:tblCellMar>
        </w:tblPrEx>
        <w:trPr>
          <w:trHeight w:val="59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11</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开标时间：</w:t>
            </w:r>
            <w:r>
              <w:rPr>
                <w:rFonts w:hint="eastAsia" w:ascii="仿宋_GB2312" w:hAnsi="仿宋" w:eastAsia="仿宋_GB2312"/>
                <w:sz w:val="24"/>
                <w:highlight w:val="none"/>
                <w:u w:val="single"/>
              </w:rPr>
              <w:t>2023年</w:t>
            </w:r>
            <w:r>
              <w:rPr>
                <w:rFonts w:hint="eastAsia" w:ascii="仿宋_GB2312" w:hAnsi="仿宋" w:eastAsia="仿宋_GB2312"/>
                <w:sz w:val="24"/>
                <w:highlight w:val="none"/>
                <w:u w:val="single"/>
                <w:lang w:val="en-US" w:eastAsia="zh-CN"/>
              </w:rPr>
              <w:t>2</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24</w:t>
            </w:r>
            <w:r>
              <w:rPr>
                <w:rFonts w:hint="eastAsia" w:ascii="仿宋_GB2312" w:hAnsi="仿宋" w:eastAsia="仿宋_GB2312"/>
                <w:sz w:val="24"/>
                <w:highlight w:val="none"/>
                <w:u w:val="single"/>
              </w:rPr>
              <w:t>日9点30分</w:t>
            </w:r>
            <w:r>
              <w:rPr>
                <w:rFonts w:hint="eastAsia" w:ascii="仿宋_GB2312" w:hAnsi="仿宋" w:eastAsia="仿宋_GB2312"/>
                <w:bCs/>
                <w:sz w:val="24"/>
                <w:highlight w:val="none"/>
                <w:u w:val="single"/>
              </w:rPr>
              <w:t xml:space="preserve"> </w:t>
            </w:r>
          </w:p>
          <w:p>
            <w:pPr>
              <w:wordWrap w:val="0"/>
              <w:overflowPunct w:val="0"/>
              <w:autoSpaceDE w:val="0"/>
              <w:autoSpaceDN w:val="0"/>
              <w:snapToGrid w:val="0"/>
              <w:spacing w:before="24" w:beforeLines="10" w:after="24" w:afterLines="10" w:line="400" w:lineRule="exact"/>
              <w:rPr>
                <w:rFonts w:ascii="宋体" w:hAnsi="宋体" w:cs="宋体"/>
                <w:sz w:val="24"/>
                <w:highlight w:val="none"/>
                <w:shd w:val="clear" w:color="auto" w:fill="FFFFFF"/>
              </w:rPr>
            </w:pPr>
            <w:r>
              <w:rPr>
                <w:rFonts w:hint="eastAsia" w:ascii="宋体" w:hAnsi="宋体" w:cs="宋体"/>
                <w:sz w:val="24"/>
                <w:highlight w:val="none"/>
              </w:rPr>
              <w:t xml:space="preserve">    开标地点：政采云平台（https://www.zcygov.cn/）</w:t>
            </w:r>
          </w:p>
          <w:p>
            <w:pPr>
              <w:wordWrap w:val="0"/>
              <w:overflowPunct w:val="0"/>
              <w:autoSpaceDE w:val="0"/>
              <w:autoSpaceDN w:val="0"/>
              <w:snapToGrid w:val="0"/>
              <w:spacing w:before="24" w:beforeLines="10" w:after="24" w:afterLines="10" w:line="400" w:lineRule="exact"/>
              <w:rPr>
                <w:rFonts w:ascii="宋体" w:hAnsi="宋体" w:cs="宋体"/>
                <w:b/>
                <w:sz w:val="24"/>
                <w:highlight w:val="none"/>
              </w:rPr>
            </w:pPr>
            <w:r>
              <w:rPr>
                <w:rFonts w:hint="eastAsia" w:ascii="宋体" w:hAnsi="宋体" w:cs="宋体"/>
                <w:b/>
                <w:bCs/>
                <w:sz w:val="24"/>
                <w:highlight w:val="none"/>
                <w:shd w:val="clear" w:color="auto" w:fill="FFFFFF"/>
              </w:rPr>
              <w:t xml:space="preserve">    供应商无需到开标现场，但须准时在线参加，直至评审结束。</w:t>
            </w:r>
          </w:p>
        </w:tc>
      </w:tr>
      <w:tr>
        <w:tblPrEx>
          <w:tblCellMar>
            <w:top w:w="0" w:type="dxa"/>
            <w:left w:w="108" w:type="dxa"/>
            <w:bottom w:w="0" w:type="dxa"/>
            <w:right w:w="108" w:type="dxa"/>
          </w:tblCellMar>
        </w:tblPrEx>
        <w:trPr>
          <w:trHeight w:val="35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textAlignment w:val="bottom"/>
              <w:rPr>
                <w:rFonts w:ascii="宋体" w:hAnsi="宋体" w:cs="宋体"/>
                <w:sz w:val="24"/>
                <w:highlight w:val="none"/>
              </w:rPr>
            </w:pPr>
            <w:r>
              <w:rPr>
                <w:rFonts w:hint="eastAsia" w:ascii="宋体" w:hAnsi="宋体" w:cs="宋体"/>
                <w:sz w:val="24"/>
                <w:highlight w:val="none"/>
              </w:rPr>
              <w:t xml:space="preserve">    评标办法及评分标准：详见第四章。</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13</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sz w:val="24"/>
                <w:highlight w:val="none"/>
              </w:rPr>
            </w:pPr>
            <w:r>
              <w:rPr>
                <w:rFonts w:hint="eastAsia" w:ascii="宋体" w:hAnsi="宋体" w:cs="宋体"/>
                <w:sz w:val="24"/>
                <w:highlight w:val="none"/>
              </w:rPr>
              <w:t xml:space="preserve">    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w:t>
            </w:r>
          </w:p>
        </w:tc>
      </w:tr>
      <w:tr>
        <w:tblPrEx>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sz w:val="24"/>
                <w:highlight w:val="none"/>
              </w:rPr>
            </w:pPr>
            <w:r>
              <w:rPr>
                <w:rFonts w:hint="eastAsia" w:ascii="宋体" w:hAnsi="宋体" w:cs="宋体"/>
                <w:sz w:val="24"/>
                <w:highlight w:val="none"/>
              </w:rPr>
              <w:t xml:space="preserve">    合同公告：本项目政府采购合同将于签订之日起2个工作日内发布于上述媒体，但政府采购合同中涉及国家秘密、商业秘密的内容除外。</w:t>
            </w:r>
          </w:p>
        </w:tc>
      </w:tr>
      <w:tr>
        <w:tblPrEx>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15</w:t>
            </w:r>
          </w:p>
        </w:tc>
        <w:tc>
          <w:tcPr>
            <w:tcW w:w="8399" w:type="dxa"/>
            <w:tcBorders>
              <w:top w:val="single" w:color="auto" w:sz="4" w:space="0"/>
              <w:left w:val="nil"/>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履约保证金: </w:t>
            </w:r>
            <w:r>
              <w:rPr>
                <w:rFonts w:hint="eastAsia" w:ascii="宋体" w:hAnsi="宋体" w:cs="宋体"/>
                <w:color w:val="auto"/>
                <w:sz w:val="24"/>
                <w:highlight w:val="none"/>
                <w:lang w:eastAsia="zh-CN"/>
              </w:rPr>
              <w:t>本项目不设置履约保证金</w:t>
            </w:r>
            <w:r>
              <w:rPr>
                <w:rFonts w:hint="eastAsia" w:ascii="宋体" w:hAnsi="宋体" w:cs="宋体"/>
                <w:color w:val="auto"/>
                <w:sz w:val="24"/>
                <w:highlight w:val="none"/>
              </w:rPr>
              <w:t>。</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ind w:firstLine="420"/>
              <w:rPr>
                <w:rFonts w:ascii="宋体" w:hAnsi="宋体" w:cs="宋体"/>
                <w:color w:val="auto"/>
                <w:sz w:val="24"/>
                <w:highlight w:val="none"/>
              </w:rPr>
            </w:pPr>
            <w:r>
              <w:rPr>
                <w:rFonts w:hint="eastAsia" w:ascii="宋体" w:hAnsi="宋体" w:cs="宋体"/>
                <w:color w:val="auto"/>
                <w:sz w:val="24"/>
                <w:highlight w:val="none"/>
              </w:rPr>
              <w:t>付款方式：</w:t>
            </w:r>
          </w:p>
          <w:p>
            <w:pPr>
              <w:pStyle w:val="2"/>
              <w:ind w:left="0" w:leftChars="0" w:firstLine="0" w:firstLineChars="0"/>
              <w:rPr>
                <w:rFonts w:ascii="宋体" w:hAnsi="宋体" w:cs="宋体"/>
                <w:b w:val="0"/>
                <w:bCs w:val="0"/>
                <w:color w:val="auto"/>
                <w:sz w:val="24"/>
                <w:highlight w:val="none"/>
              </w:rPr>
            </w:pPr>
            <w:r>
              <w:rPr>
                <w:rFonts w:hint="eastAsia" w:ascii="宋体" w:hAnsi="宋体" w:cs="宋体"/>
                <w:b w:val="0"/>
                <w:bCs w:val="0"/>
                <w:color w:val="auto"/>
                <w:sz w:val="24"/>
                <w:highlight w:val="none"/>
              </w:rPr>
              <w:t>1.合同生效以及具备实施条件后</w:t>
            </w:r>
            <w:r>
              <w:rPr>
                <w:rFonts w:hint="eastAsia" w:ascii="宋体" w:hAnsi="宋体" w:cs="宋体"/>
                <w:b w:val="0"/>
                <w:bCs w:val="0"/>
                <w:color w:val="auto"/>
                <w:sz w:val="24"/>
                <w:highlight w:val="none"/>
                <w:lang w:val="en-US" w:eastAsia="zh-CN"/>
              </w:rPr>
              <w:t>7个工作日</w:t>
            </w:r>
            <w:r>
              <w:rPr>
                <w:rFonts w:hint="eastAsia" w:ascii="宋体" w:hAnsi="宋体" w:cs="宋体"/>
                <w:b w:val="0"/>
                <w:bCs w:val="0"/>
                <w:color w:val="auto"/>
                <w:sz w:val="24"/>
                <w:highlight w:val="none"/>
              </w:rPr>
              <w:t>内支付合同金额的40%；</w:t>
            </w:r>
          </w:p>
          <w:p>
            <w:pPr>
              <w:pStyle w:val="2"/>
              <w:ind w:left="0" w:leftChars="0" w:firstLine="0" w:firstLineChars="0"/>
              <w:rPr>
                <w:rFonts w:ascii="宋体" w:hAnsi="宋体" w:cs="宋体"/>
                <w:b w:val="0"/>
                <w:bCs w:val="0"/>
                <w:color w:val="auto"/>
                <w:sz w:val="24"/>
                <w:szCs w:val="24"/>
                <w:highlight w:val="none"/>
              </w:rPr>
            </w:pPr>
            <w:r>
              <w:rPr>
                <w:rFonts w:hint="eastAsia" w:ascii="宋体" w:hAnsi="宋体" w:cs="宋体"/>
                <w:b w:val="0"/>
                <w:bCs w:val="0"/>
                <w:color w:val="auto"/>
                <w:sz w:val="24"/>
                <w:highlight w:val="none"/>
              </w:rPr>
              <w:t>2.</w:t>
            </w:r>
            <w:r>
              <w:rPr>
                <w:rFonts w:hint="eastAsia" w:ascii="宋体" w:hAnsi="宋体" w:cs="宋体"/>
                <w:b w:val="0"/>
                <w:bCs w:val="0"/>
                <w:color w:val="auto"/>
                <w:sz w:val="24"/>
                <w:szCs w:val="24"/>
                <w:highlight w:val="none"/>
              </w:rPr>
              <w:t>每年允许组织两次分模块验收，验收通过后7个工作日内支付验收模块合计金额的5</w:t>
            </w:r>
            <w:r>
              <w:rPr>
                <w:rFonts w:ascii="宋体" w:hAnsi="宋体" w:cs="宋体"/>
                <w:b w:val="0"/>
                <w:bCs w:val="0"/>
                <w:color w:val="auto"/>
                <w:sz w:val="24"/>
                <w:szCs w:val="24"/>
                <w:highlight w:val="none"/>
              </w:rPr>
              <w:t>0</w:t>
            </w:r>
            <w:r>
              <w:rPr>
                <w:rFonts w:hint="eastAsia" w:ascii="宋体" w:hAnsi="宋体" w:cs="宋体"/>
                <w:b w:val="0"/>
                <w:bCs w:val="0"/>
                <w:color w:val="auto"/>
                <w:sz w:val="24"/>
                <w:szCs w:val="24"/>
                <w:highlight w:val="none"/>
              </w:rPr>
              <w:t>%；</w:t>
            </w:r>
          </w:p>
          <w:p>
            <w:pPr>
              <w:pStyle w:val="2"/>
              <w:ind w:left="0" w:leftChars="0" w:firstLine="0" w:firstLineChars="0"/>
              <w:rPr>
                <w:rFonts w:ascii="宋体" w:hAnsi="宋体" w:cs="宋体"/>
                <w:b w:val="0"/>
                <w:bCs w:val="0"/>
                <w:color w:val="auto"/>
                <w:sz w:val="24"/>
                <w:szCs w:val="24"/>
                <w:highlight w:val="none"/>
              </w:rPr>
            </w:pPr>
            <w:r>
              <w:rPr>
                <w:rFonts w:hint="eastAsia" w:ascii="宋体" w:hAnsi="宋体" w:cs="宋体"/>
                <w:b w:val="0"/>
                <w:bCs w:val="0"/>
                <w:color w:val="auto"/>
                <w:sz w:val="24"/>
                <w:highlight w:val="none"/>
              </w:rPr>
              <w:t>3</w:t>
            </w:r>
            <w:r>
              <w:rPr>
                <w:rFonts w:hint="eastAsia" w:ascii="宋体" w:hAnsi="宋体" w:cs="宋体"/>
                <w:b w:val="0"/>
                <w:bCs w:val="0"/>
                <w:color w:val="auto"/>
                <w:sz w:val="24"/>
                <w:highlight w:val="none"/>
                <w:lang w:val="en-US" w:eastAsia="zh-CN"/>
              </w:rPr>
              <w:t>.</w:t>
            </w:r>
            <w:r>
              <w:rPr>
                <w:rFonts w:hint="eastAsia" w:ascii="宋体" w:hAnsi="宋体" w:cs="宋体"/>
                <w:b w:val="0"/>
                <w:bCs w:val="0"/>
                <w:color w:val="auto"/>
                <w:sz w:val="24"/>
                <w:szCs w:val="24"/>
                <w:highlight w:val="none"/>
              </w:rPr>
              <w:t>项目整体验收通过后</w:t>
            </w:r>
            <w:r>
              <w:rPr>
                <w:rFonts w:hint="eastAsia" w:ascii="宋体" w:hAnsi="宋体" w:cs="宋体"/>
                <w:b w:val="0"/>
                <w:bCs w:val="0"/>
                <w:color w:val="auto"/>
                <w:sz w:val="24"/>
                <w:szCs w:val="24"/>
                <w:highlight w:val="none"/>
                <w:lang w:val="en-US" w:eastAsia="zh-CN"/>
              </w:rPr>
              <w:t>7个工作日</w:t>
            </w:r>
            <w:r>
              <w:rPr>
                <w:rFonts w:hint="eastAsia" w:ascii="宋体" w:hAnsi="宋体" w:cs="宋体"/>
                <w:b w:val="0"/>
                <w:bCs w:val="0"/>
                <w:color w:val="auto"/>
                <w:sz w:val="24"/>
                <w:szCs w:val="24"/>
                <w:highlight w:val="none"/>
              </w:rPr>
              <w:t>内支付剩余款项；</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 w:val="0"/>
                <w:bCs w:val="0"/>
                <w:color w:val="auto"/>
                <w:sz w:val="24"/>
                <w:highlight w:val="none"/>
              </w:rPr>
              <w:t>注：付款前中标单位应按规定向采购人开具正规发票</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ind w:firstLine="480" w:firstLineChars="200"/>
              <w:rPr>
                <w:rFonts w:ascii="宋体" w:hAnsi="宋体" w:cs="宋体"/>
                <w:sz w:val="24"/>
                <w:highlight w:val="none"/>
              </w:rPr>
            </w:pPr>
            <w:r>
              <w:rPr>
                <w:rFonts w:hint="eastAsia" w:ascii="宋体" w:hAnsi="宋体" w:cs="宋体"/>
                <w:sz w:val="24"/>
                <w:highlight w:val="none"/>
              </w:rPr>
              <w:t>现场踏勘：投标人根据自身情况自行踏勘（费用自理）</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18</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投标文件有效期：</w:t>
            </w:r>
            <w:r>
              <w:rPr>
                <w:rFonts w:hint="eastAsia" w:ascii="宋体" w:hAnsi="宋体" w:cs="宋体"/>
                <w:sz w:val="24"/>
                <w:highlight w:val="none"/>
                <w:u w:val="single"/>
              </w:rPr>
              <w:t xml:space="preserve"> 90 </w:t>
            </w:r>
            <w:r>
              <w:rPr>
                <w:rFonts w:hint="eastAsia" w:ascii="宋体" w:hAnsi="宋体" w:cs="宋体"/>
                <w:sz w:val="24"/>
                <w:highlight w:val="none"/>
              </w:rPr>
              <w:t>天。</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19</w:t>
            </w:r>
          </w:p>
        </w:tc>
        <w:tc>
          <w:tcPr>
            <w:tcW w:w="8399" w:type="dxa"/>
            <w:tcBorders>
              <w:top w:val="single" w:color="auto" w:sz="4" w:space="0"/>
              <w:left w:val="nil"/>
              <w:bottom w:val="single" w:color="auto" w:sz="4" w:space="0"/>
              <w:right w:val="single" w:color="auto" w:sz="4" w:space="0"/>
            </w:tcBorders>
            <w:vAlign w:val="center"/>
          </w:tcPr>
          <w:p>
            <w:pPr>
              <w:pStyle w:val="35"/>
              <w:wordWrap w:val="0"/>
              <w:overflowPunct w:val="0"/>
              <w:autoSpaceDE w:val="0"/>
              <w:autoSpaceDN w:val="0"/>
              <w:snapToGrid w:val="0"/>
              <w:spacing w:before="24" w:beforeLines="10" w:after="24" w:afterLines="10" w:line="400" w:lineRule="exact"/>
              <w:rPr>
                <w:rFonts w:hAnsi="宋体" w:cs="宋体"/>
                <w:sz w:val="24"/>
                <w:szCs w:val="24"/>
                <w:highlight w:val="none"/>
              </w:rPr>
            </w:pPr>
            <w:r>
              <w:rPr>
                <w:rFonts w:hint="eastAsia" w:hAnsi="宋体" w:cs="宋体"/>
                <w:sz w:val="24"/>
                <w:szCs w:val="24"/>
                <w:highlight w:val="none"/>
              </w:rPr>
              <w:t xml:space="preserve">    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20</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解释：本招标文件的解释权属于采购单位和嘉兴市银建工程咨询评估有限公司。</w:t>
            </w:r>
          </w:p>
        </w:tc>
      </w:tr>
    </w:tbl>
    <w:p>
      <w:pPr>
        <w:pStyle w:val="35"/>
        <w:wordWrap w:val="0"/>
        <w:overflowPunct w:val="0"/>
        <w:autoSpaceDE w:val="0"/>
        <w:autoSpaceDN w:val="0"/>
        <w:snapToGrid w:val="0"/>
        <w:spacing w:line="400" w:lineRule="exact"/>
        <w:outlineLvl w:val="0"/>
        <w:rPr>
          <w:rFonts w:hAnsi="宋体" w:cs="宋体"/>
          <w:b/>
          <w:sz w:val="24"/>
          <w:szCs w:val="24"/>
          <w:highlight w:val="none"/>
        </w:rPr>
      </w:pPr>
    </w:p>
    <w:p>
      <w:pPr>
        <w:pStyle w:val="35"/>
        <w:numPr>
          <w:ilvl w:val="0"/>
          <w:numId w:val="162"/>
        </w:numPr>
        <w:wordWrap w:val="0"/>
        <w:overflowPunct w:val="0"/>
        <w:autoSpaceDE w:val="0"/>
        <w:autoSpaceDN w:val="0"/>
        <w:snapToGrid w:val="0"/>
        <w:spacing w:line="360" w:lineRule="auto"/>
        <w:outlineLvl w:val="0"/>
        <w:rPr>
          <w:rFonts w:hAnsi="宋体" w:cs="宋体"/>
          <w:b/>
          <w:sz w:val="28"/>
          <w:szCs w:val="28"/>
          <w:highlight w:val="none"/>
        </w:rPr>
      </w:pPr>
      <w:r>
        <w:rPr>
          <w:rFonts w:hint="eastAsia" w:hAnsi="宋体" w:cs="宋体"/>
          <w:b/>
          <w:sz w:val="28"/>
          <w:szCs w:val="28"/>
          <w:highlight w:val="none"/>
        </w:rPr>
        <w:t>总  则</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（一）适用范围</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本招标文件适用于本项目的招标、投标、评标、定标、验收、合同履约、付款等行为（法律、法规另有规定的，从其规定）。</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（二）定义</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1.招标采购单位系指组织本次招标的代理机构（“采购人”）和采购单位。</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2.“投标人”系指向招标方提交投标文件的单位或个人。</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3.“产品”系指供方按招标文件规定，须向采购人提供的一切设备、保险、税金、备品备件、工具、手册及其它有关技术资料和材料。</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4.“服务”系指招标文件规定投标人须承担的设计、安装、调试、技术协助、校准、培训、技术指导以及其他类似的义务。</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5.“项目”系指投标人按招标文件规定向采购人提供的产品和服务。</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6.“书面形式”包括信函、传真、电报等。</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7.“▲”系指实质性要求条款。不满足实质性要求条款的投标文件无效</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8.“★”系指重要技术指标。</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（三）招标方式</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本次招标采用公开招标方式进行。</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（四）投标委托</w:t>
      </w:r>
    </w:p>
    <w:p>
      <w:pPr>
        <w:pStyle w:val="26"/>
        <w:wordWrap w:val="0"/>
        <w:overflowPunct w:val="0"/>
        <w:autoSpaceDE w:val="0"/>
        <w:autoSpaceDN w:val="0"/>
        <w:snapToGrid w:val="0"/>
        <w:spacing w:line="360" w:lineRule="auto"/>
        <w:jc w:val="left"/>
        <w:rPr>
          <w:rFonts w:cs="宋体"/>
          <w:highlight w:val="none"/>
        </w:rPr>
      </w:pPr>
      <w:r>
        <w:rPr>
          <w:rFonts w:hint="eastAsia" w:cs="宋体"/>
          <w:highlight w:val="none"/>
        </w:rPr>
        <w:t>供应商无需到开标现场，但须准时在线参加，直至评审结束。</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（五）投标费用</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不论投标结果如何，投标人均应自行承担所有与投标有关的全部费用（招标文件有相反规定除外）。</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（六）联合体投标</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本项目不接受联合体投标。</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（七）转包与分包</w:t>
      </w:r>
    </w:p>
    <w:p>
      <w:pPr>
        <w:wordWrap w:val="0"/>
        <w:overflowPunct w:val="0"/>
        <w:autoSpaceDE w:val="0"/>
        <w:autoSpaceDN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1.本项目不允许转包。</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2.本项目不可以分包。</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（八）是否允许采购进口产品</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本项目不允许采购进口产品。</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 xml:space="preserve"> ▲（九）特别说明：</w:t>
      </w:r>
    </w:p>
    <w:p>
      <w:pPr>
        <w:wordWrap w:val="0"/>
        <w:overflowPunct w:val="0"/>
        <w:autoSpaceDE w:val="0"/>
        <w:autoSpaceDN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使用综合评分法的采购项目，提供相同品牌产品且通过资格审查、符合性审查的不同投标人参加同一合同项下投</w:t>
      </w:r>
      <w:r>
        <w:rPr>
          <w:rFonts w:hint="eastAsia" w:ascii="宋体" w:hAnsi="宋体" w:cs="宋体"/>
          <w:sz w:val="24"/>
          <w:highlight w:val="none"/>
        </w:rPr>
        <w:t>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非单一产品采购项目，采购人应当根据采购项目技术构成、产品价格比重等合理确定核心产品，并在招标文件中载明。多家投标人提供的核心产品品牌相同的，按前两款规定处理。</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2.投标人投标所使用的资格、信誉、荣誉、业绩与企业认证必须为本投标人所拥有。</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3.投标人应仔细阅读招标文件的所有内容，按照招标文件的要求提交投标文件，并对所提供的全部资料的真实性承担法律责任。</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（十）质疑和投诉</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3.供应商须在法定质疑期内一次性提出针对同一采购程序环节的质疑。</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4.供应商认为采购代理机构在质疑答复程序中启用的调查和复评等程序，在该程序操作过程未明显违反法律禁止性规定时，不得提出疑义。</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5.质疑函须采用财政部发布的政府采购供应商质疑函范本（参考样式可从浙江政府采购网下载专区下载），否则采购代理机构有权要求质疑供应商改正后重新提出。</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8.在线或者邮寄政府采购投诉材料当日下班时间点后收到的视为下一个工作日收到。</w:t>
      </w:r>
    </w:p>
    <w:p>
      <w:pPr>
        <w:pStyle w:val="35"/>
        <w:wordWrap w:val="0"/>
        <w:overflowPunct w:val="0"/>
        <w:autoSpaceDE w:val="0"/>
        <w:autoSpaceDN w:val="0"/>
        <w:snapToGrid w:val="0"/>
        <w:spacing w:line="360" w:lineRule="auto"/>
        <w:outlineLvl w:val="0"/>
        <w:rPr>
          <w:rFonts w:hAnsi="宋体" w:cs="宋体"/>
          <w:b/>
          <w:sz w:val="28"/>
          <w:szCs w:val="28"/>
          <w:highlight w:val="none"/>
        </w:rPr>
      </w:pPr>
      <w:r>
        <w:rPr>
          <w:rFonts w:hint="eastAsia" w:hAnsi="宋体" w:cs="宋体"/>
          <w:b/>
          <w:sz w:val="28"/>
          <w:szCs w:val="28"/>
          <w:highlight w:val="none"/>
        </w:rPr>
        <w:t>二、招标文件</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（一）招标文件的构成。本招标文件由以下部份组成：</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1.招标公告</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2.招标需求</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3.投标人须知</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4.评标办法及标准</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5.合同主要条款</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6.投标文件格式</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7.本项目招标文件的澄清、答复、修改、补充的内容</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（二）投标人的风险</w:t>
      </w:r>
    </w:p>
    <w:p>
      <w:pPr>
        <w:pStyle w:val="55"/>
        <w:wordWrap w:val="0"/>
        <w:overflowPunct w:val="0"/>
        <w:autoSpaceDE w:val="0"/>
        <w:autoSpaceDN w:val="0"/>
        <w:rPr>
          <w:rFonts w:ascii="宋体" w:hAnsi="宋体" w:cs="宋体"/>
          <w:szCs w:val="24"/>
          <w:highlight w:val="none"/>
        </w:rPr>
      </w:pPr>
      <w:r>
        <w:rPr>
          <w:rFonts w:hint="eastAsia" w:ascii="宋体" w:hAnsi="宋体" w:cs="宋体"/>
          <w:szCs w:val="24"/>
          <w:highlight w:val="none"/>
        </w:rPr>
        <w:t>投标人没有按照招标文件要求提供全部资料，或者投标人没有对招标文件在各方面作出实质性响应是投标人的风险，并可能导致其投标为无效标。</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 xml:space="preserve">（三）招标文件的澄清与修改 </w:t>
      </w:r>
    </w:p>
    <w:p>
      <w:pPr>
        <w:pStyle w:val="55"/>
        <w:wordWrap w:val="0"/>
        <w:overflowPunct w:val="0"/>
        <w:autoSpaceDE w:val="0"/>
        <w:autoSpaceDN w:val="0"/>
        <w:rPr>
          <w:rFonts w:ascii="宋体" w:hAnsi="宋体" w:cs="宋体"/>
          <w:szCs w:val="24"/>
          <w:highlight w:val="none"/>
        </w:rPr>
      </w:pPr>
      <w:r>
        <w:rPr>
          <w:rFonts w:hint="eastAsia" w:ascii="宋体" w:hAnsi="宋体" w:cs="宋体"/>
          <w:szCs w:val="24"/>
          <w:highlight w:val="none"/>
        </w:rPr>
        <w:t>1.投标人应认真阅读本招标文件，发现其中有误或有不合理要求的，投标人必须在知道或者应当知道之日起七个工作日内以书面形式向采购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pPr>
        <w:pStyle w:val="55"/>
        <w:wordWrap w:val="0"/>
        <w:overflowPunct w:val="0"/>
        <w:autoSpaceDE w:val="0"/>
        <w:autoSpaceDN w:val="0"/>
        <w:rPr>
          <w:rFonts w:ascii="宋体" w:hAnsi="宋体" w:cs="宋体"/>
          <w:szCs w:val="24"/>
          <w:highlight w:val="none"/>
        </w:rPr>
      </w:pPr>
      <w:r>
        <w:rPr>
          <w:rFonts w:hint="eastAsia" w:ascii="宋体" w:hAnsi="宋体" w:cs="宋体"/>
          <w:szCs w:val="24"/>
          <w:highlight w:val="none"/>
        </w:rPr>
        <w:t>2.采购代理机构以公告形式答复投标人要求澄清的问题，但不包含问题来源；除上述媒体发布的答复以外的其他澄清方式及澄清内容均无效。</w:t>
      </w:r>
    </w:p>
    <w:p>
      <w:pPr>
        <w:pStyle w:val="55"/>
        <w:wordWrap w:val="0"/>
        <w:overflowPunct w:val="0"/>
        <w:autoSpaceDE w:val="0"/>
        <w:autoSpaceDN w:val="0"/>
        <w:rPr>
          <w:rFonts w:ascii="宋体" w:hAnsi="宋体" w:cs="宋体"/>
          <w:szCs w:val="24"/>
          <w:highlight w:val="none"/>
        </w:rPr>
      </w:pPr>
      <w:r>
        <w:rPr>
          <w:rFonts w:hint="eastAsia" w:ascii="宋体" w:hAnsi="宋体" w:cs="宋体"/>
          <w:szCs w:val="24"/>
          <w:highlight w:val="none"/>
        </w:rPr>
        <w:t>3.招标文件澄清、答复、修改、补充的内容为招标文件的组成部分。当招标文件与招标文件的答复、澄清、修改、补充通知就同一内容的表述不一致时，以最后发出的文件为准。</w:t>
      </w:r>
    </w:p>
    <w:p>
      <w:pPr>
        <w:pStyle w:val="55"/>
        <w:wordWrap w:val="0"/>
        <w:overflowPunct w:val="0"/>
        <w:autoSpaceDE w:val="0"/>
        <w:autoSpaceDN w:val="0"/>
        <w:rPr>
          <w:rFonts w:ascii="宋体" w:hAnsi="宋体" w:cs="宋体"/>
          <w:szCs w:val="24"/>
          <w:highlight w:val="none"/>
        </w:rPr>
      </w:pPr>
      <w:r>
        <w:rPr>
          <w:rFonts w:hint="eastAsia" w:ascii="宋体" w:hAnsi="宋体" w:cs="宋体"/>
          <w:szCs w:val="24"/>
          <w:highlight w:val="none"/>
        </w:rPr>
        <w:t>4.招标文件的澄清、答复、修改或补充都应该通过本代理机构以法定形式发布，采购人非通过本机构，不得擅自澄清、答复、修改或补充招标文件。</w:t>
      </w:r>
    </w:p>
    <w:p>
      <w:pPr>
        <w:pStyle w:val="35"/>
        <w:wordWrap w:val="0"/>
        <w:overflowPunct w:val="0"/>
        <w:autoSpaceDE w:val="0"/>
        <w:autoSpaceDN w:val="0"/>
        <w:snapToGrid w:val="0"/>
        <w:spacing w:line="360" w:lineRule="auto"/>
        <w:outlineLvl w:val="0"/>
        <w:rPr>
          <w:rFonts w:hAnsi="宋体" w:cs="宋体"/>
          <w:b/>
          <w:sz w:val="28"/>
          <w:szCs w:val="28"/>
          <w:highlight w:val="none"/>
        </w:rPr>
      </w:pPr>
      <w:r>
        <w:rPr>
          <w:rFonts w:hint="eastAsia" w:hAnsi="宋体" w:cs="宋体"/>
          <w:b/>
          <w:sz w:val="28"/>
          <w:szCs w:val="28"/>
          <w:highlight w:val="none"/>
        </w:rPr>
        <w:t>三、投标文件的编制</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(一)总体要求</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2.投标文件及投标人与采购有关的来往通知，函件和文件均应使用中文。</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3.投标文件的形式：投标文件为电子加密投标文件，按“政府采购项目电子交易管理操作指南-供应商”及本招标文件要求制作、加密并递交。</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（二）投标文件的组成</w:t>
      </w:r>
    </w:p>
    <w:p>
      <w:pPr>
        <w:pStyle w:val="35"/>
        <w:wordWrap w:val="0"/>
        <w:overflowPunct w:val="0"/>
        <w:autoSpaceDE w:val="0"/>
        <w:autoSpaceDN w:val="0"/>
        <w:snapToGrid w:val="0"/>
        <w:spacing w:line="360" w:lineRule="auto"/>
        <w:ind w:firstLine="482" w:firstLineChars="200"/>
        <w:outlineLvl w:val="0"/>
        <w:rPr>
          <w:rFonts w:hAnsi="宋体" w:cs="宋体"/>
          <w:b/>
          <w:sz w:val="24"/>
          <w:szCs w:val="24"/>
          <w:highlight w:val="none"/>
        </w:rPr>
      </w:pPr>
      <w:r>
        <w:rPr>
          <w:rFonts w:hint="eastAsia" w:hAnsi="宋体" w:cs="宋体"/>
          <w:b/>
          <w:sz w:val="24"/>
          <w:szCs w:val="24"/>
          <w:highlight w:val="none"/>
        </w:rPr>
        <w:t>本项目所涉投标文件格式请详见第六章，未给出的格式请自拟。资格文件及商务技术文件中不得出现报价，否则投标文件将被视为无效。投标文件中所须加盖公章部分均采用CA签章。</w:t>
      </w:r>
    </w:p>
    <w:p>
      <w:pPr>
        <w:pStyle w:val="35"/>
        <w:wordWrap w:val="0"/>
        <w:overflowPunct w:val="0"/>
        <w:autoSpaceDE w:val="0"/>
        <w:autoSpaceDN w:val="0"/>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投标文件由资格文件、商务技术文件、报价文件三部分组成。</w:t>
      </w:r>
    </w:p>
    <w:p>
      <w:pPr>
        <w:pStyle w:val="35"/>
        <w:wordWrap w:val="0"/>
        <w:overflowPunct w:val="0"/>
        <w:autoSpaceDE w:val="0"/>
        <w:autoSpaceDN w:val="0"/>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1.资格文件（</w:t>
      </w:r>
      <w:r>
        <w:rPr>
          <w:rFonts w:hint="eastAsia" w:hAnsi="宋体" w:cs="宋体"/>
          <w:b/>
          <w:bCs/>
          <w:color w:val="FF0000"/>
          <w:sz w:val="24"/>
          <w:szCs w:val="24"/>
          <w:highlight w:val="none"/>
        </w:rPr>
        <w:t>资格文件所需的证明材料均需加盖供应商公章</w:t>
      </w:r>
      <w:r>
        <w:rPr>
          <w:rFonts w:hint="eastAsia" w:hAnsi="宋体" w:cs="宋体"/>
          <w:b/>
          <w:bCs/>
          <w:sz w:val="24"/>
          <w:szCs w:val="24"/>
          <w:highlight w:val="none"/>
        </w:rPr>
        <w:t>）：</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1.1营业执照</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1.2符合参加政府采购活动应当具备的一般条件的承诺函（格式见第六章）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b/>
          <w:bCs/>
          <w:highlight w:val="none"/>
        </w:rPr>
      </w:pPr>
      <w:r>
        <w:rPr>
          <w:rFonts w:hint="eastAsia" w:cs="宋体"/>
          <w:b/>
          <w:bCs/>
          <w:highlight w:val="none"/>
        </w:rPr>
        <w:t>2.商务技术文件</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2.1自评表（格式见第六章）</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2.2投标声明书（格式见第六章）</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2.3法定代表人授权委托书（格式见第六章）</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2.4诚信承诺书（格式见第六章）</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2.5投标人基本情况表（格式见第六章）</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2.6商务响应（偏离）表（格式见第六章）</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2.7诚信分</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2.8同类业绩（格式见第六章同类业绩一览表）</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2.9投标企业实力</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2.10合理化建议</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2.11技术指标偏离情况（格式见第六章技术响应（偏离）表）</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2.12项目技术方案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2.13项目实施方案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2.14运维服务</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2.15项目成员配备（格式见第六章项目实施人员表）</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2.16应急预案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2.17培训方案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2.18售后服务方案</w:t>
      </w:r>
    </w:p>
    <w:p>
      <w:pPr>
        <w:spacing w:line="360" w:lineRule="auto"/>
        <w:ind w:firstLine="480" w:firstLineChars="200"/>
        <w:rPr>
          <w:rFonts w:cs="宋体"/>
          <w:b/>
          <w:bCs/>
          <w:highlight w:val="none"/>
        </w:rPr>
      </w:pPr>
      <w:r>
        <w:rPr>
          <w:rFonts w:hint="eastAsia" w:ascii="宋体" w:hAnsi="宋体" w:cs="宋体"/>
          <w:kern w:val="0"/>
          <w:sz w:val="24"/>
          <w:highlight w:val="none"/>
        </w:rPr>
        <w:t>2.19投标人根据评标办法及采购需求需要提供的其他资料（如有）</w:t>
      </w:r>
    </w:p>
    <w:p>
      <w:pPr>
        <w:pStyle w:val="35"/>
        <w:wordWrap w:val="0"/>
        <w:overflowPunct w:val="0"/>
        <w:autoSpaceDE w:val="0"/>
        <w:autoSpaceDN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3.报价文件：</w:t>
      </w:r>
    </w:p>
    <w:p>
      <w:pPr>
        <w:pStyle w:val="35"/>
        <w:wordWrap w:val="0"/>
        <w:overflowPunct w:val="0"/>
        <w:autoSpaceDE w:val="0"/>
        <w:autoSpaceDN w:val="0"/>
        <w:adjustRightInd/>
        <w:spacing w:line="360" w:lineRule="auto"/>
        <w:ind w:firstLine="480" w:firstLineChars="200"/>
        <w:rPr>
          <w:rFonts w:hAnsi="宋体" w:cs="宋体"/>
          <w:snapToGrid/>
          <w:sz w:val="24"/>
          <w:szCs w:val="24"/>
          <w:highlight w:val="none"/>
        </w:rPr>
      </w:pPr>
      <w:r>
        <w:rPr>
          <w:rFonts w:hint="eastAsia" w:hAnsi="宋体" w:cs="宋体"/>
          <w:snapToGrid/>
          <w:sz w:val="24"/>
          <w:szCs w:val="24"/>
          <w:highlight w:val="none"/>
        </w:rPr>
        <w:t>3.1投标函（格式见第六章）</w:t>
      </w:r>
    </w:p>
    <w:p>
      <w:pPr>
        <w:pStyle w:val="35"/>
        <w:wordWrap w:val="0"/>
        <w:overflowPunct w:val="0"/>
        <w:autoSpaceDE w:val="0"/>
        <w:autoSpaceDN w:val="0"/>
        <w:adjustRightInd/>
        <w:spacing w:line="360" w:lineRule="auto"/>
        <w:ind w:firstLine="480" w:firstLineChars="200"/>
        <w:rPr>
          <w:rFonts w:hAnsi="宋体" w:cs="宋体"/>
          <w:snapToGrid/>
          <w:sz w:val="24"/>
          <w:szCs w:val="24"/>
          <w:highlight w:val="none"/>
        </w:rPr>
      </w:pPr>
      <w:r>
        <w:rPr>
          <w:rFonts w:hint="eastAsia" w:hAnsi="宋体" w:cs="宋体"/>
          <w:snapToGrid/>
          <w:sz w:val="24"/>
          <w:szCs w:val="24"/>
          <w:highlight w:val="none"/>
        </w:rPr>
        <w:t>3.2开标一览表（格式见第六章）</w:t>
      </w:r>
    </w:p>
    <w:p>
      <w:pPr>
        <w:pStyle w:val="35"/>
        <w:wordWrap w:val="0"/>
        <w:overflowPunct w:val="0"/>
        <w:autoSpaceDE w:val="0"/>
        <w:autoSpaceDN w:val="0"/>
        <w:adjustRightInd/>
        <w:spacing w:line="360" w:lineRule="auto"/>
        <w:ind w:firstLine="480" w:firstLineChars="200"/>
        <w:rPr>
          <w:rFonts w:hAnsi="宋体" w:cs="宋体"/>
          <w:snapToGrid/>
          <w:sz w:val="24"/>
          <w:szCs w:val="24"/>
          <w:highlight w:val="none"/>
        </w:rPr>
      </w:pPr>
      <w:r>
        <w:rPr>
          <w:rFonts w:hint="eastAsia" w:hAnsi="宋体" w:cs="宋体"/>
          <w:snapToGrid/>
          <w:sz w:val="24"/>
          <w:szCs w:val="24"/>
          <w:highlight w:val="none"/>
        </w:rPr>
        <w:t>3.3投标报价明细表（格式见第六章）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3.4中小企业声明函（格式见第六章）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3.5监狱和戒毒企业证明材料（如有，格式见第六章）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3.6残疾人福利性单位声明函（如有，格式见第六章）</w:t>
      </w:r>
    </w:p>
    <w:p>
      <w:pPr>
        <w:spacing w:line="360" w:lineRule="auto"/>
        <w:ind w:firstLine="480" w:firstLineChars="200"/>
        <w:rPr>
          <w:highlight w:val="none"/>
        </w:rPr>
      </w:pPr>
      <w:r>
        <w:rPr>
          <w:rFonts w:hint="eastAsia" w:ascii="宋体" w:hAnsi="宋体" w:cs="宋体"/>
          <w:sz w:val="24"/>
          <w:highlight w:val="none"/>
        </w:rPr>
        <w:t>3.7投标人针对报价需要说明的其他文件和说明（如有）</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b/>
          <w:bCs/>
          <w:sz w:val="24"/>
          <w:highlight w:val="none"/>
        </w:rPr>
        <w:t xml:space="preserve">  </w:t>
      </w:r>
      <w:r>
        <w:rPr>
          <w:rFonts w:hint="eastAsia" w:ascii="宋体" w:hAnsi="宋体" w:cs="宋体"/>
          <w:sz w:val="24"/>
          <w:highlight w:val="none"/>
        </w:rPr>
        <w:t xml:space="preserve">  4.投标文件内容填写说明 </w:t>
      </w:r>
    </w:p>
    <w:p>
      <w:pPr>
        <w:wordWrap w:val="0"/>
        <w:overflowPunct w:val="0"/>
        <w:autoSpaceDE w:val="0"/>
        <w:autoSpaceDN w:val="0"/>
        <w:snapToGrid w:val="0"/>
        <w:spacing w:line="360" w:lineRule="auto"/>
        <w:jc w:val="left"/>
        <w:rPr>
          <w:rFonts w:ascii="宋体" w:hAnsi="宋体" w:cs="宋体"/>
          <w:bCs/>
          <w:sz w:val="24"/>
          <w:highlight w:val="none"/>
        </w:rPr>
      </w:pPr>
      <w:r>
        <w:rPr>
          <w:rFonts w:hint="eastAsia" w:ascii="宋体" w:hAnsi="宋体" w:cs="宋体"/>
          <w:sz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sz w:val="24"/>
          <w:highlight w:val="none"/>
        </w:rPr>
        <w:t>电子投标文件按政采云平台供应商项目采购-电子招投标操作指南（网址：https://service.zcygov.cn/#/knowledges/CW1EtGwBFdiHxlNd6I3m/6IMVAG0BFdiHxlNdQ8Na?keyword）及本招标文件要求制作、加密。</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（2）招标文件对投标文件格式有要求的应按格式逐项填写内容，不准有空项；无相应内容可填的项应填写“无”、“未测试”、“没有相应指标”等明确的回答文字。</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（3）投标人必须保证投标文件所提供的全部资料真实可靠，并接受采购人对其中任何资料进一步审查的要求。</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（4）《开标一览表》为在开标仪式上唱标的内容，要求按格式填写、统一规范，不得自行增减内容。</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（7）投标响应文件不得涂改和增删，如有错漏必须修改。</w:t>
      </w:r>
    </w:p>
    <w:p>
      <w:pPr>
        <w:wordWrap w:val="0"/>
        <w:overflowPunct w:val="0"/>
        <w:autoSpaceDE w:val="0"/>
        <w:autoSpaceDN w:val="0"/>
        <w:snapToGrid w:val="0"/>
        <w:spacing w:line="360" w:lineRule="auto"/>
        <w:rPr>
          <w:rFonts w:ascii="宋体" w:hAnsi="宋体" w:cs="宋体"/>
          <w:b/>
          <w:bCs/>
          <w:sz w:val="24"/>
          <w:highlight w:val="none"/>
        </w:rPr>
      </w:pPr>
      <w:r>
        <w:rPr>
          <w:rFonts w:hint="eastAsia" w:ascii="宋体" w:hAnsi="宋体" w:cs="宋体"/>
          <w:sz w:val="24"/>
          <w:highlight w:val="none"/>
        </w:rPr>
        <w:t xml:space="preserve">    （8）由于字迹模糊或表达不清引起的后果由供应商负责。</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（三）投标文件的语言及计量</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▲1投标文件以及投标方与招标方就有关投标事宜的所有来往函电，均应以中文汉语书写。除签名、盖章、专用名称等特殊情形外，以中文汉语以外的文字表述的投标文件视同未提供。</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▲2投标计量单位，招标文件已有明确规定的，使用招标文件规定的计量单位；招标文件没有规定的，应采用中华人民共和国法定计量单位（货币单位：人民币元），否则视同未响应。</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（四）投标报价</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1.投标报价应按招标文件中相关附表格式填写。</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投标报价是履行合同的最终价格，应包括软件开发费、系统集成费、安装调试费、测试费、培训费等通过最终验收前的一切含税费用。各投标人所填写的投标报价在合同实施期间不因市场因素而变动，投标人发生差错遗漏的费用均不再调整（除采购文件另有说明外）。</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▲3.投标文件只允许有一个报价，有选择的或有条件的报价将不予接受。</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（五）投标文件的有效期</w:t>
      </w:r>
    </w:p>
    <w:p>
      <w:pPr>
        <w:pStyle w:val="15"/>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szCs w:val="24"/>
          <w:highlight w:val="none"/>
        </w:rPr>
      </w:pPr>
      <w:r>
        <w:rPr>
          <w:rFonts w:hint="eastAsia" w:ascii="宋体" w:hAnsi="宋体" w:cs="宋体"/>
          <w:szCs w:val="24"/>
          <w:highlight w:val="none"/>
        </w:rPr>
        <w:t>▲1.自投标截止日起</w:t>
      </w:r>
      <w:r>
        <w:rPr>
          <w:rFonts w:hint="eastAsia" w:ascii="宋体" w:hAnsi="宋体" w:cs="宋体"/>
          <w:szCs w:val="24"/>
          <w:highlight w:val="none"/>
          <w:u w:val="single"/>
        </w:rPr>
        <w:t xml:space="preserve"> 90</w:t>
      </w:r>
      <w:r>
        <w:rPr>
          <w:rFonts w:hint="eastAsia" w:ascii="宋体" w:hAnsi="宋体" w:cs="宋体"/>
          <w:szCs w:val="24"/>
          <w:highlight w:val="none"/>
        </w:rPr>
        <w:t>天投标文件应保持有效。有效期不足的投标文件将被拒绝。</w:t>
      </w:r>
    </w:p>
    <w:p>
      <w:pPr>
        <w:pStyle w:val="15"/>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szCs w:val="24"/>
          <w:highlight w:val="none"/>
        </w:rPr>
      </w:pPr>
      <w:r>
        <w:rPr>
          <w:rFonts w:hint="eastAsia" w:ascii="宋体" w:hAnsi="宋体" w:cs="宋体"/>
          <w:szCs w:val="24"/>
          <w:highlight w:val="none"/>
        </w:rPr>
        <w:t>2.在特殊情况下，采购人可与投标人协商延长投标书的有效期，这种要求和答复均以书面形式进行。</w:t>
      </w:r>
    </w:p>
    <w:p>
      <w:pPr>
        <w:wordWrap w:val="0"/>
        <w:overflowPunct w:val="0"/>
        <w:autoSpaceDE w:val="0"/>
        <w:autoSpaceDN w:val="0"/>
        <w:snapToGrid w:val="0"/>
        <w:spacing w:line="360" w:lineRule="auto"/>
        <w:ind w:firstLine="480" w:firstLineChars="200"/>
        <w:jc w:val="left"/>
        <w:outlineLvl w:val="0"/>
        <w:rPr>
          <w:rFonts w:ascii="宋体" w:hAnsi="宋体" w:cs="宋体"/>
          <w:sz w:val="24"/>
          <w:highlight w:val="none"/>
        </w:rPr>
      </w:pPr>
      <w:r>
        <w:rPr>
          <w:rFonts w:hint="eastAsia" w:ascii="宋体" w:hAnsi="宋体" w:cs="宋体"/>
          <w:sz w:val="24"/>
          <w:highlight w:val="none"/>
        </w:rPr>
        <w:t>3.中标人的投标文件自开标之日起至合同履行完毕止均应保持有效。</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（六）投标保证金：无</w:t>
      </w:r>
    </w:p>
    <w:p>
      <w:pPr>
        <w:pStyle w:val="35"/>
        <w:wordWrap w:val="0"/>
        <w:overflowPunct w:val="0"/>
        <w:autoSpaceDE w:val="0"/>
        <w:autoSpaceDN w:val="0"/>
        <w:snapToGrid w:val="0"/>
        <w:spacing w:line="360" w:lineRule="auto"/>
        <w:outlineLvl w:val="0"/>
        <w:rPr>
          <w:rFonts w:hAnsi="宋体" w:cs="宋体"/>
          <w:b/>
          <w:sz w:val="24"/>
          <w:szCs w:val="24"/>
          <w:highlight w:val="none"/>
        </w:rPr>
      </w:pPr>
      <w:bookmarkStart w:id="36" w:name="_Toc359856802"/>
      <w:r>
        <w:rPr>
          <w:rFonts w:hint="eastAsia" w:hAnsi="宋体" w:cs="宋体"/>
          <w:b/>
          <w:sz w:val="24"/>
          <w:szCs w:val="24"/>
          <w:highlight w:val="none"/>
        </w:rPr>
        <w:t>（七）投标文件的签署及规定</w:t>
      </w:r>
      <w:bookmarkEnd w:id="36"/>
    </w:p>
    <w:p>
      <w:pPr>
        <w:wordWrap w:val="0"/>
        <w:overflowPunct w:val="0"/>
        <w:autoSpaceDE w:val="0"/>
        <w:autoSpaceDN w:val="0"/>
        <w:snapToGrid w:val="0"/>
        <w:spacing w:line="360" w:lineRule="auto"/>
        <w:ind w:firstLine="480" w:firstLineChars="200"/>
        <w:jc w:val="left"/>
        <w:outlineLvl w:val="1"/>
        <w:rPr>
          <w:rFonts w:ascii="宋体" w:hAnsi="宋体" w:cs="宋体"/>
          <w:bCs/>
          <w:sz w:val="24"/>
          <w:highlight w:val="none"/>
        </w:rPr>
      </w:pPr>
      <w:r>
        <w:rPr>
          <w:rFonts w:hint="eastAsia" w:ascii="宋体" w:hAnsi="宋体" w:cs="宋体"/>
          <w:bCs/>
          <w:sz w:val="24"/>
          <w:highlight w:val="none"/>
        </w:rPr>
        <w:t>电子投标文件按政采云平台供应商项目采购-电子招投标操作指南（网址：</w:t>
      </w:r>
      <w:r>
        <w:rPr>
          <w:highlight w:val="none"/>
        </w:rPr>
        <w:fldChar w:fldCharType="begin"/>
      </w:r>
      <w:r>
        <w:rPr>
          <w:highlight w:val="none"/>
        </w:rPr>
        <w:instrText xml:space="preserve">HYPERLINK "https://help.zcy.gov.cn/web/site_2/2018/12-28/2573.html）及本招标文件规定的格式和顺序编制电子投标文件并进行关联定位。"</w:instrText>
      </w:r>
      <w:r>
        <w:rPr>
          <w:highlight w:val="none"/>
        </w:rPr>
        <w:fldChar w:fldCharType="separate"/>
      </w:r>
      <w:r>
        <w:rPr>
          <w:rFonts w:hint="eastAsia" w:ascii="宋体" w:hAnsi="宋体" w:cs="宋体"/>
          <w:bCs/>
          <w:sz w:val="24"/>
          <w:highlight w:val="none"/>
        </w:rPr>
        <w:t>https://service.zcygov.cn/#/knowledges/CW1EtGwBFdiHxlNd6I3m/6IMVAG0BFdiHxlNdQ8Na?keyword</w:t>
      </w:r>
      <w:r>
        <w:rPr>
          <w:rStyle w:val="82"/>
          <w:rFonts w:hint="eastAsia" w:ascii="宋体" w:hAnsi="宋体" w:cs="宋体"/>
          <w:bCs/>
          <w:sz w:val="24"/>
          <w:highlight w:val="none"/>
        </w:rPr>
        <w:t>）及本招标文件规定的格式和顺序编制电子投标文件并进行关联定位。</w:t>
      </w:r>
      <w:r>
        <w:rPr>
          <w:rStyle w:val="82"/>
          <w:rFonts w:ascii="宋体" w:hAnsi="宋体" w:cs="宋体"/>
          <w:bCs/>
          <w:sz w:val="24"/>
          <w:highlight w:val="none"/>
        </w:rPr>
        <w:fldChar w:fldCharType="end"/>
      </w:r>
    </w:p>
    <w:p>
      <w:pPr>
        <w:pStyle w:val="35"/>
        <w:wordWrap w:val="0"/>
        <w:overflowPunct w:val="0"/>
        <w:autoSpaceDE w:val="0"/>
        <w:autoSpaceDN w:val="0"/>
        <w:snapToGrid w:val="0"/>
        <w:spacing w:line="360" w:lineRule="auto"/>
        <w:outlineLvl w:val="0"/>
        <w:rPr>
          <w:rFonts w:hAnsi="宋体" w:cs="宋体"/>
          <w:b/>
          <w:sz w:val="24"/>
          <w:szCs w:val="24"/>
          <w:highlight w:val="none"/>
        </w:rPr>
      </w:pPr>
      <w:bookmarkStart w:id="37" w:name="_Toc359856803"/>
      <w:bookmarkStart w:id="38" w:name="_Toc356371437"/>
      <w:r>
        <w:rPr>
          <w:rFonts w:hint="eastAsia" w:hAnsi="宋体" w:cs="宋体"/>
          <w:b/>
          <w:sz w:val="24"/>
          <w:szCs w:val="24"/>
          <w:highlight w:val="none"/>
        </w:rPr>
        <w:t>（八）投标文件的递交</w:t>
      </w:r>
      <w:bookmarkEnd w:id="37"/>
      <w:bookmarkEnd w:id="38"/>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1.递交投标文件截止期</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2.投标文件的修改和撤销</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（1）投标人在递交投标文件后，可以修改或撤回其投标文件：递交投标文件截止时间之前补充或者修改电子投标文件的，应当先行撤回原文件，补充、修改后重新传输递交。</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（2）投标人修改后的投标文件应按原来的规定编制、密封、标记和递交。</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（3）在递交投标文件截止期之后，投标人不得对其投标文件做任何修改。</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（4）递交投标文件截止期后，投标人不得撤回其投标文件。</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（5）实质上没有响应本文件要求的投标文件将被拒绝。投标人不得通过修正或撤销不合要求的偏离或保留从而使其投标文件成为实质上响应的文件。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3.备份投标文件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（1）</w:t>
      </w:r>
      <w:r>
        <w:rPr>
          <w:rFonts w:hint="eastAsia" w:ascii="宋体" w:hAnsi="宋体" w:cs="宋体"/>
          <w:sz w:val="24"/>
          <w:highlight w:val="none"/>
        </w:rPr>
        <w:t>投标人在电子交易平台传输递交投标文件后，还可以在投标截止时间前直接提交或者以邮政快递方式递交备份投标文件1份，但采购人、采购机构不强制或变相强制投标人提交备份投标文件。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（2）</w:t>
      </w:r>
      <w:r>
        <w:rPr>
          <w:rFonts w:hint="eastAsia" w:ascii="宋体" w:hAnsi="宋体" w:cs="宋体"/>
          <w:sz w:val="24"/>
          <w:highlight w:val="none"/>
        </w:rPr>
        <w:t>备份投标文件须在“政采云投标客户端”制作生成，并储存在</w:t>
      </w:r>
      <w:r>
        <w:rPr>
          <w:rFonts w:hint="eastAsia" w:ascii="宋体" w:hAnsi="宋体" w:cs="宋体"/>
          <w:b/>
          <w:bCs/>
          <w:sz w:val="24"/>
          <w:highlight w:val="none"/>
        </w:rPr>
        <w:t>（U盘）</w:t>
      </w:r>
      <w:r>
        <w:rPr>
          <w:rFonts w:hint="eastAsia" w:ascii="宋体" w:hAnsi="宋体" w:cs="宋体"/>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（3）</w:t>
      </w:r>
      <w:r>
        <w:rPr>
          <w:rFonts w:hint="eastAsia" w:ascii="宋体" w:hAnsi="宋体" w:cs="宋体"/>
          <w:sz w:val="24"/>
          <w:highlight w:val="none"/>
        </w:rPr>
        <w:t>直接提交备份投标文件的，投标人应于投标截止时间前在招标公告中载明的开标地点将备份投标文件提交给采购机构，采购机构将拒绝接受逾期送达的备份投标文件。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（4）</w:t>
      </w:r>
      <w:r>
        <w:rPr>
          <w:rFonts w:hint="eastAsia" w:ascii="宋体" w:hAnsi="宋体" w:cs="宋体"/>
          <w:sz w:val="24"/>
          <w:highlight w:val="none"/>
        </w:rPr>
        <w:t>以邮政快递方式递交备份投标文件的，投标人应先将备份投标文件按要求密封和标记，再进行邮政快递包装后邮寄。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（5）</w:t>
      </w:r>
      <w:r>
        <w:rPr>
          <w:rFonts w:hint="eastAsia" w:ascii="宋体" w:hAnsi="宋体" w:cs="宋体"/>
          <w:sz w:val="24"/>
          <w:highlight w:val="none"/>
        </w:rPr>
        <w:t>投标人仅提交备份投标文件，没有在电子交易平台传输递交投标文件的，投标无效。</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（九）投标无效的情形</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根据《政府采购货物和服务招标投标管理办法》有下列情形之一的，视为投标人串通投标，其投标无效：</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(一)不同投标人的投标文件由同一单位或者个人编制；</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(二)不同投标人委托同一单位或者个人办理投标事宜；</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(三)不同投标人的投标文件载明的项目管理成员或者联系人员为同一人；</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(四)不同投标人的投标文件异常一致或者投标报价呈规律性差异；</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(五)不同投标人的投标文件相互混装；</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(六)不同投标人的投标保证金从同一单位或者个人的账户转出。</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numPr>
          <w:ilvl w:val="0"/>
          <w:numId w:val="163"/>
        </w:numPr>
        <w:wordWrap w:val="0"/>
        <w:overflowPunct w:val="0"/>
        <w:autoSpaceDE w:val="0"/>
        <w:autoSpaceDN w:val="0"/>
        <w:snapToGrid w:val="0"/>
        <w:spacing w:line="360" w:lineRule="auto"/>
        <w:ind w:firstLine="466" w:firstLineChars="200"/>
        <w:jc w:val="left"/>
        <w:rPr>
          <w:rFonts w:ascii="宋体" w:hAnsi="宋体" w:cs="宋体"/>
          <w:b/>
          <w:bCs/>
          <w:sz w:val="24"/>
          <w:highlight w:val="none"/>
        </w:rPr>
      </w:pPr>
      <w:r>
        <w:rPr>
          <w:rFonts w:hint="eastAsia" w:ascii="宋体" w:hAnsi="宋体" w:cs="宋体"/>
          <w:b/>
          <w:bCs/>
          <w:spacing w:val="-4"/>
          <w:sz w:val="24"/>
          <w:highlight w:val="none"/>
        </w:rPr>
        <w:t>电</w:t>
      </w:r>
      <w:r>
        <w:rPr>
          <w:rFonts w:hint="eastAsia" w:ascii="宋体" w:hAnsi="宋体" w:cs="宋体"/>
          <w:b/>
          <w:bCs/>
          <w:sz w:val="24"/>
          <w:highlight w:val="none"/>
        </w:rPr>
        <w:t xml:space="preserve">子加密投标文件解密失败的；   </w:t>
      </w:r>
    </w:p>
    <w:p>
      <w:pPr>
        <w:wordWrap w:val="0"/>
        <w:overflowPunct w:val="0"/>
        <w:autoSpaceDE w:val="0"/>
        <w:autoSpaceDN w:val="0"/>
        <w:snapToGrid w:val="0"/>
        <w:spacing w:line="360" w:lineRule="auto"/>
        <w:jc w:val="left"/>
        <w:rPr>
          <w:rFonts w:ascii="宋体" w:hAnsi="宋体" w:cs="宋体"/>
          <w:b/>
          <w:bCs/>
          <w:sz w:val="24"/>
          <w:highlight w:val="none"/>
        </w:rPr>
      </w:pPr>
      <w:r>
        <w:rPr>
          <w:rFonts w:hint="eastAsia" w:ascii="宋体" w:hAnsi="宋体" w:cs="宋体"/>
          <w:b/>
          <w:bCs/>
          <w:sz w:val="24"/>
          <w:highlight w:val="none"/>
        </w:rPr>
        <w:t xml:space="preserve">    2.没有通过资格审查的，投标文件将被视为无效。</w:t>
      </w:r>
    </w:p>
    <w:p>
      <w:pPr>
        <w:wordWrap w:val="0"/>
        <w:overflowPunct w:val="0"/>
        <w:autoSpaceDE w:val="0"/>
        <w:autoSpaceDN w:val="0"/>
        <w:snapToGrid w:val="0"/>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3.在符合性审查和资信商务评审时，如发现下列情形之一的，投标文件将被视为无效：</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（1）电子投标文件未按规定要求提供电子签章的。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（2）在资格文件或商务技术文件中出现报价的；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（3）资格证明文件不全的，或者不符合招标文件标明的资格要求的；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（4）投标文件无法定代表人签字（或盖章）,或未</w:t>
      </w:r>
      <w:r>
        <w:rPr>
          <w:rFonts w:hint="eastAsia" w:ascii="宋体" w:hAnsi="宋体" w:cs="宋体"/>
          <w:bCs/>
          <w:kern w:val="0"/>
          <w:sz w:val="24"/>
          <w:highlight w:val="none"/>
        </w:rPr>
        <w:t>提供法定代表人授权委托书、投标声明书或者填写项目不齐全的；</w:t>
      </w:r>
    </w:p>
    <w:p>
      <w:pPr>
        <w:wordWrap w:val="0"/>
        <w:overflowPunct w:val="0"/>
        <w:autoSpaceDE w:val="0"/>
        <w:autoSpaceDN w:val="0"/>
        <w:snapToGrid w:val="0"/>
        <w:spacing w:line="360" w:lineRule="auto"/>
        <w:ind w:firstLine="480" w:firstLineChars="200"/>
        <w:rPr>
          <w:rFonts w:ascii="宋体" w:hAnsi="宋体" w:cs="宋体"/>
          <w:bCs/>
          <w:kern w:val="0"/>
          <w:sz w:val="24"/>
          <w:highlight w:val="none"/>
        </w:rPr>
      </w:pPr>
      <w:r>
        <w:rPr>
          <w:rFonts w:hint="eastAsia" w:ascii="宋体" w:hAnsi="宋体" w:cs="宋体"/>
          <w:sz w:val="24"/>
          <w:highlight w:val="none"/>
        </w:rPr>
        <w:t>（5）投标代表人未能出具身份证明或与法定代表人授权委托人身份不符的；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（6）投标文件项目不齐全或者内容虚假的；</w:t>
      </w:r>
    </w:p>
    <w:p>
      <w:pPr>
        <w:pStyle w:val="26"/>
        <w:wordWrap w:val="0"/>
        <w:overflowPunct w:val="0"/>
        <w:autoSpaceDE w:val="0"/>
        <w:autoSpaceDN w:val="0"/>
        <w:snapToGrid w:val="0"/>
        <w:spacing w:line="360" w:lineRule="auto"/>
        <w:rPr>
          <w:rFonts w:cs="宋体"/>
          <w:snapToGrid w:val="0"/>
          <w:highlight w:val="none"/>
        </w:rPr>
      </w:pPr>
      <w:r>
        <w:rPr>
          <w:rFonts w:hint="eastAsia" w:cs="宋体"/>
          <w:highlight w:val="none"/>
        </w:rPr>
        <w:t>（</w:t>
      </w:r>
      <w:r>
        <w:rPr>
          <w:rFonts w:hint="eastAsia" w:cs="宋体"/>
          <w:snapToGrid w:val="0"/>
          <w:highlight w:val="none"/>
        </w:rPr>
        <w:t>7）</w:t>
      </w:r>
      <w:r>
        <w:rPr>
          <w:rFonts w:hint="eastAsia" w:cs="宋体"/>
          <w:highlight w:val="none"/>
        </w:rPr>
        <w:t>投标文件的实质性内容未使用中文表述、意思表述不明确、前后矛盾或者使用计量单位不符合招标文件要求的（经评标委员会认定并允许其当场更正的笔误除外）；</w:t>
      </w:r>
    </w:p>
    <w:p>
      <w:pPr>
        <w:pStyle w:val="26"/>
        <w:wordWrap w:val="0"/>
        <w:overflowPunct w:val="0"/>
        <w:autoSpaceDE w:val="0"/>
        <w:autoSpaceDN w:val="0"/>
        <w:snapToGrid w:val="0"/>
        <w:spacing w:line="360" w:lineRule="auto"/>
        <w:rPr>
          <w:rFonts w:cs="宋体"/>
          <w:snapToGrid w:val="0"/>
          <w:highlight w:val="none"/>
        </w:rPr>
      </w:pPr>
      <w:r>
        <w:rPr>
          <w:rFonts w:hint="eastAsia" w:cs="宋体"/>
          <w:highlight w:val="none"/>
        </w:rPr>
        <w:t>（8）</w:t>
      </w:r>
      <w:r>
        <w:rPr>
          <w:rFonts w:hint="eastAsia" w:cs="宋体"/>
          <w:snapToGrid w:val="0"/>
          <w:highlight w:val="none"/>
        </w:rPr>
        <w:t>投标有效期、服务期、维保期等商务条款不能满足招标文件要求的；</w:t>
      </w:r>
    </w:p>
    <w:p>
      <w:pPr>
        <w:pStyle w:val="26"/>
        <w:wordWrap w:val="0"/>
        <w:overflowPunct w:val="0"/>
        <w:autoSpaceDE w:val="0"/>
        <w:autoSpaceDN w:val="0"/>
        <w:snapToGrid w:val="0"/>
        <w:spacing w:line="360" w:lineRule="auto"/>
        <w:rPr>
          <w:rFonts w:cs="宋体"/>
          <w:snapToGrid w:val="0"/>
          <w:highlight w:val="none"/>
        </w:rPr>
      </w:pPr>
      <w:r>
        <w:rPr>
          <w:rFonts w:hint="eastAsia" w:cs="宋体"/>
          <w:highlight w:val="none"/>
        </w:rPr>
        <w:t>（</w:t>
      </w:r>
      <w:r>
        <w:rPr>
          <w:rFonts w:hint="eastAsia" w:cs="宋体"/>
          <w:snapToGrid w:val="0"/>
          <w:highlight w:val="none"/>
        </w:rPr>
        <w:t>9）</w:t>
      </w:r>
      <w:r>
        <w:rPr>
          <w:rFonts w:hint="eastAsia" w:cs="宋体"/>
          <w:highlight w:val="none"/>
        </w:rPr>
        <w:t>未实质性响应招标文件要求或者投标文件有招标方不能接受的附加条件的</w:t>
      </w:r>
      <w:r>
        <w:rPr>
          <w:rFonts w:hint="eastAsia" w:cs="宋体"/>
          <w:snapToGrid w:val="0"/>
          <w:highlight w:val="none"/>
        </w:rPr>
        <w:t>；</w:t>
      </w:r>
    </w:p>
    <w:p>
      <w:pPr>
        <w:pStyle w:val="26"/>
        <w:wordWrap w:val="0"/>
        <w:overflowPunct w:val="0"/>
        <w:autoSpaceDE w:val="0"/>
        <w:autoSpaceDN w:val="0"/>
        <w:snapToGrid w:val="0"/>
        <w:spacing w:line="360" w:lineRule="auto"/>
        <w:rPr>
          <w:rFonts w:cs="宋体"/>
          <w:highlight w:val="none"/>
        </w:rPr>
      </w:pPr>
      <w:r>
        <w:rPr>
          <w:rFonts w:hint="eastAsia" w:cs="宋体"/>
          <w:highlight w:val="none"/>
        </w:rPr>
        <w:t>（10）不符合本采购文件中的实质性要求条款</w:t>
      </w:r>
    </w:p>
    <w:p>
      <w:pPr>
        <w:pStyle w:val="26"/>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4.在技术评审时，如发现下列情形之一的，投标文件将被视为无效：</w:t>
      </w:r>
    </w:p>
    <w:p>
      <w:pPr>
        <w:pStyle w:val="26"/>
        <w:snapToGrid w:val="0"/>
        <w:spacing w:line="360" w:lineRule="auto"/>
        <w:ind w:firstLine="470" w:firstLineChars="196"/>
        <w:rPr>
          <w:rFonts w:cs="宋体"/>
          <w:highlight w:val="none"/>
        </w:rPr>
      </w:pPr>
      <w:r>
        <w:rPr>
          <w:rFonts w:hint="eastAsia" w:cs="宋体"/>
          <w:highlight w:val="none"/>
        </w:rPr>
        <w:t>（1）投标文件标明的响应或偏离与事实不符或虚假投标的；</w:t>
      </w:r>
    </w:p>
    <w:p>
      <w:pPr>
        <w:pStyle w:val="26"/>
        <w:snapToGrid w:val="0"/>
        <w:spacing w:line="360" w:lineRule="auto"/>
        <w:ind w:firstLine="470" w:firstLineChars="196"/>
        <w:rPr>
          <w:rFonts w:cs="宋体"/>
          <w:highlight w:val="none"/>
        </w:rPr>
      </w:pPr>
      <w:r>
        <w:rPr>
          <w:rFonts w:hint="eastAsia" w:cs="宋体"/>
          <w:highlight w:val="none"/>
        </w:rPr>
        <w:t>（2）明显不符合采购文件要求的服务内容，或者与采购文件中标“▲”的服务需求、主要功能项目发生实质性偏离的；</w:t>
      </w:r>
    </w:p>
    <w:p>
      <w:pPr>
        <w:pStyle w:val="26"/>
        <w:snapToGrid w:val="0"/>
        <w:spacing w:line="360" w:lineRule="auto"/>
        <w:ind w:firstLine="470" w:firstLineChars="196"/>
        <w:rPr>
          <w:rFonts w:cs="宋体"/>
          <w:highlight w:val="none"/>
        </w:rPr>
      </w:pPr>
      <w:r>
        <w:rPr>
          <w:rFonts w:hint="eastAsia" w:cs="宋体"/>
          <w:highlight w:val="none"/>
        </w:rPr>
        <w:t>（3）投标技术方案不明确，存在一个或一个以上备选（替代）投标方案的；</w:t>
      </w:r>
    </w:p>
    <w:p>
      <w:pPr>
        <w:pStyle w:val="26"/>
        <w:snapToGrid w:val="0"/>
        <w:spacing w:line="360" w:lineRule="auto"/>
        <w:ind w:firstLine="470" w:firstLineChars="196"/>
        <w:rPr>
          <w:highlight w:val="none"/>
        </w:rPr>
      </w:pPr>
      <w:r>
        <w:rPr>
          <w:rFonts w:hint="eastAsia" w:cs="宋体"/>
          <w:highlight w:val="none"/>
        </w:rPr>
        <w:t>（4）与其他参加本次投标供应商的投标文件（技术文件）的文字表述内容相同连续20行以上或者差错相同2处以上的</w:t>
      </w:r>
      <w:r>
        <w:rPr>
          <w:rFonts w:hint="eastAsia"/>
          <w:highlight w:val="none"/>
        </w:rPr>
        <w:t>。</w:t>
      </w:r>
    </w:p>
    <w:p>
      <w:pPr>
        <w:pStyle w:val="26"/>
        <w:wordWrap w:val="0"/>
        <w:overflowPunct w:val="0"/>
        <w:autoSpaceDE w:val="0"/>
        <w:autoSpaceDN w:val="0"/>
        <w:snapToGrid w:val="0"/>
        <w:spacing w:line="360" w:lineRule="auto"/>
        <w:rPr>
          <w:rFonts w:cs="宋体"/>
          <w:highlight w:val="none"/>
        </w:rPr>
      </w:pPr>
      <w:r>
        <w:rPr>
          <w:rFonts w:hint="eastAsia"/>
          <w:highlight w:val="none"/>
        </w:rPr>
        <w:t>（5）不符合本采购文件中的实质性要求条款</w:t>
      </w:r>
      <w:r>
        <w:rPr>
          <w:rFonts w:hint="eastAsia" w:cs="宋体"/>
          <w:highlight w:val="none"/>
        </w:rPr>
        <w:t>；</w:t>
      </w:r>
    </w:p>
    <w:p>
      <w:pPr>
        <w:pStyle w:val="26"/>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5.在报价评审时，如发现下列情形之一的，投标文件将被视为无效：</w:t>
      </w:r>
    </w:p>
    <w:p>
      <w:pPr>
        <w:pStyle w:val="26"/>
        <w:snapToGrid w:val="0"/>
        <w:spacing w:line="360" w:lineRule="auto"/>
        <w:rPr>
          <w:highlight w:val="none"/>
        </w:rPr>
      </w:pPr>
      <w:r>
        <w:rPr>
          <w:rFonts w:hint="eastAsia"/>
          <w:highlight w:val="none"/>
        </w:rPr>
        <w:t>（1）未采用人民币报价或者未按照采购文件标明的币种报价的；</w:t>
      </w:r>
    </w:p>
    <w:p>
      <w:pPr>
        <w:pStyle w:val="26"/>
        <w:snapToGrid w:val="0"/>
        <w:spacing w:line="360" w:lineRule="auto"/>
        <w:rPr>
          <w:highlight w:val="none"/>
        </w:rPr>
      </w:pPr>
      <w:r>
        <w:rPr>
          <w:rFonts w:hint="eastAsia"/>
          <w:highlight w:val="none"/>
        </w:rPr>
        <w:t>（2）投标报价具有选择性，或者开标价格与投标文件承诺的优惠（折扣）价格不一致的；</w:t>
      </w:r>
    </w:p>
    <w:p>
      <w:pPr>
        <w:pStyle w:val="26"/>
        <w:snapToGrid w:val="0"/>
        <w:spacing w:line="360" w:lineRule="auto"/>
        <w:rPr>
          <w:highlight w:val="none"/>
        </w:rPr>
      </w:pPr>
      <w:r>
        <w:rPr>
          <w:rFonts w:hint="eastAsia"/>
          <w:highlight w:val="none"/>
        </w:rPr>
        <w:t>（3）报价文件内容与商务、技术文件内容严重不一致，评标委员会无法评审的；</w:t>
      </w:r>
    </w:p>
    <w:p>
      <w:pPr>
        <w:pStyle w:val="26"/>
        <w:snapToGrid w:val="0"/>
        <w:spacing w:line="360" w:lineRule="auto"/>
        <w:rPr>
          <w:highlight w:val="none"/>
        </w:rPr>
      </w:pPr>
      <w:r>
        <w:rPr>
          <w:rFonts w:hint="eastAsia"/>
          <w:highlight w:val="none"/>
        </w:rPr>
        <w:t>（4）评标委员会认定属投标人自身原因有重大漏项的。</w:t>
      </w:r>
    </w:p>
    <w:p>
      <w:pPr>
        <w:pStyle w:val="26"/>
        <w:snapToGrid w:val="0"/>
        <w:spacing w:line="360" w:lineRule="auto"/>
        <w:rPr>
          <w:highlight w:val="none"/>
        </w:rPr>
      </w:pPr>
      <w:r>
        <w:rPr>
          <w:rFonts w:hint="eastAsia"/>
          <w:highlight w:val="none"/>
        </w:rPr>
        <w:t>（5）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pPr>
        <w:pStyle w:val="26"/>
        <w:snapToGrid w:val="0"/>
        <w:spacing w:line="360" w:lineRule="auto"/>
        <w:rPr>
          <w:highlight w:val="none"/>
        </w:rPr>
      </w:pPr>
      <w:r>
        <w:rPr>
          <w:rFonts w:hint="eastAsia"/>
          <w:highlight w:val="none"/>
        </w:rPr>
        <w:t>（6）报价超过采购文件中规定的预算金额或者最高限价的。</w:t>
      </w:r>
    </w:p>
    <w:p>
      <w:pPr>
        <w:pStyle w:val="26"/>
        <w:snapToGrid w:val="0"/>
        <w:spacing w:line="360" w:lineRule="auto"/>
        <w:rPr>
          <w:highlight w:val="none"/>
        </w:rPr>
      </w:pPr>
      <w:r>
        <w:rPr>
          <w:rFonts w:hint="eastAsia"/>
          <w:highlight w:val="none"/>
        </w:rPr>
        <w:t>（7）报价文件无法定代表人或授权代表签字（或盖章）的；</w:t>
      </w:r>
    </w:p>
    <w:p>
      <w:pPr>
        <w:pStyle w:val="26"/>
        <w:snapToGrid w:val="0"/>
        <w:spacing w:line="360" w:lineRule="auto"/>
        <w:rPr>
          <w:highlight w:val="none"/>
        </w:rPr>
      </w:pPr>
      <w:r>
        <w:rPr>
          <w:rFonts w:hint="eastAsia"/>
          <w:highlight w:val="none"/>
        </w:rPr>
        <w:t>（8）报价文件格式不规范、项目不齐全或者内容虚假的；</w:t>
      </w:r>
    </w:p>
    <w:p>
      <w:pPr>
        <w:pStyle w:val="26"/>
        <w:snapToGrid w:val="0"/>
        <w:spacing w:line="360" w:lineRule="auto"/>
        <w:rPr>
          <w:highlight w:val="none"/>
        </w:rPr>
      </w:pPr>
      <w:r>
        <w:rPr>
          <w:rFonts w:hint="eastAsia"/>
          <w:highlight w:val="none"/>
        </w:rPr>
        <w:t>（9）报价文件的实质性内容未使用中文表述、意思表述不明确、前后矛盾或者使用计量单位不符合招标文件要求的（经评标委员会认定并允许其当场更正的笔误除外）；</w:t>
      </w:r>
    </w:p>
    <w:p>
      <w:pPr>
        <w:pStyle w:val="26"/>
        <w:snapToGrid w:val="0"/>
        <w:spacing w:line="360" w:lineRule="auto"/>
        <w:rPr>
          <w:highlight w:val="none"/>
        </w:rPr>
      </w:pPr>
      <w:r>
        <w:rPr>
          <w:rFonts w:hint="eastAsia"/>
          <w:highlight w:val="none"/>
        </w:rPr>
        <w:t>（10）未实质性响应采购文件要求或者投标文件有采购方不能接受的附加条件的。</w:t>
      </w:r>
    </w:p>
    <w:p>
      <w:pPr>
        <w:pStyle w:val="26"/>
        <w:wordWrap w:val="0"/>
        <w:overflowPunct w:val="0"/>
        <w:autoSpaceDE w:val="0"/>
        <w:autoSpaceDN w:val="0"/>
        <w:snapToGrid w:val="0"/>
        <w:spacing w:line="360" w:lineRule="auto"/>
        <w:rPr>
          <w:rFonts w:cs="宋体"/>
          <w:highlight w:val="none"/>
        </w:rPr>
      </w:pPr>
      <w:r>
        <w:rPr>
          <w:rFonts w:hint="eastAsia"/>
          <w:highlight w:val="none"/>
        </w:rPr>
        <w:t>（11）不符合本采购文件中的实质性要求条款</w:t>
      </w:r>
      <w:r>
        <w:rPr>
          <w:rFonts w:hint="eastAsia" w:cs="宋体"/>
          <w:highlight w:val="none"/>
        </w:rPr>
        <w:t>；</w:t>
      </w:r>
    </w:p>
    <w:p>
      <w:pPr>
        <w:pStyle w:val="26"/>
        <w:wordWrap w:val="0"/>
        <w:overflowPunct w:val="0"/>
        <w:autoSpaceDE w:val="0"/>
        <w:autoSpaceDN w:val="0"/>
        <w:snapToGrid w:val="0"/>
        <w:spacing w:line="360" w:lineRule="auto"/>
        <w:ind w:firstLine="482"/>
        <w:rPr>
          <w:rFonts w:cs="宋体"/>
          <w:b/>
          <w:highlight w:val="none"/>
        </w:rPr>
      </w:pPr>
      <w:r>
        <w:rPr>
          <w:rFonts w:hint="eastAsia" w:cs="宋体"/>
          <w:b/>
          <w:highlight w:val="none"/>
        </w:rPr>
        <w:t>6.被拒绝的投标文件为无效；</w:t>
      </w:r>
    </w:p>
    <w:p>
      <w:pPr>
        <w:pStyle w:val="26"/>
        <w:wordWrap w:val="0"/>
        <w:overflowPunct w:val="0"/>
        <w:autoSpaceDE w:val="0"/>
        <w:autoSpaceDN w:val="0"/>
        <w:snapToGrid w:val="0"/>
        <w:spacing w:line="360" w:lineRule="auto"/>
        <w:ind w:firstLine="482"/>
        <w:rPr>
          <w:rFonts w:cs="宋体"/>
          <w:b/>
          <w:highlight w:val="none"/>
        </w:rPr>
      </w:pPr>
      <w:r>
        <w:rPr>
          <w:rFonts w:hint="eastAsia" w:cs="宋体"/>
          <w:b/>
          <w:highlight w:val="none"/>
        </w:rPr>
        <w:t>7.存在带“▲”条款的负偏离的；</w:t>
      </w:r>
    </w:p>
    <w:p>
      <w:pPr>
        <w:pStyle w:val="26"/>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8.本招标文件其他部分已规定为无效标的情形；</w:t>
      </w:r>
    </w:p>
    <w:p>
      <w:pPr>
        <w:pStyle w:val="26"/>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9.评标专家认定的其他必须按无效标处理的。</w:t>
      </w:r>
    </w:p>
    <w:p>
      <w:pPr>
        <w:pStyle w:val="26"/>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（十）出现以下情形，导致电子交易平台无法正常运行，或者无法保证电子交易的公平、公正和安全时，中止电子交易活动：</w:t>
      </w:r>
    </w:p>
    <w:p>
      <w:pPr>
        <w:pStyle w:val="26"/>
        <w:wordWrap w:val="0"/>
        <w:overflowPunct w:val="0"/>
        <w:autoSpaceDE w:val="0"/>
        <w:autoSpaceDN w:val="0"/>
        <w:snapToGrid w:val="0"/>
        <w:spacing w:line="360" w:lineRule="auto"/>
        <w:rPr>
          <w:rFonts w:cs="宋体"/>
          <w:highlight w:val="none"/>
        </w:rPr>
      </w:pPr>
      <w:r>
        <w:rPr>
          <w:rFonts w:hint="eastAsia" w:cs="宋体"/>
          <w:highlight w:val="none"/>
        </w:rPr>
        <w:t>1.电子交易平台发生故障而无法登录访问的；</w:t>
      </w:r>
    </w:p>
    <w:p>
      <w:pPr>
        <w:pStyle w:val="26"/>
        <w:wordWrap w:val="0"/>
        <w:overflowPunct w:val="0"/>
        <w:autoSpaceDE w:val="0"/>
        <w:autoSpaceDN w:val="0"/>
        <w:snapToGrid w:val="0"/>
        <w:spacing w:line="360" w:lineRule="auto"/>
        <w:rPr>
          <w:rFonts w:cs="宋体"/>
          <w:highlight w:val="none"/>
        </w:rPr>
      </w:pPr>
      <w:r>
        <w:rPr>
          <w:rFonts w:hint="eastAsia" w:cs="宋体"/>
          <w:highlight w:val="none"/>
        </w:rPr>
        <w:t>2.电子交易平台应用或数据库出现错误，不能进行正常操作的；</w:t>
      </w:r>
    </w:p>
    <w:p>
      <w:pPr>
        <w:pStyle w:val="26"/>
        <w:wordWrap w:val="0"/>
        <w:overflowPunct w:val="0"/>
        <w:autoSpaceDE w:val="0"/>
        <w:autoSpaceDN w:val="0"/>
        <w:snapToGrid w:val="0"/>
        <w:spacing w:line="360" w:lineRule="auto"/>
        <w:rPr>
          <w:rFonts w:cs="宋体"/>
          <w:highlight w:val="none"/>
        </w:rPr>
      </w:pPr>
      <w:r>
        <w:rPr>
          <w:rFonts w:hint="eastAsia" w:cs="宋体"/>
          <w:highlight w:val="none"/>
        </w:rPr>
        <w:t>3.电子交易平台发现严重安全漏洞，有潜在泄密危险的；</w:t>
      </w:r>
    </w:p>
    <w:p>
      <w:pPr>
        <w:pStyle w:val="26"/>
        <w:wordWrap w:val="0"/>
        <w:overflowPunct w:val="0"/>
        <w:autoSpaceDE w:val="0"/>
        <w:autoSpaceDN w:val="0"/>
        <w:snapToGrid w:val="0"/>
        <w:spacing w:line="360" w:lineRule="auto"/>
        <w:rPr>
          <w:rFonts w:cs="宋体"/>
          <w:highlight w:val="none"/>
        </w:rPr>
      </w:pPr>
      <w:r>
        <w:rPr>
          <w:rFonts w:hint="eastAsia" w:cs="宋体"/>
          <w:highlight w:val="none"/>
        </w:rPr>
        <w:t>4.病毒发作导致不能进行正常操作的；</w:t>
      </w:r>
    </w:p>
    <w:p>
      <w:pPr>
        <w:pStyle w:val="26"/>
        <w:wordWrap w:val="0"/>
        <w:overflowPunct w:val="0"/>
        <w:autoSpaceDE w:val="0"/>
        <w:autoSpaceDN w:val="0"/>
        <w:snapToGrid w:val="0"/>
        <w:spacing w:line="360" w:lineRule="auto"/>
        <w:rPr>
          <w:rFonts w:cs="宋体"/>
          <w:highlight w:val="none"/>
        </w:rPr>
      </w:pPr>
      <w:r>
        <w:rPr>
          <w:rFonts w:hint="eastAsia" w:cs="宋体"/>
          <w:highlight w:val="none"/>
        </w:rPr>
        <w:t>5.其他无法保证电子交易的公平、公正和安全的情况。</w:t>
      </w:r>
    </w:p>
    <w:p>
      <w:pPr>
        <w:pStyle w:val="26"/>
        <w:wordWrap w:val="0"/>
        <w:overflowPunct w:val="0"/>
        <w:autoSpaceDE w:val="0"/>
        <w:autoSpaceDN w:val="0"/>
        <w:snapToGrid w:val="0"/>
        <w:spacing w:line="360" w:lineRule="auto"/>
        <w:rPr>
          <w:rFonts w:cs="宋体"/>
          <w:highlight w:val="none"/>
        </w:rPr>
      </w:pPr>
      <w:r>
        <w:rPr>
          <w:rFonts w:hint="eastAsia" w:cs="宋体"/>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pPr>
        <w:pStyle w:val="35"/>
        <w:wordWrap w:val="0"/>
        <w:overflowPunct w:val="0"/>
        <w:autoSpaceDE w:val="0"/>
        <w:autoSpaceDN w:val="0"/>
        <w:snapToGrid w:val="0"/>
        <w:spacing w:line="360" w:lineRule="auto"/>
        <w:outlineLvl w:val="0"/>
        <w:rPr>
          <w:rFonts w:hAnsi="宋体" w:cs="宋体"/>
          <w:b/>
          <w:sz w:val="28"/>
          <w:szCs w:val="28"/>
          <w:highlight w:val="none"/>
        </w:rPr>
      </w:pPr>
      <w:r>
        <w:rPr>
          <w:rFonts w:hint="eastAsia" w:hAnsi="宋体" w:cs="宋体"/>
          <w:b/>
          <w:sz w:val="28"/>
          <w:szCs w:val="28"/>
          <w:highlight w:val="none"/>
        </w:rPr>
        <w:t>四、开标</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（一）开标准备</w:t>
      </w:r>
    </w:p>
    <w:p>
      <w:pPr>
        <w:wordWrap w:val="0"/>
        <w:overflowPunct w:val="0"/>
        <w:autoSpaceDE w:val="0"/>
        <w:autoSpaceDN w:val="0"/>
        <w:snapToGrid w:val="0"/>
        <w:spacing w:line="360" w:lineRule="auto"/>
        <w:ind w:firstLine="482" w:firstLineChars="200"/>
        <w:jc w:val="left"/>
        <w:rPr>
          <w:rFonts w:ascii="宋体" w:hAnsi="宋体" w:cs="宋体"/>
          <w:b/>
          <w:kern w:val="0"/>
          <w:sz w:val="24"/>
          <w:highlight w:val="none"/>
        </w:rPr>
      </w:pPr>
      <w:r>
        <w:rPr>
          <w:rFonts w:hint="eastAsia" w:ascii="宋体" w:hAnsi="宋体" w:cs="宋体"/>
          <w:b/>
          <w:sz w:val="24"/>
          <w:highlight w:val="none"/>
        </w:rPr>
        <w:t>采购代理机构原则上采用电子评标，按照招标文件规定的时间通过“政府采购云平台”组织开标、开启投标文件，所有供应商可以派授权代表参加或准时在线参加。</w:t>
      </w:r>
      <w:r>
        <w:rPr>
          <w:rFonts w:hint="eastAsia" w:ascii="宋体" w:hAnsi="宋体" w:cs="宋体"/>
          <w:b/>
          <w:kern w:val="0"/>
          <w:sz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 xml:space="preserve"> (二) 采购人或者采购代理机构职责</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采购人或者采购代理机构负责组织评标工作，并履行下列职责：</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1.核对评审专家身份和采购人代表授权函，对评审专家在政府采购活动中的职责履行情况予以记录，并及时将有关违法违规行为向财政部门报告；</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2.宣布评标纪律；</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3.公布投标人名单，告知评审专家应当回避的情形；</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4.组织评标委员会推选评标组长，采购人代表不得担任组长；</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5.在评标期间采取必要的通讯管理措施，保证评标活动不受外界干扰；</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6.根据评标委员会的要求介绍政府采购相关政策法规、招标文件；</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7.维护评标秩序，监督评标委员会依照招标文件规定的评标程序、方法和标准进行独立评审，及时制止和纠正采购人代表、评审专家的倾向性言论或者违法违规行为；</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8.核对评标结果，有本办法第六十四条规定情形的，要求评标委员会复核或者书面说明理由，评标委员会拒绝的，应予记录并向本级财政部门报告；</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9.评审工作完成后，按照规定向评审专家支付劳务报酬和异地评审差旅费，不得向评审专家以外的其他人员支付评审劳务报酬；</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10.处理与评标有关的其他事项。</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（三）开标程序</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本项目原则上采用政采云电子招投标开标及评审程序，但有下情形之一的，按以下情况处理：</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1.开标会由采购代理机构主持，主持人宣布开标会议开始；</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2.主持人介绍参加开标会的人员名单； </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3.主持人宣布评标期间的有关事项；告知应当回避的情形,提请有关人员回避；</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4.电子投标文件开标:</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（1）投标截止时间后，投标人登录政采云平台，用“项目采购-开标评标”功能对电子投标文件进行在线解密。在线解密电子投标文件时间为开标时间起半个小时内。</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（2）由采购人代表对资格审查文件进行评审，评标委员会对技术商务文件进行评审。</w:t>
      </w:r>
    </w:p>
    <w:p>
      <w:pPr>
        <w:wordWrap w:val="0"/>
        <w:overflowPunct w:val="0"/>
        <w:autoSpaceDE w:val="0"/>
        <w:autoSpaceDN w:val="0"/>
        <w:spacing w:line="360" w:lineRule="auto"/>
        <w:rPr>
          <w:rFonts w:ascii="宋体" w:hAnsi="宋体" w:cs="宋体"/>
          <w:sz w:val="24"/>
          <w:highlight w:val="none"/>
        </w:rPr>
      </w:pPr>
      <w:r>
        <w:rPr>
          <w:rFonts w:hint="eastAsia" w:ascii="宋体" w:hAnsi="宋体" w:cs="宋体"/>
          <w:sz w:val="24"/>
          <w:highlight w:val="none"/>
        </w:rPr>
        <w:t xml:space="preserve">   （3）在系统上公开资格审查和技术商务评审结果；</w:t>
      </w:r>
    </w:p>
    <w:p>
      <w:pPr>
        <w:wordWrap w:val="0"/>
        <w:overflowPunct w:val="0"/>
        <w:autoSpaceDE w:val="0"/>
        <w:autoSpaceDN w:val="0"/>
        <w:spacing w:line="360" w:lineRule="auto"/>
        <w:rPr>
          <w:rFonts w:ascii="宋体" w:hAnsi="宋体" w:cs="宋体"/>
          <w:sz w:val="24"/>
          <w:highlight w:val="none"/>
        </w:rPr>
      </w:pPr>
      <w:r>
        <w:rPr>
          <w:rFonts w:hint="eastAsia" w:ascii="宋体" w:hAnsi="宋体" w:cs="宋体"/>
          <w:sz w:val="24"/>
          <w:highlight w:val="none"/>
        </w:rPr>
        <w:t xml:space="preserve">   （4）在系统上公开报价开标情况；</w:t>
      </w:r>
    </w:p>
    <w:p>
      <w:pPr>
        <w:wordWrap w:val="0"/>
        <w:overflowPunct w:val="0"/>
        <w:autoSpaceDE w:val="0"/>
        <w:autoSpaceDN w:val="0"/>
        <w:spacing w:line="360" w:lineRule="auto"/>
        <w:rPr>
          <w:rFonts w:ascii="宋体" w:hAnsi="宋体" w:cs="宋体"/>
          <w:sz w:val="24"/>
          <w:highlight w:val="none"/>
        </w:rPr>
      </w:pPr>
      <w:r>
        <w:rPr>
          <w:rFonts w:hint="eastAsia" w:ascii="宋体" w:hAnsi="宋体" w:cs="宋体"/>
          <w:sz w:val="24"/>
          <w:highlight w:val="none"/>
        </w:rPr>
        <w:t xml:space="preserve">   （5）评标委员会对报价情况进行评审；</w:t>
      </w:r>
    </w:p>
    <w:p>
      <w:pPr>
        <w:wordWrap w:val="0"/>
        <w:overflowPunct w:val="0"/>
        <w:autoSpaceDE w:val="0"/>
        <w:autoSpaceDN w:val="0"/>
        <w:spacing w:line="360" w:lineRule="auto"/>
        <w:rPr>
          <w:rFonts w:ascii="宋体" w:hAnsi="宋体" w:cs="宋体"/>
          <w:sz w:val="24"/>
          <w:highlight w:val="none"/>
        </w:rPr>
      </w:pPr>
      <w:r>
        <w:rPr>
          <w:rFonts w:hint="eastAsia" w:ascii="宋体" w:hAnsi="宋体" w:cs="宋体"/>
          <w:sz w:val="24"/>
          <w:highlight w:val="none"/>
        </w:rPr>
        <w:t xml:space="preserve">   （6）在系统上公布评审结果。</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特别说明：政采云公司如对电子化开标及评审程序有调整的，按调整后的程序操作。</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五、评标</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（一）</w:t>
      </w:r>
      <w:r>
        <w:rPr>
          <w:rFonts w:hint="eastAsia" w:hAnsi="宋体" w:cs="宋体"/>
          <w:b/>
          <w:bCs/>
          <w:sz w:val="24"/>
          <w:szCs w:val="24"/>
          <w:highlight w:val="none"/>
        </w:rPr>
        <w:t>组建评标委员会</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本项目评标委员会由采购人代表和相关专业专家组成，采购人代表2名，专家评委5名，评标委员会负责具体评标事务，并独立履行下列职责：</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1.审查、评价投标文件是否符合招标文件的商务、技术等实质性要求；</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2.要求投标人对投标文件有关事项作出澄清或者说明；</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3.对投标文件进行比较和评价；</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4.确定中标候选人名单，以及根据采购人委托直接确定中标人；</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5.向采购人、采购代理机构或者有关部门报告评标中发现的违法行为。</w:t>
      </w:r>
    </w:p>
    <w:p>
      <w:pPr>
        <w:wordWrap w:val="0"/>
        <w:overflowPunct w:val="0"/>
        <w:autoSpaceDE w:val="0"/>
        <w:autoSpaceDN w:val="0"/>
        <w:spacing w:line="360" w:lineRule="auto"/>
        <w:ind w:firstLine="482" w:firstLineChars="200"/>
        <w:rPr>
          <w:rFonts w:ascii="宋体" w:hAnsi="宋体" w:cs="宋体"/>
          <w:b/>
          <w:sz w:val="24"/>
          <w:highlight w:val="none"/>
          <w:u w:val="single"/>
        </w:rPr>
      </w:pPr>
      <w:r>
        <w:rPr>
          <w:rFonts w:hint="eastAsia" w:ascii="宋体" w:hAnsi="宋体" w:cs="宋体"/>
          <w:b/>
          <w:sz w:val="24"/>
          <w:highlight w:val="none"/>
          <w:u w:val="single"/>
        </w:rPr>
        <w:t>除采购人代表、评标现场组织人员外，采购人的其他工作人员以及与评标工作无关的人员不得进入评标现场。</w:t>
      </w:r>
    </w:p>
    <w:p>
      <w:pPr>
        <w:pStyle w:val="35"/>
        <w:wordWrap w:val="0"/>
        <w:overflowPunct w:val="0"/>
        <w:autoSpaceDE w:val="0"/>
        <w:autoSpaceDN w:val="0"/>
        <w:snapToGrid w:val="0"/>
        <w:spacing w:line="360" w:lineRule="auto"/>
        <w:rPr>
          <w:rFonts w:hAnsi="宋体" w:cs="宋体"/>
          <w:b/>
          <w:bCs/>
          <w:sz w:val="24"/>
          <w:szCs w:val="24"/>
          <w:highlight w:val="none"/>
        </w:rPr>
      </w:pPr>
      <w:r>
        <w:rPr>
          <w:rFonts w:hint="eastAsia" w:hAnsi="宋体" w:cs="宋体"/>
          <w:b/>
          <w:sz w:val="24"/>
          <w:szCs w:val="24"/>
          <w:highlight w:val="none"/>
        </w:rPr>
        <w:t>（二）</w:t>
      </w:r>
      <w:r>
        <w:rPr>
          <w:rFonts w:hint="eastAsia" w:hAnsi="宋体" w:cs="宋体"/>
          <w:b/>
          <w:bCs/>
          <w:sz w:val="24"/>
          <w:szCs w:val="24"/>
          <w:highlight w:val="none"/>
        </w:rPr>
        <w:t>评标的方式</w:t>
      </w:r>
    </w:p>
    <w:p>
      <w:pPr>
        <w:pStyle w:val="35"/>
        <w:wordWrap w:val="0"/>
        <w:overflowPunct w:val="0"/>
        <w:autoSpaceDE w:val="0"/>
        <w:autoSpaceDN w:val="0"/>
        <w:snapToGrid w:val="0"/>
        <w:spacing w:line="360" w:lineRule="auto"/>
        <w:rPr>
          <w:rFonts w:hAnsi="宋体" w:cs="宋体"/>
          <w:sz w:val="24"/>
          <w:szCs w:val="24"/>
          <w:highlight w:val="none"/>
        </w:rPr>
      </w:pPr>
      <w:r>
        <w:rPr>
          <w:rFonts w:hint="eastAsia" w:hAnsi="宋体" w:cs="宋体"/>
          <w:sz w:val="24"/>
          <w:szCs w:val="24"/>
          <w:highlight w:val="none"/>
        </w:rPr>
        <w:t xml:space="preserve">     本项目采用不公开方式评标，评标的依据为招标文件和投标文件。</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（三）评标程序</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采购人可以在评标前说明项目背景和采购需求，说明内容不得含有歧视性、倾向性意见，不得超出招标文件所述范围。说明应当提交书面材料，并随采购文件一并存档。</w:t>
      </w:r>
    </w:p>
    <w:p>
      <w:pPr>
        <w:wordWrap w:val="0"/>
        <w:overflowPunct w:val="0"/>
        <w:autoSpaceDE w:val="0"/>
        <w:autoSpaceDN w:val="0"/>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1.形式审查</w:t>
      </w:r>
    </w:p>
    <w:p>
      <w:pPr>
        <w:wordWrap w:val="0"/>
        <w:overflowPunct w:val="0"/>
        <w:autoSpaceDE w:val="0"/>
        <w:autoSpaceDN w:val="0"/>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采购人代表和代理机构工作人员协助评标委员会对投标人的资格和投标文件的完整性、合法性等进行审查。</w:t>
      </w:r>
    </w:p>
    <w:p>
      <w:pPr>
        <w:wordWrap w:val="0"/>
        <w:overflowPunct w:val="0"/>
        <w:autoSpaceDE w:val="0"/>
        <w:autoSpaceDN w:val="0"/>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2.实质审查与比较</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（1）评标委员会审查投标文件的实质性内容是否符合招标文件的实质性要求。</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（2）评标委员会将根据投标人的投标文件进行审查、核对,如有疑问,将对投标人进行询标,投标人要向评标委员会澄清有关问题,并最终以书面形式进行答复。</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投标人代表未到场、未在线或者拒绝澄清或者澄清的内容改变了投标文件的实质性内容的，评标委员会有权对该投标文件作出不利于投标人的评判。</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（3）各投标人的技术得分为所有评委的有效评分的算术平均数，由指定专人进行计算复核。</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（4）嘉兴市银建工程咨询评估有限公司工作人员协助评标委员会根据本项目的评分标准计算各投标人的商务报价得分。</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（5）评标委员会完成评标后,评委对各部分得分汇总,计算出本项目最终得分、性价比、评标价等。评标委员会按评标原则推荐中标候选人同时起草评标报告。</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（四）澄清问题的形式</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对投标文件中含义不明确、同类问题表述不一致或者有明显文字和计算错误的内容，评标委员会可要求供应商作出必要的澄清、说明或者纠正。</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2.如果供应商代表拒绝或未按评标委员会要求在“政采云”平台作出在线回复且无其他有效回复方式的，评标委员会可以对其作出无效标处理。</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（五）</w:t>
      </w:r>
      <w:r>
        <w:rPr>
          <w:rFonts w:hint="eastAsia" w:hAnsi="宋体" w:cs="宋体"/>
          <w:b/>
          <w:bCs/>
          <w:sz w:val="24"/>
          <w:szCs w:val="24"/>
          <w:highlight w:val="none"/>
        </w:rPr>
        <w:t>错误修正</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投标文件报价出现前后不一致的，除招标文件另有规定外按照下列规定修正：</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1.投标文件中开标一览表（报价表）内容与投标文件中相应内容不一致的，以开标一览表（报价表）为准；</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2.大写金额和小写金额不一致的，以大写金额为准；</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3.单价金额小数点或者百分比有明显错位的，以开标一览表的总价为准，并修改单价；</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4.总价金额与按单价汇总金额不一致的，以单价金额计算结果为准；</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5.电子投标流程中，客户端填写的报价与以pdf格式上传文件中的报价不一致的，应以Pdf格式上传文件中的报价为准。</w:t>
      </w:r>
    </w:p>
    <w:p>
      <w:pPr>
        <w:pStyle w:val="35"/>
        <w:wordWrap w:val="0"/>
        <w:overflowPunct w:val="0"/>
        <w:autoSpaceDE w:val="0"/>
        <w:autoSpaceDN w:val="0"/>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（六）</w:t>
      </w:r>
      <w:r>
        <w:rPr>
          <w:rFonts w:hint="eastAsia" w:hAnsi="宋体" w:cs="宋体"/>
          <w:b/>
          <w:bCs/>
          <w:sz w:val="24"/>
          <w:szCs w:val="24"/>
          <w:highlight w:val="none"/>
        </w:rPr>
        <w:t>评标原则和评标办法</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2.评标办法。本项目评标办法是</w:t>
      </w:r>
      <w:r>
        <w:rPr>
          <w:rFonts w:hint="eastAsia" w:ascii="宋体" w:hAnsi="宋体" w:cs="宋体"/>
          <w:sz w:val="24"/>
          <w:highlight w:val="none"/>
          <w:u w:val="single"/>
        </w:rPr>
        <w:t xml:space="preserve"> 综合评分法 </w:t>
      </w:r>
      <w:r>
        <w:rPr>
          <w:rFonts w:hint="eastAsia" w:ascii="宋体" w:hAnsi="宋体" w:cs="宋体"/>
          <w:sz w:val="24"/>
          <w:highlight w:val="none"/>
        </w:rPr>
        <w:t>，具体评标内容及评分标准等详见《第四章：评标办法及评分标准》。</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（七）</w:t>
      </w:r>
      <w:r>
        <w:rPr>
          <w:rFonts w:hint="eastAsia" w:hAnsi="宋体" w:cs="宋体"/>
          <w:b/>
          <w:bCs/>
          <w:sz w:val="24"/>
          <w:szCs w:val="24"/>
          <w:highlight w:val="none"/>
        </w:rPr>
        <w:t>评标过程的监控</w:t>
      </w:r>
    </w:p>
    <w:p>
      <w:pPr>
        <w:pStyle w:val="35"/>
        <w:wordWrap w:val="0"/>
        <w:overflowPunct w:val="0"/>
        <w:autoSpaceDE w:val="0"/>
        <w:autoSpaceDN w:val="0"/>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本项目评标过程实行全程录音、录像监控，有1名相关人员进行现场监督。投标人在评标过程中所进行的试图影响评标结果的不公正活动，可能导致其投标被拒绝。</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六、定标</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1.采购代理机构在评标结束后2个工作日内将评标报告交采购人确认，同时在发布招标公告的网站上对评标结果进行公示。</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如有投标人对评标结果提出质疑的，采购人可在质疑处理完毕后确定中标人。</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3.采购人依法确定中标人后2个工作日内，采购代理机构以书面形式发出《中标通知书》,并同时在相关网站上发布中标公告。</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七、合同授予</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（一）签订合同</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1.采购人与中标人应当在《中标通知书》发出之日起30日内签订政府采购合同。同时，采购代理机构对合同内容进行审查，如发现与采购结果和投标承诺内容不一致的，将予以纠正。</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2.中标人拖延、拒签合同的,将被列入不良行为记录或黑名单，由此产生的一切不利后果由中标人自行承担。</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（二）履约保证金</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1.中标人应按照与采购人约定的履约保证金金额，向采购人交纳履约保证金，中标人可以银行、保险公司出具保函形式提交履约保证金；否则，由此产生的一切不利后果由中标人自行承担。</w:t>
      </w:r>
    </w:p>
    <w:p>
      <w:pPr>
        <w:pStyle w:val="35"/>
        <w:snapToGrid w:val="0"/>
        <w:spacing w:line="360" w:lineRule="auto"/>
        <w:ind w:firstLine="240" w:firstLineChars="100"/>
        <w:rPr>
          <w:rFonts w:hAnsi="宋体" w:cs="宋体"/>
          <w:b/>
          <w:sz w:val="24"/>
          <w:szCs w:val="24"/>
          <w:highlight w:val="none"/>
        </w:rPr>
      </w:pPr>
      <w:r>
        <w:rPr>
          <w:rFonts w:hint="eastAsia" w:hAnsi="宋体" w:cs="宋体"/>
          <w:sz w:val="24"/>
          <w:szCs w:val="24"/>
          <w:highlight w:val="none"/>
        </w:rPr>
        <w:t>2.签订合同后，如中标人不按双方合同约定履约，则没收其全部履约保证金，履约保证金不足以赔偿损失的，按实际损失赔偿</w:t>
      </w:r>
    </w:p>
    <w:p>
      <w:pPr>
        <w:pStyle w:val="35"/>
        <w:snapToGrid w:val="0"/>
        <w:spacing w:line="360" w:lineRule="auto"/>
        <w:rPr>
          <w:rFonts w:hAnsi="宋体" w:cs="宋体"/>
          <w:b/>
          <w:sz w:val="24"/>
          <w:szCs w:val="24"/>
          <w:highlight w:val="none"/>
        </w:rPr>
      </w:pPr>
      <w:r>
        <w:rPr>
          <w:rFonts w:hint="eastAsia" w:hAnsi="宋体" w:cs="宋体"/>
          <w:b/>
          <w:sz w:val="24"/>
          <w:szCs w:val="24"/>
          <w:highlight w:val="none"/>
        </w:rPr>
        <w:t>八、终止招标</w:t>
      </w:r>
    </w:p>
    <w:p>
      <w:pPr>
        <w:pStyle w:val="35"/>
        <w:snapToGrid w:val="0"/>
        <w:spacing w:line="360" w:lineRule="auto"/>
        <w:ind w:firstLine="480" w:firstLineChars="200"/>
        <w:rPr>
          <w:rFonts w:hAnsi="宋体" w:cs="宋体"/>
          <w:b/>
          <w:sz w:val="28"/>
          <w:szCs w:val="28"/>
          <w:highlight w:val="none"/>
        </w:rPr>
      </w:pPr>
      <w:r>
        <w:rPr>
          <w:rFonts w:hint="eastAsia" w:hAnsi="宋体" w:cs="宋体"/>
          <w:sz w:val="24"/>
          <w:szCs w:val="24"/>
          <w:highlight w:val="none"/>
        </w:rPr>
        <w:t>终止招标的，采购人或者采购代理机构应当及时在原公告发布媒体上发布终止公告，并将项目实施情况和采购任务取消原因报告本级财政部门。</w:t>
      </w:r>
      <w:bookmarkStart w:id="39" w:name="_Toc2572"/>
    </w:p>
    <w:bookmarkEnd w:id="33"/>
    <w:bookmarkEnd w:id="39"/>
    <w:p>
      <w:pPr>
        <w:pStyle w:val="35"/>
        <w:snapToGrid w:val="0"/>
        <w:spacing w:line="360" w:lineRule="auto"/>
        <w:rPr>
          <w:rFonts w:hAnsi="宋体" w:cs="宋体"/>
          <w:b/>
          <w:sz w:val="24"/>
          <w:szCs w:val="24"/>
          <w:highlight w:val="none"/>
        </w:rPr>
      </w:pPr>
      <w:bookmarkStart w:id="40" w:name="_Hlt68403820"/>
      <w:bookmarkEnd w:id="40"/>
      <w:bookmarkStart w:id="41" w:name="_Hlt74714665"/>
      <w:bookmarkEnd w:id="41"/>
      <w:bookmarkStart w:id="42" w:name="_Hlt75236101"/>
      <w:bookmarkEnd w:id="42"/>
      <w:bookmarkStart w:id="43" w:name="_Hlt68072998"/>
      <w:bookmarkEnd w:id="43"/>
      <w:bookmarkStart w:id="44" w:name="_Hlt75236290"/>
      <w:bookmarkEnd w:id="44"/>
      <w:bookmarkStart w:id="45" w:name="_Hlt74730295"/>
      <w:bookmarkEnd w:id="45"/>
      <w:bookmarkStart w:id="46" w:name="_Hlt74729768"/>
      <w:bookmarkEnd w:id="46"/>
      <w:bookmarkStart w:id="47" w:name="_Hlt68057669"/>
      <w:bookmarkEnd w:id="47"/>
      <w:bookmarkStart w:id="48" w:name="_Hlt74707468"/>
      <w:bookmarkEnd w:id="48"/>
      <w:bookmarkStart w:id="49" w:name="_Hlt68072990"/>
      <w:bookmarkEnd w:id="49"/>
      <w:bookmarkStart w:id="50" w:name="_Hlt75236011"/>
      <w:bookmarkEnd w:id="50"/>
      <w:bookmarkStart w:id="51" w:name="_Hlt68073093"/>
      <w:bookmarkEnd w:id="51"/>
      <w:r>
        <w:rPr>
          <w:rFonts w:hint="eastAsia" w:hAnsi="宋体" w:cs="宋体"/>
          <w:b/>
          <w:sz w:val="24"/>
          <w:szCs w:val="24"/>
          <w:highlight w:val="none"/>
        </w:rPr>
        <w:t>九、招标代理费</w:t>
      </w:r>
    </w:p>
    <w:p>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1、根据“国家发展和改革委员会办公厅《关于招标代理服务收费有关问题的通知》（发改办价格【2003】857号）”规定，招标代理机构向中标人收取招标代理服务费。</w:t>
      </w:r>
    </w:p>
    <w:p>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2、中标人应在收取《中标通知书》时向采购代理机构交纳招标代理服务费，服务费的收费标准按国家计委(计价格[2011]534号)文规定计算:</w:t>
      </w:r>
    </w:p>
    <w:tbl>
      <w:tblPr>
        <w:tblStyle w:val="6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vAlign w:val="center"/>
          </w:tcPr>
          <w:p>
            <w:pPr>
              <w:spacing w:line="360" w:lineRule="auto"/>
              <w:jc w:val="center"/>
              <w:rPr>
                <w:rFonts w:ascii="宋体" w:hAnsi="宋体"/>
                <w:b/>
                <w:sz w:val="24"/>
                <w:highlight w:val="none"/>
              </w:rPr>
            </w:pPr>
            <w:r>
              <w:rPr>
                <w:rFonts w:hint="eastAsia" w:ascii="宋体" w:hAnsi="宋体"/>
                <w:b/>
                <w:sz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vAlign w:val="center"/>
          </w:tcPr>
          <w:p>
            <w:pPr>
              <w:spacing w:line="360" w:lineRule="auto"/>
              <w:jc w:val="center"/>
              <w:rPr>
                <w:rFonts w:ascii="宋体" w:hAnsi="宋体"/>
                <w:b/>
                <w:sz w:val="24"/>
                <w:highlight w:val="none"/>
              </w:rPr>
            </w:pPr>
            <w:r>
              <w:rPr>
                <w:rFonts w:hint="eastAsia" w:ascii="宋体" w:hAnsi="宋体"/>
                <w:b/>
                <w:sz w:val="24"/>
                <w:highlight w:val="none"/>
              </w:rPr>
              <w:t>服务招标收费费率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b/>
                <w:sz w:val="24"/>
                <w:highlight w:val="none"/>
              </w:rPr>
            </w:pPr>
            <w:r>
              <w:rPr>
                <w:rFonts w:hint="eastAsia" w:ascii="宋体" w:hAnsi="宋体"/>
                <w:b/>
                <w:sz w:val="24"/>
                <w:highlight w:val="none"/>
              </w:rPr>
              <w:t>100以下</w:t>
            </w:r>
          </w:p>
        </w:tc>
        <w:tc>
          <w:tcPr>
            <w:tcW w:w="2153"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宋体" w:hAnsi="宋体"/>
                <w:b/>
                <w:sz w:val="24"/>
                <w:highlight w:val="none"/>
              </w:rPr>
            </w:pPr>
            <w:r>
              <w:rPr>
                <w:rFonts w:hint="eastAsia" w:ascii="宋体" w:hAnsi="宋体"/>
                <w:b/>
                <w:sz w:val="24"/>
                <w:highlight w:val="none"/>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textAlignment w:val="baseline"/>
              <w:rPr>
                <w:rFonts w:ascii="宋体" w:hAnsi="宋体"/>
                <w:b/>
                <w:sz w:val="24"/>
                <w:highlight w:val="none"/>
              </w:rPr>
            </w:pPr>
            <w:r>
              <w:rPr>
                <w:rStyle w:val="976"/>
                <w:rFonts w:ascii="宋体" w:hAnsi="宋体"/>
                <w:b/>
                <w:sz w:val="24"/>
                <w:highlight w:val="none"/>
              </w:rPr>
              <w:t>100-500</w:t>
            </w:r>
          </w:p>
        </w:tc>
        <w:tc>
          <w:tcPr>
            <w:tcW w:w="2153"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center"/>
              <w:textAlignment w:val="baseline"/>
              <w:rPr>
                <w:rFonts w:ascii="宋体" w:hAnsi="宋体"/>
                <w:b/>
                <w:sz w:val="24"/>
                <w:highlight w:val="none"/>
              </w:rPr>
            </w:pPr>
            <w:r>
              <w:rPr>
                <w:rStyle w:val="976"/>
                <w:rFonts w:ascii="宋体" w:hAnsi="宋体"/>
                <w:b/>
                <w:sz w:val="24"/>
                <w:highlight w:val="none"/>
              </w:rPr>
              <w:t>0.80%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textAlignment w:val="baseline"/>
              <w:rPr>
                <w:rStyle w:val="976"/>
                <w:rFonts w:ascii="宋体" w:hAnsi="宋体"/>
                <w:b/>
                <w:sz w:val="24"/>
                <w:highlight w:val="none"/>
              </w:rPr>
            </w:pPr>
            <w:r>
              <w:rPr>
                <w:rStyle w:val="976"/>
                <w:rFonts w:hint="eastAsia" w:ascii="宋体" w:hAnsi="宋体"/>
                <w:b/>
                <w:sz w:val="24"/>
                <w:highlight w:val="none"/>
              </w:rPr>
              <w:t>500-1000</w:t>
            </w:r>
          </w:p>
        </w:tc>
        <w:tc>
          <w:tcPr>
            <w:tcW w:w="2153"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center"/>
              <w:textAlignment w:val="baseline"/>
              <w:rPr>
                <w:rStyle w:val="976"/>
                <w:rFonts w:ascii="宋体" w:hAnsi="宋体"/>
                <w:b/>
                <w:sz w:val="24"/>
                <w:highlight w:val="none"/>
              </w:rPr>
            </w:pPr>
            <w:r>
              <w:rPr>
                <w:rStyle w:val="976"/>
                <w:rFonts w:hint="eastAsia" w:ascii="宋体" w:hAnsi="宋体"/>
                <w:b/>
                <w:sz w:val="24"/>
                <w:highlight w:val="none"/>
              </w:rPr>
              <w:t>0.45%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textAlignment w:val="baseline"/>
              <w:rPr>
                <w:rStyle w:val="976"/>
                <w:rFonts w:ascii="宋体" w:hAnsi="宋体"/>
                <w:b/>
                <w:sz w:val="24"/>
                <w:highlight w:val="none"/>
              </w:rPr>
            </w:pPr>
            <w:r>
              <w:rPr>
                <w:rStyle w:val="976"/>
                <w:rFonts w:hint="eastAsia" w:ascii="宋体" w:hAnsi="宋体"/>
                <w:b/>
                <w:sz w:val="24"/>
                <w:highlight w:val="none"/>
              </w:rPr>
              <w:t>1000-5000</w:t>
            </w:r>
          </w:p>
        </w:tc>
        <w:tc>
          <w:tcPr>
            <w:tcW w:w="2153"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center"/>
              <w:textAlignment w:val="baseline"/>
              <w:rPr>
                <w:rStyle w:val="976"/>
                <w:rFonts w:ascii="宋体" w:hAnsi="宋体"/>
                <w:b/>
                <w:sz w:val="24"/>
                <w:highlight w:val="none"/>
              </w:rPr>
            </w:pPr>
            <w:r>
              <w:rPr>
                <w:rStyle w:val="976"/>
                <w:rFonts w:hint="eastAsia" w:ascii="宋体" w:hAnsi="宋体"/>
                <w:b/>
                <w:sz w:val="24"/>
                <w:highlight w:val="none"/>
              </w:rPr>
              <w:t>0.25%</w:t>
            </w:r>
          </w:p>
        </w:tc>
      </w:tr>
    </w:tbl>
    <w:p>
      <w:pPr>
        <w:snapToGrid w:val="0"/>
        <w:spacing w:line="360" w:lineRule="auto"/>
        <w:ind w:firstLine="420"/>
        <w:jc w:val="left"/>
        <w:rPr>
          <w:rFonts w:ascii="宋体" w:hAnsi="宋体"/>
          <w:sz w:val="24"/>
          <w:highlight w:val="none"/>
        </w:rPr>
      </w:pPr>
      <w:r>
        <w:rPr>
          <w:rFonts w:hint="eastAsia" w:ascii="宋体" w:hAnsi="宋体"/>
          <w:sz w:val="24"/>
          <w:highlight w:val="none"/>
        </w:rPr>
        <w:t>例如：某项目服务类招标代理业务中标金额为</w:t>
      </w:r>
      <w:r>
        <w:rPr>
          <w:rFonts w:hint="eastAsia" w:ascii="宋体" w:hAnsi="宋体"/>
          <w:sz w:val="24"/>
          <w:highlight w:val="none"/>
          <w:lang w:val="en-US" w:eastAsia="zh-CN"/>
        </w:rPr>
        <w:t>2000</w:t>
      </w:r>
      <w:r>
        <w:rPr>
          <w:rFonts w:hint="eastAsia" w:ascii="宋体" w:hAnsi="宋体"/>
          <w:sz w:val="24"/>
          <w:highlight w:val="none"/>
        </w:rPr>
        <w:t>万元，计算中标服务费收费额如下：</w:t>
      </w:r>
    </w:p>
    <w:p>
      <w:pPr>
        <w:snapToGrid w:val="0"/>
        <w:spacing w:line="360" w:lineRule="auto"/>
        <w:ind w:firstLine="480" w:firstLineChars="200"/>
        <w:jc w:val="left"/>
        <w:textAlignment w:val="baseline"/>
        <w:rPr>
          <w:rStyle w:val="976"/>
          <w:rFonts w:ascii="宋体" w:hAnsi="宋体"/>
          <w:sz w:val="24"/>
          <w:highlight w:val="none"/>
        </w:rPr>
      </w:pPr>
      <w:r>
        <w:rPr>
          <w:rStyle w:val="975"/>
          <w:rFonts w:ascii="宋体" w:hAnsi="宋体"/>
          <w:sz w:val="24"/>
          <w:highlight w:val="none"/>
        </w:rPr>
        <w:t>100万元×1.5%+</w:t>
      </w:r>
      <w:r>
        <w:rPr>
          <w:rStyle w:val="975"/>
          <w:rFonts w:hint="eastAsia" w:ascii="宋体" w:hAnsi="宋体"/>
          <w:sz w:val="24"/>
          <w:highlight w:val="none"/>
        </w:rPr>
        <w:t>400</w:t>
      </w:r>
      <w:r>
        <w:rPr>
          <w:rStyle w:val="975"/>
          <w:rFonts w:ascii="宋体" w:hAnsi="宋体"/>
          <w:sz w:val="24"/>
          <w:highlight w:val="none"/>
        </w:rPr>
        <w:t>万元×0.80%+</w:t>
      </w:r>
      <w:r>
        <w:rPr>
          <w:rStyle w:val="975"/>
          <w:rFonts w:hint="eastAsia" w:ascii="宋体" w:hAnsi="宋体"/>
          <w:sz w:val="24"/>
          <w:highlight w:val="none"/>
        </w:rPr>
        <w:t>500</w:t>
      </w:r>
      <w:r>
        <w:rPr>
          <w:rStyle w:val="975"/>
          <w:rFonts w:ascii="宋体" w:hAnsi="宋体"/>
          <w:sz w:val="24"/>
          <w:highlight w:val="none"/>
        </w:rPr>
        <w:t>万元×0.</w:t>
      </w:r>
      <w:r>
        <w:rPr>
          <w:rStyle w:val="975"/>
          <w:rFonts w:hint="eastAsia" w:ascii="宋体" w:hAnsi="宋体"/>
          <w:sz w:val="24"/>
          <w:highlight w:val="none"/>
        </w:rPr>
        <w:t>45</w:t>
      </w:r>
      <w:r>
        <w:rPr>
          <w:rStyle w:val="975"/>
          <w:rFonts w:ascii="宋体" w:hAnsi="宋体"/>
          <w:sz w:val="24"/>
          <w:highlight w:val="none"/>
        </w:rPr>
        <w:t>%+</w:t>
      </w:r>
      <w:r>
        <w:rPr>
          <w:rStyle w:val="975"/>
          <w:rFonts w:hint="eastAsia" w:ascii="宋体" w:hAnsi="宋体"/>
          <w:sz w:val="24"/>
          <w:highlight w:val="none"/>
          <w:lang w:val="en-US"/>
        </w:rPr>
        <w:t>1000</w:t>
      </w:r>
      <w:r>
        <w:rPr>
          <w:rStyle w:val="975"/>
          <w:rFonts w:ascii="宋体" w:hAnsi="宋体"/>
          <w:sz w:val="24"/>
          <w:highlight w:val="none"/>
        </w:rPr>
        <w:t>万元×0.</w:t>
      </w:r>
      <w:r>
        <w:rPr>
          <w:rStyle w:val="975"/>
          <w:rFonts w:hint="eastAsia" w:ascii="宋体" w:hAnsi="宋体"/>
          <w:sz w:val="24"/>
          <w:highlight w:val="none"/>
        </w:rPr>
        <w:t>25</w:t>
      </w:r>
      <w:r>
        <w:rPr>
          <w:rStyle w:val="975"/>
          <w:rFonts w:ascii="宋体" w:hAnsi="宋体"/>
          <w:sz w:val="24"/>
          <w:highlight w:val="none"/>
        </w:rPr>
        <w:t>%=</w:t>
      </w:r>
      <w:r>
        <w:rPr>
          <w:rStyle w:val="975"/>
          <w:rFonts w:hint="eastAsia" w:ascii="宋体" w:hAnsi="宋体"/>
          <w:sz w:val="24"/>
          <w:highlight w:val="none"/>
        </w:rPr>
        <w:t>94500</w:t>
      </w:r>
      <w:r>
        <w:rPr>
          <w:rStyle w:val="975"/>
          <w:rFonts w:ascii="宋体" w:hAnsi="宋体"/>
          <w:sz w:val="24"/>
          <w:highlight w:val="none"/>
        </w:rPr>
        <w:t>元</w:t>
      </w:r>
    </w:p>
    <w:p>
      <w:pPr>
        <w:snapToGrid w:val="0"/>
        <w:spacing w:line="360" w:lineRule="auto"/>
        <w:ind w:firstLine="600" w:firstLineChars="250"/>
        <w:jc w:val="left"/>
        <w:rPr>
          <w:rFonts w:ascii="宋体" w:hAnsi="宋体"/>
          <w:bCs/>
          <w:sz w:val="24"/>
          <w:highlight w:val="none"/>
          <w:lang w:val="zh-CN"/>
        </w:rPr>
      </w:pPr>
      <w:r>
        <w:rPr>
          <w:rFonts w:hint="eastAsia" w:ascii="宋体" w:hAnsi="宋体"/>
          <w:sz w:val="24"/>
          <w:highlight w:val="none"/>
        </w:rPr>
        <w:t>3、本项目以服务招标收费标准的68%收取中标服务费</w:t>
      </w:r>
      <w:r>
        <w:rPr>
          <w:rFonts w:hint="eastAsia" w:ascii="宋体" w:hAnsi="宋体"/>
          <w:bCs/>
          <w:sz w:val="24"/>
          <w:highlight w:val="none"/>
          <w:lang w:val="zh-CN"/>
        </w:rPr>
        <w:t>。</w:t>
      </w:r>
    </w:p>
    <w:p>
      <w:pPr>
        <w:tabs>
          <w:tab w:val="left" w:pos="1862"/>
        </w:tabs>
        <w:snapToGrid w:val="0"/>
        <w:spacing w:line="360" w:lineRule="auto"/>
        <w:ind w:firstLine="1080" w:firstLineChars="450"/>
        <w:jc w:val="left"/>
        <w:rPr>
          <w:rFonts w:ascii="宋体" w:hAnsi="宋体"/>
          <w:sz w:val="24"/>
          <w:highlight w:val="none"/>
        </w:rPr>
      </w:pPr>
      <w:r>
        <w:rPr>
          <w:rFonts w:hint="eastAsia" w:ascii="宋体" w:hAnsi="宋体"/>
          <w:sz w:val="24"/>
          <w:highlight w:val="none"/>
        </w:rPr>
        <w:t>计收费 = 94500元×68%=64260元</w:t>
      </w:r>
    </w:p>
    <w:p>
      <w:pPr>
        <w:snapToGrid w:val="0"/>
        <w:spacing w:line="360" w:lineRule="auto"/>
        <w:ind w:firstLine="600" w:firstLineChars="250"/>
        <w:jc w:val="left"/>
        <w:rPr>
          <w:rFonts w:ascii="宋体" w:hAnsi="宋体"/>
          <w:sz w:val="24"/>
          <w:highlight w:val="none"/>
        </w:rPr>
      </w:pPr>
      <w:r>
        <w:rPr>
          <w:rFonts w:hint="eastAsia" w:ascii="宋体" w:hAnsi="宋体"/>
          <w:sz w:val="24"/>
          <w:highlight w:val="none"/>
        </w:rPr>
        <w:t>4、服务费的货币为人民币。</w:t>
      </w:r>
    </w:p>
    <w:p>
      <w:pPr>
        <w:snapToGrid w:val="0"/>
        <w:spacing w:line="360" w:lineRule="auto"/>
        <w:ind w:firstLine="600" w:firstLineChars="250"/>
        <w:jc w:val="left"/>
        <w:rPr>
          <w:rFonts w:ascii="宋体" w:hAnsi="宋体"/>
          <w:sz w:val="24"/>
          <w:highlight w:val="none"/>
        </w:rPr>
      </w:pPr>
      <w:r>
        <w:rPr>
          <w:rFonts w:hint="eastAsia" w:ascii="宋体" w:hAnsi="宋体"/>
          <w:sz w:val="24"/>
          <w:highlight w:val="none"/>
        </w:rPr>
        <w:t>5、服务费支付方式：一次性以银行划账、电汇、汇票或支票的形式支付。</w:t>
      </w:r>
    </w:p>
    <w:p>
      <w:pPr>
        <w:snapToGrid w:val="0"/>
        <w:spacing w:line="360" w:lineRule="auto"/>
        <w:ind w:firstLine="600" w:firstLineChars="250"/>
        <w:jc w:val="left"/>
        <w:rPr>
          <w:rFonts w:ascii="宋体" w:hAnsi="宋体"/>
          <w:sz w:val="24"/>
          <w:highlight w:val="none"/>
        </w:rPr>
      </w:pPr>
      <w:r>
        <w:rPr>
          <w:rFonts w:hint="eastAsia" w:ascii="宋体" w:hAnsi="宋体"/>
          <w:sz w:val="24"/>
          <w:highlight w:val="none"/>
        </w:rPr>
        <w:t>6、服务费以银行划账方式按下列要求提交：</w:t>
      </w:r>
    </w:p>
    <w:p>
      <w:pPr>
        <w:widowControl/>
        <w:snapToGrid w:val="0"/>
        <w:spacing w:line="360" w:lineRule="auto"/>
        <w:ind w:firstLine="1080" w:firstLineChars="450"/>
        <w:jc w:val="left"/>
        <w:rPr>
          <w:rFonts w:ascii="宋体" w:hAnsi="宋体"/>
          <w:sz w:val="24"/>
          <w:highlight w:val="none"/>
        </w:rPr>
      </w:pPr>
      <w:r>
        <w:rPr>
          <w:rFonts w:hint="eastAsia" w:ascii="宋体" w:hAnsi="宋体"/>
          <w:sz w:val="24"/>
          <w:highlight w:val="none"/>
        </w:rPr>
        <w:t>嘉兴市银建工程咨询评估有限公司嘉善魏塘分公司</w:t>
      </w:r>
    </w:p>
    <w:p>
      <w:pPr>
        <w:widowControl/>
        <w:snapToGrid w:val="0"/>
        <w:spacing w:line="360" w:lineRule="auto"/>
        <w:ind w:firstLine="1080" w:firstLineChars="450"/>
        <w:jc w:val="left"/>
        <w:rPr>
          <w:rFonts w:ascii="宋体" w:hAnsi="宋体"/>
          <w:sz w:val="24"/>
          <w:highlight w:val="none"/>
        </w:rPr>
      </w:pPr>
      <w:r>
        <w:rPr>
          <w:rFonts w:hint="eastAsia" w:ascii="宋体" w:hAnsi="宋体"/>
          <w:sz w:val="24"/>
          <w:highlight w:val="none"/>
        </w:rPr>
        <w:t>开户行：嘉兴银行股份有限公司长三角一体化示范区(浙江嘉善)支行</w:t>
      </w:r>
    </w:p>
    <w:p>
      <w:pPr>
        <w:tabs>
          <w:tab w:val="left" w:pos="0"/>
        </w:tabs>
        <w:spacing w:line="360" w:lineRule="auto"/>
        <w:ind w:firstLine="1024" w:firstLineChars="427"/>
        <w:rPr>
          <w:rFonts w:ascii="仿宋_GB2312" w:hAnsi="仿宋" w:eastAsia="仿宋_GB2312" w:cs="Helvetica"/>
          <w:kern w:val="0"/>
          <w:sz w:val="24"/>
          <w:highlight w:val="none"/>
        </w:rPr>
        <w:sectPr>
          <w:pgSz w:w="11906" w:h="16838"/>
          <w:pgMar w:top="680" w:right="1418" w:bottom="468" w:left="1418" w:header="851" w:footer="992" w:gutter="0"/>
          <w:cols w:space="720" w:num="1"/>
          <w:titlePg/>
          <w:docGrid w:linePitch="312" w:charSpace="0"/>
        </w:sectPr>
      </w:pPr>
      <w:r>
        <w:rPr>
          <w:rFonts w:hint="eastAsia" w:ascii="宋体" w:hAnsi="宋体"/>
          <w:sz w:val="24"/>
          <w:highlight w:val="none"/>
        </w:rPr>
        <w:t>账号：905101201900074615</w:t>
      </w:r>
    </w:p>
    <w:bookmarkEnd w:id="34"/>
    <w:bookmarkEnd w:id="35"/>
    <w:p>
      <w:pPr>
        <w:snapToGrid w:val="0"/>
        <w:spacing w:line="360" w:lineRule="auto"/>
        <w:jc w:val="center"/>
        <w:rPr>
          <w:rFonts w:ascii="仿宋" w:hAnsi="仿宋" w:eastAsia="仿宋" w:cs="仿宋_GB2312"/>
          <w:b/>
          <w:sz w:val="36"/>
          <w:szCs w:val="36"/>
          <w:highlight w:val="none"/>
        </w:rPr>
      </w:pPr>
      <w:bookmarkStart w:id="52" w:name="第四部分"/>
      <w:r>
        <w:rPr>
          <w:rFonts w:hint="eastAsia" w:ascii="仿宋" w:hAnsi="仿宋" w:eastAsia="仿宋" w:cs="仿宋_GB2312"/>
          <w:b/>
          <w:sz w:val="36"/>
          <w:szCs w:val="36"/>
          <w:highlight w:val="none"/>
        </w:rPr>
        <w:t>第四章 评标办法及评分标准</w:t>
      </w:r>
    </w:p>
    <w:bookmarkEnd w:id="52"/>
    <w:p>
      <w:pPr>
        <w:spacing w:line="480" w:lineRule="exact"/>
        <w:ind w:firstLine="420"/>
        <w:rPr>
          <w:rFonts w:ascii="宋体" w:hAnsi="宋体" w:cs="宋体"/>
          <w:sz w:val="24"/>
          <w:highlight w:val="none"/>
        </w:rPr>
      </w:pPr>
      <w:bookmarkStart w:id="53" w:name="_Toc406403000"/>
      <w:r>
        <w:rPr>
          <w:rFonts w:hint="eastAsia" w:ascii="宋体" w:hAnsi="宋体" w:cs="宋体"/>
          <w:sz w:val="24"/>
          <w:highlight w:val="none"/>
        </w:rPr>
        <w:t>为公正、公平、科学地选择中标人，根据《中华人民共和国政府采购法》等有关法律法规的规定，并结合本项目的实际，制定本办法。</w:t>
      </w:r>
    </w:p>
    <w:p>
      <w:pPr>
        <w:pStyle w:val="56"/>
        <w:spacing w:line="480" w:lineRule="exact"/>
        <w:rPr>
          <w:rFonts w:ascii="宋体" w:hAnsi="宋体" w:cs="宋体"/>
          <w:sz w:val="24"/>
          <w:highlight w:val="none"/>
        </w:rPr>
      </w:pPr>
      <w:r>
        <w:rPr>
          <w:rFonts w:hint="eastAsia" w:ascii="宋体" w:hAnsi="宋体" w:cs="宋体"/>
          <w:sz w:val="24"/>
          <w:highlight w:val="none"/>
        </w:rPr>
        <w:t>本办法适用于浙江省嘉善县第一人民医院新一代信息系统建设项目（二期）的评标。</w:t>
      </w:r>
    </w:p>
    <w:p>
      <w:pPr>
        <w:spacing w:line="480" w:lineRule="exact"/>
        <w:rPr>
          <w:rFonts w:ascii="宋体" w:hAnsi="宋体" w:cs="宋体"/>
          <w:b/>
          <w:sz w:val="24"/>
          <w:highlight w:val="none"/>
        </w:rPr>
      </w:pPr>
      <w:r>
        <w:rPr>
          <w:rFonts w:hint="eastAsia" w:ascii="宋体" w:hAnsi="宋体" w:cs="宋体"/>
          <w:b/>
          <w:sz w:val="24"/>
          <w:highlight w:val="none"/>
        </w:rPr>
        <w:t>一 、总则</w:t>
      </w:r>
    </w:p>
    <w:p>
      <w:pPr>
        <w:snapToGrid w:val="0"/>
        <w:spacing w:line="480" w:lineRule="exact"/>
        <w:ind w:firstLine="480" w:firstLineChars="200"/>
        <w:rPr>
          <w:rFonts w:ascii="宋体" w:hAnsi="宋体"/>
          <w:sz w:val="24"/>
          <w:highlight w:val="none"/>
        </w:rPr>
      </w:pPr>
      <w:r>
        <w:rPr>
          <w:rFonts w:hint="eastAsia" w:ascii="宋体" w:hAnsi="宋体"/>
          <w:sz w:val="24"/>
          <w:highlight w:val="none"/>
        </w:rPr>
        <w:t>本次评标采用综合评分法，总分为100分，其中价格分10分、商务技术90分（其中：商务资信分22分，技术分68分）。中标候选资格按评标综合得分由高到低顺序排列，得分相同的，按投标报价由低到高顺序排列；得分且投标报价相同的，按技术分得分总分由高到低顺序排列，仍不能分出前后的，以电子投标文件解密先后顺序确定。综合得分排名第一的供应商为第一成交候选供应商，综合得分排名第二的供应商为第二成交候选供应商，其他供应商的成交候选资格依此类推，评分过程中采用四舍五入法评分过程中采用四舍五入法，并保留小数 2 位。中标人拒绝与采购人签订合同的，采购人可以按照评审报告推荐的中标候选人名单顺序，确定下一候选人为中标人，也可以重新开展政府采购活动。</w:t>
      </w:r>
    </w:p>
    <w:p>
      <w:pPr>
        <w:snapToGrid w:val="0"/>
        <w:spacing w:line="480" w:lineRule="exact"/>
        <w:ind w:firstLine="480" w:firstLineChars="200"/>
        <w:rPr>
          <w:rFonts w:ascii="宋体" w:hAnsi="宋体"/>
          <w:sz w:val="24"/>
          <w:highlight w:val="none"/>
        </w:rPr>
      </w:pPr>
      <w:r>
        <w:rPr>
          <w:rFonts w:hint="eastAsia" w:ascii="宋体" w:hAnsi="宋体"/>
          <w:sz w:val="24"/>
          <w:highlight w:val="none"/>
        </w:rPr>
        <w:t>投标人评标综合得分=价格分+商务技术分</w:t>
      </w:r>
    </w:p>
    <w:p>
      <w:pPr>
        <w:spacing w:line="480" w:lineRule="exact"/>
        <w:rPr>
          <w:rFonts w:ascii="宋体" w:hAnsi="宋体"/>
          <w:b/>
          <w:sz w:val="24"/>
          <w:highlight w:val="none"/>
        </w:rPr>
      </w:pPr>
      <w:r>
        <w:rPr>
          <w:rFonts w:hint="eastAsia" w:ascii="宋体" w:hAnsi="宋体"/>
          <w:b/>
          <w:sz w:val="24"/>
          <w:highlight w:val="none"/>
        </w:rPr>
        <w:t>二</w:t>
      </w:r>
      <w:r>
        <w:rPr>
          <w:rFonts w:ascii="宋体" w:hAnsi="宋体"/>
          <w:b/>
          <w:sz w:val="24"/>
          <w:highlight w:val="none"/>
        </w:rPr>
        <w:t xml:space="preserve"> </w:t>
      </w:r>
      <w:r>
        <w:rPr>
          <w:rFonts w:hint="eastAsia" w:ascii="宋体" w:hAnsi="宋体"/>
          <w:b/>
          <w:sz w:val="24"/>
          <w:highlight w:val="none"/>
        </w:rPr>
        <w:t>、评标内容及标准</w:t>
      </w:r>
    </w:p>
    <w:p>
      <w:pPr>
        <w:pStyle w:val="26"/>
        <w:ind w:firstLine="482"/>
        <w:rPr>
          <w:b/>
          <w:bCs/>
          <w:highlight w:val="none"/>
        </w:rPr>
      </w:pPr>
      <w:r>
        <w:rPr>
          <w:b/>
          <w:highlight w:val="none"/>
        </w:rPr>
        <w:t>（一）</w:t>
      </w:r>
      <w:r>
        <w:rPr>
          <w:b/>
          <w:bCs/>
          <w:highlight w:val="none"/>
        </w:rPr>
        <w:t>价格分（</w:t>
      </w:r>
      <w:r>
        <w:rPr>
          <w:rFonts w:hint="eastAsia"/>
          <w:b/>
          <w:bCs/>
          <w:highlight w:val="none"/>
        </w:rPr>
        <w:t>10分）</w:t>
      </w:r>
    </w:p>
    <w:p>
      <w:pPr>
        <w:pStyle w:val="26"/>
        <w:rPr>
          <w:highlight w:val="none"/>
        </w:rPr>
      </w:pPr>
      <w:r>
        <w:rPr>
          <w:rFonts w:hint="eastAsia"/>
          <w:highlight w:val="none"/>
        </w:rPr>
        <w:t>1.价格分采用低价优先法计算，即满足招标文件要求且投标价格最低的投标报价为评标基准价，其他投标人的价格分按照下列公式计算：</w:t>
      </w:r>
    </w:p>
    <w:p>
      <w:pPr>
        <w:spacing w:line="480" w:lineRule="exact"/>
        <w:ind w:firstLine="480" w:firstLineChars="200"/>
        <w:rPr>
          <w:rFonts w:hAnsi="宋体"/>
          <w:bCs/>
          <w:sz w:val="24"/>
          <w:highlight w:val="none"/>
        </w:rPr>
      </w:pPr>
      <w:r>
        <w:rPr>
          <w:rFonts w:hint="eastAsia" w:ascii="宋体" w:hAnsi="宋体"/>
          <w:sz w:val="24"/>
          <w:highlight w:val="none"/>
        </w:rPr>
        <w:t>价格分=（评标基准价/投标报价）×10%×100</w:t>
      </w:r>
    </w:p>
    <w:p>
      <w:pPr>
        <w:spacing w:line="480" w:lineRule="exact"/>
        <w:ind w:firstLine="480" w:firstLineChars="200"/>
        <w:rPr>
          <w:rFonts w:hAnsi="宋体"/>
          <w:bCs/>
          <w:sz w:val="24"/>
          <w:highlight w:val="none"/>
        </w:rPr>
      </w:pPr>
      <w:r>
        <w:rPr>
          <w:rFonts w:hint="eastAsia" w:ascii="宋体" w:hAnsi="宋体"/>
          <w:sz w:val="24"/>
          <w:highlight w:val="none"/>
        </w:rPr>
        <w:t>2.根据财库〔2022〕19号、财库〔2020〕46号的相关规定，本项目评审时对小微企业报价给予10%的扣除，用扣除后的价格参加评审（此扣除后的价格仅作为价格分计算）。投标文件中须出具《政府采购促进中小企业发展管理办法》【财库（2020）46号】规定的《中小企业声明函》（格式见第六章），否则不得享受价格扣除</w:t>
      </w:r>
    </w:p>
    <w:p>
      <w:pPr>
        <w:spacing w:line="480" w:lineRule="exact"/>
        <w:ind w:firstLine="480" w:firstLineChars="200"/>
        <w:rPr>
          <w:rFonts w:hAnsi="宋体"/>
          <w:bCs/>
          <w:sz w:val="24"/>
          <w:highlight w:val="none"/>
        </w:rPr>
      </w:pPr>
      <w:r>
        <w:rPr>
          <w:rFonts w:hint="eastAsia" w:hAnsi="宋体"/>
          <w:bCs/>
          <w:sz w:val="24"/>
          <w:highlight w:val="none"/>
        </w:rPr>
        <w:t>3.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6"/>
        <w:spacing w:before="120" w:beforeLines="50" w:after="120" w:afterLines="50" w:line="360" w:lineRule="auto"/>
        <w:ind w:firstLine="482"/>
        <w:rPr>
          <w:rFonts w:cs="宋体"/>
          <w:b/>
          <w:highlight w:val="none"/>
        </w:rPr>
      </w:pPr>
      <w:r>
        <w:rPr>
          <w:rFonts w:hint="eastAsia" w:cs="宋体"/>
          <w:b/>
          <w:highlight w:val="none"/>
        </w:rPr>
        <w:t>（二）商务资信分（22分）</w:t>
      </w:r>
    </w:p>
    <w:tbl>
      <w:tblPr>
        <w:tblStyle w:val="64"/>
        <w:tblW w:w="8487" w:type="dxa"/>
        <w:jc w:val="center"/>
        <w:tblLayout w:type="fixed"/>
        <w:tblCellMar>
          <w:top w:w="0" w:type="dxa"/>
          <w:left w:w="108" w:type="dxa"/>
          <w:bottom w:w="0" w:type="dxa"/>
          <w:right w:w="108" w:type="dxa"/>
        </w:tblCellMar>
      </w:tblPr>
      <w:tblGrid>
        <w:gridCol w:w="516"/>
        <w:gridCol w:w="982"/>
        <w:gridCol w:w="6068"/>
        <w:gridCol w:w="921"/>
      </w:tblGrid>
      <w:tr>
        <w:tblPrEx>
          <w:tblCellMar>
            <w:top w:w="0" w:type="dxa"/>
            <w:left w:w="108" w:type="dxa"/>
            <w:bottom w:w="0" w:type="dxa"/>
            <w:right w:w="108" w:type="dxa"/>
          </w:tblCellMar>
        </w:tblPrEx>
        <w:trPr>
          <w:trHeight w:val="1217" w:hRule="exact"/>
          <w:jc w:val="center"/>
        </w:trPr>
        <w:tc>
          <w:tcPr>
            <w:tcW w:w="516" w:type="dxa"/>
            <w:vMerge w:val="restart"/>
            <w:tcBorders>
              <w:top w:val="single" w:color="auto" w:sz="4" w:space="0"/>
              <w:left w:val="single" w:color="auto" w:sz="4" w:space="0"/>
              <w:bottom w:val="single" w:color="auto" w:sz="4" w:space="0"/>
              <w:right w:val="single" w:color="auto" w:sz="4" w:space="0"/>
            </w:tcBorders>
            <w:vAlign w:val="center"/>
          </w:tcPr>
          <w:p>
            <w:pPr>
              <w:pStyle w:val="86"/>
              <w:widowControl/>
              <w:tabs>
                <w:tab w:val="left" w:pos="0"/>
                <w:tab w:val="clear" w:pos="8268"/>
              </w:tabs>
              <w:spacing w:line="400" w:lineRule="atLeast"/>
              <w:ind w:firstLine="0" w:firstLineChars="0"/>
              <w:rPr>
                <w:rFonts w:ascii="宋体" w:hAnsi="宋体" w:eastAsia="宋体" w:cs="宋体"/>
                <w:kern w:val="0"/>
                <w:sz w:val="22"/>
                <w:szCs w:val="22"/>
                <w:highlight w:val="none"/>
              </w:rPr>
            </w:pPr>
            <w:r>
              <w:rPr>
                <w:rFonts w:hint="eastAsia" w:ascii="宋体" w:hAnsi="宋体" w:eastAsia="宋体" w:cs="宋体"/>
                <w:kern w:val="0"/>
                <w:sz w:val="22"/>
                <w:szCs w:val="22"/>
                <w:highlight w:val="none"/>
              </w:rPr>
              <w:t>商资信分22分</w:t>
            </w:r>
          </w:p>
          <w:p>
            <w:pPr>
              <w:pStyle w:val="86"/>
              <w:tabs>
                <w:tab w:val="left" w:pos="0"/>
                <w:tab w:val="clear" w:pos="8268"/>
              </w:tabs>
              <w:spacing w:line="302" w:lineRule="auto"/>
              <w:ind w:firstLine="440"/>
              <w:jc w:val="center"/>
              <w:rPr>
                <w:rFonts w:ascii="宋体" w:hAnsi="宋体" w:eastAsia="宋体" w:cs="宋体"/>
                <w:kern w:val="0"/>
                <w:sz w:val="22"/>
                <w:szCs w:val="22"/>
                <w:highlight w:val="none"/>
              </w:rPr>
            </w:pPr>
          </w:p>
          <w:p>
            <w:pPr>
              <w:pStyle w:val="86"/>
              <w:tabs>
                <w:tab w:val="left" w:pos="0"/>
                <w:tab w:val="clear" w:pos="8268"/>
              </w:tabs>
              <w:spacing w:line="302" w:lineRule="auto"/>
              <w:ind w:firstLine="440"/>
              <w:jc w:val="center"/>
              <w:rPr>
                <w:rFonts w:ascii="宋体" w:hAnsi="宋体" w:eastAsia="宋体" w:cs="宋体"/>
                <w:sz w:val="22"/>
                <w:szCs w:val="22"/>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 w:val="22"/>
                <w:szCs w:val="22"/>
                <w:highlight w:val="none"/>
              </w:rPr>
            </w:pPr>
            <w:r>
              <w:rPr>
                <w:rFonts w:hint="eastAsia" w:ascii="宋体" w:hAnsi="宋体" w:cs="宋体"/>
                <w:sz w:val="22"/>
                <w:szCs w:val="22"/>
                <w:highlight w:val="none"/>
              </w:rPr>
              <w:t>诚信分</w:t>
            </w:r>
          </w:p>
        </w:tc>
        <w:tc>
          <w:tcPr>
            <w:tcW w:w="60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kern w:val="0"/>
                <w:sz w:val="22"/>
                <w:szCs w:val="22"/>
                <w:highlight w:val="none"/>
              </w:rPr>
            </w:pPr>
            <w:r>
              <w:rPr>
                <w:rFonts w:hint="eastAsia" w:ascii="宋体" w:hAnsi="宋体" w:cs="宋体"/>
                <w:kern w:val="0"/>
                <w:sz w:val="22"/>
                <w:szCs w:val="22"/>
                <w:highlight w:val="none"/>
              </w:rPr>
              <w:t>凡在投标截止时间前三年受到行政处罚、行政处理（含通报）或记入不良行为的，此项得分为0，若无处罚、行政处理（含通报）或记入不良行为的得3分（供应商自行提供，如有不良记录又虚假隐瞒的，一经发现将取消投标资格）</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2"/>
                <w:szCs w:val="22"/>
                <w:highlight w:val="none"/>
              </w:rPr>
            </w:pPr>
            <w:r>
              <w:rPr>
                <w:rFonts w:hint="eastAsia" w:ascii="宋体" w:hAnsi="宋体" w:cs="宋体"/>
                <w:sz w:val="22"/>
                <w:szCs w:val="22"/>
                <w:highlight w:val="none"/>
              </w:rPr>
              <w:t>3分</w:t>
            </w:r>
          </w:p>
        </w:tc>
      </w:tr>
      <w:tr>
        <w:tblPrEx>
          <w:tblCellMar>
            <w:top w:w="0" w:type="dxa"/>
            <w:left w:w="108" w:type="dxa"/>
            <w:bottom w:w="0" w:type="dxa"/>
            <w:right w:w="108" w:type="dxa"/>
          </w:tblCellMar>
        </w:tblPrEx>
        <w:trPr>
          <w:trHeight w:val="1480" w:hRule="exact"/>
          <w:jc w:val="center"/>
        </w:trPr>
        <w:tc>
          <w:tcPr>
            <w:tcW w:w="516" w:type="dxa"/>
            <w:vMerge w:val="continue"/>
            <w:tcBorders>
              <w:left w:val="single" w:color="auto" w:sz="4" w:space="0"/>
              <w:right w:val="single" w:color="auto" w:sz="4" w:space="0"/>
            </w:tcBorders>
            <w:vAlign w:val="center"/>
          </w:tcPr>
          <w:p>
            <w:pPr>
              <w:pStyle w:val="86"/>
              <w:tabs>
                <w:tab w:val="left" w:pos="0"/>
                <w:tab w:val="clear" w:pos="8268"/>
              </w:tabs>
              <w:spacing w:line="302" w:lineRule="auto"/>
              <w:ind w:firstLine="440"/>
              <w:jc w:val="center"/>
              <w:rPr>
                <w:rFonts w:ascii="宋体" w:hAnsi="宋体" w:eastAsia="宋体" w:cs="宋体"/>
                <w:sz w:val="22"/>
                <w:szCs w:val="22"/>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szCs w:val="22"/>
                <w:highlight w:val="none"/>
              </w:rPr>
            </w:pPr>
            <w:r>
              <w:rPr>
                <w:rFonts w:hint="eastAsia" w:ascii="宋体" w:hAnsi="宋体" w:cs="宋体"/>
                <w:bCs/>
                <w:kern w:val="0"/>
                <w:sz w:val="22"/>
                <w:szCs w:val="22"/>
                <w:highlight w:val="none"/>
                <w:lang w:bidi="ar"/>
              </w:rPr>
              <w:t>同类业绩</w:t>
            </w:r>
          </w:p>
        </w:tc>
        <w:tc>
          <w:tcPr>
            <w:tcW w:w="60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2"/>
                <w:szCs w:val="22"/>
                <w:highlight w:val="none"/>
              </w:rPr>
            </w:pPr>
            <w:r>
              <w:rPr>
                <w:rFonts w:hint="eastAsia" w:ascii="宋体" w:hAnsi="宋体" w:cs="宋体"/>
                <w:kern w:val="0"/>
                <w:sz w:val="22"/>
                <w:szCs w:val="22"/>
                <w:highlight w:val="none"/>
                <w:lang w:bidi="ar"/>
              </w:rPr>
              <w:t>投标人近三年（自投标截止日起往前追溯3年，以合同为准）以来具有同类项目业绩的，每提供一份得0.5分，最高得1分；（提供中标通知书或合同复印件并加盖单位公章，否则不得分。）</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2"/>
                <w:szCs w:val="22"/>
                <w:highlight w:val="none"/>
              </w:rPr>
            </w:pPr>
            <w:r>
              <w:rPr>
                <w:rFonts w:hint="eastAsia" w:ascii="宋体" w:hAnsi="宋体" w:cs="宋体"/>
                <w:sz w:val="22"/>
                <w:szCs w:val="22"/>
                <w:highlight w:val="none"/>
              </w:rPr>
              <w:t>1分</w:t>
            </w:r>
          </w:p>
        </w:tc>
      </w:tr>
      <w:tr>
        <w:tblPrEx>
          <w:tblCellMar>
            <w:top w:w="0" w:type="dxa"/>
            <w:left w:w="108" w:type="dxa"/>
            <w:bottom w:w="0" w:type="dxa"/>
            <w:right w:w="108" w:type="dxa"/>
          </w:tblCellMar>
        </w:tblPrEx>
        <w:trPr>
          <w:trHeight w:val="2310"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6"/>
              <w:widowControl/>
              <w:tabs>
                <w:tab w:val="left" w:pos="0"/>
                <w:tab w:val="clear" w:pos="8268"/>
              </w:tabs>
              <w:spacing w:line="400" w:lineRule="atLeast"/>
              <w:ind w:firstLine="440"/>
              <w:rPr>
                <w:rFonts w:ascii="宋体" w:hAnsi="宋体" w:eastAsia="宋体" w:cs="宋体"/>
                <w:sz w:val="22"/>
                <w:szCs w:val="22"/>
                <w:highlight w:val="none"/>
              </w:rPr>
            </w:pPr>
          </w:p>
        </w:tc>
        <w:tc>
          <w:tcPr>
            <w:tcW w:w="982"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投标企业实力</w:t>
            </w:r>
          </w:p>
        </w:tc>
        <w:tc>
          <w:tcPr>
            <w:tcW w:w="60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2"/>
                <w:szCs w:val="22"/>
                <w:highlight w:val="none"/>
                <w:lang w:bidi="ar"/>
              </w:rPr>
            </w:pPr>
            <w:r>
              <w:rPr>
                <w:rFonts w:ascii="宋体" w:hAnsi="宋体" w:cs="宋体"/>
                <w:kern w:val="0"/>
                <w:sz w:val="22"/>
                <w:szCs w:val="22"/>
                <w:highlight w:val="none"/>
                <w:lang w:bidi="ar"/>
              </w:rPr>
              <w:t>投标人拥有</w:t>
            </w:r>
            <w:r>
              <w:rPr>
                <w:rFonts w:hint="eastAsia" w:ascii="宋体" w:hAnsi="宋体" w:cs="宋体"/>
                <w:kern w:val="0"/>
                <w:sz w:val="22"/>
                <w:szCs w:val="22"/>
                <w:highlight w:val="none"/>
                <w:lang w:bidi="ar"/>
              </w:rPr>
              <w:t>临床一体化信息系统、医院信息集成平台、临床数据中心、数据转换与清洗平台、ETL工具系统、静脉输液配置中心管理系统、一体化病历质量控制系统、可视化调度系统</w:t>
            </w:r>
            <w:r>
              <w:rPr>
                <w:rFonts w:ascii="宋体" w:hAnsi="宋体" w:cs="宋体"/>
                <w:kern w:val="0"/>
                <w:sz w:val="22"/>
                <w:szCs w:val="22"/>
                <w:highlight w:val="none"/>
                <w:lang w:bidi="ar"/>
              </w:rPr>
              <w:t>等软件著作权，每提供1个证书得0.5分，最高得4分</w:t>
            </w:r>
            <w:r>
              <w:rPr>
                <w:rFonts w:hint="eastAsia" w:ascii="宋体" w:hAnsi="宋体" w:cs="宋体"/>
                <w:kern w:val="0"/>
                <w:sz w:val="22"/>
                <w:szCs w:val="22"/>
                <w:highlight w:val="none"/>
                <w:lang w:bidi="ar"/>
              </w:rPr>
              <w:t>。（提供证书复印件并加盖公章，否则不得分。）以上所有计算机软件著作权必须由投标人独自拥有，不得与其他法人共有且必须在本招标文件发布之前取得，否则不得分。</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4分</w:t>
            </w:r>
          </w:p>
        </w:tc>
      </w:tr>
      <w:tr>
        <w:tblPrEx>
          <w:tblCellMar>
            <w:top w:w="0" w:type="dxa"/>
            <w:left w:w="108" w:type="dxa"/>
            <w:bottom w:w="0" w:type="dxa"/>
            <w:right w:w="108" w:type="dxa"/>
          </w:tblCellMar>
        </w:tblPrEx>
        <w:trPr>
          <w:trHeight w:val="1912"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6"/>
              <w:widowControl/>
              <w:tabs>
                <w:tab w:val="left" w:pos="0"/>
                <w:tab w:val="clear" w:pos="8268"/>
              </w:tabs>
              <w:spacing w:line="400" w:lineRule="atLeast"/>
              <w:ind w:firstLine="440"/>
              <w:rPr>
                <w:rFonts w:ascii="宋体" w:hAnsi="宋体" w:eastAsia="宋体" w:cs="宋体"/>
                <w:sz w:val="22"/>
                <w:szCs w:val="22"/>
                <w:highlight w:val="none"/>
              </w:rPr>
            </w:pPr>
          </w:p>
        </w:tc>
        <w:tc>
          <w:tcPr>
            <w:tcW w:w="982" w:type="dxa"/>
            <w:vMerge w:val="continue"/>
            <w:tcBorders>
              <w:left w:val="single" w:color="auto" w:sz="4" w:space="0"/>
              <w:right w:val="single" w:color="auto" w:sz="4" w:space="0"/>
            </w:tcBorders>
            <w:vAlign w:val="center"/>
          </w:tcPr>
          <w:p>
            <w:pPr>
              <w:jc w:val="center"/>
              <w:rPr>
                <w:rFonts w:ascii="宋体" w:hAnsi="宋体" w:cs="宋体"/>
                <w:kern w:val="0"/>
                <w:sz w:val="22"/>
                <w:szCs w:val="22"/>
                <w:highlight w:val="none"/>
                <w:lang w:bidi="ar"/>
              </w:rPr>
            </w:pPr>
          </w:p>
        </w:tc>
        <w:tc>
          <w:tcPr>
            <w:tcW w:w="60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投标人的医院信息管理系统通过第三方测试认证，测试内容包括预约工作流程、患者信息一致性、简单图像和数字化报告、实验学检查流程、检索心电图显示、可显示报告、静息心电工作流程、获取显示信息，全部提供得4分，每少1项扣0.5分，扣完为止。（提供第三方测试证书或报告复印件并加盖公章，否则不得分。</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4分</w:t>
            </w:r>
          </w:p>
        </w:tc>
      </w:tr>
      <w:tr>
        <w:tblPrEx>
          <w:tblCellMar>
            <w:top w:w="0" w:type="dxa"/>
            <w:left w:w="108" w:type="dxa"/>
            <w:bottom w:w="0" w:type="dxa"/>
            <w:right w:w="108" w:type="dxa"/>
          </w:tblCellMar>
        </w:tblPrEx>
        <w:trPr>
          <w:trHeight w:val="1429"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6"/>
              <w:widowControl/>
              <w:tabs>
                <w:tab w:val="left" w:pos="0"/>
                <w:tab w:val="clear" w:pos="8268"/>
              </w:tabs>
              <w:spacing w:line="400" w:lineRule="atLeast"/>
              <w:ind w:firstLine="440"/>
              <w:rPr>
                <w:rFonts w:ascii="宋体" w:hAnsi="宋体" w:eastAsia="宋体" w:cs="宋体"/>
                <w:sz w:val="22"/>
                <w:szCs w:val="22"/>
                <w:highlight w:val="none"/>
              </w:rPr>
            </w:pPr>
          </w:p>
        </w:tc>
        <w:tc>
          <w:tcPr>
            <w:tcW w:w="982" w:type="dxa"/>
            <w:vMerge w:val="continue"/>
            <w:tcBorders>
              <w:left w:val="single" w:color="auto" w:sz="4" w:space="0"/>
              <w:right w:val="single" w:color="auto" w:sz="4" w:space="0"/>
            </w:tcBorders>
            <w:vAlign w:val="center"/>
          </w:tcPr>
          <w:p>
            <w:pPr>
              <w:jc w:val="center"/>
              <w:rPr>
                <w:rFonts w:ascii="宋体" w:hAnsi="宋体" w:cs="宋体"/>
                <w:kern w:val="0"/>
                <w:sz w:val="22"/>
                <w:szCs w:val="22"/>
                <w:highlight w:val="none"/>
                <w:lang w:bidi="ar"/>
              </w:rPr>
            </w:pPr>
          </w:p>
        </w:tc>
        <w:tc>
          <w:tcPr>
            <w:tcW w:w="60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2"/>
                <w:szCs w:val="22"/>
                <w:highlight w:val="none"/>
                <w:lang w:bidi="ar"/>
              </w:rPr>
            </w:pPr>
            <w:r>
              <w:rPr>
                <w:rStyle w:val="975"/>
                <w:rFonts w:ascii="宋体" w:hAnsi="宋体"/>
                <w:sz w:val="22"/>
                <w:szCs w:val="22"/>
                <w:highlight w:val="none"/>
              </w:rPr>
              <w:t>为保障医院信息化的可持续性发展，投标人应专注于医疗行业信息化建设，能够带动行业技术发展，促进全省信息技术进步，信息产业厅或相关部门认定为医疗卫生信息化技术研究发展中心得2分，否则不得分。（须提供证书复印件</w:t>
            </w:r>
            <w:r>
              <w:rPr>
                <w:rStyle w:val="975"/>
                <w:rFonts w:hint="eastAsia" w:ascii="宋体" w:hAnsi="宋体"/>
                <w:sz w:val="22"/>
                <w:szCs w:val="22"/>
                <w:highlight w:val="none"/>
              </w:rPr>
              <w:t>并</w:t>
            </w:r>
            <w:r>
              <w:rPr>
                <w:rStyle w:val="975"/>
                <w:rFonts w:ascii="宋体" w:hAnsi="宋体"/>
                <w:sz w:val="22"/>
                <w:szCs w:val="22"/>
                <w:highlight w:val="none"/>
              </w:rPr>
              <w:t>加盖公章</w:t>
            </w:r>
            <w:r>
              <w:rPr>
                <w:rFonts w:hint="eastAsia" w:ascii="宋体" w:hAnsi="宋体"/>
                <w:sz w:val="22"/>
                <w:szCs w:val="22"/>
                <w:highlight w:val="none"/>
                <w:shd w:val="clear" w:color="auto" w:fill="FFFFFF"/>
              </w:rPr>
              <w:t>，否则不得分）</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2分</w:t>
            </w:r>
          </w:p>
        </w:tc>
      </w:tr>
      <w:tr>
        <w:tblPrEx>
          <w:tblCellMar>
            <w:top w:w="0" w:type="dxa"/>
            <w:left w:w="108" w:type="dxa"/>
            <w:bottom w:w="0" w:type="dxa"/>
            <w:right w:w="108" w:type="dxa"/>
          </w:tblCellMar>
        </w:tblPrEx>
        <w:trPr>
          <w:trHeight w:val="18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6"/>
              <w:widowControl/>
              <w:tabs>
                <w:tab w:val="left" w:pos="0"/>
                <w:tab w:val="clear" w:pos="8268"/>
              </w:tabs>
              <w:spacing w:line="400" w:lineRule="atLeast"/>
              <w:ind w:firstLine="440"/>
              <w:rPr>
                <w:rFonts w:ascii="宋体" w:hAnsi="宋体" w:eastAsia="宋体" w:cs="宋体"/>
                <w:sz w:val="22"/>
                <w:szCs w:val="22"/>
                <w:highlight w:val="none"/>
              </w:rPr>
            </w:pPr>
          </w:p>
        </w:tc>
        <w:tc>
          <w:tcPr>
            <w:tcW w:w="982" w:type="dxa"/>
            <w:vMerge w:val="continue"/>
            <w:tcBorders>
              <w:left w:val="single" w:color="auto" w:sz="4" w:space="0"/>
              <w:right w:val="single" w:color="auto" w:sz="4" w:space="0"/>
            </w:tcBorders>
            <w:vAlign w:val="center"/>
          </w:tcPr>
          <w:p>
            <w:pPr>
              <w:jc w:val="center"/>
              <w:rPr>
                <w:rFonts w:ascii="宋体" w:hAnsi="宋体" w:cs="宋体"/>
                <w:kern w:val="0"/>
                <w:sz w:val="22"/>
                <w:szCs w:val="22"/>
                <w:highlight w:val="none"/>
                <w:lang w:bidi="ar"/>
              </w:rPr>
            </w:pPr>
          </w:p>
        </w:tc>
        <w:tc>
          <w:tcPr>
            <w:tcW w:w="60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投标人产品符合FHIR标准：通过中国医疗卫生信息FHIR Connectathon场景测试，全部通过13个场景测试（电子病历生成和读取、电子病历共享交换、临床辅助诊疗、患者、就诊、检查申请、检查报告、院内检验报告、院外检验报告、预约、手术、用药医嘱、术语）得2分，部分通过或不通过的得0分。（须提供证书复印件并加盖公章，否则不得分）</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2分</w:t>
            </w:r>
          </w:p>
        </w:tc>
      </w:tr>
      <w:tr>
        <w:tblPrEx>
          <w:tblCellMar>
            <w:top w:w="0" w:type="dxa"/>
            <w:left w:w="108" w:type="dxa"/>
            <w:bottom w:w="0" w:type="dxa"/>
            <w:right w:w="108" w:type="dxa"/>
          </w:tblCellMar>
        </w:tblPrEx>
        <w:trPr>
          <w:trHeight w:val="1513"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6"/>
              <w:widowControl/>
              <w:tabs>
                <w:tab w:val="left" w:pos="0"/>
                <w:tab w:val="clear" w:pos="8268"/>
              </w:tabs>
              <w:spacing w:line="400" w:lineRule="atLeast"/>
              <w:ind w:firstLine="440"/>
              <w:rPr>
                <w:rFonts w:ascii="宋体" w:hAnsi="宋体" w:eastAsia="宋体" w:cs="宋体"/>
                <w:sz w:val="22"/>
                <w:szCs w:val="22"/>
                <w:highlight w:val="none"/>
              </w:rPr>
            </w:pPr>
          </w:p>
        </w:tc>
        <w:tc>
          <w:tcPr>
            <w:tcW w:w="982" w:type="dxa"/>
            <w:vMerge w:val="continue"/>
            <w:tcBorders>
              <w:left w:val="single" w:color="auto" w:sz="4" w:space="0"/>
              <w:right w:val="single" w:color="auto" w:sz="4" w:space="0"/>
            </w:tcBorders>
            <w:vAlign w:val="center"/>
          </w:tcPr>
          <w:p>
            <w:pPr>
              <w:jc w:val="center"/>
              <w:rPr>
                <w:rFonts w:ascii="宋体" w:hAnsi="宋体" w:cs="宋体"/>
                <w:kern w:val="0"/>
                <w:sz w:val="22"/>
                <w:szCs w:val="22"/>
                <w:highlight w:val="none"/>
                <w:lang w:bidi="ar"/>
              </w:rPr>
            </w:pPr>
          </w:p>
        </w:tc>
        <w:tc>
          <w:tcPr>
            <w:tcW w:w="6068" w:type="dxa"/>
            <w:tcBorders>
              <w:top w:val="single" w:color="auto" w:sz="4" w:space="0"/>
              <w:left w:val="single" w:color="auto" w:sz="4" w:space="0"/>
              <w:bottom w:val="single" w:color="auto" w:sz="4" w:space="0"/>
              <w:right w:val="single" w:color="auto" w:sz="4" w:space="0"/>
            </w:tcBorders>
            <w:vAlign w:val="center"/>
          </w:tcPr>
          <w:p>
            <w:pPr>
              <w:jc w:val="left"/>
              <w:rPr>
                <w:rStyle w:val="975"/>
                <w:rFonts w:ascii="宋体" w:hAnsi="宋体"/>
                <w:sz w:val="22"/>
                <w:szCs w:val="22"/>
                <w:highlight w:val="none"/>
              </w:rPr>
            </w:pPr>
            <w:r>
              <w:rPr>
                <w:rStyle w:val="975"/>
                <w:rFonts w:hint="eastAsia" w:ascii="宋体" w:hAnsi="宋体"/>
                <w:sz w:val="22"/>
                <w:szCs w:val="22"/>
                <w:highlight w:val="none"/>
              </w:rPr>
              <w:t>为响应国家卫健委近日发布《关于加快推进检查检验结果互认工作的通知》政策，有效缓解居民就医负担和推进分级诊疗实施，投标人通过国家医疗信息系统互操作性集成规范测试的得2分。（提供《临床检验结果共享互操作性规范》通过相关测试证明的复印件并加盖公章，否则不得分）</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2分</w:t>
            </w:r>
          </w:p>
        </w:tc>
      </w:tr>
      <w:tr>
        <w:tblPrEx>
          <w:tblCellMar>
            <w:top w:w="0" w:type="dxa"/>
            <w:left w:w="108" w:type="dxa"/>
            <w:bottom w:w="0" w:type="dxa"/>
            <w:right w:w="108" w:type="dxa"/>
          </w:tblCellMar>
        </w:tblPrEx>
        <w:trPr>
          <w:trHeight w:val="886"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6"/>
              <w:widowControl/>
              <w:tabs>
                <w:tab w:val="left" w:pos="0"/>
                <w:tab w:val="clear" w:pos="8268"/>
              </w:tabs>
              <w:spacing w:line="400" w:lineRule="atLeast"/>
              <w:ind w:firstLine="440"/>
              <w:rPr>
                <w:rFonts w:ascii="宋体" w:hAnsi="宋体" w:eastAsia="宋体" w:cs="宋体"/>
                <w:sz w:val="22"/>
                <w:szCs w:val="22"/>
                <w:highlight w:val="none"/>
              </w:rPr>
            </w:pPr>
          </w:p>
        </w:tc>
        <w:tc>
          <w:tcPr>
            <w:tcW w:w="982"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22"/>
                <w:szCs w:val="22"/>
                <w:highlight w:val="none"/>
                <w:lang w:bidi="ar"/>
              </w:rPr>
            </w:pPr>
          </w:p>
        </w:tc>
        <w:tc>
          <w:tcPr>
            <w:tcW w:w="6068" w:type="dxa"/>
            <w:tcBorders>
              <w:top w:val="single" w:color="auto" w:sz="4" w:space="0"/>
              <w:left w:val="single" w:color="auto" w:sz="4" w:space="0"/>
              <w:bottom w:val="single" w:color="auto" w:sz="4" w:space="0"/>
              <w:right w:val="single" w:color="auto" w:sz="4" w:space="0"/>
            </w:tcBorders>
            <w:vAlign w:val="center"/>
          </w:tcPr>
          <w:p>
            <w:pPr>
              <w:jc w:val="left"/>
              <w:rPr>
                <w:rStyle w:val="975"/>
                <w:rFonts w:ascii="宋体" w:hAnsi="宋体"/>
                <w:sz w:val="20"/>
                <w:szCs w:val="18"/>
                <w:highlight w:val="none"/>
              </w:rPr>
            </w:pPr>
            <w:r>
              <w:rPr>
                <w:rFonts w:hint="eastAsia" w:ascii="宋体" w:hAnsi="宋体" w:cs="宋体"/>
                <w:bCs/>
                <w:kern w:val="0"/>
                <w:sz w:val="22"/>
                <w:szCs w:val="22"/>
                <w:highlight w:val="none"/>
                <w:lang w:bidi="ar"/>
              </w:rPr>
              <w:t>投标人具有有效期内的ITSS信息技术服务运行维护标准证书的得2分（提供相关证书复印件加盖公章，且要求清晰可辨，否则不得分）</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2分</w:t>
            </w:r>
          </w:p>
        </w:tc>
      </w:tr>
      <w:tr>
        <w:tblPrEx>
          <w:tblCellMar>
            <w:top w:w="0" w:type="dxa"/>
            <w:left w:w="108" w:type="dxa"/>
            <w:bottom w:w="0" w:type="dxa"/>
            <w:right w:w="108" w:type="dxa"/>
          </w:tblCellMar>
        </w:tblPrEx>
        <w:trPr>
          <w:trHeight w:val="1149"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6"/>
              <w:widowControl/>
              <w:tabs>
                <w:tab w:val="left" w:pos="0"/>
                <w:tab w:val="clear" w:pos="8268"/>
              </w:tabs>
              <w:spacing w:line="400" w:lineRule="atLeast"/>
              <w:ind w:firstLine="440"/>
              <w:rPr>
                <w:rFonts w:ascii="宋体" w:hAnsi="宋体" w:eastAsia="宋体" w:cs="宋体"/>
                <w:sz w:val="22"/>
                <w:szCs w:val="22"/>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宋体" w:hAnsi="宋体" w:cs="宋体"/>
                <w:bCs/>
                <w:kern w:val="0"/>
                <w:sz w:val="22"/>
                <w:szCs w:val="22"/>
                <w:highlight w:val="none"/>
                <w:lang w:bidi="ar"/>
              </w:rPr>
            </w:pPr>
            <w:r>
              <w:rPr>
                <w:rStyle w:val="975"/>
                <w:rFonts w:hint="eastAsia" w:ascii="宋体" w:hAnsi="宋体" w:cs="宋体"/>
                <w:kern w:val="0"/>
                <w:sz w:val="22"/>
                <w:szCs w:val="22"/>
                <w:highlight w:val="none"/>
              </w:rPr>
              <w:t>合理化建议</w:t>
            </w:r>
          </w:p>
        </w:tc>
        <w:tc>
          <w:tcPr>
            <w:tcW w:w="606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textAlignment w:val="baseline"/>
              <w:rPr>
                <w:rFonts w:ascii="宋体" w:hAnsi="宋体" w:cs="宋体"/>
                <w:b/>
                <w:color w:val="FF0000"/>
                <w:kern w:val="0"/>
                <w:sz w:val="22"/>
                <w:szCs w:val="22"/>
                <w:highlight w:val="none"/>
                <w:lang w:bidi="ar"/>
              </w:rPr>
            </w:pPr>
            <w:r>
              <w:rPr>
                <w:rStyle w:val="975"/>
                <w:rFonts w:hint="eastAsia" w:ascii="宋体" w:hAnsi="宋体" w:cs="宋体"/>
                <w:kern w:val="0"/>
                <w:sz w:val="22"/>
                <w:szCs w:val="22"/>
                <w:highlight w:val="none"/>
              </w:rPr>
              <w:t>根据投标人对本项目实际情况的了解及结合对本项目的理解，针对本项目提供合理化建议和措施，得到专家认可且有实际意义的，每项1分，最多2分（应与本项目相关）</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2"/>
                <w:szCs w:val="22"/>
                <w:highlight w:val="none"/>
              </w:rPr>
            </w:pPr>
            <w:r>
              <w:rPr>
                <w:rFonts w:hint="eastAsia" w:ascii="宋体" w:hAnsi="宋体" w:cs="宋体"/>
                <w:sz w:val="22"/>
                <w:szCs w:val="22"/>
                <w:highlight w:val="none"/>
              </w:rPr>
              <w:t>2分</w:t>
            </w:r>
          </w:p>
        </w:tc>
      </w:tr>
    </w:tbl>
    <w:p>
      <w:pPr>
        <w:snapToGrid w:val="0"/>
        <w:spacing w:before="72" w:beforeLines="30" w:line="400" w:lineRule="exact"/>
        <w:jc w:val="left"/>
        <w:outlineLvl w:val="1"/>
        <w:rPr>
          <w:rFonts w:ascii="宋体" w:hAnsi="宋体" w:cs="宋体"/>
          <w:b/>
          <w:sz w:val="24"/>
          <w:highlight w:val="none"/>
        </w:rPr>
      </w:pPr>
      <w:r>
        <w:rPr>
          <w:rFonts w:hint="eastAsia" w:ascii="宋体" w:hAnsi="宋体"/>
          <w:b/>
          <w:sz w:val="24"/>
          <w:highlight w:val="none"/>
        </w:rPr>
        <w:t>（</w:t>
      </w:r>
      <w:r>
        <w:rPr>
          <w:rFonts w:ascii="宋体" w:hAnsi="宋体"/>
          <w:b/>
          <w:sz w:val="24"/>
          <w:highlight w:val="none"/>
        </w:rPr>
        <w:t>三</w:t>
      </w:r>
      <w:r>
        <w:rPr>
          <w:rFonts w:hint="eastAsia" w:ascii="宋体" w:hAnsi="宋体"/>
          <w:b/>
          <w:sz w:val="24"/>
          <w:highlight w:val="none"/>
        </w:rPr>
        <w:t>）技术分</w:t>
      </w:r>
      <w:r>
        <w:rPr>
          <w:rFonts w:hint="eastAsia" w:ascii="宋体" w:hAnsi="宋体" w:cs="宋体"/>
          <w:b/>
          <w:sz w:val="24"/>
          <w:highlight w:val="none"/>
        </w:rPr>
        <w:t>（68分）</w:t>
      </w:r>
    </w:p>
    <w:tbl>
      <w:tblPr>
        <w:tblStyle w:val="64"/>
        <w:tblpPr w:leftFromText="180" w:rightFromText="180" w:vertAnchor="text" w:horzAnchor="page" w:tblpX="1769" w:tblpY="410"/>
        <w:tblOverlap w:val="never"/>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035"/>
        <w:gridCol w:w="6069"/>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517" w:type="dxa"/>
            <w:vMerge w:val="restart"/>
            <w:tcBorders>
              <w:tl2br w:val="nil"/>
              <w:tr2bl w:val="nil"/>
            </w:tcBorders>
            <w:vAlign w:val="center"/>
          </w:tcPr>
          <w:p>
            <w:pPr>
              <w:pStyle w:val="86"/>
              <w:widowControl/>
              <w:tabs>
                <w:tab w:val="left" w:pos="0"/>
                <w:tab w:val="clear" w:pos="8268"/>
              </w:tabs>
              <w:spacing w:line="400" w:lineRule="atLeast"/>
              <w:ind w:firstLine="0" w:firstLineChars="0"/>
              <w:rPr>
                <w:rStyle w:val="975"/>
                <w:rFonts w:ascii="宋体" w:hAnsi="宋体" w:eastAsia="宋体" w:cs="宋体"/>
                <w:sz w:val="22"/>
                <w:szCs w:val="22"/>
                <w:highlight w:val="none"/>
              </w:rPr>
            </w:pPr>
            <w:r>
              <w:rPr>
                <w:rStyle w:val="975"/>
                <w:rFonts w:hint="eastAsia" w:ascii="宋体" w:hAnsi="宋体" w:eastAsia="宋体" w:cs="宋体"/>
                <w:sz w:val="22"/>
                <w:szCs w:val="22"/>
                <w:highlight w:val="none"/>
              </w:rPr>
              <w:t>技术分68分</w:t>
            </w:r>
          </w:p>
          <w:p>
            <w:pPr>
              <w:pStyle w:val="86"/>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sz w:val="22"/>
                <w:szCs w:val="22"/>
                <w:highlight w:val="none"/>
              </w:rPr>
              <w:t>技术指标偏离情况</w:t>
            </w:r>
          </w:p>
        </w:tc>
        <w:tc>
          <w:tcPr>
            <w:tcW w:w="6069" w:type="dxa"/>
            <w:tcBorders>
              <w:tl2br w:val="nil"/>
              <w:tr2bl w:val="nil"/>
            </w:tcBorders>
            <w:vAlign w:val="center"/>
          </w:tcPr>
          <w:p>
            <w:pPr>
              <w:widowControl/>
              <w:jc w:val="left"/>
              <w:rPr>
                <w:rFonts w:ascii="宋体" w:hAnsi="宋体" w:cs="宋体"/>
                <w:sz w:val="22"/>
                <w:szCs w:val="22"/>
                <w:highlight w:val="none"/>
              </w:rPr>
            </w:pPr>
            <w:r>
              <w:rPr>
                <w:rFonts w:hint="eastAsia" w:ascii="宋体" w:hAnsi="宋体" w:cs="宋体"/>
                <w:sz w:val="22"/>
                <w:szCs w:val="22"/>
                <w:highlight w:val="none"/>
              </w:rPr>
              <w:t>完全满足招标文件需求得20分；技术指标不满足招标文件要求的（负偏离）每项扣一分，扣完为止。</w:t>
            </w:r>
          </w:p>
        </w:tc>
        <w:tc>
          <w:tcPr>
            <w:tcW w:w="924"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sz w:val="22"/>
                <w:szCs w:val="22"/>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517" w:type="dxa"/>
            <w:vMerge w:val="continue"/>
            <w:tcBorders>
              <w:tl2br w:val="nil"/>
              <w:tr2bl w:val="nil"/>
            </w:tcBorders>
            <w:vAlign w:val="center"/>
          </w:tcPr>
          <w:p>
            <w:pPr>
              <w:pStyle w:val="86"/>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vMerge w:val="restart"/>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sz w:val="22"/>
                <w:szCs w:val="22"/>
                <w:highlight w:val="none"/>
              </w:rPr>
              <w:t>项目技术方案</w:t>
            </w:r>
          </w:p>
        </w:tc>
        <w:tc>
          <w:tcPr>
            <w:tcW w:w="6069" w:type="dxa"/>
            <w:tcBorders>
              <w:tl2br w:val="nil"/>
              <w:tr2bl w:val="nil"/>
            </w:tcBorders>
            <w:vAlign w:val="center"/>
          </w:tcPr>
          <w:p>
            <w:pPr>
              <w:widowControl/>
              <w:jc w:val="left"/>
              <w:rPr>
                <w:rFonts w:ascii="宋体" w:hAnsi="宋体" w:cs="宋体"/>
                <w:sz w:val="22"/>
                <w:szCs w:val="22"/>
                <w:highlight w:val="none"/>
              </w:rPr>
            </w:pPr>
            <w:r>
              <w:rPr>
                <w:rFonts w:hint="eastAsia" w:ascii="宋体" w:hAnsi="宋体" w:cs="宋体"/>
                <w:sz w:val="22"/>
                <w:szCs w:val="22"/>
                <w:highlight w:val="none"/>
              </w:rPr>
              <w:t>根据投标人提供的项目的建设背景、用户现状、建设目标、业务流程、用户需求的理解、软件总体设计架构及完整详细的技术方案等进行综合打分（</w:t>
            </w:r>
            <w:r>
              <w:rPr>
                <w:rFonts w:ascii="宋体" w:hAnsi="宋体" w:cs="宋体"/>
                <w:sz w:val="22"/>
                <w:szCs w:val="22"/>
                <w:highlight w:val="none"/>
              </w:rPr>
              <w:t>1</w:t>
            </w:r>
            <w:r>
              <w:rPr>
                <w:rFonts w:hint="eastAsia" w:ascii="宋体" w:hAnsi="宋体" w:cs="宋体"/>
                <w:sz w:val="22"/>
                <w:szCs w:val="22"/>
                <w:highlight w:val="none"/>
              </w:rPr>
              <w:t>-5分）</w:t>
            </w:r>
          </w:p>
        </w:tc>
        <w:tc>
          <w:tcPr>
            <w:tcW w:w="924"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sz w:val="22"/>
                <w:szCs w:val="22"/>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517" w:type="dxa"/>
            <w:vMerge w:val="continue"/>
            <w:tcBorders>
              <w:tl2br w:val="nil"/>
              <w:tr2bl w:val="nil"/>
            </w:tcBorders>
            <w:vAlign w:val="center"/>
          </w:tcPr>
          <w:p>
            <w:pPr>
              <w:pStyle w:val="86"/>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vMerge w:val="continue"/>
            <w:tcBorders>
              <w:tl2br w:val="nil"/>
              <w:tr2bl w:val="nil"/>
            </w:tcBorders>
            <w:vAlign w:val="center"/>
          </w:tcPr>
          <w:p>
            <w:pPr>
              <w:widowControl/>
              <w:jc w:val="center"/>
              <w:rPr>
                <w:rFonts w:ascii="宋体" w:hAnsi="宋体" w:cs="宋体"/>
                <w:sz w:val="22"/>
                <w:szCs w:val="22"/>
                <w:highlight w:val="none"/>
              </w:rPr>
            </w:pPr>
          </w:p>
        </w:tc>
        <w:tc>
          <w:tcPr>
            <w:tcW w:w="6069" w:type="dxa"/>
            <w:tcBorders>
              <w:tl2br w:val="nil"/>
              <w:tr2bl w:val="nil"/>
            </w:tcBorders>
            <w:vAlign w:val="center"/>
          </w:tcPr>
          <w:p>
            <w:pPr>
              <w:widowControl/>
              <w:jc w:val="left"/>
              <w:rPr>
                <w:rFonts w:ascii="宋体" w:hAnsi="宋体" w:cs="宋体"/>
                <w:sz w:val="22"/>
                <w:szCs w:val="22"/>
                <w:highlight w:val="none"/>
              </w:rPr>
            </w:pPr>
            <w:r>
              <w:rPr>
                <w:rFonts w:hint="eastAsia" w:ascii="宋体" w:hAnsi="宋体" w:cs="宋体"/>
                <w:sz w:val="22"/>
                <w:szCs w:val="22"/>
                <w:highlight w:val="none"/>
              </w:rPr>
              <w:t>投标人提供项目的数据迁移方案，方案内容包括但不限于保障项目平稳上线，保证新老系统无缝切换、业务数据保持一致性、字典基础数据统一、多院区融合，保证系统数据共享无缝衔接；同时使各项业务工作有序、平稳过渡，根据业务情况进行工作部署，项目过程中支持横向扩展、高可用、灰度发布、服务升降级，系统可视化监控、可容错、故障实时转移、在线扩容等，根据方案内容的完整性，可行性、科学性和安全性进行综合打分（</w:t>
            </w:r>
            <w:r>
              <w:rPr>
                <w:rFonts w:ascii="宋体" w:hAnsi="宋体" w:cs="宋体"/>
                <w:sz w:val="22"/>
                <w:szCs w:val="22"/>
                <w:highlight w:val="none"/>
              </w:rPr>
              <w:t>1</w:t>
            </w:r>
            <w:r>
              <w:rPr>
                <w:rFonts w:hint="eastAsia" w:ascii="宋体" w:hAnsi="宋体" w:cs="宋体"/>
                <w:sz w:val="22"/>
                <w:szCs w:val="22"/>
                <w:highlight w:val="none"/>
              </w:rPr>
              <w:t>-7分）</w:t>
            </w:r>
          </w:p>
        </w:tc>
        <w:tc>
          <w:tcPr>
            <w:tcW w:w="924"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sz w:val="22"/>
                <w:szCs w:val="22"/>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517" w:type="dxa"/>
            <w:vMerge w:val="continue"/>
            <w:tcBorders>
              <w:tl2br w:val="nil"/>
              <w:tr2bl w:val="nil"/>
            </w:tcBorders>
            <w:vAlign w:val="center"/>
          </w:tcPr>
          <w:p>
            <w:pPr>
              <w:pStyle w:val="86"/>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snapToGrid w:val="0"/>
              <w:jc w:val="center"/>
              <w:rPr>
                <w:rFonts w:ascii="宋体" w:hAnsi="宋体" w:cs="宋体"/>
                <w:sz w:val="22"/>
                <w:szCs w:val="22"/>
                <w:highlight w:val="none"/>
              </w:rPr>
            </w:pPr>
            <w:r>
              <w:rPr>
                <w:rFonts w:hint="eastAsia" w:ascii="宋体" w:hAnsi="宋体" w:cs="宋体"/>
                <w:sz w:val="22"/>
                <w:szCs w:val="22"/>
                <w:highlight w:val="none"/>
              </w:rPr>
              <w:t>项目实施方案</w:t>
            </w:r>
          </w:p>
        </w:tc>
        <w:tc>
          <w:tcPr>
            <w:tcW w:w="6069" w:type="dxa"/>
            <w:tcBorders>
              <w:tl2br w:val="nil"/>
              <w:tr2bl w:val="nil"/>
            </w:tcBorders>
            <w:vAlign w:val="center"/>
          </w:tcPr>
          <w:p>
            <w:pPr>
              <w:spacing w:line="360" w:lineRule="exact"/>
              <w:textAlignment w:val="baseline"/>
              <w:rPr>
                <w:rFonts w:ascii="宋体" w:hAnsi="宋体" w:cs="宋体"/>
                <w:sz w:val="22"/>
                <w:szCs w:val="22"/>
                <w:highlight w:val="none"/>
              </w:rPr>
            </w:pPr>
            <w:r>
              <w:rPr>
                <w:rFonts w:hint="eastAsia" w:ascii="宋体" w:hAnsi="宋体" w:cs="宋体"/>
                <w:sz w:val="22"/>
                <w:szCs w:val="22"/>
                <w:highlight w:val="none"/>
              </w:rPr>
              <w:t>根据投标人项目实施方案的深度，以及组织实施方案的科学性、合理性、规范性和可操作性，包括软件开发、安装调试、系统集成、试运行、测试、调优等内容进行综合打分（</w:t>
            </w:r>
            <w:r>
              <w:rPr>
                <w:rFonts w:ascii="宋体" w:hAnsi="宋体" w:cs="宋体"/>
                <w:sz w:val="22"/>
                <w:szCs w:val="22"/>
                <w:highlight w:val="none"/>
              </w:rPr>
              <w:t>1</w:t>
            </w:r>
            <w:r>
              <w:rPr>
                <w:rFonts w:hint="eastAsia" w:ascii="宋体" w:hAnsi="宋体" w:cs="宋体"/>
                <w:sz w:val="22"/>
                <w:szCs w:val="22"/>
                <w:highlight w:val="none"/>
              </w:rPr>
              <w:t>-7分）</w:t>
            </w:r>
          </w:p>
        </w:tc>
        <w:tc>
          <w:tcPr>
            <w:tcW w:w="924" w:type="dxa"/>
            <w:tcBorders>
              <w:tl2br w:val="nil"/>
              <w:tr2bl w:val="nil"/>
            </w:tcBorders>
            <w:vAlign w:val="center"/>
          </w:tcPr>
          <w:p>
            <w:pPr>
              <w:spacing w:line="36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517" w:type="dxa"/>
            <w:vMerge w:val="continue"/>
            <w:tcBorders>
              <w:tl2br w:val="nil"/>
              <w:tr2bl w:val="nil"/>
            </w:tcBorders>
            <w:vAlign w:val="center"/>
          </w:tcPr>
          <w:p>
            <w:pPr>
              <w:pStyle w:val="86"/>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snapToGrid w:val="0"/>
              <w:jc w:val="center"/>
              <w:rPr>
                <w:rFonts w:ascii="宋体" w:hAnsi="宋体" w:cs="宋体"/>
                <w:sz w:val="22"/>
                <w:szCs w:val="22"/>
                <w:highlight w:val="none"/>
              </w:rPr>
            </w:pPr>
            <w:r>
              <w:rPr>
                <w:rFonts w:hint="eastAsia" w:ascii="宋体" w:hAnsi="宋体" w:cs="宋体"/>
                <w:sz w:val="22"/>
                <w:szCs w:val="22"/>
                <w:highlight w:val="none"/>
              </w:rPr>
              <w:t>运维服务</w:t>
            </w:r>
          </w:p>
        </w:tc>
        <w:tc>
          <w:tcPr>
            <w:tcW w:w="6069" w:type="dxa"/>
            <w:tcBorders>
              <w:tl2br w:val="nil"/>
              <w:tr2bl w:val="nil"/>
            </w:tcBorders>
            <w:vAlign w:val="center"/>
          </w:tcPr>
          <w:p>
            <w:pPr>
              <w:spacing w:line="360" w:lineRule="exact"/>
              <w:textAlignment w:val="baseline"/>
              <w:rPr>
                <w:rFonts w:ascii="宋体" w:hAnsi="宋体" w:cs="宋体"/>
                <w:sz w:val="22"/>
                <w:szCs w:val="22"/>
                <w:highlight w:val="none"/>
              </w:rPr>
            </w:pPr>
            <w:r>
              <w:rPr>
                <w:rFonts w:hint="eastAsia" w:ascii="宋体" w:hAnsi="宋体" w:cs="宋体"/>
                <w:sz w:val="22"/>
                <w:szCs w:val="22"/>
                <w:highlight w:val="none"/>
              </w:rPr>
              <w:t>投标人提供为医院的信息化建设项目做专项运维服务，提供运维服务方案和人员安排，根据运维方案内容的完善性、科学性，人员数量、分工的合理性进行综合打分（</w:t>
            </w:r>
            <w:r>
              <w:rPr>
                <w:rFonts w:ascii="宋体" w:hAnsi="宋体" w:cs="宋体"/>
                <w:sz w:val="22"/>
                <w:szCs w:val="22"/>
                <w:highlight w:val="none"/>
              </w:rPr>
              <w:t>1</w:t>
            </w:r>
            <w:r>
              <w:rPr>
                <w:rFonts w:hint="eastAsia" w:ascii="宋体" w:hAnsi="宋体" w:cs="宋体"/>
                <w:sz w:val="22"/>
                <w:szCs w:val="22"/>
                <w:highlight w:val="none"/>
              </w:rPr>
              <w:t>-6分）</w:t>
            </w:r>
          </w:p>
        </w:tc>
        <w:tc>
          <w:tcPr>
            <w:tcW w:w="924" w:type="dxa"/>
            <w:tcBorders>
              <w:tl2br w:val="nil"/>
              <w:tr2bl w:val="nil"/>
            </w:tcBorders>
            <w:vAlign w:val="center"/>
          </w:tcPr>
          <w:p>
            <w:pPr>
              <w:spacing w:line="36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517" w:type="dxa"/>
            <w:vMerge w:val="continue"/>
            <w:tcBorders>
              <w:tl2br w:val="nil"/>
              <w:tr2bl w:val="nil"/>
            </w:tcBorders>
            <w:vAlign w:val="center"/>
          </w:tcPr>
          <w:p>
            <w:pPr>
              <w:pStyle w:val="86"/>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vMerge w:val="restart"/>
            <w:tcBorders>
              <w:tl2br w:val="nil"/>
              <w:tr2bl w:val="nil"/>
            </w:tcBorders>
            <w:vAlign w:val="center"/>
          </w:tcPr>
          <w:p>
            <w:pPr>
              <w:snapToGrid w:val="0"/>
              <w:jc w:val="center"/>
              <w:rPr>
                <w:rFonts w:ascii="宋体" w:hAnsi="宋体" w:cs="宋体"/>
                <w:sz w:val="22"/>
                <w:szCs w:val="22"/>
                <w:highlight w:val="none"/>
              </w:rPr>
            </w:pPr>
            <w:r>
              <w:rPr>
                <w:rStyle w:val="975"/>
                <w:rFonts w:ascii="宋体" w:hAnsi="宋体"/>
                <w:sz w:val="22"/>
                <w:szCs w:val="21"/>
                <w:highlight w:val="none"/>
              </w:rPr>
              <w:t>项目成员配备</w:t>
            </w:r>
          </w:p>
        </w:tc>
        <w:tc>
          <w:tcPr>
            <w:tcW w:w="6069" w:type="dxa"/>
            <w:tcBorders>
              <w:tl2br w:val="nil"/>
              <w:tr2bl w:val="nil"/>
            </w:tcBorders>
            <w:vAlign w:val="center"/>
          </w:tcPr>
          <w:p>
            <w:pPr>
              <w:spacing w:line="360" w:lineRule="exact"/>
              <w:textAlignment w:val="baseline"/>
              <w:rPr>
                <w:rFonts w:ascii="宋体" w:hAnsi="宋体" w:cs="宋体"/>
                <w:sz w:val="22"/>
                <w:szCs w:val="22"/>
                <w:highlight w:val="none"/>
              </w:rPr>
            </w:pPr>
            <w:r>
              <w:rPr>
                <w:rFonts w:hint="eastAsia" w:ascii="宋体" w:hAnsi="宋体" w:cs="宋体"/>
                <w:sz w:val="22"/>
                <w:szCs w:val="22"/>
                <w:highlight w:val="none"/>
              </w:rPr>
              <w:t>项目组成员具有PMP认证证书，得2分；具有智能化系统工程师（高级）证书，得2分，每项证书不重复计分，最高得4分（提供证书复印件并加盖公章、提供在投标单位近3个月的社保缴纳证明，否则不得分）</w:t>
            </w:r>
          </w:p>
        </w:tc>
        <w:tc>
          <w:tcPr>
            <w:tcW w:w="924" w:type="dxa"/>
            <w:tcBorders>
              <w:tl2br w:val="nil"/>
              <w:tr2bl w:val="nil"/>
            </w:tcBorders>
            <w:vAlign w:val="center"/>
          </w:tcPr>
          <w:p>
            <w:pPr>
              <w:spacing w:line="36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517" w:type="dxa"/>
            <w:vMerge w:val="continue"/>
            <w:tcBorders>
              <w:tl2br w:val="nil"/>
              <w:tr2bl w:val="nil"/>
            </w:tcBorders>
            <w:vAlign w:val="center"/>
          </w:tcPr>
          <w:p>
            <w:pPr>
              <w:pStyle w:val="86"/>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vMerge w:val="continue"/>
            <w:tcBorders>
              <w:tl2br w:val="nil"/>
              <w:tr2bl w:val="nil"/>
            </w:tcBorders>
            <w:vAlign w:val="center"/>
          </w:tcPr>
          <w:p>
            <w:pPr>
              <w:snapToGrid w:val="0"/>
              <w:jc w:val="center"/>
              <w:rPr>
                <w:rStyle w:val="975"/>
                <w:rFonts w:ascii="宋体" w:hAnsi="宋体"/>
                <w:sz w:val="20"/>
                <w:szCs w:val="18"/>
                <w:highlight w:val="none"/>
              </w:rPr>
            </w:pPr>
          </w:p>
        </w:tc>
        <w:tc>
          <w:tcPr>
            <w:tcW w:w="6069" w:type="dxa"/>
            <w:tcBorders>
              <w:tl2br w:val="nil"/>
              <w:tr2bl w:val="nil"/>
            </w:tcBorders>
            <w:vAlign w:val="center"/>
          </w:tcPr>
          <w:p>
            <w:pPr>
              <w:widowControl/>
              <w:jc w:val="left"/>
              <w:rPr>
                <w:rFonts w:ascii="宋体" w:hAnsi="宋体" w:cs="宋体"/>
                <w:sz w:val="22"/>
                <w:szCs w:val="22"/>
                <w:highlight w:val="none"/>
              </w:rPr>
            </w:pPr>
            <w:r>
              <w:rPr>
                <w:rFonts w:hint="eastAsia" w:ascii="宋体" w:hAnsi="宋体" w:cs="宋体"/>
                <w:sz w:val="22"/>
                <w:szCs w:val="22"/>
                <w:highlight w:val="none"/>
              </w:rPr>
              <w:t>投入本项目人员5名（含）以上得3分，3-4名得2分，2名（含）以下得1分。（提供以上人员在本单位近半年内任意一个月的缴纳社保证明复印件并盖章，否则不得分）</w:t>
            </w:r>
          </w:p>
        </w:tc>
        <w:tc>
          <w:tcPr>
            <w:tcW w:w="924"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sz w:val="22"/>
                <w:szCs w:val="22"/>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517" w:type="dxa"/>
            <w:vMerge w:val="continue"/>
            <w:tcBorders>
              <w:tl2br w:val="nil"/>
              <w:tr2bl w:val="nil"/>
            </w:tcBorders>
            <w:vAlign w:val="center"/>
          </w:tcPr>
          <w:p>
            <w:pPr>
              <w:pStyle w:val="86"/>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kern w:val="0"/>
                <w:sz w:val="22"/>
                <w:szCs w:val="22"/>
                <w:highlight w:val="none"/>
              </w:rPr>
              <w:t>应急预案</w:t>
            </w:r>
          </w:p>
        </w:tc>
        <w:tc>
          <w:tcPr>
            <w:tcW w:w="6069" w:type="dxa"/>
            <w:tcBorders>
              <w:tl2br w:val="nil"/>
              <w:tr2bl w:val="nil"/>
            </w:tcBorders>
            <w:vAlign w:val="center"/>
          </w:tcPr>
          <w:p>
            <w:pPr>
              <w:widowControl/>
              <w:jc w:val="left"/>
              <w:rPr>
                <w:rFonts w:ascii="宋体" w:hAnsi="宋体" w:cs="宋体"/>
                <w:sz w:val="22"/>
                <w:szCs w:val="22"/>
                <w:highlight w:val="none"/>
              </w:rPr>
            </w:pPr>
            <w:r>
              <w:rPr>
                <w:rFonts w:hint="eastAsia" w:ascii="宋体" w:hAnsi="宋体" w:cs="宋体"/>
                <w:kern w:val="0"/>
                <w:sz w:val="22"/>
                <w:szCs w:val="22"/>
                <w:highlight w:val="none"/>
              </w:rPr>
              <w:t>投标人是否建立运行服务保障应急预案，预案内容完善对系统实施可能遇到的问题及其应对措施的考虑情况，在质保、运维和维保服务期间巡检、故障处理的组织和联系机制的合理性、有效性等，其他应急处置预案，可操作性强。根据措施内容完整、合理、可行性强、科学有效性等方面进行打分（</w:t>
            </w:r>
            <w:r>
              <w:rPr>
                <w:rFonts w:ascii="宋体" w:hAnsi="宋体" w:cs="宋体"/>
                <w:kern w:val="0"/>
                <w:sz w:val="22"/>
                <w:szCs w:val="22"/>
                <w:highlight w:val="none"/>
              </w:rPr>
              <w:t>1</w:t>
            </w:r>
            <w:r>
              <w:rPr>
                <w:rFonts w:hint="eastAsia" w:ascii="宋体" w:hAnsi="宋体" w:cs="宋体"/>
                <w:kern w:val="0"/>
                <w:sz w:val="22"/>
                <w:szCs w:val="22"/>
                <w:highlight w:val="none"/>
              </w:rPr>
              <w:t>-5分）</w:t>
            </w:r>
          </w:p>
        </w:tc>
        <w:tc>
          <w:tcPr>
            <w:tcW w:w="924" w:type="dxa"/>
            <w:tcBorders>
              <w:tl2br w:val="nil"/>
              <w:tr2bl w:val="nil"/>
            </w:tcBorders>
            <w:vAlign w:val="center"/>
          </w:tcPr>
          <w:p>
            <w:pPr>
              <w:spacing w:line="36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517" w:type="dxa"/>
            <w:vMerge w:val="continue"/>
            <w:tcBorders>
              <w:tl2br w:val="nil"/>
              <w:tr2bl w:val="nil"/>
            </w:tcBorders>
            <w:vAlign w:val="center"/>
          </w:tcPr>
          <w:p>
            <w:pPr>
              <w:pStyle w:val="86"/>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培训方案</w:t>
            </w:r>
          </w:p>
        </w:tc>
        <w:tc>
          <w:tcPr>
            <w:tcW w:w="6069" w:type="dxa"/>
            <w:tcBorders>
              <w:tl2br w:val="nil"/>
              <w:tr2bl w:val="nil"/>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根据投标供应商的培训方案，针对本项目制定全面、详尽、科学的培训计划（包括系统计算机管理人员培训，重点培训为软件的安装、运维、调试、配置及使用技能；业务人员培训，重点对相应应用的操作、使用等实质性内容），培训计划、方案全面、切实可行等方面进行打分（</w:t>
            </w:r>
            <w:r>
              <w:rPr>
                <w:rFonts w:ascii="宋体" w:hAnsi="宋体" w:cs="宋体"/>
                <w:kern w:val="0"/>
                <w:sz w:val="22"/>
                <w:szCs w:val="22"/>
                <w:highlight w:val="none"/>
              </w:rPr>
              <w:t>1</w:t>
            </w:r>
            <w:r>
              <w:rPr>
                <w:rFonts w:hint="eastAsia" w:ascii="宋体" w:hAnsi="宋体" w:cs="宋体"/>
                <w:kern w:val="0"/>
                <w:sz w:val="22"/>
                <w:szCs w:val="22"/>
                <w:highlight w:val="none"/>
              </w:rPr>
              <w:t>-5分）</w:t>
            </w:r>
          </w:p>
        </w:tc>
        <w:tc>
          <w:tcPr>
            <w:tcW w:w="924" w:type="dxa"/>
            <w:tcBorders>
              <w:tl2br w:val="nil"/>
              <w:tr2bl w:val="nil"/>
            </w:tcBorders>
            <w:vAlign w:val="center"/>
          </w:tcPr>
          <w:p>
            <w:pPr>
              <w:spacing w:line="360" w:lineRule="exact"/>
              <w:jc w:val="center"/>
              <w:textAlignment w:val="baseline"/>
              <w:rPr>
                <w:rFonts w:ascii="宋体" w:hAnsi="宋体" w:cs="宋体"/>
                <w:sz w:val="22"/>
                <w:szCs w:val="22"/>
                <w:highlight w:val="none"/>
              </w:rPr>
            </w:pPr>
            <w:r>
              <w:rPr>
                <w:rFonts w:hint="eastAsia" w:ascii="宋体" w:hAnsi="宋体" w:cs="宋体"/>
                <w:sz w:val="22"/>
                <w:szCs w:val="22"/>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517" w:type="dxa"/>
            <w:vMerge w:val="continue"/>
            <w:tcBorders>
              <w:tl2br w:val="nil"/>
              <w:tr2bl w:val="nil"/>
            </w:tcBorders>
            <w:vAlign w:val="center"/>
          </w:tcPr>
          <w:p>
            <w:pPr>
              <w:pStyle w:val="86"/>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kern w:val="0"/>
                <w:sz w:val="22"/>
                <w:szCs w:val="22"/>
                <w:highlight w:val="none"/>
              </w:rPr>
              <w:t>售后服务方案</w:t>
            </w:r>
          </w:p>
        </w:tc>
        <w:tc>
          <w:tcPr>
            <w:tcW w:w="6069" w:type="dxa"/>
            <w:tcBorders>
              <w:tl2br w:val="nil"/>
              <w:tr2bl w:val="nil"/>
            </w:tcBorders>
            <w:vAlign w:val="center"/>
          </w:tcPr>
          <w:p>
            <w:pPr>
              <w:widowControl/>
              <w:jc w:val="left"/>
              <w:rPr>
                <w:rFonts w:ascii="宋体" w:hAnsi="宋体" w:cs="宋体"/>
                <w:sz w:val="22"/>
                <w:szCs w:val="22"/>
                <w:highlight w:val="none"/>
              </w:rPr>
            </w:pPr>
            <w:r>
              <w:rPr>
                <w:rFonts w:hint="eastAsia" w:ascii="宋体" w:hAnsi="宋体" w:cs="宋体"/>
                <w:kern w:val="0"/>
                <w:sz w:val="22"/>
                <w:szCs w:val="22"/>
                <w:highlight w:val="none"/>
              </w:rPr>
              <w:t>根据供应商针对本项目的售后服务方案的合理性、可行性，进行打分，包括售后服务响应时间、售后服务流程、维保期限及服务承诺、售后项目组成员职责分工等方面进行打分（</w:t>
            </w:r>
            <w:r>
              <w:rPr>
                <w:rFonts w:ascii="宋体" w:hAnsi="宋体" w:cs="宋体"/>
                <w:kern w:val="0"/>
                <w:sz w:val="22"/>
                <w:szCs w:val="22"/>
                <w:highlight w:val="none"/>
              </w:rPr>
              <w:t>1</w:t>
            </w:r>
            <w:r>
              <w:rPr>
                <w:rFonts w:hint="eastAsia" w:ascii="宋体" w:hAnsi="宋体" w:cs="宋体"/>
                <w:kern w:val="0"/>
                <w:sz w:val="22"/>
                <w:szCs w:val="22"/>
                <w:highlight w:val="none"/>
              </w:rPr>
              <w:t>-6分）</w:t>
            </w:r>
          </w:p>
        </w:tc>
        <w:tc>
          <w:tcPr>
            <w:tcW w:w="924"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sz w:val="22"/>
                <w:szCs w:val="22"/>
                <w:highlight w:val="none"/>
              </w:rPr>
              <w:t>6分</w:t>
            </w:r>
          </w:p>
        </w:tc>
      </w:tr>
    </w:tbl>
    <w:p>
      <w:pPr>
        <w:pStyle w:val="4"/>
        <w:spacing w:line="480" w:lineRule="exact"/>
        <w:ind w:left="0" w:firstLine="0"/>
        <w:rPr>
          <w:sz w:val="24"/>
          <w:szCs w:val="24"/>
          <w:highlight w:val="none"/>
        </w:rPr>
      </w:pPr>
      <w:r>
        <w:rPr>
          <w:rFonts w:hint="eastAsia"/>
          <w:sz w:val="24"/>
          <w:szCs w:val="24"/>
          <w:highlight w:val="none"/>
        </w:rPr>
        <w:t>注：以上项目若缺项，则该项得0分。</w:t>
      </w:r>
    </w:p>
    <w:p>
      <w:pPr>
        <w:spacing w:before="120" w:beforeLines="50" w:line="360" w:lineRule="auto"/>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rPr>
          <w:rFonts w:ascii="仿宋" w:hAnsi="仿宋" w:eastAsia="仿宋" w:cs="仿宋_GB2312"/>
          <w:b/>
          <w:sz w:val="36"/>
          <w:szCs w:val="36"/>
          <w:highlight w:val="none"/>
        </w:rPr>
      </w:pPr>
    </w:p>
    <w:p>
      <w:pPr>
        <w:pStyle w:val="5"/>
        <w:jc w:val="center"/>
        <w:rPr>
          <w:highlight w:val="none"/>
        </w:rPr>
      </w:pPr>
      <w:r>
        <w:rPr>
          <w:rFonts w:hint="eastAsia"/>
          <w:highlight w:val="none"/>
        </w:rPr>
        <w:t>第五章  嘉善县政府采购合同（指引）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8"/>
          <w:szCs w:val="28"/>
          <w:highlight w:val="none"/>
        </w:rPr>
      </w:pPr>
      <w:r>
        <w:rPr>
          <w:rFonts w:hint="eastAsia" w:ascii="宋体" w:hAnsi="宋体" w:cs="宋体"/>
          <w:kern w:val="0"/>
          <w:sz w:val="28"/>
          <w:szCs w:val="28"/>
          <w:highlight w:val="none"/>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政府采购计划（预算）确认书编号：</w:t>
      </w:r>
      <w:r>
        <w:rPr>
          <w:rFonts w:hint="eastAsia" w:ascii="宋体" w:hAnsi="宋体" w:cs="Arial"/>
          <w:kern w:val="0"/>
          <w:sz w:val="24"/>
          <w:highlight w:val="none"/>
        </w:rPr>
        <w:t>善财采确临[2023]92号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预算金额：2350.00</w:t>
      </w:r>
      <w:r>
        <w:rPr>
          <w:rFonts w:hint="eastAsia" w:ascii="宋体" w:hAnsi="宋体" w:cs="Arial"/>
          <w:kern w:val="0"/>
          <w:sz w:val="24"/>
          <w:highlight w:val="none"/>
        </w:rPr>
        <w:t>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采购人（以下称甲方）：浙江省嘉善县第一人民医院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采购代理机构：嘉兴市银建工程咨询评估有限公司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采购方式：</w:t>
      </w:r>
      <w:r>
        <w:rPr>
          <w:rFonts w:hint="eastAsia" w:ascii="宋体" w:hAnsi="宋体" w:cs="Arial"/>
          <w:kern w:val="0"/>
          <w:sz w:val="24"/>
          <w:highlight w:val="none"/>
        </w:rPr>
        <w:t>公开招标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采购文件编号：JXYJ2023001（G）</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根据《中华人民共和国政府采购法》、《中华人民共和国民法典》等法律法规的规定，甲乙双方按照</w:t>
      </w:r>
      <w:r>
        <w:rPr>
          <w:rFonts w:hint="eastAsia" w:ascii="宋体" w:hAnsi="宋体" w:cs="宋体"/>
          <w:kern w:val="0"/>
          <w:sz w:val="24"/>
          <w:highlight w:val="none"/>
          <w:u w:val="single"/>
        </w:rPr>
        <w:t xml:space="preserve">  浙江省嘉善县第一人民医院新一代信息系统建设项目（二期） </w:t>
      </w:r>
      <w:r>
        <w:rPr>
          <w:rFonts w:hint="eastAsia" w:ascii="宋体" w:hAnsi="宋体" w:cs="宋体"/>
          <w:kern w:val="0"/>
          <w:sz w:val="24"/>
          <w:highlight w:val="none"/>
        </w:rPr>
        <w:t>项目采购结果签订本合同。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（2）采购文件与投标文件（或采购响应文件）；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（3）中标或成交通知书；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组成本合同的所有文件必须为书面形式。政府采购合同备案时，须提供以上（1）、（3）两项，如由社会中介机构代理，须提供代理协议，合同如有变更的，须提供变更协议。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1、本次采购的是</w:t>
      </w:r>
      <w:r>
        <w:rPr>
          <w:rFonts w:hint="eastAsia" w:ascii="宋体" w:hAnsi="宋体" w:cs="宋体"/>
          <w:kern w:val="0"/>
          <w:sz w:val="24"/>
          <w:highlight w:val="none"/>
          <w:u w:val="single"/>
        </w:rPr>
        <w:t xml:space="preserve">  </w:t>
      </w:r>
      <w:r>
        <w:rPr>
          <w:rFonts w:hint="eastAsia" w:ascii="宋体" w:hAnsi="宋体" w:cs="Arial"/>
          <w:kern w:val="0"/>
          <w:sz w:val="24"/>
          <w:highlight w:val="none"/>
          <w:u w:val="single"/>
        </w:rPr>
        <w:t>浙江省嘉善县第一人民医院新一代信息系统建设项目（二期）</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第三条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1、本合同项下总价款为人民币（大写）</w:t>
      </w:r>
      <w:r>
        <w:rPr>
          <w:rFonts w:hint="eastAsia" w:ascii="宋体" w:hAnsi="宋体" w:cs="宋体"/>
          <w:kern w:val="0"/>
          <w:sz w:val="24"/>
          <w:highlight w:val="none"/>
          <w:u w:val="single"/>
        </w:rPr>
        <w:t xml:space="preserve">                                 </w:t>
      </w:r>
      <w:r>
        <w:rPr>
          <w:rFonts w:hint="eastAsia" w:ascii="宋体" w:hAnsi="宋体" w:cs="宋体"/>
          <w:kern w:val="0"/>
          <w:sz w:val="24"/>
          <w:highlight w:val="none"/>
        </w:rPr>
        <w:t>，分项价款见“投标报价明细表”（如有）”。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Arial"/>
          <w:kern w:val="0"/>
          <w:sz w:val="24"/>
          <w:highlight w:val="none"/>
        </w:rPr>
      </w:pPr>
      <w:r>
        <w:rPr>
          <w:rFonts w:hint="eastAsia" w:ascii="宋体" w:hAnsi="宋体" w:cs="宋体"/>
          <w:kern w:val="0"/>
          <w:sz w:val="24"/>
          <w:highlight w:val="none"/>
        </w:rPr>
        <w:t>2、本合同总价款含所有税费（包括软件开发费、系统集成费、安装调试费、测试费、培训费等通过最终验收前的一切含税费用。各投标人所填写的投标报价在合同实施期间不因市场因素而变动，投标人发生差错遗漏的费用均不再调整（除采购文件另有说明外）</w:t>
      </w:r>
      <w:r>
        <w:rPr>
          <w:rFonts w:hint="eastAsia" w:ascii="宋体" w:hAnsi="宋体" w:cs="宋体"/>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3、本项目资金来源性质为以下第</w:t>
      </w:r>
      <w:r>
        <w:rPr>
          <w:rFonts w:hint="eastAsia" w:ascii="宋体" w:hAnsi="宋体" w:cs="宋体"/>
          <w:kern w:val="0"/>
          <w:sz w:val="24"/>
          <w:highlight w:val="none"/>
          <w:u w:val="single"/>
        </w:rPr>
        <w:t xml:space="preserve">     （1）      </w:t>
      </w:r>
      <w:r>
        <w:rPr>
          <w:rFonts w:hint="eastAsia" w:ascii="宋体" w:hAnsi="宋体" w:cs="宋体"/>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（1）一般预算；（2）政府基金；（3）专户核拨的预算外资金；（4）其他财政资金；（5）其他资金。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4、本合同付款方式为以下第</w:t>
      </w:r>
      <w:r>
        <w:rPr>
          <w:rFonts w:hint="eastAsia" w:ascii="宋体" w:hAnsi="宋体" w:cs="宋体"/>
          <w:kern w:val="0"/>
          <w:sz w:val="24"/>
          <w:highlight w:val="none"/>
          <w:u w:val="single"/>
        </w:rPr>
        <w:t xml:space="preserve">     （2）      </w:t>
      </w:r>
      <w:r>
        <w:rPr>
          <w:rFonts w:hint="eastAsia" w:ascii="宋体" w:hAnsi="宋体" w:cs="宋体"/>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（1）本合同项下的采购资金系甲方自行支付，付款程序为</w:t>
      </w:r>
      <w:r>
        <w:rPr>
          <w:rFonts w:hint="eastAsia" w:ascii="宋体" w:hAnsi="宋体" w:cs="Arial"/>
          <w:kern w:val="0"/>
          <w:sz w:val="24"/>
          <w:highlight w:val="none"/>
          <w:u w:val="single"/>
        </w:rPr>
        <w:t xml:space="preserve">             </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（2）本合同项下的采购资金须财政直接支付，付款程序为</w:t>
      </w:r>
      <w:r>
        <w:rPr>
          <w:rFonts w:hint="eastAsia" w:ascii="宋体" w:hAnsi="宋体" w:cs="Arial"/>
          <w:kern w:val="0"/>
          <w:sz w:val="24"/>
          <w:highlight w:val="none"/>
          <w:u w:val="single"/>
        </w:rPr>
        <w:t>甲方根据年初预算申请生成用款计划，再在支付管理系统中发起支付申请，财政核算（支付)中心凭确认书、合同、验收单、发票进行审核支付</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（3）其他方式。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5、本合同项下的采购资金付款进度按采购文件与投标文件（或采购响应文件）规定，未规定时按以下第</w:t>
      </w:r>
      <w:r>
        <w:rPr>
          <w:rFonts w:hint="eastAsia" w:ascii="宋体" w:hAnsi="宋体" w:cs="宋体"/>
          <w:kern w:val="0"/>
          <w:sz w:val="24"/>
          <w:highlight w:val="none"/>
          <w:u w:val="single"/>
        </w:rPr>
        <w:t xml:space="preserve">     （2）      </w:t>
      </w:r>
      <w:r>
        <w:rPr>
          <w:rFonts w:hint="eastAsia" w:ascii="宋体" w:hAnsi="宋体" w:cs="宋体"/>
          <w:kern w:val="0"/>
          <w:sz w:val="24"/>
          <w:highlight w:val="none"/>
        </w:rPr>
        <w:t xml:space="preserve"> 项支付：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（1）一次性付款：乙方合同履行达到</w:t>
      </w:r>
      <w:r>
        <w:rPr>
          <w:rFonts w:hint="eastAsia" w:ascii="宋体" w:hAnsi="宋体" w:cs="宋体"/>
          <w:kern w:val="0"/>
          <w:sz w:val="24"/>
          <w:highlight w:val="none"/>
          <w:u w:val="single"/>
        </w:rPr>
        <w:t xml:space="preserve">         </w:t>
      </w:r>
      <w:r>
        <w:rPr>
          <w:rFonts w:hint="eastAsia" w:ascii="宋体" w:hAnsi="宋体" w:cs="宋体"/>
          <w:kern w:val="0"/>
          <w:sz w:val="24"/>
          <w:highlight w:val="none"/>
        </w:rPr>
        <w:t>（条件）时，一次性付款；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bookmarkStart w:id="55" w:name="_GoBack"/>
      <w:r>
        <w:rPr>
          <w:rFonts w:hint="eastAsia" w:ascii="宋体" w:hAnsi="宋体" w:cs="宋体"/>
          <w:color w:val="auto"/>
          <w:kern w:val="0"/>
          <w:sz w:val="24"/>
          <w:highlight w:val="none"/>
        </w:rPr>
        <w:t>（2）分期付款：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1.合同生效以及具备实施条件后7个工作日内支付合同金额的40%；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2.每年允许组织两次分模块验收，验收通过后7个工作日内支付验收模块合计金额的50%；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3.项目整体验收通过后7个工作日内支付剩余款项；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注：付款前中标单位应按规定向采购人开具正规发票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第四条 履约保证金</w:t>
      </w:r>
    </w:p>
    <w:bookmarkEnd w:id="55"/>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kern w:val="0"/>
          <w:sz w:val="24"/>
          <w:highlight w:val="none"/>
        </w:rPr>
      </w:pPr>
      <w:r>
        <w:rPr>
          <w:rFonts w:hint="eastAsia" w:ascii="宋体" w:hAnsi="宋体" w:cs="宋体"/>
          <w:kern w:val="0"/>
          <w:sz w:val="24"/>
          <w:highlight w:val="none"/>
        </w:rPr>
        <w:t>按以下第</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2</w:t>
      </w:r>
      <w:r>
        <w:rPr>
          <w:rFonts w:hint="eastAsia" w:ascii="宋体" w:hAnsi="宋体" w:cs="宋体"/>
          <w:kern w:val="0"/>
          <w:sz w:val="24"/>
          <w:highlight w:val="none"/>
          <w:u w:val="single"/>
        </w:rPr>
        <w:t xml:space="preserve">     </w:t>
      </w:r>
      <w:r>
        <w:rPr>
          <w:rFonts w:hint="eastAsia" w:ascii="宋体" w:hAnsi="宋体" w:cs="宋体"/>
          <w:kern w:val="0"/>
          <w:sz w:val="24"/>
          <w:highlight w:val="none"/>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1、本项目设置履约保证金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kern w:val="0"/>
          <w:sz w:val="24"/>
          <w:highlight w:val="none"/>
        </w:rPr>
      </w:pPr>
      <w:r>
        <w:rPr>
          <w:rFonts w:hint="eastAsia" w:ascii="宋体" w:hAnsi="宋体" w:cs="宋体"/>
          <w:kern w:val="0"/>
          <w:sz w:val="24"/>
          <w:highlight w:val="none"/>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第五条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第六条 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Arial"/>
          <w:kern w:val="0"/>
          <w:sz w:val="24"/>
          <w:highlight w:val="none"/>
        </w:rPr>
        <w:t>本项目不允许转包和分包</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第七条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因履行本合同引起的或与本合同有关的争议，甲、乙双方应首先通过友好协商解决，如果协商不能解决争议，则采取以下第</w:t>
      </w:r>
      <w:r>
        <w:rPr>
          <w:rFonts w:hint="eastAsia" w:ascii="宋体" w:hAnsi="宋体" w:cs="宋体"/>
          <w:kern w:val="0"/>
          <w:sz w:val="24"/>
          <w:highlight w:val="none"/>
          <w:u w:val="single"/>
        </w:rPr>
        <w:t xml:space="preserve">   （2）    </w:t>
      </w:r>
      <w:r>
        <w:rPr>
          <w:rFonts w:hint="eastAsia" w:ascii="宋体" w:hAnsi="宋体" w:cs="宋体"/>
          <w:kern w:val="0"/>
          <w:sz w:val="24"/>
          <w:highlight w:val="none"/>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（2）向</w:t>
      </w:r>
      <w:r>
        <w:rPr>
          <w:rFonts w:hint="eastAsia" w:ascii="宋体" w:hAnsi="宋体" w:cs="宋体"/>
          <w:kern w:val="0"/>
          <w:sz w:val="24"/>
          <w:highlight w:val="none"/>
          <w:u w:val="single"/>
        </w:rPr>
        <w:t xml:space="preserve">   </w:t>
      </w:r>
      <w:r>
        <w:rPr>
          <w:rFonts w:hint="eastAsia" w:ascii="宋体" w:hAnsi="宋体" w:cs="Arial"/>
          <w:kern w:val="0"/>
          <w:sz w:val="24"/>
          <w:highlight w:val="none"/>
          <w:u w:val="single"/>
        </w:rPr>
        <w:t>嘉善县</w:t>
      </w:r>
      <w:r>
        <w:rPr>
          <w:rFonts w:hint="eastAsia" w:ascii="宋体" w:hAnsi="宋体" w:cs="宋体"/>
          <w:kern w:val="0"/>
          <w:sz w:val="24"/>
          <w:highlight w:val="none"/>
          <w:u w:val="single"/>
        </w:rPr>
        <w:t xml:space="preserve">    </w:t>
      </w:r>
      <w:r>
        <w:rPr>
          <w:rFonts w:hint="eastAsia" w:ascii="宋体" w:hAnsi="宋体" w:cs="宋体"/>
          <w:kern w:val="0"/>
          <w:sz w:val="24"/>
          <w:highlight w:val="none"/>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第八条 合同备案及其他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Arial"/>
          <w:kern w:val="0"/>
          <w:sz w:val="24"/>
          <w:highlight w:val="none"/>
        </w:rPr>
        <w:t>本合同一式五份，甲乙双方各2份，招标代理机构各持一份</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highlight w:val="none"/>
        </w:rPr>
      </w:pPr>
      <w:r>
        <w:rPr>
          <w:rFonts w:hint="eastAsia" w:ascii="宋体" w:hAnsi="宋体" w:cs="宋体"/>
          <w:kern w:val="0"/>
          <w:sz w:val="24"/>
          <w:highlight w:val="none"/>
        </w:rPr>
        <w:t>二、特殊专用条款部分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highlight w:val="none"/>
        </w:rPr>
      </w:pPr>
    </w:p>
    <w:p>
      <w:pPr>
        <w:spacing w:line="480" w:lineRule="exact"/>
        <w:rPr>
          <w:rFonts w:ascii="宋体" w:hAnsi="宋体" w:cs="宋体"/>
          <w:b/>
          <w:sz w:val="24"/>
          <w:highlight w:val="none"/>
        </w:rPr>
      </w:pPr>
      <w:r>
        <w:rPr>
          <w:rFonts w:hint="eastAsia" w:ascii="宋体" w:hAnsi="宋体" w:cs="宋体"/>
          <w:b/>
          <w:sz w:val="24"/>
          <w:highlight w:val="none"/>
        </w:rPr>
        <w:t>采购人（甲方公章）                    供应商（乙方公章）：</w:t>
      </w:r>
    </w:p>
    <w:p>
      <w:pPr>
        <w:spacing w:line="480" w:lineRule="exact"/>
        <w:rPr>
          <w:rFonts w:ascii="宋体" w:hAnsi="宋体" w:cs="宋体"/>
          <w:b/>
          <w:sz w:val="24"/>
          <w:highlight w:val="none"/>
        </w:rPr>
      </w:pPr>
      <w:r>
        <w:rPr>
          <w:rFonts w:hint="eastAsia" w:ascii="宋体" w:hAnsi="宋体" w:cs="宋体"/>
          <w:b/>
          <w:sz w:val="24"/>
          <w:highlight w:val="none"/>
        </w:rPr>
        <w:t>法定代表人                            法定代表人</w:t>
      </w:r>
    </w:p>
    <w:p>
      <w:pPr>
        <w:spacing w:line="480" w:lineRule="exact"/>
        <w:rPr>
          <w:rFonts w:ascii="宋体" w:hAnsi="宋体" w:cs="宋体"/>
          <w:b/>
          <w:sz w:val="24"/>
          <w:highlight w:val="none"/>
        </w:rPr>
      </w:pPr>
      <w:r>
        <w:rPr>
          <w:rFonts w:hint="eastAsia" w:ascii="宋体" w:hAnsi="宋体" w:cs="宋体"/>
          <w:b/>
          <w:sz w:val="24"/>
          <w:highlight w:val="none"/>
        </w:rPr>
        <w:t xml:space="preserve">或被授权人（签字）：                   或被授权人（签字）：     </w:t>
      </w:r>
    </w:p>
    <w:p>
      <w:pPr>
        <w:spacing w:line="480" w:lineRule="exact"/>
        <w:rPr>
          <w:rFonts w:ascii="宋体" w:hAnsi="宋体" w:cs="宋体"/>
          <w:b/>
          <w:sz w:val="24"/>
          <w:highlight w:val="none"/>
        </w:rPr>
      </w:pPr>
      <w:r>
        <w:rPr>
          <w:rFonts w:hint="eastAsia" w:ascii="宋体" w:hAnsi="宋体" w:cs="宋体"/>
          <w:b/>
          <w:sz w:val="24"/>
          <w:highlight w:val="none"/>
        </w:rPr>
        <w:t xml:space="preserve">电话：                                电话：  </w:t>
      </w:r>
    </w:p>
    <w:p>
      <w:pPr>
        <w:spacing w:line="480" w:lineRule="exact"/>
        <w:ind w:right="480" w:firstLine="2160" w:firstLineChars="900"/>
        <w:jc w:val="center"/>
        <w:rPr>
          <w:rFonts w:ascii="宋体" w:hAnsi="宋体" w:cs="宋体"/>
          <w:sz w:val="24"/>
          <w:highlight w:val="none"/>
        </w:rPr>
      </w:pPr>
      <w:r>
        <w:rPr>
          <w:rFonts w:hint="eastAsia" w:ascii="宋体" w:hAnsi="宋体" w:cs="宋体"/>
          <w:sz w:val="24"/>
          <w:highlight w:val="none"/>
        </w:rPr>
        <w:t xml:space="preserve">                 </w:t>
      </w:r>
    </w:p>
    <w:p>
      <w:pPr>
        <w:spacing w:line="480" w:lineRule="exact"/>
        <w:ind w:right="480" w:firstLine="2160" w:firstLineChars="900"/>
        <w:jc w:val="center"/>
        <w:rPr>
          <w:rFonts w:ascii="宋体" w:hAnsi="宋体" w:cs="宋体"/>
          <w:sz w:val="24"/>
          <w:highlight w:val="none"/>
        </w:rPr>
      </w:pPr>
      <w:r>
        <w:rPr>
          <w:rFonts w:hint="eastAsia" w:ascii="宋体" w:hAnsi="宋体" w:cs="宋体"/>
          <w:sz w:val="24"/>
          <w:highlight w:val="none"/>
        </w:rPr>
        <w:t xml:space="preserve">       合同签订日期：     年    月   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sz w:val="24"/>
          <w:highlight w:val="none"/>
        </w:rPr>
        <w:sectPr>
          <w:footerReference r:id="rId7" w:type="default"/>
          <w:pgSz w:w="11906" w:h="16838"/>
          <w:pgMar w:top="1440" w:right="1797" w:bottom="1440" w:left="1797" w:header="851" w:footer="851" w:gutter="0"/>
          <w:cols w:space="720" w:num="1"/>
          <w:docGrid w:linePitch="312" w:charSpace="0"/>
        </w:sectPr>
      </w:pPr>
      <w:r>
        <w:rPr>
          <w:rFonts w:hint="eastAsia" w:ascii="宋体" w:hAnsi="宋体" w:cs="宋体"/>
          <w:sz w:val="24"/>
          <w:highlight w:val="none"/>
        </w:rPr>
        <w:t>签约地点：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kern w:val="0"/>
          <w:sz w:val="24"/>
          <w:highlight w:val="none"/>
        </w:rPr>
      </w:pPr>
      <w:r>
        <w:rPr>
          <w:rFonts w:hint="eastAsia" w:ascii="宋体" w:hAnsi="宋体" w:cs="宋体"/>
          <w:sz w:val="24"/>
          <w:highlight w:val="none"/>
        </w:rPr>
        <w:t xml:space="preserve">               </w:t>
      </w:r>
    </w:p>
    <w:tbl>
      <w:tblPr>
        <w:tblStyle w:val="64"/>
        <w:tblW w:w="14436" w:type="dxa"/>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pPr>
              <w:widowControl/>
              <w:jc w:val="center"/>
              <w:rPr>
                <w:rFonts w:ascii="宋体" w:hAnsi="宋体" w:cs="宋体"/>
                <w:b/>
                <w:bCs/>
                <w:kern w:val="0"/>
                <w:sz w:val="36"/>
                <w:szCs w:val="36"/>
                <w:highlight w:val="none"/>
              </w:rPr>
            </w:pPr>
            <w:r>
              <w:rPr>
                <w:rFonts w:hint="eastAsia" w:ascii="宋体" w:hAnsi="宋体" w:cs="宋体"/>
                <w:b/>
                <w:bCs/>
                <w:kern w:val="0"/>
                <w:sz w:val="36"/>
                <w:szCs w:val="36"/>
                <w:highlight w:val="none"/>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pPr>
              <w:widowControl/>
              <w:jc w:val="left"/>
              <w:rPr>
                <w:rFonts w:ascii="宋体" w:hAnsi="宋体" w:cs="宋体"/>
                <w:kern w:val="0"/>
                <w:sz w:val="24"/>
                <w:highlight w:val="none"/>
              </w:rPr>
            </w:pPr>
          </w:p>
        </w:tc>
        <w:tc>
          <w:tcPr>
            <w:tcW w:w="3021" w:type="dxa"/>
            <w:tcBorders>
              <w:top w:val="nil"/>
              <w:left w:val="nil"/>
              <w:bottom w:val="nil"/>
              <w:right w:val="nil"/>
            </w:tcBorders>
            <w:vAlign w:val="bottom"/>
          </w:tcPr>
          <w:p>
            <w:pPr>
              <w:widowControl/>
              <w:jc w:val="left"/>
              <w:rPr>
                <w:rFonts w:ascii="宋体" w:hAnsi="宋体" w:cs="宋体"/>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kern w:val="0"/>
                <w:sz w:val="24"/>
                <w:highlight w:val="none"/>
              </w:rPr>
            </w:pPr>
          </w:p>
        </w:tc>
        <w:tc>
          <w:tcPr>
            <w:tcW w:w="2081" w:type="dxa"/>
            <w:tcBorders>
              <w:top w:val="nil"/>
              <w:left w:val="nil"/>
              <w:bottom w:val="nil"/>
              <w:right w:val="nil"/>
            </w:tcBorders>
            <w:vAlign w:val="bottom"/>
          </w:tcPr>
          <w:p>
            <w:pPr>
              <w:widowControl/>
              <w:jc w:val="left"/>
              <w:rPr>
                <w:rFonts w:ascii="宋体" w:hAnsi="宋体" w:cs="宋体"/>
                <w:kern w:val="0"/>
                <w:sz w:val="24"/>
                <w:highlight w:val="none"/>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采购申请编号:</w:t>
            </w:r>
          </w:p>
        </w:tc>
        <w:tc>
          <w:tcPr>
            <w:tcW w:w="3021" w:type="dxa"/>
            <w:tcBorders>
              <w:top w:val="nil"/>
              <w:left w:val="nil"/>
              <w:bottom w:val="nil"/>
              <w:right w:val="nil"/>
            </w:tcBorders>
            <w:vAlign w:val="bottom"/>
          </w:tcPr>
          <w:p>
            <w:pPr>
              <w:widowControl/>
              <w:jc w:val="left"/>
              <w:rPr>
                <w:rFonts w:ascii="宋体" w:hAnsi="宋体" w:cs="宋体"/>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合同编号:</w:t>
            </w:r>
          </w:p>
        </w:tc>
        <w:tc>
          <w:tcPr>
            <w:tcW w:w="2081" w:type="dxa"/>
            <w:tcBorders>
              <w:top w:val="nil"/>
              <w:left w:val="nil"/>
              <w:bottom w:val="nil"/>
              <w:right w:val="nil"/>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联系人</w:t>
            </w:r>
          </w:p>
        </w:tc>
        <w:tc>
          <w:tcPr>
            <w:tcW w:w="17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0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供应商（供方）</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联系人</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商品名称</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规格型号及要求</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计量单位</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数     量</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单价(元)</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合   计</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4"/>
                <w:highlight w:val="none"/>
              </w:rPr>
            </w:pPr>
            <w:r>
              <w:rPr>
                <w:rFonts w:hint="eastAsia" w:ascii="宋体" w:hAnsi="宋体" w:cs="宋体"/>
                <w:kern w:val="0"/>
                <w:sz w:val="24"/>
                <w:highlight w:val="none"/>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3021" w:type="dxa"/>
            <w:tcBorders>
              <w:top w:val="nil"/>
              <w:left w:val="nil"/>
              <w:bottom w:val="single" w:color="auto" w:sz="4" w:space="0"/>
              <w:right w:val="nil"/>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验收人（签字）:</w:t>
            </w:r>
          </w:p>
        </w:tc>
        <w:tc>
          <w:tcPr>
            <w:tcW w:w="1855" w:type="dxa"/>
            <w:tcBorders>
              <w:top w:val="nil"/>
              <w:left w:val="nil"/>
              <w:bottom w:val="single" w:color="auto" w:sz="4" w:space="0"/>
              <w:right w:val="nil"/>
            </w:tcBorders>
            <w:vAlign w:val="bottom"/>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供应商(盖章)</w:t>
            </w:r>
          </w:p>
        </w:tc>
        <w:tc>
          <w:tcPr>
            <w:tcW w:w="5906" w:type="dxa"/>
            <w:gridSpan w:val="3"/>
            <w:tcBorders>
              <w:top w:val="single" w:color="auto" w:sz="4" w:space="0"/>
              <w:left w:val="nil"/>
              <w:bottom w:val="nil"/>
              <w:right w:val="single" w:color="000000"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xml:space="preserve">                                          经办人（签字）:</w:t>
            </w:r>
          </w:p>
        </w:tc>
        <w:tc>
          <w:tcPr>
            <w:tcW w:w="1745" w:type="dxa"/>
            <w:tcBorders>
              <w:top w:val="nil"/>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nil"/>
              <w:right w:val="nil"/>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(盖章)</w:t>
            </w:r>
          </w:p>
        </w:tc>
        <w:tc>
          <w:tcPr>
            <w:tcW w:w="2081" w:type="dxa"/>
            <w:tcBorders>
              <w:top w:val="nil"/>
              <w:left w:val="nil"/>
              <w:bottom w:val="nil"/>
              <w:right w:val="single" w:color="auto"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验收日期:20     年    月    日</w:t>
            </w:r>
          </w:p>
        </w:tc>
        <w:tc>
          <w:tcPr>
            <w:tcW w:w="5906" w:type="dxa"/>
            <w:gridSpan w:val="3"/>
            <w:tcBorders>
              <w:top w:val="nil"/>
              <w:left w:val="nil"/>
              <w:bottom w:val="single" w:color="auto" w:sz="4" w:space="0"/>
              <w:right w:val="single" w:color="000000" w:sz="4" w:space="0"/>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xml:space="preserve">    2、本表一式五份，经供需双方签字盖章后由采购单位、供应商、财政支付（核算）中心、财政局、公共资源交易中心各自留存。</w:t>
            </w:r>
          </w:p>
        </w:tc>
      </w:tr>
    </w:tbl>
    <w:p>
      <w:pPr>
        <w:pStyle w:val="35"/>
        <w:spacing w:before="120" w:after="120" w:line="420" w:lineRule="exact"/>
        <w:rPr>
          <w:rFonts w:hAnsi="宋体"/>
          <w:bCs/>
          <w:highlight w:val="none"/>
        </w:rPr>
        <w:sectPr>
          <w:pgSz w:w="16838" w:h="11906" w:orient="landscape"/>
          <w:pgMar w:top="1134" w:right="1134" w:bottom="1134" w:left="1417" w:header="851" w:footer="851" w:gutter="0"/>
          <w:cols w:space="720" w:num="1"/>
          <w:docGrid w:linePitch="312" w:charSpace="0"/>
        </w:sectPr>
      </w:pPr>
    </w:p>
    <w:p>
      <w:pPr>
        <w:jc w:val="center"/>
        <w:rPr>
          <w:rFonts w:ascii="宋体" w:hAnsi="宋体" w:cs="宋体"/>
          <w:sz w:val="28"/>
          <w:szCs w:val="28"/>
          <w:highlight w:val="none"/>
        </w:rPr>
      </w:pPr>
      <w:r>
        <w:rPr>
          <w:rFonts w:hint="eastAsia" w:ascii="宋体" w:hAnsi="宋体" w:cs="宋体"/>
          <w:sz w:val="28"/>
          <w:szCs w:val="28"/>
          <w:highlight w:val="none"/>
        </w:rPr>
        <w:t>浙江省嘉善县第一人民医院新一代信息系统建设项目（二期） 验收报告</w:t>
      </w:r>
    </w:p>
    <w:p>
      <w:pPr>
        <w:jc w:val="center"/>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r>
        <w:rPr>
          <w:rFonts w:hint="eastAsia" w:ascii="宋体" w:hAnsi="宋体" w:cs="宋体"/>
          <w:sz w:val="28"/>
          <w:szCs w:val="28"/>
          <w:highlight w:val="none"/>
        </w:rPr>
        <w:t>项目验收情况说明（由双方按验收情况填写）：</w:t>
      </w: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rPr>
          <w:highlight w:val="none"/>
        </w:rPr>
        <w:sectPr>
          <w:pgSz w:w="11906" w:h="16838"/>
          <w:pgMar w:top="1440" w:right="1797" w:bottom="1440" w:left="1797" w:header="851" w:footer="851" w:gutter="0"/>
          <w:cols w:space="720" w:num="1"/>
          <w:docGrid w:linePitch="312" w:charSpace="0"/>
        </w:sectPr>
      </w:pPr>
      <w:r>
        <w:rPr>
          <w:rFonts w:hint="eastAsia" w:ascii="宋体" w:hAnsi="宋体" w:cs="宋体"/>
          <w:sz w:val="28"/>
          <w:szCs w:val="28"/>
          <w:highlight w:val="none"/>
        </w:rPr>
        <w:t>验收小组签字：（3人以上）</w:t>
      </w:r>
    </w:p>
    <w:p>
      <w:pPr>
        <w:pStyle w:val="3"/>
        <w:numPr>
          <w:ilvl w:val="0"/>
          <w:numId w:val="164"/>
        </w:numPr>
        <w:spacing w:before="0" w:after="0" w:line="240" w:lineRule="auto"/>
        <w:ind w:left="0" w:firstLine="0"/>
        <w:jc w:val="center"/>
        <w:rPr>
          <w:rFonts w:ascii="仿宋" w:hAnsi="仿宋" w:eastAsia="仿宋" w:cs="仿宋_GB2312"/>
          <w:bCs w:val="0"/>
          <w:kern w:val="2"/>
          <w:sz w:val="36"/>
          <w:szCs w:val="36"/>
          <w:highlight w:val="none"/>
        </w:rPr>
      </w:pPr>
      <w:r>
        <w:rPr>
          <w:rFonts w:hint="eastAsia" w:ascii="仿宋" w:hAnsi="仿宋" w:eastAsia="仿宋" w:cs="仿宋_GB2312"/>
          <w:bCs w:val="0"/>
          <w:kern w:val="2"/>
          <w:sz w:val="36"/>
          <w:szCs w:val="36"/>
          <w:highlight w:val="none"/>
        </w:rPr>
        <w:t>投标文件格式</w:t>
      </w:r>
      <w:bookmarkEnd w:id="53"/>
    </w:p>
    <w:p>
      <w:pPr>
        <w:spacing w:line="300" w:lineRule="auto"/>
        <w:ind w:firstLine="205" w:firstLineChars="98"/>
        <w:jc w:val="center"/>
        <w:rPr>
          <w:rFonts w:hAnsi="宋体" w:cs="宋体"/>
          <w:color w:val="000000"/>
          <w:highlight w:val="none"/>
        </w:rPr>
      </w:pPr>
      <w:r>
        <w:rPr>
          <w:rFonts w:hint="eastAsia" w:hAnsi="宋体" w:cs="宋体"/>
          <w:color w:val="000000"/>
          <w:highlight w:val="none"/>
        </w:rPr>
        <w:t xml:space="preserve"> </w:t>
      </w:r>
    </w:p>
    <w:p>
      <w:pPr>
        <w:snapToGrid w:val="0"/>
        <w:spacing w:line="360" w:lineRule="auto"/>
        <w:ind w:right="480"/>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t>符合参加政府采购活动应当具备的一般条件的承诺函</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】政府采购活动，郑重承诺：</w:t>
      </w:r>
    </w:p>
    <w:p>
      <w:pPr>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pPr>
        <w:snapToGrid w:val="0"/>
        <w:spacing w:line="360" w:lineRule="auto"/>
        <w:rPr>
          <w:rFonts w:ascii="仿宋_GB2312" w:hAnsi="仿宋" w:eastAsia="仿宋_GB2312" w:cs="仿宋_GB2312"/>
          <w:kern w:val="0"/>
          <w:sz w:val="24"/>
          <w:highlight w:val="none"/>
          <w:lang w:val="zh-CN"/>
        </w:rPr>
      </w:pP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投标人名称（盖章）</w:t>
      </w:r>
      <w:r>
        <w:rPr>
          <w:rFonts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napToGrid w:val="0"/>
        <w:jc w:val="center"/>
        <w:rPr>
          <w:rFonts w:ascii="宋体" w:hAnsi="宋体"/>
          <w:b/>
          <w:sz w:val="32"/>
          <w:szCs w:val="32"/>
          <w:highlight w:val="none"/>
        </w:rPr>
      </w:pPr>
    </w:p>
    <w:p>
      <w:pPr>
        <w:spacing w:line="360" w:lineRule="auto"/>
        <w:ind w:firstLine="275" w:firstLineChars="98"/>
        <w:jc w:val="center"/>
        <w:rPr>
          <w:rFonts w:ascii="宋体" w:hAnsi="宋体" w:cs="宋体"/>
          <w:b/>
          <w:bCs/>
          <w:sz w:val="28"/>
          <w:szCs w:val="28"/>
          <w:highlight w:val="none"/>
        </w:rPr>
      </w:pPr>
    </w:p>
    <w:p>
      <w:pPr>
        <w:spacing w:line="360" w:lineRule="auto"/>
        <w:ind w:firstLine="275" w:firstLineChars="98"/>
        <w:jc w:val="center"/>
        <w:rPr>
          <w:rFonts w:ascii="宋体" w:hAnsi="宋体" w:cs="宋体"/>
          <w:b/>
          <w:bCs/>
          <w:sz w:val="28"/>
          <w:szCs w:val="28"/>
          <w:highlight w:val="none"/>
        </w:rPr>
      </w:pPr>
    </w:p>
    <w:p>
      <w:pPr>
        <w:spacing w:line="360" w:lineRule="auto"/>
        <w:ind w:firstLine="275" w:firstLineChars="98"/>
        <w:jc w:val="center"/>
        <w:rPr>
          <w:rFonts w:ascii="宋体" w:hAnsi="宋体" w:cs="宋体"/>
          <w:b/>
          <w:bCs/>
          <w:sz w:val="28"/>
          <w:szCs w:val="28"/>
          <w:highlight w:val="none"/>
        </w:rPr>
      </w:pPr>
    </w:p>
    <w:p>
      <w:pPr>
        <w:spacing w:line="360" w:lineRule="auto"/>
        <w:ind w:firstLine="275" w:firstLineChars="98"/>
        <w:jc w:val="center"/>
        <w:rPr>
          <w:rFonts w:ascii="宋体" w:hAnsi="宋体" w:cs="宋体"/>
          <w:b/>
          <w:bCs/>
          <w:sz w:val="28"/>
          <w:szCs w:val="28"/>
          <w:highlight w:val="none"/>
        </w:rPr>
      </w:pPr>
    </w:p>
    <w:p>
      <w:pPr>
        <w:spacing w:line="360" w:lineRule="auto"/>
        <w:ind w:firstLine="275" w:firstLineChars="98"/>
        <w:jc w:val="center"/>
        <w:rPr>
          <w:rFonts w:ascii="宋体" w:hAnsi="宋体" w:cs="宋体"/>
          <w:b/>
          <w:bCs/>
          <w:sz w:val="28"/>
          <w:szCs w:val="28"/>
          <w:highlight w:val="none"/>
        </w:rPr>
      </w:pPr>
    </w:p>
    <w:p>
      <w:pPr>
        <w:snapToGrid w:val="0"/>
        <w:spacing w:before="120" w:beforeLines="50" w:after="50"/>
        <w:rPr>
          <w:b/>
          <w:sz w:val="24"/>
          <w:highlight w:val="none"/>
        </w:rPr>
      </w:pPr>
    </w:p>
    <w:p>
      <w:pPr>
        <w:snapToGrid w:val="0"/>
        <w:spacing w:before="120" w:beforeLines="50" w:after="50"/>
        <w:rPr>
          <w:b/>
          <w:bCs/>
          <w:sz w:val="32"/>
          <w:szCs w:val="20"/>
          <w:highlight w:val="none"/>
        </w:rPr>
      </w:pPr>
      <w:r>
        <w:rPr>
          <w:rFonts w:hint="eastAsia"/>
          <w:b/>
          <w:sz w:val="24"/>
          <w:highlight w:val="none"/>
        </w:rPr>
        <w:t>商务技术响应文件封面格式：</w:t>
      </w:r>
      <w:r>
        <w:rPr>
          <w:sz w:val="24"/>
          <w:highlight w:val="none"/>
        </w:rPr>
        <w:t xml:space="preserve">                                               </w:t>
      </w:r>
    </w:p>
    <w:p>
      <w:pPr>
        <w:snapToGrid w:val="0"/>
        <w:spacing w:before="120" w:beforeLines="50" w:after="50"/>
        <w:jc w:val="center"/>
        <w:rPr>
          <w:b/>
          <w:bCs/>
          <w:sz w:val="32"/>
          <w:szCs w:val="32"/>
          <w:highlight w:val="none"/>
        </w:rPr>
      </w:pPr>
    </w:p>
    <w:p>
      <w:pPr>
        <w:snapToGrid w:val="0"/>
        <w:spacing w:before="120" w:beforeLines="50" w:after="50"/>
        <w:jc w:val="center"/>
        <w:rPr>
          <w:b/>
          <w:bCs/>
          <w:sz w:val="32"/>
          <w:szCs w:val="32"/>
          <w:highlight w:val="none"/>
        </w:rPr>
      </w:pPr>
    </w:p>
    <w:p>
      <w:pPr>
        <w:snapToGrid w:val="0"/>
        <w:spacing w:before="120" w:beforeLines="50" w:after="50"/>
        <w:jc w:val="center"/>
        <w:rPr>
          <w:b/>
          <w:bCs/>
          <w:sz w:val="32"/>
          <w:szCs w:val="32"/>
          <w:highlight w:val="none"/>
        </w:rPr>
      </w:pPr>
    </w:p>
    <w:p>
      <w:pPr>
        <w:snapToGrid w:val="0"/>
        <w:spacing w:before="120" w:beforeLines="50" w:after="50"/>
        <w:jc w:val="center"/>
        <w:rPr>
          <w:b/>
          <w:bCs/>
          <w:sz w:val="32"/>
          <w:szCs w:val="32"/>
          <w:highlight w:val="none"/>
        </w:rPr>
      </w:pPr>
      <w:r>
        <w:rPr>
          <w:rFonts w:hint="eastAsia"/>
          <w:b/>
          <w:bCs/>
          <w:sz w:val="32"/>
          <w:szCs w:val="32"/>
          <w:highlight w:val="none"/>
        </w:rPr>
        <w:t>商务技术文件</w:t>
      </w:r>
    </w:p>
    <w:p>
      <w:pPr>
        <w:snapToGrid w:val="0"/>
        <w:spacing w:before="120" w:beforeLines="50" w:after="50" w:line="320" w:lineRule="exact"/>
        <w:ind w:firstLine="1068" w:firstLineChars="445"/>
        <w:rPr>
          <w:bCs/>
          <w:sz w:val="24"/>
          <w:szCs w:val="20"/>
          <w:highlight w:val="none"/>
        </w:rPr>
      </w:pPr>
      <w:r>
        <w:rPr>
          <w:rFonts w:hint="eastAsia"/>
          <w:bCs/>
          <w:sz w:val="24"/>
          <w:highlight w:val="none"/>
        </w:rPr>
        <w:t>项目名称：</w:t>
      </w:r>
    </w:p>
    <w:p>
      <w:pPr>
        <w:snapToGrid w:val="0"/>
        <w:spacing w:before="120" w:beforeLines="50" w:after="50" w:line="320" w:lineRule="exact"/>
        <w:ind w:firstLine="1068" w:firstLineChars="445"/>
        <w:rPr>
          <w:bCs/>
          <w:sz w:val="24"/>
          <w:highlight w:val="none"/>
        </w:rPr>
      </w:pPr>
      <w:r>
        <w:rPr>
          <w:rFonts w:hint="eastAsia"/>
          <w:bCs/>
          <w:sz w:val="24"/>
          <w:highlight w:val="none"/>
        </w:rPr>
        <w:t>项目编号：</w:t>
      </w:r>
      <w:r>
        <w:rPr>
          <w:bCs/>
          <w:sz w:val="24"/>
          <w:highlight w:val="none"/>
        </w:rPr>
        <w:t xml:space="preserve"> </w:t>
      </w:r>
    </w:p>
    <w:p>
      <w:pPr>
        <w:pStyle w:val="1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16"/>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napToGrid w:val="0"/>
        <w:spacing w:before="120" w:beforeLines="50" w:after="50" w:line="360" w:lineRule="auto"/>
        <w:ind w:firstLine="645"/>
        <w:jc w:val="center"/>
        <w:rPr>
          <w:sz w:val="24"/>
          <w:szCs w:val="20"/>
          <w:highlight w:val="none"/>
        </w:rPr>
      </w:pPr>
      <w:r>
        <w:rPr>
          <w:sz w:val="24"/>
          <w:highlight w:val="none"/>
        </w:rPr>
        <w:t xml:space="preserve">                        </w:t>
      </w:r>
      <w:r>
        <w:rPr>
          <w:rFonts w:hint="eastAsia"/>
          <w:sz w:val="24"/>
          <w:highlight w:val="none"/>
        </w:rPr>
        <w:t xml:space="preserve">                       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before="120" w:beforeLines="50" w:after="50"/>
        <w:jc w:val="center"/>
        <w:rPr>
          <w:rFonts w:ascii="宋体" w:hAnsi="宋体" w:cs="宋体"/>
          <w:b/>
          <w:sz w:val="32"/>
          <w:szCs w:val="32"/>
          <w:highlight w:val="none"/>
        </w:rPr>
      </w:pPr>
    </w:p>
    <w:p>
      <w:pPr>
        <w:pStyle w:val="3"/>
        <w:rPr>
          <w:rFonts w:ascii="宋体" w:hAnsi="宋体" w:cs="宋体"/>
          <w:b w:val="0"/>
          <w:szCs w:val="32"/>
          <w:highlight w:val="none"/>
        </w:rPr>
      </w:pPr>
    </w:p>
    <w:p>
      <w:pPr>
        <w:rPr>
          <w:highlight w:val="none"/>
        </w:rPr>
      </w:pPr>
    </w:p>
    <w:p>
      <w:pPr>
        <w:rPr>
          <w:highlight w:val="none"/>
        </w:rPr>
      </w:pPr>
    </w:p>
    <w:p>
      <w:pPr>
        <w:snapToGrid w:val="0"/>
        <w:spacing w:before="120" w:beforeLines="50" w:after="50"/>
        <w:rPr>
          <w:sz w:val="24"/>
          <w:szCs w:val="20"/>
          <w:highlight w:val="none"/>
        </w:rPr>
      </w:pPr>
      <w:r>
        <w:rPr>
          <w:rFonts w:hint="eastAsia"/>
          <w:b/>
          <w:sz w:val="24"/>
          <w:highlight w:val="none"/>
        </w:rPr>
        <w:t>报价文件响应封面格式：</w:t>
      </w:r>
      <w:r>
        <w:rPr>
          <w:b/>
          <w:sz w:val="24"/>
          <w:highlight w:val="none"/>
        </w:rPr>
        <w:t xml:space="preserve"> </w:t>
      </w:r>
    </w:p>
    <w:p>
      <w:pPr>
        <w:snapToGrid w:val="0"/>
        <w:spacing w:before="120" w:beforeLines="50" w:after="50"/>
        <w:rPr>
          <w:b/>
          <w:bCs/>
          <w:sz w:val="32"/>
          <w:szCs w:val="20"/>
          <w:highlight w:val="none"/>
        </w:rPr>
      </w:pPr>
      <w:r>
        <w:rPr>
          <w:sz w:val="24"/>
          <w:highlight w:val="none"/>
        </w:rPr>
        <w:t xml:space="preserve">                                                    </w:t>
      </w:r>
    </w:p>
    <w:p>
      <w:pPr>
        <w:snapToGrid w:val="0"/>
        <w:spacing w:before="120" w:beforeLines="50" w:after="50"/>
        <w:jc w:val="center"/>
        <w:rPr>
          <w:b/>
          <w:bCs/>
          <w:sz w:val="32"/>
          <w:szCs w:val="32"/>
          <w:highlight w:val="none"/>
        </w:rPr>
      </w:pPr>
      <w:r>
        <w:rPr>
          <w:rFonts w:hint="eastAsia"/>
          <w:b/>
          <w:bCs/>
          <w:sz w:val="32"/>
          <w:szCs w:val="32"/>
          <w:highlight w:val="none"/>
        </w:rPr>
        <w:t>报  价</w:t>
      </w:r>
      <w:r>
        <w:rPr>
          <w:b/>
          <w:bCs/>
          <w:sz w:val="32"/>
          <w:szCs w:val="32"/>
          <w:highlight w:val="none"/>
        </w:rPr>
        <w:t xml:space="preserve"> </w:t>
      </w:r>
      <w:r>
        <w:rPr>
          <w:rFonts w:hint="eastAsia"/>
          <w:b/>
          <w:bCs/>
          <w:sz w:val="32"/>
          <w:szCs w:val="32"/>
          <w:highlight w:val="none"/>
        </w:rPr>
        <w:t>文</w:t>
      </w:r>
      <w:r>
        <w:rPr>
          <w:b/>
          <w:bCs/>
          <w:sz w:val="32"/>
          <w:szCs w:val="32"/>
          <w:highlight w:val="none"/>
        </w:rPr>
        <w:t xml:space="preserve"> </w:t>
      </w:r>
      <w:r>
        <w:rPr>
          <w:rFonts w:hint="eastAsia"/>
          <w:b/>
          <w:bCs/>
          <w:sz w:val="32"/>
          <w:szCs w:val="32"/>
          <w:highlight w:val="none"/>
        </w:rPr>
        <w:t>件</w:t>
      </w:r>
    </w:p>
    <w:p>
      <w:pPr>
        <w:snapToGrid w:val="0"/>
        <w:spacing w:before="120" w:beforeLines="50" w:after="50" w:line="320" w:lineRule="exact"/>
        <w:ind w:firstLine="1068" w:firstLineChars="445"/>
        <w:rPr>
          <w:bCs/>
          <w:sz w:val="24"/>
          <w:szCs w:val="20"/>
          <w:highlight w:val="none"/>
        </w:rPr>
      </w:pPr>
      <w:r>
        <w:rPr>
          <w:rFonts w:hint="eastAsia"/>
          <w:bCs/>
          <w:sz w:val="24"/>
          <w:highlight w:val="none"/>
        </w:rPr>
        <w:t>项目名称：</w:t>
      </w:r>
    </w:p>
    <w:p>
      <w:pPr>
        <w:snapToGrid w:val="0"/>
        <w:spacing w:before="120" w:beforeLines="50" w:after="50" w:line="320" w:lineRule="exact"/>
        <w:ind w:firstLine="1068" w:firstLineChars="445"/>
        <w:rPr>
          <w:bCs/>
          <w:sz w:val="24"/>
          <w:highlight w:val="none"/>
        </w:rPr>
      </w:pPr>
      <w:r>
        <w:rPr>
          <w:rFonts w:hint="eastAsia"/>
          <w:bCs/>
          <w:sz w:val="24"/>
          <w:highlight w:val="none"/>
        </w:rPr>
        <w:t>项目编号：</w:t>
      </w:r>
      <w:r>
        <w:rPr>
          <w:bCs/>
          <w:sz w:val="24"/>
          <w:highlight w:val="none"/>
        </w:rPr>
        <w:t xml:space="preserve"> </w:t>
      </w:r>
    </w:p>
    <w:p>
      <w:pPr>
        <w:pStyle w:val="1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16"/>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pacing w:line="360" w:lineRule="auto"/>
        <w:ind w:right="420"/>
        <w:rPr>
          <w:highlight w:val="none"/>
        </w:rPr>
      </w:pPr>
      <w:r>
        <w:rPr>
          <w:sz w:val="24"/>
          <w:highlight w:val="none"/>
        </w:rPr>
        <w:t xml:space="preserve">                        </w:t>
      </w:r>
      <w:r>
        <w:rPr>
          <w:rFonts w:hint="eastAsia"/>
          <w:sz w:val="24"/>
          <w:highlight w:val="none"/>
        </w:rPr>
        <w:t xml:space="preserve">                       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pacing w:line="360" w:lineRule="auto"/>
        <w:rPr>
          <w:rFonts w:ascii="仿宋" w:hAnsi="仿宋" w:eastAsia="仿宋"/>
          <w:bCs/>
          <w:sz w:val="24"/>
          <w:highlight w:val="none"/>
        </w:rPr>
      </w:pPr>
    </w:p>
    <w:p>
      <w:pPr>
        <w:spacing w:line="360" w:lineRule="auto"/>
        <w:jc w:val="center"/>
        <w:rPr>
          <w:rFonts w:ascii="宋体" w:hAnsi="宋体" w:cs="宋体"/>
          <w:b/>
          <w:sz w:val="24"/>
          <w:highlight w:val="none"/>
        </w:rPr>
      </w:pPr>
      <w:bookmarkStart w:id="54" w:name="_Toc219619166"/>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spacing w:line="360" w:lineRule="auto"/>
        <w:rPr>
          <w:rFonts w:ascii="宋体" w:hAnsi="宋体" w:cs="宋体"/>
          <w:b/>
          <w:sz w:val="24"/>
          <w:highlight w:val="none"/>
        </w:rPr>
      </w:pPr>
    </w:p>
    <w:p>
      <w:pPr>
        <w:spacing w:line="360" w:lineRule="auto"/>
        <w:jc w:val="center"/>
        <w:rPr>
          <w:rFonts w:ascii="宋体" w:hAnsi="宋体" w:cs="宋体"/>
          <w:b/>
          <w:sz w:val="24"/>
          <w:highlight w:val="none"/>
        </w:rPr>
      </w:pPr>
    </w:p>
    <w:p>
      <w:pPr>
        <w:spacing w:line="360" w:lineRule="auto"/>
        <w:jc w:val="center"/>
        <w:rPr>
          <w:rFonts w:ascii="宋体" w:hAnsi="宋体" w:cs="宋体"/>
          <w:b/>
          <w:bCs/>
          <w:sz w:val="24"/>
          <w:highlight w:val="none"/>
        </w:rPr>
      </w:pPr>
      <w:r>
        <w:rPr>
          <w:rFonts w:hint="eastAsia" w:ascii="宋体" w:hAnsi="宋体" w:cs="宋体"/>
          <w:b/>
          <w:sz w:val="24"/>
          <w:highlight w:val="none"/>
        </w:rPr>
        <w:t>自评表</w:t>
      </w:r>
    </w:p>
    <w:tbl>
      <w:tblPr>
        <w:tblStyle w:val="64"/>
        <w:tblW w:w="87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pPr>
              <w:spacing w:line="360" w:lineRule="auto"/>
              <w:jc w:val="center"/>
              <w:rPr>
                <w:rFonts w:ascii="宋体" w:hAnsi="宋体" w:cs="宋体"/>
                <w:b/>
                <w:bCs/>
                <w:sz w:val="24"/>
                <w:highlight w:val="none"/>
              </w:rPr>
            </w:pPr>
            <w:r>
              <w:rPr>
                <w:rFonts w:hint="eastAsia" w:ascii="宋体" w:hAnsi="宋体" w:cs="宋体"/>
                <w:b/>
                <w:bCs/>
                <w:sz w:val="24"/>
                <w:highlight w:val="none"/>
              </w:rPr>
              <w:t>评标内容及分值</w:t>
            </w:r>
          </w:p>
        </w:tc>
        <w:tc>
          <w:tcPr>
            <w:tcW w:w="4254" w:type="dxa"/>
            <w:gridSpan w:val="2"/>
            <w:vAlign w:val="center"/>
          </w:tcPr>
          <w:p>
            <w:pPr>
              <w:spacing w:line="360" w:lineRule="auto"/>
              <w:jc w:val="center"/>
              <w:rPr>
                <w:rFonts w:ascii="宋体" w:hAnsi="宋体" w:cs="宋体"/>
                <w:b/>
                <w:bCs/>
                <w:sz w:val="24"/>
                <w:highlight w:val="none"/>
              </w:rPr>
            </w:pPr>
            <w:r>
              <w:rPr>
                <w:rFonts w:hint="eastAsia" w:ascii="宋体" w:hAnsi="宋体" w:cs="宋体"/>
                <w:b/>
                <w:bCs/>
                <w:sz w:val="24"/>
                <w:highlight w:val="none"/>
              </w:rPr>
              <w:t>供应商自评栏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3" w:hRule="atLeast"/>
          <w:jc w:val="center"/>
        </w:trPr>
        <w:tc>
          <w:tcPr>
            <w:tcW w:w="4510" w:type="dxa"/>
            <w:gridSpan w:val="2"/>
            <w:vMerge w:val="continue"/>
            <w:vAlign w:val="center"/>
          </w:tcPr>
          <w:p>
            <w:pPr>
              <w:spacing w:line="360" w:lineRule="auto"/>
              <w:jc w:val="center"/>
              <w:rPr>
                <w:rFonts w:ascii="宋体" w:hAnsi="宋体" w:cs="宋体"/>
                <w:b/>
                <w:bCs/>
                <w:sz w:val="24"/>
                <w:highlight w:val="none"/>
              </w:rPr>
            </w:pPr>
          </w:p>
        </w:tc>
        <w:tc>
          <w:tcPr>
            <w:tcW w:w="2145" w:type="dxa"/>
            <w:vAlign w:val="center"/>
          </w:tcPr>
          <w:p>
            <w:pPr>
              <w:spacing w:line="360" w:lineRule="auto"/>
              <w:jc w:val="center"/>
              <w:rPr>
                <w:rFonts w:ascii="宋体" w:hAnsi="宋体" w:cs="宋体"/>
                <w:b/>
                <w:bCs/>
                <w:sz w:val="24"/>
                <w:highlight w:val="none"/>
              </w:rPr>
            </w:pPr>
            <w:r>
              <w:rPr>
                <w:rFonts w:hint="eastAsia" w:ascii="宋体" w:hAnsi="宋体" w:cs="宋体"/>
                <w:b/>
                <w:bCs/>
                <w:sz w:val="24"/>
                <w:highlight w:val="none"/>
              </w:rPr>
              <w:t>自评分</w:t>
            </w:r>
          </w:p>
        </w:tc>
        <w:tc>
          <w:tcPr>
            <w:tcW w:w="2109" w:type="dxa"/>
            <w:vAlign w:val="center"/>
          </w:tcPr>
          <w:p>
            <w:pPr>
              <w:spacing w:line="360" w:lineRule="auto"/>
              <w:jc w:val="center"/>
              <w:rPr>
                <w:rFonts w:ascii="宋体" w:hAnsi="宋体" w:cs="宋体"/>
                <w:b/>
                <w:bCs/>
                <w:sz w:val="24"/>
                <w:highlight w:val="none"/>
              </w:rPr>
            </w:pPr>
            <w:r>
              <w:rPr>
                <w:rFonts w:hint="eastAsia" w:ascii="宋体" w:hAnsi="宋体" w:cs="宋体"/>
                <w:b/>
                <w:bCs/>
                <w:sz w:val="24"/>
                <w:highlight w:val="none"/>
              </w:rPr>
              <w:t>自评依据及标书页码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vAlign w:val="center"/>
          </w:tcPr>
          <w:p>
            <w:pPr>
              <w:spacing w:line="360" w:lineRule="auto"/>
              <w:jc w:val="center"/>
              <w:rPr>
                <w:rFonts w:ascii="宋体" w:hAnsi="宋体" w:cs="宋体"/>
                <w:b/>
                <w:bCs/>
                <w:sz w:val="24"/>
                <w:highlight w:val="none"/>
              </w:rPr>
            </w:pPr>
            <w:r>
              <w:rPr>
                <w:rFonts w:hint="eastAsia" w:ascii="宋体" w:hAnsi="宋体" w:cs="宋体"/>
                <w:b/>
                <w:bCs/>
                <w:sz w:val="28"/>
                <w:szCs w:val="28"/>
                <w:highlight w:val="none"/>
              </w:rPr>
              <w:t>商务资信分（X分）</w:t>
            </w:r>
          </w:p>
        </w:tc>
        <w:tc>
          <w:tcPr>
            <w:tcW w:w="3300" w:type="dxa"/>
            <w:tcBorders>
              <w:bottom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bottom w:val="single" w:color="auto" w:sz="4" w:space="0"/>
            </w:tcBorders>
            <w:vAlign w:val="center"/>
          </w:tcPr>
          <w:p>
            <w:pPr>
              <w:spacing w:line="360" w:lineRule="auto"/>
              <w:jc w:val="left"/>
              <w:rPr>
                <w:rFonts w:ascii="宋体" w:hAnsi="宋体" w:cs="宋体"/>
                <w:szCs w:val="21"/>
                <w:highlight w:val="none"/>
              </w:rPr>
            </w:pPr>
          </w:p>
        </w:tc>
        <w:tc>
          <w:tcPr>
            <w:tcW w:w="2109" w:type="dxa"/>
            <w:tcBorders>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exact"/>
              <w:jc w:val="center"/>
              <w:rPr>
                <w:rFonts w:ascii="宋体" w:hAnsi="宋体" w:cs="宋体"/>
                <w:b/>
                <w:bCs/>
                <w:sz w:val="28"/>
                <w:szCs w:val="28"/>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vAlign w:val="center"/>
          </w:tcPr>
          <w:p>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技术分（X分）</w:t>
            </w: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Align w:val="center"/>
          </w:tcPr>
          <w:p>
            <w:pPr>
              <w:spacing w:line="380" w:lineRule="exact"/>
              <w:jc w:val="center"/>
              <w:rPr>
                <w:rFonts w:ascii="宋体" w:hAnsi="宋体" w:cs="宋体"/>
                <w:sz w:val="24"/>
                <w:highlight w:val="none"/>
              </w:rPr>
            </w:pPr>
            <w:r>
              <w:rPr>
                <w:rFonts w:hint="eastAsia" w:ascii="宋体" w:hAnsi="宋体" w:cs="宋体"/>
                <w:bCs/>
                <w:sz w:val="24"/>
                <w:highlight w:val="none"/>
              </w:rPr>
              <w:t>合计（满分X分）</w:t>
            </w:r>
          </w:p>
        </w:tc>
        <w:tc>
          <w:tcPr>
            <w:tcW w:w="4254" w:type="dxa"/>
            <w:gridSpan w:val="2"/>
            <w:vAlign w:val="center"/>
          </w:tcPr>
          <w:p>
            <w:pPr>
              <w:spacing w:line="360" w:lineRule="auto"/>
              <w:jc w:val="center"/>
              <w:rPr>
                <w:rFonts w:ascii="宋体" w:hAnsi="宋体" w:cs="宋体"/>
                <w:b/>
                <w:bCs/>
                <w:sz w:val="24"/>
                <w:highlight w:val="none"/>
              </w:rPr>
            </w:pPr>
          </w:p>
        </w:tc>
      </w:tr>
    </w:tbl>
    <w:p>
      <w:pPr>
        <w:snapToGrid w:val="0"/>
        <w:spacing w:before="120" w:beforeLines="50" w:after="50"/>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r>
        <w:rPr>
          <w:rFonts w:hint="eastAsia" w:ascii="宋体" w:hAnsi="宋体" w:cs="宋体"/>
          <w:b/>
          <w:sz w:val="32"/>
          <w:szCs w:val="32"/>
          <w:highlight w:val="none"/>
        </w:rPr>
        <w:t>投标声明书</w:t>
      </w:r>
    </w:p>
    <w:p>
      <w:pPr>
        <w:snapToGrid w:val="0"/>
        <w:spacing w:before="120" w:beforeLines="50" w:after="50" w:line="360" w:lineRule="auto"/>
        <w:rPr>
          <w:rFonts w:ascii="宋体" w:hAnsi="宋体" w:cs="宋体"/>
          <w:sz w:val="24"/>
          <w:highlight w:val="none"/>
        </w:rPr>
      </w:pPr>
    </w:p>
    <w:p>
      <w:pPr>
        <w:snapToGrid w:val="0"/>
        <w:spacing w:before="120" w:beforeLines="50" w:after="50" w:line="360" w:lineRule="auto"/>
        <w:rPr>
          <w:rFonts w:ascii="宋体" w:hAnsi="宋体" w:cs="宋体"/>
          <w:sz w:val="24"/>
          <w:szCs w:val="20"/>
          <w:highlight w:val="none"/>
        </w:rPr>
      </w:pPr>
      <w:r>
        <w:rPr>
          <w:rFonts w:hint="eastAsia" w:ascii="宋体" w:hAnsi="宋体" w:cs="宋体"/>
          <w:sz w:val="24"/>
          <w:highlight w:val="none"/>
        </w:rPr>
        <w:t xml:space="preserve">致 </w:t>
      </w:r>
      <w:r>
        <w:rPr>
          <w:rFonts w:hint="eastAsia" w:ascii="宋体" w:hAnsi="宋体" w:cs="宋体"/>
          <w:sz w:val="24"/>
          <w:highlight w:val="none"/>
          <w:u w:val="single"/>
        </w:rPr>
        <w:t xml:space="preserve">               </w:t>
      </w:r>
      <w:r>
        <w:rPr>
          <w:rFonts w:hint="eastAsia" w:ascii="宋体" w:hAnsi="宋体" w:cs="宋体"/>
          <w:sz w:val="24"/>
          <w:highlight w:val="none"/>
        </w:rPr>
        <w:t>（采购人）：</w:t>
      </w:r>
    </w:p>
    <w:p>
      <w:pPr>
        <w:snapToGrid w:val="0"/>
        <w:spacing w:before="120" w:beforeLines="50" w:after="50" w:line="360" w:lineRule="auto"/>
        <w:ind w:firstLine="720" w:firstLineChars="300"/>
        <w:rPr>
          <w:rFonts w:ascii="宋体" w:hAnsi="宋体" w:cs="宋体"/>
          <w:sz w:val="24"/>
          <w:szCs w:val="20"/>
          <w:highlight w:val="none"/>
        </w:rPr>
      </w:pPr>
      <w:r>
        <w:rPr>
          <w:rFonts w:hint="eastAsia" w:ascii="宋体" w:hAnsi="宋体" w:cs="宋体"/>
          <w:sz w:val="24"/>
          <w:highlight w:val="none"/>
          <w:u w:val="single"/>
        </w:rPr>
        <w:t xml:space="preserve">               </w:t>
      </w:r>
      <w:r>
        <w:rPr>
          <w:rFonts w:hint="eastAsia" w:ascii="宋体" w:hAnsi="宋体" w:cs="宋体"/>
          <w:sz w:val="24"/>
          <w:highlight w:val="none"/>
        </w:rPr>
        <w:t>（投标人名称）系中华人民共和国合法企业，经营地址</w:t>
      </w:r>
      <w:r>
        <w:rPr>
          <w:rFonts w:hint="eastAsia" w:ascii="宋体" w:hAnsi="宋体" w:cs="宋体"/>
          <w:sz w:val="24"/>
          <w:highlight w:val="none"/>
          <w:u w:val="single"/>
        </w:rPr>
        <w:t xml:space="preserve">                               </w:t>
      </w:r>
      <w:r>
        <w:rPr>
          <w:rFonts w:hint="eastAsia" w:ascii="宋体" w:hAnsi="宋体" w:cs="宋体"/>
          <w:sz w:val="24"/>
          <w:highlight w:val="none"/>
        </w:rPr>
        <w:t>。</w:t>
      </w:r>
    </w:p>
    <w:p>
      <w:pPr>
        <w:snapToGrid w:val="0"/>
        <w:spacing w:before="120" w:beforeLines="50" w:after="50" w:line="360" w:lineRule="auto"/>
        <w:ind w:firstLine="645"/>
        <w:rPr>
          <w:rFonts w:ascii="宋体" w:hAnsi="宋体" w:cs="宋体"/>
          <w:sz w:val="24"/>
          <w:szCs w:val="20"/>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（投标人名称）的法定代表人，我方愿意参加贵方组织的</w:t>
      </w:r>
      <w:r>
        <w:rPr>
          <w:rFonts w:hint="eastAsia" w:ascii="宋体" w:hAnsi="宋体" w:cs="宋体"/>
          <w:sz w:val="24"/>
          <w:highlight w:val="none"/>
          <w:u w:val="single"/>
        </w:rPr>
        <w:t xml:space="preserve">                    </w:t>
      </w:r>
      <w:r>
        <w:rPr>
          <w:rFonts w:hint="eastAsia" w:ascii="宋体" w:hAnsi="宋体" w:cs="宋体"/>
          <w:sz w:val="24"/>
          <w:highlight w:val="none"/>
        </w:rPr>
        <w:t>采购项目的投标，为便于贵方公正、择优地确定中标人及其投标产品和服务，我方就本次投标有关事项郑重声明如下：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1.我方向贵方提交的所有投标文件、资料都是准确的和真实的。</w:t>
      </w:r>
    </w:p>
    <w:p>
      <w:pPr>
        <w:snapToGrid w:val="0"/>
        <w:spacing w:before="120" w:beforeLines="50" w:line="360" w:lineRule="auto"/>
        <w:ind w:firstLine="480" w:firstLineChars="200"/>
        <w:rPr>
          <w:rFonts w:ascii="宋体" w:hAnsi="宋体" w:cs="宋体"/>
          <w:sz w:val="24"/>
          <w:szCs w:val="20"/>
          <w:highlight w:val="none"/>
        </w:rPr>
      </w:pPr>
      <w:r>
        <w:rPr>
          <w:rFonts w:hint="eastAsia" w:ascii="宋体" w:hAnsi="宋体" w:cs="宋体"/>
          <w:sz w:val="24"/>
          <w:highlight w:val="none"/>
        </w:rPr>
        <w:t>2.我方不是采购人的附属机构；在获知本项目采购信息后，与采购人聘请的为此项目提供咨询服务的公司及其附属机构没有任何联系。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3、我方此次向贵方提供的服务名称为：</w:t>
      </w:r>
      <w:r>
        <w:rPr>
          <w:rFonts w:hint="eastAsia" w:ascii="宋体" w:hAnsi="宋体" w:cs="宋体"/>
          <w:sz w:val="24"/>
          <w:highlight w:val="none"/>
          <w:u w:val="single"/>
        </w:rPr>
        <w:t xml:space="preserve">                              </w:t>
      </w:r>
      <w:r>
        <w:rPr>
          <w:rFonts w:hint="eastAsia" w:ascii="宋体" w:hAnsi="宋体" w:cs="宋体"/>
          <w:sz w:val="24"/>
          <w:highlight w:val="none"/>
        </w:rPr>
        <w:t>。</w:t>
      </w:r>
    </w:p>
    <w:p>
      <w:pPr>
        <w:snapToGrid w:val="0"/>
        <w:spacing w:before="120" w:beforeLines="50" w:line="360" w:lineRule="auto"/>
        <w:ind w:firstLine="480" w:firstLineChars="200"/>
        <w:rPr>
          <w:rFonts w:ascii="宋体" w:hAnsi="宋体" w:cs="宋体"/>
          <w:sz w:val="24"/>
          <w:szCs w:val="20"/>
          <w:highlight w:val="none"/>
        </w:rPr>
      </w:pPr>
      <w:r>
        <w:rPr>
          <w:rFonts w:hint="eastAsia" w:ascii="宋体" w:hAnsi="宋体" w:cs="宋体"/>
          <w:sz w:val="24"/>
          <w:highlight w:val="none"/>
        </w:rPr>
        <w:t>4.我方诚意提请贵方关注：有关该项目的重大决策和事项有：</w:t>
      </w:r>
    </w:p>
    <w:p>
      <w:pPr>
        <w:snapToGrid w:val="0"/>
        <w:spacing w:before="120" w:beforeLines="50" w:line="360" w:lineRule="auto"/>
        <w:ind w:firstLine="480" w:firstLineChars="200"/>
        <w:rPr>
          <w:rFonts w:ascii="宋体" w:hAnsi="宋体" w:cs="宋体"/>
          <w:sz w:val="24"/>
          <w:szCs w:val="20"/>
          <w:highlight w:val="none"/>
          <w:u w:val="single"/>
        </w:rPr>
      </w:pPr>
      <w:r>
        <w:rPr>
          <w:rFonts w:hint="eastAsia" w:ascii="宋体" w:hAnsi="宋体" w:cs="宋体"/>
          <w:sz w:val="24"/>
          <w:highlight w:val="none"/>
          <w:u w:val="single"/>
        </w:rPr>
        <w:t>　　　　　　　　　　　　　　　　　　　　　　　　　　　</w:t>
      </w:r>
    </w:p>
    <w:p>
      <w:pPr>
        <w:pStyle w:val="26"/>
        <w:snapToGrid w:val="0"/>
        <w:spacing w:line="360" w:lineRule="auto"/>
        <w:rPr>
          <w:rFonts w:cs="宋体"/>
          <w:highlight w:val="none"/>
        </w:rPr>
      </w:pPr>
      <w:r>
        <w:rPr>
          <w:rFonts w:hint="eastAsia" w:cs="宋体"/>
          <w:highlight w:val="none"/>
        </w:rPr>
        <w:t>5.我方及由本人担任法定代表人的其他机构最近三年内被通报或者被处罚的违法行为有：（若有，请如实填写；若无，请作出“参加政府采购活动前三年内，在经营活动中没有重大违法记录”的承诺）</w:t>
      </w:r>
    </w:p>
    <w:p>
      <w:pPr>
        <w:snapToGrid w:val="0"/>
        <w:spacing w:before="120" w:beforeLines="50" w:line="360" w:lineRule="auto"/>
        <w:ind w:firstLine="480" w:firstLineChars="200"/>
        <w:rPr>
          <w:rFonts w:ascii="宋体" w:hAnsi="宋体" w:cs="宋体"/>
          <w:sz w:val="24"/>
          <w:szCs w:val="20"/>
          <w:highlight w:val="none"/>
          <w:u w:val="single"/>
        </w:rPr>
      </w:pPr>
      <w:r>
        <w:rPr>
          <w:rFonts w:hint="eastAsia" w:ascii="宋体" w:hAnsi="宋体" w:cs="宋体"/>
          <w:sz w:val="24"/>
          <w:highlight w:val="none"/>
          <w:u w:val="single"/>
        </w:rPr>
        <w:t>　　　　　　　　　　　　　　　　　　　　　　　　　　　</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6.以上事项如有虚假或隐瞒，我方愿意承担一切后果，并不再寻求任何旨在减轻或免除法律责任的辩解。</w:t>
      </w:r>
    </w:p>
    <w:p>
      <w:pPr>
        <w:pStyle w:val="29"/>
        <w:tabs>
          <w:tab w:val="left" w:pos="939"/>
        </w:tabs>
        <w:snapToGrid w:val="0"/>
        <w:spacing w:line="400" w:lineRule="exact"/>
        <w:ind w:left="773" w:leftChars="150" w:hanging="458" w:hangingChars="191"/>
        <w:rPr>
          <w:rFonts w:ascii="宋体" w:hAnsi="宋体" w:cs="宋体"/>
          <w:sz w:val="24"/>
          <w:highlight w:val="none"/>
        </w:rPr>
      </w:pPr>
    </w:p>
    <w:p>
      <w:pPr>
        <w:snapToGrid w:val="0"/>
        <w:spacing w:before="120" w:beforeLines="50" w:line="400" w:lineRule="exact"/>
        <w:ind w:firstLine="200"/>
        <w:rPr>
          <w:rFonts w:ascii="宋体" w:hAnsi="宋体" w:cs="宋体"/>
          <w:sz w:val="24"/>
          <w:szCs w:val="20"/>
          <w:highlight w:val="none"/>
          <w:u w:val="single"/>
        </w:rPr>
      </w:pPr>
      <w:r>
        <w:rPr>
          <w:rFonts w:hint="eastAsia" w:ascii="宋体" w:hAnsi="宋体"/>
          <w:sz w:val="24"/>
          <w:highlight w:val="none"/>
        </w:rPr>
        <w:t>法定代表人签字（或盖章）</w:t>
      </w:r>
      <w:r>
        <w:rPr>
          <w:rFonts w:hint="eastAsia" w:ascii="宋体" w:hAnsi="宋体" w:cs="宋体"/>
          <w:sz w:val="24"/>
          <w:highlight w:val="none"/>
        </w:rPr>
        <w:t>：</w:t>
      </w:r>
      <w:r>
        <w:rPr>
          <w:rFonts w:hint="eastAsia" w:ascii="宋体" w:hAnsi="宋体" w:cs="宋体"/>
          <w:sz w:val="24"/>
          <w:highlight w:val="none"/>
          <w:u w:val="single"/>
        </w:rPr>
        <w:t xml:space="preserve">              </w:t>
      </w:r>
    </w:p>
    <w:p>
      <w:pPr>
        <w:snapToGrid w:val="0"/>
        <w:spacing w:before="120" w:beforeLines="50" w:after="50" w:line="400" w:lineRule="exact"/>
        <w:ind w:firstLine="240" w:firstLineChars="100"/>
        <w:rPr>
          <w:rFonts w:ascii="宋体" w:hAnsi="宋体" w:cs="宋体"/>
          <w:sz w:val="24"/>
          <w:highlight w:val="non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napToGrid w:val="0"/>
        <w:spacing w:before="120" w:beforeLines="50" w:after="50" w:line="400" w:lineRule="exact"/>
        <w:ind w:firstLine="240" w:firstLineChars="100"/>
        <w:rPr>
          <w:rFonts w:ascii="宋体" w:hAnsi="宋体" w:cs="宋体"/>
          <w:b/>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ascii="宋体" w:hAnsi="宋体" w:cs="宋体"/>
          <w:b/>
          <w:sz w:val="24"/>
          <w:highlight w:val="none"/>
        </w:rPr>
        <w:br w:type="page"/>
      </w:r>
    </w:p>
    <w:p>
      <w:pPr>
        <w:snapToGrid w:val="0"/>
        <w:spacing w:before="120" w:beforeLines="50" w:after="50" w:line="360" w:lineRule="auto"/>
        <w:jc w:val="center"/>
        <w:rPr>
          <w:rFonts w:ascii="宋体" w:hAnsi="宋体" w:cs="宋体"/>
          <w:b/>
          <w:sz w:val="32"/>
          <w:szCs w:val="32"/>
          <w:highlight w:val="none"/>
        </w:rPr>
      </w:pPr>
      <w:r>
        <w:rPr>
          <w:rFonts w:hint="eastAsia" w:ascii="宋体" w:hAnsi="宋体" w:cs="宋体"/>
          <w:b/>
          <w:sz w:val="32"/>
          <w:szCs w:val="32"/>
          <w:highlight w:val="none"/>
        </w:rPr>
        <w:t>法定代表人授权委托书</w:t>
      </w:r>
    </w:p>
    <w:p>
      <w:pPr>
        <w:snapToGrid w:val="0"/>
        <w:spacing w:before="120" w:beforeLines="50" w:after="50" w:line="360" w:lineRule="auto"/>
        <w:rPr>
          <w:rFonts w:ascii="宋体" w:hAnsi="宋体" w:cs="宋体"/>
          <w:b/>
          <w:bCs/>
          <w:sz w:val="24"/>
          <w:szCs w:val="20"/>
          <w:highlight w:val="none"/>
        </w:rPr>
      </w:pPr>
      <w:r>
        <w:rPr>
          <w:rFonts w:hint="eastAsia" w:ascii="宋体" w:hAnsi="宋体" w:cs="宋体"/>
          <w:bCs/>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（采购人）：</w:t>
      </w:r>
    </w:p>
    <w:p>
      <w:pPr>
        <w:snapToGrid w:val="0"/>
        <w:spacing w:before="120" w:beforeLines="50" w:after="50" w:line="360" w:lineRule="auto"/>
        <w:ind w:firstLine="720" w:firstLineChars="300"/>
        <w:rPr>
          <w:rFonts w:ascii="宋体" w:hAnsi="宋体" w:cs="宋体"/>
          <w:sz w:val="24"/>
          <w:szCs w:val="20"/>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（投标人名称）的法定代表人，现授权委托</w:t>
      </w:r>
      <w:r>
        <w:rPr>
          <w:rFonts w:hint="eastAsia" w:ascii="宋体" w:hAnsi="宋体" w:cs="宋体"/>
          <w:sz w:val="24"/>
          <w:highlight w:val="none"/>
          <w:u w:val="single"/>
        </w:rPr>
        <w:t xml:space="preserve">             </w:t>
      </w:r>
      <w:r>
        <w:rPr>
          <w:rFonts w:hint="eastAsia" w:ascii="宋体" w:hAnsi="宋体" w:cs="宋体"/>
          <w:sz w:val="24"/>
          <w:highlight w:val="none"/>
        </w:rPr>
        <w:t>（姓名）以我方的名义参加</w:t>
      </w:r>
      <w:r>
        <w:rPr>
          <w:rFonts w:hint="eastAsia" w:ascii="宋体" w:hAnsi="宋体" w:cs="宋体"/>
          <w:sz w:val="24"/>
          <w:highlight w:val="none"/>
          <w:u w:val="single"/>
        </w:rPr>
        <w:t xml:space="preserve">              政府采购项目</w:t>
      </w:r>
      <w:r>
        <w:rPr>
          <w:rFonts w:hint="eastAsia" w:ascii="宋体" w:hAnsi="宋体" w:cs="宋体"/>
          <w:sz w:val="24"/>
          <w:highlight w:val="none"/>
        </w:rPr>
        <w:t>的投标活动，并代表我方全权办理针对上述项目的投标、开标、评标、签约等具体事务和签署相关文件。</w:t>
      </w:r>
    </w:p>
    <w:p>
      <w:pPr>
        <w:snapToGrid w:val="0"/>
        <w:spacing w:before="120" w:beforeLines="50" w:after="50" w:line="360" w:lineRule="auto"/>
        <w:rPr>
          <w:rFonts w:ascii="宋体" w:hAnsi="宋体" w:cs="宋体"/>
          <w:sz w:val="24"/>
          <w:szCs w:val="20"/>
          <w:highlight w:val="none"/>
        </w:rPr>
      </w:pPr>
      <w:r>
        <w:rPr>
          <w:rFonts w:hint="eastAsia" w:ascii="宋体" w:hAnsi="宋体" w:cs="宋体"/>
          <w:sz w:val="24"/>
          <w:highlight w:val="none"/>
        </w:rPr>
        <w:t xml:space="preserve">    我方对被授权人的签字事项负全部责任。</w:t>
      </w:r>
    </w:p>
    <w:p>
      <w:pPr>
        <w:snapToGrid w:val="0"/>
        <w:spacing w:before="120" w:beforeLines="50" w:after="50" w:line="360" w:lineRule="auto"/>
        <w:ind w:firstLine="480"/>
        <w:rPr>
          <w:rFonts w:ascii="宋体" w:hAnsi="宋体" w:cs="宋体"/>
          <w:sz w:val="24"/>
          <w:szCs w:val="20"/>
          <w:highlight w:val="none"/>
        </w:rPr>
      </w:pPr>
      <w:r>
        <w:rPr>
          <w:rFonts w:hint="eastAsia" w:ascii="宋体" w:hAnsi="宋体" w:cs="宋体"/>
          <w:sz w:val="24"/>
          <w:highlight w:val="none"/>
          <w:u w:val="single"/>
        </w:rPr>
        <w:t>在撤销授权的书面通知以前，本授权书一直有效。</w:t>
      </w:r>
      <w:r>
        <w:rPr>
          <w:rFonts w:hint="eastAsia" w:ascii="宋体" w:hAnsi="宋体" w:cs="宋体"/>
          <w:sz w:val="24"/>
          <w:highlight w:val="none"/>
        </w:rPr>
        <w:t>被授权人在授权书有效期内签署的所有文件不因授权的撤销而失效。</w:t>
      </w:r>
    </w:p>
    <w:p>
      <w:pPr>
        <w:snapToGrid w:val="0"/>
        <w:spacing w:before="120" w:beforeLines="50" w:after="50" w:line="360" w:lineRule="auto"/>
        <w:ind w:firstLine="480"/>
        <w:rPr>
          <w:rFonts w:ascii="宋体" w:hAnsi="宋体" w:cs="宋体"/>
          <w:sz w:val="24"/>
          <w:szCs w:val="20"/>
          <w:highlight w:val="none"/>
        </w:rPr>
      </w:pPr>
      <w:r>
        <w:rPr>
          <w:rFonts w:hint="eastAsia" w:ascii="宋体" w:hAnsi="宋体" w:cs="宋体"/>
          <w:sz w:val="24"/>
          <w:highlight w:val="none"/>
        </w:rPr>
        <w:t>被授权人无转委托权，特此委托。</w:t>
      </w:r>
    </w:p>
    <w:p>
      <w:pPr>
        <w:snapToGrid w:val="0"/>
        <w:spacing w:before="120" w:beforeLines="50" w:after="50" w:line="360" w:lineRule="auto"/>
        <w:rPr>
          <w:rFonts w:ascii="宋体" w:hAnsi="宋体" w:cs="宋体"/>
          <w:sz w:val="24"/>
          <w:szCs w:val="20"/>
          <w:highlight w:val="none"/>
        </w:rPr>
      </w:pPr>
    </w:p>
    <w:p>
      <w:pPr>
        <w:snapToGrid w:val="0"/>
        <w:spacing w:before="120" w:beforeLines="50" w:after="50" w:line="360" w:lineRule="auto"/>
        <w:rPr>
          <w:rFonts w:ascii="宋体" w:hAnsi="宋体" w:cs="宋体"/>
          <w:sz w:val="24"/>
          <w:szCs w:val="20"/>
          <w:highlight w:val="none"/>
          <w:u w:val="single"/>
        </w:rPr>
      </w:pPr>
      <w:r>
        <w:rPr>
          <w:rFonts w:hint="eastAsia" w:ascii="宋体" w:hAnsi="宋体" w:cs="宋体"/>
          <w:sz w:val="24"/>
          <w:highlight w:val="none"/>
        </w:rPr>
        <w:t>法定代表人签字（或盖章）：</w:t>
      </w:r>
      <w:r>
        <w:rPr>
          <w:rFonts w:hint="eastAsia" w:ascii="宋体" w:hAnsi="宋体" w:cs="宋体"/>
          <w:sz w:val="24"/>
          <w:highlight w:val="none"/>
          <w:u w:val="single"/>
        </w:rPr>
        <w:t xml:space="preserve">          </w:t>
      </w:r>
      <w:r>
        <w:rPr>
          <w:rFonts w:hint="eastAsia" w:ascii="宋体" w:hAnsi="宋体" w:cs="宋体"/>
          <w:sz w:val="24"/>
          <w:highlight w:val="none"/>
        </w:rPr>
        <w:t xml:space="preserve">  被授权人签字（或盖章）：</w:t>
      </w:r>
      <w:r>
        <w:rPr>
          <w:rFonts w:hint="eastAsia" w:ascii="宋体" w:hAnsi="宋体" w:cs="宋体"/>
          <w:sz w:val="24"/>
          <w:highlight w:val="none"/>
          <w:u w:val="single"/>
        </w:rPr>
        <w:t xml:space="preserve">          </w:t>
      </w:r>
    </w:p>
    <w:p>
      <w:pPr>
        <w:snapToGrid w:val="0"/>
        <w:spacing w:before="120" w:beforeLines="50" w:after="50" w:line="360" w:lineRule="auto"/>
        <w:ind w:firstLine="960" w:firstLineChars="400"/>
        <w:rPr>
          <w:rFonts w:ascii="宋体" w:hAnsi="宋体" w:cs="宋体"/>
          <w:sz w:val="24"/>
          <w:highlight w:val="none"/>
          <w:u w:val="single"/>
        </w:rPr>
      </w:pPr>
      <w:r>
        <w:rPr>
          <w:rFonts w:hint="eastAsia" w:ascii="宋体" w:hAnsi="宋体" w:cs="宋体"/>
          <w:sz w:val="24"/>
          <w:highlight w:val="none"/>
        </w:rPr>
        <w:t>职务：</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r>
        <w:rPr>
          <w:rFonts w:hint="eastAsia" w:ascii="宋体" w:hAnsi="宋体" w:cs="宋体"/>
          <w:sz w:val="24"/>
          <w:highlight w:val="none"/>
          <w:u w:val="single"/>
        </w:rPr>
        <w:t xml:space="preserve">           </w:t>
      </w:r>
    </w:p>
    <w:p>
      <w:pPr>
        <w:snapToGrid w:val="0"/>
        <w:spacing w:before="120" w:beforeLines="50" w:after="50" w:line="360" w:lineRule="auto"/>
        <w:rPr>
          <w:rFonts w:ascii="宋体" w:hAnsi="宋体" w:cs="宋体"/>
          <w:sz w:val="24"/>
          <w:szCs w:val="20"/>
          <w:highlight w:val="none"/>
        </w:rPr>
      </w:pPr>
    </w:p>
    <w:p>
      <w:pPr>
        <w:snapToGrid w:val="0"/>
        <w:spacing w:before="120" w:beforeLines="50" w:after="50" w:line="360" w:lineRule="auto"/>
        <w:rPr>
          <w:rFonts w:ascii="宋体" w:hAnsi="宋体" w:cs="宋体"/>
          <w:sz w:val="24"/>
          <w:highlight w:val="none"/>
        </w:rPr>
      </w:pPr>
      <w:r>
        <w:rPr>
          <w:rFonts w:hint="eastAsia" w:ascii="宋体" w:hAnsi="宋体" w:cs="宋体"/>
          <w:sz w:val="24"/>
          <w:highlight w:val="none"/>
        </w:rPr>
        <w:t>法定代表人身份证粘贴处（正反面）       被授权人身份证粘贴处（正反面）</w:t>
      </w:r>
    </w:p>
    <w:p>
      <w:pPr>
        <w:snapToGrid w:val="0"/>
        <w:spacing w:before="120" w:beforeLines="50" w:after="50" w:line="360" w:lineRule="auto"/>
        <w:rPr>
          <w:rFonts w:ascii="宋体" w:hAnsi="宋体" w:cs="宋体"/>
          <w:sz w:val="24"/>
          <w:highlight w:val="none"/>
        </w:rPr>
      </w:pPr>
    </w:p>
    <w:p>
      <w:pPr>
        <w:snapToGrid w:val="0"/>
        <w:spacing w:before="120" w:beforeLines="50" w:after="50" w:line="360" w:lineRule="auto"/>
        <w:rPr>
          <w:rFonts w:ascii="宋体" w:hAnsi="宋体" w:cs="宋体"/>
          <w:sz w:val="24"/>
          <w:highlight w:val="none"/>
        </w:rPr>
      </w:pPr>
    </w:p>
    <w:p>
      <w:pPr>
        <w:snapToGrid w:val="0"/>
        <w:spacing w:before="120" w:beforeLines="50" w:after="50" w:line="360" w:lineRule="auto"/>
        <w:rPr>
          <w:rFonts w:ascii="宋体" w:hAnsi="宋体" w:cs="宋体"/>
          <w:sz w:val="24"/>
          <w:highlight w:val="none"/>
        </w:rPr>
      </w:pPr>
    </w:p>
    <w:p>
      <w:pPr>
        <w:snapToGrid w:val="0"/>
        <w:spacing w:before="120" w:beforeLines="50" w:after="50" w:line="360" w:lineRule="auto"/>
        <w:rPr>
          <w:rFonts w:ascii="宋体" w:hAnsi="宋体" w:cs="宋体"/>
          <w:sz w:val="24"/>
          <w:highlight w:val="none"/>
        </w:rPr>
      </w:pPr>
      <w:r>
        <w:rPr>
          <w:rFonts w:hint="eastAsia" w:ascii="宋体" w:hAnsi="宋体" w:cs="宋体"/>
          <w:sz w:val="24"/>
          <w:highlight w:val="none"/>
        </w:rPr>
        <w:t>投标人公章：</w:t>
      </w:r>
    </w:p>
    <w:p>
      <w:pPr>
        <w:snapToGrid w:val="0"/>
        <w:spacing w:before="120" w:beforeLines="50" w:after="50" w:line="360" w:lineRule="auto"/>
        <w:rPr>
          <w:rFonts w:ascii="宋体" w:hAnsi="宋体" w:cs="宋体"/>
          <w:sz w:val="24"/>
          <w:szCs w:val="20"/>
          <w:highlight w:val="none"/>
        </w:rPr>
      </w:pPr>
    </w:p>
    <w:p>
      <w:pPr>
        <w:snapToGrid w:val="0"/>
        <w:spacing w:before="120" w:beforeLines="50" w:after="50" w:line="360" w:lineRule="auto"/>
        <w:rPr>
          <w:rFonts w:ascii="宋体" w:hAnsi="宋体" w:cs="宋体"/>
          <w:sz w:val="24"/>
          <w:szCs w:val="20"/>
          <w:highlight w:val="none"/>
        </w:rPr>
      </w:pPr>
    </w:p>
    <w:p>
      <w:pPr>
        <w:snapToGrid w:val="0"/>
        <w:spacing w:before="120" w:beforeLines="50" w:after="50"/>
        <w:jc w:val="right"/>
        <w:rPr>
          <w:rFonts w:ascii="宋体" w:hAnsi="宋体" w:cs="宋体"/>
          <w:sz w:val="24"/>
          <w:highlight w:val="none"/>
        </w:rPr>
      </w:pPr>
      <w:r>
        <w:rPr>
          <w:rFonts w:hint="eastAsia" w:ascii="宋体" w:hAnsi="宋体" w:cs="宋体"/>
          <w:sz w:val="24"/>
          <w:highlight w:val="none"/>
        </w:rPr>
        <w:t xml:space="preserve">                                        年    月    日</w:t>
      </w:r>
    </w:p>
    <w:p>
      <w:pPr>
        <w:pStyle w:val="971"/>
        <w:spacing w:line="360" w:lineRule="auto"/>
        <w:rPr>
          <w:rFonts w:hAnsi="宋体" w:eastAsia="宋体" w:cs="宋体"/>
          <w:sz w:val="24"/>
          <w:highlight w:val="none"/>
        </w:rPr>
      </w:pPr>
    </w:p>
    <w:p>
      <w:pPr>
        <w:snapToGrid w:val="0"/>
        <w:spacing w:before="120" w:beforeLines="50" w:after="50" w:line="360" w:lineRule="auto"/>
        <w:rPr>
          <w:rFonts w:ascii="宋体" w:hAnsi="宋体" w:cs="宋体"/>
          <w:sz w:val="24"/>
          <w:highlight w:val="none"/>
        </w:rPr>
      </w:pPr>
      <w:r>
        <w:rPr>
          <w:rFonts w:hint="eastAsia" w:ascii="宋体" w:hAnsi="宋体" w:cs="宋体"/>
          <w:b/>
          <w:sz w:val="28"/>
          <w:szCs w:val="28"/>
          <w:highlight w:val="none"/>
        </w:rPr>
        <w:t>注：此表请放一页，如要放2页及以上请在每页上都加盖公章。</w:t>
      </w:r>
    </w:p>
    <w:p>
      <w:pPr>
        <w:spacing w:line="360" w:lineRule="auto"/>
        <w:jc w:val="left"/>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诚信承诺书</w:t>
      </w:r>
    </w:p>
    <w:p>
      <w:pPr>
        <w:spacing w:line="360" w:lineRule="auto"/>
        <w:rPr>
          <w:rFonts w:ascii="宋体" w:hAnsi="宋体" w:cs="宋体"/>
          <w:sz w:val="24"/>
          <w:highlight w:val="none"/>
        </w:rPr>
      </w:pPr>
      <w:r>
        <w:rPr>
          <w:rFonts w:hint="eastAsia" w:ascii="宋体" w:hAnsi="宋体" w:cs="宋体"/>
          <w:sz w:val="24"/>
          <w:highlight w:val="none"/>
          <w:u w:val="single"/>
        </w:rPr>
        <w:t xml:space="preserve">（采购人或招标组织机构）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我方在参加贵单位的</w:t>
      </w:r>
      <w:r>
        <w:rPr>
          <w:rFonts w:hint="eastAsia" w:ascii="宋体" w:hAnsi="宋体" w:cs="宋体"/>
          <w:sz w:val="24"/>
          <w:highlight w:val="none"/>
          <w:u w:val="single"/>
        </w:rPr>
        <w:t xml:space="preserve">                   </w:t>
      </w:r>
      <w:r>
        <w:rPr>
          <w:rFonts w:hint="eastAsia" w:ascii="宋体" w:hAnsi="宋体" w:cs="宋体"/>
          <w:sz w:val="24"/>
          <w:highlight w:val="none"/>
        </w:rPr>
        <w:t>政府采购项目的招投标活动中，郑重承诺如下：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1、我方申报的所有资料都是真实、准确、完整的；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2、我方无资质挂靠情形，保证不参与串标、围标及抬标；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3、我方未处于被各级行政主管部门做出停止市场行为处罚的期限内；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4、我方参加本项目政府采购活动前3年内在经营活动中没有重大违法记录；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5、若我方中标，将严格按照规定及时与采购人签订合同；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6、若我方中标，将严格按照招标文件要求及投标文件承诺的报价、质量、工期、投标方案、项目负责人等内容组织实施；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特此承诺。</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r>
        <w:rPr>
          <w:rFonts w:hint="eastAsia" w:ascii="宋体" w:hAnsi="宋体"/>
          <w:sz w:val="24"/>
          <w:highlight w:val="none"/>
        </w:rPr>
        <w:t>法定代表人或被授权人（签字或盖章）</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971"/>
        <w:spacing w:line="360" w:lineRule="auto"/>
        <w:rPr>
          <w:rFonts w:hAnsi="宋体" w:eastAsia="宋体" w:cs="宋体"/>
          <w:sz w:val="24"/>
          <w:highlight w:val="none"/>
        </w:rPr>
      </w:pPr>
    </w:p>
    <w:p>
      <w:pPr>
        <w:pStyle w:val="971"/>
        <w:spacing w:line="360" w:lineRule="auto"/>
        <w:rPr>
          <w:rFonts w:hAnsi="宋体" w:eastAsia="宋体" w:cs="宋体"/>
          <w:sz w:val="24"/>
          <w:highlight w:val="none"/>
        </w:rPr>
      </w:pPr>
    </w:p>
    <w:p>
      <w:pPr>
        <w:pStyle w:val="971"/>
        <w:spacing w:line="360" w:lineRule="auto"/>
        <w:rPr>
          <w:rFonts w:hAnsi="宋体" w:eastAsia="宋体" w:cs="宋体"/>
          <w:sz w:val="24"/>
          <w:highlight w:val="none"/>
        </w:rPr>
      </w:pPr>
    </w:p>
    <w:p>
      <w:pPr>
        <w:pStyle w:val="971"/>
        <w:spacing w:line="360" w:lineRule="auto"/>
        <w:rPr>
          <w:rFonts w:hAnsi="宋体" w:eastAsia="宋体" w:cs="宋体"/>
          <w:sz w:val="24"/>
          <w:highlight w:val="none"/>
        </w:rPr>
      </w:pPr>
    </w:p>
    <w:p>
      <w:pPr>
        <w:pStyle w:val="971"/>
        <w:spacing w:line="360" w:lineRule="auto"/>
        <w:rPr>
          <w:rFonts w:hAnsi="宋体" w:eastAsia="宋体" w:cs="宋体"/>
          <w:sz w:val="24"/>
          <w:highlight w:val="none"/>
        </w:rPr>
      </w:pPr>
    </w:p>
    <w:p>
      <w:pPr>
        <w:pStyle w:val="971"/>
        <w:spacing w:line="360" w:lineRule="auto"/>
        <w:rPr>
          <w:rFonts w:hAnsi="宋体" w:eastAsia="宋体" w:cs="宋体"/>
          <w:sz w:val="24"/>
          <w:highlight w:val="none"/>
        </w:rPr>
      </w:pPr>
    </w:p>
    <w:p>
      <w:pPr>
        <w:pStyle w:val="971"/>
        <w:spacing w:line="360" w:lineRule="auto"/>
        <w:rPr>
          <w:rFonts w:hAnsi="宋体" w:eastAsia="宋体" w:cs="宋体"/>
          <w:sz w:val="24"/>
          <w:highlight w:val="none"/>
        </w:rPr>
      </w:pPr>
    </w:p>
    <w:p>
      <w:pPr>
        <w:pStyle w:val="971"/>
        <w:spacing w:line="360" w:lineRule="auto"/>
        <w:rPr>
          <w:rFonts w:hAnsi="宋体" w:eastAsia="宋体" w:cs="宋体"/>
          <w:sz w:val="24"/>
          <w:highlight w:val="none"/>
        </w:rPr>
      </w:pPr>
    </w:p>
    <w:p>
      <w:pPr>
        <w:pStyle w:val="971"/>
        <w:spacing w:line="360" w:lineRule="auto"/>
        <w:rPr>
          <w:rFonts w:hAnsi="宋体" w:eastAsia="宋体" w:cs="宋体"/>
          <w:sz w:val="24"/>
          <w:highlight w:val="none"/>
        </w:rPr>
      </w:pPr>
    </w:p>
    <w:p>
      <w:pPr>
        <w:pStyle w:val="971"/>
        <w:spacing w:line="360" w:lineRule="auto"/>
        <w:rPr>
          <w:rFonts w:hAnsi="宋体" w:eastAsia="宋体" w:cs="宋体"/>
          <w:b/>
          <w:sz w:val="24"/>
          <w:szCs w:val="24"/>
          <w:highlight w:val="none"/>
        </w:rPr>
      </w:pPr>
    </w:p>
    <w:p>
      <w:pPr>
        <w:wordWrap w:val="0"/>
        <w:spacing w:before="120" w:beforeLines="50" w:line="360" w:lineRule="auto"/>
        <w:ind w:firstLine="562"/>
        <w:jc w:val="center"/>
        <w:rPr>
          <w:rFonts w:ascii="宋体" w:hAnsi="宋体" w:cs="宋体"/>
          <w:b/>
          <w:sz w:val="28"/>
          <w:szCs w:val="30"/>
          <w:highlight w:val="none"/>
        </w:rPr>
      </w:pPr>
      <w:r>
        <w:rPr>
          <w:rFonts w:hint="eastAsia" w:ascii="宋体" w:hAnsi="宋体" w:cs="宋体"/>
          <w:b/>
          <w:sz w:val="28"/>
          <w:szCs w:val="30"/>
          <w:highlight w:val="none"/>
        </w:rPr>
        <w:t>投标人基本情况表</w:t>
      </w:r>
    </w:p>
    <w:tbl>
      <w:tblPr>
        <w:tblStyle w:val="64"/>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投标人名称</w:t>
            </w:r>
          </w:p>
        </w:tc>
        <w:tc>
          <w:tcPr>
            <w:tcW w:w="6339" w:type="dxa"/>
            <w:gridSpan w:val="3"/>
            <w:vAlign w:val="center"/>
          </w:tcPr>
          <w:p>
            <w:pPr>
              <w:ind w:firstLine="480"/>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地址</w:t>
            </w:r>
          </w:p>
        </w:tc>
        <w:tc>
          <w:tcPr>
            <w:tcW w:w="6339" w:type="dxa"/>
            <w:gridSpan w:val="3"/>
            <w:vAlign w:val="center"/>
          </w:tcPr>
          <w:p>
            <w:pPr>
              <w:ind w:firstLine="480"/>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业务（经营）范围</w:t>
            </w:r>
          </w:p>
        </w:tc>
        <w:tc>
          <w:tcPr>
            <w:tcW w:w="2118" w:type="dxa"/>
            <w:vAlign w:val="center"/>
          </w:tcPr>
          <w:p>
            <w:pPr>
              <w:rPr>
                <w:rFonts w:ascii="宋体" w:hAnsi="宋体" w:cs="宋体"/>
                <w:color w:val="000000"/>
                <w:sz w:val="22"/>
                <w:szCs w:val="28"/>
                <w:highlight w:val="none"/>
              </w:rPr>
            </w:pPr>
          </w:p>
        </w:tc>
        <w:tc>
          <w:tcPr>
            <w:tcW w:w="1980"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机构类型</w:t>
            </w: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成立时间</w:t>
            </w:r>
          </w:p>
        </w:tc>
        <w:tc>
          <w:tcPr>
            <w:tcW w:w="2118" w:type="dxa"/>
            <w:vAlign w:val="center"/>
          </w:tcPr>
          <w:p>
            <w:pPr>
              <w:rPr>
                <w:rFonts w:ascii="宋体" w:hAnsi="宋体" w:cs="宋体"/>
                <w:color w:val="000000"/>
                <w:sz w:val="22"/>
                <w:szCs w:val="28"/>
                <w:highlight w:val="none"/>
              </w:rPr>
            </w:pPr>
          </w:p>
        </w:tc>
        <w:tc>
          <w:tcPr>
            <w:tcW w:w="1980" w:type="dxa"/>
            <w:vAlign w:val="center"/>
          </w:tcPr>
          <w:p>
            <w:pPr>
              <w:rPr>
                <w:rFonts w:ascii="宋体" w:hAnsi="宋体" w:cs="宋体"/>
                <w:color w:val="000000"/>
                <w:sz w:val="22"/>
                <w:szCs w:val="28"/>
                <w:highlight w:val="none"/>
              </w:rPr>
            </w:pP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法定代表人</w:t>
            </w:r>
          </w:p>
        </w:tc>
        <w:tc>
          <w:tcPr>
            <w:tcW w:w="2118" w:type="dxa"/>
            <w:vAlign w:val="center"/>
          </w:tcPr>
          <w:p>
            <w:pPr>
              <w:rPr>
                <w:rFonts w:ascii="宋体" w:hAnsi="宋体" w:cs="宋体"/>
                <w:color w:val="000000"/>
                <w:sz w:val="22"/>
                <w:szCs w:val="28"/>
                <w:highlight w:val="none"/>
              </w:rPr>
            </w:pPr>
          </w:p>
        </w:tc>
        <w:tc>
          <w:tcPr>
            <w:tcW w:w="1980"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联系电话</w:t>
            </w: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注册资本</w:t>
            </w:r>
          </w:p>
        </w:tc>
        <w:tc>
          <w:tcPr>
            <w:tcW w:w="2118" w:type="dxa"/>
            <w:vAlign w:val="center"/>
          </w:tcPr>
          <w:p>
            <w:pPr>
              <w:rPr>
                <w:rFonts w:ascii="宋体" w:hAnsi="宋体" w:cs="宋体"/>
                <w:color w:val="000000"/>
                <w:sz w:val="22"/>
                <w:szCs w:val="28"/>
                <w:highlight w:val="none"/>
              </w:rPr>
            </w:pPr>
          </w:p>
        </w:tc>
        <w:tc>
          <w:tcPr>
            <w:tcW w:w="1980"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技术人员数</w:t>
            </w: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是否依法纳税</w:t>
            </w:r>
          </w:p>
        </w:tc>
        <w:tc>
          <w:tcPr>
            <w:tcW w:w="2118" w:type="dxa"/>
            <w:vAlign w:val="center"/>
          </w:tcPr>
          <w:p>
            <w:pPr>
              <w:rPr>
                <w:rFonts w:ascii="宋体" w:hAnsi="宋体" w:cs="宋体"/>
                <w:color w:val="000000"/>
                <w:sz w:val="22"/>
                <w:szCs w:val="28"/>
                <w:highlight w:val="none"/>
              </w:rPr>
            </w:pPr>
          </w:p>
        </w:tc>
        <w:tc>
          <w:tcPr>
            <w:tcW w:w="1980" w:type="dxa"/>
            <w:vAlign w:val="center"/>
          </w:tcPr>
          <w:p>
            <w:pPr>
              <w:jc w:val="center"/>
              <w:rPr>
                <w:rFonts w:ascii="宋体" w:hAnsi="宋体" w:cs="宋体"/>
                <w:color w:val="000000"/>
                <w:sz w:val="22"/>
                <w:szCs w:val="28"/>
                <w:highlight w:val="none"/>
              </w:rPr>
            </w:pPr>
            <w:r>
              <w:rPr>
                <w:rFonts w:hint="eastAsia" w:ascii="宋体" w:hAnsi="宋体" w:cs="宋体"/>
                <w:color w:val="000000"/>
                <w:sz w:val="22"/>
                <w:szCs w:val="28"/>
                <w:highlight w:val="none"/>
              </w:rPr>
              <w:t>是否参加社保</w:t>
            </w: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服务机构情况</w:t>
            </w:r>
          </w:p>
        </w:tc>
        <w:tc>
          <w:tcPr>
            <w:tcW w:w="6339" w:type="dxa"/>
            <w:gridSpan w:val="3"/>
            <w:vAlign w:val="center"/>
          </w:tcPr>
          <w:p>
            <w:pPr>
              <w:jc w:val="left"/>
              <w:rPr>
                <w:rFonts w:ascii="宋体" w:hAnsi="宋体" w:cs="宋体"/>
                <w:color w:val="000000"/>
                <w:sz w:val="22"/>
                <w:szCs w:val="28"/>
                <w:highlight w:val="none"/>
              </w:rPr>
            </w:pPr>
            <w:r>
              <w:rPr>
                <w:rFonts w:hint="eastAsia" w:ascii="宋体" w:hAnsi="宋体" w:cs="宋体"/>
                <w:color w:val="000000"/>
                <w:sz w:val="22"/>
                <w:szCs w:val="28"/>
                <w:highlight w:val="none"/>
              </w:rPr>
              <w:t>服务机构名称：</w:t>
            </w:r>
          </w:p>
          <w:p>
            <w:pPr>
              <w:jc w:val="left"/>
              <w:rPr>
                <w:rFonts w:ascii="宋体" w:hAnsi="宋体" w:cs="宋体"/>
                <w:color w:val="000000"/>
                <w:sz w:val="22"/>
                <w:szCs w:val="28"/>
                <w:highlight w:val="none"/>
              </w:rPr>
            </w:pPr>
            <w:r>
              <w:rPr>
                <w:rFonts w:hint="eastAsia" w:ascii="宋体" w:hAnsi="宋体" w:cs="宋体"/>
                <w:color w:val="000000"/>
                <w:sz w:val="22"/>
                <w:szCs w:val="28"/>
                <w:highlight w:val="none"/>
              </w:rPr>
              <w:t>地址：</w:t>
            </w:r>
          </w:p>
          <w:p>
            <w:pPr>
              <w:jc w:val="left"/>
              <w:rPr>
                <w:rFonts w:ascii="宋体" w:hAnsi="宋体" w:cs="宋体"/>
                <w:color w:val="000000"/>
                <w:sz w:val="22"/>
                <w:szCs w:val="28"/>
                <w:highlight w:val="none"/>
              </w:rPr>
            </w:pPr>
            <w:r>
              <w:rPr>
                <w:rFonts w:hint="eastAsia" w:ascii="宋体" w:hAnsi="宋体" w:cs="宋体"/>
                <w:color w:val="000000"/>
                <w:sz w:val="22"/>
                <w:szCs w:val="28"/>
                <w:highlight w:val="none"/>
              </w:rPr>
              <w:t>人员状况：</w:t>
            </w:r>
          </w:p>
          <w:p>
            <w:pPr>
              <w:jc w:val="left"/>
              <w:rPr>
                <w:rFonts w:ascii="宋体" w:hAnsi="宋体" w:cs="宋体"/>
                <w:color w:val="000000"/>
                <w:sz w:val="22"/>
                <w:szCs w:val="28"/>
                <w:highlight w:val="none"/>
              </w:rPr>
            </w:pPr>
            <w:r>
              <w:rPr>
                <w:rFonts w:hint="eastAsia" w:ascii="宋体" w:hAnsi="宋体" w:cs="宋体"/>
                <w:color w:val="000000"/>
                <w:sz w:val="22"/>
                <w:szCs w:val="28"/>
                <w:highlight w:val="none"/>
              </w:rPr>
              <w:t>联系方式：</w:t>
            </w:r>
          </w:p>
          <w:p>
            <w:pPr>
              <w:jc w:val="left"/>
              <w:rPr>
                <w:rFonts w:ascii="宋体" w:hAnsi="宋体" w:cs="宋体"/>
                <w:color w:val="000000"/>
                <w:sz w:val="22"/>
                <w:szCs w:val="28"/>
                <w:highlight w:val="none"/>
              </w:rPr>
            </w:pPr>
            <w:r>
              <w:rPr>
                <w:rFonts w:hint="eastAsia" w:ascii="宋体" w:hAnsi="宋体" w:cs="宋体"/>
                <w:color w:val="000000"/>
                <w:sz w:val="22"/>
                <w:szCs w:val="28"/>
                <w:highlight w:val="none"/>
              </w:rPr>
              <w:t>（可另附纸说明）</w:t>
            </w:r>
          </w:p>
        </w:tc>
      </w:tr>
    </w:tbl>
    <w:p>
      <w:pPr>
        <w:wordWrap w:val="0"/>
        <w:spacing w:before="120" w:beforeLines="50"/>
        <w:rPr>
          <w:rFonts w:ascii="宋体" w:hAnsi="宋体" w:cs="宋体"/>
          <w:b/>
          <w:bCs/>
          <w:sz w:val="24"/>
          <w:highlight w:val="none"/>
          <w:lang w:bidi="ar"/>
        </w:rPr>
      </w:pPr>
    </w:p>
    <w:p>
      <w:pPr>
        <w:wordWrap w:val="0"/>
        <w:spacing w:line="360" w:lineRule="auto"/>
        <w:ind w:firstLine="480"/>
        <w:jc w:val="right"/>
        <w:rPr>
          <w:rFonts w:ascii="宋体" w:hAnsi="宋体" w:cs="宋体"/>
          <w:sz w:val="24"/>
          <w:highlight w:val="none"/>
          <w:lang w:bidi="ar"/>
        </w:rPr>
      </w:pPr>
    </w:p>
    <w:p>
      <w:pPr>
        <w:spacing w:line="360" w:lineRule="auto"/>
        <w:jc w:val="left"/>
        <w:rPr>
          <w:rFonts w:ascii="宋体" w:hAnsi="宋体" w:cs="宋体"/>
          <w:sz w:val="24"/>
          <w:highlight w:val="none"/>
          <w:u w:val="single"/>
          <w:lang w:bidi="ar"/>
        </w:rPr>
      </w:pPr>
      <w:r>
        <w:rPr>
          <w:rFonts w:hint="eastAsia" w:ascii="宋体" w:hAnsi="宋体" w:cs="宋体"/>
          <w:sz w:val="24"/>
          <w:highlight w:val="none"/>
          <w:lang w:bidi="ar"/>
        </w:rPr>
        <w:t>投标人名称（加盖公章）：</w:t>
      </w:r>
      <w:r>
        <w:rPr>
          <w:rFonts w:hint="eastAsia" w:ascii="宋体" w:hAnsi="宋体" w:cs="宋体"/>
          <w:sz w:val="24"/>
          <w:highlight w:val="none"/>
          <w:u w:val="single"/>
          <w:lang w:bidi="ar"/>
        </w:rPr>
        <w:t xml:space="preserve">                  </w:t>
      </w:r>
    </w:p>
    <w:p>
      <w:pPr>
        <w:spacing w:line="360" w:lineRule="auto"/>
        <w:jc w:val="left"/>
        <w:rPr>
          <w:rFonts w:ascii="宋体" w:hAnsi="宋体" w:cs="宋体"/>
          <w:sz w:val="24"/>
          <w:highlight w:val="none"/>
          <w:u w:val="single"/>
          <w:lang w:bidi="ar"/>
        </w:rPr>
      </w:pPr>
      <w:r>
        <w:rPr>
          <w:rFonts w:hint="eastAsia" w:ascii="宋体" w:hAnsi="宋体"/>
          <w:sz w:val="24"/>
          <w:highlight w:val="none"/>
        </w:rPr>
        <w:t>法定代表人或被授权人（签字或盖章）</w:t>
      </w:r>
      <w:r>
        <w:rPr>
          <w:rFonts w:hint="eastAsia" w:ascii="宋体" w:hAnsi="宋体" w:cs="宋体"/>
          <w:sz w:val="24"/>
          <w:highlight w:val="none"/>
        </w:rPr>
        <w:t>：</w:t>
      </w:r>
      <w:r>
        <w:rPr>
          <w:rFonts w:hint="eastAsia" w:ascii="宋体" w:hAnsi="宋体" w:cs="宋体"/>
          <w:sz w:val="24"/>
          <w:highlight w:val="none"/>
          <w:u w:val="single"/>
        </w:rPr>
        <w:t xml:space="preserve">                  </w:t>
      </w:r>
    </w:p>
    <w:p>
      <w:pPr>
        <w:pStyle w:val="971"/>
        <w:spacing w:line="360" w:lineRule="auto"/>
        <w:jc w:val="left"/>
        <w:rPr>
          <w:rFonts w:hAnsi="宋体" w:eastAsia="宋体" w:cs="宋体"/>
          <w:sz w:val="24"/>
          <w:szCs w:val="24"/>
          <w:highlight w:val="none"/>
          <w:lang w:bidi="ar"/>
        </w:rPr>
      </w:pPr>
      <w:r>
        <w:rPr>
          <w:rFonts w:hint="eastAsia" w:hAnsi="宋体" w:eastAsia="宋体" w:cs="宋体"/>
          <w:sz w:val="24"/>
          <w:szCs w:val="24"/>
          <w:highlight w:val="none"/>
          <w:lang w:bidi="ar"/>
        </w:rPr>
        <w:t>日期：_____年____月____日</w:t>
      </w:r>
    </w:p>
    <w:p>
      <w:pPr>
        <w:pStyle w:val="971"/>
        <w:spacing w:line="360" w:lineRule="auto"/>
        <w:jc w:val="center"/>
        <w:rPr>
          <w:rFonts w:hAnsi="宋体" w:eastAsia="宋体" w:cs="宋体"/>
          <w:b/>
          <w:sz w:val="24"/>
          <w:szCs w:val="24"/>
          <w:highlight w:val="none"/>
        </w:rPr>
      </w:pPr>
    </w:p>
    <w:p>
      <w:pPr>
        <w:pStyle w:val="971"/>
        <w:spacing w:line="360" w:lineRule="auto"/>
        <w:jc w:val="center"/>
        <w:rPr>
          <w:rFonts w:hAnsi="宋体" w:eastAsia="宋体" w:cs="宋体"/>
          <w:b/>
          <w:sz w:val="24"/>
          <w:szCs w:val="24"/>
          <w:highlight w:val="none"/>
        </w:rPr>
      </w:pPr>
    </w:p>
    <w:p>
      <w:pPr>
        <w:pStyle w:val="971"/>
        <w:spacing w:line="360" w:lineRule="auto"/>
        <w:jc w:val="center"/>
        <w:rPr>
          <w:rFonts w:hAnsi="宋体" w:eastAsia="宋体" w:cs="宋体"/>
          <w:b/>
          <w:sz w:val="24"/>
          <w:szCs w:val="24"/>
          <w:highlight w:val="none"/>
        </w:rPr>
      </w:pPr>
    </w:p>
    <w:p>
      <w:pPr>
        <w:pStyle w:val="971"/>
        <w:spacing w:line="360" w:lineRule="auto"/>
        <w:jc w:val="center"/>
        <w:rPr>
          <w:rFonts w:hAnsi="宋体" w:eastAsia="宋体" w:cs="宋体"/>
          <w:b/>
          <w:sz w:val="24"/>
          <w:szCs w:val="24"/>
          <w:highlight w:val="none"/>
        </w:rPr>
      </w:pPr>
    </w:p>
    <w:p>
      <w:pPr>
        <w:pStyle w:val="971"/>
        <w:spacing w:line="360" w:lineRule="auto"/>
        <w:jc w:val="center"/>
        <w:rPr>
          <w:rFonts w:hAnsi="宋体" w:eastAsia="宋体" w:cs="宋体"/>
          <w:b/>
          <w:sz w:val="24"/>
          <w:szCs w:val="24"/>
          <w:highlight w:val="none"/>
        </w:rPr>
      </w:pPr>
    </w:p>
    <w:p>
      <w:pPr>
        <w:pStyle w:val="971"/>
        <w:spacing w:line="360" w:lineRule="auto"/>
        <w:jc w:val="center"/>
        <w:rPr>
          <w:rFonts w:hAnsi="宋体" w:eastAsia="宋体" w:cs="宋体"/>
          <w:b/>
          <w:sz w:val="24"/>
          <w:szCs w:val="24"/>
          <w:highlight w:val="none"/>
        </w:rPr>
      </w:pPr>
    </w:p>
    <w:p>
      <w:pPr>
        <w:pStyle w:val="971"/>
        <w:spacing w:line="360" w:lineRule="auto"/>
        <w:rPr>
          <w:rFonts w:hAnsi="宋体" w:eastAsia="宋体" w:cs="宋体"/>
          <w:b/>
          <w:sz w:val="24"/>
          <w:szCs w:val="24"/>
          <w:highlight w:val="none"/>
        </w:rPr>
      </w:pPr>
    </w:p>
    <w:p>
      <w:pPr>
        <w:pStyle w:val="971"/>
        <w:spacing w:line="360" w:lineRule="auto"/>
        <w:jc w:val="center"/>
        <w:rPr>
          <w:rFonts w:hAnsi="宋体" w:eastAsia="宋体" w:cs="宋体"/>
          <w:b/>
          <w:sz w:val="24"/>
          <w:szCs w:val="24"/>
          <w:highlight w:val="none"/>
        </w:rPr>
      </w:pPr>
      <w:r>
        <w:rPr>
          <w:rFonts w:hint="eastAsia" w:hAnsi="宋体" w:eastAsia="宋体" w:cs="宋体"/>
          <w:b/>
          <w:sz w:val="24"/>
          <w:szCs w:val="24"/>
          <w:highlight w:val="none"/>
        </w:rPr>
        <w:t>同类业绩一览表</w:t>
      </w:r>
    </w:p>
    <w:tbl>
      <w:tblPr>
        <w:tblStyle w:val="64"/>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943"/>
        <w:gridCol w:w="2565"/>
        <w:gridCol w:w="1311"/>
        <w:gridCol w:w="131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序号</w:t>
            </w:r>
          </w:p>
        </w:tc>
        <w:tc>
          <w:tcPr>
            <w:tcW w:w="2943" w:type="dxa"/>
            <w:vAlign w:val="center"/>
          </w:tcPr>
          <w:p>
            <w:pPr>
              <w:jc w:val="center"/>
              <w:rPr>
                <w:rFonts w:ascii="宋体" w:hAnsi="宋体"/>
                <w:bCs/>
                <w:szCs w:val="21"/>
                <w:highlight w:val="none"/>
              </w:rPr>
            </w:pPr>
            <w:r>
              <w:rPr>
                <w:rFonts w:hint="eastAsia" w:ascii="宋体" w:hAnsi="宋体"/>
                <w:bCs/>
                <w:szCs w:val="21"/>
                <w:highlight w:val="none"/>
              </w:rPr>
              <w:t>采购人名称</w:t>
            </w:r>
          </w:p>
        </w:tc>
        <w:tc>
          <w:tcPr>
            <w:tcW w:w="2565" w:type="dxa"/>
            <w:vAlign w:val="center"/>
          </w:tcPr>
          <w:p>
            <w:pPr>
              <w:tabs>
                <w:tab w:val="left" w:pos="6252"/>
              </w:tabs>
              <w:jc w:val="center"/>
              <w:rPr>
                <w:rFonts w:ascii="宋体" w:hAnsi="宋体"/>
                <w:bCs/>
                <w:szCs w:val="21"/>
                <w:highlight w:val="none"/>
              </w:rPr>
            </w:pPr>
            <w:r>
              <w:rPr>
                <w:rFonts w:hint="eastAsia" w:ascii="宋体" w:hAnsi="宋体"/>
                <w:bCs/>
                <w:szCs w:val="21"/>
                <w:highlight w:val="none"/>
              </w:rPr>
              <w:t>项目名称</w:t>
            </w:r>
          </w:p>
        </w:tc>
        <w:tc>
          <w:tcPr>
            <w:tcW w:w="1311" w:type="dxa"/>
            <w:vAlign w:val="center"/>
          </w:tcPr>
          <w:p>
            <w:pPr>
              <w:tabs>
                <w:tab w:val="left" w:pos="6252"/>
              </w:tabs>
              <w:jc w:val="center"/>
              <w:rPr>
                <w:rFonts w:ascii="宋体" w:hAnsi="宋体"/>
                <w:bCs/>
                <w:szCs w:val="21"/>
                <w:highlight w:val="none"/>
              </w:rPr>
            </w:pPr>
            <w:r>
              <w:rPr>
                <w:rFonts w:hint="eastAsia" w:ascii="宋体" w:hAnsi="宋体"/>
                <w:bCs/>
                <w:szCs w:val="21"/>
                <w:highlight w:val="none"/>
              </w:rPr>
              <w:t>服务内容</w:t>
            </w:r>
          </w:p>
        </w:tc>
        <w:tc>
          <w:tcPr>
            <w:tcW w:w="1311" w:type="dxa"/>
            <w:vAlign w:val="center"/>
          </w:tcPr>
          <w:p>
            <w:pPr>
              <w:tabs>
                <w:tab w:val="left" w:pos="6252"/>
              </w:tabs>
              <w:jc w:val="center"/>
              <w:rPr>
                <w:rFonts w:ascii="宋体" w:hAnsi="宋体"/>
                <w:bCs/>
                <w:szCs w:val="21"/>
                <w:highlight w:val="none"/>
              </w:rPr>
            </w:pPr>
            <w:r>
              <w:rPr>
                <w:rFonts w:hint="eastAsia" w:ascii="宋体" w:hAnsi="宋体"/>
                <w:bCs/>
                <w:szCs w:val="21"/>
                <w:highlight w:val="none"/>
              </w:rPr>
              <w:t>服务期限</w:t>
            </w:r>
          </w:p>
        </w:tc>
        <w:tc>
          <w:tcPr>
            <w:tcW w:w="1298" w:type="dxa"/>
            <w:vAlign w:val="center"/>
          </w:tcPr>
          <w:p>
            <w:pPr>
              <w:tabs>
                <w:tab w:val="left" w:pos="6252"/>
              </w:tabs>
              <w:jc w:val="center"/>
              <w:rPr>
                <w:rFonts w:ascii="宋体" w:hAnsi="宋体"/>
                <w:bCs/>
                <w:szCs w:val="21"/>
                <w:highlight w:val="none"/>
              </w:rPr>
            </w:pPr>
            <w:r>
              <w:rPr>
                <w:rFonts w:hint="eastAsia"/>
                <w:bCs/>
                <w:highlight w:val="none"/>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1</w:t>
            </w:r>
          </w:p>
        </w:tc>
        <w:tc>
          <w:tcPr>
            <w:tcW w:w="2943" w:type="dxa"/>
            <w:vAlign w:val="center"/>
          </w:tcPr>
          <w:p>
            <w:pPr>
              <w:jc w:val="center"/>
              <w:rPr>
                <w:rFonts w:ascii="宋体" w:hAnsi="宋体"/>
                <w:bCs/>
                <w:szCs w:val="21"/>
                <w:highlight w:val="none"/>
              </w:rPr>
            </w:pPr>
          </w:p>
        </w:tc>
        <w:tc>
          <w:tcPr>
            <w:tcW w:w="2565" w:type="dxa"/>
          </w:tcPr>
          <w:p>
            <w:pPr>
              <w:jc w:val="center"/>
              <w:rPr>
                <w:rFonts w:ascii="宋体" w:hAnsi="宋体"/>
                <w:bCs/>
                <w:szCs w:val="21"/>
                <w:highlight w:val="none"/>
              </w:rPr>
            </w:pPr>
          </w:p>
        </w:tc>
        <w:tc>
          <w:tcPr>
            <w:tcW w:w="1311" w:type="dxa"/>
          </w:tcPr>
          <w:p>
            <w:pPr>
              <w:jc w:val="center"/>
              <w:rPr>
                <w:rFonts w:ascii="宋体" w:hAnsi="宋体"/>
                <w:bCs/>
                <w:szCs w:val="21"/>
                <w:highlight w:val="none"/>
              </w:rPr>
            </w:pPr>
          </w:p>
        </w:tc>
        <w:tc>
          <w:tcPr>
            <w:tcW w:w="1311" w:type="dxa"/>
            <w:vAlign w:val="center"/>
          </w:tcPr>
          <w:p>
            <w:pPr>
              <w:jc w:val="center"/>
              <w:rPr>
                <w:rFonts w:ascii="宋体" w:hAnsi="宋体"/>
                <w:bCs/>
                <w:szCs w:val="21"/>
                <w:highlight w:val="none"/>
              </w:rPr>
            </w:pPr>
          </w:p>
        </w:tc>
        <w:tc>
          <w:tcPr>
            <w:tcW w:w="1298" w:type="dxa"/>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2</w:t>
            </w:r>
          </w:p>
        </w:tc>
        <w:tc>
          <w:tcPr>
            <w:tcW w:w="2943" w:type="dxa"/>
            <w:vAlign w:val="center"/>
          </w:tcPr>
          <w:p>
            <w:pPr>
              <w:jc w:val="center"/>
              <w:rPr>
                <w:rFonts w:ascii="宋体" w:hAnsi="宋体"/>
                <w:bCs/>
                <w:szCs w:val="21"/>
                <w:highlight w:val="none"/>
              </w:rPr>
            </w:pPr>
          </w:p>
        </w:tc>
        <w:tc>
          <w:tcPr>
            <w:tcW w:w="2565" w:type="dxa"/>
          </w:tcPr>
          <w:p>
            <w:pPr>
              <w:jc w:val="center"/>
              <w:rPr>
                <w:rFonts w:ascii="宋体" w:hAnsi="宋体"/>
                <w:bCs/>
                <w:szCs w:val="21"/>
                <w:highlight w:val="none"/>
              </w:rPr>
            </w:pPr>
          </w:p>
        </w:tc>
        <w:tc>
          <w:tcPr>
            <w:tcW w:w="1311" w:type="dxa"/>
          </w:tcPr>
          <w:p>
            <w:pPr>
              <w:jc w:val="center"/>
              <w:rPr>
                <w:rFonts w:ascii="宋体" w:hAnsi="宋体"/>
                <w:bCs/>
                <w:szCs w:val="21"/>
                <w:highlight w:val="none"/>
              </w:rPr>
            </w:pPr>
          </w:p>
        </w:tc>
        <w:tc>
          <w:tcPr>
            <w:tcW w:w="1311" w:type="dxa"/>
            <w:vAlign w:val="center"/>
          </w:tcPr>
          <w:p>
            <w:pPr>
              <w:jc w:val="center"/>
              <w:rPr>
                <w:rFonts w:ascii="宋体" w:hAnsi="宋体"/>
                <w:bCs/>
                <w:szCs w:val="21"/>
                <w:highlight w:val="none"/>
              </w:rPr>
            </w:pPr>
          </w:p>
        </w:tc>
        <w:tc>
          <w:tcPr>
            <w:tcW w:w="1298" w:type="dxa"/>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3</w:t>
            </w:r>
          </w:p>
        </w:tc>
        <w:tc>
          <w:tcPr>
            <w:tcW w:w="2943" w:type="dxa"/>
            <w:vAlign w:val="center"/>
          </w:tcPr>
          <w:p>
            <w:pPr>
              <w:jc w:val="center"/>
              <w:rPr>
                <w:rFonts w:ascii="宋体" w:hAnsi="宋体"/>
                <w:bCs/>
                <w:szCs w:val="21"/>
                <w:highlight w:val="none"/>
              </w:rPr>
            </w:pPr>
          </w:p>
        </w:tc>
        <w:tc>
          <w:tcPr>
            <w:tcW w:w="2565" w:type="dxa"/>
          </w:tcPr>
          <w:p>
            <w:pPr>
              <w:jc w:val="center"/>
              <w:rPr>
                <w:rFonts w:ascii="宋体" w:hAnsi="宋体"/>
                <w:bCs/>
                <w:szCs w:val="21"/>
                <w:highlight w:val="none"/>
              </w:rPr>
            </w:pPr>
          </w:p>
        </w:tc>
        <w:tc>
          <w:tcPr>
            <w:tcW w:w="1311" w:type="dxa"/>
          </w:tcPr>
          <w:p>
            <w:pPr>
              <w:jc w:val="center"/>
              <w:rPr>
                <w:rFonts w:ascii="宋体" w:hAnsi="宋体"/>
                <w:bCs/>
                <w:szCs w:val="21"/>
                <w:highlight w:val="none"/>
              </w:rPr>
            </w:pPr>
          </w:p>
        </w:tc>
        <w:tc>
          <w:tcPr>
            <w:tcW w:w="1311" w:type="dxa"/>
            <w:vAlign w:val="center"/>
          </w:tcPr>
          <w:p>
            <w:pPr>
              <w:jc w:val="center"/>
              <w:rPr>
                <w:rFonts w:ascii="宋体" w:hAnsi="宋体"/>
                <w:bCs/>
                <w:szCs w:val="21"/>
                <w:highlight w:val="none"/>
              </w:rPr>
            </w:pPr>
          </w:p>
        </w:tc>
        <w:tc>
          <w:tcPr>
            <w:tcW w:w="1298" w:type="dxa"/>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4</w:t>
            </w:r>
          </w:p>
        </w:tc>
        <w:tc>
          <w:tcPr>
            <w:tcW w:w="2943" w:type="dxa"/>
            <w:vAlign w:val="center"/>
          </w:tcPr>
          <w:p>
            <w:pPr>
              <w:jc w:val="center"/>
              <w:rPr>
                <w:rFonts w:ascii="宋体" w:hAnsi="宋体"/>
                <w:bCs/>
                <w:szCs w:val="21"/>
                <w:highlight w:val="none"/>
              </w:rPr>
            </w:pPr>
          </w:p>
        </w:tc>
        <w:tc>
          <w:tcPr>
            <w:tcW w:w="2565" w:type="dxa"/>
          </w:tcPr>
          <w:p>
            <w:pPr>
              <w:jc w:val="center"/>
              <w:rPr>
                <w:rFonts w:ascii="宋体" w:hAnsi="宋体"/>
                <w:bCs/>
                <w:szCs w:val="21"/>
                <w:highlight w:val="none"/>
              </w:rPr>
            </w:pPr>
          </w:p>
        </w:tc>
        <w:tc>
          <w:tcPr>
            <w:tcW w:w="1311" w:type="dxa"/>
          </w:tcPr>
          <w:p>
            <w:pPr>
              <w:jc w:val="center"/>
              <w:rPr>
                <w:rFonts w:ascii="宋体" w:hAnsi="宋体"/>
                <w:bCs/>
                <w:szCs w:val="21"/>
                <w:highlight w:val="none"/>
              </w:rPr>
            </w:pPr>
          </w:p>
        </w:tc>
        <w:tc>
          <w:tcPr>
            <w:tcW w:w="1311" w:type="dxa"/>
            <w:vAlign w:val="center"/>
          </w:tcPr>
          <w:p>
            <w:pPr>
              <w:jc w:val="center"/>
              <w:rPr>
                <w:rFonts w:ascii="宋体" w:hAnsi="宋体"/>
                <w:bCs/>
                <w:szCs w:val="21"/>
                <w:highlight w:val="none"/>
              </w:rPr>
            </w:pPr>
          </w:p>
        </w:tc>
        <w:tc>
          <w:tcPr>
            <w:tcW w:w="1298" w:type="dxa"/>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5</w:t>
            </w:r>
          </w:p>
        </w:tc>
        <w:tc>
          <w:tcPr>
            <w:tcW w:w="2943" w:type="dxa"/>
            <w:vAlign w:val="center"/>
          </w:tcPr>
          <w:p>
            <w:pPr>
              <w:jc w:val="center"/>
              <w:rPr>
                <w:rFonts w:ascii="宋体" w:hAnsi="宋体"/>
                <w:bCs/>
                <w:szCs w:val="21"/>
                <w:highlight w:val="none"/>
              </w:rPr>
            </w:pPr>
          </w:p>
        </w:tc>
        <w:tc>
          <w:tcPr>
            <w:tcW w:w="2565" w:type="dxa"/>
          </w:tcPr>
          <w:p>
            <w:pPr>
              <w:jc w:val="center"/>
              <w:rPr>
                <w:rFonts w:ascii="宋体" w:hAnsi="宋体"/>
                <w:bCs/>
                <w:szCs w:val="21"/>
                <w:highlight w:val="none"/>
              </w:rPr>
            </w:pPr>
          </w:p>
        </w:tc>
        <w:tc>
          <w:tcPr>
            <w:tcW w:w="1311" w:type="dxa"/>
          </w:tcPr>
          <w:p>
            <w:pPr>
              <w:jc w:val="center"/>
              <w:rPr>
                <w:rFonts w:ascii="宋体" w:hAnsi="宋体"/>
                <w:bCs/>
                <w:szCs w:val="21"/>
                <w:highlight w:val="none"/>
              </w:rPr>
            </w:pPr>
          </w:p>
        </w:tc>
        <w:tc>
          <w:tcPr>
            <w:tcW w:w="1311" w:type="dxa"/>
            <w:vAlign w:val="center"/>
          </w:tcPr>
          <w:p>
            <w:pPr>
              <w:jc w:val="center"/>
              <w:rPr>
                <w:rFonts w:ascii="宋体" w:hAnsi="宋体"/>
                <w:bCs/>
                <w:szCs w:val="21"/>
                <w:highlight w:val="none"/>
              </w:rPr>
            </w:pPr>
          </w:p>
        </w:tc>
        <w:tc>
          <w:tcPr>
            <w:tcW w:w="1298" w:type="dxa"/>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szCs w:val="21"/>
                <w:highlight w:val="none"/>
              </w:rPr>
            </w:pPr>
            <w:r>
              <w:rPr>
                <w:rFonts w:hint="eastAsia" w:ascii="宋体" w:hAnsi="宋体"/>
                <w:szCs w:val="21"/>
                <w:highlight w:val="none"/>
              </w:rPr>
              <w:t>6</w:t>
            </w:r>
          </w:p>
        </w:tc>
        <w:tc>
          <w:tcPr>
            <w:tcW w:w="2943" w:type="dxa"/>
            <w:vAlign w:val="center"/>
          </w:tcPr>
          <w:p>
            <w:pPr>
              <w:jc w:val="center"/>
              <w:rPr>
                <w:rFonts w:ascii="宋体" w:hAnsi="宋体"/>
                <w:szCs w:val="21"/>
                <w:highlight w:val="none"/>
              </w:rPr>
            </w:pPr>
          </w:p>
        </w:tc>
        <w:tc>
          <w:tcPr>
            <w:tcW w:w="2565" w:type="dxa"/>
          </w:tcPr>
          <w:p>
            <w:pPr>
              <w:jc w:val="center"/>
              <w:rPr>
                <w:rFonts w:ascii="宋体" w:hAnsi="宋体"/>
                <w:szCs w:val="21"/>
                <w:highlight w:val="none"/>
              </w:rPr>
            </w:pPr>
          </w:p>
        </w:tc>
        <w:tc>
          <w:tcPr>
            <w:tcW w:w="1311" w:type="dxa"/>
          </w:tcPr>
          <w:p>
            <w:pPr>
              <w:jc w:val="center"/>
              <w:rPr>
                <w:rFonts w:ascii="宋体" w:hAnsi="宋体"/>
                <w:szCs w:val="21"/>
                <w:highlight w:val="none"/>
              </w:rPr>
            </w:pPr>
          </w:p>
        </w:tc>
        <w:tc>
          <w:tcPr>
            <w:tcW w:w="1311" w:type="dxa"/>
            <w:vAlign w:val="center"/>
          </w:tcPr>
          <w:p>
            <w:pPr>
              <w:jc w:val="center"/>
              <w:rPr>
                <w:rFonts w:ascii="宋体" w:hAnsi="宋体"/>
                <w:szCs w:val="21"/>
                <w:highlight w:val="none"/>
              </w:rPr>
            </w:pPr>
          </w:p>
        </w:tc>
        <w:tc>
          <w:tcPr>
            <w:tcW w:w="1298"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31" w:type="dxa"/>
            <w:vAlign w:val="center"/>
          </w:tcPr>
          <w:p>
            <w:pPr>
              <w:jc w:val="center"/>
              <w:rPr>
                <w:rFonts w:ascii="宋体" w:hAnsi="宋体"/>
                <w:szCs w:val="21"/>
                <w:highlight w:val="none"/>
              </w:rPr>
            </w:pPr>
            <w:r>
              <w:rPr>
                <w:rFonts w:hint="eastAsia" w:ascii="宋体" w:hAnsi="宋体"/>
                <w:szCs w:val="21"/>
                <w:highlight w:val="none"/>
              </w:rPr>
              <w:t>…</w:t>
            </w:r>
          </w:p>
        </w:tc>
        <w:tc>
          <w:tcPr>
            <w:tcW w:w="2943" w:type="dxa"/>
            <w:vAlign w:val="center"/>
          </w:tcPr>
          <w:p>
            <w:pPr>
              <w:jc w:val="center"/>
              <w:rPr>
                <w:rFonts w:ascii="宋体" w:hAnsi="宋体"/>
                <w:szCs w:val="21"/>
                <w:highlight w:val="none"/>
              </w:rPr>
            </w:pPr>
          </w:p>
        </w:tc>
        <w:tc>
          <w:tcPr>
            <w:tcW w:w="2565" w:type="dxa"/>
          </w:tcPr>
          <w:p>
            <w:pPr>
              <w:jc w:val="center"/>
              <w:rPr>
                <w:rFonts w:ascii="宋体" w:hAnsi="宋体"/>
                <w:szCs w:val="21"/>
                <w:highlight w:val="none"/>
              </w:rPr>
            </w:pPr>
          </w:p>
        </w:tc>
        <w:tc>
          <w:tcPr>
            <w:tcW w:w="1311" w:type="dxa"/>
          </w:tcPr>
          <w:p>
            <w:pPr>
              <w:jc w:val="center"/>
              <w:rPr>
                <w:rFonts w:ascii="宋体" w:hAnsi="宋体"/>
                <w:szCs w:val="21"/>
                <w:highlight w:val="none"/>
              </w:rPr>
            </w:pPr>
          </w:p>
        </w:tc>
        <w:tc>
          <w:tcPr>
            <w:tcW w:w="1311" w:type="dxa"/>
            <w:vAlign w:val="center"/>
          </w:tcPr>
          <w:p>
            <w:pPr>
              <w:jc w:val="center"/>
              <w:rPr>
                <w:rFonts w:ascii="宋体" w:hAnsi="宋体"/>
                <w:szCs w:val="21"/>
                <w:highlight w:val="none"/>
              </w:rPr>
            </w:pPr>
          </w:p>
        </w:tc>
        <w:tc>
          <w:tcPr>
            <w:tcW w:w="1298" w:type="dxa"/>
            <w:vAlign w:val="center"/>
          </w:tcPr>
          <w:p>
            <w:pPr>
              <w:jc w:val="center"/>
              <w:rPr>
                <w:rFonts w:ascii="宋体" w:hAnsi="宋体"/>
                <w:szCs w:val="21"/>
                <w:highlight w:val="none"/>
              </w:rPr>
            </w:pPr>
          </w:p>
        </w:tc>
      </w:tr>
    </w:tbl>
    <w:p>
      <w:pPr>
        <w:pStyle w:val="971"/>
        <w:spacing w:line="360" w:lineRule="auto"/>
        <w:rPr>
          <w:rFonts w:hAnsi="宋体" w:eastAsia="宋体"/>
          <w:b/>
          <w:sz w:val="21"/>
          <w:szCs w:val="21"/>
          <w:highlight w:val="none"/>
        </w:rPr>
      </w:pPr>
      <w:r>
        <w:rPr>
          <w:rFonts w:hint="eastAsia" w:hAnsi="宋体" w:eastAsia="宋体"/>
          <w:b/>
          <w:sz w:val="21"/>
          <w:szCs w:val="21"/>
          <w:highlight w:val="none"/>
        </w:rPr>
        <w:t>注：投标人同类业绩得分以本表为准，后附相关证明材料，所需的证明材料要求详见评标办法。</w:t>
      </w:r>
    </w:p>
    <w:p>
      <w:pPr>
        <w:pStyle w:val="971"/>
        <w:spacing w:line="360" w:lineRule="auto"/>
        <w:rPr>
          <w:rFonts w:hAnsi="宋体" w:eastAsia="宋体"/>
          <w:b/>
          <w:sz w:val="24"/>
          <w:szCs w:val="24"/>
          <w:highlight w:val="none"/>
        </w:rPr>
      </w:pPr>
    </w:p>
    <w:p>
      <w:pPr>
        <w:pStyle w:val="971"/>
        <w:spacing w:line="360" w:lineRule="auto"/>
        <w:rPr>
          <w:rFonts w:hAnsi="宋体" w:eastAsia="宋体"/>
          <w:b/>
          <w:sz w:val="24"/>
          <w:szCs w:val="24"/>
          <w:highlight w:val="none"/>
        </w:rPr>
      </w:pPr>
    </w:p>
    <w:p>
      <w:pPr>
        <w:snapToGrid w:val="0"/>
        <w:spacing w:before="120" w:beforeLines="50" w:line="400" w:lineRule="exact"/>
        <w:rPr>
          <w:rFonts w:ascii="宋体" w:hAnsi="宋体" w:cs="宋体"/>
          <w:sz w:val="24"/>
          <w:szCs w:val="20"/>
          <w:highlight w:val="none"/>
          <w:u w:val="single"/>
        </w:rPr>
      </w:pPr>
      <w:r>
        <w:rPr>
          <w:rFonts w:hint="eastAsia" w:ascii="宋体" w:hAnsi="宋体" w:cs="宋体"/>
          <w:sz w:val="24"/>
          <w:highlight w:val="none"/>
        </w:rPr>
        <w:t>法定代表人或被授权人签字（或盖章）：</w:t>
      </w:r>
      <w:r>
        <w:rPr>
          <w:rFonts w:hint="eastAsia" w:ascii="宋体" w:hAnsi="宋体" w:cs="宋体"/>
          <w:sz w:val="24"/>
          <w:highlight w:val="none"/>
          <w:u w:val="single"/>
        </w:rPr>
        <w:t xml:space="preserve">             </w:t>
      </w:r>
    </w:p>
    <w:p>
      <w:pPr>
        <w:snapToGrid w:val="0"/>
        <w:spacing w:before="120" w:beforeLines="50" w:after="50" w:line="400" w:lineRule="exact"/>
        <w:rPr>
          <w:rFonts w:ascii="宋体" w:hAnsi="宋体" w:cs="宋体"/>
          <w:sz w:val="24"/>
          <w:highlight w:val="non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480" w:lineRule="exact"/>
        <w:rPr>
          <w:rFonts w:ascii="宋体" w:hAnsi="宋体"/>
          <w:b/>
          <w:color w:val="000000"/>
          <w:sz w:val="22"/>
          <w:szCs w:val="22"/>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rPr>
          <w:rFonts w:ascii="宋体" w:hAnsi="宋体" w:cs="宋体"/>
          <w:sz w:val="24"/>
          <w:highlight w:val="none"/>
        </w:rPr>
      </w:pPr>
    </w:p>
    <w:p>
      <w:pPr>
        <w:pStyle w:val="4"/>
        <w:rPr>
          <w:rFonts w:ascii="宋体" w:hAnsi="宋体" w:cs="宋体"/>
          <w:sz w:val="24"/>
          <w:highlight w:val="none"/>
        </w:rPr>
      </w:pPr>
    </w:p>
    <w:p>
      <w:pPr>
        <w:rPr>
          <w:highlight w:val="none"/>
        </w:rPr>
      </w:pPr>
    </w:p>
    <w:p>
      <w:pPr>
        <w:pStyle w:val="89"/>
        <w:ind w:left="420" w:firstLine="480"/>
        <w:rPr>
          <w:highlight w:val="none"/>
        </w:rPr>
      </w:pPr>
    </w:p>
    <w:p>
      <w:pPr>
        <w:pStyle w:val="971"/>
        <w:spacing w:line="360" w:lineRule="auto"/>
        <w:jc w:val="center"/>
        <w:rPr>
          <w:rFonts w:hAnsi="宋体" w:eastAsia="宋体"/>
          <w:b/>
          <w:sz w:val="28"/>
          <w:szCs w:val="28"/>
          <w:highlight w:val="none"/>
        </w:rPr>
      </w:pPr>
    </w:p>
    <w:p>
      <w:pPr>
        <w:pStyle w:val="35"/>
        <w:spacing w:before="120" w:after="120" w:line="360" w:lineRule="auto"/>
        <w:jc w:val="center"/>
        <w:textAlignment w:val="baseline"/>
        <w:rPr>
          <w:rFonts w:hAnsi="宋体"/>
          <w:b/>
          <w:sz w:val="28"/>
          <w:szCs w:val="28"/>
          <w:highlight w:val="none"/>
        </w:rPr>
      </w:pPr>
    </w:p>
    <w:p>
      <w:pPr>
        <w:pStyle w:val="35"/>
        <w:spacing w:before="120" w:after="120" w:line="360" w:lineRule="auto"/>
        <w:jc w:val="center"/>
        <w:textAlignment w:val="baseline"/>
        <w:rPr>
          <w:rFonts w:hAnsi="宋体"/>
          <w:sz w:val="28"/>
          <w:szCs w:val="28"/>
          <w:highlight w:val="none"/>
        </w:rPr>
      </w:pPr>
      <w:r>
        <w:rPr>
          <w:rFonts w:hint="eastAsia" w:hAnsi="宋体"/>
          <w:b/>
          <w:sz w:val="28"/>
          <w:szCs w:val="28"/>
          <w:highlight w:val="none"/>
        </w:rPr>
        <w:t>项目实施人员表</w:t>
      </w:r>
    </w:p>
    <w:tbl>
      <w:tblPr>
        <w:tblStyle w:val="64"/>
        <w:tblW w:w="93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016"/>
        <w:gridCol w:w="1625"/>
        <w:gridCol w:w="1800"/>
        <w:gridCol w:w="1787"/>
        <w:gridCol w:w="23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序号</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姓名</w:t>
            </w: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年龄</w:t>
            </w: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学历及专业</w:t>
            </w: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证书</w:t>
            </w:r>
          </w:p>
        </w:tc>
        <w:tc>
          <w:tcPr>
            <w:tcW w:w="23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项目组所任职务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1</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2</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3</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4</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5</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w:t>
            </w:r>
          </w:p>
        </w:tc>
        <w:tc>
          <w:tcPr>
            <w:tcW w:w="10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bl>
    <w:p>
      <w:pPr>
        <w:spacing w:line="360" w:lineRule="auto"/>
        <w:ind w:firstLine="422" w:firstLineChars="200"/>
        <w:rPr>
          <w:rFonts w:ascii="宋体" w:hAnsi="宋体"/>
          <w:b/>
          <w:szCs w:val="21"/>
          <w:highlight w:val="none"/>
        </w:rPr>
      </w:pPr>
    </w:p>
    <w:p>
      <w:pPr>
        <w:spacing w:line="360" w:lineRule="auto"/>
        <w:ind w:firstLine="422" w:firstLineChars="200"/>
        <w:rPr>
          <w:rFonts w:ascii="宋体" w:hAnsi="宋体"/>
          <w:b/>
          <w:szCs w:val="21"/>
          <w:highlight w:val="none"/>
        </w:rPr>
      </w:pPr>
      <w:r>
        <w:rPr>
          <w:rFonts w:hint="eastAsia" w:ascii="宋体" w:hAnsi="宋体"/>
          <w:b/>
          <w:szCs w:val="21"/>
          <w:highlight w:val="none"/>
        </w:rPr>
        <w:t>注：1、相关证明材料附后，所需的证明材料要求详见评标办法。</w:t>
      </w:r>
    </w:p>
    <w:p>
      <w:pPr>
        <w:spacing w:line="360" w:lineRule="auto"/>
        <w:ind w:firstLine="422" w:firstLineChars="200"/>
        <w:rPr>
          <w:rFonts w:ascii="宋体" w:hAnsi="宋体"/>
          <w:b/>
          <w:szCs w:val="21"/>
          <w:highlight w:val="none"/>
        </w:rPr>
      </w:pPr>
      <w:r>
        <w:rPr>
          <w:rFonts w:hint="eastAsia" w:ascii="宋体" w:hAnsi="宋体"/>
          <w:b/>
          <w:szCs w:val="21"/>
          <w:highlight w:val="none"/>
        </w:rPr>
        <w:t>2、表格不够填写可添加。</w:t>
      </w: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89"/>
        <w:ind w:left="0" w:leftChars="0" w:firstLine="0" w:firstLineChars="0"/>
        <w:rPr>
          <w:rFonts w:hAnsi="宋体"/>
          <w:highlight w:val="none"/>
        </w:rPr>
      </w:pPr>
      <w:r>
        <w:rPr>
          <w:rFonts w:hint="eastAsia" w:ascii="宋体" w:hAnsi="宋体" w:cs="宋体"/>
          <w:highlight w:val="none"/>
        </w:rPr>
        <w:t>投标人名称（加盖公章）</w:t>
      </w:r>
      <w:r>
        <w:rPr>
          <w:rFonts w:hint="eastAsia" w:hAnsi="宋体"/>
          <w:highlight w:val="none"/>
          <w:u w:val="single"/>
        </w:rPr>
        <w:t>：</w:t>
      </w:r>
      <w:r>
        <w:rPr>
          <w:rFonts w:hAnsi="宋体"/>
          <w:highlight w:val="none"/>
          <w:u w:val="single"/>
        </w:rPr>
        <w:t xml:space="preserve">                  </w:t>
      </w:r>
      <w:r>
        <w:rPr>
          <w:rFonts w:hAnsi="宋体"/>
          <w:highlight w:val="none"/>
        </w:rPr>
        <w:t xml:space="preserve">        </w:t>
      </w:r>
      <w:r>
        <w:rPr>
          <w:rFonts w:hint="eastAsia" w:hAnsi="宋体"/>
          <w:highlight w:val="none"/>
        </w:rPr>
        <w:t xml:space="preserve">    </w:t>
      </w:r>
    </w:p>
    <w:p>
      <w:pPr>
        <w:pStyle w:val="89"/>
        <w:ind w:left="0" w:leftChars="0" w:firstLine="0" w:firstLineChars="0"/>
        <w:rPr>
          <w:rFonts w:ascii="宋体" w:hAnsi="宋体"/>
          <w:b/>
          <w:sz w:val="28"/>
          <w:szCs w:val="28"/>
          <w:highlight w:val="none"/>
        </w:rPr>
      </w:pPr>
      <w:r>
        <w:rPr>
          <w:rFonts w:hint="eastAsia" w:hAnsi="宋体" w:cs="宋体"/>
          <w:highlight w:val="none"/>
        </w:rPr>
        <w:t>日期：_____年____月____日</w:t>
      </w:r>
    </w:p>
    <w:p>
      <w:pPr>
        <w:pStyle w:val="89"/>
        <w:ind w:left="420" w:firstLine="0" w:firstLineChars="0"/>
        <w:rPr>
          <w:rFonts w:ascii="宋体" w:hAnsi="宋体"/>
          <w:b/>
          <w:sz w:val="28"/>
          <w:szCs w:val="28"/>
          <w:highlight w:val="none"/>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spacing w:line="480" w:lineRule="exact"/>
        <w:jc w:val="center"/>
        <w:rPr>
          <w:rFonts w:ascii="宋体" w:hAnsi="宋体"/>
          <w:b/>
          <w:sz w:val="28"/>
          <w:szCs w:val="28"/>
          <w:highlight w:val="none"/>
        </w:rPr>
      </w:pPr>
      <w:r>
        <w:rPr>
          <w:rFonts w:hint="eastAsia"/>
          <w:b/>
          <w:sz w:val="28"/>
          <w:highlight w:val="none"/>
        </w:rPr>
        <w:t>技术响应（偏离）表</w:t>
      </w:r>
    </w:p>
    <w:tbl>
      <w:tblPr>
        <w:tblStyle w:val="64"/>
        <w:tblpPr w:leftFromText="180" w:rightFromText="180" w:vertAnchor="text" w:horzAnchor="page" w:tblpX="705" w:tblpY="208"/>
        <w:tblOverlap w:val="never"/>
        <w:tblW w:w="109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3"/>
        <w:gridCol w:w="1150"/>
        <w:gridCol w:w="1757"/>
        <w:gridCol w:w="600"/>
        <w:gridCol w:w="1140"/>
        <w:gridCol w:w="1995"/>
        <w:gridCol w:w="2040"/>
        <w:gridCol w:w="1050"/>
        <w:gridCol w:w="7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463"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pStyle w:val="35"/>
              <w:wordWrap w:val="0"/>
              <w:spacing w:before="120" w:after="120" w:line="440" w:lineRule="exact"/>
              <w:jc w:val="center"/>
              <w:rPr>
                <w:rFonts w:hAnsi="宋体" w:cs="宋体"/>
                <w:b/>
                <w:bCs/>
                <w:highlight w:val="none"/>
              </w:rPr>
            </w:pPr>
            <w:r>
              <w:rPr>
                <w:rFonts w:hint="eastAsia" w:hAnsi="宋体" w:cs="宋体"/>
                <w:b/>
                <w:bCs/>
                <w:highlight w:val="none"/>
              </w:rPr>
              <w:t>序号</w:t>
            </w:r>
          </w:p>
        </w:tc>
        <w:tc>
          <w:tcPr>
            <w:tcW w:w="3507" w:type="dxa"/>
            <w:gridSpan w:val="3"/>
            <w:tcBorders>
              <w:top w:val="single" w:color="auto" w:sz="4" w:space="0"/>
              <w:left w:val="single" w:color="auto" w:sz="4" w:space="0"/>
              <w:bottom w:val="single" w:color="auto" w:sz="4" w:space="0"/>
              <w:right w:val="single" w:color="auto" w:sz="4" w:space="0"/>
            </w:tcBorders>
            <w:shd w:val="clear" w:color="auto" w:fill="EEECE1"/>
            <w:vAlign w:val="center"/>
          </w:tcPr>
          <w:p>
            <w:pPr>
              <w:pStyle w:val="35"/>
              <w:wordWrap w:val="0"/>
              <w:spacing w:before="120" w:after="120" w:line="440" w:lineRule="exact"/>
              <w:ind w:firstLine="732" w:firstLineChars="347"/>
              <w:rPr>
                <w:rFonts w:hAnsi="宋体" w:cs="宋体"/>
                <w:b/>
                <w:bCs/>
                <w:highlight w:val="none"/>
              </w:rPr>
            </w:pPr>
            <w:r>
              <w:rPr>
                <w:rFonts w:hint="eastAsia" w:hAnsi="宋体" w:cs="宋体"/>
                <w:b/>
                <w:bCs/>
                <w:highlight w:val="none"/>
              </w:rPr>
              <w:t>招标文件需求</w:t>
            </w:r>
          </w:p>
        </w:tc>
        <w:tc>
          <w:tcPr>
            <w:tcW w:w="6225"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ind w:firstLine="480"/>
              <w:jc w:val="center"/>
              <w:rPr>
                <w:rFonts w:ascii="宋体" w:hAnsi="宋体" w:cs="宋体"/>
                <w:b/>
                <w:bCs/>
                <w:sz w:val="24"/>
                <w:highlight w:val="none"/>
              </w:rPr>
            </w:pPr>
            <w:r>
              <w:rPr>
                <w:rFonts w:hint="eastAsia" w:ascii="宋体" w:hAnsi="宋体" w:cs="宋体"/>
                <w:b/>
                <w:bCs/>
                <w:sz w:val="24"/>
                <w:highlight w:val="none"/>
              </w:rPr>
              <w:t>响应文件规格及技术参数</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440" w:lineRule="exact"/>
              <w:ind w:firstLine="480"/>
              <w:jc w:val="center"/>
              <w:rPr>
                <w:rFonts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sz w:val="24"/>
                <w:highlight w:val="none"/>
              </w:rPr>
            </w:pPr>
            <w:r>
              <w:rPr>
                <w:rFonts w:hint="eastAsia" w:ascii="宋体" w:hAnsi="宋体" w:cs="宋体"/>
                <w:b/>
                <w:bCs/>
                <w:kern w:val="0"/>
                <w:sz w:val="24"/>
                <w:highlight w:val="none"/>
              </w:rPr>
              <w:t>产品名称</w:t>
            </w:r>
          </w:p>
        </w:tc>
        <w:tc>
          <w:tcPr>
            <w:tcW w:w="1757"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sz w:val="24"/>
                <w:highlight w:val="none"/>
              </w:rPr>
            </w:pPr>
            <w:r>
              <w:rPr>
                <w:rFonts w:hint="eastAsia" w:ascii="宋体" w:hAnsi="宋体" w:cs="宋体"/>
                <w:b/>
                <w:bCs/>
                <w:sz w:val="24"/>
                <w:highlight w:val="none"/>
              </w:rPr>
              <w:t>主要技术参数</w:t>
            </w:r>
          </w:p>
        </w:tc>
        <w:tc>
          <w:tcPr>
            <w:tcW w:w="600" w:type="dxa"/>
            <w:tcBorders>
              <w:top w:val="single" w:color="auto" w:sz="4" w:space="0"/>
              <w:left w:val="single" w:color="auto" w:sz="4" w:space="0"/>
              <w:bottom w:val="single" w:color="auto" w:sz="4" w:space="0"/>
              <w:right w:val="single" w:color="auto" w:sz="4" w:space="0"/>
            </w:tcBorders>
            <w:shd w:val="clear" w:color="auto" w:fill="EEECE1"/>
            <w:vAlign w:val="center"/>
          </w:tcPr>
          <w:p>
            <w:pPr>
              <w:pStyle w:val="35"/>
              <w:wordWrap w:val="0"/>
              <w:spacing w:before="120" w:after="120" w:line="440" w:lineRule="exact"/>
              <w:rPr>
                <w:rFonts w:hAnsi="宋体" w:cs="宋体"/>
                <w:b/>
                <w:bCs/>
                <w:highlight w:val="none"/>
              </w:rPr>
            </w:pPr>
            <w:r>
              <w:rPr>
                <w:rFonts w:hint="eastAsia" w:hAnsi="宋体" w:cs="宋体"/>
                <w:b/>
                <w:bCs/>
                <w:highlight w:val="none"/>
              </w:rPr>
              <w:t>数量</w:t>
            </w:r>
          </w:p>
        </w:tc>
        <w:tc>
          <w:tcPr>
            <w:tcW w:w="114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sz w:val="24"/>
                <w:highlight w:val="none"/>
              </w:rPr>
            </w:pPr>
            <w:r>
              <w:rPr>
                <w:rFonts w:hint="eastAsia" w:ascii="宋体" w:hAnsi="宋体" w:cs="宋体"/>
                <w:b/>
                <w:bCs/>
                <w:kern w:val="0"/>
                <w:sz w:val="24"/>
                <w:highlight w:val="none"/>
              </w:rPr>
              <w:t>产品名称</w:t>
            </w:r>
          </w:p>
        </w:tc>
        <w:tc>
          <w:tcPr>
            <w:tcW w:w="1995"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jc w:val="center"/>
              <w:rPr>
                <w:rFonts w:ascii="宋体" w:hAnsi="宋体" w:cs="宋体"/>
                <w:b/>
                <w:bCs/>
                <w:sz w:val="24"/>
                <w:highlight w:val="none"/>
              </w:rPr>
            </w:pPr>
            <w:r>
              <w:rPr>
                <w:rFonts w:hint="eastAsia" w:ascii="宋体" w:hAnsi="宋体" w:cs="宋体"/>
                <w:b/>
                <w:bCs/>
                <w:sz w:val="24"/>
                <w:highlight w:val="none"/>
              </w:rPr>
              <w:t>品牌及型号</w:t>
            </w:r>
          </w:p>
        </w:tc>
        <w:tc>
          <w:tcPr>
            <w:tcW w:w="204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sz w:val="24"/>
                <w:highlight w:val="none"/>
              </w:rPr>
            </w:pPr>
            <w:r>
              <w:rPr>
                <w:rFonts w:hint="eastAsia" w:ascii="宋体" w:hAnsi="宋体" w:cs="宋体"/>
                <w:b/>
                <w:bCs/>
                <w:sz w:val="24"/>
                <w:highlight w:val="none"/>
              </w:rPr>
              <w:t>主要技术参数</w:t>
            </w:r>
          </w:p>
        </w:tc>
        <w:tc>
          <w:tcPr>
            <w:tcW w:w="105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sz w:val="24"/>
                <w:highlight w:val="none"/>
              </w:rPr>
            </w:pPr>
            <w:r>
              <w:rPr>
                <w:rFonts w:hint="eastAsia" w:ascii="宋体" w:hAnsi="宋体" w:cs="宋体"/>
                <w:b/>
                <w:bCs/>
                <w:sz w:val="24"/>
                <w:highlight w:val="none"/>
              </w:rPr>
              <w:t>数量</w:t>
            </w: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ordWrap w:val="0"/>
              <w:spacing w:line="440" w:lineRule="exact"/>
              <w:ind w:firstLine="480"/>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pStyle w:val="25"/>
              <w:ind w:firstLine="210"/>
              <w:rPr>
                <w:rFonts w:hAnsi="宋体" w:cs="宋体"/>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r>
              <w:rPr>
                <w:rFonts w:hint="eastAsia" w:ascii="宋体" w:hAnsi="宋体" w:cs="宋体"/>
                <w:sz w:val="24"/>
                <w:highlight w:val="none"/>
              </w:rPr>
              <w:t>..</w:t>
            </w: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r>
              <w:rPr>
                <w:rFonts w:hint="eastAsia" w:ascii="宋体" w:hAnsi="宋体" w:cs="宋体"/>
                <w:sz w:val="24"/>
                <w:highlight w:val="none"/>
              </w:rPr>
              <w:t>.....</w:t>
            </w:r>
          </w:p>
        </w:tc>
        <w:tc>
          <w:tcPr>
            <w:tcW w:w="1757" w:type="dxa"/>
            <w:tcBorders>
              <w:top w:val="single" w:color="auto" w:sz="4" w:space="0"/>
              <w:left w:val="single" w:color="auto" w:sz="4" w:space="0"/>
              <w:bottom w:val="single" w:color="auto" w:sz="4" w:space="0"/>
              <w:right w:val="single" w:color="auto" w:sz="4" w:space="0"/>
            </w:tcBorders>
            <w:vAlign w:val="center"/>
          </w:tcPr>
          <w:p>
            <w:pPr>
              <w:pStyle w:val="25"/>
              <w:ind w:firstLine="210"/>
              <w:rPr>
                <w:rFonts w:hAnsi="宋体" w:cs="宋体"/>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highlight w:val="none"/>
              </w:rPr>
            </w:pPr>
          </w:p>
        </w:tc>
      </w:tr>
    </w:tbl>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注：1、投标人应根据投标产品的技术指标、对照招标文件要求一一对应如实填写技术响应表，在“偏离情况”栏注明“正偏离”、“负偏离”或“无偏离”。未按要求填写的，有可能作负偏离处理</w:t>
      </w:r>
    </w:p>
    <w:p>
      <w:pPr>
        <w:spacing w:line="360" w:lineRule="auto"/>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val="zh-CN"/>
        </w:rPr>
        <w:t>如果供应商在技术偏离表中注明无偏离，评标结束后、签订招标合同前又认为其实际产品与投标技术需求不一致的，视为供应商在投标有效期内对其投标文件进行了实质性修改，其投标将被追认为无效。</w:t>
      </w:r>
    </w:p>
    <w:p>
      <w:pPr>
        <w:spacing w:line="360" w:lineRule="auto"/>
        <w:rPr>
          <w:rFonts w:ascii="宋体" w:hAnsi="宋体"/>
          <w:szCs w:val="21"/>
          <w:highlight w:val="none"/>
        </w:rPr>
      </w:pPr>
      <w:r>
        <w:rPr>
          <w:rFonts w:hint="eastAsia" w:ascii="宋体" w:hAnsi="宋体"/>
          <w:szCs w:val="21"/>
          <w:highlight w:val="none"/>
        </w:rPr>
        <w:t>3、标“▲”系实质性要求条款，不满足实质性要求条款的投标文件无效。</w:t>
      </w:r>
    </w:p>
    <w:p>
      <w:pPr>
        <w:spacing w:line="360" w:lineRule="auto"/>
        <w:rPr>
          <w:rFonts w:ascii="宋体" w:hAnsi="宋体"/>
          <w:szCs w:val="21"/>
          <w:highlight w:val="none"/>
        </w:rPr>
      </w:pPr>
      <w:r>
        <w:rPr>
          <w:rFonts w:hint="eastAsia" w:ascii="宋体" w:hAnsi="宋体"/>
          <w:szCs w:val="21"/>
          <w:highlight w:val="none"/>
        </w:rPr>
        <w:t>4、标“★”系重要技术指标。</w:t>
      </w:r>
    </w:p>
    <w:p>
      <w:pPr>
        <w:spacing w:line="400" w:lineRule="exact"/>
        <w:rPr>
          <w:rFonts w:ascii="宋体" w:hAnsi="宋体"/>
          <w:szCs w:val="21"/>
          <w:highlight w:val="none"/>
        </w:rPr>
      </w:pPr>
      <w:r>
        <w:rPr>
          <w:rFonts w:hint="eastAsia" w:ascii="宋体" w:hAnsi="宋体"/>
          <w:szCs w:val="21"/>
          <w:highlight w:val="none"/>
        </w:rPr>
        <w:t>5、上表中行数不够可自行添加。</w:t>
      </w:r>
    </w:p>
    <w:p>
      <w:pPr>
        <w:adjustRightInd/>
        <w:spacing w:line="360" w:lineRule="auto"/>
        <w:rPr>
          <w:rFonts w:ascii="宋体" w:hAnsi="宋体"/>
          <w:highlight w:val="none"/>
        </w:rPr>
      </w:pPr>
    </w:p>
    <w:p>
      <w:pPr>
        <w:rPr>
          <w:rFonts w:ascii="宋体" w:hAnsi="宋体"/>
          <w:highlight w:val="none"/>
          <w:lang w:val="zh-CN"/>
        </w:rPr>
      </w:pPr>
    </w:p>
    <w:p>
      <w:pPr>
        <w:rPr>
          <w:rFonts w:ascii="宋体" w:hAnsi="宋体"/>
          <w:highlight w:val="none"/>
          <w:lang w:val="zh-CN"/>
        </w:rPr>
      </w:pPr>
    </w:p>
    <w:p>
      <w:pPr>
        <w:rPr>
          <w:rFonts w:ascii="宋体" w:hAnsi="宋体"/>
          <w:highlight w:val="none"/>
          <w:lang w:val="zh-CN"/>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971"/>
        <w:spacing w:line="360" w:lineRule="auto"/>
        <w:ind w:right="480"/>
        <w:rPr>
          <w:rFonts w:hAnsi="宋体" w:eastAsia="宋体"/>
          <w:sz w:val="24"/>
          <w:szCs w:val="24"/>
          <w:highlight w:val="none"/>
        </w:rPr>
      </w:pPr>
      <w:r>
        <w:rPr>
          <w:rFonts w:hint="eastAsia" w:hAnsi="宋体" w:eastAsia="宋体"/>
          <w:sz w:val="24"/>
          <w:szCs w:val="24"/>
          <w:highlight w:val="none"/>
        </w:rPr>
        <w:t>投标人名称（加盖公章）</w:t>
      </w:r>
      <w:r>
        <w:rPr>
          <w:rFonts w:hint="eastAsia" w:hAnsi="宋体" w:eastAsia="宋体"/>
          <w:sz w:val="24"/>
          <w:szCs w:val="24"/>
          <w:highlight w:val="none"/>
          <w:u w:val="single"/>
        </w:rPr>
        <w:t>：</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pStyle w:val="971"/>
        <w:spacing w:line="360" w:lineRule="auto"/>
        <w:ind w:right="480"/>
        <w:rPr>
          <w:rFonts w:hAnsi="宋体" w:eastAsia="宋体" w:cs="宋体"/>
          <w:sz w:val="24"/>
          <w:szCs w:val="24"/>
          <w:highlight w:val="none"/>
        </w:rPr>
      </w:pPr>
      <w:r>
        <w:rPr>
          <w:rFonts w:hint="eastAsia" w:hAnsi="宋体" w:eastAsia="宋体" w:cs="宋体"/>
          <w:sz w:val="24"/>
          <w:szCs w:val="24"/>
          <w:highlight w:val="none"/>
        </w:rPr>
        <w:t>日期：_____年____月____日</w:t>
      </w:r>
    </w:p>
    <w:p>
      <w:pPr>
        <w:spacing w:line="360" w:lineRule="auto"/>
        <w:rPr>
          <w:b/>
          <w:sz w:val="24"/>
          <w:highlight w:val="none"/>
        </w:rPr>
      </w:pPr>
    </w:p>
    <w:p>
      <w:pPr>
        <w:pStyle w:val="971"/>
        <w:spacing w:line="360" w:lineRule="auto"/>
        <w:rPr>
          <w:rFonts w:hAnsi="宋体" w:eastAsia="宋体"/>
          <w:b/>
          <w:sz w:val="24"/>
          <w:szCs w:val="24"/>
          <w:highlight w:val="none"/>
        </w:rPr>
      </w:pPr>
    </w:p>
    <w:p>
      <w:pPr>
        <w:pStyle w:val="979"/>
        <w:spacing w:line="276" w:lineRule="auto"/>
        <w:jc w:val="center"/>
        <w:rPr>
          <w:rFonts w:hAnsi="宋体" w:eastAsia="宋体" w:cs="宋体"/>
          <w:b/>
          <w:sz w:val="28"/>
          <w:szCs w:val="28"/>
          <w:highlight w:val="none"/>
        </w:rPr>
      </w:pPr>
    </w:p>
    <w:p>
      <w:pPr>
        <w:pStyle w:val="979"/>
        <w:spacing w:line="276" w:lineRule="auto"/>
        <w:jc w:val="center"/>
        <w:rPr>
          <w:rFonts w:hAnsi="宋体" w:eastAsia="宋体" w:cs="宋体"/>
          <w:b/>
          <w:sz w:val="28"/>
          <w:szCs w:val="28"/>
          <w:highlight w:val="none"/>
        </w:rPr>
      </w:pPr>
    </w:p>
    <w:p>
      <w:pPr>
        <w:pStyle w:val="979"/>
        <w:spacing w:line="276" w:lineRule="auto"/>
        <w:jc w:val="center"/>
        <w:rPr>
          <w:rFonts w:hAnsi="宋体" w:eastAsia="宋体" w:cs="宋体"/>
          <w:b/>
          <w:sz w:val="28"/>
          <w:szCs w:val="28"/>
          <w:highlight w:val="none"/>
        </w:rPr>
      </w:pPr>
      <w:r>
        <w:rPr>
          <w:rFonts w:hint="eastAsia" w:hAnsi="宋体" w:eastAsia="宋体" w:cs="宋体"/>
          <w:b/>
          <w:sz w:val="28"/>
          <w:szCs w:val="28"/>
          <w:highlight w:val="none"/>
        </w:rPr>
        <w:t>商务响应（偏离）表</w:t>
      </w:r>
    </w:p>
    <w:tbl>
      <w:tblPr>
        <w:tblStyle w:val="64"/>
        <w:tblpPr w:leftFromText="180" w:rightFromText="180" w:vertAnchor="text" w:horzAnchor="page" w:tblpX="1587" w:tblpY="325"/>
        <w:tblOverlap w:val="never"/>
        <w:tblW w:w="918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0"/>
        <w:gridCol w:w="3086"/>
        <w:gridCol w:w="3086"/>
        <w:gridCol w:w="21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910" w:type="dxa"/>
            <w:tcBorders>
              <w:tl2br w:val="nil"/>
              <w:tr2bl w:val="nil"/>
            </w:tcBorders>
          </w:tcPr>
          <w:p>
            <w:pPr>
              <w:spacing w:before="240" w:after="240"/>
              <w:rPr>
                <w:rFonts w:ascii="宋体" w:hAnsi="宋体" w:cs="宋体"/>
                <w:b/>
                <w:bCs/>
                <w:sz w:val="24"/>
                <w:highlight w:val="none"/>
              </w:rPr>
            </w:pPr>
            <w:r>
              <w:rPr>
                <w:rFonts w:hint="eastAsia" w:ascii="宋体" w:hAnsi="宋体" w:cs="宋体"/>
                <w:b/>
                <w:bCs/>
                <w:sz w:val="24"/>
                <w:highlight w:val="none"/>
              </w:rPr>
              <w:t>序号</w:t>
            </w:r>
          </w:p>
        </w:tc>
        <w:tc>
          <w:tcPr>
            <w:tcW w:w="3086" w:type="dxa"/>
            <w:tcBorders>
              <w:tl2br w:val="nil"/>
              <w:tr2bl w:val="nil"/>
            </w:tcBorders>
          </w:tcPr>
          <w:p>
            <w:pPr>
              <w:spacing w:before="240" w:after="240"/>
              <w:jc w:val="center"/>
              <w:rPr>
                <w:rFonts w:ascii="宋体" w:hAnsi="宋体" w:cs="宋体"/>
                <w:b/>
                <w:bCs/>
                <w:sz w:val="24"/>
                <w:highlight w:val="none"/>
              </w:rPr>
            </w:pPr>
            <w:r>
              <w:rPr>
                <w:rFonts w:hint="eastAsia" w:ascii="宋体" w:hAnsi="宋体" w:cs="宋体"/>
                <w:b/>
                <w:bCs/>
                <w:sz w:val="24"/>
                <w:highlight w:val="none"/>
              </w:rPr>
              <w:t>采购文件的规定</w:t>
            </w:r>
          </w:p>
        </w:tc>
        <w:tc>
          <w:tcPr>
            <w:tcW w:w="3086" w:type="dxa"/>
            <w:tcBorders>
              <w:tl2br w:val="nil"/>
              <w:tr2bl w:val="nil"/>
            </w:tcBorders>
          </w:tcPr>
          <w:p>
            <w:pPr>
              <w:spacing w:before="240" w:after="240"/>
              <w:jc w:val="center"/>
              <w:rPr>
                <w:rFonts w:ascii="宋体" w:hAnsi="宋体" w:cs="宋体"/>
                <w:b/>
                <w:bCs/>
                <w:sz w:val="24"/>
                <w:highlight w:val="none"/>
              </w:rPr>
            </w:pPr>
            <w:r>
              <w:rPr>
                <w:rFonts w:hint="eastAsia" w:ascii="宋体" w:hAnsi="宋体" w:cs="宋体"/>
                <w:b/>
                <w:bCs/>
                <w:sz w:val="24"/>
                <w:highlight w:val="none"/>
              </w:rPr>
              <w:t>投标文件的响应</w:t>
            </w:r>
          </w:p>
        </w:tc>
        <w:tc>
          <w:tcPr>
            <w:tcW w:w="2107" w:type="dxa"/>
            <w:tcBorders>
              <w:tl2br w:val="nil"/>
              <w:tr2bl w:val="nil"/>
            </w:tcBorders>
          </w:tcPr>
          <w:p>
            <w:pPr>
              <w:spacing w:before="240" w:after="240"/>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0" w:type="dxa"/>
            <w:tcBorders>
              <w:tl2br w:val="nil"/>
              <w:tr2bl w:val="nil"/>
            </w:tcBorders>
          </w:tcPr>
          <w:p>
            <w:pPr>
              <w:spacing w:before="120" w:beforeLines="50" w:after="120" w:afterLines="50" w:line="276" w:lineRule="auto"/>
              <w:jc w:val="center"/>
              <w:rPr>
                <w:rFonts w:ascii="宋体" w:hAnsi="宋体" w:cs="宋体"/>
                <w:sz w:val="24"/>
                <w:highlight w:val="none"/>
              </w:rPr>
            </w:pPr>
            <w:r>
              <w:rPr>
                <w:rFonts w:hint="eastAsia" w:ascii="宋体" w:hAnsi="宋体" w:cs="宋体"/>
                <w:sz w:val="24"/>
                <w:highlight w:val="none"/>
              </w:rPr>
              <w:t>1</w:t>
            </w:r>
          </w:p>
        </w:tc>
        <w:tc>
          <w:tcPr>
            <w:tcW w:w="3086" w:type="dxa"/>
            <w:tcBorders>
              <w:tl2br w:val="nil"/>
              <w:tr2bl w:val="nil"/>
            </w:tcBorders>
            <w:vAlign w:val="center"/>
          </w:tcPr>
          <w:p>
            <w:pPr>
              <w:spacing w:before="120" w:beforeLines="50" w:after="120" w:afterLines="50" w:line="300" w:lineRule="auto"/>
              <w:jc w:val="center"/>
              <w:rPr>
                <w:rFonts w:ascii="宋体" w:hAnsi="宋体" w:cs="宋体"/>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910" w:type="dxa"/>
            <w:tcBorders>
              <w:tl2br w:val="nil"/>
              <w:tr2bl w:val="nil"/>
            </w:tcBorders>
          </w:tcPr>
          <w:p>
            <w:pPr>
              <w:spacing w:before="120" w:beforeLines="50" w:after="120" w:afterLines="50" w:line="276" w:lineRule="auto"/>
              <w:jc w:val="center"/>
              <w:rPr>
                <w:rFonts w:ascii="宋体" w:hAnsi="宋体" w:cs="宋体"/>
                <w:sz w:val="24"/>
                <w:highlight w:val="none"/>
              </w:rPr>
            </w:pPr>
            <w:r>
              <w:rPr>
                <w:rFonts w:hint="eastAsia" w:ascii="宋体" w:hAnsi="宋体" w:cs="宋体"/>
                <w:sz w:val="24"/>
                <w:highlight w:val="none"/>
              </w:rPr>
              <w:t>2</w:t>
            </w:r>
          </w:p>
        </w:tc>
        <w:tc>
          <w:tcPr>
            <w:tcW w:w="3086" w:type="dxa"/>
            <w:tcBorders>
              <w:tl2br w:val="nil"/>
              <w:tr2bl w:val="nil"/>
            </w:tcBorders>
            <w:vAlign w:val="center"/>
          </w:tcPr>
          <w:p>
            <w:pPr>
              <w:spacing w:before="120" w:beforeLines="50" w:after="120" w:afterLines="50" w:line="300" w:lineRule="auto"/>
              <w:jc w:val="center"/>
              <w:rPr>
                <w:rFonts w:ascii="宋体" w:hAnsi="宋体" w:cs="宋体"/>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vAlign w:val="center"/>
          </w:tcPr>
          <w:p>
            <w:pPr>
              <w:spacing w:before="120" w:beforeLines="50" w:after="120" w:afterLines="50" w:line="276" w:lineRule="auto"/>
              <w:jc w:val="center"/>
              <w:rPr>
                <w:rFonts w:ascii="宋体" w:hAnsi="宋体" w:cs="宋体"/>
                <w:sz w:val="24"/>
                <w:highlight w:val="none"/>
              </w:rPr>
            </w:pPr>
            <w:r>
              <w:rPr>
                <w:rFonts w:hint="eastAsia" w:ascii="宋体" w:hAnsi="宋体" w:cs="宋体"/>
                <w:sz w:val="24"/>
                <w:highlight w:val="none"/>
              </w:rPr>
              <w:t>…</w:t>
            </w:r>
          </w:p>
        </w:tc>
        <w:tc>
          <w:tcPr>
            <w:tcW w:w="3086" w:type="dxa"/>
            <w:tcBorders>
              <w:tl2br w:val="nil"/>
              <w:tr2bl w:val="nil"/>
            </w:tcBorders>
            <w:vAlign w:val="center"/>
          </w:tcPr>
          <w:p>
            <w:pPr>
              <w:spacing w:before="120" w:beforeLines="50" w:after="120" w:afterLines="50"/>
              <w:jc w:val="center"/>
              <w:rPr>
                <w:rFonts w:ascii="宋体" w:hAnsi="宋体" w:cs="宋体"/>
                <w:highlight w:val="none"/>
              </w:rPr>
            </w:pPr>
            <w:r>
              <w:rPr>
                <w:rFonts w:hint="eastAsia" w:ascii="宋体" w:hAnsi="宋体" w:cs="宋体"/>
                <w:sz w:val="24"/>
                <w:highlight w:val="none"/>
              </w:rPr>
              <w:t>…</w:t>
            </w:r>
          </w:p>
        </w:tc>
        <w:tc>
          <w:tcPr>
            <w:tcW w:w="3086" w:type="dxa"/>
            <w:tcBorders>
              <w:tl2br w:val="nil"/>
              <w:tr2bl w:val="nil"/>
            </w:tcBorders>
            <w:vAlign w:val="center"/>
          </w:tcPr>
          <w:p>
            <w:pPr>
              <w:spacing w:before="120" w:beforeLines="50" w:after="120" w:afterLines="50"/>
              <w:jc w:val="center"/>
              <w:rPr>
                <w:rFonts w:ascii="宋体" w:hAnsi="宋体" w:cs="宋体"/>
                <w:highlight w:val="none"/>
              </w:rPr>
            </w:pPr>
            <w:r>
              <w:rPr>
                <w:rFonts w:hint="eastAsia" w:ascii="宋体" w:hAnsi="宋体" w:cs="宋体"/>
                <w:sz w:val="24"/>
                <w:highlight w:val="none"/>
              </w:rPr>
              <w:t>…</w:t>
            </w:r>
          </w:p>
        </w:tc>
        <w:tc>
          <w:tcPr>
            <w:tcW w:w="2107" w:type="dxa"/>
            <w:tcBorders>
              <w:tl2br w:val="nil"/>
              <w:tr2bl w:val="nil"/>
            </w:tcBorders>
            <w:vAlign w:val="center"/>
          </w:tcPr>
          <w:p>
            <w:pPr>
              <w:spacing w:before="120" w:beforeLines="50" w:after="120" w:afterLines="50"/>
              <w:jc w:val="center"/>
              <w:rPr>
                <w:rFonts w:ascii="宋体" w:hAnsi="宋体" w:cs="宋体"/>
                <w:highlight w:val="none"/>
              </w:rPr>
            </w:pPr>
            <w:r>
              <w:rPr>
                <w:rFonts w:hint="eastAsia" w:ascii="宋体" w:hAnsi="宋体" w:cs="宋体"/>
                <w:sz w:val="24"/>
                <w:highlight w:val="none"/>
              </w:rPr>
              <w:t>…</w:t>
            </w:r>
          </w:p>
        </w:tc>
      </w:tr>
    </w:tbl>
    <w:p>
      <w:pPr>
        <w:spacing w:line="360" w:lineRule="auto"/>
        <w:ind w:firstLine="482"/>
        <w:rPr>
          <w:rFonts w:ascii="宋体" w:hAnsi="宋体" w:cs="宋体"/>
          <w:b/>
          <w:sz w:val="24"/>
          <w:highlight w:val="none"/>
        </w:rPr>
      </w:pPr>
      <w:r>
        <w:rPr>
          <w:rFonts w:hint="eastAsia" w:ascii="宋体" w:hAnsi="宋体" w:cs="宋体"/>
          <w:b/>
          <w:sz w:val="24"/>
          <w:highlight w:val="none"/>
        </w:rPr>
        <w:t>注：1、供应商的响应文件（除技术规格部分）与采购文件之规定存在偏离的，应在此表中如实说明。未在上表中说明的，将被认为完全响应采购文件的规定。</w:t>
      </w:r>
    </w:p>
    <w:p>
      <w:pPr>
        <w:numPr>
          <w:ilvl w:val="0"/>
          <w:numId w:val="165"/>
        </w:numPr>
        <w:snapToGrid w:val="0"/>
        <w:spacing w:before="120" w:beforeLines="50" w:after="50" w:line="360" w:lineRule="auto"/>
        <w:rPr>
          <w:rFonts w:ascii="宋体" w:hAnsi="宋体" w:cs="宋体"/>
          <w:b/>
          <w:sz w:val="24"/>
          <w:highlight w:val="none"/>
        </w:rPr>
      </w:pPr>
      <w:r>
        <w:rPr>
          <w:rFonts w:hint="eastAsia" w:ascii="宋体" w:hAnsi="宋体" w:cs="宋体"/>
          <w:b/>
          <w:sz w:val="24"/>
          <w:highlight w:val="none"/>
        </w:rPr>
        <w:t>上表中行数不够可自行添加</w:t>
      </w: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979"/>
        <w:spacing w:line="360" w:lineRule="auto"/>
        <w:ind w:right="480"/>
        <w:rPr>
          <w:rFonts w:hAnsi="宋体" w:eastAsia="宋体"/>
          <w:sz w:val="24"/>
          <w:szCs w:val="24"/>
          <w:highlight w:val="none"/>
        </w:rPr>
      </w:pPr>
      <w:r>
        <w:rPr>
          <w:rFonts w:hint="eastAsia" w:hAnsi="宋体" w:eastAsia="宋体"/>
          <w:sz w:val="24"/>
          <w:szCs w:val="24"/>
          <w:highlight w:val="none"/>
        </w:rPr>
        <w:t>投标人名称(公章)</w:t>
      </w:r>
      <w:r>
        <w:rPr>
          <w:rFonts w:hint="eastAsia" w:hAnsi="宋体" w:eastAsia="宋体"/>
          <w:sz w:val="24"/>
          <w:szCs w:val="24"/>
          <w:highlight w:val="none"/>
          <w:u w:val="single"/>
        </w:rPr>
        <w:t>：</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snapToGrid w:val="0"/>
        <w:spacing w:before="120" w:beforeLines="50" w:after="50"/>
        <w:jc w:val="left"/>
        <w:rPr>
          <w:rFonts w:ascii="宋体" w:hAnsi="宋体" w:cs="宋体"/>
          <w:b/>
          <w:sz w:val="32"/>
          <w:szCs w:val="32"/>
          <w:highlight w:val="none"/>
        </w:rPr>
      </w:pPr>
      <w:r>
        <w:rPr>
          <w:rFonts w:hint="eastAsia" w:ascii="宋体" w:hAnsi="宋体"/>
          <w:sz w:val="24"/>
          <w:highlight w:val="none"/>
        </w:rPr>
        <w:t>日期：_____年____月____日</w:t>
      </w:r>
    </w:p>
    <w:p>
      <w:pPr>
        <w:pStyle w:val="971"/>
        <w:spacing w:line="360" w:lineRule="auto"/>
        <w:ind w:right="480"/>
        <w:rPr>
          <w:rFonts w:hAnsi="宋体" w:eastAsia="宋体" w:cs="宋体"/>
          <w:sz w:val="24"/>
          <w:szCs w:val="24"/>
          <w:highlight w:val="none"/>
        </w:rPr>
      </w:pPr>
    </w:p>
    <w:p>
      <w:pPr>
        <w:pStyle w:val="971"/>
        <w:spacing w:line="360" w:lineRule="auto"/>
        <w:ind w:right="480"/>
        <w:rPr>
          <w:rFonts w:hAnsi="宋体" w:eastAsia="宋体" w:cs="宋体"/>
          <w:sz w:val="24"/>
          <w:szCs w:val="24"/>
          <w:highlight w:val="none"/>
        </w:rPr>
      </w:pPr>
    </w:p>
    <w:p>
      <w:pPr>
        <w:pStyle w:val="971"/>
        <w:spacing w:line="360" w:lineRule="auto"/>
        <w:ind w:right="480"/>
        <w:rPr>
          <w:rFonts w:hAnsi="宋体" w:eastAsia="宋体" w:cs="宋体"/>
          <w:sz w:val="24"/>
          <w:szCs w:val="24"/>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r>
        <w:rPr>
          <w:rFonts w:hint="eastAsia" w:ascii="宋体" w:hAnsi="宋体" w:cs="宋体"/>
          <w:b/>
          <w:sz w:val="32"/>
          <w:szCs w:val="32"/>
          <w:highlight w:val="none"/>
        </w:rPr>
        <w:t>投标函</w:t>
      </w:r>
    </w:p>
    <w:p>
      <w:pPr>
        <w:snapToGrid w:val="0"/>
        <w:spacing w:line="360" w:lineRule="auto"/>
        <w:rPr>
          <w:rFonts w:ascii="宋体" w:hAnsi="宋体" w:cs="宋体"/>
          <w:sz w:val="24"/>
          <w:szCs w:val="20"/>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 xml:space="preserve">（采购人）：  </w:t>
      </w:r>
    </w:p>
    <w:p>
      <w:pPr>
        <w:snapToGrid w:val="0"/>
        <w:spacing w:before="120" w:beforeLines="50" w:after="50" w:line="360" w:lineRule="auto"/>
        <w:ind w:firstLine="480" w:firstLineChars="200"/>
        <w:rPr>
          <w:rFonts w:ascii="宋体" w:hAnsi="宋体" w:cs="宋体"/>
          <w:bCs/>
          <w:sz w:val="24"/>
          <w:szCs w:val="20"/>
          <w:highlight w:val="none"/>
        </w:rPr>
      </w:pPr>
      <w:r>
        <w:rPr>
          <w:rFonts w:hint="eastAsia" w:ascii="宋体" w:hAnsi="宋体" w:cs="宋体"/>
          <w:sz w:val="24"/>
          <w:highlight w:val="none"/>
        </w:rPr>
        <w:t>根据贵方为</w:t>
      </w:r>
      <w:r>
        <w:rPr>
          <w:rFonts w:hint="eastAsia" w:ascii="宋体" w:hAnsi="宋体" w:cs="宋体"/>
          <w:bCs/>
          <w:sz w:val="24"/>
          <w:highlight w:val="none"/>
        </w:rPr>
        <w:t>项目名称：</w:t>
      </w:r>
      <w:r>
        <w:rPr>
          <w:rFonts w:hint="eastAsia" w:ascii="宋体" w:hAnsi="宋体" w:cs="宋体"/>
          <w:sz w:val="24"/>
          <w:highlight w:val="none"/>
          <w:u w:val="single"/>
        </w:rPr>
        <w:t xml:space="preserve">                                     </w:t>
      </w:r>
      <w:r>
        <w:rPr>
          <w:rFonts w:hint="eastAsia" w:ascii="宋体" w:hAnsi="宋体" w:cs="宋体"/>
          <w:sz w:val="24"/>
          <w:highlight w:val="none"/>
        </w:rPr>
        <w:t>的招标公告（项目编号：</w:t>
      </w:r>
      <w:r>
        <w:rPr>
          <w:rFonts w:hint="eastAsia" w:ascii="宋体" w:hAnsi="宋体" w:cs="宋体"/>
          <w:sz w:val="24"/>
          <w:highlight w:val="none"/>
          <w:u w:val="single"/>
        </w:rPr>
        <w:t xml:space="preserve">               </w:t>
      </w:r>
      <w:r>
        <w:rPr>
          <w:rFonts w:hint="eastAsia" w:ascii="宋体" w:hAnsi="宋体" w:cs="宋体"/>
          <w:sz w:val="24"/>
          <w:highlight w:val="none"/>
        </w:rPr>
        <w:t>），签字代表</w:t>
      </w:r>
      <w:r>
        <w:rPr>
          <w:rFonts w:hint="eastAsia" w:ascii="宋体" w:hAnsi="宋体" w:cs="宋体"/>
          <w:sz w:val="24"/>
          <w:highlight w:val="none"/>
          <w:u w:val="single"/>
        </w:rPr>
        <w:t xml:space="preserve">               </w:t>
      </w:r>
      <w:r>
        <w:rPr>
          <w:rFonts w:hint="eastAsia" w:ascii="宋体" w:hAnsi="宋体" w:cs="宋体"/>
          <w:sz w:val="24"/>
          <w:highlight w:val="none"/>
        </w:rPr>
        <w:t>（全名）经正式授权并代表投标人_</w:t>
      </w:r>
      <w:r>
        <w:rPr>
          <w:rFonts w:hint="eastAsia" w:ascii="宋体" w:hAnsi="宋体" w:cs="宋体"/>
          <w:sz w:val="24"/>
          <w:highlight w:val="none"/>
          <w:u w:val="single"/>
        </w:rPr>
        <w:t xml:space="preserve">                      </w:t>
      </w:r>
      <w:r>
        <w:rPr>
          <w:rFonts w:hint="eastAsia" w:ascii="宋体" w:hAnsi="宋体" w:cs="宋体"/>
          <w:sz w:val="24"/>
          <w:highlight w:val="none"/>
        </w:rPr>
        <w:t>（投标人名称）提交电子版投标文件（资格响应文件、商务技术响应文件、报价响应文件）。</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据此函，签字代表宣布同意如下：</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3.本投标有效期自开标日起 ______个日。</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5.投标人同意按照贵方要求提供与投标有关的一切数据或资料。</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6.与本投标有关的一切正式往来信函请寄：</w:t>
      </w:r>
    </w:p>
    <w:p>
      <w:pPr>
        <w:snapToGrid w:val="0"/>
        <w:spacing w:line="360" w:lineRule="auto"/>
        <w:rPr>
          <w:rFonts w:ascii="宋体" w:hAnsi="宋体" w:cs="宋体"/>
          <w:sz w:val="24"/>
          <w:szCs w:val="20"/>
          <w:highlight w:val="non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邮编：__________  电话：_____________</w:t>
      </w:r>
    </w:p>
    <w:p>
      <w:pPr>
        <w:snapToGrid w:val="0"/>
        <w:spacing w:line="360" w:lineRule="auto"/>
        <w:rPr>
          <w:rFonts w:ascii="宋体" w:hAnsi="宋体" w:cs="宋体"/>
          <w:sz w:val="24"/>
          <w:highlight w:val="none"/>
          <w:u w:val="single"/>
        </w:rPr>
      </w:pPr>
      <w:r>
        <w:rPr>
          <w:rFonts w:hint="eastAsia" w:ascii="宋体" w:hAnsi="宋体" w:cs="宋体"/>
          <w:sz w:val="24"/>
          <w:highlight w:val="none"/>
        </w:rPr>
        <w:t>传真：______________投标人代表姓名：__________  职务：</w:t>
      </w:r>
      <w:r>
        <w:rPr>
          <w:rFonts w:hint="eastAsia" w:ascii="宋体" w:hAnsi="宋体" w:cs="宋体"/>
          <w:sz w:val="24"/>
          <w:highlight w:val="none"/>
          <w:u w:val="single"/>
        </w:rPr>
        <w:t xml:space="preserve">               </w:t>
      </w:r>
    </w:p>
    <w:p>
      <w:pPr>
        <w:snapToGrid w:val="0"/>
        <w:spacing w:line="360" w:lineRule="auto"/>
        <w:rPr>
          <w:rFonts w:ascii="宋体" w:hAnsi="宋体" w:cs="宋体"/>
          <w:sz w:val="24"/>
          <w:szCs w:val="20"/>
          <w:highlight w:val="none"/>
        </w:rPr>
      </w:pPr>
      <w:r>
        <w:rPr>
          <w:rFonts w:hint="eastAsia" w:ascii="宋体" w:hAnsi="宋体" w:cs="宋体"/>
          <w:sz w:val="24"/>
          <w:highlight w:val="none"/>
        </w:rPr>
        <w:t>投标人名称(公章):___________________</w:t>
      </w:r>
    </w:p>
    <w:p>
      <w:pPr>
        <w:snapToGrid w:val="0"/>
        <w:spacing w:line="360" w:lineRule="auto"/>
        <w:rPr>
          <w:rFonts w:ascii="宋体" w:hAnsi="宋体" w:cs="宋体"/>
          <w:sz w:val="24"/>
          <w:szCs w:val="20"/>
          <w:highlight w:val="none"/>
        </w:rPr>
      </w:pPr>
      <w:r>
        <w:rPr>
          <w:rFonts w:hint="eastAsia" w:ascii="宋体" w:hAnsi="宋体" w:cs="宋体"/>
          <w:sz w:val="24"/>
          <w:highlight w:val="none"/>
        </w:rPr>
        <w:t>开户银行：</w:t>
      </w:r>
      <w:r>
        <w:rPr>
          <w:rFonts w:hint="eastAsia" w:ascii="宋体" w:hAnsi="宋体" w:cs="宋体"/>
          <w:sz w:val="24"/>
          <w:highlight w:val="none"/>
          <w:u w:val="single"/>
        </w:rPr>
        <w:t xml:space="preserve">                      </w:t>
      </w:r>
      <w:r>
        <w:rPr>
          <w:rFonts w:hint="eastAsia" w:ascii="宋体" w:hAnsi="宋体" w:cs="宋体"/>
          <w:sz w:val="24"/>
          <w:highlight w:val="none"/>
        </w:rPr>
        <w:t xml:space="preserve">   银行帐号：</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 xml:space="preserve">法定代表人或授权委托人（签名）：            投标人名称（加盖公章）：          </w:t>
      </w:r>
    </w:p>
    <w:p>
      <w:pPr>
        <w:snapToGrid w:val="0"/>
        <w:spacing w:line="360" w:lineRule="auto"/>
        <w:ind w:firstLine="5040" w:firstLineChars="2100"/>
        <w:rPr>
          <w:rFonts w:ascii="宋体" w:hAnsi="宋体" w:cs="宋体"/>
          <w:sz w:val="24"/>
          <w:highlight w:val="none"/>
        </w:rPr>
      </w:pPr>
    </w:p>
    <w:p>
      <w:pPr>
        <w:snapToGrid w:val="0"/>
        <w:spacing w:line="360" w:lineRule="auto"/>
        <w:ind w:firstLine="5040" w:firstLineChars="2100"/>
        <w:rPr>
          <w:rFonts w:ascii="宋体" w:hAnsi="宋体" w:cs="宋体"/>
          <w:sz w:val="24"/>
          <w:highlight w:val="none"/>
        </w:rPr>
      </w:pPr>
      <w:r>
        <w:rPr>
          <w:rFonts w:hint="eastAsia" w:ascii="宋体" w:hAnsi="宋体" w:cs="宋体"/>
          <w:sz w:val="24"/>
          <w:highlight w:val="none"/>
        </w:rPr>
        <w:t>日期:_____年___月___日</w:t>
      </w:r>
    </w:p>
    <w:p>
      <w:pPr>
        <w:snapToGrid w:val="0"/>
        <w:spacing w:before="50" w:after="50"/>
        <w:rPr>
          <w:rFonts w:ascii="宋体" w:hAnsi="宋体" w:cs="宋体"/>
          <w:highlight w:val="none"/>
        </w:rPr>
      </w:pPr>
    </w:p>
    <w:p>
      <w:pPr>
        <w:snapToGrid w:val="0"/>
        <w:spacing w:before="50" w:after="50"/>
        <w:rPr>
          <w:rFonts w:ascii="宋体" w:hAnsi="宋体" w:cs="宋体"/>
          <w:highlight w:val="none"/>
        </w:rPr>
      </w:pPr>
    </w:p>
    <w:p>
      <w:pPr>
        <w:snapToGrid w:val="0"/>
        <w:spacing w:before="50" w:after="50"/>
        <w:rPr>
          <w:rFonts w:ascii="宋体" w:hAnsi="宋体" w:cs="宋体"/>
          <w:highlight w:val="none"/>
        </w:rPr>
      </w:pPr>
    </w:p>
    <w:p>
      <w:pPr>
        <w:snapToGrid w:val="0"/>
        <w:spacing w:before="50" w:after="50"/>
        <w:rPr>
          <w:rFonts w:ascii="宋体" w:hAnsi="宋体" w:cs="宋体"/>
          <w:highlight w:val="none"/>
        </w:rPr>
      </w:pPr>
    </w:p>
    <w:p>
      <w:pPr>
        <w:snapToGrid w:val="0"/>
        <w:spacing w:before="50" w:after="50"/>
        <w:rPr>
          <w:rFonts w:ascii="宋体" w:hAnsi="宋体" w:cs="宋体"/>
          <w:highlight w:val="none"/>
        </w:rPr>
      </w:pPr>
    </w:p>
    <w:p>
      <w:pPr>
        <w:pStyle w:val="24"/>
        <w:rPr>
          <w:rFonts w:hAnsi="宋体" w:cs="宋体"/>
          <w:highlight w:val="none"/>
        </w:rPr>
      </w:pPr>
    </w:p>
    <w:p>
      <w:pPr>
        <w:pStyle w:val="24"/>
        <w:rPr>
          <w:rFonts w:hAnsi="宋体" w:cs="宋体"/>
          <w:highlight w:val="none"/>
        </w:rPr>
      </w:pPr>
    </w:p>
    <w:bookmarkEnd w:id="54"/>
    <w:p>
      <w:pPr>
        <w:snapToGrid w:val="0"/>
        <w:spacing w:before="50" w:after="50"/>
        <w:jc w:val="center"/>
        <w:rPr>
          <w:rFonts w:ascii="宋体" w:hAnsi="宋体" w:cs="宋体"/>
          <w:b/>
          <w:sz w:val="24"/>
          <w:highlight w:val="none"/>
        </w:rPr>
      </w:pPr>
    </w:p>
    <w:p>
      <w:pPr>
        <w:snapToGrid w:val="0"/>
        <w:spacing w:before="50" w:after="50"/>
        <w:jc w:val="center"/>
        <w:rPr>
          <w:rFonts w:ascii="宋体" w:hAnsi="宋体" w:cs="宋体"/>
          <w:b/>
          <w:sz w:val="24"/>
          <w:highlight w:val="none"/>
        </w:rPr>
      </w:pPr>
    </w:p>
    <w:p>
      <w:pPr>
        <w:snapToGrid w:val="0"/>
        <w:spacing w:before="50" w:after="50"/>
        <w:jc w:val="center"/>
        <w:rPr>
          <w:rFonts w:ascii="宋体" w:hAnsi="宋体" w:cs="宋体"/>
          <w:b/>
          <w:sz w:val="24"/>
          <w:highlight w:val="none"/>
        </w:rPr>
      </w:pPr>
    </w:p>
    <w:p>
      <w:pPr>
        <w:snapToGrid w:val="0"/>
        <w:spacing w:before="50" w:after="50"/>
        <w:jc w:val="center"/>
        <w:rPr>
          <w:rFonts w:ascii="宋体" w:hAnsi="宋体" w:cs="宋体"/>
          <w:b/>
          <w:sz w:val="24"/>
          <w:highlight w:val="none"/>
        </w:rPr>
      </w:pPr>
      <w:r>
        <w:rPr>
          <w:rFonts w:hint="eastAsia" w:ascii="宋体" w:hAnsi="宋体" w:cs="宋体"/>
          <w:b/>
          <w:sz w:val="24"/>
          <w:highlight w:val="none"/>
        </w:rPr>
        <w:t>开标一览表</w:t>
      </w:r>
    </w:p>
    <w:p>
      <w:pPr>
        <w:snapToGrid w:val="0"/>
        <w:spacing w:before="50" w:after="50"/>
        <w:jc w:val="center"/>
        <w:rPr>
          <w:rFonts w:ascii="宋体" w:hAnsi="宋体" w:cs="宋体"/>
          <w:b/>
          <w:sz w:val="24"/>
          <w:szCs w:val="20"/>
          <w:highlight w:val="none"/>
        </w:rPr>
      </w:pPr>
    </w:p>
    <w:p>
      <w:pPr>
        <w:snapToGrid w:val="0"/>
        <w:spacing w:before="50" w:after="50"/>
        <w:ind w:right="480"/>
        <w:rPr>
          <w:rFonts w:ascii="宋体" w:hAnsi="宋体" w:cs="宋体"/>
          <w:sz w:val="24"/>
          <w:highlight w:val="none"/>
          <w:u w:val="single"/>
        </w:rPr>
      </w:pPr>
      <w:r>
        <w:rPr>
          <w:rFonts w:hint="eastAsia" w:ascii="宋体" w:hAnsi="宋体" w:cs="宋体"/>
          <w:sz w:val="24"/>
          <w:highlight w:val="none"/>
        </w:rPr>
        <w:t>项目编号：</w:t>
      </w:r>
      <w:r>
        <w:rPr>
          <w:rFonts w:hint="eastAsia" w:ascii="宋体" w:hAnsi="宋体" w:cs="宋体"/>
          <w:sz w:val="24"/>
          <w:highlight w:val="none"/>
          <w:u w:val="single"/>
        </w:rPr>
        <w:t xml:space="preserve">                    </w:t>
      </w:r>
      <w:r>
        <w:rPr>
          <w:rFonts w:hint="eastAsia" w:ascii="宋体" w:hAnsi="宋体" w:cs="宋体"/>
          <w:sz w:val="24"/>
          <w:highlight w:val="none"/>
        </w:rPr>
        <w:t xml:space="preserve">                      单位：</w:t>
      </w:r>
      <w:r>
        <w:rPr>
          <w:rFonts w:hint="eastAsia" w:ascii="宋体" w:hAnsi="宋体"/>
          <w:sz w:val="24"/>
          <w:highlight w:val="none"/>
        </w:rPr>
        <w:t>人民币</w:t>
      </w:r>
      <w:r>
        <w:rPr>
          <w:rFonts w:hint="eastAsia" w:ascii="宋体" w:hAnsi="宋体" w:cs="宋体"/>
          <w:sz w:val="24"/>
          <w:highlight w:val="none"/>
        </w:rPr>
        <w:t>元</w:t>
      </w:r>
    </w:p>
    <w:p>
      <w:pPr>
        <w:snapToGrid w:val="0"/>
        <w:spacing w:before="50" w:after="50"/>
        <w:ind w:right="480"/>
        <w:jc w:val="right"/>
        <w:rPr>
          <w:rFonts w:ascii="宋体" w:hAnsi="宋体" w:cs="宋体"/>
          <w:sz w:val="24"/>
          <w:highlight w:val="none"/>
        </w:rPr>
      </w:pPr>
      <w:r>
        <w:rPr>
          <w:rFonts w:hint="eastAsia" w:ascii="宋体" w:hAnsi="宋体" w:cs="宋体"/>
          <w:sz w:val="24"/>
          <w:highlight w:val="none"/>
        </w:rPr>
        <w:t xml:space="preserve">            </w:t>
      </w:r>
    </w:p>
    <w:tbl>
      <w:tblPr>
        <w:tblStyle w:val="64"/>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6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rFonts w:eastAsia="仿宋_GB2312"/>
                <w:b/>
                <w:szCs w:val="21"/>
                <w:highlight w:val="none"/>
              </w:rPr>
            </w:pPr>
            <w:r>
              <w:rPr>
                <w:rFonts w:hint="eastAsia"/>
                <w:b/>
                <w:szCs w:val="21"/>
                <w:highlight w:val="none"/>
              </w:rPr>
              <w:t>项目名称</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b/>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7" w:hRule="atLeast"/>
        </w:trPr>
        <w:tc>
          <w:tcPr>
            <w:tcW w:w="2088" w:type="dxa"/>
            <w:vMerge w:val="restart"/>
            <w:tcBorders>
              <w:top w:val="single" w:color="auto" w:sz="4" w:space="0"/>
              <w:left w:val="single" w:color="auto" w:sz="4" w:space="0"/>
              <w:right w:val="single" w:color="auto" w:sz="4" w:space="0"/>
            </w:tcBorders>
            <w:vAlign w:val="center"/>
          </w:tcPr>
          <w:p>
            <w:pPr>
              <w:snapToGrid w:val="0"/>
              <w:spacing w:before="100" w:beforeAutospacing="1" w:after="100" w:afterAutospacing="1" w:line="276" w:lineRule="auto"/>
              <w:jc w:val="center"/>
              <w:rPr>
                <w:b/>
                <w:szCs w:val="21"/>
                <w:highlight w:val="none"/>
              </w:rPr>
            </w:pPr>
            <w:r>
              <w:rPr>
                <w:rFonts w:hint="eastAsia"/>
                <w:b/>
                <w:szCs w:val="21"/>
                <w:highlight w:val="none"/>
              </w:rPr>
              <w:t xml:space="preserve">总报价 </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szCs w:val="21"/>
                <w:highlight w:val="none"/>
              </w:rPr>
            </w:pPr>
            <w:r>
              <w:rPr>
                <w:rFonts w:hint="eastAsia" w:eastAsia="仿宋_GB2312"/>
                <w:szCs w:val="21"/>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trPr>
        <w:tc>
          <w:tcPr>
            <w:tcW w:w="2088" w:type="dxa"/>
            <w:vMerge w:val="continue"/>
            <w:tcBorders>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b/>
                <w:szCs w:val="21"/>
                <w:highlight w:val="none"/>
              </w:rPr>
            </w:pP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szCs w:val="21"/>
                <w:highlight w:val="none"/>
              </w:rPr>
            </w:pPr>
            <w:r>
              <w:rPr>
                <w:rFonts w:hint="eastAsia" w:eastAsia="仿宋_GB2312"/>
                <w:szCs w:val="21"/>
                <w:highlight w:val="none"/>
              </w:rPr>
              <w:t>小写</w:t>
            </w:r>
          </w:p>
        </w:tc>
      </w:tr>
    </w:tbl>
    <w:p>
      <w:pPr>
        <w:snapToGrid w:val="0"/>
        <w:spacing w:line="480" w:lineRule="exact"/>
        <w:jc w:val="left"/>
        <w:rPr>
          <w:rFonts w:ascii="宋体" w:hAnsi="宋体" w:cs="宋体"/>
          <w:sz w:val="22"/>
          <w:szCs w:val="22"/>
          <w:highlight w:val="none"/>
        </w:rPr>
      </w:pPr>
      <w:r>
        <w:rPr>
          <w:rFonts w:hint="eastAsia" w:ascii="宋体" w:hAnsi="宋体" w:cs="宋体"/>
          <w:sz w:val="22"/>
          <w:szCs w:val="22"/>
          <w:highlight w:val="none"/>
        </w:rPr>
        <w:t>注: 1、报价一经涂改，应在涂改处加盖单位公章或者由法定代表人或被授权人签字或盖章，</w:t>
      </w:r>
    </w:p>
    <w:p>
      <w:pPr>
        <w:snapToGrid w:val="0"/>
        <w:spacing w:line="480" w:lineRule="exact"/>
        <w:jc w:val="left"/>
        <w:rPr>
          <w:rFonts w:ascii="宋体" w:hAnsi="宋体" w:cs="宋体"/>
          <w:sz w:val="22"/>
          <w:szCs w:val="22"/>
          <w:highlight w:val="none"/>
        </w:rPr>
      </w:pPr>
      <w:r>
        <w:rPr>
          <w:rFonts w:hint="eastAsia" w:ascii="宋体" w:hAnsi="宋体" w:cs="宋体"/>
          <w:sz w:val="22"/>
          <w:szCs w:val="22"/>
          <w:highlight w:val="none"/>
        </w:rPr>
        <w:t>否则其投标将作投标无效处理。</w:t>
      </w:r>
    </w:p>
    <w:p>
      <w:pPr>
        <w:snapToGrid w:val="0"/>
        <w:spacing w:line="48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2、本页后附投标报价明细表。</w:t>
      </w:r>
    </w:p>
    <w:p>
      <w:pPr>
        <w:snapToGrid w:val="0"/>
        <w:spacing w:line="48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3、以上报价应与“投标报价明细表”中的“投标总价”数相一致。</w:t>
      </w:r>
    </w:p>
    <w:p>
      <w:pPr>
        <w:snapToGrid w:val="0"/>
        <w:spacing w:line="480" w:lineRule="exact"/>
        <w:ind w:firstLine="440" w:firstLineChars="200"/>
        <w:jc w:val="left"/>
        <w:rPr>
          <w:rFonts w:ascii="宋体" w:hAnsi="宋体" w:cs="宋体"/>
          <w:sz w:val="22"/>
          <w:szCs w:val="22"/>
          <w:highlight w:val="none"/>
        </w:rPr>
      </w:pPr>
    </w:p>
    <w:p>
      <w:pPr>
        <w:snapToGrid w:val="0"/>
        <w:spacing w:line="480" w:lineRule="exact"/>
        <w:ind w:left="-3" w:leftChars="-72" w:right="-817" w:rightChars="-389" w:hanging="148" w:hangingChars="62"/>
        <w:rPr>
          <w:rFonts w:ascii="宋体" w:hAnsi="宋体" w:cs="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971"/>
        <w:spacing w:line="360" w:lineRule="auto"/>
        <w:ind w:right="480"/>
        <w:rPr>
          <w:rFonts w:hAnsi="宋体" w:eastAsia="宋体"/>
          <w:sz w:val="24"/>
          <w:szCs w:val="24"/>
          <w:highlight w:val="none"/>
        </w:rPr>
      </w:pPr>
      <w:r>
        <w:rPr>
          <w:rFonts w:hint="eastAsia" w:hAnsi="宋体" w:eastAsia="宋体"/>
          <w:sz w:val="24"/>
          <w:szCs w:val="24"/>
          <w:highlight w:val="none"/>
        </w:rPr>
        <w:t>投标人名称（加盖公章）</w:t>
      </w:r>
      <w:r>
        <w:rPr>
          <w:rFonts w:hint="eastAsia" w:hAnsi="宋体" w:eastAsia="宋体"/>
          <w:sz w:val="24"/>
          <w:szCs w:val="24"/>
          <w:highlight w:val="none"/>
          <w:u w:val="single"/>
        </w:rPr>
        <w:t>：</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rPr>
          <w:rFonts w:hAnsi="宋体" w:cs="宋体"/>
          <w:sz w:val="24"/>
          <w:highlight w:val="none"/>
        </w:rPr>
      </w:pPr>
      <w:r>
        <w:rPr>
          <w:rFonts w:hint="eastAsia" w:hAnsi="宋体" w:cs="宋体"/>
          <w:sz w:val="24"/>
          <w:highlight w:val="none"/>
        </w:rPr>
        <w:t>日期：_____年____月____日</w:t>
      </w:r>
    </w:p>
    <w:p>
      <w:pPr>
        <w:pStyle w:val="3"/>
        <w:rPr>
          <w:rFonts w:hAnsi="宋体" w:cs="宋体"/>
          <w:sz w:val="24"/>
          <w:szCs w:val="24"/>
          <w:highlight w:val="none"/>
        </w:rPr>
      </w:pPr>
    </w:p>
    <w:p>
      <w:pPr>
        <w:rPr>
          <w:rFonts w:hAnsi="宋体" w:cs="宋体"/>
          <w:sz w:val="24"/>
          <w:highlight w:val="none"/>
        </w:rPr>
      </w:pPr>
    </w:p>
    <w:p>
      <w:pPr>
        <w:widowControl/>
        <w:spacing w:line="360" w:lineRule="auto"/>
        <w:rPr>
          <w:rFonts w:ascii="宋体" w:hAnsi="宋体"/>
          <w:b/>
          <w:sz w:val="28"/>
          <w:szCs w:val="28"/>
          <w:highlight w:val="none"/>
        </w:rPr>
      </w:pPr>
    </w:p>
    <w:p>
      <w:pPr>
        <w:widowControl/>
        <w:spacing w:line="360" w:lineRule="auto"/>
        <w:rPr>
          <w:rFonts w:ascii="宋体" w:hAnsi="宋体"/>
          <w:b/>
          <w:sz w:val="28"/>
          <w:szCs w:val="28"/>
          <w:highlight w:val="none"/>
        </w:rPr>
      </w:pPr>
    </w:p>
    <w:p>
      <w:pPr>
        <w:widowControl/>
        <w:spacing w:line="360" w:lineRule="auto"/>
        <w:jc w:val="center"/>
        <w:rPr>
          <w:rFonts w:ascii="宋体" w:hAnsi="宋体"/>
          <w:b/>
          <w:sz w:val="28"/>
          <w:szCs w:val="28"/>
          <w:highlight w:val="none"/>
        </w:rPr>
      </w:pPr>
    </w:p>
    <w:p>
      <w:pPr>
        <w:pStyle w:val="63"/>
        <w:ind w:firstLine="420"/>
        <w:rPr>
          <w:highlight w:val="none"/>
        </w:rPr>
      </w:pPr>
    </w:p>
    <w:p>
      <w:pPr>
        <w:widowControl/>
        <w:spacing w:line="360" w:lineRule="auto"/>
        <w:jc w:val="center"/>
        <w:rPr>
          <w:rFonts w:ascii="宋体" w:hAnsi="宋体"/>
          <w:b/>
          <w:sz w:val="28"/>
          <w:szCs w:val="28"/>
          <w:highlight w:val="none"/>
        </w:rPr>
      </w:pPr>
    </w:p>
    <w:p>
      <w:pPr>
        <w:widowControl/>
        <w:spacing w:line="360" w:lineRule="auto"/>
        <w:jc w:val="center"/>
        <w:rPr>
          <w:rFonts w:ascii="宋体" w:hAnsi="宋体"/>
          <w:b/>
          <w:sz w:val="28"/>
          <w:szCs w:val="28"/>
          <w:highlight w:val="none"/>
        </w:rPr>
      </w:pPr>
      <w:r>
        <w:rPr>
          <w:rFonts w:hint="eastAsia" w:ascii="宋体" w:hAnsi="宋体"/>
          <w:b/>
          <w:sz w:val="28"/>
          <w:szCs w:val="28"/>
          <w:highlight w:val="none"/>
        </w:rPr>
        <w:t>投标报价明细表</w:t>
      </w:r>
    </w:p>
    <w:p>
      <w:pPr>
        <w:snapToGrid w:val="0"/>
        <w:spacing w:before="120" w:after="120"/>
        <w:rPr>
          <w:rFonts w:ascii="宋体" w:hAnsi="宋体"/>
          <w:sz w:val="24"/>
          <w:highlight w:val="none"/>
        </w:rPr>
      </w:pPr>
    </w:p>
    <w:p>
      <w:pPr>
        <w:snapToGrid w:val="0"/>
        <w:spacing w:before="120" w:after="120"/>
        <w:rPr>
          <w:rFonts w:ascii="宋体" w:hAnsi="宋体"/>
          <w:bCs/>
          <w:sz w:val="24"/>
          <w:highlight w:val="none"/>
        </w:rPr>
      </w:pPr>
      <w:r>
        <w:rPr>
          <w:rFonts w:hint="eastAsia" w:ascii="宋体" w:hAnsi="宋体"/>
          <w:sz w:val="24"/>
          <w:highlight w:val="none"/>
        </w:rPr>
        <w:t>项目名称：</w:t>
      </w:r>
      <w:r>
        <w:rPr>
          <w:rFonts w:hint="eastAsia" w:ascii="宋体" w:hAnsi="宋体"/>
          <w:sz w:val="24"/>
          <w:highlight w:val="none"/>
          <w:u w:val="single"/>
        </w:rPr>
        <w:t xml:space="preserve">                 </w:t>
      </w:r>
      <w:r>
        <w:rPr>
          <w:rFonts w:hint="eastAsia" w:ascii="宋体" w:hAnsi="宋体"/>
          <w:bCs/>
          <w:sz w:val="24"/>
          <w:highlight w:val="none"/>
        </w:rPr>
        <w:t xml:space="preserve">                                  单位：人民币元</w:t>
      </w:r>
    </w:p>
    <w:tbl>
      <w:tblPr>
        <w:tblStyle w:val="64"/>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3430"/>
        <w:gridCol w:w="894"/>
        <w:gridCol w:w="992"/>
        <w:gridCol w:w="1276"/>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序号</w:t>
            </w:r>
          </w:p>
        </w:tc>
        <w:tc>
          <w:tcPr>
            <w:tcW w:w="3430"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项目内容</w:t>
            </w:r>
          </w:p>
        </w:tc>
        <w:tc>
          <w:tcPr>
            <w:tcW w:w="894"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单位</w:t>
            </w:r>
          </w:p>
        </w:tc>
        <w:tc>
          <w:tcPr>
            <w:tcW w:w="992"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数量</w:t>
            </w:r>
          </w:p>
        </w:tc>
        <w:tc>
          <w:tcPr>
            <w:tcW w:w="1276"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单价（元）</w:t>
            </w:r>
          </w:p>
        </w:tc>
        <w:tc>
          <w:tcPr>
            <w:tcW w:w="1370"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b/>
                <w:sz w:val="22"/>
                <w:szCs w:val="22"/>
                <w:highlight w:val="none"/>
              </w:rPr>
            </w:pPr>
          </w:p>
        </w:tc>
        <w:tc>
          <w:tcPr>
            <w:tcW w:w="3430" w:type="dxa"/>
            <w:vAlign w:val="center"/>
          </w:tcPr>
          <w:p>
            <w:pPr>
              <w:jc w:val="left"/>
              <w:rPr>
                <w:rFonts w:ascii="宋体" w:hAnsi="宋体" w:cs="宋体"/>
                <w:b/>
                <w:sz w:val="22"/>
                <w:szCs w:val="22"/>
                <w:highlight w:val="none"/>
              </w:rPr>
            </w:pPr>
          </w:p>
        </w:tc>
        <w:tc>
          <w:tcPr>
            <w:tcW w:w="894" w:type="dxa"/>
            <w:vAlign w:val="center"/>
          </w:tcPr>
          <w:p>
            <w:pPr>
              <w:jc w:val="center"/>
              <w:rPr>
                <w:rFonts w:ascii="宋体" w:hAnsi="宋体" w:cs="宋体"/>
                <w:b/>
                <w:sz w:val="22"/>
                <w:szCs w:val="22"/>
                <w:highlight w:val="none"/>
              </w:rPr>
            </w:pPr>
          </w:p>
        </w:tc>
        <w:tc>
          <w:tcPr>
            <w:tcW w:w="992" w:type="dxa"/>
            <w:vAlign w:val="center"/>
          </w:tcPr>
          <w:p>
            <w:pPr>
              <w:jc w:val="center"/>
              <w:rPr>
                <w:rFonts w:ascii="宋体" w:hAnsi="宋体" w:cs="宋体"/>
                <w:b/>
                <w:sz w:val="22"/>
                <w:szCs w:val="22"/>
                <w:highlight w:val="none"/>
              </w:rPr>
            </w:pPr>
          </w:p>
        </w:tc>
        <w:tc>
          <w:tcPr>
            <w:tcW w:w="1276" w:type="dxa"/>
            <w:vAlign w:val="center"/>
          </w:tcPr>
          <w:p>
            <w:pPr>
              <w:jc w:val="center"/>
              <w:rPr>
                <w:rFonts w:ascii="宋体" w:hAnsi="宋体" w:cs="宋体"/>
                <w:b/>
                <w:sz w:val="22"/>
                <w:szCs w:val="22"/>
                <w:highlight w:val="none"/>
              </w:rPr>
            </w:pPr>
          </w:p>
        </w:tc>
        <w:tc>
          <w:tcPr>
            <w:tcW w:w="1370" w:type="dxa"/>
          </w:tcPr>
          <w:p>
            <w:pPr>
              <w:rPr>
                <w:rFonts w:ascii="宋体" w:hAnsi="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b/>
                <w:sz w:val="22"/>
                <w:szCs w:val="22"/>
                <w:highlight w:val="none"/>
              </w:rPr>
            </w:pPr>
          </w:p>
        </w:tc>
        <w:tc>
          <w:tcPr>
            <w:tcW w:w="3430" w:type="dxa"/>
            <w:vAlign w:val="center"/>
          </w:tcPr>
          <w:p>
            <w:pPr>
              <w:jc w:val="left"/>
              <w:rPr>
                <w:rFonts w:ascii="宋体" w:hAnsi="宋体" w:cs="宋体"/>
                <w:b/>
                <w:sz w:val="22"/>
                <w:szCs w:val="22"/>
                <w:highlight w:val="none"/>
              </w:rPr>
            </w:pPr>
          </w:p>
        </w:tc>
        <w:tc>
          <w:tcPr>
            <w:tcW w:w="894" w:type="dxa"/>
            <w:vAlign w:val="center"/>
          </w:tcPr>
          <w:p>
            <w:pPr>
              <w:jc w:val="center"/>
              <w:rPr>
                <w:rFonts w:ascii="宋体" w:hAnsi="宋体" w:cs="宋体"/>
                <w:b/>
                <w:sz w:val="22"/>
                <w:szCs w:val="22"/>
                <w:highlight w:val="none"/>
              </w:rPr>
            </w:pPr>
          </w:p>
        </w:tc>
        <w:tc>
          <w:tcPr>
            <w:tcW w:w="992" w:type="dxa"/>
            <w:vAlign w:val="center"/>
          </w:tcPr>
          <w:p>
            <w:pPr>
              <w:jc w:val="center"/>
              <w:rPr>
                <w:rFonts w:ascii="宋体" w:hAnsi="宋体" w:cs="宋体"/>
                <w:b/>
                <w:sz w:val="22"/>
                <w:szCs w:val="22"/>
                <w:highlight w:val="none"/>
              </w:rPr>
            </w:pPr>
          </w:p>
        </w:tc>
        <w:tc>
          <w:tcPr>
            <w:tcW w:w="1276" w:type="dxa"/>
            <w:vAlign w:val="center"/>
          </w:tcPr>
          <w:p>
            <w:pPr>
              <w:jc w:val="center"/>
              <w:rPr>
                <w:rFonts w:ascii="宋体" w:hAnsi="宋体" w:cs="宋体"/>
                <w:b/>
                <w:sz w:val="22"/>
                <w:szCs w:val="22"/>
                <w:highlight w:val="none"/>
              </w:rPr>
            </w:pPr>
          </w:p>
        </w:tc>
        <w:tc>
          <w:tcPr>
            <w:tcW w:w="1370" w:type="dxa"/>
          </w:tcPr>
          <w:p>
            <w:pPr>
              <w:rPr>
                <w:rFonts w:ascii="宋体" w:hAnsi="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3" w:type="dxa"/>
            <w:gridSpan w:val="6"/>
            <w:vAlign w:val="center"/>
          </w:tcPr>
          <w:p>
            <w:pPr>
              <w:rPr>
                <w:rFonts w:ascii="宋体" w:hAnsi="宋体" w:cs="宋体"/>
                <w:sz w:val="22"/>
                <w:szCs w:val="22"/>
                <w:highlight w:val="none"/>
              </w:rPr>
            </w:pPr>
            <w:r>
              <w:rPr>
                <w:rFonts w:hint="eastAsia" w:ascii="宋体" w:hAnsi="宋体" w:cs="宋体"/>
                <w:kern w:val="0"/>
                <w:sz w:val="24"/>
                <w:highlight w:val="none"/>
              </w:rPr>
              <w:t>投标总价：    （大写），    （小写）</w:t>
            </w:r>
          </w:p>
        </w:tc>
      </w:tr>
    </w:tbl>
    <w:p>
      <w:pPr>
        <w:pStyle w:val="4"/>
        <w:spacing w:line="240" w:lineRule="auto"/>
        <w:ind w:left="0" w:firstLine="0"/>
        <w:rPr>
          <w:sz w:val="24"/>
          <w:szCs w:val="24"/>
          <w:highlight w:val="none"/>
          <w:lang w:val="en-US"/>
        </w:rPr>
      </w:pPr>
    </w:p>
    <w:p>
      <w:pPr>
        <w:rPr>
          <w:rFonts w:ascii="宋体" w:hAnsi="宋体" w:cs="宋体"/>
          <w:kern w:val="0"/>
          <w:sz w:val="24"/>
          <w:highlight w:val="none"/>
        </w:rPr>
      </w:pPr>
      <w:r>
        <w:rPr>
          <w:rFonts w:hint="eastAsia" w:ascii="宋体" w:hAnsi="宋体" w:cs="宋体"/>
          <w:kern w:val="0"/>
          <w:sz w:val="24"/>
          <w:highlight w:val="none"/>
        </w:rPr>
        <w:t>注：1.上表中行数不够可自行添加</w:t>
      </w: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971"/>
        <w:spacing w:line="360" w:lineRule="auto"/>
        <w:ind w:right="480"/>
        <w:rPr>
          <w:rFonts w:hAnsi="宋体" w:eastAsia="宋体"/>
          <w:sz w:val="24"/>
          <w:szCs w:val="24"/>
          <w:highlight w:val="none"/>
        </w:rPr>
      </w:pPr>
      <w:r>
        <w:rPr>
          <w:rFonts w:hint="eastAsia" w:hAnsi="宋体" w:eastAsia="宋体"/>
          <w:sz w:val="24"/>
          <w:szCs w:val="24"/>
          <w:highlight w:val="none"/>
        </w:rPr>
        <w:t>投标人名称（加盖公章）</w:t>
      </w:r>
      <w:r>
        <w:rPr>
          <w:rFonts w:hint="eastAsia" w:hAnsi="宋体" w:eastAsia="宋体"/>
          <w:sz w:val="24"/>
          <w:szCs w:val="24"/>
          <w:highlight w:val="none"/>
          <w:u w:val="single"/>
        </w:rPr>
        <w:t>：</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rPr>
          <w:rFonts w:hAnsi="宋体" w:cs="宋体"/>
          <w:sz w:val="24"/>
          <w:highlight w:val="none"/>
        </w:rPr>
      </w:pPr>
      <w:r>
        <w:rPr>
          <w:rFonts w:hint="eastAsia" w:hAnsi="宋体" w:cs="宋体"/>
          <w:sz w:val="24"/>
          <w:highlight w:val="none"/>
        </w:rPr>
        <w:t>日期：_____年____月____日</w:t>
      </w:r>
    </w:p>
    <w:p>
      <w:pPr>
        <w:rPr>
          <w:rFonts w:hAnsi="宋体" w:cs="宋体"/>
          <w:sz w:val="24"/>
          <w:highlight w:val="none"/>
        </w:rPr>
      </w:pPr>
    </w:p>
    <w:p>
      <w:pPr>
        <w:pStyle w:val="16"/>
        <w:rPr>
          <w:rFonts w:hAnsi="宋体" w:cs="宋体"/>
          <w:sz w:val="24"/>
          <w:szCs w:val="24"/>
          <w:highlight w:val="none"/>
        </w:rPr>
      </w:pPr>
    </w:p>
    <w:p>
      <w:pPr>
        <w:rPr>
          <w:rFonts w:hAnsi="宋体" w:cs="宋体"/>
          <w:sz w:val="24"/>
          <w:highlight w:val="none"/>
        </w:rPr>
      </w:pPr>
    </w:p>
    <w:p>
      <w:pPr>
        <w:pStyle w:val="16"/>
        <w:rPr>
          <w:rFonts w:hAnsi="宋体" w:cs="宋体"/>
          <w:sz w:val="24"/>
          <w:szCs w:val="24"/>
          <w:highlight w:val="none"/>
        </w:rPr>
      </w:pPr>
    </w:p>
    <w:p>
      <w:pPr>
        <w:spacing w:line="360" w:lineRule="auto"/>
        <w:ind w:firstLine="275" w:firstLineChars="98"/>
        <w:jc w:val="center"/>
        <w:rPr>
          <w:rFonts w:ascii="宋体" w:hAnsi="宋体" w:cs="宋体"/>
          <w:b/>
          <w:bCs/>
          <w:sz w:val="28"/>
          <w:szCs w:val="28"/>
          <w:highlight w:val="none"/>
        </w:rPr>
      </w:pPr>
    </w:p>
    <w:p>
      <w:pPr>
        <w:spacing w:line="360" w:lineRule="auto"/>
        <w:ind w:firstLine="275" w:firstLineChars="98"/>
        <w:jc w:val="center"/>
        <w:rPr>
          <w:rFonts w:ascii="宋体" w:hAnsi="宋体" w:cs="宋体"/>
          <w:b/>
          <w:bCs/>
          <w:sz w:val="28"/>
          <w:szCs w:val="28"/>
          <w:highlight w:val="none"/>
        </w:rPr>
      </w:pPr>
    </w:p>
    <w:p>
      <w:pPr>
        <w:spacing w:line="360" w:lineRule="auto"/>
        <w:ind w:firstLine="275" w:firstLineChars="98"/>
        <w:jc w:val="center"/>
        <w:rPr>
          <w:rFonts w:ascii="宋体" w:hAnsi="宋体" w:cs="宋体"/>
          <w:b/>
          <w:bCs/>
          <w:sz w:val="28"/>
          <w:szCs w:val="28"/>
          <w:highlight w:val="none"/>
        </w:rPr>
      </w:pPr>
    </w:p>
    <w:p>
      <w:pPr>
        <w:spacing w:line="360" w:lineRule="auto"/>
        <w:ind w:firstLine="275" w:firstLineChars="98"/>
        <w:jc w:val="center"/>
        <w:rPr>
          <w:rFonts w:ascii="宋体" w:hAnsi="宋体" w:cs="宋体"/>
          <w:b/>
          <w:bCs/>
          <w:sz w:val="28"/>
          <w:szCs w:val="28"/>
          <w:highlight w:val="none"/>
        </w:rPr>
      </w:pPr>
    </w:p>
    <w:p>
      <w:pPr>
        <w:spacing w:line="360" w:lineRule="auto"/>
        <w:ind w:firstLine="275" w:firstLineChars="98"/>
        <w:jc w:val="center"/>
        <w:rPr>
          <w:rFonts w:ascii="宋体" w:hAnsi="宋体" w:cs="宋体"/>
          <w:b/>
          <w:bCs/>
          <w:sz w:val="28"/>
          <w:szCs w:val="28"/>
          <w:highlight w:val="none"/>
        </w:rPr>
      </w:pPr>
    </w:p>
    <w:p>
      <w:pPr>
        <w:spacing w:line="360" w:lineRule="auto"/>
        <w:ind w:firstLine="275" w:firstLineChars="98"/>
        <w:jc w:val="center"/>
        <w:rPr>
          <w:rFonts w:ascii="宋体" w:hAnsi="宋体" w:cs="宋体"/>
          <w:sz w:val="22"/>
          <w:szCs w:val="22"/>
          <w:highlight w:val="none"/>
        </w:rPr>
      </w:pPr>
      <w:r>
        <w:rPr>
          <w:rFonts w:hint="eastAsia" w:ascii="宋体" w:hAnsi="宋体" w:cs="宋体"/>
          <w:b/>
          <w:bCs/>
          <w:sz w:val="28"/>
          <w:szCs w:val="28"/>
          <w:highlight w:val="none"/>
        </w:rPr>
        <w:t>中小企业声明函（服务）</w:t>
      </w:r>
    </w:p>
    <w:p>
      <w:pPr>
        <w:spacing w:line="360" w:lineRule="auto"/>
        <w:ind w:firstLine="480" w:firstLineChars="200"/>
        <w:rPr>
          <w:rFonts w:ascii="宋体" w:hAnsi="宋体" w:cs="宋体"/>
          <w:sz w:val="24"/>
          <w:highlight w:val="none"/>
        </w:rPr>
      </w:pPr>
      <w:r>
        <w:rPr>
          <w:rFonts w:ascii="宋体" w:hAnsi="宋体" w:cs="宋体"/>
          <w:sz w:val="24"/>
          <w:highlight w:val="none"/>
        </w:rPr>
        <w:t>本公司（联合体）郑重声明，根据《政府采购促进中小企业发展管理办法》（财库﹝2020﹞46号）的规定，本公司（联合体）参加</w:t>
      </w:r>
      <w:r>
        <w:rPr>
          <w:rFonts w:ascii="宋体" w:hAnsi="宋体" w:cs="宋体"/>
          <w:sz w:val="24"/>
          <w:highlight w:val="none"/>
          <w:u w:val="single"/>
        </w:rPr>
        <w:t>（单位名称）</w:t>
      </w:r>
      <w:r>
        <w:rPr>
          <w:rFonts w:ascii="宋体" w:hAnsi="宋体" w:cs="宋体"/>
          <w:sz w:val="24"/>
          <w:highlight w:val="none"/>
        </w:rPr>
        <w:t>的</w:t>
      </w:r>
      <w:r>
        <w:rPr>
          <w:rFonts w:hint="eastAsia" w:ascii="宋体" w:hAnsi="宋体" w:cs="宋体"/>
          <w:sz w:val="24"/>
          <w:highlight w:val="none"/>
          <w:u w:val="single"/>
        </w:rPr>
        <w:t>浙江省嘉善县第一人民医院新一代信息系统建设项目（二期）</w:t>
      </w:r>
      <w:r>
        <w:rPr>
          <w:rFonts w:ascii="宋体" w:hAnsi="宋体" w:cs="宋体"/>
          <w:sz w:val="24"/>
          <w:highlight w:val="none"/>
        </w:rPr>
        <w:t>采购活动，</w:t>
      </w:r>
      <w:r>
        <w:rPr>
          <w:rFonts w:hint="eastAsia" w:ascii="宋体" w:hAnsi="宋体" w:cs="宋体"/>
          <w:sz w:val="24"/>
          <w:highlight w:val="none"/>
        </w:rPr>
        <w:t>服务全部由符合政策要求的中小企业承接</w:t>
      </w:r>
      <w:r>
        <w:rPr>
          <w:rFonts w:ascii="宋体" w:hAnsi="宋体" w:cs="宋体"/>
          <w:sz w:val="24"/>
          <w:highlight w:val="none"/>
        </w:rPr>
        <w:t xml:space="preserve">。相关企业（含联合体中的中小企业、签订分包意向协议的中小企业）的具体情况如下： </w:t>
      </w:r>
    </w:p>
    <w:p>
      <w:pPr>
        <w:numPr>
          <w:ilvl w:val="0"/>
          <w:numId w:val="166"/>
        </w:num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浙江省嘉善县第一人民医院新一代信息系统建设项目（二期）</w:t>
      </w:r>
      <w:r>
        <w:rPr>
          <w:rFonts w:hint="eastAsia" w:ascii="宋体" w:hAnsi="宋体" w:cs="宋体"/>
          <w:sz w:val="24"/>
          <w:highlight w:val="none"/>
        </w:rPr>
        <w:t>，属于</w:t>
      </w:r>
      <w:r>
        <w:rPr>
          <w:rFonts w:hint="eastAsia" w:ascii="宋体" w:hAnsi="宋体" w:cs="宋体"/>
          <w:sz w:val="24"/>
          <w:highlight w:val="none"/>
          <w:u w:val="single"/>
        </w:rPr>
        <w:t>（采购文件中明确的所属行业）</w:t>
      </w:r>
      <w:r>
        <w:rPr>
          <w:rFonts w:hint="eastAsia" w:ascii="宋体" w:hAnsi="宋体" w:cs="宋体"/>
          <w:sz w:val="24"/>
          <w:highlight w:val="none"/>
        </w:rPr>
        <w:t>；承建（承接）企业为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 ，属于</w:t>
      </w:r>
      <w:r>
        <w:rPr>
          <w:rFonts w:hint="eastAsia" w:ascii="宋体" w:hAnsi="宋体" w:cs="宋体"/>
          <w:sz w:val="24"/>
          <w:highlight w:val="none"/>
          <w:u w:val="single"/>
        </w:rPr>
        <w:t>（中型企业、小型企业、微型企业）</w:t>
      </w:r>
      <w:r>
        <w:rPr>
          <w:rFonts w:hint="eastAsia" w:ascii="宋体" w:hAnsi="宋体" w:cs="宋体"/>
          <w:sz w:val="24"/>
          <w:highlight w:val="none"/>
        </w:rPr>
        <w:t xml:space="preserve">； </w:t>
      </w:r>
    </w:p>
    <w:p>
      <w:pPr>
        <w:pStyle w:val="972"/>
        <w:snapToGrid w:val="0"/>
        <w:spacing w:line="360" w:lineRule="auto"/>
        <w:ind w:firstLine="494"/>
        <w:rPr>
          <w:rFonts w:ascii="宋体" w:eastAsia="宋体"/>
          <w:bCs/>
          <w:sz w:val="24"/>
          <w:szCs w:val="24"/>
          <w:highlight w:val="none"/>
        </w:rPr>
      </w:pPr>
    </w:p>
    <w:p>
      <w:pPr>
        <w:pStyle w:val="972"/>
        <w:snapToGrid w:val="0"/>
        <w:spacing w:line="360" w:lineRule="auto"/>
        <w:ind w:firstLine="494"/>
        <w:rPr>
          <w:rFonts w:ascii="宋体" w:eastAsia="宋体"/>
          <w:bCs/>
          <w:sz w:val="24"/>
          <w:szCs w:val="24"/>
          <w:highlight w:val="none"/>
        </w:rPr>
      </w:pPr>
      <w:r>
        <w:rPr>
          <w:rFonts w:hint="eastAsia" w:ascii="宋体" w:eastAsia="宋体"/>
          <w:bCs/>
          <w:sz w:val="24"/>
          <w:szCs w:val="24"/>
          <w:highlight w:val="none"/>
        </w:rPr>
        <w:t>以上企业，不属于大企业的分支机构，不存在控股股东为大企业的情形，也不存在与大企业的负责人为同一人的情形。</w:t>
      </w:r>
    </w:p>
    <w:p>
      <w:pPr>
        <w:pStyle w:val="972"/>
        <w:snapToGrid w:val="0"/>
        <w:spacing w:line="360" w:lineRule="auto"/>
        <w:ind w:firstLine="494"/>
        <w:rPr>
          <w:rFonts w:ascii="宋体" w:eastAsia="宋体"/>
          <w:bCs/>
          <w:sz w:val="24"/>
          <w:szCs w:val="24"/>
          <w:highlight w:val="none"/>
        </w:rPr>
      </w:pPr>
      <w:r>
        <w:rPr>
          <w:rFonts w:hint="eastAsia" w:ascii="宋体" w:eastAsia="宋体"/>
          <w:bCs/>
          <w:sz w:val="24"/>
          <w:szCs w:val="24"/>
          <w:highlight w:val="none"/>
        </w:rPr>
        <w:t>本企业对上述声明内容的真实性负责。如有虚假，将依法承担相应责任。</w:t>
      </w:r>
    </w:p>
    <w:p>
      <w:pPr>
        <w:pStyle w:val="972"/>
        <w:snapToGrid w:val="0"/>
        <w:ind w:firstLine="4809" w:firstLineChars="2004"/>
        <w:rPr>
          <w:rFonts w:ascii="宋体" w:eastAsia="宋体"/>
          <w:bCs/>
          <w:sz w:val="24"/>
          <w:szCs w:val="24"/>
          <w:highlight w:val="none"/>
        </w:rPr>
      </w:pPr>
    </w:p>
    <w:p>
      <w:pPr>
        <w:pStyle w:val="972"/>
        <w:snapToGrid w:val="0"/>
        <w:ind w:firstLine="4809" w:firstLineChars="2004"/>
        <w:rPr>
          <w:rFonts w:ascii="宋体" w:eastAsia="宋体"/>
          <w:bCs/>
          <w:sz w:val="24"/>
          <w:szCs w:val="24"/>
          <w:highlight w:val="none"/>
        </w:rPr>
      </w:pPr>
      <w:r>
        <w:rPr>
          <w:rFonts w:hint="eastAsia" w:ascii="宋体" w:eastAsia="宋体"/>
          <w:bCs/>
          <w:sz w:val="24"/>
          <w:szCs w:val="24"/>
          <w:highlight w:val="none"/>
        </w:rPr>
        <w:t>投标人名称（盖章）：</w:t>
      </w:r>
    </w:p>
    <w:p>
      <w:pPr>
        <w:pStyle w:val="972"/>
        <w:snapToGrid w:val="0"/>
        <w:ind w:firstLine="4809" w:firstLineChars="2004"/>
        <w:rPr>
          <w:rFonts w:ascii="宋体" w:eastAsia="宋体"/>
          <w:bCs/>
          <w:sz w:val="24"/>
          <w:szCs w:val="24"/>
          <w:highlight w:val="none"/>
        </w:rPr>
      </w:pPr>
      <w:r>
        <w:rPr>
          <w:rFonts w:hint="eastAsia" w:ascii="宋体" w:eastAsia="宋体"/>
          <w:bCs/>
          <w:sz w:val="24"/>
          <w:szCs w:val="24"/>
          <w:highlight w:val="none"/>
        </w:rPr>
        <w:t>日 期：</w:t>
      </w:r>
      <w:r>
        <w:rPr>
          <w:rFonts w:hint="eastAsia" w:ascii="宋体" w:eastAsia="宋体"/>
          <w:sz w:val="24"/>
          <w:szCs w:val="24"/>
          <w:highlight w:val="none"/>
          <w:u w:val="single"/>
        </w:rPr>
        <w:t xml:space="preserve">     </w:t>
      </w:r>
      <w:r>
        <w:rPr>
          <w:rFonts w:hint="eastAsia" w:ascii="宋体" w:eastAsia="宋体"/>
          <w:sz w:val="24"/>
          <w:szCs w:val="24"/>
          <w:highlight w:val="none"/>
        </w:rPr>
        <w:t>年</w:t>
      </w:r>
      <w:r>
        <w:rPr>
          <w:rFonts w:hint="eastAsia" w:ascii="宋体" w:eastAsia="宋体"/>
          <w:sz w:val="24"/>
          <w:szCs w:val="24"/>
          <w:highlight w:val="none"/>
          <w:u w:val="single"/>
        </w:rPr>
        <w:t xml:space="preserve">   </w:t>
      </w:r>
      <w:r>
        <w:rPr>
          <w:rFonts w:hint="eastAsia" w:ascii="宋体" w:eastAsia="宋体"/>
          <w:sz w:val="24"/>
          <w:szCs w:val="24"/>
          <w:highlight w:val="none"/>
        </w:rPr>
        <w:t>月</w:t>
      </w:r>
      <w:r>
        <w:rPr>
          <w:rFonts w:hint="eastAsia" w:ascii="宋体" w:eastAsia="宋体"/>
          <w:sz w:val="24"/>
          <w:szCs w:val="24"/>
          <w:highlight w:val="none"/>
          <w:u w:val="single"/>
        </w:rPr>
        <w:t xml:space="preserve">   </w:t>
      </w:r>
      <w:r>
        <w:rPr>
          <w:rFonts w:hint="eastAsia" w:ascii="宋体" w:eastAsia="宋体"/>
          <w:sz w:val="24"/>
          <w:szCs w:val="24"/>
          <w:highlight w:val="none"/>
        </w:rPr>
        <w:t>日</w:t>
      </w:r>
    </w:p>
    <w:p>
      <w:pPr>
        <w:pStyle w:val="972"/>
        <w:snapToGrid w:val="0"/>
        <w:spacing w:line="240" w:lineRule="auto"/>
        <w:ind w:firstLine="0" w:firstLineChars="0"/>
        <w:rPr>
          <w:rFonts w:ascii="宋体" w:eastAsia="宋体"/>
          <w:bCs/>
          <w:sz w:val="24"/>
          <w:szCs w:val="24"/>
          <w:highlight w:val="none"/>
        </w:rPr>
      </w:pPr>
    </w:p>
    <w:p>
      <w:pPr>
        <w:pStyle w:val="972"/>
        <w:snapToGrid w:val="0"/>
        <w:spacing w:line="240" w:lineRule="auto"/>
        <w:ind w:firstLine="0" w:firstLineChars="0"/>
        <w:rPr>
          <w:rFonts w:ascii="宋体" w:eastAsia="宋体"/>
          <w:bCs/>
          <w:sz w:val="24"/>
          <w:szCs w:val="24"/>
          <w:highlight w:val="none"/>
        </w:rPr>
      </w:pPr>
    </w:p>
    <w:p>
      <w:pPr>
        <w:pStyle w:val="972"/>
        <w:snapToGrid w:val="0"/>
        <w:spacing w:line="240" w:lineRule="auto"/>
        <w:ind w:firstLine="0" w:firstLineChars="0"/>
        <w:rPr>
          <w:rFonts w:ascii="宋体" w:eastAsia="宋体"/>
          <w:bCs/>
          <w:sz w:val="24"/>
          <w:szCs w:val="24"/>
          <w:highlight w:val="none"/>
        </w:rPr>
      </w:pPr>
      <w:r>
        <w:rPr>
          <w:rFonts w:hint="eastAsia" w:ascii="宋体" w:eastAsia="宋体"/>
          <w:bCs/>
          <w:sz w:val="24"/>
          <w:szCs w:val="24"/>
          <w:highlight w:val="none"/>
        </w:rPr>
        <w:t>注：</w:t>
      </w:r>
    </w:p>
    <w:p>
      <w:pPr>
        <w:pStyle w:val="972"/>
        <w:snapToGrid w:val="0"/>
        <w:spacing w:line="240" w:lineRule="auto"/>
        <w:ind w:firstLine="0" w:firstLineChars="0"/>
        <w:rPr>
          <w:rFonts w:ascii="宋体" w:eastAsia="宋体"/>
          <w:bCs/>
          <w:sz w:val="24"/>
          <w:szCs w:val="24"/>
          <w:highlight w:val="none"/>
        </w:rPr>
      </w:pPr>
      <w:r>
        <w:rPr>
          <w:rFonts w:hint="eastAsia" w:ascii="宋体" w:eastAsia="宋体"/>
          <w:bCs/>
          <w:sz w:val="24"/>
          <w:szCs w:val="24"/>
          <w:highlight w:val="none"/>
        </w:rPr>
        <w:t>1.从业人员、营业收入、资产总额填报上一年度数据，无上一年度数据的新成立企业可不填报；</w:t>
      </w:r>
    </w:p>
    <w:p>
      <w:pPr>
        <w:pStyle w:val="972"/>
        <w:snapToGrid w:val="0"/>
        <w:spacing w:line="240" w:lineRule="auto"/>
        <w:ind w:firstLine="0" w:firstLineChars="0"/>
        <w:rPr>
          <w:rFonts w:ascii="宋体" w:eastAsia="宋体"/>
          <w:bCs/>
          <w:sz w:val="24"/>
          <w:szCs w:val="24"/>
          <w:highlight w:val="none"/>
        </w:rPr>
      </w:pPr>
      <w:r>
        <w:rPr>
          <w:rFonts w:hint="eastAsia" w:ascii="宋体" w:eastAsia="宋体"/>
          <w:bCs/>
          <w:sz w:val="24"/>
          <w:szCs w:val="24"/>
          <w:highlight w:val="none"/>
        </w:rPr>
        <w:t>2.本项目中小企业政策所属行业为</w:t>
      </w:r>
      <w:r>
        <w:rPr>
          <w:rFonts w:hint="eastAsia" w:ascii="宋体" w:eastAsia="宋体"/>
          <w:b/>
          <w:color w:val="FF0000"/>
          <w:sz w:val="24"/>
          <w:szCs w:val="24"/>
          <w:highlight w:val="none"/>
        </w:rPr>
        <w:t>软件和信息技术服务业</w:t>
      </w:r>
      <w:r>
        <w:rPr>
          <w:rFonts w:hint="eastAsia" w:ascii="宋体" w:eastAsia="宋体"/>
          <w:bCs/>
          <w:sz w:val="24"/>
          <w:szCs w:val="24"/>
          <w:highlight w:val="none"/>
        </w:rPr>
        <w:t>；</w:t>
      </w:r>
    </w:p>
    <w:p>
      <w:pPr>
        <w:pStyle w:val="972"/>
        <w:snapToGrid w:val="0"/>
        <w:spacing w:line="240" w:lineRule="auto"/>
        <w:ind w:firstLine="0" w:firstLineChars="0"/>
        <w:rPr>
          <w:rFonts w:ascii="宋体" w:eastAsia="宋体"/>
          <w:bCs/>
          <w:sz w:val="24"/>
          <w:szCs w:val="24"/>
          <w:highlight w:val="none"/>
        </w:rPr>
      </w:pPr>
      <w:r>
        <w:rPr>
          <w:rFonts w:hint="eastAsia" w:ascii="宋体" w:eastAsia="宋体"/>
          <w:bCs/>
          <w:sz w:val="24"/>
          <w:szCs w:val="24"/>
          <w:highlight w:val="none"/>
        </w:rPr>
        <w:t>3.符合《关于促进残疾人就业政府采购政策的通知》（财库〔2017〕141号）规定的条件并提供《残疾人福利性单位声明函》的残疾人福利性单位视同小型、微型企业；</w:t>
      </w:r>
    </w:p>
    <w:p>
      <w:pPr>
        <w:pStyle w:val="972"/>
        <w:snapToGrid w:val="0"/>
        <w:spacing w:line="240" w:lineRule="auto"/>
        <w:ind w:firstLine="0" w:firstLineChars="0"/>
        <w:rPr>
          <w:rFonts w:ascii="宋体" w:eastAsia="宋体"/>
          <w:bCs/>
          <w:sz w:val="24"/>
          <w:szCs w:val="24"/>
          <w:highlight w:val="none"/>
        </w:rPr>
      </w:pPr>
      <w:r>
        <w:rPr>
          <w:rFonts w:hint="eastAsia" w:ascii="宋体" w:eastAsia="宋体"/>
          <w:bCs/>
          <w:sz w:val="24"/>
          <w:szCs w:val="24"/>
          <w:highlight w:val="none"/>
        </w:rPr>
        <w:t>4.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r>
        <w:rPr>
          <w:rFonts w:hint="eastAsia" w:ascii="宋体" w:hAnsi="宋体"/>
          <w:b/>
          <w:bCs/>
          <w:sz w:val="24"/>
          <w:highlight w:val="none"/>
        </w:rPr>
        <w:t>监狱和戒毒企业证明材料</w:t>
      </w:r>
    </w:p>
    <w:p>
      <w:pPr>
        <w:pStyle w:val="973"/>
        <w:snapToGrid w:val="0"/>
        <w:jc w:val="center"/>
        <w:rPr>
          <w:rFonts w:ascii="宋体" w:hAnsi="宋体"/>
          <w:b/>
          <w:sz w:val="24"/>
          <w:highlight w:val="none"/>
          <w:lang w:val="en-GB"/>
        </w:rPr>
      </w:pPr>
    </w:p>
    <w:p>
      <w:pPr>
        <w:snapToGrid w:val="0"/>
        <w:spacing w:line="480" w:lineRule="exact"/>
        <w:ind w:firstLine="480" w:firstLineChars="200"/>
        <w:rPr>
          <w:rFonts w:ascii="宋体" w:hAnsi="宋体"/>
          <w:sz w:val="24"/>
          <w:highlight w:val="none"/>
        </w:rPr>
      </w:pPr>
      <w:r>
        <w:rPr>
          <w:rFonts w:hint="eastAsia" w:ascii="宋体" w:hAnsi="宋体"/>
          <w:sz w:val="24"/>
          <w:highlight w:val="none"/>
        </w:rPr>
        <w:t>监狱和戒毒企业参加投标时应提供由省级以上监狱管理局、戒毒管理局（含新疆生产建设兵团）出具的属于监狱企业的证明文件。</w:t>
      </w:r>
    </w:p>
    <w:p>
      <w:pPr>
        <w:snapToGrid w:val="0"/>
        <w:spacing w:line="480" w:lineRule="exact"/>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jc w:val="center"/>
        <w:rPr>
          <w:rFonts w:ascii="宋体" w:hAnsi="宋体"/>
          <w:b/>
          <w:spacing w:val="6"/>
          <w:sz w:val="24"/>
          <w:highlight w:val="none"/>
        </w:rPr>
      </w:pPr>
    </w:p>
    <w:p>
      <w:pPr>
        <w:snapToGrid w:val="0"/>
        <w:jc w:val="center"/>
        <w:rPr>
          <w:rFonts w:ascii="宋体" w:hAnsi="宋体"/>
          <w:b/>
          <w:bCs/>
          <w:sz w:val="24"/>
          <w:highlight w:val="none"/>
        </w:rPr>
      </w:pPr>
      <w:r>
        <w:rPr>
          <w:rFonts w:hint="eastAsia" w:ascii="宋体" w:hAnsi="宋体"/>
          <w:b/>
          <w:bCs/>
          <w:sz w:val="24"/>
          <w:highlight w:val="none"/>
        </w:rPr>
        <w:t>残疾人福利性单位声明函</w:t>
      </w:r>
    </w:p>
    <w:p>
      <w:pPr>
        <w:snapToGrid w:val="0"/>
        <w:rPr>
          <w:rFonts w:ascii="宋体" w:hAnsi="宋体"/>
          <w:b/>
          <w:spacing w:val="6"/>
          <w:sz w:val="24"/>
          <w:highlight w:val="none"/>
        </w:rPr>
      </w:pPr>
    </w:p>
    <w:p>
      <w:pPr>
        <w:snapToGrid w:val="0"/>
        <w:spacing w:line="480" w:lineRule="exact"/>
        <w:ind w:firstLine="480" w:firstLineChars="200"/>
        <w:rPr>
          <w:rFonts w:ascii="宋体" w:hAnsi="宋体"/>
          <w:sz w:val="24"/>
          <w:highlight w:val="none"/>
        </w:rPr>
      </w:pPr>
      <w:r>
        <w:rPr>
          <w:rFonts w:hint="eastAsia" w:ascii="宋体" w:hAnsi="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80" w:lineRule="exact"/>
        <w:ind w:firstLine="480" w:firstLineChars="200"/>
        <w:rPr>
          <w:rFonts w:ascii="宋体" w:hAnsi="宋体"/>
          <w:sz w:val="24"/>
          <w:highlight w:val="none"/>
        </w:rPr>
      </w:pPr>
      <w:r>
        <w:rPr>
          <w:rFonts w:hint="eastAsia" w:ascii="宋体" w:hAnsi="宋体"/>
          <w:sz w:val="24"/>
          <w:highlight w:val="none"/>
        </w:rPr>
        <w:t>本单位对上述声明的真实性负责。如有虚假，将依法承担相应责任。</w:t>
      </w:r>
    </w:p>
    <w:p>
      <w:pPr>
        <w:snapToGrid w:val="0"/>
        <w:spacing w:line="480" w:lineRule="exact"/>
        <w:rPr>
          <w:rFonts w:ascii="宋体" w:hAnsi="宋体"/>
          <w:sz w:val="24"/>
          <w:highlight w:val="none"/>
        </w:rPr>
      </w:pPr>
    </w:p>
    <w:p>
      <w:pPr>
        <w:snapToGrid w:val="0"/>
        <w:rPr>
          <w:rFonts w:ascii="宋体" w:hAnsi="宋体"/>
          <w:sz w:val="24"/>
          <w:highlight w:val="none"/>
        </w:rPr>
      </w:pPr>
    </w:p>
    <w:p>
      <w:pPr>
        <w:snapToGrid w:val="0"/>
        <w:ind w:firstLine="5520" w:firstLineChars="2300"/>
        <w:rPr>
          <w:rFonts w:ascii="宋体" w:hAnsi="宋体"/>
          <w:sz w:val="24"/>
          <w:highlight w:val="none"/>
        </w:rPr>
      </w:pPr>
      <w:r>
        <w:rPr>
          <w:rFonts w:hint="eastAsia" w:ascii="宋体" w:hAnsi="宋体"/>
          <w:sz w:val="24"/>
          <w:highlight w:val="none"/>
        </w:rPr>
        <w:t>投标人（盖章）：</w:t>
      </w:r>
    </w:p>
    <w:p>
      <w:pPr>
        <w:snapToGrid w:val="0"/>
        <w:rPr>
          <w:rFonts w:ascii="宋体" w:hAnsi="宋体"/>
          <w:sz w:val="24"/>
          <w:highlight w:val="none"/>
        </w:rPr>
      </w:pPr>
      <w:r>
        <w:rPr>
          <w:rFonts w:hint="eastAsia" w:ascii="宋体" w:hAnsi="宋体"/>
          <w:sz w:val="24"/>
          <w:highlight w:val="none"/>
        </w:rPr>
        <w:t xml:space="preserve">   </w:t>
      </w:r>
    </w:p>
    <w:p>
      <w:pPr>
        <w:snapToGrid w:val="0"/>
        <w:rPr>
          <w:rFonts w:ascii="宋体" w:hAnsi="宋体"/>
          <w:sz w:val="24"/>
          <w:highlight w:val="none"/>
        </w:rPr>
      </w:pPr>
    </w:p>
    <w:p>
      <w:pPr>
        <w:rPr>
          <w:rFonts w:hAnsi="宋体" w:cs="宋体"/>
          <w:sz w:val="24"/>
          <w:highlight w:val="none"/>
        </w:rPr>
      </w:pPr>
      <w:r>
        <w:rPr>
          <w:rFonts w:hint="eastAsia" w:ascii="宋体" w:hAnsi="宋体"/>
          <w:sz w:val="24"/>
          <w:highlight w:val="none"/>
        </w:rPr>
        <w:t xml:space="preserve">                                        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pStyle w:val="16"/>
        <w:rPr>
          <w:rFonts w:hAnsi="宋体" w:cs="宋体"/>
          <w:sz w:val="24"/>
          <w:szCs w:val="24"/>
          <w:highlight w:val="none"/>
        </w:rPr>
      </w:pPr>
    </w:p>
    <w:p>
      <w:pPr>
        <w:spacing w:line="360" w:lineRule="auto"/>
        <w:ind w:firstLine="275" w:firstLineChars="98"/>
        <w:jc w:val="center"/>
        <w:rPr>
          <w:rFonts w:ascii="宋体" w:hAnsi="宋体" w:cs="宋体"/>
          <w:b/>
          <w:bCs/>
          <w:sz w:val="28"/>
          <w:szCs w:val="28"/>
          <w:highlight w:val="none"/>
        </w:rPr>
      </w:pPr>
    </w:p>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AmdtSymbols"/>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宋体-简">
    <w:altName w:val="宋体"/>
    <w:panose1 w:val="00000000000000000000"/>
    <w:charset w:val="86"/>
    <w:family w:val="auto"/>
    <w:pitch w:val="default"/>
    <w:sig w:usb0="00000000" w:usb1="00000000" w:usb2="00000000" w:usb3="00000000" w:csb0="00160000" w:csb1="00000000"/>
  </w:font>
  <w:font w:name="华文细黑">
    <w:altName w:val="微软雅黑"/>
    <w:panose1 w:val="02010600040101010101"/>
    <w:charset w:val="86"/>
    <w:family w:val="auto"/>
    <w:pitch w:val="default"/>
    <w:sig w:usb0="00000000" w:usb1="00000000" w:usb2="00000000" w:usb3="00000000" w:csb0="0004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8"/>
      </w:rPr>
    </w:pPr>
    <w:r>
      <w:fldChar w:fldCharType="begin"/>
    </w:r>
    <w:r>
      <w:rPr>
        <w:rStyle w:val="78"/>
      </w:rPr>
      <w:instrText xml:space="preserve">PAGE  </w:instrText>
    </w:r>
    <w:r>
      <w:fldChar w:fldCharType="end"/>
    </w:r>
  </w:p>
  <w:p>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p>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tabs>
        <w:tab w:val="clear" w:pos="4153"/>
        <w:tab w:val="clear" w:pos="8306"/>
      </w:tabs>
      <w:jc w:val="both"/>
      <w:rPr>
        <w:rFonts w:ascii="仿宋_GB2312" w:eastAsia="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354F6"/>
    <w:multiLevelType w:val="singleLevel"/>
    <w:tmpl w:val="A2C354F6"/>
    <w:lvl w:ilvl="0" w:tentative="0">
      <w:start w:val="1"/>
      <w:numFmt w:val="upperLetter"/>
      <w:suff w:val="space"/>
      <w:lvlText w:val="%1."/>
      <w:lvlJc w:val="left"/>
      <w:pPr>
        <w:ind w:left="440"/>
      </w:pPr>
    </w:lvl>
  </w:abstractNum>
  <w:abstractNum w:abstractNumId="1">
    <w:nsid w:val="B5CA3B46"/>
    <w:multiLevelType w:val="singleLevel"/>
    <w:tmpl w:val="B5CA3B46"/>
    <w:lvl w:ilvl="0" w:tentative="0">
      <w:start w:val="6"/>
      <w:numFmt w:val="chineseCounting"/>
      <w:suff w:val="nothing"/>
      <w:lvlText w:val="第%1章　"/>
      <w:lvlJc w:val="left"/>
      <w:rPr>
        <w:rFonts w:hint="eastAsia"/>
      </w:rPr>
    </w:lvl>
  </w:abstractNum>
  <w:abstractNum w:abstractNumId="2">
    <w:nsid w:val="BAB17786"/>
    <w:multiLevelType w:val="singleLevel"/>
    <w:tmpl w:val="BAB17786"/>
    <w:lvl w:ilvl="0" w:tentative="0">
      <w:start w:val="1"/>
      <w:numFmt w:val="decimal"/>
      <w:suff w:val="space"/>
      <w:lvlText w:val="%1."/>
      <w:lvlJc w:val="left"/>
      <w:pPr>
        <w:ind w:left="440"/>
      </w:pPr>
    </w:lvl>
  </w:abstractNum>
  <w:abstractNum w:abstractNumId="3">
    <w:nsid w:val="BC792504"/>
    <w:multiLevelType w:val="singleLevel"/>
    <w:tmpl w:val="BC792504"/>
    <w:lvl w:ilvl="0" w:tentative="0">
      <w:start w:val="2"/>
      <w:numFmt w:val="chineseCounting"/>
      <w:suff w:val="space"/>
      <w:lvlText w:val="第%1章"/>
      <w:lvlJc w:val="left"/>
      <w:rPr>
        <w:rFonts w:hint="eastAsia"/>
      </w:rPr>
    </w:lvl>
  </w:abstractNum>
  <w:abstractNum w:abstractNumId="4">
    <w:nsid w:val="D09ECA7D"/>
    <w:multiLevelType w:val="singleLevel"/>
    <w:tmpl w:val="D09ECA7D"/>
    <w:lvl w:ilvl="0" w:tentative="0">
      <w:start w:val="2"/>
      <w:numFmt w:val="decimal"/>
      <w:suff w:val="nothing"/>
      <w:lvlText w:val="%1、"/>
      <w:lvlJc w:val="left"/>
    </w:lvl>
  </w:abstractNum>
  <w:abstractNum w:abstractNumId="5">
    <w:nsid w:val="00000020"/>
    <w:multiLevelType w:val="multilevel"/>
    <w:tmpl w:val="00000020"/>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6">
    <w:nsid w:val="00001E64"/>
    <w:multiLevelType w:val="multilevel"/>
    <w:tmpl w:val="00001E64"/>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7">
    <w:nsid w:val="00FA22E3"/>
    <w:multiLevelType w:val="multilevel"/>
    <w:tmpl w:val="00FA22E3"/>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8">
    <w:nsid w:val="01E90591"/>
    <w:multiLevelType w:val="multilevel"/>
    <w:tmpl w:val="01E90591"/>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9">
    <w:nsid w:val="029711B8"/>
    <w:multiLevelType w:val="multilevel"/>
    <w:tmpl w:val="029711B8"/>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0">
    <w:nsid w:val="02A2368B"/>
    <w:multiLevelType w:val="multilevel"/>
    <w:tmpl w:val="02A2368B"/>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11">
    <w:nsid w:val="02BF07F8"/>
    <w:multiLevelType w:val="multilevel"/>
    <w:tmpl w:val="02BF07F8"/>
    <w:lvl w:ilvl="0" w:tentative="0">
      <w:start w:val="1"/>
      <w:numFmt w:val="japaneseCounting"/>
      <w:lvlText w:val="%1、"/>
      <w:lvlJc w:val="left"/>
      <w:pPr>
        <w:ind w:left="17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33F335A"/>
    <w:multiLevelType w:val="multilevel"/>
    <w:tmpl w:val="033F335A"/>
    <w:lvl w:ilvl="0" w:tentative="0">
      <w:start w:val="1"/>
      <w:numFmt w:val="decimal"/>
      <w:lvlText w:val="%1)"/>
      <w:lvlJc w:val="left"/>
      <w:pPr>
        <w:ind w:left="900" w:hanging="420"/>
      </w:pPr>
    </w:lvl>
    <w:lvl w:ilvl="1" w:tentative="0">
      <w:start w:val="1"/>
      <w:numFmt w:val="decimal"/>
      <w:lvlText w:val="%2."/>
      <w:lvlJc w:val="left"/>
      <w:pPr>
        <w:ind w:left="1260" w:hanging="360"/>
      </w:pPr>
      <w:rPr>
        <w:rFonts w:hint="default"/>
      </w:rPr>
    </w:lvl>
    <w:lvl w:ilvl="2" w:tentative="0">
      <w:start w:val="1"/>
      <w:numFmt w:val="decimal"/>
      <w:lvlText w:val="%3、"/>
      <w:lvlJc w:val="left"/>
      <w:pPr>
        <w:ind w:left="1740" w:hanging="420"/>
      </w:pPr>
      <w:rPr>
        <w:rFonts w:hint="eastAsia"/>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03AE67D2"/>
    <w:multiLevelType w:val="multilevel"/>
    <w:tmpl w:val="03AE67D2"/>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4">
    <w:nsid w:val="03C36E94"/>
    <w:multiLevelType w:val="multilevel"/>
    <w:tmpl w:val="03C36E9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04B82A74"/>
    <w:multiLevelType w:val="multilevel"/>
    <w:tmpl w:val="04B82A7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05466FB3"/>
    <w:multiLevelType w:val="multilevel"/>
    <w:tmpl w:val="05466F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6F06466"/>
    <w:multiLevelType w:val="multilevel"/>
    <w:tmpl w:val="06F06466"/>
    <w:lvl w:ilvl="0" w:tentative="0">
      <w:start w:val="1"/>
      <w:numFmt w:val="bullet"/>
      <w:lvlText w:val=""/>
      <w:lvlJc w:val="left"/>
      <w:pPr>
        <w:ind w:left="1382" w:hanging="420"/>
      </w:pPr>
      <w:rPr>
        <w:rFonts w:hint="default" w:ascii="Wingdings" w:hAnsi="Wingdings"/>
      </w:rPr>
    </w:lvl>
    <w:lvl w:ilvl="1" w:tentative="0">
      <w:start w:val="1"/>
      <w:numFmt w:val="bullet"/>
      <w:lvlText w:val=""/>
      <w:lvlJc w:val="left"/>
      <w:pPr>
        <w:ind w:left="1802" w:hanging="420"/>
      </w:pPr>
      <w:rPr>
        <w:rFonts w:hint="default" w:ascii="Wingdings" w:hAnsi="Wingdings"/>
      </w:rPr>
    </w:lvl>
    <w:lvl w:ilvl="2" w:tentative="0">
      <w:start w:val="1"/>
      <w:numFmt w:val="bullet"/>
      <w:lvlText w:val=""/>
      <w:lvlJc w:val="left"/>
      <w:pPr>
        <w:ind w:left="2222" w:hanging="420"/>
      </w:pPr>
      <w:rPr>
        <w:rFonts w:hint="default" w:ascii="Wingdings" w:hAnsi="Wingdings"/>
      </w:rPr>
    </w:lvl>
    <w:lvl w:ilvl="3" w:tentative="0">
      <w:start w:val="1"/>
      <w:numFmt w:val="bullet"/>
      <w:lvlText w:val=""/>
      <w:lvlJc w:val="left"/>
      <w:pPr>
        <w:ind w:left="2642" w:hanging="420"/>
      </w:pPr>
      <w:rPr>
        <w:rFonts w:hint="default" w:ascii="Wingdings" w:hAnsi="Wingdings"/>
      </w:rPr>
    </w:lvl>
    <w:lvl w:ilvl="4" w:tentative="0">
      <w:start w:val="1"/>
      <w:numFmt w:val="bullet"/>
      <w:lvlText w:val=""/>
      <w:lvlJc w:val="left"/>
      <w:pPr>
        <w:ind w:left="3062" w:hanging="420"/>
      </w:pPr>
      <w:rPr>
        <w:rFonts w:hint="default" w:ascii="Wingdings" w:hAnsi="Wingdings"/>
      </w:rPr>
    </w:lvl>
    <w:lvl w:ilvl="5" w:tentative="0">
      <w:start w:val="1"/>
      <w:numFmt w:val="bullet"/>
      <w:lvlText w:val=""/>
      <w:lvlJc w:val="left"/>
      <w:pPr>
        <w:ind w:left="3482" w:hanging="420"/>
      </w:pPr>
      <w:rPr>
        <w:rFonts w:hint="default" w:ascii="Wingdings" w:hAnsi="Wingdings"/>
      </w:rPr>
    </w:lvl>
    <w:lvl w:ilvl="6" w:tentative="0">
      <w:start w:val="1"/>
      <w:numFmt w:val="bullet"/>
      <w:lvlText w:val=""/>
      <w:lvlJc w:val="left"/>
      <w:pPr>
        <w:ind w:left="3902" w:hanging="420"/>
      </w:pPr>
      <w:rPr>
        <w:rFonts w:hint="default" w:ascii="Wingdings" w:hAnsi="Wingdings"/>
      </w:rPr>
    </w:lvl>
    <w:lvl w:ilvl="7" w:tentative="0">
      <w:start w:val="1"/>
      <w:numFmt w:val="bullet"/>
      <w:lvlText w:val=""/>
      <w:lvlJc w:val="left"/>
      <w:pPr>
        <w:ind w:left="4322" w:hanging="420"/>
      </w:pPr>
      <w:rPr>
        <w:rFonts w:hint="default" w:ascii="Wingdings" w:hAnsi="Wingdings"/>
      </w:rPr>
    </w:lvl>
    <w:lvl w:ilvl="8" w:tentative="0">
      <w:start w:val="1"/>
      <w:numFmt w:val="bullet"/>
      <w:lvlText w:val=""/>
      <w:lvlJc w:val="left"/>
      <w:pPr>
        <w:ind w:left="4742" w:hanging="420"/>
      </w:pPr>
      <w:rPr>
        <w:rFonts w:hint="default" w:ascii="Wingdings" w:hAnsi="Wingdings"/>
      </w:rPr>
    </w:lvl>
  </w:abstractNum>
  <w:abstractNum w:abstractNumId="18">
    <w:nsid w:val="07561CC9"/>
    <w:multiLevelType w:val="multilevel"/>
    <w:tmpl w:val="07561CC9"/>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9">
    <w:nsid w:val="0767287B"/>
    <w:multiLevelType w:val="multilevel"/>
    <w:tmpl w:val="0767287B"/>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20">
    <w:nsid w:val="07847CC0"/>
    <w:multiLevelType w:val="multilevel"/>
    <w:tmpl w:val="07847CC0"/>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1">
    <w:nsid w:val="0866704A"/>
    <w:multiLevelType w:val="multilevel"/>
    <w:tmpl w:val="0866704A"/>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22">
    <w:nsid w:val="08E6229F"/>
    <w:multiLevelType w:val="multilevel"/>
    <w:tmpl w:val="08E6229F"/>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23">
    <w:nsid w:val="092033E4"/>
    <w:multiLevelType w:val="multilevel"/>
    <w:tmpl w:val="092033E4"/>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24">
    <w:nsid w:val="09275656"/>
    <w:multiLevelType w:val="multilevel"/>
    <w:tmpl w:val="09275656"/>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25">
    <w:nsid w:val="0A5752DC"/>
    <w:multiLevelType w:val="multilevel"/>
    <w:tmpl w:val="0A5752D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
    <w:nsid w:val="0B6EBB21"/>
    <w:multiLevelType w:val="singleLevel"/>
    <w:tmpl w:val="0B6EBB21"/>
    <w:lvl w:ilvl="0" w:tentative="0">
      <w:start w:val="1"/>
      <w:numFmt w:val="decimal"/>
      <w:suff w:val="space"/>
      <w:lvlText w:val="%1."/>
      <w:lvlJc w:val="left"/>
    </w:lvl>
  </w:abstractNum>
  <w:abstractNum w:abstractNumId="27">
    <w:nsid w:val="0BD10692"/>
    <w:multiLevelType w:val="multilevel"/>
    <w:tmpl w:val="0BD10692"/>
    <w:lvl w:ilvl="0" w:tentative="0">
      <w:start w:val="5"/>
      <w:numFmt w:val="upperLetter"/>
      <w:lvlText w:val="%1、"/>
      <w:lvlJc w:val="left"/>
      <w:pPr>
        <w:ind w:left="580" w:hanging="360"/>
      </w:pPr>
      <w:rPr>
        <w:rFonts w:hint="default"/>
      </w:r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28">
    <w:nsid w:val="0D1B653A"/>
    <w:multiLevelType w:val="multilevel"/>
    <w:tmpl w:val="0D1B653A"/>
    <w:lvl w:ilvl="0" w:tentative="0">
      <w:start w:val="1"/>
      <w:numFmt w:val="japaneseCounting"/>
      <w:lvlText w:val="%1、"/>
      <w:lvlJc w:val="left"/>
      <w:pPr>
        <w:ind w:left="17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0D7611E1"/>
    <w:multiLevelType w:val="multilevel"/>
    <w:tmpl w:val="0D7611E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0">
    <w:nsid w:val="0E324BA0"/>
    <w:multiLevelType w:val="multilevel"/>
    <w:tmpl w:val="0E324BA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1">
    <w:nsid w:val="0FA25CF2"/>
    <w:multiLevelType w:val="multilevel"/>
    <w:tmpl w:val="0FA25CF2"/>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32">
    <w:nsid w:val="101233CE"/>
    <w:multiLevelType w:val="multilevel"/>
    <w:tmpl w:val="101233CE"/>
    <w:lvl w:ilvl="0" w:tentative="0">
      <w:start w:val="1"/>
      <w:numFmt w:val="bullet"/>
      <w:lvlText w:val="¨"/>
      <w:lvlJc w:val="left"/>
      <w:pPr>
        <w:ind w:left="420" w:hanging="42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rPr>
    </w:lvl>
    <w:lvl w:ilvl="1" w:tentative="0">
      <w:start w:val="1"/>
      <w:numFmt w:val="bullet"/>
      <w:lvlText w:val="◇"/>
      <w:lvlJc w:val="left"/>
      <w:pPr>
        <w:ind w:left="840" w:hanging="4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2" w:tentative="0">
      <w:start w:val="1"/>
      <w:numFmt w:val="bullet"/>
      <w:lvlText w:val="◆"/>
      <w:lvlJc w:val="left"/>
      <w:pPr>
        <w:ind w:left="1260" w:hanging="4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3" w:tentative="0">
      <w:start w:val="1"/>
      <w:numFmt w:val="bullet"/>
      <w:lvlText w:val="●"/>
      <w:lvlJc w:val="left"/>
      <w:pPr>
        <w:ind w:left="1680" w:hanging="4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4" w:tentative="0">
      <w:start w:val="1"/>
      <w:numFmt w:val="bullet"/>
      <w:lvlText w:val="■"/>
      <w:lvlJc w:val="left"/>
      <w:pPr>
        <w:ind w:left="2100" w:hanging="4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5" w:tentative="0">
      <w:start w:val="1"/>
      <w:numFmt w:val="bullet"/>
      <w:lvlText w:val="◆"/>
      <w:lvlJc w:val="left"/>
      <w:pPr>
        <w:ind w:left="2520" w:hanging="4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6" w:tentative="0">
      <w:start w:val="1"/>
      <w:numFmt w:val="bullet"/>
      <w:lvlText w:val="●"/>
      <w:lvlJc w:val="left"/>
      <w:pPr>
        <w:ind w:left="2940" w:hanging="4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7" w:tentative="0">
      <w:start w:val="1"/>
      <w:numFmt w:val="bullet"/>
      <w:lvlText w:val="■"/>
      <w:lvlJc w:val="left"/>
      <w:pPr>
        <w:ind w:left="3360" w:hanging="4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8" w:tentative="0">
      <w:start w:val="1"/>
      <w:numFmt w:val="bullet"/>
      <w:lvlText w:val="◆"/>
      <w:lvlJc w:val="left"/>
      <w:pPr>
        <w:ind w:left="3780" w:hanging="4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nsid w:val="10A25352"/>
    <w:multiLevelType w:val="multilevel"/>
    <w:tmpl w:val="10A25352"/>
    <w:lvl w:ilvl="0" w:tentative="0">
      <w:start w:val="1"/>
      <w:numFmt w:val="bullet"/>
      <w:lvlText w:val="◇"/>
      <w:lvlJc w:val="left"/>
      <w:pPr>
        <w:ind w:left="840" w:hanging="4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1" w:tentative="0">
      <w:start w:val="1"/>
      <w:numFmt w:val="bullet"/>
      <w:lvlText w:val="■"/>
      <w:lvlJc w:val="left"/>
      <w:pPr>
        <w:ind w:left="1260" w:hanging="4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2" w:tentative="0">
      <w:start w:val="1"/>
      <w:numFmt w:val="bullet"/>
      <w:lvlText w:val="◆"/>
      <w:lvlJc w:val="left"/>
      <w:pPr>
        <w:ind w:left="1680" w:hanging="4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3" w:tentative="0">
      <w:start w:val="1"/>
      <w:numFmt w:val="bullet"/>
      <w:lvlText w:val="●"/>
      <w:lvlJc w:val="left"/>
      <w:pPr>
        <w:ind w:left="2100" w:hanging="4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4" w:tentative="0">
      <w:start w:val="1"/>
      <w:numFmt w:val="bullet"/>
      <w:lvlText w:val="■"/>
      <w:lvlJc w:val="left"/>
      <w:pPr>
        <w:ind w:left="2520" w:hanging="4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5" w:tentative="0">
      <w:start w:val="1"/>
      <w:numFmt w:val="bullet"/>
      <w:lvlText w:val="◆"/>
      <w:lvlJc w:val="left"/>
      <w:pPr>
        <w:ind w:left="2940" w:hanging="4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6" w:tentative="0">
      <w:start w:val="1"/>
      <w:numFmt w:val="bullet"/>
      <w:lvlText w:val="●"/>
      <w:lvlJc w:val="left"/>
      <w:pPr>
        <w:ind w:left="3360" w:hanging="4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7" w:tentative="0">
      <w:start w:val="1"/>
      <w:numFmt w:val="bullet"/>
      <w:lvlText w:val="■"/>
      <w:lvlJc w:val="left"/>
      <w:pPr>
        <w:ind w:left="3780" w:hanging="4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8" w:tentative="0">
      <w:start w:val="1"/>
      <w:numFmt w:val="bullet"/>
      <w:lvlText w:val="◆"/>
      <w:lvlJc w:val="left"/>
      <w:pPr>
        <w:ind w:left="4200" w:hanging="4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nsid w:val="12032EF3"/>
    <w:multiLevelType w:val="multilevel"/>
    <w:tmpl w:val="12032EF3"/>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35">
    <w:nsid w:val="12973361"/>
    <w:multiLevelType w:val="singleLevel"/>
    <w:tmpl w:val="12973361"/>
    <w:lvl w:ilvl="0" w:tentative="0">
      <w:start w:val="1"/>
      <w:numFmt w:val="decimal"/>
      <w:suff w:val="space"/>
      <w:lvlText w:val="%1."/>
      <w:lvlJc w:val="left"/>
    </w:lvl>
  </w:abstractNum>
  <w:abstractNum w:abstractNumId="36">
    <w:nsid w:val="13531AD3"/>
    <w:multiLevelType w:val="multilevel"/>
    <w:tmpl w:val="13531AD3"/>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37">
    <w:nsid w:val="13DF0654"/>
    <w:multiLevelType w:val="multilevel"/>
    <w:tmpl w:val="13DF0654"/>
    <w:lvl w:ilvl="0" w:tentative="0">
      <w:start w:val="1"/>
      <w:numFmt w:val="decimal"/>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8">
    <w:nsid w:val="14CB546A"/>
    <w:multiLevelType w:val="multilevel"/>
    <w:tmpl w:val="14CB546A"/>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39">
    <w:nsid w:val="15DE1542"/>
    <w:multiLevelType w:val="multilevel"/>
    <w:tmpl w:val="15DE1542"/>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40">
    <w:nsid w:val="15F80305"/>
    <w:multiLevelType w:val="multilevel"/>
    <w:tmpl w:val="15F80305"/>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41">
    <w:nsid w:val="164C2805"/>
    <w:multiLevelType w:val="multilevel"/>
    <w:tmpl w:val="164C2805"/>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42">
    <w:nsid w:val="17A54866"/>
    <w:multiLevelType w:val="multilevel"/>
    <w:tmpl w:val="17A548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17A672D3"/>
    <w:multiLevelType w:val="multilevel"/>
    <w:tmpl w:val="17A672D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4">
    <w:nsid w:val="19340AB0"/>
    <w:multiLevelType w:val="multilevel"/>
    <w:tmpl w:val="19340AB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5">
    <w:nsid w:val="19D7147C"/>
    <w:multiLevelType w:val="multilevel"/>
    <w:tmpl w:val="19D7147C"/>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46">
    <w:nsid w:val="1A1C490D"/>
    <w:multiLevelType w:val="multilevel"/>
    <w:tmpl w:val="1A1C490D"/>
    <w:lvl w:ilvl="0" w:tentative="0">
      <w:start w:val="1"/>
      <w:numFmt w:val="japaneseCounting"/>
      <w:lvlText w:val="%1、"/>
      <w:lvlJc w:val="left"/>
      <w:pPr>
        <w:ind w:left="17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1AAF5C7A"/>
    <w:multiLevelType w:val="multilevel"/>
    <w:tmpl w:val="1AAF5C7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8">
    <w:nsid w:val="1ADA6474"/>
    <w:multiLevelType w:val="multilevel"/>
    <w:tmpl w:val="1ADA6474"/>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9">
    <w:nsid w:val="1AF322A7"/>
    <w:multiLevelType w:val="multilevel"/>
    <w:tmpl w:val="1AF322A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0">
    <w:nsid w:val="1B3445A1"/>
    <w:multiLevelType w:val="multilevel"/>
    <w:tmpl w:val="1B3445A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1B80360A"/>
    <w:multiLevelType w:val="multilevel"/>
    <w:tmpl w:val="1B80360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2">
    <w:nsid w:val="1BFC3869"/>
    <w:multiLevelType w:val="multilevel"/>
    <w:tmpl w:val="1BFC3869"/>
    <w:lvl w:ilvl="0" w:tentative="0">
      <w:start w:val="1"/>
      <w:numFmt w:val="bullet"/>
      <w:lvlText w:val=""/>
      <w:lvlJc w:val="left"/>
      <w:pPr>
        <w:ind w:left="1130" w:hanging="420"/>
      </w:pPr>
      <w:rPr>
        <w:rFonts w:hint="default" w:ascii="Wingdings" w:hAnsi="Wingdings"/>
      </w:rPr>
    </w:lvl>
    <w:lvl w:ilvl="1" w:tentative="0">
      <w:start w:val="1"/>
      <w:numFmt w:val="bullet"/>
      <w:lvlText w:val=""/>
      <w:lvlJc w:val="left"/>
      <w:pPr>
        <w:ind w:left="1550" w:hanging="420"/>
      </w:pPr>
      <w:rPr>
        <w:rFonts w:hint="default" w:ascii="Wingdings" w:hAnsi="Wingdings"/>
      </w:rPr>
    </w:lvl>
    <w:lvl w:ilvl="2" w:tentative="0">
      <w:start w:val="1"/>
      <w:numFmt w:val="bullet"/>
      <w:lvlText w:val=""/>
      <w:lvlJc w:val="left"/>
      <w:pPr>
        <w:ind w:left="1970" w:hanging="420"/>
      </w:pPr>
      <w:rPr>
        <w:rFonts w:hint="default" w:ascii="Wingdings" w:hAnsi="Wingdings"/>
      </w:rPr>
    </w:lvl>
    <w:lvl w:ilvl="3" w:tentative="0">
      <w:start w:val="1"/>
      <w:numFmt w:val="bullet"/>
      <w:lvlText w:val=""/>
      <w:lvlJc w:val="left"/>
      <w:pPr>
        <w:ind w:left="2390" w:hanging="420"/>
      </w:pPr>
      <w:rPr>
        <w:rFonts w:hint="default" w:ascii="Wingdings" w:hAnsi="Wingdings"/>
      </w:rPr>
    </w:lvl>
    <w:lvl w:ilvl="4" w:tentative="0">
      <w:start w:val="1"/>
      <w:numFmt w:val="bullet"/>
      <w:lvlText w:val=""/>
      <w:lvlJc w:val="left"/>
      <w:pPr>
        <w:ind w:left="2810" w:hanging="420"/>
      </w:pPr>
      <w:rPr>
        <w:rFonts w:hint="default" w:ascii="Wingdings" w:hAnsi="Wingdings"/>
      </w:rPr>
    </w:lvl>
    <w:lvl w:ilvl="5" w:tentative="0">
      <w:start w:val="1"/>
      <w:numFmt w:val="bullet"/>
      <w:lvlText w:val=""/>
      <w:lvlJc w:val="left"/>
      <w:pPr>
        <w:ind w:left="3230" w:hanging="420"/>
      </w:pPr>
      <w:rPr>
        <w:rFonts w:hint="default" w:ascii="Wingdings" w:hAnsi="Wingdings"/>
      </w:rPr>
    </w:lvl>
    <w:lvl w:ilvl="6" w:tentative="0">
      <w:start w:val="1"/>
      <w:numFmt w:val="bullet"/>
      <w:lvlText w:val=""/>
      <w:lvlJc w:val="left"/>
      <w:pPr>
        <w:ind w:left="3650" w:hanging="420"/>
      </w:pPr>
      <w:rPr>
        <w:rFonts w:hint="default" w:ascii="Wingdings" w:hAnsi="Wingdings"/>
      </w:rPr>
    </w:lvl>
    <w:lvl w:ilvl="7" w:tentative="0">
      <w:start w:val="1"/>
      <w:numFmt w:val="bullet"/>
      <w:lvlText w:val=""/>
      <w:lvlJc w:val="left"/>
      <w:pPr>
        <w:ind w:left="4070" w:hanging="420"/>
      </w:pPr>
      <w:rPr>
        <w:rFonts w:hint="default" w:ascii="Wingdings" w:hAnsi="Wingdings"/>
      </w:rPr>
    </w:lvl>
    <w:lvl w:ilvl="8" w:tentative="0">
      <w:start w:val="1"/>
      <w:numFmt w:val="bullet"/>
      <w:lvlText w:val=""/>
      <w:lvlJc w:val="left"/>
      <w:pPr>
        <w:ind w:left="4490" w:hanging="420"/>
      </w:pPr>
      <w:rPr>
        <w:rFonts w:hint="default" w:ascii="Wingdings" w:hAnsi="Wingdings"/>
      </w:rPr>
    </w:lvl>
  </w:abstractNum>
  <w:abstractNum w:abstractNumId="53">
    <w:nsid w:val="1C494179"/>
    <w:multiLevelType w:val="multilevel"/>
    <w:tmpl w:val="1C494179"/>
    <w:lvl w:ilvl="0" w:tentative="0">
      <w:start w:val="1"/>
      <w:numFmt w:val="decimal"/>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4">
    <w:nsid w:val="1C5F2828"/>
    <w:multiLevelType w:val="multilevel"/>
    <w:tmpl w:val="1C5F2828"/>
    <w:lvl w:ilvl="0" w:tentative="0">
      <w:start w:val="1"/>
      <w:numFmt w:val="bullet"/>
      <w:lvlText w:val="◇"/>
      <w:lvlJc w:val="left"/>
      <w:pPr>
        <w:ind w:left="42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1" w:tentative="0">
      <w:start w:val="1"/>
      <w:numFmt w:val="bullet"/>
      <w:lvlText w:val="◇"/>
      <w:lvlJc w:val="left"/>
      <w:pPr>
        <w:ind w:left="84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2" w:tentative="0">
      <w:start w:val="1"/>
      <w:numFmt w:val="bullet"/>
      <w:lvlText w:val="◆"/>
      <w:lvlJc w:val="left"/>
      <w:pPr>
        <w:ind w:left="126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3" w:tentative="0">
      <w:start w:val="1"/>
      <w:numFmt w:val="bullet"/>
      <w:lvlText w:val="●"/>
      <w:lvlJc w:val="left"/>
      <w:pPr>
        <w:ind w:left="168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4" w:tentative="0">
      <w:start w:val="1"/>
      <w:numFmt w:val="bullet"/>
      <w:lvlText w:val="■"/>
      <w:lvlJc w:val="left"/>
      <w:pPr>
        <w:ind w:left="210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5" w:tentative="0">
      <w:start w:val="1"/>
      <w:numFmt w:val="bullet"/>
      <w:lvlText w:val="◆"/>
      <w:lvlJc w:val="left"/>
      <w:pPr>
        <w:ind w:left="252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6" w:tentative="0">
      <w:start w:val="1"/>
      <w:numFmt w:val="bullet"/>
      <w:lvlText w:val="●"/>
      <w:lvlJc w:val="left"/>
      <w:pPr>
        <w:ind w:left="294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7" w:tentative="0">
      <w:start w:val="1"/>
      <w:numFmt w:val="bullet"/>
      <w:lvlText w:val="■"/>
      <w:lvlJc w:val="left"/>
      <w:pPr>
        <w:ind w:left="336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8" w:tentative="0">
      <w:start w:val="1"/>
      <w:numFmt w:val="bullet"/>
      <w:lvlText w:val="◆"/>
      <w:lvlJc w:val="left"/>
      <w:pPr>
        <w:ind w:left="378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5">
    <w:nsid w:val="1C620313"/>
    <w:multiLevelType w:val="multilevel"/>
    <w:tmpl w:val="1C62031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6">
    <w:nsid w:val="1D1A14D1"/>
    <w:multiLevelType w:val="multilevel"/>
    <w:tmpl w:val="1D1A14D1"/>
    <w:lvl w:ilvl="0" w:tentative="0">
      <w:start w:val="1"/>
      <w:numFmt w:val="decimal"/>
      <w:lvlText w:val="%1."/>
      <w:lvlJc w:val="left"/>
      <w:pPr>
        <w:ind w:left="900" w:hanging="420"/>
      </w:pPr>
      <w:rPr>
        <w:rFonts w:hint="default"/>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988" w:hanging="420"/>
      </w:pPr>
      <w:rPr>
        <w:rFonts w:hint="default"/>
      </w:rPr>
    </w:lvl>
    <w:lvl w:ilvl="3" w:tentative="0">
      <w:start w:val="1"/>
      <w:numFmt w:val="decimal"/>
      <w:lvlText w:val="%4、"/>
      <w:lvlJc w:val="left"/>
      <w:pPr>
        <w:ind w:left="2100" w:hanging="360"/>
      </w:pPr>
      <w:rPr>
        <w:rFonts w:hint="default"/>
      </w:r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7">
    <w:nsid w:val="1D9A515F"/>
    <w:multiLevelType w:val="multilevel"/>
    <w:tmpl w:val="1D9A515F"/>
    <w:lvl w:ilvl="0" w:tentative="0">
      <w:start w:val="1"/>
      <w:numFmt w:val="japaneseCounting"/>
      <w:lvlText w:val="%1、"/>
      <w:lvlJc w:val="left"/>
      <w:pPr>
        <w:ind w:left="17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1F303E41"/>
    <w:multiLevelType w:val="multilevel"/>
    <w:tmpl w:val="1F303E41"/>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59">
    <w:nsid w:val="1F746913"/>
    <w:multiLevelType w:val="multilevel"/>
    <w:tmpl w:val="1F746913"/>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60">
    <w:nsid w:val="1F8EC2B2"/>
    <w:multiLevelType w:val="singleLevel"/>
    <w:tmpl w:val="1F8EC2B2"/>
    <w:lvl w:ilvl="0" w:tentative="0">
      <w:start w:val="1"/>
      <w:numFmt w:val="upperLetter"/>
      <w:lvlText w:val="%1."/>
      <w:lvlJc w:val="left"/>
      <w:pPr>
        <w:tabs>
          <w:tab w:val="left" w:pos="312"/>
        </w:tabs>
      </w:pPr>
    </w:lvl>
  </w:abstractNum>
  <w:abstractNum w:abstractNumId="61">
    <w:nsid w:val="205400E0"/>
    <w:multiLevelType w:val="multilevel"/>
    <w:tmpl w:val="205400E0"/>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62">
    <w:nsid w:val="21D75EB4"/>
    <w:multiLevelType w:val="multilevel"/>
    <w:tmpl w:val="21D75EB4"/>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63">
    <w:nsid w:val="21F26C9B"/>
    <w:multiLevelType w:val="multilevel"/>
    <w:tmpl w:val="21F26C9B"/>
    <w:lvl w:ilvl="0" w:tentative="0">
      <w:start w:val="1"/>
      <w:numFmt w:val="japaneseCounting"/>
      <w:lvlText w:val="%1、"/>
      <w:lvlJc w:val="left"/>
      <w:pPr>
        <w:ind w:left="17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2229308E"/>
    <w:multiLevelType w:val="multilevel"/>
    <w:tmpl w:val="2229308E"/>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65">
    <w:nsid w:val="22B4795D"/>
    <w:multiLevelType w:val="multilevel"/>
    <w:tmpl w:val="22B4795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24382A57"/>
    <w:multiLevelType w:val="multilevel"/>
    <w:tmpl w:val="24382A57"/>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67">
    <w:nsid w:val="24440612"/>
    <w:multiLevelType w:val="multilevel"/>
    <w:tmpl w:val="24440612"/>
    <w:lvl w:ilvl="0" w:tentative="0">
      <w:start w:val="1"/>
      <w:numFmt w:val="decimal"/>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68">
    <w:nsid w:val="246275A2"/>
    <w:multiLevelType w:val="multilevel"/>
    <w:tmpl w:val="246275A2"/>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69">
    <w:nsid w:val="267F7CF0"/>
    <w:multiLevelType w:val="multilevel"/>
    <w:tmpl w:val="267F7CF0"/>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70">
    <w:nsid w:val="299277C8"/>
    <w:multiLevelType w:val="multilevel"/>
    <w:tmpl w:val="299277C8"/>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71">
    <w:nsid w:val="29F548FE"/>
    <w:multiLevelType w:val="multilevel"/>
    <w:tmpl w:val="29F548FE"/>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72">
    <w:nsid w:val="2C3E030B"/>
    <w:multiLevelType w:val="multilevel"/>
    <w:tmpl w:val="2C3E030B"/>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73">
    <w:nsid w:val="2CD06291"/>
    <w:multiLevelType w:val="multilevel"/>
    <w:tmpl w:val="2CD06291"/>
    <w:lvl w:ilvl="0" w:tentative="0">
      <w:start w:val="1"/>
      <w:numFmt w:val="bullet"/>
      <w:lvlText w:val="◇"/>
      <w:lvlJc w:val="left"/>
      <w:pPr>
        <w:ind w:left="42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1" w:tentative="0">
      <w:start w:val="1"/>
      <w:numFmt w:val="bullet"/>
      <w:lvlText w:val="◇"/>
      <w:lvlJc w:val="left"/>
      <w:pPr>
        <w:ind w:left="84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2" w:tentative="0">
      <w:start w:val="1"/>
      <w:numFmt w:val="bullet"/>
      <w:lvlText w:val="◆"/>
      <w:lvlJc w:val="left"/>
      <w:pPr>
        <w:ind w:left="126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3" w:tentative="0">
      <w:start w:val="1"/>
      <w:numFmt w:val="bullet"/>
      <w:lvlText w:val="●"/>
      <w:lvlJc w:val="left"/>
      <w:pPr>
        <w:ind w:left="168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4" w:tentative="0">
      <w:start w:val="1"/>
      <w:numFmt w:val="bullet"/>
      <w:lvlText w:val="■"/>
      <w:lvlJc w:val="left"/>
      <w:pPr>
        <w:ind w:left="210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5" w:tentative="0">
      <w:start w:val="1"/>
      <w:numFmt w:val="bullet"/>
      <w:lvlText w:val="◆"/>
      <w:lvlJc w:val="left"/>
      <w:pPr>
        <w:ind w:left="252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6" w:tentative="0">
      <w:start w:val="1"/>
      <w:numFmt w:val="bullet"/>
      <w:lvlText w:val="●"/>
      <w:lvlJc w:val="left"/>
      <w:pPr>
        <w:ind w:left="294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7" w:tentative="0">
      <w:start w:val="1"/>
      <w:numFmt w:val="bullet"/>
      <w:lvlText w:val="■"/>
      <w:lvlJc w:val="left"/>
      <w:pPr>
        <w:ind w:left="336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8" w:tentative="0">
      <w:start w:val="1"/>
      <w:numFmt w:val="bullet"/>
      <w:lvlText w:val="◆"/>
      <w:lvlJc w:val="left"/>
      <w:pPr>
        <w:ind w:left="378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74">
    <w:nsid w:val="2D1F43AA"/>
    <w:multiLevelType w:val="multilevel"/>
    <w:tmpl w:val="2D1F43A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5">
    <w:nsid w:val="2D5E1839"/>
    <w:multiLevelType w:val="multilevel"/>
    <w:tmpl w:val="2D5E1839"/>
    <w:lvl w:ilvl="0" w:tentative="0">
      <w:start w:val="1"/>
      <w:numFmt w:val="japaneseCounting"/>
      <w:lvlText w:val="%1、"/>
      <w:lvlJc w:val="left"/>
      <w:pPr>
        <w:ind w:left="17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2E6631C5"/>
    <w:multiLevelType w:val="multilevel"/>
    <w:tmpl w:val="2E6631C5"/>
    <w:lvl w:ilvl="0" w:tentative="0">
      <w:start w:val="1"/>
      <w:numFmt w:val="bullet"/>
      <w:lvlText w:val=""/>
      <w:lvlJc w:val="left"/>
      <w:pPr>
        <w:ind w:left="1382" w:hanging="420"/>
      </w:pPr>
      <w:rPr>
        <w:rFonts w:hint="default" w:ascii="Wingdings" w:hAnsi="Wingdings"/>
      </w:rPr>
    </w:lvl>
    <w:lvl w:ilvl="1" w:tentative="0">
      <w:start w:val="1"/>
      <w:numFmt w:val="bullet"/>
      <w:lvlText w:val=""/>
      <w:lvlJc w:val="left"/>
      <w:pPr>
        <w:ind w:left="1802" w:hanging="420"/>
      </w:pPr>
      <w:rPr>
        <w:rFonts w:hint="default" w:ascii="Wingdings" w:hAnsi="Wingdings"/>
      </w:rPr>
    </w:lvl>
    <w:lvl w:ilvl="2" w:tentative="0">
      <w:start w:val="1"/>
      <w:numFmt w:val="bullet"/>
      <w:lvlText w:val=""/>
      <w:lvlJc w:val="left"/>
      <w:pPr>
        <w:ind w:left="2222" w:hanging="420"/>
      </w:pPr>
      <w:rPr>
        <w:rFonts w:hint="default" w:ascii="Wingdings" w:hAnsi="Wingdings"/>
      </w:rPr>
    </w:lvl>
    <w:lvl w:ilvl="3" w:tentative="0">
      <w:start w:val="1"/>
      <w:numFmt w:val="bullet"/>
      <w:lvlText w:val=""/>
      <w:lvlJc w:val="left"/>
      <w:pPr>
        <w:ind w:left="2642" w:hanging="420"/>
      </w:pPr>
      <w:rPr>
        <w:rFonts w:hint="default" w:ascii="Wingdings" w:hAnsi="Wingdings"/>
      </w:rPr>
    </w:lvl>
    <w:lvl w:ilvl="4" w:tentative="0">
      <w:start w:val="1"/>
      <w:numFmt w:val="bullet"/>
      <w:lvlText w:val=""/>
      <w:lvlJc w:val="left"/>
      <w:pPr>
        <w:ind w:left="3062" w:hanging="420"/>
      </w:pPr>
      <w:rPr>
        <w:rFonts w:hint="default" w:ascii="Wingdings" w:hAnsi="Wingdings"/>
      </w:rPr>
    </w:lvl>
    <w:lvl w:ilvl="5" w:tentative="0">
      <w:start w:val="1"/>
      <w:numFmt w:val="bullet"/>
      <w:lvlText w:val=""/>
      <w:lvlJc w:val="left"/>
      <w:pPr>
        <w:ind w:left="3482" w:hanging="420"/>
      </w:pPr>
      <w:rPr>
        <w:rFonts w:hint="default" w:ascii="Wingdings" w:hAnsi="Wingdings"/>
      </w:rPr>
    </w:lvl>
    <w:lvl w:ilvl="6" w:tentative="0">
      <w:start w:val="1"/>
      <w:numFmt w:val="bullet"/>
      <w:lvlText w:val=""/>
      <w:lvlJc w:val="left"/>
      <w:pPr>
        <w:ind w:left="3902" w:hanging="420"/>
      </w:pPr>
      <w:rPr>
        <w:rFonts w:hint="default" w:ascii="Wingdings" w:hAnsi="Wingdings"/>
      </w:rPr>
    </w:lvl>
    <w:lvl w:ilvl="7" w:tentative="0">
      <w:start w:val="1"/>
      <w:numFmt w:val="bullet"/>
      <w:lvlText w:val=""/>
      <w:lvlJc w:val="left"/>
      <w:pPr>
        <w:ind w:left="4322" w:hanging="420"/>
      </w:pPr>
      <w:rPr>
        <w:rFonts w:hint="default" w:ascii="Wingdings" w:hAnsi="Wingdings"/>
      </w:rPr>
    </w:lvl>
    <w:lvl w:ilvl="8" w:tentative="0">
      <w:start w:val="1"/>
      <w:numFmt w:val="bullet"/>
      <w:lvlText w:val=""/>
      <w:lvlJc w:val="left"/>
      <w:pPr>
        <w:ind w:left="4742" w:hanging="420"/>
      </w:pPr>
      <w:rPr>
        <w:rFonts w:hint="default" w:ascii="Wingdings" w:hAnsi="Wingdings"/>
      </w:rPr>
    </w:lvl>
  </w:abstractNum>
  <w:abstractNum w:abstractNumId="77">
    <w:nsid w:val="2E774C57"/>
    <w:multiLevelType w:val="multilevel"/>
    <w:tmpl w:val="2E774C5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8">
    <w:nsid w:val="2F825873"/>
    <w:multiLevelType w:val="multilevel"/>
    <w:tmpl w:val="2F82587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9">
    <w:nsid w:val="30BA1770"/>
    <w:multiLevelType w:val="multilevel"/>
    <w:tmpl w:val="30BA1770"/>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80">
    <w:nsid w:val="348109EA"/>
    <w:multiLevelType w:val="multilevel"/>
    <w:tmpl w:val="348109EA"/>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81">
    <w:nsid w:val="38B35F03"/>
    <w:multiLevelType w:val="multilevel"/>
    <w:tmpl w:val="38B35F03"/>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82">
    <w:nsid w:val="39301524"/>
    <w:multiLevelType w:val="multilevel"/>
    <w:tmpl w:val="39301524"/>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83">
    <w:nsid w:val="3C973E40"/>
    <w:multiLevelType w:val="multilevel"/>
    <w:tmpl w:val="3C973E40"/>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84">
    <w:nsid w:val="3CAB2944"/>
    <w:multiLevelType w:val="multilevel"/>
    <w:tmpl w:val="3CAB2944"/>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85">
    <w:nsid w:val="3D953FF0"/>
    <w:multiLevelType w:val="multilevel"/>
    <w:tmpl w:val="3D953FF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6">
    <w:nsid w:val="3DDC6A43"/>
    <w:multiLevelType w:val="multilevel"/>
    <w:tmpl w:val="3DDC6A43"/>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87">
    <w:nsid w:val="3E021663"/>
    <w:multiLevelType w:val="multilevel"/>
    <w:tmpl w:val="3E021663"/>
    <w:lvl w:ilvl="0" w:tentative="0">
      <w:start w:val="1"/>
      <w:numFmt w:val="japaneseCounting"/>
      <w:lvlText w:val="%1、"/>
      <w:lvlJc w:val="left"/>
      <w:pPr>
        <w:ind w:left="17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3F0F67BE"/>
    <w:multiLevelType w:val="multilevel"/>
    <w:tmpl w:val="3F0F67BE"/>
    <w:lvl w:ilvl="0" w:tentative="0">
      <w:start w:val="1"/>
      <w:numFmt w:val="japaneseCounting"/>
      <w:lvlText w:val="%1、"/>
      <w:lvlJc w:val="left"/>
      <w:pPr>
        <w:ind w:left="17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3F671881"/>
    <w:multiLevelType w:val="multilevel"/>
    <w:tmpl w:val="3F67188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0">
    <w:nsid w:val="3FEB4F76"/>
    <w:multiLevelType w:val="multilevel"/>
    <w:tmpl w:val="3FEB4F76"/>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91">
    <w:nsid w:val="401402E2"/>
    <w:multiLevelType w:val="multilevel"/>
    <w:tmpl w:val="401402E2"/>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92">
    <w:nsid w:val="43456D5D"/>
    <w:multiLevelType w:val="multilevel"/>
    <w:tmpl w:val="43456D5D"/>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93">
    <w:nsid w:val="4366516F"/>
    <w:multiLevelType w:val="multilevel"/>
    <w:tmpl w:val="4366516F"/>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94">
    <w:nsid w:val="43E02442"/>
    <w:multiLevelType w:val="multilevel"/>
    <w:tmpl w:val="43E02442"/>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95">
    <w:nsid w:val="44232E8A"/>
    <w:multiLevelType w:val="multilevel"/>
    <w:tmpl w:val="44232E8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6">
    <w:nsid w:val="451615E5"/>
    <w:multiLevelType w:val="multilevel"/>
    <w:tmpl w:val="451615E5"/>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97">
    <w:nsid w:val="458D6EBE"/>
    <w:multiLevelType w:val="multilevel"/>
    <w:tmpl w:val="458D6EB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8">
    <w:nsid w:val="45993514"/>
    <w:multiLevelType w:val="multilevel"/>
    <w:tmpl w:val="45993514"/>
    <w:lvl w:ilvl="0" w:tentative="0">
      <w:start w:val="2"/>
      <w:numFmt w:val="decimal"/>
      <w:lvlText w:val="%1、"/>
      <w:lvlJc w:val="left"/>
      <w:pPr>
        <w:ind w:left="360" w:hanging="360"/>
      </w:pPr>
      <w:rPr>
        <w:rFonts w:hint="default"/>
      </w:rPr>
    </w:lvl>
    <w:lvl w:ilvl="1" w:tentative="0">
      <w:start w:val="2"/>
      <w:numFmt w:val="upp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9">
    <w:nsid w:val="46101F5E"/>
    <w:multiLevelType w:val="multilevel"/>
    <w:tmpl w:val="46101F5E"/>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00">
    <w:nsid w:val="469A443C"/>
    <w:multiLevelType w:val="multilevel"/>
    <w:tmpl w:val="469A443C"/>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101">
    <w:nsid w:val="478A2E40"/>
    <w:multiLevelType w:val="multilevel"/>
    <w:tmpl w:val="478A2E40"/>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02">
    <w:nsid w:val="47D91A4A"/>
    <w:multiLevelType w:val="multilevel"/>
    <w:tmpl w:val="47D91A4A"/>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03">
    <w:nsid w:val="48BB654C"/>
    <w:multiLevelType w:val="multilevel"/>
    <w:tmpl w:val="48BB654C"/>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04">
    <w:nsid w:val="490E6A2A"/>
    <w:multiLevelType w:val="multilevel"/>
    <w:tmpl w:val="490E6A2A"/>
    <w:lvl w:ilvl="0" w:tentative="0">
      <w:start w:val="1"/>
      <w:numFmt w:val="bullet"/>
      <w:lvlText w:val="◇"/>
      <w:lvlJc w:val="left"/>
      <w:pPr>
        <w:ind w:left="42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1" w:tentative="0">
      <w:start w:val="1"/>
      <w:numFmt w:val="bullet"/>
      <w:lvlText w:val="◇"/>
      <w:lvlJc w:val="left"/>
      <w:pPr>
        <w:ind w:left="84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2" w:tentative="0">
      <w:start w:val="1"/>
      <w:numFmt w:val="bullet"/>
      <w:lvlText w:val="◆"/>
      <w:lvlJc w:val="left"/>
      <w:pPr>
        <w:ind w:left="126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3" w:tentative="0">
      <w:start w:val="1"/>
      <w:numFmt w:val="bullet"/>
      <w:lvlText w:val="●"/>
      <w:lvlJc w:val="left"/>
      <w:pPr>
        <w:ind w:left="168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4" w:tentative="0">
      <w:start w:val="1"/>
      <w:numFmt w:val="bullet"/>
      <w:lvlText w:val="■"/>
      <w:lvlJc w:val="left"/>
      <w:pPr>
        <w:ind w:left="210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5" w:tentative="0">
      <w:start w:val="1"/>
      <w:numFmt w:val="bullet"/>
      <w:lvlText w:val="◆"/>
      <w:lvlJc w:val="left"/>
      <w:pPr>
        <w:ind w:left="252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6" w:tentative="0">
      <w:start w:val="1"/>
      <w:numFmt w:val="bullet"/>
      <w:lvlText w:val="●"/>
      <w:lvlJc w:val="left"/>
      <w:pPr>
        <w:ind w:left="294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7" w:tentative="0">
      <w:start w:val="1"/>
      <w:numFmt w:val="bullet"/>
      <w:lvlText w:val="■"/>
      <w:lvlJc w:val="left"/>
      <w:pPr>
        <w:ind w:left="336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8" w:tentative="0">
      <w:start w:val="1"/>
      <w:numFmt w:val="bullet"/>
      <w:lvlText w:val="◆"/>
      <w:lvlJc w:val="left"/>
      <w:pPr>
        <w:ind w:left="378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05">
    <w:nsid w:val="49127BD2"/>
    <w:multiLevelType w:val="multilevel"/>
    <w:tmpl w:val="49127BD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6">
    <w:nsid w:val="4A59727D"/>
    <w:multiLevelType w:val="multilevel"/>
    <w:tmpl w:val="4A59727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7">
    <w:nsid w:val="4E845A96"/>
    <w:multiLevelType w:val="multilevel"/>
    <w:tmpl w:val="4E845A96"/>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8">
    <w:nsid w:val="4EFF42EC"/>
    <w:multiLevelType w:val="multilevel"/>
    <w:tmpl w:val="4EFF42E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9">
    <w:nsid w:val="50116A0C"/>
    <w:multiLevelType w:val="multilevel"/>
    <w:tmpl w:val="50116A0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0">
    <w:nsid w:val="506B4DC4"/>
    <w:multiLevelType w:val="multilevel"/>
    <w:tmpl w:val="506B4DC4"/>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111">
    <w:nsid w:val="50D420F3"/>
    <w:multiLevelType w:val="multilevel"/>
    <w:tmpl w:val="50D420F3"/>
    <w:lvl w:ilvl="0" w:tentative="0">
      <w:start w:val="1"/>
      <w:numFmt w:val="japaneseCounting"/>
      <w:lvlText w:val="%1、"/>
      <w:lvlJc w:val="left"/>
      <w:pPr>
        <w:ind w:left="17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2">
    <w:nsid w:val="50ED5888"/>
    <w:multiLevelType w:val="multilevel"/>
    <w:tmpl w:val="50ED5888"/>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13">
    <w:nsid w:val="510F6CA9"/>
    <w:multiLevelType w:val="multilevel"/>
    <w:tmpl w:val="510F6CA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4">
    <w:nsid w:val="51C1134D"/>
    <w:multiLevelType w:val="multilevel"/>
    <w:tmpl w:val="51C1134D"/>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115">
    <w:nsid w:val="55A30917"/>
    <w:multiLevelType w:val="multilevel"/>
    <w:tmpl w:val="55A30917"/>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116">
    <w:nsid w:val="56C50245"/>
    <w:multiLevelType w:val="multilevel"/>
    <w:tmpl w:val="56C50245"/>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17">
    <w:nsid w:val="57047BD2"/>
    <w:multiLevelType w:val="multilevel"/>
    <w:tmpl w:val="57047BD2"/>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18">
    <w:nsid w:val="58840322"/>
    <w:multiLevelType w:val="multilevel"/>
    <w:tmpl w:val="58840322"/>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19">
    <w:nsid w:val="59EA2B2C"/>
    <w:multiLevelType w:val="multilevel"/>
    <w:tmpl w:val="59EA2B2C"/>
    <w:lvl w:ilvl="0" w:tentative="0">
      <w:start w:val="1"/>
      <w:numFmt w:val="japaneseCounting"/>
      <w:lvlText w:val="%1、"/>
      <w:lvlJc w:val="left"/>
      <w:pPr>
        <w:ind w:left="17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0">
    <w:nsid w:val="5A4C6CB3"/>
    <w:multiLevelType w:val="multilevel"/>
    <w:tmpl w:val="5A4C6CB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1">
    <w:nsid w:val="5D303CAC"/>
    <w:multiLevelType w:val="multilevel"/>
    <w:tmpl w:val="5D303CAC"/>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22">
    <w:nsid w:val="5D636475"/>
    <w:multiLevelType w:val="multilevel"/>
    <w:tmpl w:val="5D636475"/>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23">
    <w:nsid w:val="5D804704"/>
    <w:multiLevelType w:val="singleLevel"/>
    <w:tmpl w:val="5D804704"/>
    <w:lvl w:ilvl="0" w:tentative="0">
      <w:start w:val="1"/>
      <w:numFmt w:val="chineseCounting"/>
      <w:suff w:val="nothing"/>
      <w:lvlText w:val="%1、"/>
      <w:lvlJc w:val="left"/>
    </w:lvl>
  </w:abstractNum>
  <w:abstractNum w:abstractNumId="124">
    <w:nsid w:val="5D804826"/>
    <w:multiLevelType w:val="singleLevel"/>
    <w:tmpl w:val="5D804826"/>
    <w:lvl w:ilvl="0" w:tentative="0">
      <w:start w:val="1"/>
      <w:numFmt w:val="decimal"/>
      <w:suff w:val="nothing"/>
      <w:lvlText w:val="%1."/>
      <w:lvlJc w:val="left"/>
    </w:lvl>
  </w:abstractNum>
  <w:abstractNum w:abstractNumId="125">
    <w:nsid w:val="5E21605D"/>
    <w:multiLevelType w:val="multilevel"/>
    <w:tmpl w:val="5E21605D"/>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26">
    <w:nsid w:val="5E384C59"/>
    <w:multiLevelType w:val="multilevel"/>
    <w:tmpl w:val="5E384C59"/>
    <w:lvl w:ilvl="0" w:tentative="0">
      <w:start w:val="1"/>
      <w:numFmt w:val="bullet"/>
      <w:lvlText w:val=""/>
      <w:lvlJc w:val="left"/>
      <w:pPr>
        <w:ind w:left="420" w:hanging="420"/>
      </w:pPr>
      <w:rPr>
        <w:rFonts w:hint="default" w:ascii="Wingdings" w:hAnsi="Wingdings" w:eastAsia="华文细黑"/>
        <w:sz w:val="20"/>
      </w:rPr>
    </w:lvl>
    <w:lvl w:ilvl="1" w:tentative="0">
      <w:start w:val="1"/>
      <w:numFmt w:val="bullet"/>
      <w:lvlText w:val=""/>
      <w:lvlJc w:val="left"/>
      <w:pPr>
        <w:tabs>
          <w:tab w:val="left" w:pos="1080"/>
        </w:tabs>
        <w:ind w:left="1080" w:hanging="360"/>
      </w:pPr>
      <w:rPr>
        <w:rFonts w:hint="default" w:ascii="Symbol" w:hAnsi="Symbol"/>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127">
    <w:nsid w:val="5E912D23"/>
    <w:multiLevelType w:val="multilevel"/>
    <w:tmpl w:val="5E912D23"/>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28">
    <w:nsid w:val="5ED312F3"/>
    <w:multiLevelType w:val="multilevel"/>
    <w:tmpl w:val="5ED312F3"/>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29">
    <w:nsid w:val="5F574532"/>
    <w:multiLevelType w:val="multilevel"/>
    <w:tmpl w:val="5F574532"/>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30">
    <w:nsid w:val="5FAC228F"/>
    <w:multiLevelType w:val="multilevel"/>
    <w:tmpl w:val="5FAC228F"/>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31">
    <w:nsid w:val="5FB53AF0"/>
    <w:multiLevelType w:val="singleLevel"/>
    <w:tmpl w:val="5FB53AF0"/>
    <w:lvl w:ilvl="0" w:tentative="0">
      <w:start w:val="1"/>
      <w:numFmt w:val="upperLetter"/>
      <w:suff w:val="space"/>
      <w:lvlText w:val="%1."/>
      <w:lvlJc w:val="left"/>
      <w:pPr>
        <w:ind w:left="440"/>
      </w:pPr>
    </w:lvl>
  </w:abstractNum>
  <w:abstractNum w:abstractNumId="132">
    <w:nsid w:val="5FD4156D"/>
    <w:multiLevelType w:val="multilevel"/>
    <w:tmpl w:val="5FD4156D"/>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33">
    <w:nsid w:val="60C701EF"/>
    <w:multiLevelType w:val="multilevel"/>
    <w:tmpl w:val="60C701EF"/>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34">
    <w:nsid w:val="60D51CD0"/>
    <w:multiLevelType w:val="multilevel"/>
    <w:tmpl w:val="60D51CD0"/>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35">
    <w:nsid w:val="62150FBD"/>
    <w:multiLevelType w:val="multilevel"/>
    <w:tmpl w:val="62150FB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6">
    <w:nsid w:val="62B86C14"/>
    <w:multiLevelType w:val="multilevel"/>
    <w:tmpl w:val="62B86C14"/>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37">
    <w:nsid w:val="6382305E"/>
    <w:multiLevelType w:val="multilevel"/>
    <w:tmpl w:val="6382305E"/>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138">
    <w:nsid w:val="65512046"/>
    <w:multiLevelType w:val="multilevel"/>
    <w:tmpl w:val="65512046"/>
    <w:lvl w:ilvl="0" w:tentative="0">
      <w:start w:val="1"/>
      <w:numFmt w:val="japaneseCounting"/>
      <w:lvlText w:val="%1、"/>
      <w:lvlJc w:val="left"/>
      <w:pPr>
        <w:ind w:left="17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9">
    <w:nsid w:val="666466BB"/>
    <w:multiLevelType w:val="multilevel"/>
    <w:tmpl w:val="666466BB"/>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40">
    <w:nsid w:val="67101472"/>
    <w:multiLevelType w:val="multilevel"/>
    <w:tmpl w:val="67101472"/>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41">
    <w:nsid w:val="6718557A"/>
    <w:multiLevelType w:val="multilevel"/>
    <w:tmpl w:val="6718557A"/>
    <w:lvl w:ilvl="0" w:tentative="0">
      <w:start w:val="1"/>
      <w:numFmt w:val="japaneseCounting"/>
      <w:lvlText w:val="%1、"/>
      <w:lvlJc w:val="left"/>
      <w:pPr>
        <w:ind w:left="17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2">
    <w:nsid w:val="6DD60977"/>
    <w:multiLevelType w:val="multilevel"/>
    <w:tmpl w:val="6DD60977"/>
    <w:lvl w:ilvl="0" w:tentative="0">
      <w:start w:val="1"/>
      <w:numFmt w:val="japaneseCounting"/>
      <w:lvlText w:val="%1、"/>
      <w:lvlJc w:val="left"/>
      <w:pPr>
        <w:ind w:left="17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3">
    <w:nsid w:val="6DF10086"/>
    <w:multiLevelType w:val="multilevel"/>
    <w:tmpl w:val="6DF10086"/>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144">
    <w:nsid w:val="6DF92884"/>
    <w:multiLevelType w:val="multilevel"/>
    <w:tmpl w:val="6DF92884"/>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45">
    <w:nsid w:val="70AB0E30"/>
    <w:multiLevelType w:val="multilevel"/>
    <w:tmpl w:val="70AB0E30"/>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46">
    <w:nsid w:val="70ED09C2"/>
    <w:multiLevelType w:val="multilevel"/>
    <w:tmpl w:val="70ED09C2"/>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47">
    <w:nsid w:val="71F61186"/>
    <w:multiLevelType w:val="singleLevel"/>
    <w:tmpl w:val="71F61186"/>
    <w:lvl w:ilvl="0" w:tentative="0">
      <w:start w:val="1"/>
      <w:numFmt w:val="decimal"/>
      <w:lvlText w:val="%1."/>
      <w:lvlJc w:val="left"/>
      <w:pPr>
        <w:tabs>
          <w:tab w:val="left" w:pos="312"/>
        </w:tabs>
      </w:pPr>
    </w:lvl>
  </w:abstractNum>
  <w:abstractNum w:abstractNumId="148">
    <w:nsid w:val="7266150B"/>
    <w:multiLevelType w:val="multilevel"/>
    <w:tmpl w:val="7266150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9">
    <w:nsid w:val="72E21FCD"/>
    <w:multiLevelType w:val="multilevel"/>
    <w:tmpl w:val="72E21FCD"/>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50">
    <w:nsid w:val="72FE498F"/>
    <w:multiLevelType w:val="multilevel"/>
    <w:tmpl w:val="72FE498F"/>
    <w:lvl w:ilvl="0" w:tentative="0">
      <w:start w:val="1"/>
      <w:numFmt w:val="bullet"/>
      <w:lvlText w:val="◇"/>
      <w:lvlJc w:val="left"/>
      <w:pPr>
        <w:ind w:left="42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1" w:tentative="0">
      <w:start w:val="1"/>
      <w:numFmt w:val="bullet"/>
      <w:lvlText w:val="◇"/>
      <w:lvlJc w:val="left"/>
      <w:pPr>
        <w:ind w:left="84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2" w:tentative="0">
      <w:start w:val="1"/>
      <w:numFmt w:val="bullet"/>
      <w:lvlText w:val="◆"/>
      <w:lvlJc w:val="left"/>
      <w:pPr>
        <w:ind w:left="126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3" w:tentative="0">
      <w:start w:val="1"/>
      <w:numFmt w:val="bullet"/>
      <w:lvlText w:val="●"/>
      <w:lvlJc w:val="left"/>
      <w:pPr>
        <w:ind w:left="168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4" w:tentative="0">
      <w:start w:val="1"/>
      <w:numFmt w:val="bullet"/>
      <w:lvlText w:val="■"/>
      <w:lvlJc w:val="left"/>
      <w:pPr>
        <w:ind w:left="210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5" w:tentative="0">
      <w:start w:val="1"/>
      <w:numFmt w:val="bullet"/>
      <w:lvlText w:val="◆"/>
      <w:lvlJc w:val="left"/>
      <w:pPr>
        <w:ind w:left="252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6" w:tentative="0">
      <w:start w:val="1"/>
      <w:numFmt w:val="bullet"/>
      <w:lvlText w:val="●"/>
      <w:lvlJc w:val="left"/>
      <w:pPr>
        <w:ind w:left="294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7" w:tentative="0">
      <w:start w:val="1"/>
      <w:numFmt w:val="bullet"/>
      <w:lvlText w:val="■"/>
      <w:lvlJc w:val="left"/>
      <w:pPr>
        <w:ind w:left="336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lvl w:ilvl="8" w:tentative="0">
      <w:start w:val="1"/>
      <w:numFmt w:val="bullet"/>
      <w:lvlText w:val="◆"/>
      <w:lvlJc w:val="left"/>
      <w:pPr>
        <w:ind w:left="3780" w:hanging="420"/>
      </w:pPr>
      <w:rPr>
        <w:rFonts w:ascii="Arial Unicode MS" w:hAnsi="Arial Unicode MS" w:eastAsia="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51">
    <w:nsid w:val="73387FD5"/>
    <w:multiLevelType w:val="multilevel"/>
    <w:tmpl w:val="73387FD5"/>
    <w:lvl w:ilvl="0" w:tentative="0">
      <w:start w:val="2"/>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52">
    <w:nsid w:val="74D7224F"/>
    <w:multiLevelType w:val="multilevel"/>
    <w:tmpl w:val="74D7224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3">
    <w:nsid w:val="75164C43"/>
    <w:multiLevelType w:val="singleLevel"/>
    <w:tmpl w:val="75164C43"/>
    <w:lvl w:ilvl="0" w:tentative="0">
      <w:start w:val="1"/>
      <w:numFmt w:val="upperLetter"/>
      <w:suff w:val="space"/>
      <w:lvlText w:val="%1."/>
      <w:lvlJc w:val="left"/>
    </w:lvl>
  </w:abstractNum>
  <w:abstractNum w:abstractNumId="154">
    <w:nsid w:val="76085F88"/>
    <w:multiLevelType w:val="multilevel"/>
    <w:tmpl w:val="76085F88"/>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155">
    <w:nsid w:val="773AC0FF"/>
    <w:multiLevelType w:val="singleLevel"/>
    <w:tmpl w:val="773AC0FF"/>
    <w:lvl w:ilvl="0" w:tentative="0">
      <w:start w:val="1"/>
      <w:numFmt w:val="decimal"/>
      <w:suff w:val="space"/>
      <w:lvlText w:val="%1."/>
      <w:lvlJc w:val="left"/>
    </w:lvl>
  </w:abstractNum>
  <w:abstractNum w:abstractNumId="156">
    <w:nsid w:val="774973CF"/>
    <w:multiLevelType w:val="multilevel"/>
    <w:tmpl w:val="774973CF"/>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157">
    <w:nsid w:val="775E303B"/>
    <w:multiLevelType w:val="multilevel"/>
    <w:tmpl w:val="775E303B"/>
    <w:lvl w:ilvl="0" w:tentative="0">
      <w:start w:val="1"/>
      <w:numFmt w:val="japaneseCounting"/>
      <w:lvlText w:val="%1、"/>
      <w:lvlJc w:val="left"/>
      <w:pPr>
        <w:ind w:left="17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8">
    <w:nsid w:val="77EA216A"/>
    <w:multiLevelType w:val="multilevel"/>
    <w:tmpl w:val="77EA216A"/>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159">
    <w:nsid w:val="79A63985"/>
    <w:multiLevelType w:val="multilevel"/>
    <w:tmpl w:val="79A63985"/>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60">
    <w:nsid w:val="7C2F78A2"/>
    <w:multiLevelType w:val="multilevel"/>
    <w:tmpl w:val="7C2F78A2"/>
    <w:lvl w:ilvl="0" w:tentative="0">
      <w:start w:val="1"/>
      <w:numFmt w:val="decimal"/>
      <w:lvlText w:val="%1."/>
      <w:lvlJc w:val="left"/>
      <w:pPr>
        <w:ind w:left="1549" w:hanging="420"/>
      </w:pPr>
      <w:rPr>
        <w:rFonts w:hint="eastAsia"/>
      </w:r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61">
    <w:nsid w:val="7C343A16"/>
    <w:multiLevelType w:val="multilevel"/>
    <w:tmpl w:val="7C343A16"/>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162">
    <w:nsid w:val="7C971018"/>
    <w:multiLevelType w:val="multilevel"/>
    <w:tmpl w:val="7C971018"/>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163">
    <w:nsid w:val="7E4C4E77"/>
    <w:multiLevelType w:val="singleLevel"/>
    <w:tmpl w:val="7E4C4E77"/>
    <w:lvl w:ilvl="0" w:tentative="0">
      <w:start w:val="1"/>
      <w:numFmt w:val="upperLetter"/>
      <w:suff w:val="space"/>
      <w:lvlText w:val="%1."/>
      <w:lvlJc w:val="left"/>
    </w:lvl>
  </w:abstractNum>
  <w:abstractNum w:abstractNumId="164">
    <w:nsid w:val="7EE31BF3"/>
    <w:multiLevelType w:val="multilevel"/>
    <w:tmpl w:val="7EE31BF3"/>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165">
    <w:nsid w:val="7F8C753C"/>
    <w:multiLevelType w:val="multilevel"/>
    <w:tmpl w:val="7F8C753C"/>
    <w:lvl w:ilvl="0" w:tentative="0">
      <w:start w:val="1"/>
      <w:numFmt w:val="bullet"/>
      <w:lvlText w:val=""/>
      <w:lvlJc w:val="left"/>
      <w:pPr>
        <w:ind w:left="1382" w:hanging="420"/>
      </w:pPr>
      <w:rPr>
        <w:rFonts w:hint="default" w:ascii="Wingdings" w:hAnsi="Wingdings"/>
      </w:rPr>
    </w:lvl>
    <w:lvl w:ilvl="1" w:tentative="0">
      <w:start w:val="1"/>
      <w:numFmt w:val="bullet"/>
      <w:lvlText w:val=""/>
      <w:lvlJc w:val="left"/>
      <w:pPr>
        <w:ind w:left="1802" w:hanging="420"/>
      </w:pPr>
      <w:rPr>
        <w:rFonts w:hint="default" w:ascii="Wingdings" w:hAnsi="Wingdings"/>
      </w:rPr>
    </w:lvl>
    <w:lvl w:ilvl="2" w:tentative="0">
      <w:start w:val="1"/>
      <w:numFmt w:val="bullet"/>
      <w:lvlText w:val=""/>
      <w:lvlJc w:val="left"/>
      <w:pPr>
        <w:ind w:left="2222" w:hanging="420"/>
      </w:pPr>
      <w:rPr>
        <w:rFonts w:hint="default" w:ascii="Wingdings" w:hAnsi="Wingdings"/>
      </w:rPr>
    </w:lvl>
    <w:lvl w:ilvl="3" w:tentative="0">
      <w:start w:val="1"/>
      <w:numFmt w:val="bullet"/>
      <w:lvlText w:val=""/>
      <w:lvlJc w:val="left"/>
      <w:pPr>
        <w:ind w:left="2642" w:hanging="420"/>
      </w:pPr>
      <w:rPr>
        <w:rFonts w:hint="default" w:ascii="Wingdings" w:hAnsi="Wingdings"/>
      </w:rPr>
    </w:lvl>
    <w:lvl w:ilvl="4" w:tentative="0">
      <w:start w:val="1"/>
      <w:numFmt w:val="bullet"/>
      <w:lvlText w:val=""/>
      <w:lvlJc w:val="left"/>
      <w:pPr>
        <w:ind w:left="3062" w:hanging="420"/>
      </w:pPr>
      <w:rPr>
        <w:rFonts w:hint="default" w:ascii="Wingdings" w:hAnsi="Wingdings"/>
      </w:rPr>
    </w:lvl>
    <w:lvl w:ilvl="5" w:tentative="0">
      <w:start w:val="1"/>
      <w:numFmt w:val="bullet"/>
      <w:lvlText w:val=""/>
      <w:lvlJc w:val="left"/>
      <w:pPr>
        <w:ind w:left="3482" w:hanging="420"/>
      </w:pPr>
      <w:rPr>
        <w:rFonts w:hint="default" w:ascii="Wingdings" w:hAnsi="Wingdings"/>
      </w:rPr>
    </w:lvl>
    <w:lvl w:ilvl="6" w:tentative="0">
      <w:start w:val="1"/>
      <w:numFmt w:val="bullet"/>
      <w:lvlText w:val=""/>
      <w:lvlJc w:val="left"/>
      <w:pPr>
        <w:ind w:left="3902" w:hanging="420"/>
      </w:pPr>
      <w:rPr>
        <w:rFonts w:hint="default" w:ascii="Wingdings" w:hAnsi="Wingdings"/>
      </w:rPr>
    </w:lvl>
    <w:lvl w:ilvl="7" w:tentative="0">
      <w:start w:val="1"/>
      <w:numFmt w:val="bullet"/>
      <w:lvlText w:val=""/>
      <w:lvlJc w:val="left"/>
      <w:pPr>
        <w:ind w:left="4322" w:hanging="420"/>
      </w:pPr>
      <w:rPr>
        <w:rFonts w:hint="default" w:ascii="Wingdings" w:hAnsi="Wingdings"/>
      </w:rPr>
    </w:lvl>
    <w:lvl w:ilvl="8" w:tentative="0">
      <w:start w:val="1"/>
      <w:numFmt w:val="bullet"/>
      <w:lvlText w:val=""/>
      <w:lvlJc w:val="left"/>
      <w:pPr>
        <w:ind w:left="4742" w:hanging="420"/>
      </w:pPr>
      <w:rPr>
        <w:rFonts w:hint="default" w:ascii="Wingdings" w:hAnsi="Wingdings"/>
      </w:rPr>
    </w:lvl>
  </w:abstractNum>
  <w:num w:numId="1">
    <w:abstractNumId w:val="3"/>
  </w:num>
  <w:num w:numId="2">
    <w:abstractNumId w:val="113"/>
  </w:num>
  <w:num w:numId="3">
    <w:abstractNumId w:val="152"/>
  </w:num>
  <w:num w:numId="4">
    <w:abstractNumId w:val="78"/>
  </w:num>
  <w:num w:numId="5">
    <w:abstractNumId w:val="108"/>
  </w:num>
  <w:num w:numId="6">
    <w:abstractNumId w:val="85"/>
  </w:num>
  <w:num w:numId="7">
    <w:abstractNumId w:val="14"/>
  </w:num>
  <w:num w:numId="8">
    <w:abstractNumId w:val="89"/>
  </w:num>
  <w:num w:numId="9">
    <w:abstractNumId w:val="106"/>
  </w:num>
  <w:num w:numId="10">
    <w:abstractNumId w:val="95"/>
  </w:num>
  <w:num w:numId="11">
    <w:abstractNumId w:val="53"/>
  </w:num>
  <w:num w:numId="12">
    <w:abstractNumId w:val="88"/>
  </w:num>
  <w:num w:numId="13">
    <w:abstractNumId w:val="116"/>
  </w:num>
  <w:num w:numId="14">
    <w:abstractNumId w:val="51"/>
  </w:num>
  <w:num w:numId="15">
    <w:abstractNumId w:val="74"/>
  </w:num>
  <w:num w:numId="16">
    <w:abstractNumId w:val="109"/>
  </w:num>
  <w:num w:numId="17">
    <w:abstractNumId w:val="148"/>
  </w:num>
  <w:num w:numId="18">
    <w:abstractNumId w:val="129"/>
  </w:num>
  <w:num w:numId="19">
    <w:abstractNumId w:val="103"/>
  </w:num>
  <w:num w:numId="20">
    <w:abstractNumId w:val="83"/>
  </w:num>
  <w:num w:numId="21">
    <w:abstractNumId w:val="75"/>
  </w:num>
  <w:num w:numId="22">
    <w:abstractNumId w:val="118"/>
  </w:num>
  <w:num w:numId="23">
    <w:abstractNumId w:val="49"/>
  </w:num>
  <w:num w:numId="24">
    <w:abstractNumId w:val="84"/>
  </w:num>
  <w:num w:numId="25">
    <w:abstractNumId w:val="128"/>
  </w:num>
  <w:num w:numId="26">
    <w:abstractNumId w:val="144"/>
  </w:num>
  <w:num w:numId="27">
    <w:abstractNumId w:val="11"/>
  </w:num>
  <w:num w:numId="28">
    <w:abstractNumId w:val="101"/>
  </w:num>
  <w:num w:numId="29">
    <w:abstractNumId w:val="34"/>
  </w:num>
  <w:num w:numId="30">
    <w:abstractNumId w:val="117"/>
  </w:num>
  <w:num w:numId="31">
    <w:abstractNumId w:val="102"/>
  </w:num>
  <w:num w:numId="32">
    <w:abstractNumId w:val="138"/>
  </w:num>
  <w:num w:numId="33">
    <w:abstractNumId w:val="134"/>
  </w:num>
  <w:num w:numId="34">
    <w:abstractNumId w:val="19"/>
  </w:num>
  <w:num w:numId="35">
    <w:abstractNumId w:val="24"/>
  </w:num>
  <w:num w:numId="36">
    <w:abstractNumId w:val="90"/>
  </w:num>
  <w:num w:numId="37">
    <w:abstractNumId w:val="157"/>
  </w:num>
  <w:num w:numId="38">
    <w:abstractNumId w:val="122"/>
  </w:num>
  <w:num w:numId="39">
    <w:abstractNumId w:val="132"/>
  </w:num>
  <w:num w:numId="40">
    <w:abstractNumId w:val="62"/>
  </w:num>
  <w:num w:numId="41">
    <w:abstractNumId w:val="136"/>
  </w:num>
  <w:num w:numId="42">
    <w:abstractNumId w:val="119"/>
  </w:num>
  <w:num w:numId="43">
    <w:abstractNumId w:val="133"/>
  </w:num>
  <w:num w:numId="44">
    <w:abstractNumId w:val="21"/>
  </w:num>
  <w:num w:numId="45">
    <w:abstractNumId w:val="9"/>
  </w:num>
  <w:num w:numId="46">
    <w:abstractNumId w:val="63"/>
  </w:num>
  <w:num w:numId="47">
    <w:abstractNumId w:val="121"/>
  </w:num>
  <w:num w:numId="48">
    <w:abstractNumId w:val="69"/>
  </w:num>
  <w:num w:numId="49">
    <w:abstractNumId w:val="56"/>
  </w:num>
  <w:num w:numId="50">
    <w:abstractNumId w:val="71"/>
  </w:num>
  <w:num w:numId="51">
    <w:abstractNumId w:val="12"/>
  </w:num>
  <w:num w:numId="52">
    <w:abstractNumId w:val="97"/>
  </w:num>
  <w:num w:numId="53">
    <w:abstractNumId w:val="87"/>
  </w:num>
  <w:num w:numId="54">
    <w:abstractNumId w:val="68"/>
  </w:num>
  <w:num w:numId="55">
    <w:abstractNumId w:val="146"/>
  </w:num>
  <w:num w:numId="56">
    <w:abstractNumId w:val="140"/>
  </w:num>
  <w:num w:numId="57">
    <w:abstractNumId w:val="139"/>
  </w:num>
  <w:num w:numId="58">
    <w:abstractNumId w:val="70"/>
  </w:num>
  <w:num w:numId="59">
    <w:abstractNumId w:val="130"/>
  </w:num>
  <w:num w:numId="60">
    <w:abstractNumId w:val="37"/>
  </w:num>
  <w:num w:numId="61">
    <w:abstractNumId w:val="46"/>
  </w:num>
  <w:num w:numId="62">
    <w:abstractNumId w:val="38"/>
  </w:num>
  <w:num w:numId="63">
    <w:abstractNumId w:val="149"/>
  </w:num>
  <w:num w:numId="64">
    <w:abstractNumId w:val="99"/>
  </w:num>
  <w:num w:numId="65">
    <w:abstractNumId w:val="15"/>
  </w:num>
  <w:num w:numId="66">
    <w:abstractNumId w:val="18"/>
  </w:num>
  <w:num w:numId="67">
    <w:abstractNumId w:val="111"/>
  </w:num>
  <w:num w:numId="68">
    <w:abstractNumId w:val="145"/>
  </w:num>
  <w:num w:numId="69">
    <w:abstractNumId w:val="43"/>
  </w:num>
  <w:num w:numId="70">
    <w:abstractNumId w:val="66"/>
  </w:num>
  <w:num w:numId="71">
    <w:abstractNumId w:val="30"/>
  </w:num>
  <w:num w:numId="72">
    <w:abstractNumId w:val="125"/>
  </w:num>
  <w:num w:numId="73">
    <w:abstractNumId w:val="25"/>
  </w:num>
  <w:num w:numId="74">
    <w:abstractNumId w:val="13"/>
  </w:num>
  <w:num w:numId="75">
    <w:abstractNumId w:val="55"/>
  </w:num>
  <w:num w:numId="76">
    <w:abstractNumId w:val="127"/>
  </w:num>
  <w:num w:numId="77">
    <w:abstractNumId w:val="77"/>
  </w:num>
  <w:num w:numId="78">
    <w:abstractNumId w:val="72"/>
  </w:num>
  <w:num w:numId="79">
    <w:abstractNumId w:val="29"/>
  </w:num>
  <w:num w:numId="80">
    <w:abstractNumId w:val="159"/>
  </w:num>
  <w:num w:numId="81">
    <w:abstractNumId w:val="39"/>
  </w:num>
  <w:num w:numId="82">
    <w:abstractNumId w:val="76"/>
  </w:num>
  <w:num w:numId="83">
    <w:abstractNumId w:val="44"/>
  </w:num>
  <w:num w:numId="84">
    <w:abstractNumId w:val="17"/>
  </w:num>
  <w:num w:numId="85">
    <w:abstractNumId w:val="165"/>
  </w:num>
  <w:num w:numId="86">
    <w:abstractNumId w:val="160"/>
  </w:num>
  <w:num w:numId="87">
    <w:abstractNumId w:val="105"/>
  </w:num>
  <w:num w:numId="88">
    <w:abstractNumId w:val="67"/>
  </w:num>
  <w:num w:numId="89">
    <w:abstractNumId w:val="27"/>
  </w:num>
  <w:num w:numId="90">
    <w:abstractNumId w:val="42"/>
  </w:num>
  <w:num w:numId="91">
    <w:abstractNumId w:val="60"/>
  </w:num>
  <w:num w:numId="92">
    <w:abstractNumId w:val="98"/>
  </w:num>
  <w:num w:numId="93">
    <w:abstractNumId w:val="163"/>
  </w:num>
  <w:num w:numId="94">
    <w:abstractNumId w:val="153"/>
  </w:num>
  <w:num w:numId="95">
    <w:abstractNumId w:val="2"/>
  </w:num>
  <w:num w:numId="96">
    <w:abstractNumId w:val="0"/>
  </w:num>
  <w:num w:numId="97">
    <w:abstractNumId w:val="131"/>
  </w:num>
  <w:num w:numId="98">
    <w:abstractNumId w:val="147"/>
  </w:num>
  <w:num w:numId="99">
    <w:abstractNumId w:val="26"/>
  </w:num>
  <w:num w:numId="100">
    <w:abstractNumId w:val="155"/>
  </w:num>
  <w:num w:numId="101">
    <w:abstractNumId w:val="151"/>
  </w:num>
  <w:num w:numId="102">
    <w:abstractNumId w:val="50"/>
  </w:num>
  <w:num w:numId="103">
    <w:abstractNumId w:val="47"/>
  </w:num>
  <w:num w:numId="104">
    <w:abstractNumId w:val="120"/>
  </w:num>
  <w:num w:numId="105">
    <w:abstractNumId w:val="135"/>
  </w:num>
  <w:num w:numId="106">
    <w:abstractNumId w:val="107"/>
  </w:num>
  <w:num w:numId="107">
    <w:abstractNumId w:val="81"/>
  </w:num>
  <w:num w:numId="108">
    <w:abstractNumId w:val="41"/>
  </w:num>
  <w:num w:numId="109">
    <w:abstractNumId w:val="6"/>
  </w:num>
  <w:num w:numId="110">
    <w:abstractNumId w:val="64"/>
  </w:num>
  <w:num w:numId="111">
    <w:abstractNumId w:val="10"/>
  </w:num>
  <w:num w:numId="112">
    <w:abstractNumId w:val="100"/>
  </w:num>
  <w:num w:numId="113">
    <w:abstractNumId w:val="115"/>
  </w:num>
  <w:num w:numId="114">
    <w:abstractNumId w:val="80"/>
  </w:num>
  <w:num w:numId="115">
    <w:abstractNumId w:val="126"/>
  </w:num>
  <w:num w:numId="116">
    <w:abstractNumId w:val="158"/>
  </w:num>
  <w:num w:numId="117">
    <w:abstractNumId w:val="164"/>
  </w:num>
  <w:num w:numId="118">
    <w:abstractNumId w:val="137"/>
  </w:num>
  <w:num w:numId="119">
    <w:abstractNumId w:val="143"/>
  </w:num>
  <w:num w:numId="120">
    <w:abstractNumId w:val="23"/>
  </w:num>
  <w:num w:numId="121">
    <w:abstractNumId w:val="45"/>
  </w:num>
  <w:num w:numId="122">
    <w:abstractNumId w:val="154"/>
  </w:num>
  <w:num w:numId="123">
    <w:abstractNumId w:val="110"/>
  </w:num>
  <w:num w:numId="124">
    <w:abstractNumId w:val="36"/>
  </w:num>
  <w:num w:numId="125">
    <w:abstractNumId w:val="59"/>
  </w:num>
  <w:num w:numId="126">
    <w:abstractNumId w:val="8"/>
  </w:num>
  <w:num w:numId="127">
    <w:abstractNumId w:val="79"/>
  </w:num>
  <w:num w:numId="128">
    <w:abstractNumId w:val="93"/>
  </w:num>
  <w:num w:numId="129">
    <w:abstractNumId w:val="86"/>
  </w:num>
  <w:num w:numId="130">
    <w:abstractNumId w:val="16"/>
  </w:num>
  <w:num w:numId="131">
    <w:abstractNumId w:val="162"/>
  </w:num>
  <w:num w:numId="132">
    <w:abstractNumId w:val="65"/>
  </w:num>
  <w:num w:numId="133">
    <w:abstractNumId w:val="114"/>
  </w:num>
  <w:num w:numId="134">
    <w:abstractNumId w:val="92"/>
  </w:num>
  <w:num w:numId="135">
    <w:abstractNumId w:val="91"/>
  </w:num>
  <w:num w:numId="136">
    <w:abstractNumId w:val="40"/>
  </w:num>
  <w:num w:numId="137">
    <w:abstractNumId w:val="58"/>
  </w:num>
  <w:num w:numId="138">
    <w:abstractNumId w:val="96"/>
  </w:num>
  <w:num w:numId="139">
    <w:abstractNumId w:val="31"/>
  </w:num>
  <w:num w:numId="140">
    <w:abstractNumId w:val="61"/>
  </w:num>
  <w:num w:numId="141">
    <w:abstractNumId w:val="161"/>
  </w:num>
  <w:num w:numId="142">
    <w:abstractNumId w:val="7"/>
  </w:num>
  <w:num w:numId="143">
    <w:abstractNumId w:val="156"/>
  </w:num>
  <w:num w:numId="144">
    <w:abstractNumId w:val="22"/>
  </w:num>
  <w:num w:numId="145">
    <w:abstractNumId w:val="82"/>
  </w:num>
  <w:num w:numId="146">
    <w:abstractNumId w:val="32"/>
  </w:num>
  <w:num w:numId="147">
    <w:abstractNumId w:val="73"/>
  </w:num>
  <w:num w:numId="148">
    <w:abstractNumId w:val="54"/>
  </w:num>
  <w:num w:numId="149">
    <w:abstractNumId w:val="150"/>
  </w:num>
  <w:num w:numId="150">
    <w:abstractNumId w:val="33"/>
  </w:num>
  <w:num w:numId="151">
    <w:abstractNumId w:val="104"/>
  </w:num>
  <w:num w:numId="152">
    <w:abstractNumId w:val="5"/>
  </w:num>
  <w:num w:numId="153">
    <w:abstractNumId w:val="57"/>
  </w:num>
  <w:num w:numId="154">
    <w:abstractNumId w:val="141"/>
  </w:num>
  <w:num w:numId="155">
    <w:abstractNumId w:val="28"/>
  </w:num>
  <w:num w:numId="156">
    <w:abstractNumId w:val="48"/>
  </w:num>
  <w:num w:numId="157">
    <w:abstractNumId w:val="52"/>
  </w:num>
  <w:num w:numId="158">
    <w:abstractNumId w:val="20"/>
  </w:num>
  <w:num w:numId="159">
    <w:abstractNumId w:val="112"/>
  </w:num>
  <w:num w:numId="160">
    <w:abstractNumId w:val="94"/>
  </w:num>
  <w:num w:numId="161">
    <w:abstractNumId w:val="142"/>
  </w:num>
  <w:num w:numId="162">
    <w:abstractNumId w:val="123"/>
  </w:num>
  <w:num w:numId="163">
    <w:abstractNumId w:val="124"/>
  </w:num>
  <w:num w:numId="164">
    <w:abstractNumId w:val="1"/>
  </w:num>
  <w:num w:numId="165">
    <w:abstractNumId w:val="4"/>
  </w:num>
  <w:num w:numId="16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TVmNWQ0ZWUwMDFhMGMxMjI0ODY0ODBlMmFiN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25D"/>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7372"/>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C2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51A"/>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5D25"/>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AB5"/>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357"/>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307"/>
    <w:rsid w:val="002244E4"/>
    <w:rsid w:val="00224D2A"/>
    <w:rsid w:val="00224D5A"/>
    <w:rsid w:val="00224D8D"/>
    <w:rsid w:val="0022555A"/>
    <w:rsid w:val="00226EF4"/>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489"/>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5FA"/>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BD5"/>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97D"/>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DC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335"/>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3E4D"/>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19A"/>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DB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7E1"/>
    <w:rsid w:val="004739FE"/>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6E95"/>
    <w:rsid w:val="004B026C"/>
    <w:rsid w:val="004B0271"/>
    <w:rsid w:val="004B0BE8"/>
    <w:rsid w:val="004B0E4A"/>
    <w:rsid w:val="004B18F4"/>
    <w:rsid w:val="004B1A98"/>
    <w:rsid w:val="004B2463"/>
    <w:rsid w:val="004B2E9D"/>
    <w:rsid w:val="004B305F"/>
    <w:rsid w:val="004B34C4"/>
    <w:rsid w:val="004B34E8"/>
    <w:rsid w:val="004B3693"/>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AF7"/>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995"/>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8A0"/>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8A6"/>
    <w:rsid w:val="005D0FB4"/>
    <w:rsid w:val="005D1176"/>
    <w:rsid w:val="005D1747"/>
    <w:rsid w:val="005D2381"/>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B1"/>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1BB"/>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986"/>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6E2"/>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3D78"/>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A2E"/>
    <w:rsid w:val="006C5D5D"/>
    <w:rsid w:val="006C627E"/>
    <w:rsid w:val="006C6303"/>
    <w:rsid w:val="006C6A51"/>
    <w:rsid w:val="006C6EBD"/>
    <w:rsid w:val="006C756A"/>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98"/>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A81"/>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72A"/>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E10"/>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D4"/>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3F7"/>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E0C"/>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2B9D"/>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0FFA"/>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9B3"/>
    <w:rsid w:val="00910041"/>
    <w:rsid w:val="0091112B"/>
    <w:rsid w:val="00911D61"/>
    <w:rsid w:val="00912754"/>
    <w:rsid w:val="00912850"/>
    <w:rsid w:val="009128B8"/>
    <w:rsid w:val="0091472C"/>
    <w:rsid w:val="00914DC9"/>
    <w:rsid w:val="00915351"/>
    <w:rsid w:val="00915679"/>
    <w:rsid w:val="009159C2"/>
    <w:rsid w:val="0091627F"/>
    <w:rsid w:val="00916840"/>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09D"/>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9B8"/>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E5B"/>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F08"/>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B8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0D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38B"/>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72"/>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275E"/>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610"/>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FC2"/>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1BDC"/>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CF7"/>
    <w:rsid w:val="00CA2528"/>
    <w:rsid w:val="00CA3CAB"/>
    <w:rsid w:val="00CA3FC0"/>
    <w:rsid w:val="00CA5685"/>
    <w:rsid w:val="00CA6A2E"/>
    <w:rsid w:val="00CA6B56"/>
    <w:rsid w:val="00CA6DB0"/>
    <w:rsid w:val="00CA743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CFE"/>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9A3"/>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CB0"/>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9BC"/>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C5E"/>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5E81"/>
    <w:rsid w:val="00E06100"/>
    <w:rsid w:val="00E0614E"/>
    <w:rsid w:val="00E06E97"/>
    <w:rsid w:val="00E079F8"/>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2D5"/>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0EEB"/>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3E89"/>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BA7"/>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42C"/>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92B"/>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670F"/>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D1A7E"/>
    <w:rsid w:val="0144547E"/>
    <w:rsid w:val="0155173E"/>
    <w:rsid w:val="019628C6"/>
    <w:rsid w:val="019F7441"/>
    <w:rsid w:val="01A319FB"/>
    <w:rsid w:val="01B37585"/>
    <w:rsid w:val="01D55165"/>
    <w:rsid w:val="01DF6BF8"/>
    <w:rsid w:val="01EC2C57"/>
    <w:rsid w:val="02151639"/>
    <w:rsid w:val="026B2E25"/>
    <w:rsid w:val="02734700"/>
    <w:rsid w:val="02824D4D"/>
    <w:rsid w:val="028E5F70"/>
    <w:rsid w:val="02C46BBB"/>
    <w:rsid w:val="02DC4B10"/>
    <w:rsid w:val="02DD76CE"/>
    <w:rsid w:val="02F36323"/>
    <w:rsid w:val="02F5619C"/>
    <w:rsid w:val="02F94244"/>
    <w:rsid w:val="0313122F"/>
    <w:rsid w:val="0326446A"/>
    <w:rsid w:val="032D5555"/>
    <w:rsid w:val="03595F74"/>
    <w:rsid w:val="036634D2"/>
    <w:rsid w:val="037B371D"/>
    <w:rsid w:val="03B77F2C"/>
    <w:rsid w:val="03DD35E4"/>
    <w:rsid w:val="04076900"/>
    <w:rsid w:val="041A5A3B"/>
    <w:rsid w:val="042311BA"/>
    <w:rsid w:val="042B157A"/>
    <w:rsid w:val="04352F11"/>
    <w:rsid w:val="048F763B"/>
    <w:rsid w:val="049F330E"/>
    <w:rsid w:val="04AA775C"/>
    <w:rsid w:val="04AF1889"/>
    <w:rsid w:val="04CA06D2"/>
    <w:rsid w:val="04F66F48"/>
    <w:rsid w:val="05251E14"/>
    <w:rsid w:val="0533087A"/>
    <w:rsid w:val="054B2EBB"/>
    <w:rsid w:val="05541A7D"/>
    <w:rsid w:val="05A16594"/>
    <w:rsid w:val="05A7762D"/>
    <w:rsid w:val="06011897"/>
    <w:rsid w:val="060E5941"/>
    <w:rsid w:val="06110FAF"/>
    <w:rsid w:val="06493CA7"/>
    <w:rsid w:val="065A6178"/>
    <w:rsid w:val="066F1CF3"/>
    <w:rsid w:val="06930BB8"/>
    <w:rsid w:val="06DC1F3F"/>
    <w:rsid w:val="07165DDE"/>
    <w:rsid w:val="07245D42"/>
    <w:rsid w:val="07264C62"/>
    <w:rsid w:val="075D5951"/>
    <w:rsid w:val="077855B9"/>
    <w:rsid w:val="0779354C"/>
    <w:rsid w:val="079F6195"/>
    <w:rsid w:val="07C17D1A"/>
    <w:rsid w:val="07D15156"/>
    <w:rsid w:val="08061376"/>
    <w:rsid w:val="080D354F"/>
    <w:rsid w:val="082A6473"/>
    <w:rsid w:val="08452D77"/>
    <w:rsid w:val="086401F8"/>
    <w:rsid w:val="08751CAA"/>
    <w:rsid w:val="08762585"/>
    <w:rsid w:val="087E4C40"/>
    <w:rsid w:val="08AA4CC9"/>
    <w:rsid w:val="08D66AD6"/>
    <w:rsid w:val="08DA33A3"/>
    <w:rsid w:val="08E80F13"/>
    <w:rsid w:val="092B34F0"/>
    <w:rsid w:val="09335624"/>
    <w:rsid w:val="093D097C"/>
    <w:rsid w:val="0944690F"/>
    <w:rsid w:val="09535675"/>
    <w:rsid w:val="095F057D"/>
    <w:rsid w:val="09642282"/>
    <w:rsid w:val="096B2247"/>
    <w:rsid w:val="09733572"/>
    <w:rsid w:val="09772C16"/>
    <w:rsid w:val="098353B5"/>
    <w:rsid w:val="09A92330"/>
    <w:rsid w:val="09B06B87"/>
    <w:rsid w:val="09C13146"/>
    <w:rsid w:val="09E04166"/>
    <w:rsid w:val="0A1C0718"/>
    <w:rsid w:val="0A2E2D1E"/>
    <w:rsid w:val="0A3E7710"/>
    <w:rsid w:val="0A5B7E63"/>
    <w:rsid w:val="0A5C3149"/>
    <w:rsid w:val="0A826F07"/>
    <w:rsid w:val="0A8A7C8B"/>
    <w:rsid w:val="0AA374A5"/>
    <w:rsid w:val="0AA51080"/>
    <w:rsid w:val="0AAB7649"/>
    <w:rsid w:val="0ABC5606"/>
    <w:rsid w:val="0AE012BD"/>
    <w:rsid w:val="0B012ED1"/>
    <w:rsid w:val="0B2E376B"/>
    <w:rsid w:val="0B30404E"/>
    <w:rsid w:val="0B4C6C14"/>
    <w:rsid w:val="0B631A88"/>
    <w:rsid w:val="0B683D45"/>
    <w:rsid w:val="0B7F3F11"/>
    <w:rsid w:val="0B7F3FC7"/>
    <w:rsid w:val="0B884417"/>
    <w:rsid w:val="0B973B9D"/>
    <w:rsid w:val="0BDE0321"/>
    <w:rsid w:val="0BF6188C"/>
    <w:rsid w:val="0BF64210"/>
    <w:rsid w:val="0BF73C91"/>
    <w:rsid w:val="0C020E7E"/>
    <w:rsid w:val="0C0E5D5C"/>
    <w:rsid w:val="0C170175"/>
    <w:rsid w:val="0C480CD6"/>
    <w:rsid w:val="0C571A41"/>
    <w:rsid w:val="0C5C1171"/>
    <w:rsid w:val="0C5E1CBC"/>
    <w:rsid w:val="0C615B50"/>
    <w:rsid w:val="0C8445DA"/>
    <w:rsid w:val="0C87121B"/>
    <w:rsid w:val="0CBA4FBD"/>
    <w:rsid w:val="0CC007F7"/>
    <w:rsid w:val="0CD60B29"/>
    <w:rsid w:val="0CD90B79"/>
    <w:rsid w:val="0CDB1229"/>
    <w:rsid w:val="0CFE707A"/>
    <w:rsid w:val="0D063BDA"/>
    <w:rsid w:val="0D08375F"/>
    <w:rsid w:val="0D184CFB"/>
    <w:rsid w:val="0D1E7791"/>
    <w:rsid w:val="0D4A7419"/>
    <w:rsid w:val="0D827401"/>
    <w:rsid w:val="0D84094E"/>
    <w:rsid w:val="0D8A00E9"/>
    <w:rsid w:val="0D8D589E"/>
    <w:rsid w:val="0DA01C73"/>
    <w:rsid w:val="0DD63300"/>
    <w:rsid w:val="0DF50604"/>
    <w:rsid w:val="0DF702FE"/>
    <w:rsid w:val="0E060E51"/>
    <w:rsid w:val="0E3105DE"/>
    <w:rsid w:val="0E550E35"/>
    <w:rsid w:val="0E5604B2"/>
    <w:rsid w:val="0E5E6115"/>
    <w:rsid w:val="0E6D5D79"/>
    <w:rsid w:val="0E9D0089"/>
    <w:rsid w:val="0EB75826"/>
    <w:rsid w:val="0EB803EE"/>
    <w:rsid w:val="0EE926B8"/>
    <w:rsid w:val="0EF94D4B"/>
    <w:rsid w:val="0EFD4EA0"/>
    <w:rsid w:val="0F285729"/>
    <w:rsid w:val="0F4958DC"/>
    <w:rsid w:val="0F4B0B32"/>
    <w:rsid w:val="0F515DF7"/>
    <w:rsid w:val="0F596BA8"/>
    <w:rsid w:val="0F6248D2"/>
    <w:rsid w:val="0F693536"/>
    <w:rsid w:val="0F7554C5"/>
    <w:rsid w:val="0F7B0511"/>
    <w:rsid w:val="0F7B76D9"/>
    <w:rsid w:val="0F816ACD"/>
    <w:rsid w:val="0F9832DB"/>
    <w:rsid w:val="0FBF3FD2"/>
    <w:rsid w:val="0FBF7FF3"/>
    <w:rsid w:val="0FE73EE9"/>
    <w:rsid w:val="10043AE6"/>
    <w:rsid w:val="10505D41"/>
    <w:rsid w:val="10646583"/>
    <w:rsid w:val="107D4B15"/>
    <w:rsid w:val="107D65A4"/>
    <w:rsid w:val="108A3C80"/>
    <w:rsid w:val="10AA73F0"/>
    <w:rsid w:val="10C26171"/>
    <w:rsid w:val="10F33360"/>
    <w:rsid w:val="10FC16EA"/>
    <w:rsid w:val="110F1D40"/>
    <w:rsid w:val="11266F33"/>
    <w:rsid w:val="11507B96"/>
    <w:rsid w:val="11525A28"/>
    <w:rsid w:val="115343AE"/>
    <w:rsid w:val="118963A1"/>
    <w:rsid w:val="11C6522A"/>
    <w:rsid w:val="11DC71F8"/>
    <w:rsid w:val="11E104CC"/>
    <w:rsid w:val="11E20309"/>
    <w:rsid w:val="12255233"/>
    <w:rsid w:val="122816D4"/>
    <w:rsid w:val="12530213"/>
    <w:rsid w:val="127723A9"/>
    <w:rsid w:val="12862074"/>
    <w:rsid w:val="12883966"/>
    <w:rsid w:val="129E45B4"/>
    <w:rsid w:val="12AA761C"/>
    <w:rsid w:val="12D81596"/>
    <w:rsid w:val="13072A44"/>
    <w:rsid w:val="131B2827"/>
    <w:rsid w:val="135F4BE2"/>
    <w:rsid w:val="139B1A0A"/>
    <w:rsid w:val="139D25C7"/>
    <w:rsid w:val="13BF3CE4"/>
    <w:rsid w:val="13C42FAC"/>
    <w:rsid w:val="13E23345"/>
    <w:rsid w:val="13E34051"/>
    <w:rsid w:val="14043309"/>
    <w:rsid w:val="141008D8"/>
    <w:rsid w:val="14125FE6"/>
    <w:rsid w:val="14165B51"/>
    <w:rsid w:val="146D271E"/>
    <w:rsid w:val="14982588"/>
    <w:rsid w:val="14991C55"/>
    <w:rsid w:val="149A5AD9"/>
    <w:rsid w:val="14A03F0D"/>
    <w:rsid w:val="14A7619D"/>
    <w:rsid w:val="14BE3364"/>
    <w:rsid w:val="14C8320F"/>
    <w:rsid w:val="14EA71B5"/>
    <w:rsid w:val="14F06FC3"/>
    <w:rsid w:val="150536C3"/>
    <w:rsid w:val="150C1963"/>
    <w:rsid w:val="151447A0"/>
    <w:rsid w:val="154A6454"/>
    <w:rsid w:val="15613E68"/>
    <w:rsid w:val="15762120"/>
    <w:rsid w:val="15D77B9E"/>
    <w:rsid w:val="163E55E1"/>
    <w:rsid w:val="166A18FC"/>
    <w:rsid w:val="169F2681"/>
    <w:rsid w:val="16A8729C"/>
    <w:rsid w:val="16B33777"/>
    <w:rsid w:val="16BC70A7"/>
    <w:rsid w:val="16C6339E"/>
    <w:rsid w:val="172F2D79"/>
    <w:rsid w:val="17557BEF"/>
    <w:rsid w:val="17984446"/>
    <w:rsid w:val="179E6FD7"/>
    <w:rsid w:val="17A7720B"/>
    <w:rsid w:val="17D349C1"/>
    <w:rsid w:val="1830729E"/>
    <w:rsid w:val="186E4F56"/>
    <w:rsid w:val="1870062C"/>
    <w:rsid w:val="187F5606"/>
    <w:rsid w:val="18817102"/>
    <w:rsid w:val="18830A15"/>
    <w:rsid w:val="18852B28"/>
    <w:rsid w:val="188B5321"/>
    <w:rsid w:val="18A94431"/>
    <w:rsid w:val="18AD308A"/>
    <w:rsid w:val="18DF7E53"/>
    <w:rsid w:val="19137AFC"/>
    <w:rsid w:val="197E766C"/>
    <w:rsid w:val="19932372"/>
    <w:rsid w:val="199B1288"/>
    <w:rsid w:val="19A20DD5"/>
    <w:rsid w:val="19AE03F1"/>
    <w:rsid w:val="19BE1321"/>
    <w:rsid w:val="19C914F1"/>
    <w:rsid w:val="1A071A03"/>
    <w:rsid w:val="1A1F16AE"/>
    <w:rsid w:val="1A2057C6"/>
    <w:rsid w:val="1A3B5C77"/>
    <w:rsid w:val="1A4062D0"/>
    <w:rsid w:val="1A7B0156"/>
    <w:rsid w:val="1A8E207F"/>
    <w:rsid w:val="1A984BAD"/>
    <w:rsid w:val="1AAC1FB7"/>
    <w:rsid w:val="1AB8220E"/>
    <w:rsid w:val="1ABD2708"/>
    <w:rsid w:val="1ADC0F2F"/>
    <w:rsid w:val="1AE4166C"/>
    <w:rsid w:val="1AEB6F83"/>
    <w:rsid w:val="1AF06CFB"/>
    <w:rsid w:val="1AF11B8D"/>
    <w:rsid w:val="1B11359C"/>
    <w:rsid w:val="1B2A271F"/>
    <w:rsid w:val="1B530544"/>
    <w:rsid w:val="1B591FEF"/>
    <w:rsid w:val="1B713184"/>
    <w:rsid w:val="1B8C2514"/>
    <w:rsid w:val="1BA209CF"/>
    <w:rsid w:val="1BB20793"/>
    <w:rsid w:val="1BB4777D"/>
    <w:rsid w:val="1BD75AB8"/>
    <w:rsid w:val="1BFF21EA"/>
    <w:rsid w:val="1C0459C2"/>
    <w:rsid w:val="1C1B3B4A"/>
    <w:rsid w:val="1C88086E"/>
    <w:rsid w:val="1D266CE1"/>
    <w:rsid w:val="1D3963AF"/>
    <w:rsid w:val="1D6A673C"/>
    <w:rsid w:val="1D9247AE"/>
    <w:rsid w:val="1DAE4D97"/>
    <w:rsid w:val="1DB567EC"/>
    <w:rsid w:val="1DBF7FCB"/>
    <w:rsid w:val="1DC57B03"/>
    <w:rsid w:val="1DCF1CE1"/>
    <w:rsid w:val="1DF51A98"/>
    <w:rsid w:val="1DFE0D7B"/>
    <w:rsid w:val="1E3D060F"/>
    <w:rsid w:val="1E3F7D2E"/>
    <w:rsid w:val="1E4134E4"/>
    <w:rsid w:val="1E5062B3"/>
    <w:rsid w:val="1E523514"/>
    <w:rsid w:val="1E593358"/>
    <w:rsid w:val="1E686B46"/>
    <w:rsid w:val="1E714A66"/>
    <w:rsid w:val="1E802593"/>
    <w:rsid w:val="1EA703CC"/>
    <w:rsid w:val="1EB7330C"/>
    <w:rsid w:val="1EF93289"/>
    <w:rsid w:val="1F0A0FF3"/>
    <w:rsid w:val="1F5771FF"/>
    <w:rsid w:val="1F745498"/>
    <w:rsid w:val="1FDF32F5"/>
    <w:rsid w:val="1FE868A9"/>
    <w:rsid w:val="20034907"/>
    <w:rsid w:val="20173E4B"/>
    <w:rsid w:val="20181590"/>
    <w:rsid w:val="20380D25"/>
    <w:rsid w:val="204E48BC"/>
    <w:rsid w:val="20631369"/>
    <w:rsid w:val="206801ED"/>
    <w:rsid w:val="207B66B3"/>
    <w:rsid w:val="207E0109"/>
    <w:rsid w:val="207E2E19"/>
    <w:rsid w:val="208921B3"/>
    <w:rsid w:val="20973DEB"/>
    <w:rsid w:val="20AC592F"/>
    <w:rsid w:val="20B26522"/>
    <w:rsid w:val="20B44310"/>
    <w:rsid w:val="20DB5D96"/>
    <w:rsid w:val="20E2455B"/>
    <w:rsid w:val="211116EB"/>
    <w:rsid w:val="21431023"/>
    <w:rsid w:val="216133FC"/>
    <w:rsid w:val="2161415A"/>
    <w:rsid w:val="21B27333"/>
    <w:rsid w:val="21BC2207"/>
    <w:rsid w:val="21D56769"/>
    <w:rsid w:val="21E52EF3"/>
    <w:rsid w:val="21FB5D7B"/>
    <w:rsid w:val="220B1C3D"/>
    <w:rsid w:val="221D1D20"/>
    <w:rsid w:val="22334A87"/>
    <w:rsid w:val="224654C1"/>
    <w:rsid w:val="22BE6801"/>
    <w:rsid w:val="22C26C62"/>
    <w:rsid w:val="233500BF"/>
    <w:rsid w:val="23377FF7"/>
    <w:rsid w:val="236B425F"/>
    <w:rsid w:val="2373197C"/>
    <w:rsid w:val="23836192"/>
    <w:rsid w:val="23901F29"/>
    <w:rsid w:val="239C0061"/>
    <w:rsid w:val="23A91BB2"/>
    <w:rsid w:val="23B908A4"/>
    <w:rsid w:val="23E95BEF"/>
    <w:rsid w:val="23FD0064"/>
    <w:rsid w:val="24214D92"/>
    <w:rsid w:val="24285E12"/>
    <w:rsid w:val="245375B0"/>
    <w:rsid w:val="24642C0A"/>
    <w:rsid w:val="246D0A09"/>
    <w:rsid w:val="24B22173"/>
    <w:rsid w:val="24B95AD9"/>
    <w:rsid w:val="24BE0639"/>
    <w:rsid w:val="24BE24DA"/>
    <w:rsid w:val="24CF5825"/>
    <w:rsid w:val="24D34D10"/>
    <w:rsid w:val="24D663E6"/>
    <w:rsid w:val="24D77F2B"/>
    <w:rsid w:val="24DE5462"/>
    <w:rsid w:val="25530F16"/>
    <w:rsid w:val="257668B4"/>
    <w:rsid w:val="258B00E2"/>
    <w:rsid w:val="25A917A6"/>
    <w:rsid w:val="25BE27CC"/>
    <w:rsid w:val="25C7193F"/>
    <w:rsid w:val="25F74A5C"/>
    <w:rsid w:val="261C6242"/>
    <w:rsid w:val="2628662C"/>
    <w:rsid w:val="262D45DE"/>
    <w:rsid w:val="264A0EBF"/>
    <w:rsid w:val="264A61BF"/>
    <w:rsid w:val="2662090A"/>
    <w:rsid w:val="26A53EF9"/>
    <w:rsid w:val="26A94201"/>
    <w:rsid w:val="26AC274F"/>
    <w:rsid w:val="27044A29"/>
    <w:rsid w:val="27056071"/>
    <w:rsid w:val="271D34C8"/>
    <w:rsid w:val="2746464E"/>
    <w:rsid w:val="276142BF"/>
    <w:rsid w:val="276866FA"/>
    <w:rsid w:val="27783712"/>
    <w:rsid w:val="27907362"/>
    <w:rsid w:val="27E965F8"/>
    <w:rsid w:val="27EE00B2"/>
    <w:rsid w:val="28333E1D"/>
    <w:rsid w:val="283C6C0F"/>
    <w:rsid w:val="28454BD6"/>
    <w:rsid w:val="28455253"/>
    <w:rsid w:val="28551971"/>
    <w:rsid w:val="285B1C53"/>
    <w:rsid w:val="2895356C"/>
    <w:rsid w:val="289F7086"/>
    <w:rsid w:val="28C32028"/>
    <w:rsid w:val="28CC490F"/>
    <w:rsid w:val="28DE40AA"/>
    <w:rsid w:val="29345E77"/>
    <w:rsid w:val="294B0DAC"/>
    <w:rsid w:val="294C65AD"/>
    <w:rsid w:val="29806583"/>
    <w:rsid w:val="298B3C4C"/>
    <w:rsid w:val="29D54D29"/>
    <w:rsid w:val="29E90B31"/>
    <w:rsid w:val="29F26D24"/>
    <w:rsid w:val="2A1170FC"/>
    <w:rsid w:val="2A15033F"/>
    <w:rsid w:val="2A155109"/>
    <w:rsid w:val="2A1662C1"/>
    <w:rsid w:val="2A1C7367"/>
    <w:rsid w:val="2A2815FA"/>
    <w:rsid w:val="2A6D6092"/>
    <w:rsid w:val="2A7204D1"/>
    <w:rsid w:val="2A7D76B4"/>
    <w:rsid w:val="2AC70EDC"/>
    <w:rsid w:val="2B373B1E"/>
    <w:rsid w:val="2B437463"/>
    <w:rsid w:val="2B522706"/>
    <w:rsid w:val="2B7807EE"/>
    <w:rsid w:val="2B945009"/>
    <w:rsid w:val="2BBF00EC"/>
    <w:rsid w:val="2BC37CFD"/>
    <w:rsid w:val="2BD355F5"/>
    <w:rsid w:val="2BD5237F"/>
    <w:rsid w:val="2BE536CE"/>
    <w:rsid w:val="2BE758D9"/>
    <w:rsid w:val="2BE772F2"/>
    <w:rsid w:val="2C09049E"/>
    <w:rsid w:val="2C0A653C"/>
    <w:rsid w:val="2C191F85"/>
    <w:rsid w:val="2C4712C3"/>
    <w:rsid w:val="2C6000DA"/>
    <w:rsid w:val="2C874F6F"/>
    <w:rsid w:val="2CA32A1F"/>
    <w:rsid w:val="2CE82D6F"/>
    <w:rsid w:val="2D343236"/>
    <w:rsid w:val="2D5C086B"/>
    <w:rsid w:val="2D823314"/>
    <w:rsid w:val="2D9078D1"/>
    <w:rsid w:val="2D9214E0"/>
    <w:rsid w:val="2DD1025A"/>
    <w:rsid w:val="2DD15014"/>
    <w:rsid w:val="2DF51922"/>
    <w:rsid w:val="2DF72DE4"/>
    <w:rsid w:val="2E0220AF"/>
    <w:rsid w:val="2E07472B"/>
    <w:rsid w:val="2E0E6DB8"/>
    <w:rsid w:val="2E455766"/>
    <w:rsid w:val="2E4B082A"/>
    <w:rsid w:val="2E5D4E86"/>
    <w:rsid w:val="2E5D790B"/>
    <w:rsid w:val="2E753370"/>
    <w:rsid w:val="2E9A3C18"/>
    <w:rsid w:val="2EBB0FEE"/>
    <w:rsid w:val="2EC22DD3"/>
    <w:rsid w:val="2EC63002"/>
    <w:rsid w:val="2EE364E6"/>
    <w:rsid w:val="2EE77D2D"/>
    <w:rsid w:val="2EFD2AE1"/>
    <w:rsid w:val="2F0A6B38"/>
    <w:rsid w:val="2F3B2DD2"/>
    <w:rsid w:val="2F6F7335"/>
    <w:rsid w:val="2F713AA3"/>
    <w:rsid w:val="2F93773A"/>
    <w:rsid w:val="2F946CCB"/>
    <w:rsid w:val="2FAC6889"/>
    <w:rsid w:val="2FD25781"/>
    <w:rsid w:val="2FDB0057"/>
    <w:rsid w:val="2FFD5044"/>
    <w:rsid w:val="2FFD7934"/>
    <w:rsid w:val="3050190A"/>
    <w:rsid w:val="30733ACD"/>
    <w:rsid w:val="3075311F"/>
    <w:rsid w:val="308C3862"/>
    <w:rsid w:val="309379D8"/>
    <w:rsid w:val="30A270F7"/>
    <w:rsid w:val="30DF1478"/>
    <w:rsid w:val="30EC586F"/>
    <w:rsid w:val="311213ED"/>
    <w:rsid w:val="31294542"/>
    <w:rsid w:val="319C6071"/>
    <w:rsid w:val="31A863E0"/>
    <w:rsid w:val="31AC537E"/>
    <w:rsid w:val="31E3679B"/>
    <w:rsid w:val="31E732FD"/>
    <w:rsid w:val="32517576"/>
    <w:rsid w:val="325D030E"/>
    <w:rsid w:val="32BE5C2C"/>
    <w:rsid w:val="32ED07A3"/>
    <w:rsid w:val="32FB6478"/>
    <w:rsid w:val="330709B5"/>
    <w:rsid w:val="330E2F43"/>
    <w:rsid w:val="330E6900"/>
    <w:rsid w:val="33263B3F"/>
    <w:rsid w:val="334A12E1"/>
    <w:rsid w:val="335E286C"/>
    <w:rsid w:val="336963EB"/>
    <w:rsid w:val="33816EEB"/>
    <w:rsid w:val="338F52EF"/>
    <w:rsid w:val="33EB55CD"/>
    <w:rsid w:val="33EC4C02"/>
    <w:rsid w:val="340D2360"/>
    <w:rsid w:val="3410665D"/>
    <w:rsid w:val="34211214"/>
    <w:rsid w:val="342E63AB"/>
    <w:rsid w:val="34711E4F"/>
    <w:rsid w:val="34915D87"/>
    <w:rsid w:val="34950E68"/>
    <w:rsid w:val="34986E94"/>
    <w:rsid w:val="34AF62C9"/>
    <w:rsid w:val="34CB4388"/>
    <w:rsid w:val="34FA6E12"/>
    <w:rsid w:val="358D5588"/>
    <w:rsid w:val="35C05806"/>
    <w:rsid w:val="35C42453"/>
    <w:rsid w:val="35DC5440"/>
    <w:rsid w:val="361B3215"/>
    <w:rsid w:val="363A3B40"/>
    <w:rsid w:val="365302AE"/>
    <w:rsid w:val="36607A0A"/>
    <w:rsid w:val="366529DF"/>
    <w:rsid w:val="366E227C"/>
    <w:rsid w:val="366F2E0D"/>
    <w:rsid w:val="36735F09"/>
    <w:rsid w:val="367B6A5C"/>
    <w:rsid w:val="36A52284"/>
    <w:rsid w:val="36A74ADA"/>
    <w:rsid w:val="36AD60D5"/>
    <w:rsid w:val="36B224F9"/>
    <w:rsid w:val="36BE005A"/>
    <w:rsid w:val="36EC0CC9"/>
    <w:rsid w:val="37090039"/>
    <w:rsid w:val="37363295"/>
    <w:rsid w:val="373D78BB"/>
    <w:rsid w:val="373F410B"/>
    <w:rsid w:val="37EE7094"/>
    <w:rsid w:val="38296C89"/>
    <w:rsid w:val="383002EB"/>
    <w:rsid w:val="38586797"/>
    <w:rsid w:val="38797966"/>
    <w:rsid w:val="388243AC"/>
    <w:rsid w:val="38855EC9"/>
    <w:rsid w:val="388801F5"/>
    <w:rsid w:val="3894610C"/>
    <w:rsid w:val="38B113F5"/>
    <w:rsid w:val="38BC0149"/>
    <w:rsid w:val="38D87D1C"/>
    <w:rsid w:val="38E22CFA"/>
    <w:rsid w:val="391A199A"/>
    <w:rsid w:val="39636459"/>
    <w:rsid w:val="396B7F6C"/>
    <w:rsid w:val="39B417A9"/>
    <w:rsid w:val="39BB2205"/>
    <w:rsid w:val="39F94929"/>
    <w:rsid w:val="39FC5695"/>
    <w:rsid w:val="3A006D8E"/>
    <w:rsid w:val="3A3651E5"/>
    <w:rsid w:val="3A6B67E3"/>
    <w:rsid w:val="3A744481"/>
    <w:rsid w:val="3A7E52C6"/>
    <w:rsid w:val="3A8C7BEF"/>
    <w:rsid w:val="3A906246"/>
    <w:rsid w:val="3AE004A0"/>
    <w:rsid w:val="3B2349B7"/>
    <w:rsid w:val="3B3C75DE"/>
    <w:rsid w:val="3B3C7E67"/>
    <w:rsid w:val="3B3FC59C"/>
    <w:rsid w:val="3B616CFF"/>
    <w:rsid w:val="3B6259F6"/>
    <w:rsid w:val="3B720C0D"/>
    <w:rsid w:val="3B976654"/>
    <w:rsid w:val="3BAF42E8"/>
    <w:rsid w:val="3BB6355F"/>
    <w:rsid w:val="3BC01EFC"/>
    <w:rsid w:val="3BCA786A"/>
    <w:rsid w:val="3BD31E2F"/>
    <w:rsid w:val="3BF15831"/>
    <w:rsid w:val="3C105946"/>
    <w:rsid w:val="3C471448"/>
    <w:rsid w:val="3C5F759A"/>
    <w:rsid w:val="3C6C525A"/>
    <w:rsid w:val="3CAD649B"/>
    <w:rsid w:val="3CC33275"/>
    <w:rsid w:val="3CC34D87"/>
    <w:rsid w:val="3CCB4B5A"/>
    <w:rsid w:val="3CCE23CB"/>
    <w:rsid w:val="3CD17D17"/>
    <w:rsid w:val="3D095B46"/>
    <w:rsid w:val="3D3C7F39"/>
    <w:rsid w:val="3D4015F2"/>
    <w:rsid w:val="3D440F09"/>
    <w:rsid w:val="3D4504A0"/>
    <w:rsid w:val="3D6F6425"/>
    <w:rsid w:val="3D8734BB"/>
    <w:rsid w:val="3D9A11D4"/>
    <w:rsid w:val="3DA16D89"/>
    <w:rsid w:val="3DA364BE"/>
    <w:rsid w:val="3DE041CB"/>
    <w:rsid w:val="3E0D48F6"/>
    <w:rsid w:val="3E185305"/>
    <w:rsid w:val="3E1868B4"/>
    <w:rsid w:val="3E377251"/>
    <w:rsid w:val="3E42664B"/>
    <w:rsid w:val="3E4A4A56"/>
    <w:rsid w:val="3E4B4F87"/>
    <w:rsid w:val="3E5661DC"/>
    <w:rsid w:val="3E5A7334"/>
    <w:rsid w:val="3E7B5D6B"/>
    <w:rsid w:val="3E843E66"/>
    <w:rsid w:val="3E8F51FE"/>
    <w:rsid w:val="3E926F87"/>
    <w:rsid w:val="3E9A59DE"/>
    <w:rsid w:val="3EA6150B"/>
    <w:rsid w:val="3EAF4836"/>
    <w:rsid w:val="3EC33DFA"/>
    <w:rsid w:val="3EC84D62"/>
    <w:rsid w:val="3EE85404"/>
    <w:rsid w:val="3F060E16"/>
    <w:rsid w:val="3F173D18"/>
    <w:rsid w:val="3F1C4A39"/>
    <w:rsid w:val="3F1D1096"/>
    <w:rsid w:val="3F2F0234"/>
    <w:rsid w:val="3F3157CA"/>
    <w:rsid w:val="3F485DF7"/>
    <w:rsid w:val="3F6363FE"/>
    <w:rsid w:val="3F756B8F"/>
    <w:rsid w:val="3F8F60F8"/>
    <w:rsid w:val="3F95482B"/>
    <w:rsid w:val="3F990187"/>
    <w:rsid w:val="3FA57E6B"/>
    <w:rsid w:val="4019356B"/>
    <w:rsid w:val="40275AB8"/>
    <w:rsid w:val="4046605F"/>
    <w:rsid w:val="40592157"/>
    <w:rsid w:val="40674A44"/>
    <w:rsid w:val="406E1CAE"/>
    <w:rsid w:val="4070076D"/>
    <w:rsid w:val="407A39D5"/>
    <w:rsid w:val="40817E61"/>
    <w:rsid w:val="40A0133A"/>
    <w:rsid w:val="40C11463"/>
    <w:rsid w:val="40C31A53"/>
    <w:rsid w:val="40FF545D"/>
    <w:rsid w:val="410067C8"/>
    <w:rsid w:val="41193901"/>
    <w:rsid w:val="414B08D8"/>
    <w:rsid w:val="418F0D2A"/>
    <w:rsid w:val="419929E5"/>
    <w:rsid w:val="41A22999"/>
    <w:rsid w:val="41D01505"/>
    <w:rsid w:val="41E9396D"/>
    <w:rsid w:val="421079C8"/>
    <w:rsid w:val="421E7984"/>
    <w:rsid w:val="42217757"/>
    <w:rsid w:val="424273D7"/>
    <w:rsid w:val="42474939"/>
    <w:rsid w:val="424C3C57"/>
    <w:rsid w:val="42613FF3"/>
    <w:rsid w:val="42654F91"/>
    <w:rsid w:val="42660D96"/>
    <w:rsid w:val="428667D2"/>
    <w:rsid w:val="429A368A"/>
    <w:rsid w:val="42CD1CE0"/>
    <w:rsid w:val="42E1381E"/>
    <w:rsid w:val="42ED6459"/>
    <w:rsid w:val="42F16C31"/>
    <w:rsid w:val="42FE58DD"/>
    <w:rsid w:val="43144544"/>
    <w:rsid w:val="43174B3D"/>
    <w:rsid w:val="431C3DDE"/>
    <w:rsid w:val="43354997"/>
    <w:rsid w:val="434B790E"/>
    <w:rsid w:val="4360274F"/>
    <w:rsid w:val="43977AB6"/>
    <w:rsid w:val="43A07FF2"/>
    <w:rsid w:val="43A24A91"/>
    <w:rsid w:val="43A3342B"/>
    <w:rsid w:val="43C77C27"/>
    <w:rsid w:val="43DE09EE"/>
    <w:rsid w:val="44002FAD"/>
    <w:rsid w:val="4415542B"/>
    <w:rsid w:val="44657104"/>
    <w:rsid w:val="449101DD"/>
    <w:rsid w:val="449806FE"/>
    <w:rsid w:val="44BA722D"/>
    <w:rsid w:val="44DE1391"/>
    <w:rsid w:val="44F96CD2"/>
    <w:rsid w:val="45106B70"/>
    <w:rsid w:val="451B225C"/>
    <w:rsid w:val="452410C9"/>
    <w:rsid w:val="45317DFB"/>
    <w:rsid w:val="456D3CE4"/>
    <w:rsid w:val="4579042C"/>
    <w:rsid w:val="457F0571"/>
    <w:rsid w:val="45851176"/>
    <w:rsid w:val="45883496"/>
    <w:rsid w:val="45B10806"/>
    <w:rsid w:val="45C63B94"/>
    <w:rsid w:val="45C7395E"/>
    <w:rsid w:val="45FF50F7"/>
    <w:rsid w:val="460A332B"/>
    <w:rsid w:val="460E7DA5"/>
    <w:rsid w:val="46402205"/>
    <w:rsid w:val="46422483"/>
    <w:rsid w:val="4659254A"/>
    <w:rsid w:val="465B0637"/>
    <w:rsid w:val="465E3F0D"/>
    <w:rsid w:val="466A16E6"/>
    <w:rsid w:val="466A3861"/>
    <w:rsid w:val="467B69ED"/>
    <w:rsid w:val="46893F2B"/>
    <w:rsid w:val="46A92CD7"/>
    <w:rsid w:val="46C4686E"/>
    <w:rsid w:val="4715601C"/>
    <w:rsid w:val="476C6937"/>
    <w:rsid w:val="47704A29"/>
    <w:rsid w:val="477B778F"/>
    <w:rsid w:val="477F61D9"/>
    <w:rsid w:val="478203EC"/>
    <w:rsid w:val="478661AE"/>
    <w:rsid w:val="47B025FA"/>
    <w:rsid w:val="47FE483C"/>
    <w:rsid w:val="4809698F"/>
    <w:rsid w:val="4811697D"/>
    <w:rsid w:val="483C40DA"/>
    <w:rsid w:val="48795512"/>
    <w:rsid w:val="487A3E25"/>
    <w:rsid w:val="488169AC"/>
    <w:rsid w:val="488B5503"/>
    <w:rsid w:val="48937E21"/>
    <w:rsid w:val="489A0361"/>
    <w:rsid w:val="48AD6A8D"/>
    <w:rsid w:val="48B94FF3"/>
    <w:rsid w:val="48E37AAB"/>
    <w:rsid w:val="48FD4B4C"/>
    <w:rsid w:val="49061243"/>
    <w:rsid w:val="490A68E0"/>
    <w:rsid w:val="491055FE"/>
    <w:rsid w:val="495A44E3"/>
    <w:rsid w:val="495F5B3E"/>
    <w:rsid w:val="496F77D7"/>
    <w:rsid w:val="497654FD"/>
    <w:rsid w:val="497E2BEC"/>
    <w:rsid w:val="49B64211"/>
    <w:rsid w:val="49F6167F"/>
    <w:rsid w:val="4A064FA0"/>
    <w:rsid w:val="4A0909A1"/>
    <w:rsid w:val="4A16615C"/>
    <w:rsid w:val="4A4424D7"/>
    <w:rsid w:val="4AB82D0F"/>
    <w:rsid w:val="4ABB17CB"/>
    <w:rsid w:val="4ABE526B"/>
    <w:rsid w:val="4AEB7664"/>
    <w:rsid w:val="4AFD7C19"/>
    <w:rsid w:val="4B0567D1"/>
    <w:rsid w:val="4B1C363A"/>
    <w:rsid w:val="4B236AAE"/>
    <w:rsid w:val="4B707271"/>
    <w:rsid w:val="4B9739F7"/>
    <w:rsid w:val="4BEE2503"/>
    <w:rsid w:val="4BEF5BF8"/>
    <w:rsid w:val="4C245A30"/>
    <w:rsid w:val="4C503B9A"/>
    <w:rsid w:val="4C736329"/>
    <w:rsid w:val="4C7C718B"/>
    <w:rsid w:val="4C9A4AA6"/>
    <w:rsid w:val="4CB6685F"/>
    <w:rsid w:val="4CC367FE"/>
    <w:rsid w:val="4CD670E4"/>
    <w:rsid w:val="4D077F3C"/>
    <w:rsid w:val="4D123355"/>
    <w:rsid w:val="4D2A3B31"/>
    <w:rsid w:val="4D312C52"/>
    <w:rsid w:val="4D73233C"/>
    <w:rsid w:val="4D844549"/>
    <w:rsid w:val="4D905305"/>
    <w:rsid w:val="4D964A72"/>
    <w:rsid w:val="4D9B759A"/>
    <w:rsid w:val="4D9C1254"/>
    <w:rsid w:val="4DC36632"/>
    <w:rsid w:val="4DF55F07"/>
    <w:rsid w:val="4DFC0584"/>
    <w:rsid w:val="4E6544E7"/>
    <w:rsid w:val="4E793892"/>
    <w:rsid w:val="4E800872"/>
    <w:rsid w:val="4EB63AF8"/>
    <w:rsid w:val="4EC569ED"/>
    <w:rsid w:val="4ECA02B4"/>
    <w:rsid w:val="4ED50EA1"/>
    <w:rsid w:val="4EDF24BE"/>
    <w:rsid w:val="4EEC050C"/>
    <w:rsid w:val="4F104EC3"/>
    <w:rsid w:val="4F2C625F"/>
    <w:rsid w:val="4F47354A"/>
    <w:rsid w:val="4F710CA8"/>
    <w:rsid w:val="4F911C54"/>
    <w:rsid w:val="4FE625E0"/>
    <w:rsid w:val="4FE94F10"/>
    <w:rsid w:val="5021480F"/>
    <w:rsid w:val="506932DB"/>
    <w:rsid w:val="50962ECB"/>
    <w:rsid w:val="50A42E38"/>
    <w:rsid w:val="50A4577F"/>
    <w:rsid w:val="50B73D1F"/>
    <w:rsid w:val="50BD5BC9"/>
    <w:rsid w:val="50C11EEE"/>
    <w:rsid w:val="50E97CFC"/>
    <w:rsid w:val="50FA4028"/>
    <w:rsid w:val="510D65B7"/>
    <w:rsid w:val="511157AB"/>
    <w:rsid w:val="51363DAD"/>
    <w:rsid w:val="5142540C"/>
    <w:rsid w:val="515B7CB7"/>
    <w:rsid w:val="517A1653"/>
    <w:rsid w:val="518832C8"/>
    <w:rsid w:val="51A0432A"/>
    <w:rsid w:val="51A86090"/>
    <w:rsid w:val="51AC406F"/>
    <w:rsid w:val="51B278FC"/>
    <w:rsid w:val="51B7396D"/>
    <w:rsid w:val="51D233A7"/>
    <w:rsid w:val="52036958"/>
    <w:rsid w:val="522E4CC3"/>
    <w:rsid w:val="5244713B"/>
    <w:rsid w:val="52615633"/>
    <w:rsid w:val="52977FD4"/>
    <w:rsid w:val="52A25790"/>
    <w:rsid w:val="52A96B6F"/>
    <w:rsid w:val="52B45975"/>
    <w:rsid w:val="52D94AA4"/>
    <w:rsid w:val="52EA3A62"/>
    <w:rsid w:val="52F50BB8"/>
    <w:rsid w:val="53097272"/>
    <w:rsid w:val="53513CED"/>
    <w:rsid w:val="53544462"/>
    <w:rsid w:val="535A1773"/>
    <w:rsid w:val="53745B13"/>
    <w:rsid w:val="53946913"/>
    <w:rsid w:val="5397158E"/>
    <w:rsid w:val="54013861"/>
    <w:rsid w:val="54487265"/>
    <w:rsid w:val="544D6070"/>
    <w:rsid w:val="54593DEF"/>
    <w:rsid w:val="54605E1E"/>
    <w:rsid w:val="54B3506A"/>
    <w:rsid w:val="54CA0D16"/>
    <w:rsid w:val="54D934E7"/>
    <w:rsid w:val="54DD4057"/>
    <w:rsid w:val="54E7490F"/>
    <w:rsid w:val="54FA328F"/>
    <w:rsid w:val="550764A4"/>
    <w:rsid w:val="550B2BF6"/>
    <w:rsid w:val="551F76C7"/>
    <w:rsid w:val="55214EB5"/>
    <w:rsid w:val="55364EFD"/>
    <w:rsid w:val="555D4828"/>
    <w:rsid w:val="557A4C8B"/>
    <w:rsid w:val="558931E1"/>
    <w:rsid w:val="55902A27"/>
    <w:rsid w:val="55923347"/>
    <w:rsid w:val="55925180"/>
    <w:rsid w:val="55983B1B"/>
    <w:rsid w:val="55985EE0"/>
    <w:rsid w:val="559B4414"/>
    <w:rsid w:val="55A8376B"/>
    <w:rsid w:val="55D50903"/>
    <w:rsid w:val="55DC29B6"/>
    <w:rsid w:val="55DD4241"/>
    <w:rsid w:val="55DF0EB7"/>
    <w:rsid w:val="561926D0"/>
    <w:rsid w:val="566B6D1E"/>
    <w:rsid w:val="569F6AC7"/>
    <w:rsid w:val="56AA6827"/>
    <w:rsid w:val="56BD4D01"/>
    <w:rsid w:val="57032A2C"/>
    <w:rsid w:val="570F5219"/>
    <w:rsid w:val="575D12B5"/>
    <w:rsid w:val="57610A87"/>
    <w:rsid w:val="5772374D"/>
    <w:rsid w:val="577B1140"/>
    <w:rsid w:val="577B7F21"/>
    <w:rsid w:val="577F181B"/>
    <w:rsid w:val="57921984"/>
    <w:rsid w:val="579737F0"/>
    <w:rsid w:val="57AB7B30"/>
    <w:rsid w:val="57AF5251"/>
    <w:rsid w:val="57B26373"/>
    <w:rsid w:val="57B63F04"/>
    <w:rsid w:val="57CD20C2"/>
    <w:rsid w:val="57D675AB"/>
    <w:rsid w:val="57D95FDD"/>
    <w:rsid w:val="57EA58F1"/>
    <w:rsid w:val="58142FFC"/>
    <w:rsid w:val="58917D2F"/>
    <w:rsid w:val="5894085C"/>
    <w:rsid w:val="58AE4F0C"/>
    <w:rsid w:val="58B85899"/>
    <w:rsid w:val="58E363A9"/>
    <w:rsid w:val="590E29AC"/>
    <w:rsid w:val="595E1678"/>
    <w:rsid w:val="596D5BD4"/>
    <w:rsid w:val="59782F99"/>
    <w:rsid w:val="597E3DD8"/>
    <w:rsid w:val="59D634DF"/>
    <w:rsid w:val="59F80043"/>
    <w:rsid w:val="5A09252F"/>
    <w:rsid w:val="5A0B2778"/>
    <w:rsid w:val="5A133E67"/>
    <w:rsid w:val="5A2A7C7B"/>
    <w:rsid w:val="5A3E2560"/>
    <w:rsid w:val="5A5D3B6E"/>
    <w:rsid w:val="5A637A76"/>
    <w:rsid w:val="5A6D33BA"/>
    <w:rsid w:val="5A792B1F"/>
    <w:rsid w:val="5A7D5519"/>
    <w:rsid w:val="5A874767"/>
    <w:rsid w:val="5A8C7BCC"/>
    <w:rsid w:val="5A8D7133"/>
    <w:rsid w:val="5A944CE3"/>
    <w:rsid w:val="5AAD6F28"/>
    <w:rsid w:val="5AD63A24"/>
    <w:rsid w:val="5ADD79C6"/>
    <w:rsid w:val="5AEA5EB6"/>
    <w:rsid w:val="5AEA62E5"/>
    <w:rsid w:val="5AFF3461"/>
    <w:rsid w:val="5B1511F3"/>
    <w:rsid w:val="5B167F88"/>
    <w:rsid w:val="5B2E1A1D"/>
    <w:rsid w:val="5B317CC1"/>
    <w:rsid w:val="5B6B0A58"/>
    <w:rsid w:val="5B843A1C"/>
    <w:rsid w:val="5B873E3F"/>
    <w:rsid w:val="5B897053"/>
    <w:rsid w:val="5BA83A02"/>
    <w:rsid w:val="5C02690E"/>
    <w:rsid w:val="5C196DA7"/>
    <w:rsid w:val="5C1D0043"/>
    <w:rsid w:val="5C2A048C"/>
    <w:rsid w:val="5C7855C7"/>
    <w:rsid w:val="5C80234E"/>
    <w:rsid w:val="5C8A680C"/>
    <w:rsid w:val="5CA644DC"/>
    <w:rsid w:val="5CE01922"/>
    <w:rsid w:val="5CEC7655"/>
    <w:rsid w:val="5D0C4701"/>
    <w:rsid w:val="5D0F0395"/>
    <w:rsid w:val="5D221076"/>
    <w:rsid w:val="5D397964"/>
    <w:rsid w:val="5D5A391C"/>
    <w:rsid w:val="5D5F10C0"/>
    <w:rsid w:val="5D891B7B"/>
    <w:rsid w:val="5DA35AD2"/>
    <w:rsid w:val="5DAA5DD8"/>
    <w:rsid w:val="5DAD38EE"/>
    <w:rsid w:val="5DCE5EE9"/>
    <w:rsid w:val="5E006862"/>
    <w:rsid w:val="5E0207B9"/>
    <w:rsid w:val="5E0B0AD6"/>
    <w:rsid w:val="5E1834A1"/>
    <w:rsid w:val="5E261785"/>
    <w:rsid w:val="5E4A7017"/>
    <w:rsid w:val="5E4F2952"/>
    <w:rsid w:val="5E552BBA"/>
    <w:rsid w:val="5E610D01"/>
    <w:rsid w:val="5E611C10"/>
    <w:rsid w:val="5E655CD1"/>
    <w:rsid w:val="5E766130"/>
    <w:rsid w:val="5EA31D4C"/>
    <w:rsid w:val="5EFC7377"/>
    <w:rsid w:val="5F06174D"/>
    <w:rsid w:val="5F3A3602"/>
    <w:rsid w:val="5F6277C6"/>
    <w:rsid w:val="5F6D0B1D"/>
    <w:rsid w:val="5F6FF5AD"/>
    <w:rsid w:val="5F8D0B82"/>
    <w:rsid w:val="5F930E00"/>
    <w:rsid w:val="5FCC5339"/>
    <w:rsid w:val="5FE34A5B"/>
    <w:rsid w:val="5FFE1E36"/>
    <w:rsid w:val="600502B2"/>
    <w:rsid w:val="60232584"/>
    <w:rsid w:val="602C4E9D"/>
    <w:rsid w:val="602C61F7"/>
    <w:rsid w:val="6060009F"/>
    <w:rsid w:val="607330CE"/>
    <w:rsid w:val="60825176"/>
    <w:rsid w:val="608D2F12"/>
    <w:rsid w:val="609F2AC4"/>
    <w:rsid w:val="60FA2EE8"/>
    <w:rsid w:val="61054A27"/>
    <w:rsid w:val="610A52BC"/>
    <w:rsid w:val="611D2366"/>
    <w:rsid w:val="611E354A"/>
    <w:rsid w:val="61401BAF"/>
    <w:rsid w:val="61421856"/>
    <w:rsid w:val="615227C4"/>
    <w:rsid w:val="6153074E"/>
    <w:rsid w:val="61654E3F"/>
    <w:rsid w:val="61721216"/>
    <w:rsid w:val="6182292A"/>
    <w:rsid w:val="618D5C6B"/>
    <w:rsid w:val="619F7F92"/>
    <w:rsid w:val="61B60EF8"/>
    <w:rsid w:val="61F94C26"/>
    <w:rsid w:val="62000E56"/>
    <w:rsid w:val="620A1913"/>
    <w:rsid w:val="620E01E9"/>
    <w:rsid w:val="620F44F5"/>
    <w:rsid w:val="622554D9"/>
    <w:rsid w:val="62330149"/>
    <w:rsid w:val="624E346D"/>
    <w:rsid w:val="624F3E49"/>
    <w:rsid w:val="62632286"/>
    <w:rsid w:val="62885958"/>
    <w:rsid w:val="62B674A5"/>
    <w:rsid w:val="62F40B65"/>
    <w:rsid w:val="62FC2CFE"/>
    <w:rsid w:val="63024505"/>
    <w:rsid w:val="632C6FB1"/>
    <w:rsid w:val="633D721D"/>
    <w:rsid w:val="635B1DB5"/>
    <w:rsid w:val="636B0439"/>
    <w:rsid w:val="63711FED"/>
    <w:rsid w:val="63880DDC"/>
    <w:rsid w:val="638D750D"/>
    <w:rsid w:val="63A36518"/>
    <w:rsid w:val="63AC6CC0"/>
    <w:rsid w:val="63D066D2"/>
    <w:rsid w:val="64055776"/>
    <w:rsid w:val="640C0875"/>
    <w:rsid w:val="640E127D"/>
    <w:rsid w:val="64240056"/>
    <w:rsid w:val="643E143A"/>
    <w:rsid w:val="645A71B2"/>
    <w:rsid w:val="648B6EEF"/>
    <w:rsid w:val="648C1B70"/>
    <w:rsid w:val="64C158BF"/>
    <w:rsid w:val="64C27B00"/>
    <w:rsid w:val="64CE2EAA"/>
    <w:rsid w:val="64D43F5D"/>
    <w:rsid w:val="64D66A7C"/>
    <w:rsid w:val="653C3090"/>
    <w:rsid w:val="65405CCA"/>
    <w:rsid w:val="655A3BEA"/>
    <w:rsid w:val="65854376"/>
    <w:rsid w:val="658767BE"/>
    <w:rsid w:val="65892531"/>
    <w:rsid w:val="65BA52F7"/>
    <w:rsid w:val="66065A48"/>
    <w:rsid w:val="66195831"/>
    <w:rsid w:val="662B5A52"/>
    <w:rsid w:val="662D6DA8"/>
    <w:rsid w:val="662E75B1"/>
    <w:rsid w:val="66342C2E"/>
    <w:rsid w:val="663E784C"/>
    <w:rsid w:val="667A09B7"/>
    <w:rsid w:val="668B6A45"/>
    <w:rsid w:val="66A45BDC"/>
    <w:rsid w:val="66C74351"/>
    <w:rsid w:val="671B2C97"/>
    <w:rsid w:val="672F3F24"/>
    <w:rsid w:val="673E055F"/>
    <w:rsid w:val="67551CE3"/>
    <w:rsid w:val="67762F9E"/>
    <w:rsid w:val="679413D5"/>
    <w:rsid w:val="679B2025"/>
    <w:rsid w:val="67A22552"/>
    <w:rsid w:val="67B22DCC"/>
    <w:rsid w:val="67BE71AA"/>
    <w:rsid w:val="67D90273"/>
    <w:rsid w:val="67DE3C2F"/>
    <w:rsid w:val="67DE5875"/>
    <w:rsid w:val="67E55852"/>
    <w:rsid w:val="67EB1AB4"/>
    <w:rsid w:val="67FA1285"/>
    <w:rsid w:val="68464AB7"/>
    <w:rsid w:val="68551F4F"/>
    <w:rsid w:val="685847A6"/>
    <w:rsid w:val="687C10C9"/>
    <w:rsid w:val="68840C16"/>
    <w:rsid w:val="68876EFB"/>
    <w:rsid w:val="68884654"/>
    <w:rsid w:val="689F444F"/>
    <w:rsid w:val="68B96DBB"/>
    <w:rsid w:val="68BB37A7"/>
    <w:rsid w:val="68CA2805"/>
    <w:rsid w:val="68E937A3"/>
    <w:rsid w:val="68F2242F"/>
    <w:rsid w:val="69196B57"/>
    <w:rsid w:val="691C4BA2"/>
    <w:rsid w:val="693E15D3"/>
    <w:rsid w:val="694E7060"/>
    <w:rsid w:val="69627681"/>
    <w:rsid w:val="69701FBE"/>
    <w:rsid w:val="6977531D"/>
    <w:rsid w:val="697B1F3A"/>
    <w:rsid w:val="69A53598"/>
    <w:rsid w:val="69C85FF1"/>
    <w:rsid w:val="69CC2BFF"/>
    <w:rsid w:val="69FD55B8"/>
    <w:rsid w:val="6A0B1C62"/>
    <w:rsid w:val="6A2406C8"/>
    <w:rsid w:val="6A2C3AC3"/>
    <w:rsid w:val="6A4B7311"/>
    <w:rsid w:val="6A834F5B"/>
    <w:rsid w:val="6A8453C5"/>
    <w:rsid w:val="6A9A6657"/>
    <w:rsid w:val="6ADE0BD1"/>
    <w:rsid w:val="6AE96859"/>
    <w:rsid w:val="6B147746"/>
    <w:rsid w:val="6B24787C"/>
    <w:rsid w:val="6B26761E"/>
    <w:rsid w:val="6B380B3D"/>
    <w:rsid w:val="6B426AD4"/>
    <w:rsid w:val="6B573233"/>
    <w:rsid w:val="6B5B6274"/>
    <w:rsid w:val="6B935D53"/>
    <w:rsid w:val="6BDA1BDD"/>
    <w:rsid w:val="6BDC30C6"/>
    <w:rsid w:val="6C133194"/>
    <w:rsid w:val="6C196F71"/>
    <w:rsid w:val="6C1A6BD0"/>
    <w:rsid w:val="6C216DAB"/>
    <w:rsid w:val="6C226FCB"/>
    <w:rsid w:val="6C31226F"/>
    <w:rsid w:val="6C514E57"/>
    <w:rsid w:val="6C552F0B"/>
    <w:rsid w:val="6C7D068A"/>
    <w:rsid w:val="6C8C67B7"/>
    <w:rsid w:val="6C9D744C"/>
    <w:rsid w:val="6CC55D31"/>
    <w:rsid w:val="6D167928"/>
    <w:rsid w:val="6D26299B"/>
    <w:rsid w:val="6D4772EC"/>
    <w:rsid w:val="6D9078AF"/>
    <w:rsid w:val="6DAA3FEF"/>
    <w:rsid w:val="6DBF2DB2"/>
    <w:rsid w:val="6DC0172B"/>
    <w:rsid w:val="6DCB690C"/>
    <w:rsid w:val="6DD41A5B"/>
    <w:rsid w:val="6DF43C2E"/>
    <w:rsid w:val="6DF51CA3"/>
    <w:rsid w:val="6E0863D3"/>
    <w:rsid w:val="6E8335BD"/>
    <w:rsid w:val="6E8E12EF"/>
    <w:rsid w:val="6E972936"/>
    <w:rsid w:val="6EBF1DC3"/>
    <w:rsid w:val="6ED446C5"/>
    <w:rsid w:val="6F2A7D94"/>
    <w:rsid w:val="6F730377"/>
    <w:rsid w:val="6F8331F1"/>
    <w:rsid w:val="6F8A0F8C"/>
    <w:rsid w:val="6FAE1A09"/>
    <w:rsid w:val="6FD44A65"/>
    <w:rsid w:val="6FD75BF8"/>
    <w:rsid w:val="70206492"/>
    <w:rsid w:val="707723D0"/>
    <w:rsid w:val="70BF3010"/>
    <w:rsid w:val="70E5507E"/>
    <w:rsid w:val="70F5661B"/>
    <w:rsid w:val="71084023"/>
    <w:rsid w:val="710E183A"/>
    <w:rsid w:val="711B4915"/>
    <w:rsid w:val="71360107"/>
    <w:rsid w:val="713B688E"/>
    <w:rsid w:val="7151750C"/>
    <w:rsid w:val="71A265F4"/>
    <w:rsid w:val="71D43752"/>
    <w:rsid w:val="71F1796A"/>
    <w:rsid w:val="72093BA6"/>
    <w:rsid w:val="720C45CB"/>
    <w:rsid w:val="72132D4D"/>
    <w:rsid w:val="72154626"/>
    <w:rsid w:val="72262B5D"/>
    <w:rsid w:val="72283FF7"/>
    <w:rsid w:val="722E7212"/>
    <w:rsid w:val="723A0474"/>
    <w:rsid w:val="724F4877"/>
    <w:rsid w:val="725923E4"/>
    <w:rsid w:val="727163BD"/>
    <w:rsid w:val="72777EDD"/>
    <w:rsid w:val="72864BF7"/>
    <w:rsid w:val="729023FC"/>
    <w:rsid w:val="72B0338A"/>
    <w:rsid w:val="72B62B48"/>
    <w:rsid w:val="72CE1FD6"/>
    <w:rsid w:val="7328339C"/>
    <w:rsid w:val="73286404"/>
    <w:rsid w:val="73460898"/>
    <w:rsid w:val="73B95C72"/>
    <w:rsid w:val="73C0646E"/>
    <w:rsid w:val="73D239B1"/>
    <w:rsid w:val="73D96AEE"/>
    <w:rsid w:val="73E6120B"/>
    <w:rsid w:val="742222F5"/>
    <w:rsid w:val="74476126"/>
    <w:rsid w:val="7463243A"/>
    <w:rsid w:val="74706664"/>
    <w:rsid w:val="747F3682"/>
    <w:rsid w:val="749C4185"/>
    <w:rsid w:val="74BC6A08"/>
    <w:rsid w:val="75067759"/>
    <w:rsid w:val="75223BAA"/>
    <w:rsid w:val="752E6DCD"/>
    <w:rsid w:val="754405BD"/>
    <w:rsid w:val="754F2B6C"/>
    <w:rsid w:val="7551380D"/>
    <w:rsid w:val="75600BE5"/>
    <w:rsid w:val="7564475C"/>
    <w:rsid w:val="7583797F"/>
    <w:rsid w:val="75D20F1D"/>
    <w:rsid w:val="75DA2C18"/>
    <w:rsid w:val="75F54412"/>
    <w:rsid w:val="761D08E0"/>
    <w:rsid w:val="763A5CD8"/>
    <w:rsid w:val="765D347C"/>
    <w:rsid w:val="76826699"/>
    <w:rsid w:val="76B800A3"/>
    <w:rsid w:val="76C87133"/>
    <w:rsid w:val="76CD08D5"/>
    <w:rsid w:val="76DB4B92"/>
    <w:rsid w:val="77052AA4"/>
    <w:rsid w:val="77136511"/>
    <w:rsid w:val="77315B09"/>
    <w:rsid w:val="77340A39"/>
    <w:rsid w:val="77351FD0"/>
    <w:rsid w:val="77472422"/>
    <w:rsid w:val="777F31F2"/>
    <w:rsid w:val="779C6247"/>
    <w:rsid w:val="77D1700D"/>
    <w:rsid w:val="77DF044B"/>
    <w:rsid w:val="77E12CB2"/>
    <w:rsid w:val="77EC04CC"/>
    <w:rsid w:val="77ED2B68"/>
    <w:rsid w:val="77FDDB5F"/>
    <w:rsid w:val="78063EE4"/>
    <w:rsid w:val="781A0520"/>
    <w:rsid w:val="78602ACB"/>
    <w:rsid w:val="78664675"/>
    <w:rsid w:val="78775729"/>
    <w:rsid w:val="789324D6"/>
    <w:rsid w:val="78A42DB0"/>
    <w:rsid w:val="78A656AB"/>
    <w:rsid w:val="78B2245C"/>
    <w:rsid w:val="78CC2A74"/>
    <w:rsid w:val="78E172CC"/>
    <w:rsid w:val="78E201F2"/>
    <w:rsid w:val="78EA1D1F"/>
    <w:rsid w:val="7904172F"/>
    <w:rsid w:val="790F7E27"/>
    <w:rsid w:val="792A231A"/>
    <w:rsid w:val="79313734"/>
    <w:rsid w:val="79316829"/>
    <w:rsid w:val="79475498"/>
    <w:rsid w:val="797E66A9"/>
    <w:rsid w:val="79A97383"/>
    <w:rsid w:val="79B7342D"/>
    <w:rsid w:val="79D35D8D"/>
    <w:rsid w:val="79E27E8B"/>
    <w:rsid w:val="79F850CE"/>
    <w:rsid w:val="79FD443C"/>
    <w:rsid w:val="7A1D1975"/>
    <w:rsid w:val="7A307068"/>
    <w:rsid w:val="7A3E5150"/>
    <w:rsid w:val="7A4670D6"/>
    <w:rsid w:val="7A534B63"/>
    <w:rsid w:val="7A615382"/>
    <w:rsid w:val="7A67303B"/>
    <w:rsid w:val="7AAB1D04"/>
    <w:rsid w:val="7ABA4368"/>
    <w:rsid w:val="7ACD1C1E"/>
    <w:rsid w:val="7AD05746"/>
    <w:rsid w:val="7B2173E8"/>
    <w:rsid w:val="7B257FFD"/>
    <w:rsid w:val="7B343476"/>
    <w:rsid w:val="7B5A2978"/>
    <w:rsid w:val="7B5A7E4C"/>
    <w:rsid w:val="7B667AF9"/>
    <w:rsid w:val="7B6B7668"/>
    <w:rsid w:val="7B7468F8"/>
    <w:rsid w:val="7B7C1ABA"/>
    <w:rsid w:val="7BC30888"/>
    <w:rsid w:val="7BEE0103"/>
    <w:rsid w:val="7BF56183"/>
    <w:rsid w:val="7C0861C2"/>
    <w:rsid w:val="7C0A0FE4"/>
    <w:rsid w:val="7C122B9D"/>
    <w:rsid w:val="7C1A1F01"/>
    <w:rsid w:val="7C254906"/>
    <w:rsid w:val="7C30396B"/>
    <w:rsid w:val="7C590818"/>
    <w:rsid w:val="7C6FCA9D"/>
    <w:rsid w:val="7C7C10F6"/>
    <w:rsid w:val="7C853BEA"/>
    <w:rsid w:val="7C881368"/>
    <w:rsid w:val="7CE27788"/>
    <w:rsid w:val="7D0A41BC"/>
    <w:rsid w:val="7D0C32F1"/>
    <w:rsid w:val="7D0F408D"/>
    <w:rsid w:val="7D491C6C"/>
    <w:rsid w:val="7D5429C0"/>
    <w:rsid w:val="7D6E6D43"/>
    <w:rsid w:val="7D7E1AD8"/>
    <w:rsid w:val="7DB57A34"/>
    <w:rsid w:val="7DE60973"/>
    <w:rsid w:val="7DEF0916"/>
    <w:rsid w:val="7DF74B1D"/>
    <w:rsid w:val="7E1E5218"/>
    <w:rsid w:val="7E290672"/>
    <w:rsid w:val="7E8D00FD"/>
    <w:rsid w:val="7E924985"/>
    <w:rsid w:val="7E9A4E1F"/>
    <w:rsid w:val="7EA7723A"/>
    <w:rsid w:val="7ED02A96"/>
    <w:rsid w:val="7EF56FBB"/>
    <w:rsid w:val="7F0768EB"/>
    <w:rsid w:val="7F143BEC"/>
    <w:rsid w:val="7F28097A"/>
    <w:rsid w:val="7F715AF2"/>
    <w:rsid w:val="7F886E69"/>
    <w:rsid w:val="7FA52F2A"/>
    <w:rsid w:val="7FFA4FF3"/>
    <w:rsid w:val="BB7FA927"/>
    <w:rsid w:val="DEFFAD92"/>
    <w:rsid w:val="F5FFD31F"/>
    <w:rsid w:val="FA47BF2E"/>
    <w:rsid w:val="FA7DB66F"/>
    <w:rsid w:val="FEEF3596"/>
    <w:rsid w:val="FFF7D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qFormat="1"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2"/>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2"/>
    <w:qFormat/>
    <w:uiPriority w:val="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5"/>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6"/>
    <w:qFormat/>
    <w:uiPriority w:val="9"/>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7"/>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0"/>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styleId="12">
    <w:name w:val="toc 7"/>
    <w:basedOn w:val="1"/>
    <w:next w:val="1"/>
    <w:qFormat/>
    <w:uiPriority w:val="39"/>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20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7"/>
    <w:qFormat/>
    <w:uiPriority w:val="35"/>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0"/>
    <w:qFormat/>
    <w:uiPriority w:val="99"/>
    <w:pPr>
      <w:shd w:val="clear" w:color="auto" w:fill="000080"/>
    </w:pPr>
  </w:style>
  <w:style w:type="paragraph" w:styleId="20">
    <w:name w:val="annotation text"/>
    <w:basedOn w:val="1"/>
    <w:link w:val="353"/>
    <w:qFormat/>
    <w:uiPriority w:val="0"/>
    <w:pPr>
      <w:jc w:val="left"/>
    </w:pPr>
  </w:style>
  <w:style w:type="paragraph" w:styleId="21">
    <w:name w:val="Salutation"/>
    <w:basedOn w:val="1"/>
    <w:next w:val="1"/>
    <w:link w:val="307"/>
    <w:qFormat/>
    <w:uiPriority w:val="0"/>
    <w:rPr>
      <w:rFonts w:ascii="仿宋_GB2312" w:eastAsia="仿宋_GB2312"/>
      <w:sz w:val="28"/>
      <w:szCs w:val="20"/>
    </w:rPr>
  </w:style>
  <w:style w:type="paragraph" w:styleId="22">
    <w:name w:val="Body Text 3"/>
    <w:basedOn w:val="1"/>
    <w:link w:val="33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9"/>
    <w:qFormat/>
    <w:uiPriority w:val="99"/>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30"/>
    <w:qFormat/>
    <w:uiPriority w:val="0"/>
    <w:pPr>
      <w:ind w:firstLine="420"/>
    </w:pPr>
    <w:rPr>
      <w:rFonts w:hAnsi="Calibri" w:cs="Times New Roman"/>
      <w:snapToGrid/>
      <w:szCs w:val="20"/>
    </w:rPr>
  </w:style>
  <w:style w:type="paragraph" w:styleId="26">
    <w:name w:val="Body Text Indent"/>
    <w:basedOn w:val="1"/>
    <w:next w:val="27"/>
    <w:link w:val="274"/>
    <w:qFormat/>
    <w:uiPriority w:val="0"/>
    <w:pPr>
      <w:spacing w:line="480" w:lineRule="exact"/>
      <w:ind w:firstLine="480" w:firstLineChars="200"/>
    </w:pPr>
    <w:rPr>
      <w:rFonts w:ascii="宋体" w:hAnsi="宋体"/>
      <w:sz w:val="24"/>
    </w:rPr>
  </w:style>
  <w:style w:type="paragraph" w:styleId="27">
    <w:name w:val="envelope return"/>
    <w:basedOn w:val="1"/>
    <w:qFormat/>
    <w:uiPriority w:val="0"/>
    <w:pPr>
      <w:snapToGrid w:val="0"/>
    </w:pPr>
    <w:rPr>
      <w:rFonts w:ascii="Arial" w:hAnsi="Arial" w:cs="Arial"/>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39"/>
    <w:pPr>
      <w:ind w:left="1680" w:leftChars="800"/>
    </w:pPr>
  </w:style>
  <w:style w:type="paragraph" w:styleId="34">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5">
    <w:name w:val="Plain Text"/>
    <w:basedOn w:val="1"/>
    <w:next w:val="1"/>
    <w:link w:val="13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39"/>
    <w:pPr>
      <w:ind w:left="2940" w:leftChars="1400"/>
    </w:pPr>
  </w:style>
  <w:style w:type="paragraph" w:styleId="38">
    <w:name w:val="Date"/>
    <w:basedOn w:val="1"/>
    <w:next w:val="1"/>
    <w:link w:val="189"/>
    <w:qFormat/>
    <w:uiPriority w:val="0"/>
    <w:pPr>
      <w:ind w:left="100" w:leftChars="2500"/>
    </w:pPr>
    <w:rPr>
      <w:rFonts w:ascii="宋体"/>
      <w:sz w:val="24"/>
      <w:szCs w:val="21"/>
      <w:lang w:val="zh-CN"/>
    </w:rPr>
  </w:style>
  <w:style w:type="paragraph" w:styleId="39">
    <w:name w:val="Body Text Indent 2"/>
    <w:basedOn w:val="1"/>
    <w:next w:val="1"/>
    <w:link w:val="317"/>
    <w:qFormat/>
    <w:uiPriority w:val="0"/>
    <w:pPr>
      <w:spacing w:line="360" w:lineRule="auto"/>
      <w:ind w:firstLine="601"/>
      <w:textAlignment w:val="baseline"/>
    </w:pPr>
    <w:rPr>
      <w:rFonts w:ascii="宋体"/>
      <w:kern w:val="0"/>
      <w:sz w:val="28"/>
      <w:szCs w:val="20"/>
    </w:rPr>
  </w:style>
  <w:style w:type="paragraph" w:styleId="40">
    <w:name w:val="endnote text"/>
    <w:basedOn w:val="1"/>
    <w:link w:val="938"/>
    <w:qFormat/>
    <w:uiPriority w:val="0"/>
    <w:rPr>
      <w:lang w:val="zh-CN"/>
    </w:rPr>
  </w:style>
  <w:style w:type="paragraph" w:styleId="41">
    <w:name w:val="Balloon Text"/>
    <w:basedOn w:val="1"/>
    <w:link w:val="196"/>
    <w:qFormat/>
    <w:uiPriority w:val="99"/>
    <w:rPr>
      <w:sz w:val="18"/>
      <w:szCs w:val="18"/>
    </w:rPr>
  </w:style>
  <w:style w:type="paragraph" w:styleId="42">
    <w:name w:val="footer"/>
    <w:basedOn w:val="1"/>
    <w:link w:val="392"/>
    <w:qFormat/>
    <w:uiPriority w:val="0"/>
    <w:pPr>
      <w:tabs>
        <w:tab w:val="center" w:pos="4153"/>
        <w:tab w:val="right" w:pos="8306"/>
      </w:tabs>
      <w:snapToGrid w:val="0"/>
      <w:jc w:val="left"/>
    </w:pPr>
    <w:rPr>
      <w:sz w:val="18"/>
      <w:szCs w:val="18"/>
    </w:rPr>
  </w:style>
  <w:style w:type="paragraph" w:styleId="43">
    <w:name w:val="header"/>
    <w:basedOn w:val="1"/>
    <w:link w:val="40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39"/>
  </w:style>
  <w:style w:type="paragraph" w:styleId="46">
    <w:name w:val="toc 4"/>
    <w:basedOn w:val="1"/>
    <w:next w:val="1"/>
    <w:qFormat/>
    <w:uiPriority w:val="39"/>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
    <w:link w:val="319"/>
    <w:qFormat/>
    <w:uiPriority w:val="0"/>
    <w:pPr>
      <w:adjustRightInd/>
      <w:spacing w:before="60" w:after="60" w:line="300" w:lineRule="exact"/>
    </w:pPr>
    <w:rPr>
      <w:rFonts w:ascii="Calibri"/>
      <w:color w:val="0000FF"/>
      <w:kern w:val="0"/>
    </w:rPr>
  </w:style>
  <w:style w:type="paragraph" w:styleId="53">
    <w:name w:val="toc 6"/>
    <w:basedOn w:val="1"/>
    <w:next w:val="1"/>
    <w:qFormat/>
    <w:uiPriority w:val="39"/>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4"/>
    <w:qFormat/>
    <w:uiPriority w:val="0"/>
    <w:pPr>
      <w:spacing w:line="360" w:lineRule="auto"/>
      <w:ind w:firstLine="420"/>
    </w:pPr>
    <w:rPr>
      <w:sz w:val="24"/>
      <w:szCs w:val="20"/>
    </w:rPr>
  </w:style>
  <w:style w:type="paragraph" w:styleId="56">
    <w:name w:val="toc 2"/>
    <w:basedOn w:val="1"/>
    <w:next w:val="1"/>
    <w:qFormat/>
    <w:uiPriority w:val="39"/>
    <w:pPr>
      <w:ind w:left="420" w:leftChars="200"/>
    </w:pPr>
  </w:style>
  <w:style w:type="paragraph" w:styleId="57">
    <w:name w:val="toc 9"/>
    <w:basedOn w:val="1"/>
    <w:next w:val="1"/>
    <w:qFormat/>
    <w:uiPriority w:val="39"/>
    <w:pPr>
      <w:ind w:left="3360" w:leftChars="1600"/>
    </w:pPr>
  </w:style>
  <w:style w:type="paragraph" w:styleId="58">
    <w:name w:val="Body Text 2"/>
    <w:basedOn w:val="1"/>
    <w:next w:val="1"/>
    <w:link w:val="311"/>
    <w:qFormat/>
    <w:uiPriority w:val="0"/>
    <w:pPr>
      <w:spacing w:after="120" w:line="480" w:lineRule="auto"/>
    </w:pPr>
  </w:style>
  <w:style w:type="paragraph" w:styleId="59">
    <w:name w:val="HTML Preformatted"/>
    <w:basedOn w:val="1"/>
    <w:link w:val="3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95"/>
    <w:qFormat/>
    <w:uiPriority w:val="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4"/>
    <w:qFormat/>
    <w:uiPriority w:val="0"/>
    <w:rPr>
      <w:b/>
      <w:bCs/>
    </w:rPr>
  </w:style>
  <w:style w:type="paragraph" w:styleId="63">
    <w:name w:val="Body Text First Indent 2"/>
    <w:basedOn w:val="26"/>
    <w:next w:val="1"/>
    <w:link w:val="129"/>
    <w:qFormat/>
    <w:uiPriority w:val="0"/>
    <w:pPr>
      <w:adjustRightInd/>
      <w:spacing w:after="120" w:line="240" w:lineRule="auto"/>
      <w:ind w:left="420" w:leftChars="200" w:firstLine="210"/>
    </w:pPr>
    <w:rPr>
      <w:sz w:val="21"/>
    </w:rPr>
  </w:style>
  <w:style w:type="table" w:styleId="65">
    <w:name w:val="Table Grid"/>
    <w:basedOn w:val="6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71">
    <w:name w:val="Light Shading Accent 4"/>
    <w:basedOn w:val="64"/>
    <w:qFormat/>
    <w:uiPriority w:val="60"/>
    <w:rPr>
      <w:rFonts w:ascii="Calibri" w:hAnsi="Calibri"/>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l2br w:val="nil"/>
          <w:tr2bl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styleId="72">
    <w:name w:val="Light Shading Accent 5"/>
    <w:basedOn w:val="64"/>
    <w:qFormat/>
    <w:uiPriority w:val="60"/>
    <w:rPr>
      <w:rFonts w:ascii="Calibri" w:hAnsi="Calibri"/>
      <w:color w:val="31849B"/>
      <w:szCs w:val="21"/>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styleId="73">
    <w:name w:val="Medium Grid 3 Accent 1"/>
    <w:basedOn w:val="64"/>
    <w:qFormat/>
    <w:uiPriority w:val="69"/>
    <w:rPr>
      <w:rFonts w:ascii="Calibri" w:hAnsi="Calibri"/>
      <w:szCs w:val="21"/>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A7BFDE"/>
      </w:tcPr>
    </w:tblStylePr>
  </w:style>
  <w:style w:type="table" w:styleId="74">
    <w:name w:val="Colorful Shading Accent 5"/>
    <w:basedOn w:val="64"/>
    <w:qFormat/>
    <w:uiPriority w:val="71"/>
    <w:rPr>
      <w:rFonts w:ascii="Calibri" w:hAnsi="Calibri"/>
      <w:color w:val="000000"/>
      <w:szCs w:val="21"/>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nil"/>
          <w:bottom w:val="single" w:color="F79646" w:sz="24" w:space="0"/>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276A7C"/>
      </w:tcPr>
    </w:tblStylePr>
    <w:tblStylePr w:type="firstCol">
      <w:rPr>
        <w:color w:val="FFFFFF"/>
      </w:rPr>
      <w:tblPr/>
      <w:tcPr>
        <w:tcBorders>
          <w:top w:val="nil"/>
          <w:left w:val="nil"/>
          <w:bottom w:val="nil"/>
          <w:right w:val="nil"/>
          <w:insideH w:val="single" w:sz="4" w:space="0"/>
          <w:insideV w:val="nil"/>
          <w:tl2br w:val="nil"/>
          <w:tr2bl w:val="nil"/>
        </w:tcBorders>
        <w:shd w:val="clear" w:color="auto" w:fill="276A7C"/>
      </w:tcPr>
    </w:tblStylePr>
    <w:tblStylePr w:type="lastCol">
      <w:rPr>
        <w:color w:val="FFFFFF"/>
      </w:rPr>
      <w:tblPr/>
      <w:tcPr>
        <w:tcBorders>
          <w:top w:val="nil"/>
          <w:left w:val="nil"/>
          <w:bottom w:val="nil"/>
          <w:right w:val="nil"/>
          <w:insideH w:val="nil"/>
          <w:insideV w:val="nil"/>
          <w:tl2br w:val="nil"/>
          <w:tr2bl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character" w:styleId="76">
    <w:name w:val="Strong"/>
    <w:qFormat/>
    <w:uiPriority w:val="22"/>
    <w:rPr>
      <w:b/>
      <w:bCs/>
    </w:rPr>
  </w:style>
  <w:style w:type="character" w:styleId="77">
    <w:name w:val="endnote reference"/>
    <w:qFormat/>
    <w:uiPriority w:val="0"/>
    <w:rPr>
      <w:vertAlign w:val="superscript"/>
    </w:rPr>
  </w:style>
  <w:style w:type="character" w:styleId="78">
    <w:name w:val="page number"/>
    <w:basedOn w:val="75"/>
    <w:qFormat/>
    <w:uiPriority w:val="0"/>
    <w:rPr>
      <w:rFonts w:ascii="Arial" w:hAnsi="Arial" w:eastAsia="黑体" w:cs="Arial"/>
      <w:snapToGrid w:val="0"/>
      <w:kern w:val="0"/>
      <w:szCs w:val="21"/>
    </w:rPr>
  </w:style>
  <w:style w:type="character" w:styleId="79">
    <w:name w:val="FollowedHyperlink"/>
    <w:qFormat/>
    <w:uiPriority w:val="99"/>
    <w:rPr>
      <w:rFonts w:ascii="Arial" w:hAnsi="Arial" w:eastAsia="黑体" w:cs="Arial"/>
      <w:snapToGrid w:val="0"/>
      <w:color w:val="000000"/>
      <w:kern w:val="0"/>
      <w:sz w:val="18"/>
      <w:szCs w:val="18"/>
      <w:u w:val="none"/>
    </w:rPr>
  </w:style>
  <w:style w:type="character" w:styleId="80">
    <w:name w:val="Emphasis"/>
    <w:qFormat/>
    <w:uiPriority w:val="20"/>
    <w:rPr>
      <w:color w:val="CC0033"/>
    </w:rPr>
  </w:style>
  <w:style w:type="character" w:styleId="81">
    <w:name w:val="line number"/>
    <w:basedOn w:val="75"/>
    <w:qFormat/>
    <w:uiPriority w:val="0"/>
    <w:rPr>
      <w:rFonts w:ascii="Arial" w:hAnsi="Arial" w:eastAsia="黑体" w:cs="Arial"/>
      <w:snapToGrid w:val="0"/>
      <w:kern w:val="0"/>
      <w:szCs w:val="21"/>
    </w:rPr>
  </w:style>
  <w:style w:type="character" w:styleId="82">
    <w:name w:val="Hyperlink"/>
    <w:basedOn w:val="75"/>
    <w:qFormat/>
    <w:uiPriority w:val="99"/>
    <w:rPr>
      <w:rFonts w:ascii="Times New Roman" w:hAnsi="Times New Roman" w:eastAsia="宋体" w:cs="Times New Roman"/>
      <w:kern w:val="2"/>
      <w:sz w:val="21"/>
      <w:szCs w:val="24"/>
      <w:lang w:val="en-US" w:eastAsia="zh-CN" w:bidi="ar-SA"/>
    </w:rPr>
  </w:style>
  <w:style w:type="character" w:styleId="83">
    <w:name w:val="HTML Code"/>
    <w:qFormat/>
    <w:uiPriority w:val="0"/>
    <w:rPr>
      <w:rFonts w:ascii="黑体" w:hAnsi="Courier New" w:eastAsia="黑体" w:cs="楷体_GB2312"/>
      <w:sz w:val="20"/>
      <w:szCs w:val="20"/>
    </w:rPr>
  </w:style>
  <w:style w:type="character" w:styleId="84">
    <w:name w:val="annotation reference"/>
    <w:qFormat/>
    <w:uiPriority w:val="0"/>
    <w:rPr>
      <w:sz w:val="21"/>
      <w:szCs w:val="21"/>
    </w:rPr>
  </w:style>
  <w:style w:type="paragraph" w:customStyle="1" w:styleId="8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6">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7">
    <w:name w:val="文章正文"/>
    <w:basedOn w:val="1"/>
    <w:qFormat/>
    <w:uiPriority w:val="0"/>
    <w:pPr>
      <w:spacing w:line="360" w:lineRule="auto"/>
      <w:ind w:firstLine="200" w:firstLineChars="200"/>
    </w:pPr>
    <w:rPr>
      <w:rFonts w:ascii="Calibri" w:hAnsi="Calibri"/>
      <w:sz w:val="24"/>
    </w:rPr>
  </w:style>
  <w:style w:type="paragraph" w:customStyle="1" w:styleId="88">
    <w:name w:val="_Style 2"/>
    <w:basedOn w:val="1"/>
    <w:qFormat/>
    <w:uiPriority w:val="0"/>
    <w:pPr>
      <w:ind w:firstLine="200" w:firstLineChars="200"/>
    </w:pPr>
    <w:rPr>
      <w:rFonts w:ascii="Calibri" w:hAnsi="Calibri"/>
      <w:sz w:val="28"/>
    </w:rPr>
  </w:style>
  <w:style w:type="paragraph" w:customStyle="1" w:styleId="89">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字符"/>
    <w:link w:val="62"/>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99"/>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qFormat/>
    <w:uiPriority w:val="0"/>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63"/>
    <w:qFormat/>
    <w:uiPriority w:val="0"/>
    <w:rPr>
      <w:rFonts w:ascii="宋体" w:hAnsi="宋体"/>
      <w:kern w:val="2"/>
      <w:sz w:val="21"/>
      <w:szCs w:val="24"/>
    </w:rPr>
  </w:style>
  <w:style w:type="character" w:customStyle="1" w:styleId="130">
    <w:name w:val="font11"/>
    <w:basedOn w:val="75"/>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5"/>
    <w:qFormat/>
    <w:uiPriority w:val="0"/>
    <w:rPr>
      <w:rFonts w:ascii="Arial" w:hAnsi="Arial" w:eastAsia="黑体" w:cs="Arial"/>
      <w:snapToGrid w:val="0"/>
      <w:kern w:val="0"/>
      <w:szCs w:val="21"/>
    </w:rPr>
  </w:style>
  <w:style w:type="character" w:customStyle="1" w:styleId="133">
    <w:name w:val="纯文本 字符1"/>
    <w:link w:val="35"/>
    <w:qFormat/>
    <w:uiPriority w:val="99"/>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字符"/>
    <w:link w:val="49"/>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字符"/>
    <w:link w:val="8"/>
    <w:qFormat/>
    <w:uiPriority w:val="9"/>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标题 2 字符"/>
    <w:qFormat/>
    <w:uiPriority w:val="0"/>
    <w:rPr>
      <w:rFonts w:ascii="仿宋_GB2312" w:hAnsi="Times New Roman" w:eastAsia="仿宋_GB2312" w:cs="Times New Roman"/>
      <w:b/>
      <w:kern w:val="2"/>
      <w:sz w:val="24"/>
      <w:lang w:val="zh-CN"/>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4"/>
    <w:link w:val="17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字符"/>
    <w:link w:val="38"/>
    <w:qFormat/>
    <w:uiPriority w:val="0"/>
    <w:rPr>
      <w:rFonts w:ascii="宋体"/>
      <w:kern w:val="2"/>
      <w:sz w:val="24"/>
      <w:szCs w:val="21"/>
      <w:lang w:val="zh-CN"/>
    </w:rPr>
  </w:style>
  <w:style w:type="character" w:customStyle="1" w:styleId="190">
    <w:name w:val="标题 9 字符"/>
    <w:link w:val="11"/>
    <w:qFormat/>
    <w:uiPriority w:val="9"/>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字符1"/>
    <w:link w:val="41"/>
    <w:qFormat/>
    <w:uiPriority w:val="99"/>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sz w:val="24"/>
    </w:rPr>
  </w:style>
  <w:style w:type="character" w:customStyle="1" w:styleId="201">
    <w:name w:val="正文缩进 字符2"/>
    <w:link w:val="16"/>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字符"/>
    <w:link w:val="19"/>
    <w:qFormat/>
    <w:uiPriority w:val="99"/>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5"/>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字符"/>
    <w:link w:val="32"/>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6"/>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字符"/>
    <w:link w:val="17"/>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243"/>
    <w:qFormat/>
    <w:uiPriority w:val="0"/>
    <w:rPr>
      <w:rFonts w:ascii="仿宋_GB2312" w:eastAsia="仿宋_GB2312" w:cs="仿宋_GB2312"/>
      <w:color w:val="000000"/>
      <w:sz w:val="24"/>
      <w:szCs w:val="24"/>
      <w:lang w:val="en-US" w:eastAsia="zh-CN" w:bidi="ar-SA"/>
    </w:rPr>
  </w:style>
  <w:style w:type="paragraph" w:customStyle="1" w:styleId="243">
    <w:name w:val="Default"/>
    <w:next w:val="244"/>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5">
    <w:name w:val="style91"/>
    <w:qFormat/>
    <w:uiPriority w:val="0"/>
    <w:rPr>
      <w:color w:val="333333"/>
    </w:rPr>
  </w:style>
  <w:style w:type="character" w:customStyle="1" w:styleId="246">
    <w:name w:val="列出段落 Char2"/>
    <w:qFormat/>
    <w:uiPriority w:val="34"/>
    <w:rPr>
      <w:rFonts w:ascii="Calibri" w:hAnsi="Calibri"/>
      <w:kern w:val="2"/>
      <w:sz w:val="28"/>
    </w:rPr>
  </w:style>
  <w:style w:type="character" w:customStyle="1" w:styleId="247">
    <w:name w:val="mdeck"/>
    <w:qFormat/>
    <w:uiPriority w:val="0"/>
    <w:rPr>
      <w:rFonts w:ascii="仿宋_GB2312" w:eastAsia="微软雅黑"/>
      <w:b/>
      <w:kern w:val="2"/>
      <w:sz w:val="32"/>
      <w:szCs w:val="32"/>
      <w:lang w:val="en-US" w:eastAsia="zh-CN" w:bidi="ar-SA"/>
    </w:rPr>
  </w:style>
  <w:style w:type="character" w:customStyle="1" w:styleId="248">
    <w:name w:val="unnamed11"/>
    <w:qFormat/>
    <w:uiPriority w:val="0"/>
    <w:rPr>
      <w:sz w:val="20"/>
      <w:szCs w:val="20"/>
    </w:rPr>
  </w:style>
  <w:style w:type="character" w:customStyle="1" w:styleId="249">
    <w:name w:val="正文文本 Char2"/>
    <w:semiHidden/>
    <w:qFormat/>
    <w:uiPriority w:val="99"/>
    <w:rPr>
      <w:rFonts w:ascii="Times New Roman" w:hAnsi="Times New Roman" w:eastAsia="宋体" w:cs="Times New Roman"/>
      <w:snapToGrid w:val="0"/>
      <w:kern w:val="0"/>
      <w:szCs w:val="24"/>
    </w:rPr>
  </w:style>
  <w:style w:type="character" w:customStyle="1" w:styleId="250">
    <w:name w:val="标书正文格式 Char"/>
    <w:qFormat/>
    <w:uiPriority w:val="0"/>
    <w:rPr>
      <w:rFonts w:eastAsia="楷体_GB2312"/>
      <w:kern w:val="2"/>
      <w:sz w:val="24"/>
      <w:szCs w:val="24"/>
      <w:lang w:bidi="ar-SA"/>
    </w:rPr>
  </w:style>
  <w:style w:type="character" w:customStyle="1" w:styleId="251">
    <w:name w:val="Char Char11"/>
    <w:qFormat/>
    <w:locked/>
    <w:uiPriority w:val="0"/>
    <w:rPr>
      <w:rFonts w:ascii="宋体" w:hAnsi="宋体" w:eastAsia="宋体"/>
      <w:b/>
      <w:kern w:val="2"/>
      <w:sz w:val="24"/>
      <w:szCs w:val="24"/>
      <w:lang w:val="en-US" w:eastAsia="zh-CN" w:bidi="ar-SA"/>
    </w:rPr>
  </w:style>
  <w:style w:type="character" w:customStyle="1" w:styleId="252">
    <w:name w:val="ca-131"/>
    <w:qFormat/>
    <w:uiPriority w:val="0"/>
    <w:rPr>
      <w:rFonts w:hint="eastAsia" w:ascii="仿宋_GB2312" w:eastAsia="仿宋_GB2312"/>
      <w:b/>
      <w:bCs/>
      <w:color w:val="000000"/>
      <w:spacing w:val="-20"/>
      <w:sz w:val="24"/>
      <w:szCs w:val="24"/>
    </w:rPr>
  </w:style>
  <w:style w:type="character" w:customStyle="1" w:styleId="253">
    <w:name w:val="tw4winMark"/>
    <w:qFormat/>
    <w:uiPriority w:val="0"/>
    <w:rPr>
      <w:rFonts w:ascii="Courier New" w:hAnsi="Courier New" w:cs="Courier New"/>
      <w:vanish/>
      <w:color w:val="800080"/>
      <w:sz w:val="24"/>
      <w:szCs w:val="24"/>
      <w:vertAlign w:val="subscript"/>
    </w:rPr>
  </w:style>
  <w:style w:type="character" w:customStyle="1" w:styleId="254">
    <w:name w:val="正文样式 Char"/>
    <w:link w:val="255"/>
    <w:qFormat/>
    <w:uiPriority w:val="0"/>
    <w:rPr>
      <w:rFonts w:ascii="Calibri" w:hAnsi="Calibri"/>
      <w:sz w:val="24"/>
      <w:szCs w:val="24"/>
    </w:rPr>
  </w:style>
  <w:style w:type="paragraph" w:customStyle="1" w:styleId="255">
    <w:name w:val="正文样式"/>
    <w:basedOn w:val="1"/>
    <w:link w:val="254"/>
    <w:qFormat/>
    <w:uiPriority w:val="0"/>
    <w:pPr>
      <w:adjustRightInd/>
      <w:spacing w:line="360" w:lineRule="auto"/>
      <w:ind w:firstLine="480" w:firstLineChars="200"/>
    </w:pPr>
    <w:rPr>
      <w:kern w:val="0"/>
      <w:sz w:val="24"/>
    </w:rPr>
  </w:style>
  <w:style w:type="character" w:customStyle="1" w:styleId="256">
    <w:name w:val="表正文 Char3"/>
    <w:qFormat/>
    <w:uiPriority w:val="0"/>
    <w:rPr>
      <w:rFonts w:eastAsia="宋体"/>
    </w:rPr>
  </w:style>
  <w:style w:type="character" w:customStyle="1" w:styleId="257">
    <w:name w:val="H5 Char"/>
    <w:qFormat/>
    <w:uiPriority w:val="0"/>
    <w:rPr>
      <w:b/>
      <w:bCs/>
      <w:kern w:val="2"/>
      <w:sz w:val="28"/>
      <w:szCs w:val="28"/>
    </w:rPr>
  </w:style>
  <w:style w:type="character" w:customStyle="1" w:styleId="258">
    <w:name w:val="Char Char3"/>
    <w:qFormat/>
    <w:uiPriority w:val="0"/>
    <w:rPr>
      <w:rFonts w:eastAsia="宋体"/>
      <w:kern w:val="2"/>
      <w:sz w:val="21"/>
      <w:szCs w:val="24"/>
      <w:lang w:val="en-US" w:eastAsia="zh-CN" w:bidi="ar-SA"/>
    </w:rPr>
  </w:style>
  <w:style w:type="character" w:customStyle="1" w:styleId="259">
    <w:name w:val="正文 编号 Char"/>
    <w:qFormat/>
    <w:uiPriority w:val="0"/>
    <w:rPr>
      <w:rFonts w:ascii="仿宋_GB2312" w:hAnsi="仿宋_GB2312" w:eastAsia="仿宋_GB2312"/>
      <w:kern w:val="2"/>
      <w:sz w:val="24"/>
      <w:lang w:bidi="ar-SA"/>
    </w:rPr>
  </w:style>
  <w:style w:type="character" w:customStyle="1" w:styleId="260">
    <w:name w:val="question-title2"/>
    <w:qFormat/>
    <w:uiPriority w:val="6"/>
    <w:rPr>
      <w:rFonts w:ascii="Arial" w:hAnsi="Arial" w:eastAsia="黑体" w:cs="Arial"/>
      <w:snapToGrid w:val="0"/>
      <w:kern w:val="0"/>
      <w:szCs w:val="21"/>
    </w:rPr>
  </w:style>
  <w:style w:type="character" w:customStyle="1" w:styleId="261">
    <w:name w:val="gf正文1 Char Char"/>
    <w:link w:val="262"/>
    <w:qFormat/>
    <w:uiPriority w:val="0"/>
    <w:rPr>
      <w:rFonts w:ascii="宋体" w:hAnsi="宋体" w:cs="宋体"/>
      <w:kern w:val="2"/>
      <w:sz w:val="24"/>
      <w:szCs w:val="24"/>
    </w:rPr>
  </w:style>
  <w:style w:type="paragraph" w:customStyle="1" w:styleId="262">
    <w:name w:val="gf正文1"/>
    <w:basedOn w:val="1"/>
    <w:link w:val="26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3">
    <w:name w:val="Char Char15"/>
    <w:qFormat/>
    <w:uiPriority w:val="6"/>
    <w:rPr>
      <w:rFonts w:ascii="宋体" w:hAnsi="宋体"/>
      <w:kern w:val="1"/>
      <w:sz w:val="21"/>
    </w:rPr>
  </w:style>
  <w:style w:type="character" w:customStyle="1" w:styleId="264">
    <w:name w:val="正文缩进 Char3"/>
    <w:qFormat/>
    <w:uiPriority w:val="0"/>
    <w:rPr>
      <w:rFonts w:ascii="宋体" w:eastAsia="宋体"/>
      <w:snapToGrid w:val="0"/>
      <w:color w:val="000000"/>
      <w:kern w:val="28"/>
      <w:sz w:val="28"/>
      <w:lang w:val="en-US" w:eastAsia="zh-CN" w:bidi="ar-SA"/>
    </w:rPr>
  </w:style>
  <w:style w:type="character" w:customStyle="1" w:styleId="265">
    <w:name w:val="列出段落 Char1"/>
    <w:link w:val="266"/>
    <w:qFormat/>
    <w:uiPriority w:val="0"/>
    <w:rPr>
      <w:rFonts w:ascii="Calibri" w:hAnsi="Calibri"/>
      <w:sz w:val="24"/>
      <w:lang w:eastAsia="en-US"/>
    </w:rPr>
  </w:style>
  <w:style w:type="paragraph" w:customStyle="1" w:styleId="266">
    <w:name w:val="列表1"/>
    <w:basedOn w:val="1"/>
    <w:next w:val="267"/>
    <w:link w:val="265"/>
    <w:qFormat/>
    <w:uiPriority w:val="0"/>
    <w:pPr>
      <w:widowControl/>
      <w:adjustRightInd/>
      <w:spacing w:after="200" w:line="360" w:lineRule="auto"/>
      <w:ind w:left="720" w:firstLine="200" w:firstLineChars="200"/>
      <w:jc w:val="left"/>
    </w:pPr>
    <w:rPr>
      <w:kern w:val="0"/>
      <w:sz w:val="24"/>
      <w:szCs w:val="20"/>
      <w:lang w:eastAsia="en-US"/>
    </w:rPr>
  </w:style>
  <w:style w:type="paragraph" w:styleId="267">
    <w:name w:val="List Paragraph"/>
    <w:basedOn w:val="1"/>
    <w:qFormat/>
    <w:uiPriority w:val="34"/>
    <w:pPr>
      <w:spacing w:line="360" w:lineRule="auto"/>
      <w:ind w:firstLine="200" w:firstLineChars="200"/>
    </w:pPr>
    <w:rPr>
      <w:rFonts w:eastAsia="楷体_GB2312" w:cs="Lucida Sans"/>
      <w:sz w:val="24"/>
    </w:rPr>
  </w:style>
  <w:style w:type="character" w:customStyle="1" w:styleId="268">
    <w:name w:val="Char Char8"/>
    <w:qFormat/>
    <w:uiPriority w:val="0"/>
    <w:rPr>
      <w:rFonts w:eastAsia="宋体"/>
      <w:b/>
      <w:sz w:val="24"/>
      <w:lang w:val="en-GB" w:eastAsia="zh-CN"/>
    </w:rPr>
  </w:style>
  <w:style w:type="character" w:customStyle="1" w:styleId="269">
    <w:name w:val="Normal Indent Char Char"/>
    <w:qFormat/>
    <w:uiPriority w:val="0"/>
    <w:rPr>
      <w:rFonts w:eastAsia="宋体"/>
      <w:kern w:val="2"/>
      <w:sz w:val="21"/>
      <w:lang w:val="en-US" w:eastAsia="zh-CN" w:bidi="ar-SA"/>
    </w:rPr>
  </w:style>
  <w:style w:type="character" w:customStyle="1" w:styleId="270">
    <w:name w:val="列表段落 字符"/>
    <w:qFormat/>
    <w:uiPriority w:val="34"/>
  </w:style>
  <w:style w:type="character" w:customStyle="1" w:styleId="271">
    <w:name w:val="Ò³Ã¼ Char Char1"/>
    <w:qFormat/>
    <w:uiPriority w:val="0"/>
    <w:rPr>
      <w:rFonts w:eastAsia="宋体"/>
      <w:kern w:val="2"/>
      <w:sz w:val="18"/>
      <w:szCs w:val="18"/>
      <w:lang w:val="en-US" w:eastAsia="zh-CN" w:bidi="ar-SA"/>
    </w:rPr>
  </w:style>
  <w:style w:type="character" w:customStyle="1" w:styleId="272">
    <w:name w:val="方案正文 Char"/>
    <w:qFormat/>
    <w:uiPriority w:val="0"/>
    <w:rPr>
      <w:rFonts w:ascii="仿宋_GB2312" w:eastAsia="仿宋_GB2312"/>
      <w:b/>
      <w:color w:val="000000"/>
      <w:kern w:val="2"/>
      <w:sz w:val="24"/>
      <w:lang w:val="en-US" w:eastAsia="zh-CN" w:bidi="ar-SA"/>
    </w:rPr>
  </w:style>
  <w:style w:type="character" w:customStyle="1" w:styleId="273">
    <w:name w:val="Char Char30"/>
    <w:qFormat/>
    <w:uiPriority w:val="6"/>
    <w:rPr>
      <w:rFonts w:ascii="Arial" w:hAnsi="Arial" w:eastAsia="黑体"/>
      <w:kern w:val="1"/>
      <w:sz w:val="21"/>
      <w:szCs w:val="21"/>
    </w:rPr>
  </w:style>
  <w:style w:type="character" w:customStyle="1" w:styleId="274">
    <w:name w:val="正文文本缩进 字符1"/>
    <w:link w:val="26"/>
    <w:qFormat/>
    <w:uiPriority w:val="99"/>
    <w:rPr>
      <w:rFonts w:ascii="宋体" w:hAnsi="宋体"/>
      <w:kern w:val="2"/>
      <w:sz w:val="24"/>
      <w:szCs w:val="24"/>
    </w:rPr>
  </w:style>
  <w:style w:type="character" w:customStyle="1" w:styleId="275">
    <w:name w:val="font01"/>
    <w:basedOn w:val="75"/>
    <w:qFormat/>
    <w:uiPriority w:val="0"/>
    <w:rPr>
      <w:rFonts w:hint="eastAsia" w:ascii="微软雅黑" w:hAnsi="微软雅黑" w:eastAsia="微软雅黑" w:cs="微软雅黑"/>
      <w:color w:val="000000"/>
      <w:sz w:val="20"/>
      <w:szCs w:val="20"/>
      <w:u w:val="none"/>
    </w:rPr>
  </w:style>
  <w:style w:type="character" w:customStyle="1" w:styleId="276">
    <w:name w:val="Char Char20"/>
    <w:qFormat/>
    <w:uiPriority w:val="6"/>
    <w:rPr>
      <w:kern w:val="1"/>
      <w:sz w:val="24"/>
    </w:rPr>
  </w:style>
  <w:style w:type="character" w:customStyle="1" w:styleId="277">
    <w:name w:val="tw4winExternal"/>
    <w:qFormat/>
    <w:uiPriority w:val="0"/>
    <w:rPr>
      <w:rFonts w:ascii="Courier New" w:hAnsi="Courier New" w:cs="Courier New"/>
      <w:color w:val="808080"/>
      <w:lang w:val="en-US" w:eastAsia="zh-CN"/>
    </w:rPr>
  </w:style>
  <w:style w:type="character" w:customStyle="1" w:styleId="278">
    <w:name w:val="标题 4 Char1"/>
    <w:qFormat/>
    <w:uiPriority w:val="9"/>
    <w:rPr>
      <w:rFonts w:ascii="Cambria" w:hAnsi="Cambria" w:eastAsia="宋体" w:cs="Times New Roman"/>
      <w:b/>
      <w:bCs/>
      <w:kern w:val="2"/>
      <w:sz w:val="28"/>
      <w:szCs w:val="28"/>
    </w:rPr>
  </w:style>
  <w:style w:type="character" w:customStyle="1" w:styleId="279">
    <w:name w:val="批注文字 Char2"/>
    <w:qFormat/>
    <w:uiPriority w:val="99"/>
    <w:rPr>
      <w:rFonts w:ascii="Times New Roman" w:hAnsi="Times New Roman" w:eastAsia="宋体" w:cs="Times New Roman"/>
      <w:snapToGrid w:val="0"/>
      <w:kern w:val="0"/>
      <w:szCs w:val="24"/>
    </w:rPr>
  </w:style>
  <w:style w:type="character" w:customStyle="1" w:styleId="280">
    <w:name w:val="正文文本 2 Char"/>
    <w:qFormat/>
    <w:uiPriority w:val="0"/>
    <w:rPr>
      <w:rFonts w:eastAsia="宋体"/>
      <w:kern w:val="2"/>
      <w:sz w:val="21"/>
      <w:szCs w:val="24"/>
      <w:lang w:val="en-US" w:eastAsia="zh-CN" w:bidi="ar-SA"/>
    </w:rPr>
  </w:style>
  <w:style w:type="character" w:customStyle="1" w:styleId="281">
    <w:name w:val="Ò³Ã¼ Char Char"/>
    <w:qFormat/>
    <w:uiPriority w:val="0"/>
    <w:rPr>
      <w:rFonts w:eastAsia="宋体"/>
      <w:kern w:val="2"/>
      <w:sz w:val="18"/>
      <w:lang w:val="en-US" w:eastAsia="zh-CN" w:bidi="ar-SA"/>
    </w:rPr>
  </w:style>
  <w:style w:type="character" w:customStyle="1" w:styleId="282">
    <w:name w:val="message1"/>
    <w:qFormat/>
    <w:uiPriority w:val="0"/>
    <w:rPr>
      <w:rFonts w:hint="default" w:ascii="Tahoma" w:hAnsi="Tahoma" w:cs="Tahoma"/>
      <w:sz w:val="18"/>
      <w:szCs w:val="18"/>
    </w:rPr>
  </w:style>
  <w:style w:type="character" w:customStyle="1" w:styleId="283">
    <w:name w:val="Char Char23"/>
    <w:qFormat/>
    <w:uiPriority w:val="6"/>
    <w:rPr>
      <w:color w:val="0000FF"/>
      <w:sz w:val="21"/>
    </w:rPr>
  </w:style>
  <w:style w:type="character" w:customStyle="1" w:styleId="284">
    <w:name w:val="批注框文本 字符"/>
    <w:qFormat/>
    <w:uiPriority w:val="99"/>
    <w:rPr>
      <w:rFonts w:ascii="Arial" w:hAnsi="Arial" w:eastAsia="黑体" w:cs="Arial"/>
      <w:snapToGrid w:val="0"/>
      <w:kern w:val="0"/>
      <w:sz w:val="18"/>
      <w:szCs w:val="18"/>
    </w:rPr>
  </w:style>
  <w:style w:type="character" w:customStyle="1" w:styleId="285">
    <w:name w:val="纯文本 Char2"/>
    <w:semiHidden/>
    <w:qFormat/>
    <w:uiPriority w:val="99"/>
    <w:rPr>
      <w:rFonts w:ascii="宋体" w:hAnsi="Courier New" w:eastAsia="宋体" w:cs="Courier New"/>
    </w:rPr>
  </w:style>
  <w:style w:type="character" w:customStyle="1" w:styleId="286">
    <w:name w:val="Char Char25"/>
    <w:qFormat/>
    <w:uiPriority w:val="6"/>
    <w:rPr>
      <w:rFonts w:ascii="宋体" w:hAnsi="宋体"/>
      <w:kern w:val="1"/>
      <w:sz w:val="24"/>
      <w:lang w:val="zh-CN"/>
    </w:rPr>
  </w:style>
  <w:style w:type="character" w:customStyle="1" w:styleId="287">
    <w:name w:val="Char Char411"/>
    <w:qFormat/>
    <w:uiPriority w:val="0"/>
    <w:rPr>
      <w:rFonts w:eastAsia="宋体"/>
      <w:b/>
      <w:sz w:val="24"/>
      <w:lang w:val="en-GB" w:eastAsia="zh-CN" w:bidi="ar-SA"/>
    </w:rPr>
  </w:style>
  <w:style w:type="character" w:customStyle="1" w:styleId="288">
    <w:name w:val="Heading 7 Char"/>
    <w:qFormat/>
    <w:locked/>
    <w:uiPriority w:val="0"/>
    <w:rPr>
      <w:rFonts w:ascii="宋体" w:hAnsi="宋体" w:eastAsia="宋体"/>
      <w:b/>
      <w:bCs/>
      <w:kern w:val="2"/>
      <w:sz w:val="24"/>
      <w:szCs w:val="24"/>
      <w:lang w:val="en-US" w:eastAsia="zh-CN" w:bidi="ar-SA"/>
    </w:rPr>
  </w:style>
  <w:style w:type="character" w:customStyle="1" w:styleId="289">
    <w:name w:val="此正文 Char"/>
    <w:link w:val="290"/>
    <w:qFormat/>
    <w:uiPriority w:val="0"/>
    <w:rPr>
      <w:kern w:val="2"/>
      <w:sz w:val="24"/>
      <w:szCs w:val="24"/>
    </w:rPr>
  </w:style>
  <w:style w:type="paragraph" w:customStyle="1" w:styleId="290">
    <w:name w:val="此正文"/>
    <w:basedOn w:val="1"/>
    <w:link w:val="289"/>
    <w:qFormat/>
    <w:uiPriority w:val="0"/>
    <w:pPr>
      <w:adjustRightInd/>
      <w:spacing w:line="360" w:lineRule="auto"/>
      <w:ind w:firstLine="200" w:firstLineChars="200"/>
    </w:pPr>
    <w:rPr>
      <w:sz w:val="24"/>
    </w:rPr>
  </w:style>
  <w:style w:type="character" w:customStyle="1" w:styleId="291">
    <w:name w:val="Char Char2"/>
    <w:qFormat/>
    <w:uiPriority w:val="0"/>
    <w:rPr>
      <w:rFonts w:eastAsia="宋体"/>
      <w:b/>
      <w:bCs/>
      <w:kern w:val="2"/>
      <w:sz w:val="21"/>
      <w:szCs w:val="24"/>
      <w:lang w:val="en-US" w:eastAsia="zh-CN" w:bidi="ar-SA"/>
    </w:rPr>
  </w:style>
  <w:style w:type="character" w:customStyle="1" w:styleId="292">
    <w:name w:val="标题 1 字符1"/>
    <w:link w:val="3"/>
    <w:qFormat/>
    <w:uiPriority w:val="9"/>
    <w:rPr>
      <w:b/>
      <w:bCs/>
      <w:kern w:val="44"/>
      <w:sz w:val="44"/>
      <w:szCs w:val="44"/>
    </w:rPr>
  </w:style>
  <w:style w:type="character" w:customStyle="1" w:styleId="293">
    <w:name w:val="Footer-Even Char1"/>
    <w:qFormat/>
    <w:uiPriority w:val="0"/>
    <w:rPr>
      <w:rFonts w:eastAsia="宋体"/>
      <w:kern w:val="2"/>
      <w:sz w:val="18"/>
      <w:szCs w:val="18"/>
      <w:lang w:val="en-US" w:eastAsia="zh-CN" w:bidi="ar-SA"/>
    </w:rPr>
  </w:style>
  <w:style w:type="character" w:customStyle="1" w:styleId="294">
    <w:name w:val="Char Char29"/>
    <w:qFormat/>
    <w:uiPriority w:val="6"/>
    <w:rPr>
      <w:rFonts w:ascii="Arial" w:hAnsi="Arial" w:eastAsia="微软雅黑"/>
      <w:b/>
      <w:kern w:val="1"/>
      <w:sz w:val="44"/>
      <w:szCs w:val="32"/>
      <w:lang w:val="en-US" w:eastAsia="zh-CN" w:bidi="ar-SA"/>
    </w:rPr>
  </w:style>
  <w:style w:type="character" w:customStyle="1" w:styleId="295">
    <w:name w:val="标题 字符"/>
    <w:link w:val="61"/>
    <w:qFormat/>
    <w:uiPriority w:val="0"/>
    <w:rPr>
      <w:b/>
      <w:sz w:val="24"/>
      <w:lang w:val="en-GB"/>
    </w:rPr>
  </w:style>
  <w:style w:type="character" w:customStyle="1" w:styleId="296">
    <w:name w:val="font81"/>
    <w:qFormat/>
    <w:uiPriority w:val="0"/>
    <w:rPr>
      <w:rFonts w:ascii="微软雅黑" w:hAnsi="微软雅黑" w:eastAsia="微软雅黑" w:cs="微软雅黑"/>
      <w:color w:val="000000"/>
      <w:sz w:val="20"/>
      <w:szCs w:val="20"/>
      <w:u w:val="none"/>
    </w:rPr>
  </w:style>
  <w:style w:type="character" w:customStyle="1" w:styleId="297">
    <w:name w:val="Char Char312"/>
    <w:qFormat/>
    <w:uiPriority w:val="0"/>
    <w:rPr>
      <w:rFonts w:ascii="Times New Roman" w:hAnsi="Times New Roman" w:eastAsia="宋体" w:cs="Times New Roman"/>
      <w:b/>
      <w:kern w:val="2"/>
      <w:sz w:val="32"/>
      <w:szCs w:val="24"/>
      <w:lang w:val="en-US" w:eastAsia="zh-CN" w:bidi="ar-SA"/>
    </w:rPr>
  </w:style>
  <w:style w:type="character" w:customStyle="1" w:styleId="298">
    <w:name w:val="t21"/>
    <w:qFormat/>
    <w:uiPriority w:val="0"/>
    <w:rPr>
      <w:rFonts w:ascii="仿宋_GB2312" w:eastAsia="微软雅黑"/>
      <w:b/>
      <w:kern w:val="2"/>
      <w:sz w:val="23"/>
      <w:szCs w:val="23"/>
      <w:lang w:val="en-US" w:eastAsia="zh-CN" w:bidi="ar-SA"/>
    </w:rPr>
  </w:style>
  <w:style w:type="character" w:customStyle="1" w:styleId="299">
    <w:name w:val="样式8 Char"/>
    <w:qFormat/>
    <w:uiPriority w:val="0"/>
    <w:rPr>
      <w:rFonts w:ascii="仿宋_GB2312" w:hAnsi="宋体" w:eastAsia="仿宋_GB2312"/>
      <w:b/>
      <w:bCs/>
      <w:kern w:val="2"/>
      <w:sz w:val="24"/>
      <w:szCs w:val="24"/>
    </w:rPr>
  </w:style>
  <w:style w:type="character" w:customStyle="1" w:styleId="300">
    <w:name w:val="表格 Char Char"/>
    <w:qFormat/>
    <w:uiPriority w:val="0"/>
    <w:rPr>
      <w:rFonts w:ascii="宋体" w:hAnsi="宋体" w:eastAsia="宋体"/>
      <w:lang w:bidi="ar-SA"/>
    </w:rPr>
  </w:style>
  <w:style w:type="character" w:customStyle="1" w:styleId="301">
    <w:name w:val="正文文本 字符1"/>
    <w:qFormat/>
    <w:uiPriority w:val="99"/>
    <w:rPr>
      <w:rFonts w:ascii="Calibri" w:hAnsi="Calibri" w:eastAsia="黑体" w:cs="Arial"/>
      <w:snapToGrid w:val="0"/>
      <w:kern w:val="2"/>
      <w:sz w:val="28"/>
      <w:szCs w:val="21"/>
    </w:rPr>
  </w:style>
  <w:style w:type="character" w:customStyle="1" w:styleId="302">
    <w:name w:val="标题 5 字符"/>
    <w:link w:val="7"/>
    <w:qFormat/>
    <w:uiPriority w:val="9"/>
    <w:rPr>
      <w:b/>
      <w:bCs/>
      <w:kern w:val="2"/>
      <w:sz w:val="28"/>
      <w:szCs w:val="28"/>
    </w:rPr>
  </w:style>
  <w:style w:type="character" w:customStyle="1" w:styleId="303">
    <w:name w:val="标题 6 Char1"/>
    <w:qFormat/>
    <w:uiPriority w:val="0"/>
    <w:rPr>
      <w:rFonts w:ascii="Arial" w:hAnsi="Arial" w:eastAsia="黑体" w:cs="Times New Roman"/>
      <w:b/>
      <w:sz w:val="24"/>
      <w:szCs w:val="20"/>
      <w:lang w:bidi="ar-SA"/>
    </w:rPr>
  </w:style>
  <w:style w:type="character" w:customStyle="1" w:styleId="304">
    <w:name w:val="带编号样式 Char"/>
    <w:qFormat/>
    <w:uiPriority w:val="0"/>
    <w:rPr>
      <w:rFonts w:ascii="仿宋_GB2312" w:eastAsia="仿宋_GB2312"/>
      <w:color w:val="000000"/>
      <w:sz w:val="24"/>
      <w:lang w:bidi="ar-SA"/>
    </w:rPr>
  </w:style>
  <w:style w:type="character" w:customStyle="1" w:styleId="305">
    <w:name w:val="unnamed31"/>
    <w:qFormat/>
    <w:uiPriority w:val="0"/>
    <w:rPr>
      <w:rFonts w:ascii="Tahoma" w:hAnsi="Tahoma" w:eastAsia="宋体"/>
      <w:b/>
      <w:kern w:val="2"/>
      <w:sz w:val="24"/>
      <w:szCs w:val="32"/>
      <w:u w:val="none"/>
      <w:lang w:val="en-US" w:eastAsia="zh-CN" w:bidi="ar-SA"/>
    </w:rPr>
  </w:style>
  <w:style w:type="character" w:customStyle="1" w:styleId="306">
    <w:name w:val="正文首行缩进 Char Char Char Char Char Char1"/>
    <w:qFormat/>
    <w:uiPriority w:val="0"/>
    <w:rPr>
      <w:rFonts w:ascii="宋体" w:eastAsia="宋体"/>
      <w:kern w:val="2"/>
      <w:sz w:val="24"/>
      <w:szCs w:val="24"/>
      <w:lang w:val="zh-CN" w:bidi="ar-SA"/>
    </w:rPr>
  </w:style>
  <w:style w:type="character" w:customStyle="1" w:styleId="307">
    <w:name w:val="称呼 字符"/>
    <w:link w:val="21"/>
    <w:qFormat/>
    <w:uiPriority w:val="0"/>
    <w:rPr>
      <w:rFonts w:ascii="仿宋_GB2312" w:eastAsia="仿宋_GB2312"/>
      <w:kern w:val="2"/>
      <w:sz w:val="28"/>
    </w:rPr>
  </w:style>
  <w:style w:type="character" w:customStyle="1" w:styleId="308">
    <w:name w:val="文本正文 Char Char"/>
    <w:qFormat/>
    <w:locked/>
    <w:uiPriority w:val="0"/>
    <w:rPr>
      <w:sz w:val="24"/>
      <w:lang w:bidi="ar-SA"/>
    </w:rPr>
  </w:style>
  <w:style w:type="character" w:customStyle="1" w:styleId="309">
    <w:name w:val="正文缩进 字符"/>
    <w:qFormat/>
    <w:uiPriority w:val="0"/>
    <w:rPr>
      <w:rFonts w:ascii="宋体" w:eastAsia="宋体"/>
      <w:snapToGrid w:val="0"/>
      <w:color w:val="000000"/>
      <w:kern w:val="28"/>
      <w:sz w:val="28"/>
      <w:lang w:val="en-US" w:eastAsia="zh-CN" w:bidi="ar-SA"/>
    </w:rPr>
  </w:style>
  <w:style w:type="character" w:customStyle="1" w:styleId="310">
    <w:name w:val="HTML 预设格式 字符"/>
    <w:link w:val="59"/>
    <w:qFormat/>
    <w:uiPriority w:val="0"/>
    <w:rPr>
      <w:rFonts w:ascii="黑体" w:hAnsi="Courier New" w:eastAsia="黑体"/>
    </w:rPr>
  </w:style>
  <w:style w:type="character" w:customStyle="1" w:styleId="311">
    <w:name w:val="正文文本 2 字符1"/>
    <w:link w:val="58"/>
    <w:qFormat/>
    <w:uiPriority w:val="0"/>
    <w:rPr>
      <w:kern w:val="2"/>
      <w:sz w:val="21"/>
      <w:szCs w:val="24"/>
    </w:rPr>
  </w:style>
  <w:style w:type="character" w:customStyle="1" w:styleId="312">
    <w:name w:val="样式 样式 标题 4h4H4Fab-4T5Ref Heading 1rh1Heading sqlsect 1.2.3.... +... Char"/>
    <w:link w:val="313"/>
    <w:qFormat/>
    <w:uiPriority w:val="0"/>
    <w:rPr>
      <w:rFonts w:ascii="微软雅黑" w:hAnsi="微软雅黑" w:eastAsia="微软雅黑"/>
      <w:b/>
      <w:bCs/>
      <w:kern w:val="2"/>
      <w:sz w:val="24"/>
      <w:szCs w:val="28"/>
    </w:rPr>
  </w:style>
  <w:style w:type="paragraph" w:customStyle="1" w:styleId="313">
    <w:name w:val="样式 样式 标题 4h4H4Fab-4T5Ref Heading 1rh1Heading sqlsect 1.2.3.... +..."/>
    <w:basedOn w:val="314"/>
    <w:link w:val="312"/>
    <w:qFormat/>
    <w:uiPriority w:val="0"/>
    <w:pPr>
      <w:tabs>
        <w:tab w:val="left" w:pos="2356"/>
      </w:tabs>
    </w:pPr>
  </w:style>
  <w:style w:type="paragraph" w:customStyle="1" w:styleId="314">
    <w:name w:val="样式 标题 4h4H4Fab-4T5Ref Heading 1rh1Heading sqlsect 1.2.3...."/>
    <w:basedOn w:val="6"/>
    <w:link w:val="4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5">
    <w:name w:val="正文非缩进 Char"/>
    <w:qFormat/>
    <w:uiPriority w:val="0"/>
    <w:rPr>
      <w:rFonts w:ascii="宋体" w:eastAsia="宋体"/>
      <w:snapToGrid w:val="0"/>
      <w:color w:val="000000"/>
      <w:kern w:val="28"/>
      <w:sz w:val="28"/>
      <w:lang w:val="en-US" w:eastAsia="zh-CN" w:bidi="ar-SA"/>
    </w:rPr>
  </w:style>
  <w:style w:type="character" w:customStyle="1" w:styleId="316">
    <w:name w:val="标题 7 字符"/>
    <w:link w:val="9"/>
    <w:qFormat/>
    <w:uiPriority w:val="9"/>
    <w:rPr>
      <w:b/>
      <w:bCs/>
      <w:kern w:val="2"/>
      <w:sz w:val="24"/>
      <w:szCs w:val="24"/>
    </w:rPr>
  </w:style>
  <w:style w:type="character" w:customStyle="1" w:styleId="317">
    <w:name w:val="正文文本缩进 2 字符"/>
    <w:link w:val="39"/>
    <w:qFormat/>
    <w:uiPriority w:val="0"/>
    <w:rPr>
      <w:rFonts w:ascii="宋体"/>
      <w:sz w:val="28"/>
    </w:rPr>
  </w:style>
  <w:style w:type="character" w:customStyle="1" w:styleId="318">
    <w:name w:val="Char Char5"/>
    <w:qFormat/>
    <w:uiPriority w:val="0"/>
    <w:rPr>
      <w:rFonts w:ascii="宋体" w:hAnsi="Courier New" w:eastAsia="宋体"/>
      <w:kern w:val="2"/>
      <w:sz w:val="21"/>
      <w:lang w:val="en-US" w:eastAsia="zh-CN"/>
    </w:rPr>
  </w:style>
  <w:style w:type="character" w:customStyle="1" w:styleId="319">
    <w:name w:val="脚注文本 字符"/>
    <w:link w:val="52"/>
    <w:qFormat/>
    <w:uiPriority w:val="0"/>
    <w:rPr>
      <w:color w:val="0000FF"/>
      <w:sz w:val="21"/>
    </w:rPr>
  </w:style>
  <w:style w:type="character" w:customStyle="1" w:styleId="320">
    <w:name w:val="称呼 Char1"/>
    <w:qFormat/>
    <w:uiPriority w:val="0"/>
    <w:rPr>
      <w:rFonts w:ascii="Times New Roman" w:hAnsi="Times New Roman" w:eastAsia="宋体" w:cs="Times New Roman"/>
      <w:szCs w:val="24"/>
    </w:rPr>
  </w:style>
  <w:style w:type="character" w:customStyle="1" w:styleId="321">
    <w:name w:val="正文1 Char"/>
    <w:qFormat/>
    <w:uiPriority w:val="0"/>
    <w:rPr>
      <w:rFonts w:ascii="宋体" w:eastAsia="宋体"/>
      <w:snapToGrid w:val="0"/>
      <w:color w:val="000000"/>
      <w:kern w:val="28"/>
      <w:sz w:val="28"/>
      <w:lang w:val="en-US" w:eastAsia="zh-CN" w:bidi="ar-SA"/>
    </w:rPr>
  </w:style>
  <w:style w:type="character" w:customStyle="1" w:styleId="322">
    <w:name w:val="正文缩进 Char1"/>
    <w:qFormat/>
    <w:uiPriority w:val="0"/>
    <w:rPr>
      <w:rFonts w:ascii="宋体" w:eastAsia="宋体"/>
      <w:snapToGrid w:val="0"/>
      <w:color w:val="000000"/>
      <w:kern w:val="28"/>
      <w:sz w:val="28"/>
      <w:lang w:val="en-US" w:eastAsia="zh-CN" w:bidi="ar-SA"/>
    </w:rPr>
  </w:style>
  <w:style w:type="character" w:customStyle="1" w:styleId="323">
    <w:name w:val="font21"/>
    <w:qFormat/>
    <w:uiPriority w:val="0"/>
    <w:rPr>
      <w:rFonts w:hint="eastAsia" w:ascii="宋体" w:hAnsi="宋体" w:eastAsia="宋体"/>
      <w:kern w:val="2"/>
      <w:sz w:val="28"/>
      <w:szCs w:val="28"/>
      <w:lang w:val="en-US" w:eastAsia="zh-CN" w:bidi="ar-SA"/>
    </w:rPr>
  </w:style>
  <w:style w:type="character" w:customStyle="1" w:styleId="324">
    <w:name w:val="Char Char26"/>
    <w:qFormat/>
    <w:uiPriority w:val="6"/>
    <w:rPr>
      <w:kern w:val="1"/>
      <w:sz w:val="21"/>
      <w:szCs w:val="24"/>
    </w:rPr>
  </w:style>
  <w:style w:type="character" w:customStyle="1" w:styleId="325">
    <w:name w:val="Item List Char"/>
    <w:link w:val="326"/>
    <w:qFormat/>
    <w:uiPriority w:val="0"/>
    <w:rPr>
      <w:rFonts w:ascii="Arial"/>
      <w:bCs/>
      <w:sz w:val="21"/>
      <w:szCs w:val="21"/>
      <w:lang w:val="en-US" w:eastAsia="zh-CN" w:bidi="ar-SA"/>
    </w:rPr>
  </w:style>
  <w:style w:type="paragraph" w:customStyle="1" w:styleId="326">
    <w:name w:val="Item List"/>
    <w:link w:val="32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7">
    <w:name w:val="批注框文本 Char1"/>
    <w:qFormat/>
    <w:uiPriority w:val="0"/>
    <w:rPr>
      <w:rFonts w:ascii="Times New Roman" w:hAnsi="Times New Roman" w:eastAsia="宋体" w:cs="Times New Roman"/>
      <w:sz w:val="18"/>
      <w:szCs w:val="18"/>
    </w:rPr>
  </w:style>
  <w:style w:type="character" w:customStyle="1" w:styleId="328">
    <w:name w:val="纯文本 Char1"/>
    <w:link w:val="329"/>
    <w:qFormat/>
    <w:uiPriority w:val="0"/>
    <w:rPr>
      <w:rFonts w:ascii="宋体" w:hAnsi="Courier New"/>
    </w:rPr>
  </w:style>
  <w:style w:type="paragraph" w:customStyle="1" w:styleId="329">
    <w:name w:val="纯文本1"/>
    <w:basedOn w:val="1"/>
    <w:link w:val="328"/>
    <w:qFormat/>
    <w:uiPriority w:val="0"/>
    <w:pPr>
      <w:adjustRightInd/>
    </w:pPr>
    <w:rPr>
      <w:rFonts w:ascii="宋体" w:hAnsi="Courier New"/>
      <w:kern w:val="0"/>
      <w:sz w:val="20"/>
      <w:szCs w:val="20"/>
    </w:rPr>
  </w:style>
  <w:style w:type="character" w:customStyle="1" w:styleId="330">
    <w:name w:val="正文文本首行缩进 字符"/>
    <w:link w:val="25"/>
    <w:qFormat/>
    <w:uiPriority w:val="0"/>
    <w:rPr>
      <w:rFonts w:ascii="宋体"/>
      <w:kern w:val="2"/>
      <w:sz w:val="24"/>
      <w:lang w:val="zh-CN"/>
    </w:rPr>
  </w:style>
  <w:style w:type="character" w:customStyle="1" w:styleId="331">
    <w:name w:val="h3 Char"/>
    <w:qFormat/>
    <w:uiPriority w:val="0"/>
    <w:rPr>
      <w:rFonts w:eastAsia="宋体"/>
      <w:b/>
      <w:kern w:val="2"/>
      <w:sz w:val="32"/>
      <w:lang w:val="en-US" w:eastAsia="zh-CN" w:bidi="ar-SA"/>
    </w:rPr>
  </w:style>
  <w:style w:type="character" w:customStyle="1" w:styleId="332">
    <w:name w:val="dandyren_title1"/>
    <w:qFormat/>
    <w:uiPriority w:val="0"/>
    <w:rPr>
      <w:b/>
      <w:bCs/>
      <w:color w:val="FF6633"/>
      <w:sz w:val="18"/>
      <w:szCs w:val="18"/>
    </w:rPr>
  </w:style>
  <w:style w:type="character" w:customStyle="1" w:styleId="333">
    <w:name w:val="Char Char31"/>
    <w:qFormat/>
    <w:uiPriority w:val="6"/>
    <w:rPr>
      <w:rFonts w:ascii="Arial" w:hAnsi="Arial" w:eastAsia="黑体"/>
      <w:kern w:val="1"/>
      <w:sz w:val="24"/>
      <w:szCs w:val="24"/>
    </w:rPr>
  </w:style>
  <w:style w:type="character" w:customStyle="1" w:styleId="334">
    <w:name w:val="h Char1"/>
    <w:qFormat/>
    <w:uiPriority w:val="0"/>
    <w:rPr>
      <w:sz w:val="18"/>
      <w:szCs w:val="18"/>
    </w:rPr>
  </w:style>
  <w:style w:type="character" w:customStyle="1" w:styleId="335">
    <w:name w:val="solutionfonts"/>
    <w:qFormat/>
    <w:uiPriority w:val="0"/>
  </w:style>
  <w:style w:type="character" w:customStyle="1" w:styleId="336">
    <w:name w:val="标题 4 字符1"/>
    <w:link w:val="6"/>
    <w:qFormat/>
    <w:uiPriority w:val="9"/>
    <w:rPr>
      <w:rFonts w:ascii="Arial" w:hAnsi="Arial" w:eastAsia="黑体"/>
      <w:b/>
      <w:bCs/>
      <w:kern w:val="2"/>
      <w:sz w:val="28"/>
      <w:szCs w:val="28"/>
      <w:lang w:val="zh-CN"/>
    </w:rPr>
  </w:style>
  <w:style w:type="character" w:customStyle="1" w:styleId="337">
    <w:name w:val="首行缩进 Char"/>
    <w:qFormat/>
    <w:uiPriority w:val="0"/>
    <w:rPr>
      <w:rFonts w:ascii="宋体" w:eastAsia="宋体"/>
      <w:kern w:val="2"/>
      <w:sz w:val="24"/>
      <w:lang w:val="en-US" w:eastAsia="zh-CN" w:bidi="ar-SA"/>
    </w:rPr>
  </w:style>
  <w:style w:type="character" w:customStyle="1" w:styleId="338">
    <w:name w:val="Char Char52"/>
    <w:qFormat/>
    <w:uiPriority w:val="0"/>
    <w:rPr>
      <w:rFonts w:ascii="宋体" w:hAnsi="Courier New" w:eastAsia="宋体"/>
      <w:kern w:val="2"/>
      <w:sz w:val="21"/>
      <w:lang w:val="en-US" w:eastAsia="zh-CN"/>
    </w:rPr>
  </w:style>
  <w:style w:type="character" w:customStyle="1" w:styleId="339">
    <w:name w:val="正文文本 3 字符"/>
    <w:link w:val="22"/>
    <w:qFormat/>
    <w:uiPriority w:val="0"/>
    <w:rPr>
      <w:kern w:val="2"/>
      <w:sz w:val="21"/>
    </w:rPr>
  </w:style>
  <w:style w:type="character" w:customStyle="1" w:styleId="340">
    <w:name w:val="font31"/>
    <w:qFormat/>
    <w:uiPriority w:val="0"/>
    <w:rPr>
      <w:rFonts w:hint="eastAsia" w:ascii="仿宋" w:hAnsi="仿宋" w:eastAsia="仿宋" w:cs="仿宋"/>
      <w:color w:val="000000"/>
      <w:sz w:val="20"/>
      <w:szCs w:val="20"/>
      <w:u w:val="none"/>
    </w:rPr>
  </w:style>
  <w:style w:type="character" w:customStyle="1" w:styleId="341">
    <w:name w:val="正文说明 Char"/>
    <w:link w:val="342"/>
    <w:qFormat/>
    <w:uiPriority w:val="0"/>
    <w:rPr>
      <w:sz w:val="24"/>
      <w:szCs w:val="24"/>
    </w:rPr>
  </w:style>
  <w:style w:type="paragraph" w:customStyle="1" w:styleId="342">
    <w:name w:val="正文说明"/>
    <w:basedOn w:val="1"/>
    <w:link w:val="341"/>
    <w:qFormat/>
    <w:uiPriority w:val="0"/>
    <w:pPr>
      <w:adjustRightInd/>
      <w:spacing w:line="360" w:lineRule="auto"/>
    </w:pPr>
    <w:rPr>
      <w:kern w:val="0"/>
      <w:sz w:val="24"/>
    </w:rPr>
  </w:style>
  <w:style w:type="character" w:customStyle="1" w:styleId="343">
    <w:name w:val="脚注文本 Char1"/>
    <w:qFormat/>
    <w:uiPriority w:val="0"/>
    <w:rPr>
      <w:rFonts w:ascii="Times New Roman" w:hAnsi="Times New Roman" w:eastAsia="宋体" w:cs="Times New Roman"/>
      <w:sz w:val="18"/>
      <w:szCs w:val="18"/>
    </w:rPr>
  </w:style>
  <w:style w:type="character" w:customStyle="1" w:styleId="344">
    <w:name w:val="Char Char1211"/>
    <w:qFormat/>
    <w:uiPriority w:val="0"/>
    <w:rPr>
      <w:rFonts w:ascii="仿宋_GB2312" w:eastAsia="仿宋_GB2312"/>
      <w:b/>
      <w:bCs/>
      <w:kern w:val="2"/>
      <w:sz w:val="24"/>
      <w:szCs w:val="24"/>
      <w:lang w:val="zh-CN" w:eastAsia="zh-CN" w:bidi="ar-SA"/>
    </w:rPr>
  </w:style>
  <w:style w:type="character" w:customStyle="1" w:styleId="345">
    <w:name w:val="标题 Char"/>
    <w:qFormat/>
    <w:uiPriority w:val="0"/>
    <w:rPr>
      <w:rFonts w:eastAsia="宋体"/>
      <w:b/>
      <w:sz w:val="24"/>
      <w:lang w:val="en-GB" w:eastAsia="zh-CN" w:bidi="ar-SA"/>
    </w:rPr>
  </w:style>
  <w:style w:type="character" w:customStyle="1" w:styleId="346">
    <w:name w:val="Char Char35"/>
    <w:qFormat/>
    <w:uiPriority w:val="6"/>
    <w:rPr>
      <w:rFonts w:ascii="Arial" w:hAnsi="Arial" w:eastAsia="黑体"/>
      <w:b/>
      <w:kern w:val="1"/>
      <w:sz w:val="28"/>
      <w:szCs w:val="28"/>
      <w:lang w:val="zh-CN"/>
    </w:rPr>
  </w:style>
  <w:style w:type="character" w:customStyle="1" w:styleId="347">
    <w:name w:val="纯文本 Char Char Char"/>
    <w:qFormat/>
    <w:uiPriority w:val="0"/>
    <w:rPr>
      <w:rFonts w:ascii="宋体" w:hAnsi="Courier New" w:eastAsia="宋体"/>
      <w:kern w:val="2"/>
      <w:sz w:val="21"/>
      <w:lang w:val="en-US" w:eastAsia="zh-CN" w:bidi="ar-SA"/>
    </w:rPr>
  </w:style>
  <w:style w:type="character" w:customStyle="1" w:styleId="348">
    <w:name w:val="Table Text Char"/>
    <w:link w:val="349"/>
    <w:qFormat/>
    <w:uiPriority w:val="0"/>
    <w:rPr>
      <w:sz w:val="24"/>
      <w:szCs w:val="24"/>
    </w:rPr>
  </w:style>
  <w:style w:type="paragraph" w:customStyle="1" w:styleId="349">
    <w:name w:val="Table Text"/>
    <w:basedOn w:val="1"/>
    <w:link w:val="348"/>
    <w:qFormat/>
    <w:uiPriority w:val="0"/>
    <w:pPr>
      <w:widowControl/>
      <w:spacing w:before="60" w:after="60"/>
      <w:jc w:val="left"/>
    </w:pPr>
    <w:rPr>
      <w:kern w:val="0"/>
      <w:sz w:val="24"/>
    </w:rPr>
  </w:style>
  <w:style w:type="character" w:customStyle="1" w:styleId="350">
    <w:name w:val="正文1 Char1"/>
    <w:qFormat/>
    <w:uiPriority w:val="0"/>
    <w:rPr>
      <w:rFonts w:ascii="仿宋_GB2312" w:hAnsi="Courier New" w:eastAsia="仿宋_GB2312"/>
      <w:kern w:val="28"/>
      <w:sz w:val="24"/>
      <w:szCs w:val="24"/>
      <w:lang w:val="en-US" w:eastAsia="zh-CN"/>
    </w:rPr>
  </w:style>
  <w:style w:type="character" w:customStyle="1" w:styleId="351">
    <w:name w:val="页脚 Char1"/>
    <w:qFormat/>
    <w:uiPriority w:val="0"/>
    <w:rPr>
      <w:rFonts w:eastAsia="宋体"/>
      <w:kern w:val="2"/>
      <w:sz w:val="18"/>
      <w:szCs w:val="18"/>
      <w:lang w:val="en-US" w:eastAsia="zh-CN" w:bidi="ar-SA"/>
    </w:rPr>
  </w:style>
  <w:style w:type="character" w:customStyle="1" w:styleId="352">
    <w:name w:val="Bold"/>
    <w:qFormat/>
    <w:uiPriority w:val="0"/>
    <w:rPr>
      <w:rFonts w:ascii="Arial" w:hAnsi="Arial" w:eastAsia="黑体" w:cs="Times New Roman"/>
      <w:b/>
      <w:kern w:val="2"/>
      <w:sz w:val="32"/>
      <w:szCs w:val="32"/>
      <w:lang w:val="en-US" w:eastAsia="zh-CN" w:bidi="ar-SA"/>
    </w:rPr>
  </w:style>
  <w:style w:type="character" w:customStyle="1" w:styleId="353">
    <w:name w:val="批注文字 字符1"/>
    <w:link w:val="20"/>
    <w:qFormat/>
    <w:uiPriority w:val="99"/>
    <w:rPr>
      <w:kern w:val="2"/>
      <w:sz w:val="21"/>
      <w:szCs w:val="24"/>
    </w:rPr>
  </w:style>
  <w:style w:type="character" w:customStyle="1" w:styleId="354">
    <w:name w:val="签名 字符"/>
    <w:link w:val="44"/>
    <w:qFormat/>
    <w:uiPriority w:val="0"/>
    <w:rPr>
      <w:rFonts w:eastAsia="仿宋_GB2312"/>
      <w:sz w:val="24"/>
    </w:rPr>
  </w:style>
  <w:style w:type="character" w:customStyle="1" w:styleId="355">
    <w:name w:val="hui3"/>
    <w:qFormat/>
    <w:uiPriority w:val="0"/>
    <w:rPr>
      <w:color w:val="333333"/>
    </w:rPr>
  </w:style>
  <w:style w:type="character" w:customStyle="1" w:styleId="356">
    <w:name w:val="Char Char17"/>
    <w:qFormat/>
    <w:uiPriority w:val="6"/>
    <w:rPr>
      <w:rFonts w:eastAsia="仿宋_GB2312"/>
      <w:sz w:val="24"/>
    </w:rPr>
  </w:style>
  <w:style w:type="character" w:customStyle="1" w:styleId="357">
    <w:name w:val="标题 4 字符"/>
    <w:qFormat/>
    <w:uiPriority w:val="0"/>
    <w:rPr>
      <w:rFonts w:ascii="等线 Light" w:hAnsi="等线 Light" w:eastAsia="等线 Light" w:cs="Times New Roman"/>
      <w:b/>
      <w:bCs/>
      <w:snapToGrid w:val="0"/>
      <w:kern w:val="0"/>
      <w:sz w:val="28"/>
      <w:szCs w:val="28"/>
    </w:rPr>
  </w:style>
  <w:style w:type="character" w:customStyle="1" w:styleId="358">
    <w:name w:val="Char Char37"/>
    <w:qFormat/>
    <w:uiPriority w:val="6"/>
    <w:rPr>
      <w:b/>
      <w:kern w:val="1"/>
      <w:sz w:val="44"/>
      <w:szCs w:val="44"/>
    </w:rPr>
  </w:style>
  <w:style w:type="character" w:customStyle="1" w:styleId="359">
    <w:name w:val="列出段落 Char"/>
    <w:qFormat/>
    <w:uiPriority w:val="0"/>
    <w:rPr>
      <w:rFonts w:eastAsia="楷体_GB2312" w:cs="Lucida Sans"/>
      <w:kern w:val="2"/>
      <w:sz w:val="24"/>
      <w:szCs w:val="24"/>
      <w:lang w:val="en-US" w:eastAsia="zh-CN" w:bidi="ar-SA"/>
    </w:rPr>
  </w:style>
  <w:style w:type="character" w:customStyle="1" w:styleId="360">
    <w:name w:val="正文文本缩进 3 Char1"/>
    <w:semiHidden/>
    <w:qFormat/>
    <w:uiPriority w:val="99"/>
    <w:rPr>
      <w:rFonts w:ascii="Times New Roman" w:hAnsi="Times New Roman" w:eastAsia="宋体" w:cs="Times New Roman"/>
      <w:sz w:val="16"/>
      <w:szCs w:val="16"/>
    </w:rPr>
  </w:style>
  <w:style w:type="character" w:customStyle="1" w:styleId="361">
    <w:name w:val="公文正文 Char Char"/>
    <w:link w:val="362"/>
    <w:qFormat/>
    <w:uiPriority w:val="0"/>
    <w:rPr>
      <w:rFonts w:ascii="仿宋_GB2312" w:eastAsia="仿宋_GB2312"/>
      <w:kern w:val="2"/>
      <w:sz w:val="24"/>
      <w:szCs w:val="24"/>
    </w:rPr>
  </w:style>
  <w:style w:type="paragraph" w:customStyle="1" w:styleId="362">
    <w:name w:val="公文正文"/>
    <w:basedOn w:val="1"/>
    <w:link w:val="361"/>
    <w:qFormat/>
    <w:uiPriority w:val="0"/>
    <w:pPr>
      <w:adjustRightInd/>
      <w:spacing w:before="156" w:line="360" w:lineRule="auto"/>
      <w:ind w:firstLine="360" w:firstLineChars="200"/>
    </w:pPr>
    <w:rPr>
      <w:rFonts w:ascii="仿宋_GB2312" w:eastAsia="仿宋_GB2312"/>
      <w:sz w:val="24"/>
    </w:rPr>
  </w:style>
  <w:style w:type="character" w:customStyle="1" w:styleId="363">
    <w:name w:val="Table Text Char1"/>
    <w:qFormat/>
    <w:uiPriority w:val="0"/>
    <w:rPr>
      <w:rFonts w:eastAsia="宋体"/>
      <w:sz w:val="24"/>
      <w:szCs w:val="24"/>
      <w:lang w:val="en-US" w:eastAsia="zh-CN" w:bidi="ar-SA"/>
    </w:rPr>
  </w:style>
  <w:style w:type="character" w:customStyle="1" w:styleId="364">
    <w:name w:val="标题 1 Char Char"/>
    <w:qFormat/>
    <w:uiPriority w:val="0"/>
    <w:rPr>
      <w:rFonts w:hint="eastAsia" w:ascii="宋体" w:hAnsi="宋体" w:eastAsia="宋体"/>
      <w:b/>
      <w:spacing w:val="-2"/>
      <w:sz w:val="24"/>
      <w:lang w:val="en-US" w:eastAsia="zh-CN" w:bidi="ar-SA"/>
    </w:rPr>
  </w:style>
  <w:style w:type="character" w:customStyle="1" w:styleId="365">
    <w:name w:val="正文（缩进2汉字） Char"/>
    <w:link w:val="366"/>
    <w:qFormat/>
    <w:uiPriority w:val="0"/>
    <w:rPr>
      <w:rFonts w:ascii="宋体"/>
    </w:rPr>
  </w:style>
  <w:style w:type="paragraph" w:customStyle="1" w:styleId="366">
    <w:name w:val="正文（缩进2汉字）"/>
    <w:basedOn w:val="1"/>
    <w:link w:val="3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7">
    <w:name w:val="标题 8 字符"/>
    <w:link w:val="10"/>
    <w:qFormat/>
    <w:uiPriority w:val="9"/>
    <w:rPr>
      <w:rFonts w:ascii="Arial" w:hAnsi="Arial" w:eastAsia="黑体"/>
      <w:kern w:val="2"/>
      <w:sz w:val="24"/>
      <w:szCs w:val="24"/>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99"/>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正文文本缩进 3 字符"/>
    <w:link w:val="55"/>
    <w:qFormat/>
    <w:uiPriority w:val="0"/>
    <w:rPr>
      <w:kern w:val="2"/>
      <w:sz w:val="24"/>
    </w:rPr>
  </w:style>
  <w:style w:type="character" w:customStyle="1" w:styleId="385">
    <w:name w:val="日期 Char1"/>
    <w:semiHidden/>
    <w:qFormat/>
    <w:uiPriority w:val="99"/>
    <w:rPr>
      <w:rFonts w:ascii="Times New Roman" w:hAnsi="Times New Roman" w:eastAsia="宋体" w:cs="Times New Roman"/>
      <w:szCs w:val="24"/>
    </w:rPr>
  </w:style>
  <w:style w:type="character" w:customStyle="1" w:styleId="386">
    <w:name w:val="页眉 字符"/>
    <w:qFormat/>
    <w:uiPriority w:val="99"/>
    <w:rPr>
      <w:kern w:val="2"/>
      <w:sz w:val="18"/>
      <w:szCs w:val="18"/>
    </w:rPr>
  </w:style>
  <w:style w:type="character" w:customStyle="1" w:styleId="387">
    <w:name w:val="Char Char33"/>
    <w:qFormat/>
    <w:uiPriority w:val="6"/>
    <w:rPr>
      <w:rFonts w:ascii="Arial" w:hAnsi="Arial" w:eastAsia="黑体"/>
      <w:b/>
      <w:kern w:val="1"/>
      <w:sz w:val="24"/>
      <w:szCs w:val="24"/>
    </w:rPr>
  </w:style>
  <w:style w:type="character" w:customStyle="1" w:styleId="388">
    <w:name w:val="b11_01b Char"/>
    <w:link w:val="389"/>
    <w:qFormat/>
    <w:uiPriority w:val="0"/>
    <w:rPr>
      <w:rFonts w:ascii="Verdana" w:hAnsi="Verdana"/>
      <w:b/>
      <w:bCs/>
      <w:color w:val="4A82CA"/>
      <w:sz w:val="17"/>
      <w:szCs w:val="17"/>
    </w:rPr>
  </w:style>
  <w:style w:type="paragraph" w:customStyle="1" w:styleId="389">
    <w:name w:val="b11_01b"/>
    <w:basedOn w:val="1"/>
    <w:next w:val="1"/>
    <w:link w:val="3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0">
    <w:name w:val="Char Char121"/>
    <w:qFormat/>
    <w:uiPriority w:val="6"/>
    <w:rPr>
      <w:rFonts w:ascii="仿宋_GB2312" w:eastAsia="仿宋_GB2312"/>
      <w:b/>
      <w:bCs/>
      <w:kern w:val="2"/>
      <w:sz w:val="24"/>
      <w:szCs w:val="24"/>
      <w:lang w:val="zh-CN" w:eastAsia="zh-CN" w:bidi="ar-SA"/>
    </w:rPr>
  </w:style>
  <w:style w:type="character" w:customStyle="1" w:styleId="391">
    <w:name w:val="Footer-Even Char"/>
    <w:qFormat/>
    <w:uiPriority w:val="0"/>
    <w:rPr>
      <w:rFonts w:eastAsia="宋体"/>
      <w:kern w:val="2"/>
      <w:sz w:val="18"/>
      <w:lang w:val="en-US" w:eastAsia="zh-CN" w:bidi="ar-SA"/>
    </w:rPr>
  </w:style>
  <w:style w:type="character" w:customStyle="1" w:styleId="392">
    <w:name w:val="页脚 字符2"/>
    <w:link w:val="42"/>
    <w:qFormat/>
    <w:locked/>
    <w:uiPriority w:val="99"/>
    <w:rPr>
      <w:kern w:val="2"/>
      <w:sz w:val="18"/>
      <w:szCs w:val="18"/>
    </w:rPr>
  </w:style>
  <w:style w:type="character" w:customStyle="1" w:styleId="393">
    <w:name w:val="Char Char36"/>
    <w:qFormat/>
    <w:uiPriority w:val="6"/>
    <w:rPr>
      <w:rFonts w:ascii="仿宋_GB2312" w:hAnsi="仿宋_GB2312" w:eastAsia="仿宋_GB2312" w:cs="Arial"/>
      <w:b/>
      <w:kern w:val="1"/>
      <w:sz w:val="32"/>
      <w:szCs w:val="32"/>
      <w:lang w:val="zh-CN" w:eastAsia="zh-CN" w:bidi="ar-SA"/>
    </w:rPr>
  </w:style>
  <w:style w:type="character" w:customStyle="1" w:styleId="394">
    <w:name w:val="Char Char61"/>
    <w:qFormat/>
    <w:uiPriority w:val="6"/>
    <w:rPr>
      <w:rFonts w:eastAsia="宋体"/>
      <w:kern w:val="2"/>
      <w:sz w:val="21"/>
      <w:szCs w:val="24"/>
      <w:lang w:val="en-US" w:eastAsia="zh-CN" w:bidi="ar-SA"/>
    </w:rPr>
  </w:style>
  <w:style w:type="character" w:customStyle="1" w:styleId="395">
    <w:name w:val="正文文字缩进 2 Char Char"/>
    <w:qFormat/>
    <w:uiPriority w:val="0"/>
    <w:rPr>
      <w:rFonts w:ascii="宋体"/>
      <w:sz w:val="28"/>
    </w:rPr>
  </w:style>
  <w:style w:type="character" w:customStyle="1" w:styleId="396">
    <w:name w:val="f141"/>
    <w:qFormat/>
    <w:uiPriority w:val="0"/>
    <w:rPr>
      <w:rFonts w:ascii="Tahoma" w:hAnsi="Tahoma" w:eastAsia="宋体"/>
      <w:b/>
      <w:kern w:val="2"/>
      <w:sz w:val="21"/>
      <w:szCs w:val="21"/>
      <w:lang w:val="en-US" w:eastAsia="zh-CN" w:bidi="ar-SA"/>
    </w:rPr>
  </w:style>
  <w:style w:type="character" w:customStyle="1" w:styleId="397">
    <w:name w:val="段落 Char Char"/>
    <w:link w:val="398"/>
    <w:qFormat/>
    <w:uiPriority w:val="0"/>
    <w:rPr>
      <w:rFonts w:ascii="宋体" w:hAnsi="宋体"/>
      <w:sz w:val="24"/>
    </w:rPr>
  </w:style>
  <w:style w:type="paragraph" w:customStyle="1" w:styleId="398">
    <w:name w:val="段落"/>
    <w:basedOn w:val="1"/>
    <w:link w:val="397"/>
    <w:qFormat/>
    <w:uiPriority w:val="0"/>
    <w:pPr>
      <w:adjustRightInd/>
      <w:spacing w:line="360" w:lineRule="auto"/>
      <w:ind w:firstLine="480" w:firstLineChars="200"/>
    </w:pPr>
    <w:rPr>
      <w:rFonts w:ascii="宋体" w:hAnsi="宋体"/>
      <w:kern w:val="0"/>
      <w:sz w:val="24"/>
      <w:szCs w:val="20"/>
    </w:rPr>
  </w:style>
  <w:style w:type="character" w:customStyle="1" w:styleId="399">
    <w:name w:val="标题 3 Char2"/>
    <w:qFormat/>
    <w:uiPriority w:val="0"/>
    <w:rPr>
      <w:rFonts w:eastAsia="宋体"/>
      <w:b/>
      <w:bCs/>
      <w:kern w:val="2"/>
      <w:sz w:val="32"/>
      <w:szCs w:val="32"/>
      <w:lang w:val="en-US" w:eastAsia="zh-CN" w:bidi="ar-SA"/>
    </w:rPr>
  </w:style>
  <w:style w:type="character" w:customStyle="1" w:styleId="400">
    <w:name w:val="apple-converted-space"/>
    <w:qFormat/>
    <w:uiPriority w:val="0"/>
  </w:style>
  <w:style w:type="character" w:customStyle="1" w:styleId="401">
    <w:name w:val="页眉 字符2"/>
    <w:link w:val="43"/>
    <w:qFormat/>
    <w:uiPriority w:val="99"/>
    <w:rPr>
      <w:kern w:val="2"/>
      <w:sz w:val="18"/>
      <w:szCs w:val="18"/>
    </w:rPr>
  </w:style>
  <w:style w:type="character" w:customStyle="1" w:styleId="402">
    <w:name w:val="Char Char9"/>
    <w:qFormat/>
    <w:uiPriority w:val="0"/>
    <w:rPr>
      <w:rFonts w:eastAsia="宋体"/>
      <w:kern w:val="2"/>
      <w:sz w:val="18"/>
      <w:szCs w:val="18"/>
      <w:lang w:val="en-US" w:eastAsia="zh-CN" w:bidi="ar-SA"/>
    </w:rPr>
  </w:style>
  <w:style w:type="character" w:customStyle="1" w:styleId="403">
    <w:name w:val="Char Char41"/>
    <w:qFormat/>
    <w:uiPriority w:val="0"/>
    <w:rPr>
      <w:rFonts w:eastAsia="宋体"/>
      <w:b/>
      <w:sz w:val="24"/>
      <w:lang w:val="en-GB" w:eastAsia="zh-CN" w:bidi="ar-SA"/>
    </w:rPr>
  </w:style>
  <w:style w:type="character" w:customStyle="1" w:styleId="404">
    <w:name w:val="large1"/>
    <w:qFormat/>
    <w:uiPriority w:val="0"/>
    <w:rPr>
      <w:rFonts w:hint="eastAsia" w:ascii="宋体" w:hAnsi="宋体" w:eastAsia="宋体"/>
      <w:sz w:val="21"/>
      <w:szCs w:val="21"/>
    </w:rPr>
  </w:style>
  <w:style w:type="character" w:customStyle="1" w:styleId="405">
    <w:name w:val="正文段 Char"/>
    <w:link w:val="406"/>
    <w:qFormat/>
    <w:uiPriority w:val="0"/>
    <w:rPr>
      <w:sz w:val="24"/>
    </w:rPr>
  </w:style>
  <w:style w:type="paragraph" w:customStyle="1" w:styleId="406">
    <w:name w:val="正文段"/>
    <w:basedOn w:val="1"/>
    <w:link w:val="405"/>
    <w:qFormat/>
    <w:uiPriority w:val="0"/>
    <w:pPr>
      <w:widowControl/>
      <w:snapToGrid w:val="0"/>
      <w:spacing w:after="156" w:afterLines="50"/>
      <w:ind w:firstLine="200" w:firstLineChars="200"/>
    </w:pPr>
    <w:rPr>
      <w:kern w:val="0"/>
      <w:sz w:val="24"/>
      <w:szCs w:val="20"/>
    </w:rPr>
  </w:style>
  <w:style w:type="character" w:customStyle="1" w:styleId="407">
    <w:name w:val="Char Char13"/>
    <w:qFormat/>
    <w:uiPriority w:val="6"/>
    <w:rPr>
      <w:rFonts w:ascii="宋体" w:hAnsi="宋体"/>
      <w:kern w:val="1"/>
      <w:sz w:val="21"/>
      <w:szCs w:val="24"/>
    </w:rPr>
  </w:style>
  <w:style w:type="character" w:customStyle="1" w:styleId="4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9">
    <w:name w:val="冯广丽 Char"/>
    <w:link w:val="410"/>
    <w:qFormat/>
    <w:uiPriority w:val="0"/>
    <w:rPr>
      <w:rFonts w:ascii="宋体" w:hAnsi="宋体"/>
      <w:kern w:val="2"/>
      <w:sz w:val="24"/>
      <w:szCs w:val="22"/>
    </w:rPr>
  </w:style>
  <w:style w:type="paragraph" w:customStyle="1" w:styleId="410">
    <w:name w:val="冯广丽"/>
    <w:basedOn w:val="1"/>
    <w:link w:val="409"/>
    <w:qFormat/>
    <w:uiPriority w:val="0"/>
    <w:pPr>
      <w:adjustRightInd/>
      <w:spacing w:line="360" w:lineRule="auto"/>
      <w:ind w:firstLine="480" w:firstLineChars="200"/>
    </w:pPr>
    <w:rPr>
      <w:rFonts w:ascii="宋体" w:hAnsi="宋体"/>
      <w:sz w:val="24"/>
      <w:szCs w:val="22"/>
    </w:rPr>
  </w:style>
  <w:style w:type="character" w:customStyle="1" w:styleId="411">
    <w:name w:val="批注文字 字符"/>
    <w:qFormat/>
    <w:uiPriority w:val="0"/>
    <w:rPr>
      <w:rFonts w:ascii="Arial" w:hAnsi="Arial" w:eastAsia="黑体" w:cs="Arial"/>
      <w:snapToGrid w:val="0"/>
      <w:kern w:val="0"/>
      <w:szCs w:val="21"/>
    </w:rPr>
  </w:style>
  <w:style w:type="character" w:customStyle="1" w:styleId="412">
    <w:name w:val="Char Char161"/>
    <w:qFormat/>
    <w:uiPriority w:val="0"/>
    <w:rPr>
      <w:rFonts w:eastAsia="宋体"/>
      <w:b/>
      <w:kern w:val="2"/>
      <w:sz w:val="32"/>
      <w:lang w:val="en-US" w:eastAsia="zh-CN"/>
    </w:rPr>
  </w:style>
  <w:style w:type="character" w:customStyle="1" w:styleId="413">
    <w:name w:val="javascript"/>
    <w:qFormat/>
    <w:uiPriority w:val="0"/>
  </w:style>
  <w:style w:type="character" w:customStyle="1" w:styleId="414">
    <w:name w:val="图名 Char"/>
    <w:qFormat/>
    <w:uiPriority w:val="0"/>
    <w:rPr>
      <w:rFonts w:ascii="Arial" w:hAnsi="Arial" w:eastAsia="黑体"/>
      <w:kern w:val="2"/>
      <w:sz w:val="24"/>
      <w:szCs w:val="24"/>
      <w:lang w:val="en-US" w:eastAsia="zh-CN" w:bidi="ar-SA"/>
    </w:rPr>
  </w:style>
  <w:style w:type="character" w:customStyle="1" w:styleId="415">
    <w:name w:val="Used by Word for text of Help footnotes Char Char"/>
    <w:qFormat/>
    <w:uiPriority w:val="0"/>
    <w:rPr>
      <w:rFonts w:ascii="Times New Roman" w:hAnsi="Times New Roman" w:eastAsia="宋体" w:cs="Times New Roman"/>
      <w:sz w:val="20"/>
      <w:szCs w:val="20"/>
    </w:rPr>
  </w:style>
  <w:style w:type="character" w:customStyle="1" w:styleId="416">
    <w:name w:val="编号，小四 Char"/>
    <w:link w:val="417"/>
    <w:qFormat/>
    <w:uiPriority w:val="0"/>
    <w:rPr>
      <w:rFonts w:ascii="Arial" w:hAnsi="Arial"/>
      <w:sz w:val="24"/>
    </w:rPr>
  </w:style>
  <w:style w:type="paragraph" w:customStyle="1" w:styleId="417">
    <w:name w:val="编号，小四"/>
    <w:basedOn w:val="1"/>
    <w:link w:val="416"/>
    <w:qFormat/>
    <w:uiPriority w:val="0"/>
    <w:pPr>
      <w:tabs>
        <w:tab w:val="left" w:pos="432"/>
      </w:tabs>
      <w:adjustRightInd/>
      <w:spacing w:line="360" w:lineRule="auto"/>
      <w:ind w:left="432" w:hanging="432"/>
    </w:pPr>
    <w:rPr>
      <w:rFonts w:ascii="Arial" w:hAnsi="Arial"/>
      <w:kern w:val="0"/>
      <w:sz w:val="24"/>
      <w:szCs w:val="20"/>
    </w:rPr>
  </w:style>
  <w:style w:type="character" w:customStyle="1" w:styleId="418">
    <w:name w:val="Font Style82"/>
    <w:qFormat/>
    <w:uiPriority w:val="99"/>
    <w:rPr>
      <w:rFonts w:ascii="宋体" w:eastAsia="宋体" w:cs="宋体"/>
      <w:color w:val="000000"/>
      <w:sz w:val="14"/>
      <w:szCs w:val="14"/>
    </w:rPr>
  </w:style>
  <w:style w:type="character" w:customStyle="1" w:styleId="419">
    <w:name w:val="标题 2 Char Char"/>
    <w:qFormat/>
    <w:uiPriority w:val="0"/>
    <w:rPr>
      <w:rFonts w:ascii="楷体_GB2312" w:hAnsi="Arial" w:eastAsia="楷体_GB2312"/>
      <w:b/>
      <w:bCs/>
      <w:kern w:val="2"/>
      <w:sz w:val="24"/>
      <w:szCs w:val="32"/>
      <w:lang w:val="en-US" w:eastAsia="zh-CN" w:bidi="ar-SA"/>
    </w:rPr>
  </w:style>
  <w:style w:type="character" w:customStyle="1" w:styleId="420">
    <w:name w:val="未用 Char"/>
    <w:qFormat/>
    <w:uiPriority w:val="0"/>
    <w:rPr>
      <w:rFonts w:ascii="Arial" w:hAnsi="Arial" w:eastAsia="黑体"/>
      <w:kern w:val="2"/>
      <w:sz w:val="21"/>
      <w:szCs w:val="21"/>
      <w:lang w:val="en-US" w:eastAsia="zh-CN" w:bidi="ar-SA"/>
    </w:rPr>
  </w:style>
  <w:style w:type="character" w:customStyle="1" w:styleId="421">
    <w:name w:val="myp1111"/>
    <w:qFormat/>
    <w:uiPriority w:val="0"/>
    <w:rPr>
      <w:rFonts w:hint="default" w:ascii="ˎ̥" w:hAnsi="ˎ̥"/>
      <w:color w:val="000000"/>
      <w:sz w:val="20"/>
      <w:szCs w:val="20"/>
      <w:u w:val="none"/>
    </w:rPr>
  </w:style>
  <w:style w:type="character" w:customStyle="1" w:styleId="422">
    <w:name w:val="样式 标题 4h4H4Fab-4T5Ref Heading 1rh1Heading sqlsect 1.2.3.... Char"/>
    <w:link w:val="314"/>
    <w:qFormat/>
    <w:uiPriority w:val="0"/>
    <w:rPr>
      <w:rFonts w:ascii="微软雅黑" w:hAnsi="微软雅黑" w:eastAsia="微软雅黑"/>
      <w:b/>
      <w:bCs/>
      <w:kern w:val="2"/>
      <w:sz w:val="24"/>
      <w:szCs w:val="28"/>
    </w:rPr>
  </w:style>
  <w:style w:type="character" w:customStyle="1" w:styleId="423">
    <w:name w:val="h Char Char"/>
    <w:qFormat/>
    <w:uiPriority w:val="0"/>
    <w:rPr>
      <w:rFonts w:eastAsia="宋体"/>
      <w:kern w:val="2"/>
      <w:sz w:val="18"/>
      <w:lang w:val="en-US" w:eastAsia="zh-CN" w:bidi="ar-SA"/>
    </w:rPr>
  </w:style>
  <w:style w:type="character" w:customStyle="1" w:styleId="424">
    <w:name w:val="仿宋正文 Char"/>
    <w:link w:val="425"/>
    <w:qFormat/>
    <w:uiPriority w:val="0"/>
    <w:rPr>
      <w:rFonts w:ascii="仿宋_GB2312" w:eastAsia="仿宋_GB2312"/>
      <w:kern w:val="2"/>
      <w:sz w:val="24"/>
      <w:lang w:val="en-US" w:eastAsia="zh-CN" w:bidi="ar-SA"/>
    </w:rPr>
  </w:style>
  <w:style w:type="paragraph" w:customStyle="1" w:styleId="425">
    <w:name w:val="仿宋正文"/>
    <w:basedOn w:val="1"/>
    <w:link w:val="424"/>
    <w:qFormat/>
    <w:uiPriority w:val="0"/>
    <w:pPr>
      <w:adjustRightInd/>
      <w:spacing w:line="360" w:lineRule="auto"/>
      <w:ind w:firstLine="480" w:firstLineChars="200"/>
    </w:pPr>
    <w:rPr>
      <w:rFonts w:ascii="仿宋_GB2312" w:eastAsia="仿宋_GB2312"/>
      <w:sz w:val="24"/>
      <w:szCs w:val="20"/>
    </w:rPr>
  </w:style>
  <w:style w:type="character" w:customStyle="1" w:styleId="426">
    <w:name w:val="正文首行缩进 Char Char Char Char Char Char"/>
    <w:qFormat/>
    <w:uiPriority w:val="0"/>
    <w:rPr>
      <w:rFonts w:ascii="宋体" w:eastAsia="宋体"/>
      <w:kern w:val="2"/>
      <w:sz w:val="24"/>
      <w:lang w:val="zh-CN" w:bidi="ar-SA"/>
    </w:rPr>
  </w:style>
  <w:style w:type="character" w:customStyle="1" w:styleId="427">
    <w:name w:val="样式 宋体"/>
    <w:qFormat/>
    <w:uiPriority w:val="0"/>
    <w:rPr>
      <w:rFonts w:ascii="宋体" w:hAnsi="宋体"/>
      <w:sz w:val="24"/>
    </w:rPr>
  </w:style>
  <w:style w:type="character" w:customStyle="1" w:styleId="428">
    <w:name w:val="tw4winJump"/>
    <w:qFormat/>
    <w:uiPriority w:val="0"/>
    <w:rPr>
      <w:rFonts w:ascii="Courier New" w:hAnsi="Courier New" w:cs="Courier New"/>
      <w:color w:val="008080"/>
      <w:lang w:val="en-US" w:eastAsia="zh-CN"/>
    </w:rPr>
  </w:style>
  <w:style w:type="character" w:customStyle="1" w:styleId="429">
    <w:name w:val="标题 1 字符"/>
    <w:qFormat/>
    <w:uiPriority w:val="0"/>
    <w:rPr>
      <w:rFonts w:ascii="Arial" w:hAnsi="Arial" w:eastAsia="黑体" w:cs="Arial"/>
      <w:b/>
      <w:bCs/>
      <w:snapToGrid w:val="0"/>
      <w:kern w:val="44"/>
      <w:sz w:val="44"/>
      <w:szCs w:val="44"/>
    </w:rPr>
  </w:style>
  <w:style w:type="character" w:customStyle="1" w:styleId="430">
    <w:name w:val="style36"/>
    <w:basedOn w:val="75"/>
    <w:qFormat/>
    <w:uiPriority w:val="0"/>
    <w:rPr>
      <w:rFonts w:ascii="Arial" w:hAnsi="Arial" w:eastAsia="黑体" w:cs="Arial"/>
      <w:snapToGrid w:val="0"/>
      <w:kern w:val="0"/>
      <w:szCs w:val="21"/>
    </w:rPr>
  </w:style>
  <w:style w:type="character" w:customStyle="1" w:styleId="431">
    <w:name w:val="pt9"/>
    <w:qFormat/>
    <w:uiPriority w:val="0"/>
    <w:rPr>
      <w:rFonts w:ascii="仿宋_GB2312" w:eastAsia="微软雅黑"/>
      <w:b/>
      <w:kern w:val="2"/>
      <w:sz w:val="32"/>
      <w:szCs w:val="32"/>
      <w:lang w:val="en-US" w:eastAsia="zh-CN" w:bidi="ar-SA"/>
    </w:rPr>
  </w:style>
  <w:style w:type="character" w:customStyle="1" w:styleId="432">
    <w:name w:val="DO_NOT_TRANSLATE"/>
    <w:qFormat/>
    <w:uiPriority w:val="0"/>
    <w:rPr>
      <w:rFonts w:ascii="Courier New" w:hAnsi="Courier New" w:cs="Courier New"/>
      <w:color w:val="800000"/>
      <w:lang w:val="en-US" w:eastAsia="zh-CN"/>
    </w:rPr>
  </w:style>
  <w:style w:type="character" w:customStyle="1" w:styleId="433">
    <w:name w:val="标书1 Char1"/>
    <w:qFormat/>
    <w:uiPriority w:val="0"/>
    <w:rPr>
      <w:rFonts w:eastAsia="宋体"/>
      <w:b/>
      <w:bCs/>
      <w:kern w:val="44"/>
      <w:sz w:val="44"/>
      <w:szCs w:val="44"/>
      <w:lang w:val="en-US" w:eastAsia="zh-CN" w:bidi="ar-SA"/>
    </w:rPr>
  </w:style>
  <w:style w:type="character" w:customStyle="1" w:styleId="434">
    <w:name w:val="页脚 字符"/>
    <w:qFormat/>
    <w:uiPriority w:val="99"/>
    <w:rPr>
      <w:kern w:val="2"/>
      <w:sz w:val="18"/>
      <w:szCs w:val="18"/>
    </w:rPr>
  </w:style>
  <w:style w:type="character" w:customStyle="1" w:styleId="435">
    <w:name w:val="正文2 Char"/>
    <w:qFormat/>
    <w:uiPriority w:val="0"/>
    <w:rPr>
      <w:rFonts w:eastAsia="宋体"/>
      <w:kern w:val="2"/>
      <w:sz w:val="24"/>
      <w:lang w:val="en-US" w:eastAsia="zh-CN" w:bidi="ar-SA"/>
    </w:rPr>
  </w:style>
  <w:style w:type="character" w:customStyle="1" w:styleId="436">
    <w:name w:val="Char Char21"/>
    <w:qFormat/>
    <w:uiPriority w:val="6"/>
    <w:rPr>
      <w:rFonts w:ascii="宋体" w:hAnsi="宋体"/>
      <w:kern w:val="1"/>
      <w:sz w:val="24"/>
      <w:szCs w:val="21"/>
      <w:lang w:val="zh-CN"/>
    </w:rPr>
  </w:style>
  <w:style w:type="character" w:customStyle="1" w:styleId="437">
    <w:name w:val="样式 正文缩进 + 首行缩进:  2 字符 Char Char"/>
    <w:link w:val="438"/>
    <w:qFormat/>
    <w:uiPriority w:val="0"/>
    <w:rPr>
      <w:rFonts w:cs="宋体"/>
      <w:kern w:val="2"/>
      <w:sz w:val="24"/>
    </w:rPr>
  </w:style>
  <w:style w:type="paragraph" w:customStyle="1" w:styleId="438">
    <w:name w:val="样式 正文缩进 + 首行缩进:  2 字符"/>
    <w:basedOn w:val="16"/>
    <w:link w:val="43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9">
    <w:name w:val="正文文本 字符"/>
    <w:link w:val="24"/>
    <w:qFormat/>
    <w:uiPriority w:val="99"/>
    <w:rPr>
      <w:rFonts w:ascii="宋体" w:hAnsi="Arial" w:eastAsia="宋体" w:cs="Arial"/>
      <w:snapToGrid w:val="0"/>
      <w:kern w:val="2"/>
      <w:sz w:val="24"/>
      <w:szCs w:val="21"/>
      <w:lang w:val="zh-CN" w:eastAsia="zh-CN" w:bidi="ar-SA"/>
    </w:rPr>
  </w:style>
  <w:style w:type="character" w:customStyle="1" w:styleId="440">
    <w:name w:val="gray6"/>
    <w:basedOn w:val="75"/>
    <w:qFormat/>
    <w:uiPriority w:val="0"/>
    <w:rPr>
      <w:rFonts w:ascii="Arial" w:hAnsi="Arial" w:eastAsia="黑体" w:cs="Arial"/>
      <w:snapToGrid w:val="0"/>
      <w:kern w:val="0"/>
      <w:szCs w:val="21"/>
    </w:rPr>
  </w:style>
  <w:style w:type="character" w:customStyle="1" w:styleId="441">
    <w:name w:val="hui"/>
    <w:basedOn w:val="75"/>
    <w:qFormat/>
    <w:uiPriority w:val="0"/>
    <w:rPr>
      <w:rFonts w:ascii="Arial" w:hAnsi="Arial" w:eastAsia="黑体" w:cs="Arial"/>
      <w:snapToGrid w:val="0"/>
      <w:kern w:val="0"/>
      <w:szCs w:val="21"/>
    </w:rPr>
  </w:style>
  <w:style w:type="character" w:customStyle="1" w:styleId="442">
    <w:name w:val="哈哈正文 Char Char"/>
    <w:qFormat/>
    <w:uiPriority w:val="0"/>
    <w:rPr>
      <w:rFonts w:ascii="宋体" w:hAnsi="宋体" w:eastAsia="宋体" w:cs="宋体"/>
      <w:kern w:val="2"/>
      <w:sz w:val="24"/>
      <w:lang w:val="en-US" w:eastAsia="zh-CN" w:bidi="ar-SA"/>
    </w:rPr>
  </w:style>
  <w:style w:type="paragraph" w:customStyle="1" w:styleId="44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50">
    <w:name w:val="标题4_自定义"/>
    <w:basedOn w:val="6"/>
    <w:qFormat/>
    <w:uiPriority w:val="0"/>
    <w:pPr>
      <w:adjustRightInd/>
      <w:spacing w:before="0" w:after="0" w:line="360" w:lineRule="auto"/>
    </w:pPr>
    <w:rPr>
      <w:rFonts w:ascii="Verdana" w:eastAsia="Verdana"/>
      <w:sz w:val="21"/>
      <w:lang w:val="en-US"/>
    </w:rPr>
  </w:style>
  <w:style w:type="paragraph" w:customStyle="1" w:styleId="451">
    <w:name w:val="正文 内标 序号标"/>
    <w:basedOn w:val="452"/>
    <w:qFormat/>
    <w:uiPriority w:val="0"/>
    <w:pPr>
      <w:tabs>
        <w:tab w:val="left" w:pos="0"/>
      </w:tabs>
      <w:adjustRightInd/>
      <w:spacing w:before="0"/>
      <w:ind w:firstLine="482"/>
    </w:pPr>
    <w:rPr>
      <w:rFonts w:ascii="微软雅黑" w:hAnsi="微软雅黑"/>
      <w:sz w:val="24"/>
      <w:szCs w:val="24"/>
    </w:rPr>
  </w:style>
  <w:style w:type="paragraph" w:customStyle="1" w:styleId="452">
    <w:name w:val="My正文"/>
    <w:basedOn w:val="1"/>
    <w:qFormat/>
    <w:uiPriority w:val="0"/>
    <w:pPr>
      <w:spacing w:before="120" w:line="360" w:lineRule="auto"/>
      <w:ind w:firstLine="567"/>
    </w:pPr>
    <w:rPr>
      <w:rFonts w:ascii="Arial" w:hAnsi="Arial"/>
      <w:sz w:val="20"/>
      <w:szCs w:val="20"/>
    </w:rPr>
  </w:style>
  <w:style w:type="paragraph" w:customStyle="1" w:styleId="4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6">
    <w:name w:val="修订2"/>
    <w:qFormat/>
    <w:uiPriority w:val="0"/>
    <w:rPr>
      <w:rFonts w:ascii="Times New Roman" w:hAnsi="Times New Roman" w:eastAsia="宋体" w:cs="Times New Roman"/>
      <w:kern w:val="2"/>
      <w:sz w:val="21"/>
      <w:lang w:val="en-US" w:eastAsia="zh-CN" w:bidi="ar-SA"/>
    </w:rPr>
  </w:style>
  <w:style w:type="paragraph" w:customStyle="1" w:styleId="45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9">
    <w:name w:val="文章标题"/>
    <w:next w:val="46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60">
    <w:name w:val="封面公司名"/>
    <w:qFormat/>
    <w:uiPriority w:val="0"/>
    <w:pPr>
      <w:jc w:val="center"/>
    </w:pPr>
    <w:rPr>
      <w:rFonts w:ascii="Arial" w:hAnsi="Arial" w:eastAsia="楷体_GB2312" w:cs="宋体"/>
      <w:bCs/>
      <w:kern w:val="2"/>
      <w:sz w:val="28"/>
      <w:lang w:val="en-US" w:eastAsia="zh-CN" w:bidi="ar-SA"/>
    </w:rPr>
  </w:style>
  <w:style w:type="paragraph" w:customStyle="1" w:styleId="461">
    <w:name w:val="Char1 Char Char Char5"/>
    <w:basedOn w:val="1"/>
    <w:qFormat/>
    <w:uiPriority w:val="0"/>
    <w:pPr>
      <w:adjustRightInd/>
      <w:ind w:firstLine="200" w:firstLineChars="200"/>
    </w:pPr>
    <w:rPr>
      <w:rFonts w:ascii="Tahoma" w:hAnsi="Tahoma"/>
      <w:sz w:val="24"/>
      <w:szCs w:val="20"/>
    </w:rPr>
  </w:style>
  <w:style w:type="paragraph" w:customStyle="1" w:styleId="46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4">
    <w:name w:val="Char Char Char Char Char Char Char Char"/>
    <w:basedOn w:val="1"/>
    <w:qFormat/>
    <w:uiPriority w:val="0"/>
    <w:pPr>
      <w:tabs>
        <w:tab w:val="left" w:pos="360"/>
      </w:tabs>
    </w:pPr>
    <w:rPr>
      <w:sz w:val="24"/>
      <w:szCs w:val="20"/>
    </w:rPr>
  </w:style>
  <w:style w:type="paragraph" w:customStyle="1" w:styleId="465">
    <w:name w:val="Char Char11 Char Char Char"/>
    <w:basedOn w:val="1"/>
    <w:qFormat/>
    <w:uiPriority w:val="0"/>
    <w:pPr>
      <w:spacing w:line="360" w:lineRule="auto"/>
    </w:pPr>
    <w:rPr>
      <w:szCs w:val="20"/>
    </w:rPr>
  </w:style>
  <w:style w:type="paragraph" w:customStyle="1" w:styleId="46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8">
    <w:name w:val="样式3"/>
    <w:basedOn w:val="469"/>
    <w:qFormat/>
    <w:uiPriority w:val="0"/>
    <w:pPr>
      <w:tabs>
        <w:tab w:val="left" w:pos="2790"/>
        <w:tab w:val="left" w:pos="4230"/>
      </w:tabs>
      <w:spacing w:before="312" w:beforeLines="100"/>
      <w:jc w:val="left"/>
    </w:pPr>
  </w:style>
  <w:style w:type="paragraph" w:customStyle="1" w:styleId="46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0">
    <w:name w:val="Char Char1 Char Char1 Char Char1"/>
    <w:basedOn w:val="1"/>
    <w:qFormat/>
    <w:uiPriority w:val="0"/>
    <w:pPr>
      <w:tabs>
        <w:tab w:val="left" w:pos="840"/>
      </w:tabs>
      <w:ind w:left="840" w:hanging="420"/>
    </w:pPr>
    <w:rPr>
      <w:rFonts w:ascii="Tahoma" w:hAnsi="Tahoma"/>
      <w:sz w:val="24"/>
    </w:rPr>
  </w:style>
  <w:style w:type="paragraph" w:customStyle="1" w:styleId="47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4">
    <w:name w:val="正文21"/>
    <w:basedOn w:val="1"/>
    <w:qFormat/>
    <w:uiPriority w:val="0"/>
    <w:pPr>
      <w:adjustRightInd/>
      <w:spacing w:before="156" w:line="360" w:lineRule="auto"/>
      <w:ind w:firstLine="510" w:firstLineChars="200"/>
    </w:pPr>
    <w:rPr>
      <w:sz w:val="24"/>
      <w:szCs w:val="20"/>
    </w:rPr>
  </w:style>
  <w:style w:type="paragraph" w:customStyle="1" w:styleId="47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7">
    <w:name w:val="Char1"/>
    <w:basedOn w:val="1"/>
    <w:qFormat/>
    <w:uiPriority w:val="0"/>
    <w:rPr>
      <w:rFonts w:ascii="仿宋_GB2312" w:eastAsia="仿宋_GB2312"/>
      <w:b/>
      <w:sz w:val="32"/>
      <w:szCs w:val="32"/>
    </w:rPr>
  </w:style>
  <w:style w:type="paragraph" w:customStyle="1" w:styleId="47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2">
    <w:name w:val="6级标题"/>
    <w:basedOn w:val="483"/>
    <w:qFormat/>
    <w:uiPriority w:val="0"/>
    <w:pPr>
      <w:keepNext/>
      <w:tabs>
        <w:tab w:val="left" w:pos="360"/>
      </w:tabs>
      <w:spacing w:before="0" w:after="0"/>
      <w:outlineLvl w:val="5"/>
    </w:pPr>
  </w:style>
  <w:style w:type="paragraph" w:customStyle="1" w:styleId="483">
    <w:name w:val="5级标题"/>
    <w:basedOn w:val="48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4">
    <w:name w:val="4级标题"/>
    <w:basedOn w:val="26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5">
    <w:name w:val="样式 正文文本缩进 + 段前: 2 字符"/>
    <w:basedOn w:val="1"/>
    <w:qFormat/>
    <w:uiPriority w:val="0"/>
    <w:pPr>
      <w:adjustRightInd/>
      <w:ind w:left="420" w:leftChars="200"/>
      <w:jc w:val="left"/>
    </w:pPr>
    <w:rPr>
      <w:sz w:val="28"/>
      <w:szCs w:val="20"/>
      <w:lang w:eastAsia="zh-TW"/>
    </w:rPr>
  </w:style>
  <w:style w:type="paragraph" w:customStyle="1" w:styleId="486">
    <w:name w:val="Char2 Char Char"/>
    <w:basedOn w:val="1"/>
    <w:qFormat/>
    <w:uiPriority w:val="0"/>
    <w:pPr>
      <w:adjustRightInd/>
    </w:pPr>
    <w:rPr>
      <w:rFonts w:ascii="Tahoma" w:hAnsi="Tahoma"/>
      <w:sz w:val="24"/>
      <w:szCs w:val="20"/>
    </w:rPr>
  </w:style>
  <w:style w:type="paragraph" w:customStyle="1" w:styleId="487">
    <w:name w:val="_Style 11"/>
    <w:basedOn w:val="1"/>
    <w:qFormat/>
    <w:uiPriority w:val="34"/>
    <w:pPr>
      <w:adjustRightInd/>
      <w:ind w:firstLine="420" w:firstLineChars="200"/>
    </w:pPr>
    <w:rPr>
      <w:rFonts w:eastAsia="仿宋_GB2312"/>
      <w:sz w:val="28"/>
    </w:rPr>
  </w:style>
  <w:style w:type="paragraph" w:customStyle="1" w:styleId="48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9">
    <w:name w:val="Char Char Char"/>
    <w:basedOn w:val="1"/>
    <w:qFormat/>
    <w:uiPriority w:val="0"/>
    <w:rPr>
      <w:rFonts w:ascii="Tahoma" w:hAnsi="Tahoma"/>
      <w:sz w:val="24"/>
      <w:szCs w:val="20"/>
    </w:rPr>
  </w:style>
  <w:style w:type="paragraph" w:customStyle="1" w:styleId="49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9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2">
    <w:name w:val="No Spacing"/>
    <w:basedOn w:val="1"/>
    <w:link w:val="939"/>
    <w:qFormat/>
    <w:uiPriority w:val="1"/>
    <w:rPr>
      <w:szCs w:val="22"/>
    </w:rPr>
  </w:style>
  <w:style w:type="paragraph" w:customStyle="1" w:styleId="49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4">
    <w:name w:val="Char Char Char Char Char Char Char Char Char Char Char Char1 Char1"/>
    <w:basedOn w:val="1"/>
    <w:qFormat/>
    <w:uiPriority w:val="6"/>
    <w:rPr>
      <w:rFonts w:ascii="Tahoma" w:hAnsi="Tahoma" w:cs="仿宋_GB2312"/>
      <w:sz w:val="24"/>
      <w:szCs w:val="20"/>
    </w:rPr>
  </w:style>
  <w:style w:type="paragraph" w:customStyle="1" w:styleId="49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8">
    <w:name w:val="MM Topic 2"/>
    <w:basedOn w:val="4"/>
    <w:qFormat/>
    <w:uiPriority w:val="0"/>
    <w:pPr>
      <w:tabs>
        <w:tab w:val="left" w:pos="1260"/>
      </w:tabs>
      <w:ind w:left="1260" w:hanging="420"/>
    </w:pPr>
    <w:rPr>
      <w:rFonts w:ascii="Arial" w:hAnsi="Arial" w:eastAsia="黑体"/>
      <w:lang w:val="en-US"/>
    </w:rPr>
  </w:style>
  <w:style w:type="paragraph" w:customStyle="1" w:styleId="499">
    <w:name w:val="五级无标题条"/>
    <w:basedOn w:val="1"/>
    <w:qFormat/>
    <w:uiPriority w:val="0"/>
    <w:pPr>
      <w:adjustRightInd/>
    </w:pPr>
  </w:style>
  <w:style w:type="paragraph" w:customStyle="1" w:styleId="500">
    <w:name w:val="Char5"/>
    <w:basedOn w:val="1"/>
    <w:qFormat/>
    <w:uiPriority w:val="0"/>
    <w:rPr>
      <w:rFonts w:ascii="仿宋_GB2312" w:eastAsia="仿宋_GB2312"/>
      <w:b/>
      <w:sz w:val="32"/>
      <w:szCs w:val="32"/>
    </w:rPr>
  </w:style>
  <w:style w:type="paragraph" w:customStyle="1" w:styleId="501">
    <w:name w:val="TOC 标题1"/>
    <w:basedOn w:val="3"/>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2">
    <w:name w:val="彩色列表 - 强调文字颜色 12"/>
    <w:basedOn w:val="1"/>
    <w:qFormat/>
    <w:uiPriority w:val="0"/>
    <w:pPr>
      <w:adjustRightInd/>
      <w:ind w:firstLine="420" w:firstLineChars="200"/>
    </w:pPr>
    <w:rPr>
      <w:rFonts w:ascii="Calibri" w:hAnsi="Calibri"/>
      <w:szCs w:val="22"/>
    </w:rPr>
  </w:style>
  <w:style w:type="paragraph" w:customStyle="1" w:styleId="50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4">
    <w:name w:val="Char2"/>
    <w:basedOn w:val="1"/>
    <w:qFormat/>
    <w:uiPriority w:val="0"/>
    <w:rPr>
      <w:rFonts w:ascii="仿宋_GB2312" w:eastAsia="仿宋_GB2312"/>
      <w:b/>
      <w:sz w:val="32"/>
      <w:szCs w:val="32"/>
    </w:rPr>
  </w:style>
  <w:style w:type="paragraph" w:customStyle="1" w:styleId="505">
    <w:name w:val="数字标题3"/>
    <w:basedOn w:val="5"/>
    <w:next w:val="1"/>
    <w:qFormat/>
    <w:uiPriority w:val="0"/>
    <w:pPr>
      <w:spacing w:line="240" w:lineRule="auto"/>
    </w:pPr>
    <w:rPr>
      <w:sz w:val="28"/>
      <w:szCs w:val="28"/>
    </w:rPr>
  </w:style>
  <w:style w:type="paragraph" w:customStyle="1" w:styleId="506">
    <w:name w:val="FA正文"/>
    <w:basedOn w:val="1"/>
    <w:qFormat/>
    <w:uiPriority w:val="0"/>
    <w:pPr>
      <w:spacing w:line="360" w:lineRule="auto"/>
      <w:ind w:firstLine="480" w:firstLineChars="200"/>
    </w:pPr>
    <w:rPr>
      <w:rFonts w:hAnsi="宋体"/>
      <w:sz w:val="24"/>
      <w:szCs w:val="20"/>
    </w:rPr>
  </w:style>
  <w:style w:type="paragraph" w:customStyle="1" w:styleId="507">
    <w:name w:val="MM Topic 5"/>
    <w:basedOn w:val="7"/>
    <w:qFormat/>
    <w:uiPriority w:val="0"/>
    <w:pPr>
      <w:tabs>
        <w:tab w:val="left" w:pos="2520"/>
      </w:tabs>
      <w:adjustRightInd/>
      <w:ind w:left="2520" w:hanging="420"/>
    </w:pPr>
  </w:style>
  <w:style w:type="paragraph" w:customStyle="1" w:styleId="508">
    <w:name w:val="Char Char Char Char Char Char Char Char Char Char1"/>
    <w:basedOn w:val="1"/>
    <w:qFormat/>
    <w:uiPriority w:val="0"/>
    <w:rPr>
      <w:rFonts w:ascii="仿宋_GB2312" w:eastAsia="仿宋_GB2312"/>
      <w:b/>
      <w:sz w:val="32"/>
      <w:szCs w:val="32"/>
    </w:rPr>
  </w:style>
  <w:style w:type="paragraph" w:customStyle="1" w:styleId="50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0">
    <w:name w:val="修订1"/>
    <w:qFormat/>
    <w:uiPriority w:val="3"/>
    <w:rPr>
      <w:rFonts w:ascii="Times New Roman" w:hAnsi="Times New Roman" w:eastAsia="宋体" w:cs="Times New Roman"/>
      <w:color w:val="000000"/>
      <w:kern w:val="1"/>
      <w:sz w:val="21"/>
      <w:lang w:val="en-US" w:eastAsia="zh-CN" w:bidi="ar-SA"/>
    </w:rPr>
  </w:style>
  <w:style w:type="paragraph" w:customStyle="1" w:styleId="511">
    <w:name w:val="Char2 Char Char Char"/>
    <w:basedOn w:val="1"/>
    <w:qFormat/>
    <w:uiPriority w:val="0"/>
    <w:rPr>
      <w:rFonts w:ascii="仿宋_GB2312" w:eastAsia="仿宋_GB2312"/>
      <w:b/>
      <w:sz w:val="32"/>
      <w:szCs w:val="32"/>
    </w:rPr>
  </w:style>
  <w:style w:type="paragraph" w:customStyle="1" w:styleId="512">
    <w:name w:val="Char2 Char Char Char1"/>
    <w:basedOn w:val="1"/>
    <w:qFormat/>
    <w:uiPriority w:val="6"/>
    <w:rPr>
      <w:rFonts w:ascii="仿宋_GB2312" w:eastAsia="仿宋_GB2312"/>
      <w:b/>
      <w:sz w:val="32"/>
      <w:szCs w:val="32"/>
    </w:rPr>
  </w:style>
  <w:style w:type="paragraph" w:customStyle="1" w:styleId="513">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4">
    <w:name w:val="图中文字"/>
    <w:basedOn w:val="1"/>
    <w:qFormat/>
    <w:uiPriority w:val="0"/>
    <w:pPr>
      <w:snapToGrid w:val="0"/>
      <w:spacing w:line="0" w:lineRule="atLeast"/>
      <w:ind w:firstLine="200" w:firstLineChars="200"/>
      <w:jc w:val="center"/>
    </w:pPr>
    <w:rPr>
      <w:sz w:val="24"/>
      <w:szCs w:val="20"/>
    </w:rPr>
  </w:style>
  <w:style w:type="paragraph" w:customStyle="1" w:styleId="51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6">
    <w:name w:val="MM Topic 3"/>
    <w:basedOn w:val="5"/>
    <w:qFormat/>
    <w:uiPriority w:val="0"/>
    <w:pPr>
      <w:tabs>
        <w:tab w:val="left" w:pos="1680"/>
      </w:tabs>
      <w:adjustRightInd/>
      <w:ind w:left="1680" w:hanging="420"/>
    </w:pPr>
  </w:style>
  <w:style w:type="paragraph" w:customStyle="1" w:styleId="517">
    <w:name w:val="标准小四"/>
    <w:basedOn w:val="1"/>
    <w:qFormat/>
    <w:uiPriority w:val="0"/>
    <w:pPr>
      <w:spacing w:line="360" w:lineRule="auto"/>
      <w:ind w:firstLine="480" w:firstLineChars="200"/>
    </w:pPr>
    <w:rPr>
      <w:rFonts w:ascii="Arial" w:hAnsi="Arial"/>
      <w:sz w:val="24"/>
      <w:szCs w:val="21"/>
    </w:rPr>
  </w:style>
  <w:style w:type="paragraph" w:customStyle="1" w:styleId="51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9">
    <w:name w:val="表格（小）"/>
    <w:basedOn w:val="1"/>
    <w:qFormat/>
    <w:uiPriority w:val="0"/>
    <w:pPr>
      <w:adjustRightInd/>
      <w:snapToGrid w:val="0"/>
      <w:spacing w:line="300" w:lineRule="auto"/>
    </w:pPr>
    <w:rPr>
      <w:rFonts w:eastAsia="仿宋"/>
      <w:szCs w:val="21"/>
    </w:rPr>
  </w:style>
  <w:style w:type="paragraph" w:customStyle="1" w:styleId="52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1">
    <w:name w:val="Char2 Char Char1"/>
    <w:basedOn w:val="1"/>
    <w:qFormat/>
    <w:uiPriority w:val="6"/>
    <w:pPr>
      <w:adjustRightInd/>
    </w:pPr>
    <w:rPr>
      <w:rFonts w:ascii="Tahoma" w:hAnsi="Tahoma"/>
      <w:sz w:val="24"/>
      <w:szCs w:val="20"/>
    </w:rPr>
  </w:style>
  <w:style w:type="paragraph" w:customStyle="1" w:styleId="522">
    <w:name w:val="列出段落5"/>
    <w:basedOn w:val="1"/>
    <w:qFormat/>
    <w:uiPriority w:val="0"/>
    <w:pPr>
      <w:spacing w:line="360" w:lineRule="auto"/>
      <w:ind w:firstLine="200" w:firstLineChars="200"/>
    </w:pPr>
    <w:rPr>
      <w:rFonts w:eastAsia="楷体_GB2312" w:cs="Lucida Sans"/>
      <w:sz w:val="24"/>
    </w:rPr>
  </w:style>
  <w:style w:type="paragraph" w:customStyle="1" w:styleId="52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0">
    <w:name w:val="_Style 3"/>
    <w:basedOn w:val="1"/>
    <w:qFormat/>
    <w:uiPriority w:val="0"/>
    <w:pPr>
      <w:adjustRightInd/>
      <w:ind w:firstLine="420" w:firstLineChars="200"/>
    </w:pPr>
    <w:rPr>
      <w:rFonts w:eastAsia="仿宋_GB2312"/>
      <w:sz w:val="28"/>
    </w:rPr>
  </w:style>
  <w:style w:type="paragraph" w:customStyle="1" w:styleId="53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qFormat/>
    <w:uiPriority w:val="0"/>
    <w:pPr>
      <w:adjustRightInd/>
      <w:ind w:firstLine="200" w:firstLineChars="200"/>
      <w:jc w:val="right"/>
    </w:pPr>
  </w:style>
  <w:style w:type="paragraph" w:customStyle="1" w:styleId="534">
    <w:name w:val="Char Char11 Char Char Char Char Char Char Char Char Char"/>
    <w:basedOn w:val="1"/>
    <w:qFormat/>
    <w:uiPriority w:val="0"/>
    <w:pPr>
      <w:spacing w:line="360" w:lineRule="auto"/>
    </w:pPr>
    <w:rPr>
      <w:szCs w:val="20"/>
    </w:rPr>
  </w:style>
  <w:style w:type="paragraph" w:customStyle="1" w:styleId="535">
    <w:name w:val="正文1.25"/>
    <w:basedOn w:val="1"/>
    <w:qFormat/>
    <w:uiPriority w:val="0"/>
    <w:pPr>
      <w:adjustRightInd/>
      <w:spacing w:line="300" w:lineRule="auto"/>
      <w:ind w:firstLine="480" w:firstLineChars="200"/>
    </w:pPr>
    <w:rPr>
      <w:sz w:val="24"/>
      <w:szCs w:val="20"/>
    </w:rPr>
  </w:style>
  <w:style w:type="paragraph" w:customStyle="1" w:styleId="53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qFormat/>
    <w:uiPriority w:val="6"/>
    <w:rPr>
      <w:rFonts w:ascii="仿宋_GB2312" w:eastAsia="仿宋_GB2312"/>
      <w:b/>
      <w:sz w:val="32"/>
      <w:szCs w:val="20"/>
    </w:rPr>
  </w:style>
  <w:style w:type="paragraph" w:customStyle="1" w:styleId="540">
    <w:name w:val="列出段落2"/>
    <w:basedOn w:val="1"/>
    <w:qFormat/>
    <w:uiPriority w:val="0"/>
    <w:pPr>
      <w:adjustRightInd/>
      <w:ind w:firstLine="420" w:firstLineChars="200"/>
    </w:pPr>
    <w:rPr>
      <w:rFonts w:ascii="宋体" w:hAnsi="宋体"/>
      <w:sz w:val="24"/>
    </w:rPr>
  </w:style>
  <w:style w:type="paragraph" w:customStyle="1" w:styleId="541">
    <w:name w:val="默认段落字体 Para Char Char Char Char Char Char Char"/>
    <w:basedOn w:val="1"/>
    <w:qFormat/>
    <w:uiPriority w:val="0"/>
    <w:rPr>
      <w:rFonts w:eastAsia="仿宋_GB2312"/>
      <w:sz w:val="28"/>
      <w:szCs w:val="20"/>
    </w:rPr>
  </w:style>
  <w:style w:type="paragraph" w:customStyle="1" w:styleId="54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6"/>
    <w:qFormat/>
    <w:uiPriority w:val="0"/>
    <w:pPr>
      <w:widowControl/>
      <w:jc w:val="left"/>
    </w:pPr>
    <w:rPr>
      <w:rFonts w:cs="宋体"/>
      <w:sz w:val="24"/>
      <w:szCs w:val="20"/>
    </w:rPr>
  </w:style>
  <w:style w:type="paragraph" w:customStyle="1" w:styleId="544">
    <w:name w:val="彩色列表 - 强调文字颜色 11"/>
    <w:basedOn w:val="1"/>
    <w:qFormat/>
    <w:uiPriority w:val="0"/>
    <w:pPr>
      <w:adjustRightInd/>
      <w:ind w:firstLine="420" w:firstLineChars="200"/>
    </w:pPr>
    <w:rPr>
      <w:rFonts w:ascii="Calibri" w:hAnsi="Calibri"/>
      <w:szCs w:val="22"/>
    </w:rPr>
  </w:style>
  <w:style w:type="paragraph" w:customStyle="1" w:styleId="54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qFormat/>
    <w:uiPriority w:val="6"/>
    <w:rPr>
      <w:szCs w:val="20"/>
    </w:rPr>
  </w:style>
  <w:style w:type="paragraph" w:customStyle="1" w:styleId="54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43"/>
    <w:next w:val="243"/>
    <w:qFormat/>
    <w:uiPriority w:val="0"/>
    <w:pPr>
      <w:spacing w:after="68"/>
    </w:pPr>
    <w:rPr>
      <w:rFonts w:ascii="FHLHE E+ Futura Bk" w:eastAsia="FHLHE E+ Futura Bk" w:cs="Times New Roman"/>
      <w:color w:val="auto"/>
    </w:rPr>
  </w:style>
  <w:style w:type="paragraph" w:customStyle="1" w:styleId="55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8">
    <w:name w:val="正文文字 2"/>
    <w:basedOn w:val="243"/>
    <w:next w:val="243"/>
    <w:qFormat/>
    <w:uiPriority w:val="0"/>
    <w:rPr>
      <w:rFonts w:ascii="宋体" w:eastAsia="宋体" w:cs="Times New Roman"/>
      <w:color w:val="auto"/>
    </w:rPr>
  </w:style>
  <w:style w:type="paragraph" w:customStyle="1" w:styleId="55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60">
    <w:name w:val="Char Char1 Char"/>
    <w:basedOn w:val="1"/>
    <w:qFormat/>
    <w:uiPriority w:val="0"/>
    <w:rPr>
      <w:rFonts w:ascii="仿宋_GB2312" w:eastAsia="仿宋_GB2312"/>
      <w:b/>
      <w:sz w:val="32"/>
      <w:szCs w:val="32"/>
    </w:rPr>
  </w:style>
  <w:style w:type="paragraph" w:customStyle="1" w:styleId="56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3">
    <w:name w:val="Char Char111"/>
    <w:basedOn w:val="1"/>
    <w:qFormat/>
    <w:uiPriority w:val="0"/>
    <w:pPr>
      <w:spacing w:line="360" w:lineRule="auto"/>
    </w:pPr>
    <w:rPr>
      <w:szCs w:val="20"/>
    </w:rPr>
  </w:style>
  <w:style w:type="paragraph" w:customStyle="1" w:styleId="564">
    <w:name w:val="Char"/>
    <w:basedOn w:val="1"/>
    <w:qFormat/>
    <w:uiPriority w:val="0"/>
    <w:rPr>
      <w:rFonts w:ascii="仿宋_GB2312" w:eastAsia="仿宋_GB2312"/>
      <w:b/>
      <w:sz w:val="32"/>
      <w:szCs w:val="32"/>
    </w:rPr>
  </w:style>
  <w:style w:type="paragraph" w:customStyle="1" w:styleId="56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7">
    <w:name w:val="Char Char Char1 Char"/>
    <w:basedOn w:val="1"/>
    <w:qFormat/>
    <w:uiPriority w:val="0"/>
    <w:rPr>
      <w:szCs w:val="20"/>
    </w:rPr>
  </w:style>
  <w:style w:type="paragraph" w:customStyle="1" w:styleId="568">
    <w:name w:val="正文标准"/>
    <w:basedOn w:val="1"/>
    <w:qFormat/>
    <w:uiPriority w:val="0"/>
    <w:pPr>
      <w:adjustRightInd/>
      <w:spacing w:line="360" w:lineRule="auto"/>
      <w:ind w:firstLine="200" w:firstLineChars="200"/>
    </w:pPr>
    <w:rPr>
      <w:rFonts w:ascii="宋体" w:hAnsi="Calibri"/>
      <w:sz w:val="24"/>
    </w:rPr>
  </w:style>
  <w:style w:type="paragraph" w:customStyle="1" w:styleId="56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1">
    <w:name w:val="Char Char Char Char Char Char Char Char Char Char"/>
    <w:basedOn w:val="1"/>
    <w:qFormat/>
    <w:uiPriority w:val="0"/>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3">
    <w:name w:val="_正文段落"/>
    <w:basedOn w:val="1"/>
    <w:qFormat/>
    <w:uiPriority w:val="0"/>
    <w:pPr>
      <w:adjustRightInd/>
      <w:ind w:firstLine="560"/>
    </w:pPr>
    <w:rPr>
      <w:rFonts w:ascii="仿宋_GB2312" w:hAnsi="仿宋" w:eastAsia="仿宋_GB2312"/>
      <w:kern w:val="0"/>
      <w:sz w:val="28"/>
      <w:szCs w:val="28"/>
    </w:rPr>
  </w:style>
  <w:style w:type="paragraph" w:customStyle="1" w:styleId="58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qFormat/>
    <w:uiPriority w:val="0"/>
    <w:rPr>
      <w:szCs w:val="20"/>
    </w:rPr>
  </w:style>
  <w:style w:type="paragraph" w:customStyle="1" w:styleId="59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2">
    <w:name w:val="默认段落字体 Para Char"/>
    <w:basedOn w:val="1"/>
    <w:qFormat/>
    <w:uiPriority w:val="0"/>
    <w:rPr>
      <w:rFonts w:ascii="Tahoma" w:hAnsi="Tahoma"/>
      <w:sz w:val="24"/>
      <w:szCs w:val="20"/>
    </w:rPr>
  </w:style>
  <w:style w:type="paragraph" w:customStyle="1" w:styleId="593">
    <w:name w:val="标题五"/>
    <w:basedOn w:val="1"/>
    <w:qFormat/>
    <w:uiPriority w:val="0"/>
    <w:pPr>
      <w:adjustRightInd/>
      <w:spacing w:before="156" w:beforeLines="50" w:line="360" w:lineRule="auto"/>
    </w:pPr>
    <w:rPr>
      <w:b/>
      <w:sz w:val="24"/>
    </w:rPr>
  </w:style>
  <w:style w:type="paragraph" w:customStyle="1" w:styleId="594">
    <w:name w:val="Char Char1101"/>
    <w:basedOn w:val="1"/>
    <w:qFormat/>
    <w:uiPriority w:val="0"/>
    <w:pPr>
      <w:spacing w:line="360" w:lineRule="auto"/>
    </w:pPr>
    <w:rPr>
      <w:rFonts w:ascii="Tahoma" w:hAnsi="Tahoma"/>
      <w:sz w:val="24"/>
      <w:szCs w:val="20"/>
    </w:rPr>
  </w:style>
  <w:style w:type="paragraph" w:customStyle="1" w:styleId="595">
    <w:name w:val="Char Char Char Char Char Char Char Char1"/>
    <w:basedOn w:val="1"/>
    <w:qFormat/>
    <w:uiPriority w:val="0"/>
    <w:pPr>
      <w:tabs>
        <w:tab w:val="left" w:pos="360"/>
      </w:tabs>
    </w:pPr>
    <w:rPr>
      <w:sz w:val="24"/>
      <w:szCs w:val="20"/>
    </w:rPr>
  </w:style>
  <w:style w:type="paragraph" w:customStyle="1" w:styleId="596">
    <w:name w:val="Char Char Char 字元 字元"/>
    <w:basedOn w:val="1"/>
    <w:qFormat/>
    <w:uiPriority w:val="0"/>
    <w:pPr>
      <w:adjustRightInd/>
      <w:spacing w:line="360" w:lineRule="auto"/>
      <w:ind w:firstLine="200" w:firstLineChars="200"/>
    </w:pPr>
    <w:rPr>
      <w:szCs w:val="20"/>
    </w:rPr>
  </w:style>
  <w:style w:type="paragraph" w:customStyle="1" w:styleId="59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qFormat/>
    <w:uiPriority w:val="0"/>
    <w:rPr>
      <w:rFonts w:ascii="仿宋_GB2312" w:eastAsia="仿宋_GB2312"/>
      <w:b/>
      <w:sz w:val="32"/>
      <w:szCs w:val="32"/>
    </w:rPr>
  </w:style>
  <w:style w:type="paragraph" w:customStyle="1" w:styleId="59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603">
    <w:name w:val="批注框文本 Char Char"/>
    <w:basedOn w:val="1"/>
    <w:qFormat/>
    <w:uiPriority w:val="0"/>
    <w:pPr>
      <w:adjustRightInd/>
    </w:pPr>
    <w:rPr>
      <w:sz w:val="18"/>
      <w:szCs w:val="20"/>
    </w:rPr>
  </w:style>
  <w:style w:type="paragraph" w:customStyle="1" w:styleId="60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qFormat/>
    <w:uiPriority w:val="99"/>
    <w:pPr>
      <w:adjustRightInd/>
      <w:spacing w:line="360" w:lineRule="auto"/>
    </w:pPr>
    <w:rPr>
      <w:rFonts w:ascii="仿宋_GB2312" w:eastAsia="仿宋_GB2312"/>
      <w:sz w:val="24"/>
      <w:szCs w:val="20"/>
    </w:rPr>
  </w:style>
  <w:style w:type="paragraph" w:customStyle="1" w:styleId="60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1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2">
    <w:name w:val="文档正文"/>
    <w:basedOn w:val="1"/>
    <w:qFormat/>
    <w:uiPriority w:val="0"/>
    <w:pPr>
      <w:spacing w:line="480" w:lineRule="atLeast"/>
      <w:ind w:firstLine="567"/>
      <w:textAlignment w:val="baseline"/>
    </w:pPr>
    <w:rPr>
      <w:kern w:val="0"/>
      <w:sz w:val="24"/>
      <w:szCs w:val="20"/>
    </w:rPr>
  </w:style>
  <w:style w:type="paragraph" w:customStyle="1" w:styleId="613">
    <w:name w:val="正文文字表格居中"/>
    <w:basedOn w:val="1"/>
    <w:next w:val="58"/>
    <w:qFormat/>
    <w:uiPriority w:val="0"/>
    <w:pPr>
      <w:snapToGrid w:val="0"/>
      <w:spacing w:line="360" w:lineRule="auto"/>
    </w:pPr>
    <w:rPr>
      <w:rFonts w:ascii="宋体"/>
      <w:b/>
      <w:sz w:val="24"/>
      <w:szCs w:val="20"/>
    </w:rPr>
  </w:style>
  <w:style w:type="paragraph" w:customStyle="1" w:styleId="61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qFormat/>
    <w:uiPriority w:val="7"/>
    <w:pPr>
      <w:adjustRightInd/>
    </w:pPr>
    <w:rPr>
      <w:rFonts w:ascii="宋体" w:hAnsi="Courier New"/>
    </w:rPr>
  </w:style>
  <w:style w:type="paragraph" w:customStyle="1" w:styleId="617">
    <w:name w:val="Char3"/>
    <w:basedOn w:val="1"/>
    <w:qFormat/>
    <w:uiPriority w:val="0"/>
    <w:pPr>
      <w:adjustRightInd/>
    </w:pPr>
    <w:rPr>
      <w:rFonts w:ascii="仿宋_GB2312" w:eastAsia="仿宋_GB2312"/>
      <w:b/>
      <w:sz w:val="32"/>
      <w:szCs w:val="32"/>
    </w:rPr>
  </w:style>
  <w:style w:type="paragraph" w:customStyle="1" w:styleId="61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2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qFormat/>
    <w:uiPriority w:val="0"/>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qFormat/>
    <w:uiPriority w:val="0"/>
    <w:pPr>
      <w:widowControl/>
      <w:adjustRightInd/>
      <w:spacing w:after="160" w:line="240" w:lineRule="exact"/>
      <w:jc w:val="left"/>
    </w:pPr>
    <w:rPr>
      <w:szCs w:val="20"/>
    </w:rPr>
  </w:style>
  <w:style w:type="paragraph" w:customStyle="1" w:styleId="626">
    <w:name w:val="表格标题2"/>
    <w:basedOn w:val="627"/>
    <w:qFormat/>
    <w:uiPriority w:val="0"/>
    <w:rPr>
      <w:b/>
    </w:rPr>
  </w:style>
  <w:style w:type="paragraph" w:customStyle="1" w:styleId="627">
    <w:name w:val="表格内文"/>
    <w:basedOn w:val="1"/>
    <w:qFormat/>
    <w:uiPriority w:val="0"/>
    <w:pPr>
      <w:adjustRightInd/>
      <w:spacing w:line="360" w:lineRule="auto"/>
    </w:pPr>
    <w:rPr>
      <w:rFonts w:ascii="宋体" w:hAnsi="宋体" w:cs="宋体"/>
      <w:color w:val="000000"/>
      <w:szCs w:val="20"/>
    </w:rPr>
  </w:style>
  <w:style w:type="paragraph" w:customStyle="1" w:styleId="628">
    <w:name w:val="Char Char Char Char Char Char Char Char Char Char2"/>
    <w:basedOn w:val="1"/>
    <w:qFormat/>
    <w:uiPriority w:val="0"/>
    <w:rPr>
      <w:rFonts w:ascii="仿宋_GB2312" w:eastAsia="仿宋_GB2312"/>
      <w:b/>
      <w:sz w:val="32"/>
      <w:szCs w:val="32"/>
    </w:rPr>
  </w:style>
  <w:style w:type="paragraph" w:customStyle="1" w:styleId="62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1">
    <w:name w:val="Char Char11 Char Char Char Char Char Char Char Char Char11"/>
    <w:basedOn w:val="1"/>
    <w:qFormat/>
    <w:uiPriority w:val="0"/>
    <w:pPr>
      <w:spacing w:line="360" w:lineRule="auto"/>
    </w:pPr>
    <w:rPr>
      <w:szCs w:val="20"/>
    </w:rPr>
  </w:style>
  <w:style w:type="paragraph" w:customStyle="1" w:styleId="63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4">
    <w:name w:val="MM Topic 1"/>
    <w:basedOn w:val="3"/>
    <w:qFormat/>
    <w:uiPriority w:val="0"/>
    <w:pPr>
      <w:tabs>
        <w:tab w:val="left" w:pos="840"/>
      </w:tabs>
      <w:adjustRightInd/>
      <w:ind w:left="840" w:hanging="420"/>
    </w:pPr>
  </w:style>
  <w:style w:type="paragraph" w:customStyle="1" w:styleId="63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qFormat/>
    <w:uiPriority w:val="0"/>
    <w:pPr>
      <w:spacing w:line="360" w:lineRule="auto"/>
      <w:ind w:firstLine="200" w:firstLineChars="200"/>
    </w:pPr>
    <w:rPr>
      <w:kern w:val="0"/>
      <w:sz w:val="24"/>
      <w:szCs w:val="20"/>
    </w:rPr>
  </w:style>
  <w:style w:type="paragraph" w:customStyle="1" w:styleId="637">
    <w:name w:val="表格"/>
    <w:basedOn w:val="1"/>
    <w:qFormat/>
    <w:uiPriority w:val="0"/>
    <w:pPr>
      <w:snapToGrid w:val="0"/>
      <w:ind w:firstLine="42" w:firstLineChars="21"/>
    </w:pPr>
    <w:rPr>
      <w:rFonts w:ascii="宋体" w:hAnsi="宋体"/>
      <w:kern w:val="0"/>
      <w:sz w:val="20"/>
      <w:szCs w:val="20"/>
    </w:rPr>
  </w:style>
  <w:style w:type="paragraph" w:customStyle="1" w:styleId="63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4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qFormat/>
    <w:uiPriority w:val="0"/>
    <w:pPr>
      <w:adjustRightInd/>
      <w:spacing w:line="300" w:lineRule="auto"/>
      <w:jc w:val="center"/>
    </w:pPr>
  </w:style>
  <w:style w:type="paragraph" w:customStyle="1" w:styleId="643">
    <w:name w:val="_Style 6"/>
    <w:basedOn w:val="1"/>
    <w:qFormat/>
    <w:uiPriority w:val="34"/>
    <w:pPr>
      <w:adjustRightInd/>
      <w:ind w:firstLine="420" w:firstLineChars="200"/>
    </w:pPr>
    <w:rPr>
      <w:rFonts w:eastAsia="仿宋_GB2312"/>
      <w:sz w:val="28"/>
    </w:rPr>
  </w:style>
  <w:style w:type="paragraph" w:customStyle="1" w:styleId="64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51">
    <w:name w:val="trademark"/>
    <w:qFormat/>
    <w:uiPriority w:val="0"/>
    <w:pPr>
      <w:spacing w:after="60"/>
    </w:pPr>
    <w:rPr>
      <w:rFonts w:ascii="Futura Bk" w:hAnsi="Futura Bk" w:eastAsia="宋体" w:cs="Times New Roman"/>
      <w:sz w:val="15"/>
      <w:lang w:val="en-US" w:eastAsia="en-US" w:bidi="ar-SA"/>
    </w:rPr>
  </w:style>
  <w:style w:type="paragraph" w:customStyle="1" w:styleId="6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qFormat/>
    <w:uiPriority w:val="0"/>
    <w:rPr>
      <w:rFonts w:ascii="仿宋_GB2312" w:eastAsia="仿宋_GB2312"/>
      <w:b/>
      <w:sz w:val="32"/>
      <w:szCs w:val="20"/>
    </w:rPr>
  </w:style>
  <w:style w:type="paragraph" w:customStyle="1" w:styleId="6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5">
    <w:name w:val="Char1 Char Char Char1"/>
    <w:basedOn w:val="1"/>
    <w:qFormat/>
    <w:uiPriority w:val="0"/>
    <w:pPr>
      <w:adjustRightInd/>
      <w:ind w:firstLine="200" w:firstLineChars="200"/>
    </w:pPr>
    <w:rPr>
      <w:rFonts w:ascii="Tahoma" w:hAnsi="Tahoma"/>
      <w:sz w:val="24"/>
      <w:szCs w:val="20"/>
    </w:rPr>
  </w:style>
  <w:style w:type="paragraph" w:customStyle="1" w:styleId="656">
    <w:name w:val="a1"/>
    <w:basedOn w:val="1"/>
    <w:qFormat/>
    <w:uiPriority w:val="0"/>
    <w:pPr>
      <w:widowControl/>
      <w:spacing w:line="300" w:lineRule="atLeast"/>
      <w:jc w:val="left"/>
    </w:pPr>
    <w:rPr>
      <w:rFonts w:ascii="宋体" w:hAnsi="宋体"/>
      <w:kern w:val="0"/>
      <w:sz w:val="18"/>
      <w:szCs w:val="20"/>
    </w:rPr>
  </w:style>
  <w:style w:type="paragraph" w:customStyle="1" w:styleId="657">
    <w:name w:val="样式7"/>
    <w:basedOn w:val="658"/>
    <w:next w:val="1"/>
    <w:qFormat/>
    <w:uiPriority w:val="0"/>
    <w:pPr>
      <w:spacing w:after="156" w:afterLines="50"/>
      <w:jc w:val="left"/>
      <w:outlineLvl w:val="3"/>
    </w:pPr>
    <w:rPr>
      <w:sz w:val="24"/>
      <w:szCs w:val="24"/>
    </w:rPr>
  </w:style>
  <w:style w:type="paragraph" w:customStyle="1" w:styleId="6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1">
    <w:name w:val="样式 样式2 + 左侧:  1 字符 右侧:  1 字符"/>
    <w:basedOn w:val="46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qFormat/>
    <w:uiPriority w:val="0"/>
    <w:pPr>
      <w:adjustRightInd/>
    </w:pPr>
    <w:rPr>
      <w:rFonts w:ascii="Tahoma" w:hAnsi="Tahoma"/>
      <w:sz w:val="24"/>
      <w:szCs w:val="20"/>
    </w:rPr>
  </w:style>
  <w:style w:type="paragraph" w:customStyle="1" w:styleId="6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qFormat/>
    <w:uiPriority w:val="0"/>
    <w:pPr>
      <w:tabs>
        <w:tab w:val="left" w:pos="1260"/>
        <w:tab w:val="left" w:pos="1680"/>
        <w:tab w:val="left" w:pos="2100"/>
        <w:tab w:val="left" w:pos="2520"/>
      </w:tabs>
      <w:ind w:left="2520"/>
      <w:outlineLvl w:val="4"/>
    </w:pPr>
  </w:style>
  <w:style w:type="paragraph" w:customStyle="1" w:styleId="665">
    <w:name w:val="二级条标题"/>
    <w:basedOn w:val="666"/>
    <w:next w:val="649"/>
    <w:qFormat/>
    <w:uiPriority w:val="0"/>
    <w:pPr>
      <w:tabs>
        <w:tab w:val="left" w:pos="1260"/>
        <w:tab w:val="left" w:pos="1680"/>
        <w:tab w:val="left" w:pos="2100"/>
      </w:tabs>
      <w:ind w:left="0"/>
      <w:outlineLvl w:val="3"/>
    </w:pPr>
  </w:style>
  <w:style w:type="paragraph" w:customStyle="1" w:styleId="666">
    <w:name w:val="一级条标题"/>
    <w:basedOn w:val="667"/>
    <w:next w:val="649"/>
    <w:qFormat/>
    <w:uiPriority w:val="0"/>
    <w:pPr>
      <w:tabs>
        <w:tab w:val="left" w:pos="1260"/>
        <w:tab w:val="left" w:pos="1680"/>
      </w:tabs>
      <w:spacing w:before="0" w:beforeLines="0" w:after="0" w:afterLines="0"/>
      <w:ind w:left="1680"/>
      <w:outlineLvl w:val="2"/>
    </w:pPr>
  </w:style>
  <w:style w:type="paragraph" w:customStyle="1" w:styleId="667">
    <w:name w:val="章标题"/>
    <w:next w:val="64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4">
    <w:name w:val="正文 项目2"/>
    <w:basedOn w:val="675"/>
    <w:qFormat/>
    <w:uiPriority w:val="0"/>
    <w:pPr>
      <w:tabs>
        <w:tab w:val="left" w:pos="840"/>
      </w:tabs>
      <w:spacing w:after="0"/>
      <w:ind w:left="900"/>
    </w:pPr>
  </w:style>
  <w:style w:type="paragraph" w:customStyle="1" w:styleId="6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qFormat/>
    <w:uiPriority w:val="6"/>
    <w:pPr>
      <w:widowControl/>
      <w:adjustRightInd/>
      <w:ind w:left="720" w:hanging="720"/>
    </w:pPr>
    <w:rPr>
      <w:color w:val="000000"/>
      <w:kern w:val="0"/>
      <w:sz w:val="24"/>
      <w:szCs w:val="20"/>
      <w:lang w:val="en-GB"/>
    </w:rPr>
  </w:style>
  <w:style w:type="paragraph" w:customStyle="1" w:styleId="677">
    <w:name w:val="表1"/>
    <w:basedOn w:val="1"/>
    <w:qFormat/>
    <w:uiPriority w:val="0"/>
    <w:pPr>
      <w:tabs>
        <w:tab w:val="left" w:pos="703"/>
      </w:tabs>
      <w:adjustRightInd/>
      <w:spacing w:line="360" w:lineRule="auto"/>
      <w:ind w:left="703"/>
      <w:jc w:val="center"/>
    </w:pPr>
  </w:style>
  <w:style w:type="paragraph" w:customStyle="1" w:styleId="67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0">
    <w:name w:val="2级标题"/>
    <w:basedOn w:val="681"/>
    <w:qFormat/>
    <w:uiPriority w:val="0"/>
    <w:pPr>
      <w:jc w:val="left"/>
      <w:outlineLvl w:val="1"/>
    </w:pPr>
    <w:rPr>
      <w:rFonts w:ascii="Times New Roman" w:hAnsi="Times New Roman" w:eastAsia="仿宋"/>
      <w:sz w:val="30"/>
    </w:rPr>
  </w:style>
  <w:style w:type="paragraph" w:customStyle="1" w:styleId="68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qFormat/>
    <w:uiPriority w:val="0"/>
    <w:pPr>
      <w:tabs>
        <w:tab w:val="left" w:pos="840"/>
      </w:tabs>
      <w:adjustRightInd/>
      <w:ind w:left="840" w:hanging="420"/>
    </w:pPr>
  </w:style>
  <w:style w:type="paragraph" w:customStyle="1" w:styleId="6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6"/>
    <w:qFormat/>
    <w:uiPriority w:val="0"/>
    <w:pPr>
      <w:tabs>
        <w:tab w:val="left" w:pos="2100"/>
      </w:tabs>
      <w:adjustRightInd/>
      <w:ind w:left="2100" w:hanging="420"/>
    </w:pPr>
    <w:rPr>
      <w:lang w:val="en-US"/>
    </w:rPr>
  </w:style>
  <w:style w:type="paragraph" w:customStyle="1" w:styleId="69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qFormat/>
    <w:uiPriority w:val="6"/>
    <w:pPr>
      <w:spacing w:line="360" w:lineRule="auto"/>
    </w:pPr>
    <w:rPr>
      <w:szCs w:val="20"/>
    </w:rPr>
  </w:style>
  <w:style w:type="paragraph" w:customStyle="1" w:styleId="69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qFormat/>
    <w:uiPriority w:val="0"/>
    <w:pPr>
      <w:adjustRightInd/>
      <w:spacing w:line="360" w:lineRule="auto"/>
      <w:jc w:val="center"/>
    </w:pPr>
    <w:rPr>
      <w:sz w:val="24"/>
    </w:rPr>
  </w:style>
  <w:style w:type="paragraph" w:customStyle="1" w:styleId="70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qFormat/>
    <w:uiPriority w:val="6"/>
    <w:rPr>
      <w:rFonts w:ascii="仿宋_GB2312" w:eastAsia="仿宋_GB2312"/>
      <w:b/>
      <w:sz w:val="32"/>
      <w:szCs w:val="32"/>
    </w:rPr>
  </w:style>
  <w:style w:type="paragraph" w:customStyle="1" w:styleId="71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2">
    <w:name w:val="Char3 Char Char Char11"/>
    <w:basedOn w:val="1"/>
    <w:qFormat/>
    <w:uiPriority w:val="0"/>
    <w:pPr>
      <w:widowControl/>
      <w:adjustRightInd/>
      <w:spacing w:after="160" w:line="240" w:lineRule="exact"/>
      <w:jc w:val="left"/>
    </w:pPr>
    <w:rPr>
      <w:szCs w:val="20"/>
    </w:rPr>
  </w:style>
  <w:style w:type="paragraph" w:customStyle="1" w:styleId="713">
    <w:name w:val="Char Char1121"/>
    <w:basedOn w:val="1"/>
    <w:qFormat/>
    <w:uiPriority w:val="0"/>
    <w:pPr>
      <w:spacing w:line="360" w:lineRule="auto"/>
    </w:pPr>
    <w:rPr>
      <w:szCs w:val="20"/>
    </w:rPr>
  </w:style>
  <w:style w:type="paragraph" w:customStyle="1" w:styleId="7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qFormat/>
    <w:uiPriority w:val="0"/>
    <w:rPr>
      <w:rFonts w:ascii="Times New Roman" w:hAnsi="Times New Roman" w:eastAsia="宋体" w:cs="Times New Roman"/>
      <w:lang w:val="en-US" w:eastAsia="en-US" w:bidi="ar-SA"/>
    </w:rPr>
  </w:style>
  <w:style w:type="paragraph" w:customStyle="1" w:styleId="717">
    <w:name w:val="带编号样式"/>
    <w:basedOn w:val="636"/>
    <w:qFormat/>
    <w:uiPriority w:val="0"/>
    <w:pPr>
      <w:tabs>
        <w:tab w:val="left" w:pos="840"/>
      </w:tabs>
      <w:snapToGrid w:val="0"/>
      <w:ind w:left="840" w:hanging="420" w:firstLineChars="0"/>
    </w:pPr>
    <w:rPr>
      <w:rFonts w:ascii="仿宋_GB2312" w:eastAsia="仿宋_GB2312"/>
      <w:color w:val="000000"/>
    </w:rPr>
  </w:style>
  <w:style w:type="paragraph" w:customStyle="1" w:styleId="7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qFormat/>
    <w:uiPriority w:val="0"/>
    <w:pPr>
      <w:spacing w:line="360" w:lineRule="atLeast"/>
      <w:jc w:val="right"/>
      <w:textAlignment w:val="baseline"/>
    </w:pPr>
    <w:rPr>
      <w:rFonts w:ascii="Symbol" w:hAnsi="Symbol"/>
      <w:kern w:val="0"/>
      <w:szCs w:val="20"/>
    </w:rPr>
  </w:style>
  <w:style w:type="paragraph" w:customStyle="1" w:styleId="721">
    <w:name w:val="__正文"/>
    <w:link w:val="981"/>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3">
    <w:name w:val="默认段落字体 Para Char Char Char1 Char"/>
    <w:basedOn w:val="1"/>
    <w:qFormat/>
    <w:uiPriority w:val="0"/>
    <w:pPr>
      <w:spacing w:line="240" w:lineRule="atLeast"/>
      <w:ind w:left="420" w:firstLine="420"/>
    </w:pPr>
    <w:rPr>
      <w:sz w:val="24"/>
    </w:rPr>
  </w:style>
  <w:style w:type="paragraph" w:customStyle="1" w:styleId="724">
    <w:name w:val="WW-正文文字缩进 2"/>
    <w:basedOn w:val="1"/>
    <w:qFormat/>
    <w:uiPriority w:val="0"/>
    <w:pPr>
      <w:suppressAutoHyphens/>
      <w:adjustRightInd/>
      <w:ind w:firstLine="420"/>
    </w:pPr>
    <w:rPr>
      <w:kern w:val="1"/>
      <w:szCs w:val="20"/>
    </w:rPr>
  </w:style>
  <w:style w:type="paragraph" w:customStyle="1" w:styleId="7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7">
    <w:name w:val="有符号正文"/>
    <w:basedOn w:val="1"/>
    <w:qFormat/>
    <w:uiPriority w:val="0"/>
    <w:pPr>
      <w:adjustRightInd/>
      <w:spacing w:line="400" w:lineRule="exact"/>
      <w:ind w:firstLine="200" w:firstLineChars="200"/>
    </w:pPr>
    <w:rPr>
      <w:rFonts w:ascii="Arial" w:hAnsi="Arial"/>
    </w:rPr>
  </w:style>
  <w:style w:type="paragraph" w:customStyle="1" w:styleId="7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0">
    <w:name w:val="4"/>
    <w:basedOn w:val="1"/>
    <w:next w:val="39"/>
    <w:qFormat/>
    <w:uiPriority w:val="0"/>
    <w:pPr>
      <w:spacing w:after="120" w:line="480" w:lineRule="auto"/>
      <w:ind w:left="420" w:leftChars="200"/>
    </w:pPr>
    <w:rPr>
      <w:sz w:val="24"/>
      <w:szCs w:val="20"/>
    </w:rPr>
  </w:style>
  <w:style w:type="paragraph" w:customStyle="1" w:styleId="7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link w:val="983"/>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5"/>
    <w:qFormat/>
    <w:uiPriority w:val="0"/>
    <w:pPr>
      <w:keepLines w:val="0"/>
      <w:spacing w:before="0" w:after="0" w:line="240" w:lineRule="auto"/>
      <w:jc w:val="left"/>
    </w:pPr>
    <w:rPr>
      <w:rFonts w:cs="宋体"/>
      <w:sz w:val="21"/>
      <w:szCs w:val="20"/>
    </w:rPr>
  </w:style>
  <w:style w:type="paragraph" w:customStyle="1" w:styleId="7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qFormat/>
    <w:uiPriority w:val="0"/>
    <w:rPr>
      <w:rFonts w:ascii="仿宋_GB2312" w:eastAsia="仿宋_GB2312"/>
      <w:b/>
      <w:sz w:val="32"/>
      <w:szCs w:val="20"/>
    </w:rPr>
  </w:style>
  <w:style w:type="paragraph" w:customStyle="1" w:styleId="74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qFormat/>
    <w:uiPriority w:val="0"/>
    <w:rPr>
      <w:rFonts w:ascii="仿宋_GB2312" w:eastAsia="仿宋_GB2312"/>
      <w:b/>
      <w:sz w:val="32"/>
      <w:szCs w:val="32"/>
    </w:rPr>
  </w:style>
  <w:style w:type="paragraph" w:customStyle="1" w:styleId="744">
    <w:name w:val="Char3 Char Char Char1"/>
    <w:basedOn w:val="1"/>
    <w:qFormat/>
    <w:uiPriority w:val="6"/>
    <w:pPr>
      <w:widowControl/>
      <w:adjustRightInd/>
      <w:spacing w:after="160" w:line="240" w:lineRule="exact"/>
      <w:jc w:val="left"/>
    </w:pPr>
    <w:rPr>
      <w:szCs w:val="20"/>
    </w:rPr>
  </w:style>
  <w:style w:type="paragraph" w:customStyle="1" w:styleId="745">
    <w:name w:val="Char1 Char Char Char21"/>
    <w:basedOn w:val="1"/>
    <w:qFormat/>
    <w:uiPriority w:val="0"/>
    <w:rPr>
      <w:rFonts w:ascii="Tahoma" w:hAnsi="Tahoma"/>
      <w:sz w:val="24"/>
      <w:szCs w:val="20"/>
    </w:rPr>
  </w:style>
  <w:style w:type="paragraph" w:customStyle="1" w:styleId="7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7">
    <w:name w:val="正文（标题三）"/>
    <w:basedOn w:val="1"/>
    <w:qFormat/>
    <w:uiPriority w:val="0"/>
    <w:pPr>
      <w:spacing w:line="360" w:lineRule="auto"/>
      <w:ind w:firstLine="200" w:firstLineChars="200"/>
    </w:pPr>
    <w:rPr>
      <w:sz w:val="24"/>
    </w:rPr>
  </w:style>
  <w:style w:type="paragraph" w:customStyle="1" w:styleId="7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qFormat/>
    <w:uiPriority w:val="0"/>
    <w:pPr>
      <w:adjustRightInd/>
      <w:ind w:firstLine="200" w:firstLineChars="200"/>
    </w:pPr>
    <w:rPr>
      <w:rFonts w:ascii="Tahoma" w:hAnsi="Tahoma"/>
      <w:sz w:val="24"/>
      <w:szCs w:val="20"/>
    </w:rPr>
  </w:style>
  <w:style w:type="paragraph" w:customStyle="1" w:styleId="754">
    <w:name w:val="_标题2"/>
    <w:basedOn w:val="721"/>
    <w:next w:val="72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5">
    <w:name w:val="样式1 + (中宋体"/>
    <w:basedOn w:val="73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qFormat/>
    <w:uiPriority w:val="0"/>
    <w:pPr>
      <w:adjustRightInd/>
      <w:spacing w:line="360" w:lineRule="auto"/>
    </w:pPr>
    <w:rPr>
      <w:rFonts w:ascii="宋体" w:hAnsi="宋体"/>
      <w:szCs w:val="20"/>
    </w:rPr>
  </w:style>
  <w:style w:type="paragraph" w:customStyle="1" w:styleId="7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qFormat/>
    <w:uiPriority w:val="0"/>
    <w:pPr>
      <w:adjustRightInd/>
    </w:pPr>
    <w:rPr>
      <w:rFonts w:ascii="Tahoma" w:hAnsi="Tahoma"/>
      <w:sz w:val="24"/>
    </w:rPr>
  </w:style>
  <w:style w:type="paragraph" w:customStyle="1" w:styleId="762">
    <w:name w:val="Char Char Char Char11"/>
    <w:basedOn w:val="1"/>
    <w:qFormat/>
    <w:uiPriority w:val="0"/>
    <w:rPr>
      <w:rFonts w:ascii="Tahoma" w:hAnsi="Tahoma"/>
      <w:sz w:val="24"/>
      <w:szCs w:val="20"/>
    </w:rPr>
  </w:style>
  <w:style w:type="paragraph" w:customStyle="1" w:styleId="7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qFormat/>
    <w:uiPriority w:val="0"/>
    <w:rPr>
      <w:rFonts w:ascii="Tahoma" w:hAnsi="Tahoma"/>
      <w:sz w:val="24"/>
      <w:szCs w:val="20"/>
    </w:rPr>
  </w:style>
  <w:style w:type="paragraph" w:customStyle="1" w:styleId="76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qFormat/>
    <w:uiPriority w:val="0"/>
    <w:pPr>
      <w:adjustRightInd/>
    </w:pPr>
    <w:rPr>
      <w:szCs w:val="20"/>
    </w:rPr>
  </w:style>
  <w:style w:type="paragraph" w:customStyle="1" w:styleId="7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9">
    <w:name w:val="_Style 5"/>
    <w:basedOn w:val="1"/>
    <w:qFormat/>
    <w:uiPriority w:val="34"/>
    <w:pPr>
      <w:adjustRightInd/>
      <w:ind w:firstLine="420" w:firstLineChars="200"/>
    </w:pPr>
    <w:rPr>
      <w:rFonts w:eastAsia="仿宋_GB2312"/>
      <w:sz w:val="28"/>
    </w:rPr>
  </w:style>
  <w:style w:type="paragraph" w:customStyle="1" w:styleId="7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qFormat/>
    <w:uiPriority w:val="0"/>
    <w:rPr>
      <w:rFonts w:ascii="Times New Roman" w:hAnsi="Times New Roman" w:eastAsia="宋体" w:cs="Times New Roman"/>
      <w:kern w:val="2"/>
      <w:sz w:val="21"/>
      <w:szCs w:val="24"/>
      <w:lang w:val="en-US" w:eastAsia="zh-CN" w:bidi="ar-SA"/>
    </w:rPr>
  </w:style>
  <w:style w:type="paragraph" w:customStyle="1" w:styleId="77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qFormat/>
    <w:uiPriority w:val="0"/>
    <w:rPr>
      <w:rFonts w:ascii="Times New Roman" w:hAnsi="Times New Roman" w:eastAsia="宋体" w:cs="Times New Roman"/>
      <w:kern w:val="2"/>
      <w:sz w:val="21"/>
      <w:lang w:val="en-US" w:eastAsia="zh-CN" w:bidi="ar-SA"/>
    </w:rPr>
  </w:style>
  <w:style w:type="paragraph" w:customStyle="1" w:styleId="77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qFormat/>
    <w:uiPriority w:val="0"/>
    <w:rPr>
      <w:rFonts w:ascii="宋体" w:hAnsi="Times New Roman" w:eastAsia="宋体" w:cs="Times New Roman"/>
      <w:kern w:val="2"/>
      <w:lang w:val="en-US" w:eastAsia="zh-CN" w:bidi="ar-SA"/>
    </w:rPr>
  </w:style>
  <w:style w:type="paragraph" w:customStyle="1" w:styleId="78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qFormat/>
    <w:uiPriority w:val="0"/>
    <w:pPr>
      <w:tabs>
        <w:tab w:val="left" w:pos="360"/>
      </w:tabs>
    </w:pPr>
    <w:rPr>
      <w:sz w:val="24"/>
      <w:szCs w:val="20"/>
    </w:rPr>
  </w:style>
  <w:style w:type="paragraph" w:customStyle="1" w:styleId="78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2">
    <w:name w:val="p0"/>
    <w:basedOn w:val="1"/>
    <w:qFormat/>
    <w:uiPriority w:val="0"/>
    <w:pPr>
      <w:widowControl/>
      <w:adjustRightInd/>
    </w:pPr>
    <w:rPr>
      <w:kern w:val="0"/>
      <w:szCs w:val="21"/>
    </w:rPr>
  </w:style>
  <w:style w:type="paragraph" w:customStyle="1" w:styleId="793">
    <w:name w:val="Char6"/>
    <w:basedOn w:val="1"/>
    <w:qFormat/>
    <w:uiPriority w:val="0"/>
    <w:rPr>
      <w:rFonts w:ascii="仿宋_GB2312" w:eastAsia="仿宋_GB2312"/>
      <w:b/>
      <w:sz w:val="32"/>
      <w:szCs w:val="32"/>
    </w:rPr>
  </w:style>
  <w:style w:type="paragraph" w:customStyle="1" w:styleId="794">
    <w:name w:val="Char111"/>
    <w:basedOn w:val="1"/>
    <w:qFormat/>
    <w:uiPriority w:val="0"/>
    <w:rPr>
      <w:rFonts w:ascii="仿宋_GB2312" w:eastAsia="仿宋_GB2312"/>
      <w:b/>
      <w:sz w:val="32"/>
      <w:szCs w:val="32"/>
    </w:rPr>
  </w:style>
  <w:style w:type="paragraph" w:customStyle="1" w:styleId="795">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qFormat/>
    <w:uiPriority w:val="0"/>
    <w:pPr>
      <w:adjustRightInd/>
      <w:ind w:firstLine="200" w:firstLineChars="200"/>
    </w:pPr>
    <w:rPr>
      <w:rFonts w:ascii="Tahoma" w:hAnsi="Tahoma"/>
      <w:sz w:val="24"/>
      <w:szCs w:val="20"/>
    </w:rPr>
  </w:style>
  <w:style w:type="paragraph" w:customStyle="1" w:styleId="79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1">
    <w:name w:val="Char Char Char Char Char Char Char2"/>
    <w:basedOn w:val="1"/>
    <w:qFormat/>
    <w:uiPriority w:val="0"/>
    <w:rPr>
      <w:rFonts w:ascii="仿宋_GB2312" w:eastAsia="仿宋_GB2312"/>
      <w:b/>
      <w:sz w:val="32"/>
      <w:szCs w:val="32"/>
    </w:rPr>
  </w:style>
  <w:style w:type="paragraph" w:customStyle="1" w:styleId="802">
    <w:name w:val="五级条标题"/>
    <w:basedOn w:val="803"/>
    <w:next w:val="649"/>
    <w:qFormat/>
    <w:uiPriority w:val="0"/>
    <w:pPr>
      <w:tabs>
        <w:tab w:val="left" w:pos="1260"/>
        <w:tab w:val="left" w:pos="1680"/>
        <w:tab w:val="left" w:pos="2100"/>
        <w:tab w:val="left" w:pos="2940"/>
        <w:tab w:val="left" w:pos="3360"/>
      </w:tabs>
      <w:ind w:left="3360"/>
      <w:outlineLvl w:val="6"/>
    </w:pPr>
  </w:style>
  <w:style w:type="paragraph" w:customStyle="1" w:styleId="803">
    <w:name w:val="四级条标题"/>
    <w:basedOn w:val="664"/>
    <w:next w:val="649"/>
    <w:qFormat/>
    <w:uiPriority w:val="0"/>
    <w:pPr>
      <w:tabs>
        <w:tab w:val="left" w:pos="2940"/>
        <w:tab w:val="clear" w:pos="2520"/>
      </w:tabs>
      <w:ind w:left="2940"/>
      <w:outlineLvl w:val="5"/>
    </w:pPr>
  </w:style>
  <w:style w:type="paragraph" w:customStyle="1" w:styleId="80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qFormat/>
    <w:uiPriority w:val="0"/>
    <w:rPr>
      <w:rFonts w:ascii="仿宋_GB2312" w:eastAsia="仿宋_GB2312"/>
      <w:b/>
      <w:sz w:val="32"/>
      <w:szCs w:val="32"/>
    </w:rPr>
  </w:style>
  <w:style w:type="paragraph" w:customStyle="1" w:styleId="80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8">
    <w:name w:val="首行缩进"/>
    <w:basedOn w:val="1"/>
    <w:qFormat/>
    <w:uiPriority w:val="0"/>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0">
    <w:name w:val="单元格左对齐"/>
    <w:basedOn w:val="1"/>
    <w:qFormat/>
    <w:uiPriority w:val="0"/>
    <w:pPr>
      <w:adjustRightInd/>
      <w:spacing w:line="360" w:lineRule="auto"/>
    </w:pPr>
    <w:rPr>
      <w:sz w:val="24"/>
    </w:rPr>
  </w:style>
  <w:style w:type="paragraph" w:customStyle="1" w:styleId="811">
    <w:name w:val="正文主体"/>
    <w:basedOn w:val="633"/>
    <w:qFormat/>
    <w:uiPriority w:val="0"/>
  </w:style>
  <w:style w:type="paragraph" w:customStyle="1" w:styleId="81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qFormat/>
    <w:uiPriority w:val="0"/>
    <w:pPr>
      <w:adjustRightInd/>
      <w:spacing w:line="360" w:lineRule="auto"/>
      <w:ind w:firstLine="480" w:firstLineChars="200"/>
    </w:pPr>
    <w:rPr>
      <w:sz w:val="24"/>
      <w:szCs w:val="20"/>
    </w:rPr>
  </w:style>
  <w:style w:type="paragraph" w:customStyle="1" w:styleId="816">
    <w:name w:val="P1"/>
    <w:basedOn w:val="1"/>
    <w:qFormat/>
    <w:uiPriority w:val="0"/>
    <w:pPr>
      <w:adjustRightInd/>
      <w:spacing w:line="288" w:lineRule="auto"/>
      <w:ind w:firstLine="425" w:firstLineChars="200"/>
    </w:pPr>
  </w:style>
  <w:style w:type="paragraph" w:customStyle="1" w:styleId="817">
    <w:name w:val="列表内容"/>
    <w:basedOn w:val="1"/>
    <w:next w:val="1"/>
    <w:qFormat/>
    <w:uiPriority w:val="0"/>
    <w:pPr>
      <w:widowControl/>
      <w:tabs>
        <w:tab w:val="left" w:pos="840"/>
      </w:tabs>
      <w:ind w:left="840" w:hanging="420"/>
      <w:jc w:val="left"/>
    </w:pPr>
    <w:rPr>
      <w:kern w:val="0"/>
      <w:sz w:val="18"/>
    </w:rPr>
  </w:style>
  <w:style w:type="paragraph" w:customStyle="1" w:styleId="818">
    <w:name w:val="Char Char11 Char Char Char1"/>
    <w:basedOn w:val="1"/>
    <w:qFormat/>
    <w:uiPriority w:val="6"/>
    <w:pPr>
      <w:spacing w:line="360" w:lineRule="auto"/>
    </w:pPr>
    <w:rPr>
      <w:szCs w:val="20"/>
    </w:rPr>
  </w:style>
  <w:style w:type="paragraph" w:customStyle="1" w:styleId="81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qFormat/>
    <w:uiPriority w:val="0"/>
    <w:pPr>
      <w:spacing w:line="360" w:lineRule="auto"/>
    </w:pPr>
    <w:rPr>
      <w:szCs w:val="20"/>
    </w:rPr>
  </w:style>
  <w:style w:type="paragraph" w:customStyle="1" w:styleId="82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qFormat/>
    <w:uiPriority w:val="0"/>
    <w:rPr>
      <w:rFonts w:ascii="仿宋_GB2312" w:eastAsia="仿宋_GB2312"/>
      <w:b/>
      <w:sz w:val="32"/>
      <w:szCs w:val="32"/>
    </w:rPr>
  </w:style>
  <w:style w:type="paragraph" w:customStyle="1" w:styleId="82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0">
    <w:name w:val="正文 首行缩进:  2 字符 Char"/>
    <w:basedOn w:val="1"/>
    <w:qFormat/>
    <w:uiPriority w:val="0"/>
    <w:pPr>
      <w:adjustRightInd/>
      <w:spacing w:line="360" w:lineRule="auto"/>
      <w:ind w:firstLine="480"/>
    </w:pPr>
    <w:rPr>
      <w:rFonts w:cs="宋体"/>
      <w:sz w:val="24"/>
      <w:szCs w:val="20"/>
    </w:rPr>
  </w:style>
  <w:style w:type="paragraph" w:customStyle="1" w:styleId="831">
    <w:name w:val="Char Char4 Char Char"/>
    <w:basedOn w:val="1"/>
    <w:qFormat/>
    <w:uiPriority w:val="0"/>
    <w:pPr>
      <w:widowControl/>
      <w:adjustRightInd/>
      <w:spacing w:after="160" w:line="240" w:lineRule="exact"/>
      <w:jc w:val="left"/>
    </w:pPr>
  </w:style>
  <w:style w:type="paragraph" w:customStyle="1" w:styleId="83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qFormat/>
    <w:uiPriority w:val="0"/>
    <w:pPr>
      <w:spacing w:line="360" w:lineRule="auto"/>
    </w:pPr>
    <w:rPr>
      <w:szCs w:val="20"/>
    </w:rPr>
  </w:style>
  <w:style w:type="paragraph" w:customStyle="1" w:styleId="83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qFormat/>
    <w:uiPriority w:val="0"/>
    <w:pPr>
      <w:adjustRightInd/>
      <w:ind w:firstLine="200" w:firstLineChars="200"/>
    </w:pPr>
    <w:rPr>
      <w:rFonts w:ascii="Tahoma" w:hAnsi="Tahoma"/>
      <w:sz w:val="24"/>
      <w:szCs w:val="20"/>
    </w:rPr>
  </w:style>
  <w:style w:type="paragraph" w:customStyle="1" w:styleId="84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3">
    <w:name w:val="正文 内标"/>
    <w:basedOn w:val="758"/>
    <w:qFormat/>
    <w:uiPriority w:val="0"/>
    <w:pPr>
      <w:tabs>
        <w:tab w:val="left" w:pos="0"/>
      </w:tabs>
      <w:ind w:left="900" w:firstLine="0" w:firstLineChars="0"/>
    </w:pPr>
  </w:style>
  <w:style w:type="paragraph" w:customStyle="1" w:styleId="844">
    <w:name w:val="Bulleted List"/>
    <w:basedOn w:val="1"/>
    <w:qFormat/>
    <w:uiPriority w:val="0"/>
    <w:pPr>
      <w:tabs>
        <w:tab w:val="left" w:pos="1260"/>
      </w:tabs>
      <w:adjustRightInd/>
      <w:ind w:left="1260" w:hanging="420"/>
    </w:pPr>
  </w:style>
  <w:style w:type="paragraph" w:customStyle="1" w:styleId="84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6">
    <w:name w:val="样式 左侧:  0.85 厘米"/>
    <w:basedOn w:val="1"/>
    <w:qFormat/>
    <w:uiPriority w:val="2"/>
    <w:pPr>
      <w:adjustRightInd/>
      <w:spacing w:line="360" w:lineRule="auto"/>
    </w:pPr>
    <w:rPr>
      <w:rFonts w:cs="宋体"/>
      <w:sz w:val="24"/>
      <w:szCs w:val="20"/>
    </w:rPr>
  </w:style>
  <w:style w:type="paragraph" w:customStyle="1" w:styleId="847">
    <w:name w:val="Char Char Char Char Char Char Char Char Char Char Char Char1 Char"/>
    <w:basedOn w:val="1"/>
    <w:qFormat/>
    <w:uiPriority w:val="0"/>
    <w:rPr>
      <w:rFonts w:ascii="Tahoma" w:hAnsi="Tahoma" w:cs="仿宋_GB2312"/>
      <w:sz w:val="24"/>
      <w:szCs w:val="20"/>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9"/>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67"/>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80"/>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7"/>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7"/>
    <w:qFormat/>
    <w:uiPriority w:val="0"/>
    <w:rPr>
      <w:b w:val="0"/>
      <w:sz w:val="20"/>
    </w:rPr>
  </w:style>
  <w:style w:type="paragraph" w:customStyle="1" w:styleId="90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数字标题5"/>
    <w:basedOn w:val="7"/>
    <w:next w:val="1"/>
    <w:qFormat/>
    <w:uiPriority w:val="0"/>
    <w:pPr>
      <w:tabs>
        <w:tab w:val="left" w:pos="1080"/>
      </w:tabs>
      <w:ind w:left="1080" w:hanging="1080"/>
    </w:pPr>
  </w:style>
  <w:style w:type="paragraph" w:customStyle="1" w:styleId="903">
    <w:name w:val="数字标题1"/>
    <w:basedOn w:val="3"/>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2"/>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71"/>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字符"/>
    <w:link w:val="40"/>
    <w:qFormat/>
    <w:uiPriority w:val="0"/>
    <w:rPr>
      <w:kern w:val="2"/>
      <w:sz w:val="21"/>
      <w:szCs w:val="24"/>
      <w:lang w:val="zh-CN"/>
    </w:rPr>
  </w:style>
  <w:style w:type="character" w:customStyle="1" w:styleId="939">
    <w:name w:val="无间隔 字符"/>
    <w:link w:val="492"/>
    <w:qFormat/>
    <w:uiPriority w:val="1"/>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67"/>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5"/>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1">
    <w:name w:val="纯文本3"/>
    <w:basedOn w:val="1"/>
    <w:qFormat/>
    <w:uiPriority w:val="0"/>
    <w:pPr>
      <w:textAlignment w:val="baseline"/>
    </w:pPr>
    <w:rPr>
      <w:rFonts w:ascii="宋体" w:hAnsi="Courier New" w:eastAsia="楷体_GB2312"/>
      <w:sz w:val="26"/>
      <w:szCs w:val="20"/>
    </w:rPr>
  </w:style>
  <w:style w:type="paragraph" w:customStyle="1" w:styleId="97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7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4">
    <w:name w:val="Heading1"/>
    <w:basedOn w:val="1"/>
    <w:next w:val="1"/>
    <w:qFormat/>
    <w:uiPriority w:val="0"/>
    <w:pPr>
      <w:keepNext/>
      <w:keepLines/>
      <w:spacing w:before="340" w:after="330" w:line="578" w:lineRule="auto"/>
      <w:textAlignment w:val="baseline"/>
    </w:pPr>
    <w:rPr>
      <w:b/>
      <w:bCs/>
      <w:kern w:val="44"/>
      <w:sz w:val="44"/>
      <w:szCs w:val="44"/>
    </w:rPr>
  </w:style>
  <w:style w:type="character" w:customStyle="1" w:styleId="975">
    <w:name w:val="NormalCharacter"/>
    <w:qFormat/>
    <w:uiPriority w:val="0"/>
    <w:rPr>
      <w:kern w:val="2"/>
      <w:sz w:val="21"/>
      <w:szCs w:val="24"/>
      <w:lang w:val="en-US" w:eastAsia="zh-CN" w:bidi="ar-SA"/>
    </w:rPr>
  </w:style>
  <w:style w:type="character" w:customStyle="1" w:styleId="976">
    <w:name w:val="UserStyle_12"/>
    <w:qFormat/>
    <w:uiPriority w:val="0"/>
    <w:rPr>
      <w:kern w:val="2"/>
      <w:sz w:val="21"/>
      <w:szCs w:val="24"/>
      <w:lang w:val="en-US" w:eastAsia="zh-CN" w:bidi="ar-SA"/>
    </w:rPr>
  </w:style>
  <w:style w:type="paragraph" w:customStyle="1" w:styleId="977">
    <w:name w:val="BodyText"/>
    <w:basedOn w:val="1"/>
    <w:next w:val="978"/>
    <w:qFormat/>
    <w:uiPriority w:val="0"/>
    <w:pPr>
      <w:spacing w:after="120"/>
      <w:textAlignment w:val="baseline"/>
    </w:pPr>
    <w:rPr>
      <w:rFonts w:ascii="Calibri" w:hAnsi="Calibri"/>
    </w:rPr>
  </w:style>
  <w:style w:type="paragraph" w:customStyle="1" w:styleId="978">
    <w:name w:val="BodyText2"/>
    <w:basedOn w:val="1"/>
    <w:next w:val="1"/>
    <w:qFormat/>
    <w:uiPriority w:val="0"/>
    <w:pPr>
      <w:widowControl/>
      <w:snapToGrid w:val="0"/>
      <w:spacing w:before="50" w:after="156" w:line="400" w:lineRule="exact"/>
      <w:jc w:val="left"/>
      <w:textAlignment w:val="baseline"/>
    </w:pPr>
    <w:rPr>
      <w:rFonts w:ascii="宋体" w:hAnsi="宋体"/>
      <w:color w:val="000000"/>
      <w:sz w:val="24"/>
    </w:rPr>
  </w:style>
  <w:style w:type="paragraph" w:customStyle="1" w:styleId="979">
    <w:name w:val="纯文本4"/>
    <w:basedOn w:val="1"/>
    <w:qFormat/>
    <w:uiPriority w:val="0"/>
    <w:pPr>
      <w:textAlignment w:val="baseline"/>
    </w:pPr>
    <w:rPr>
      <w:rFonts w:ascii="宋体" w:hAnsi="Courier New" w:eastAsia="楷体_GB2312"/>
      <w:sz w:val="26"/>
      <w:szCs w:val="20"/>
    </w:rPr>
  </w:style>
  <w:style w:type="paragraph" w:customStyle="1" w:styleId="980">
    <w:name w:val="!正文"/>
    <w:basedOn w:val="1"/>
    <w:qFormat/>
    <w:uiPriority w:val="0"/>
    <w:pPr>
      <w:widowControl/>
      <w:snapToGrid w:val="0"/>
      <w:ind w:firstLine="200" w:firstLineChars="200"/>
      <w:jc w:val="left"/>
    </w:pPr>
    <w:rPr>
      <w:rFonts w:ascii="Calibri" w:hAnsi="Calibri"/>
      <w:szCs w:val="21"/>
    </w:rPr>
  </w:style>
  <w:style w:type="character" w:customStyle="1" w:styleId="981">
    <w:name w:val="__正文 Char"/>
    <w:basedOn w:val="75"/>
    <w:link w:val="721"/>
    <w:qFormat/>
    <w:uiPriority w:val="0"/>
    <w:rPr>
      <w:rFonts w:eastAsia="等线"/>
      <w:kern w:val="2"/>
      <w:sz w:val="24"/>
      <w:szCs w:val="21"/>
    </w:rPr>
  </w:style>
  <w:style w:type="character" w:customStyle="1" w:styleId="982">
    <w:name w:val="sub_title1"/>
    <w:qFormat/>
    <w:uiPriority w:val="0"/>
    <w:rPr>
      <w:rFonts w:hint="default" w:ascii="Verdana" w:hAnsi="Verdana"/>
      <w:b/>
      <w:bCs/>
      <w:sz w:val="19"/>
      <w:szCs w:val="19"/>
    </w:rPr>
  </w:style>
  <w:style w:type="character" w:customStyle="1" w:styleId="983">
    <w:name w:val="样式1 Char"/>
    <w:link w:val="732"/>
    <w:qFormat/>
    <w:uiPriority w:val="0"/>
    <w:rPr>
      <w:rFonts w:ascii="宋体" w:hAnsi="宋体"/>
      <w:sz w:val="24"/>
    </w:rPr>
  </w:style>
  <w:style w:type="character" w:styleId="984">
    <w:name w:val="Placeholder Text"/>
    <w:semiHidden/>
    <w:qFormat/>
    <w:uiPriority w:val="99"/>
    <w:rPr>
      <w:color w:val="808080"/>
    </w:rPr>
  </w:style>
  <w:style w:type="character" w:customStyle="1" w:styleId="985">
    <w:name w:val="批注主题 字符1"/>
    <w:basedOn w:val="353"/>
    <w:semiHidden/>
    <w:qFormat/>
    <w:uiPriority w:val="99"/>
    <w:rPr>
      <w:rFonts w:ascii="Times New Roman" w:hAnsi="Times New Roman" w:eastAsia="宋体" w:cs="Times New Roman"/>
      <w:b/>
      <w:bCs/>
      <w:kern w:val="0"/>
      <w:sz w:val="24"/>
      <w:szCs w:val="24"/>
    </w:rPr>
  </w:style>
  <w:style w:type="paragraph" w:customStyle="1" w:styleId="986">
    <w:name w:val="bigtext2"/>
    <w:basedOn w:val="1"/>
    <w:qFormat/>
    <w:uiPriority w:val="0"/>
    <w:pPr>
      <w:widowControl/>
      <w:adjustRightInd/>
      <w:spacing w:before="100" w:beforeAutospacing="1" w:after="100" w:afterAutospacing="1" w:line="360" w:lineRule="auto"/>
      <w:jc w:val="left"/>
    </w:pPr>
    <w:rPr>
      <w:rFonts w:ascii="Arial" w:hAnsi="Arial" w:cs="Arial"/>
      <w:color w:val="0066CC"/>
      <w:kern w:val="0"/>
      <w:szCs w:val="21"/>
    </w:rPr>
  </w:style>
  <w:style w:type="character" w:customStyle="1" w:styleId="987">
    <w:name w:val="日期 字符1"/>
    <w:basedOn w:val="75"/>
    <w:semiHidden/>
    <w:qFormat/>
    <w:uiPriority w:val="99"/>
    <w:rPr>
      <w:rFonts w:ascii="Times New Roman" w:hAnsi="Times New Roman" w:eastAsia="宋体" w:cs="Times New Roman"/>
      <w:kern w:val="0"/>
      <w:sz w:val="24"/>
      <w:szCs w:val="24"/>
    </w:rPr>
  </w:style>
  <w:style w:type="paragraph" w:customStyle="1" w:styleId="988">
    <w:name w:val="书写建议+首行缩进"/>
    <w:basedOn w:val="1"/>
    <w:uiPriority w:val="0"/>
    <w:pPr>
      <w:adjustRightInd/>
      <w:spacing w:after="120"/>
      <w:ind w:left="420" w:leftChars="200"/>
    </w:pPr>
    <w:rPr>
      <w:i/>
      <w:iCs/>
      <w:color w:val="0000FF"/>
    </w:rPr>
  </w:style>
  <w:style w:type="character" w:customStyle="1" w:styleId="989">
    <w:name w:val="标题 字符1"/>
    <w:basedOn w:val="75"/>
    <w:qFormat/>
    <w:uiPriority w:val="10"/>
    <w:rPr>
      <w:rFonts w:asciiTheme="majorHAnsi" w:hAnsiTheme="majorHAnsi" w:eastAsiaTheme="majorEastAsia" w:cstheme="majorBidi"/>
      <w:b/>
      <w:bCs/>
      <w:kern w:val="0"/>
      <w:sz w:val="32"/>
      <w:szCs w:val="32"/>
    </w:rPr>
  </w:style>
  <w:style w:type="character" w:customStyle="1" w:styleId="990">
    <w:name w:val="副标题 字符1"/>
    <w:basedOn w:val="75"/>
    <w:qFormat/>
    <w:uiPriority w:val="11"/>
    <w:rPr>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191</Pages>
  <Words>101575</Words>
  <Characters>106209</Characters>
  <Lines>832</Lines>
  <Paragraphs>234</Paragraphs>
  <TotalTime>63</TotalTime>
  <ScaleCrop>false</ScaleCrop>
  <LinksUpToDate>false</LinksUpToDate>
  <CharactersWithSpaces>109087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9</cp:lastModifiedBy>
  <cp:lastPrinted>2022-04-02T14:08:00Z</cp:lastPrinted>
  <dcterms:modified xsi:type="dcterms:W3CDTF">2023-02-03T06:46:08Z</dcterms:modified>
  <dc:title>杭州市市民卡扩大发卡工程</dc:title>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8DAFF919EFCB4B0A9DEF23571D0B59AB</vt:lpwstr>
  </property>
  <property fmtid="{D5CDD505-2E9C-101B-9397-08002B2CF9AE}" pid="5" name="commondata">
    <vt:lpwstr>eyJoZGlkIjoiMGMzMTVmNWQ0ZWUwMDFhMGMxMjI0ODY0ODBlMmFiN2UifQ==</vt:lpwstr>
  </property>
</Properties>
</file>