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hint="eastAsia" w:ascii="仿宋" w:hAnsi="仿宋" w:eastAsia="仿宋" w:cs="仿宋_GB2312"/>
          <w:b/>
          <w:sz w:val="24"/>
          <w:highlight w:val="none"/>
        </w:rPr>
      </w:pPr>
    </w:p>
    <w:p>
      <w:pPr>
        <w:spacing w:line="1160" w:lineRule="exact"/>
        <w:jc w:val="center"/>
        <w:rPr>
          <w:rFonts w:hint="default" w:ascii="宋体" w:hAnsi="宋体" w:eastAsia="宋体"/>
          <w:b/>
          <w:sz w:val="56"/>
          <w:szCs w:val="56"/>
          <w:highlight w:val="none"/>
          <w:lang w:val="en-US" w:eastAsia="zh-CN"/>
        </w:rPr>
      </w:pPr>
      <w:bookmarkStart w:id="0" w:name="_Hlt67893495"/>
      <w:bookmarkEnd w:id="0"/>
      <w:r>
        <w:rPr>
          <w:rFonts w:hint="eastAsia" w:ascii="宋体" w:hAnsi="宋体"/>
          <w:b/>
          <w:sz w:val="52"/>
          <w:szCs w:val="52"/>
          <w:highlight w:val="none"/>
          <w:lang w:eastAsia="zh-CN"/>
        </w:rPr>
        <w:t>嘉善农科所长秀基地生态智慧提升单体大棚采购项目（第三次）</w:t>
      </w:r>
    </w:p>
    <w:p>
      <w:pPr>
        <w:spacing w:before="120" w:beforeLines="50"/>
        <w:rPr>
          <w:rFonts w:ascii="宋体" w:hAnsi="宋体"/>
          <w:sz w:val="72"/>
          <w:szCs w:val="72"/>
          <w:highlight w:val="none"/>
        </w:rPr>
      </w:pPr>
    </w:p>
    <w:p>
      <w:pPr>
        <w:spacing w:before="120" w:beforeLines="50"/>
        <w:rPr>
          <w:rFonts w:ascii="宋体" w:hAnsi="宋体"/>
          <w:sz w:val="72"/>
          <w:szCs w:val="72"/>
          <w:highlight w:val="none"/>
        </w:rPr>
      </w:pPr>
    </w:p>
    <w:p>
      <w:pPr>
        <w:spacing w:before="120" w:beforeLines="50"/>
        <w:rPr>
          <w:rFonts w:ascii="宋体" w:hAnsi="宋体"/>
          <w:sz w:val="72"/>
          <w:szCs w:val="72"/>
          <w:highlight w:val="none"/>
        </w:rPr>
      </w:pPr>
    </w:p>
    <w:p>
      <w:pPr>
        <w:spacing w:before="120" w:beforeLines="50"/>
        <w:jc w:val="center"/>
        <w:rPr>
          <w:rFonts w:ascii="宋体" w:hAnsi="宋体"/>
          <w:sz w:val="72"/>
          <w:szCs w:val="72"/>
          <w:highlight w:val="none"/>
        </w:rPr>
      </w:pPr>
      <w:r>
        <w:rPr>
          <w:rFonts w:hint="eastAsia" w:ascii="宋体" w:hAnsi="宋体"/>
          <w:sz w:val="72"/>
          <w:szCs w:val="72"/>
          <w:highlight w:val="none"/>
        </w:rPr>
        <w:t>公开招标文件</w:t>
      </w:r>
    </w:p>
    <w:p>
      <w:pPr>
        <w:pStyle w:val="61"/>
        <w:rPr>
          <w:highlight w:val="none"/>
        </w:rPr>
      </w:pPr>
    </w:p>
    <w:p>
      <w:pPr>
        <w:snapToGrid w:val="0"/>
        <w:spacing w:before="120" w:beforeLines="50" w:line="360" w:lineRule="auto"/>
        <w:jc w:val="center"/>
        <w:rPr>
          <w:rFonts w:ascii="宋体" w:hAnsi="宋体"/>
          <w:sz w:val="30"/>
          <w:szCs w:val="72"/>
          <w:highlight w:val="none"/>
        </w:rPr>
      </w:pPr>
    </w:p>
    <w:p>
      <w:pPr>
        <w:snapToGrid w:val="0"/>
        <w:spacing w:before="120" w:beforeLines="50" w:line="360" w:lineRule="auto"/>
        <w:rPr>
          <w:rFonts w:ascii="宋体" w:hAnsi="宋体"/>
          <w:sz w:val="30"/>
          <w:szCs w:val="72"/>
          <w:highlight w:val="none"/>
        </w:rPr>
      </w:pPr>
    </w:p>
    <w:p>
      <w:pPr>
        <w:pStyle w:val="34"/>
        <w:snapToGrid w:val="0"/>
        <w:spacing w:before="120" w:after="120" w:line="360" w:lineRule="auto"/>
        <w:rPr>
          <w:b/>
          <w:sz w:val="30"/>
          <w:szCs w:val="30"/>
          <w:highlight w:val="none"/>
        </w:rPr>
      </w:pPr>
    </w:p>
    <w:p>
      <w:pPr>
        <w:pStyle w:val="34"/>
        <w:snapToGrid w:val="0"/>
        <w:spacing w:before="120" w:after="120" w:line="360" w:lineRule="auto"/>
        <w:jc w:val="left"/>
        <w:rPr>
          <w:b/>
          <w:sz w:val="30"/>
          <w:szCs w:val="30"/>
          <w:highlight w:val="none"/>
        </w:rPr>
      </w:pPr>
    </w:p>
    <w:p>
      <w:pPr>
        <w:pStyle w:val="34"/>
        <w:snapToGrid w:val="0"/>
        <w:spacing w:before="120" w:after="120" w:line="360" w:lineRule="auto"/>
        <w:jc w:val="left"/>
        <w:rPr>
          <w:b/>
          <w:sz w:val="30"/>
          <w:szCs w:val="30"/>
          <w:highlight w:val="none"/>
        </w:rPr>
      </w:pPr>
    </w:p>
    <w:p>
      <w:pPr>
        <w:pStyle w:val="34"/>
        <w:snapToGrid w:val="0"/>
        <w:spacing w:before="120" w:after="120" w:line="360" w:lineRule="auto"/>
        <w:jc w:val="left"/>
        <w:rPr>
          <w:b/>
          <w:sz w:val="30"/>
          <w:szCs w:val="30"/>
          <w:highlight w:val="none"/>
        </w:rPr>
      </w:pPr>
      <w:r>
        <w:rPr>
          <w:b/>
          <w:sz w:val="30"/>
          <w:szCs w:val="30"/>
          <w:highlight w:val="none"/>
        </w:rPr>
        <w:t>项目编号：</w:t>
      </w:r>
      <w:r>
        <w:rPr>
          <w:rFonts w:hint="eastAsia" w:hAnsi="宋体"/>
          <w:b/>
          <w:sz w:val="30"/>
          <w:szCs w:val="48"/>
          <w:highlight w:val="none"/>
          <w:lang w:eastAsia="zh-CN"/>
        </w:rPr>
        <w:t>JXYJ2022049</w:t>
      </w:r>
      <w:r>
        <w:rPr>
          <w:rFonts w:hint="eastAsia" w:hAnsi="宋体"/>
          <w:b/>
          <w:sz w:val="30"/>
          <w:szCs w:val="48"/>
          <w:highlight w:val="none"/>
        </w:rPr>
        <w:t>(G)</w:t>
      </w:r>
    </w:p>
    <w:p>
      <w:pPr>
        <w:pStyle w:val="34"/>
        <w:snapToGrid w:val="0"/>
        <w:spacing w:before="120" w:after="120" w:line="360" w:lineRule="auto"/>
        <w:jc w:val="left"/>
        <w:rPr>
          <w:rFonts w:hint="eastAsia" w:eastAsia="宋体"/>
          <w:b/>
          <w:sz w:val="30"/>
          <w:szCs w:val="30"/>
          <w:highlight w:val="none"/>
          <w:lang w:eastAsia="zh-CN"/>
        </w:rPr>
      </w:pPr>
      <w:r>
        <w:rPr>
          <w:rFonts w:hint="eastAsia"/>
          <w:b/>
          <w:sz w:val="30"/>
          <w:szCs w:val="30"/>
          <w:highlight w:val="none"/>
        </w:rPr>
        <w:t>项目名称：</w:t>
      </w:r>
      <w:r>
        <w:rPr>
          <w:rFonts w:hint="eastAsia"/>
          <w:b/>
          <w:sz w:val="30"/>
          <w:szCs w:val="30"/>
          <w:highlight w:val="none"/>
          <w:lang w:eastAsia="zh-CN"/>
        </w:rPr>
        <w:t>嘉善农科所长秀基地生态智慧提升单体大棚采购项目（第三次）</w:t>
      </w:r>
    </w:p>
    <w:p>
      <w:pPr>
        <w:pStyle w:val="34"/>
        <w:snapToGrid w:val="0"/>
        <w:spacing w:before="120" w:after="120" w:line="360" w:lineRule="auto"/>
        <w:jc w:val="left"/>
        <w:rPr>
          <w:rFonts w:hAnsi="宋体"/>
          <w:b/>
          <w:sz w:val="30"/>
          <w:szCs w:val="30"/>
          <w:highlight w:val="none"/>
        </w:rPr>
      </w:pPr>
      <w:r>
        <w:rPr>
          <w:b/>
          <w:sz w:val="30"/>
          <w:szCs w:val="30"/>
          <w:highlight w:val="none"/>
        </w:rPr>
        <w:t>采购</w:t>
      </w:r>
      <w:r>
        <w:rPr>
          <w:rFonts w:hint="eastAsia"/>
          <w:b/>
          <w:sz w:val="30"/>
          <w:szCs w:val="30"/>
          <w:highlight w:val="none"/>
        </w:rPr>
        <w:t>单位</w:t>
      </w:r>
      <w:r>
        <w:rPr>
          <w:b/>
          <w:sz w:val="30"/>
          <w:szCs w:val="30"/>
          <w:highlight w:val="none"/>
        </w:rPr>
        <w:t>：</w:t>
      </w:r>
      <w:r>
        <w:rPr>
          <w:rFonts w:hint="eastAsia"/>
          <w:b/>
          <w:sz w:val="30"/>
          <w:szCs w:val="30"/>
          <w:highlight w:val="none"/>
        </w:rPr>
        <w:t>嘉兴市农业科学研究院嘉善农业科学研究所</w:t>
      </w:r>
    </w:p>
    <w:p>
      <w:pPr>
        <w:pStyle w:val="34"/>
        <w:snapToGrid w:val="0"/>
        <w:spacing w:before="120" w:after="120" w:line="360" w:lineRule="auto"/>
        <w:jc w:val="left"/>
        <w:rPr>
          <w:rFonts w:hAnsi="宋体"/>
          <w:b/>
          <w:bCs/>
          <w:sz w:val="30"/>
          <w:szCs w:val="30"/>
          <w:highlight w:val="none"/>
        </w:rPr>
      </w:pPr>
      <w:r>
        <w:rPr>
          <w:rFonts w:hint="eastAsia"/>
          <w:b/>
          <w:sz w:val="30"/>
          <w:szCs w:val="30"/>
          <w:highlight w:val="none"/>
        </w:rPr>
        <w:t>采购代理机构</w:t>
      </w:r>
      <w:r>
        <w:rPr>
          <w:b/>
          <w:sz w:val="30"/>
          <w:szCs w:val="30"/>
          <w:highlight w:val="none"/>
        </w:rPr>
        <w:t>：</w:t>
      </w:r>
      <w:r>
        <w:rPr>
          <w:rFonts w:hint="eastAsia"/>
          <w:b/>
          <w:sz w:val="30"/>
          <w:szCs w:val="30"/>
          <w:highlight w:val="none"/>
        </w:rPr>
        <w:t>嘉兴市银建工程咨询评估有限公司</w:t>
      </w:r>
    </w:p>
    <w:p>
      <w:pPr>
        <w:spacing w:line="360" w:lineRule="auto"/>
        <w:jc w:val="center"/>
        <w:rPr>
          <w:rFonts w:ascii="仿宋" w:hAnsi="仿宋" w:eastAsia="仿宋" w:cs="仿宋_GB2312"/>
          <w:sz w:val="24"/>
          <w:highlight w:val="none"/>
        </w:rPr>
      </w:pPr>
      <w:r>
        <w:rPr>
          <w:rFonts w:hint="eastAsia" w:ascii="宋体" w:hAnsi="宋体"/>
          <w:b/>
          <w:bCs/>
          <w:w w:val="95"/>
          <w:sz w:val="30"/>
          <w:szCs w:val="30"/>
          <w:highlight w:val="none"/>
        </w:rPr>
        <w:t>2022年</w:t>
      </w:r>
      <w:r>
        <w:rPr>
          <w:rFonts w:hint="eastAsia" w:ascii="宋体" w:hAnsi="宋体"/>
          <w:b/>
          <w:bCs/>
          <w:w w:val="95"/>
          <w:sz w:val="30"/>
          <w:szCs w:val="30"/>
          <w:highlight w:val="none"/>
          <w:lang w:val="en-US" w:eastAsia="zh-CN"/>
        </w:rPr>
        <w:t>12</w:t>
      </w:r>
      <w:r>
        <w:rPr>
          <w:rFonts w:hint="eastAsia" w:ascii="宋体" w:hAnsi="宋体"/>
          <w:b/>
          <w:bCs/>
          <w:w w:val="95"/>
          <w:sz w:val="30"/>
          <w:szCs w:val="30"/>
          <w:highlight w:val="none"/>
        </w:rPr>
        <w:t>月</w:t>
      </w:r>
    </w:p>
    <w:p>
      <w:pPr>
        <w:rPr>
          <w:rFonts w:ascii="仿宋" w:hAnsi="仿宋" w:eastAsia="仿宋" w:cs="仿宋_GB2312"/>
          <w:sz w:val="24"/>
          <w:highlight w:val="none"/>
        </w:rPr>
        <w:sectPr>
          <w:headerReference r:id="rId3" w:type="default"/>
          <w:footerReference r:id="rId4"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4"/>
        <w:spacing w:before="120" w:after="120" w:line="600" w:lineRule="exact"/>
        <w:rPr>
          <w:rFonts w:ascii="创艺简标宋" w:hAnsi="宋体" w:eastAsia="创艺简标宋"/>
          <w:b/>
          <w:sz w:val="44"/>
          <w:szCs w:val="44"/>
          <w:highlight w:val="none"/>
        </w:rPr>
      </w:pPr>
      <w:bookmarkStart w:id="1" w:name="_Hlt91233176"/>
      <w:bookmarkEnd w:id="1"/>
      <w:bookmarkStart w:id="2" w:name="_Toc91899869"/>
    </w:p>
    <w:p>
      <w:pPr>
        <w:pStyle w:val="34"/>
        <w:spacing w:before="120" w:after="120" w:line="600" w:lineRule="exact"/>
        <w:jc w:val="center"/>
        <w:rPr>
          <w:rFonts w:hint="eastAsia" w:hAnsi="宋体" w:cs="宋体"/>
          <w:b/>
          <w:sz w:val="44"/>
          <w:szCs w:val="44"/>
          <w:highlight w:val="none"/>
        </w:rPr>
      </w:pPr>
    </w:p>
    <w:p>
      <w:pPr>
        <w:pStyle w:val="34"/>
        <w:spacing w:before="120" w:after="120" w:line="600" w:lineRule="exact"/>
        <w:jc w:val="center"/>
        <w:rPr>
          <w:rFonts w:hAnsi="宋体" w:cs="宋体"/>
          <w:b/>
          <w:sz w:val="44"/>
          <w:szCs w:val="44"/>
          <w:highlight w:val="none"/>
        </w:rPr>
      </w:pPr>
      <w:r>
        <w:rPr>
          <w:rFonts w:hint="eastAsia" w:hAnsi="宋体" w:cs="宋体"/>
          <w:b/>
          <w:sz w:val="44"/>
          <w:szCs w:val="44"/>
          <w:highlight w:val="none"/>
        </w:rPr>
        <w:t>目    录</w:t>
      </w:r>
    </w:p>
    <w:p>
      <w:pPr>
        <w:pStyle w:val="34"/>
        <w:tabs>
          <w:tab w:val="left" w:pos="6645"/>
        </w:tabs>
        <w:spacing w:before="120" w:after="120" w:line="600" w:lineRule="exact"/>
        <w:jc w:val="left"/>
        <w:rPr>
          <w:rFonts w:ascii="创艺简标宋" w:hAnsi="宋体" w:eastAsia="创艺简标宋"/>
          <w:b/>
          <w:sz w:val="44"/>
          <w:szCs w:val="44"/>
          <w:highlight w:val="none"/>
        </w:rPr>
      </w:pPr>
      <w:r>
        <w:rPr>
          <w:rFonts w:ascii="创艺简标宋" w:hAnsi="宋体" w:eastAsia="创艺简标宋"/>
          <w:b/>
          <w:sz w:val="44"/>
          <w:szCs w:val="44"/>
          <w:highlight w:val="none"/>
        </w:rPr>
        <w:tab/>
      </w:r>
    </w:p>
    <w:p>
      <w:pPr>
        <w:pStyle w:val="44"/>
        <w:tabs>
          <w:tab w:val="right" w:leader="dot" w:pos="8834"/>
        </w:tabs>
        <w:spacing w:line="480" w:lineRule="auto"/>
        <w:rPr>
          <w:b/>
          <w:sz w:val="32"/>
          <w:szCs w:val="32"/>
          <w:highlight w:val="none"/>
        </w:rPr>
      </w:pPr>
      <w:r>
        <w:rPr>
          <w:b/>
          <w:sz w:val="32"/>
          <w:szCs w:val="32"/>
          <w:highlight w:val="none"/>
        </w:rPr>
        <w:fldChar w:fldCharType="begin"/>
      </w:r>
      <w:r>
        <w:rPr>
          <w:b/>
          <w:sz w:val="32"/>
          <w:szCs w:val="32"/>
          <w:highlight w:val="none"/>
        </w:rPr>
        <w:instrText xml:space="preserve"> TOC \o "1-1" \h \z \u </w:instrText>
      </w:r>
      <w:r>
        <w:rPr>
          <w:b/>
          <w:sz w:val="32"/>
          <w:szCs w:val="32"/>
          <w:highlight w:val="none"/>
        </w:rPr>
        <w:fldChar w:fldCharType="separate"/>
      </w:r>
      <w:r>
        <w:rPr>
          <w:highlight w:val="none"/>
        </w:rPr>
        <w:fldChar w:fldCharType="begin"/>
      </w:r>
      <w:r>
        <w:rPr>
          <w:highlight w:val="none"/>
        </w:rPr>
        <w:instrText xml:space="preserve"> HYPERLINK \l "_Toc406402981" </w:instrText>
      </w:r>
      <w:r>
        <w:rPr>
          <w:highlight w:val="none"/>
        </w:rPr>
        <w:fldChar w:fldCharType="separate"/>
      </w:r>
      <w:r>
        <w:rPr>
          <w:rStyle w:val="77"/>
          <w:rFonts w:hint="eastAsia"/>
          <w:b/>
          <w:sz w:val="32"/>
          <w:szCs w:val="32"/>
          <w:highlight w:val="none"/>
        </w:rPr>
        <w:t>第一章</w:t>
      </w:r>
      <w:r>
        <w:rPr>
          <w:rStyle w:val="77"/>
          <w:b/>
          <w:sz w:val="32"/>
          <w:szCs w:val="32"/>
          <w:highlight w:val="none"/>
        </w:rPr>
        <w:t xml:space="preserve">  </w:t>
      </w:r>
      <w:r>
        <w:rPr>
          <w:rStyle w:val="77"/>
          <w:rFonts w:hint="eastAsia"/>
          <w:b/>
          <w:sz w:val="32"/>
          <w:szCs w:val="32"/>
          <w:highlight w:val="none"/>
        </w:rPr>
        <w:t>公开招标采购公告</w:t>
      </w:r>
      <w:r>
        <w:rPr>
          <w:b/>
          <w:sz w:val="32"/>
          <w:szCs w:val="32"/>
          <w:highlight w:val="none"/>
        </w:rPr>
        <w:tab/>
      </w:r>
      <w:r>
        <w:rPr>
          <w:rFonts w:hint="eastAsia"/>
          <w:b/>
          <w:sz w:val="32"/>
          <w:szCs w:val="32"/>
          <w:highlight w:val="none"/>
        </w:rPr>
        <w:t>3</w:t>
      </w:r>
      <w:r>
        <w:rPr>
          <w:rFonts w:hint="eastAsia"/>
          <w:b/>
          <w:sz w:val="32"/>
          <w:szCs w:val="32"/>
          <w:highlight w:val="none"/>
        </w:rPr>
        <w:fldChar w:fldCharType="end"/>
      </w:r>
    </w:p>
    <w:p>
      <w:pPr>
        <w:pStyle w:val="44"/>
        <w:tabs>
          <w:tab w:val="right" w:leader="dot" w:pos="8834"/>
        </w:tabs>
        <w:spacing w:line="480" w:lineRule="auto"/>
        <w:rPr>
          <w:b/>
          <w:sz w:val="32"/>
          <w:szCs w:val="32"/>
          <w:highlight w:val="none"/>
        </w:rPr>
      </w:pPr>
      <w:r>
        <w:rPr>
          <w:highlight w:val="none"/>
        </w:rPr>
        <w:fldChar w:fldCharType="begin"/>
      </w:r>
      <w:r>
        <w:rPr>
          <w:highlight w:val="none"/>
        </w:rPr>
        <w:instrText xml:space="preserve"> HYPERLINK \l "_Toc406402982" </w:instrText>
      </w:r>
      <w:r>
        <w:rPr>
          <w:highlight w:val="none"/>
        </w:rPr>
        <w:fldChar w:fldCharType="separate"/>
      </w:r>
      <w:r>
        <w:rPr>
          <w:rStyle w:val="77"/>
          <w:rFonts w:hint="eastAsia"/>
          <w:b/>
          <w:sz w:val="32"/>
          <w:szCs w:val="32"/>
          <w:highlight w:val="none"/>
        </w:rPr>
        <w:t>第二章</w:t>
      </w:r>
      <w:r>
        <w:rPr>
          <w:rStyle w:val="77"/>
          <w:b/>
          <w:sz w:val="32"/>
          <w:szCs w:val="32"/>
          <w:highlight w:val="none"/>
        </w:rPr>
        <w:t xml:space="preserve">  </w:t>
      </w:r>
      <w:r>
        <w:rPr>
          <w:rStyle w:val="77"/>
          <w:rFonts w:hint="eastAsia"/>
          <w:b/>
          <w:sz w:val="32"/>
          <w:szCs w:val="32"/>
          <w:highlight w:val="none"/>
        </w:rPr>
        <w:t>招标需求</w:t>
      </w:r>
      <w:r>
        <w:rPr>
          <w:b/>
          <w:sz w:val="32"/>
          <w:szCs w:val="32"/>
          <w:highlight w:val="none"/>
        </w:rPr>
        <w:tab/>
      </w:r>
      <w:r>
        <w:rPr>
          <w:rFonts w:hint="eastAsia"/>
          <w:b/>
          <w:sz w:val="32"/>
          <w:szCs w:val="32"/>
          <w:highlight w:val="none"/>
        </w:rPr>
        <w:t>7</w:t>
      </w:r>
      <w:r>
        <w:rPr>
          <w:rFonts w:hint="eastAsia"/>
          <w:b/>
          <w:sz w:val="32"/>
          <w:szCs w:val="32"/>
          <w:highlight w:val="none"/>
        </w:rPr>
        <w:fldChar w:fldCharType="end"/>
      </w:r>
    </w:p>
    <w:p>
      <w:pPr>
        <w:pStyle w:val="44"/>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"_Toc406402986" </w:instrText>
      </w:r>
      <w:r>
        <w:rPr>
          <w:highlight w:val="none"/>
        </w:rPr>
        <w:fldChar w:fldCharType="separate"/>
      </w:r>
      <w:r>
        <w:rPr>
          <w:rStyle w:val="77"/>
          <w:rFonts w:hint="eastAsia"/>
          <w:b/>
          <w:sz w:val="32"/>
          <w:szCs w:val="32"/>
          <w:highlight w:val="none"/>
        </w:rPr>
        <w:t>第三章</w:t>
      </w:r>
      <w:r>
        <w:rPr>
          <w:rStyle w:val="77"/>
          <w:b/>
          <w:sz w:val="32"/>
          <w:szCs w:val="32"/>
          <w:highlight w:val="none"/>
        </w:rPr>
        <w:t xml:space="preserve">  </w:t>
      </w:r>
      <w:r>
        <w:rPr>
          <w:rStyle w:val="77"/>
          <w:rFonts w:hint="eastAsia"/>
          <w:b/>
          <w:sz w:val="32"/>
          <w:szCs w:val="32"/>
          <w:highlight w:val="none"/>
        </w:rPr>
        <w:t>投标人须知</w:t>
      </w:r>
      <w:r>
        <w:rPr>
          <w:b/>
          <w:sz w:val="32"/>
          <w:szCs w:val="32"/>
          <w:highlight w:val="none"/>
        </w:rPr>
        <w:tab/>
      </w:r>
      <w:r>
        <w:rPr>
          <w:rFonts w:hint="eastAsia"/>
          <w:b/>
          <w:sz w:val="32"/>
          <w:szCs w:val="32"/>
          <w:highlight w:val="none"/>
          <w:lang w:val="en-US" w:eastAsia="zh-CN"/>
        </w:rPr>
        <w:t>1</w:t>
      </w:r>
      <w:r>
        <w:rPr>
          <w:rFonts w:hint="eastAsia"/>
          <w:b/>
          <w:sz w:val="32"/>
          <w:szCs w:val="32"/>
          <w:highlight w:val="none"/>
        </w:rPr>
        <w:fldChar w:fldCharType="end"/>
      </w:r>
      <w:r>
        <w:rPr>
          <w:rFonts w:hint="eastAsia"/>
          <w:b/>
          <w:sz w:val="32"/>
          <w:szCs w:val="32"/>
          <w:highlight w:val="none"/>
          <w:lang w:val="en-US" w:eastAsia="zh-CN"/>
        </w:rPr>
        <w:t>4</w:t>
      </w:r>
    </w:p>
    <w:p>
      <w:pPr>
        <w:pStyle w:val="44"/>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"_Toc406402996" </w:instrText>
      </w:r>
      <w:r>
        <w:rPr>
          <w:highlight w:val="none"/>
        </w:rPr>
        <w:fldChar w:fldCharType="separate"/>
      </w:r>
      <w:r>
        <w:rPr>
          <w:rStyle w:val="77"/>
          <w:rFonts w:hint="eastAsia"/>
          <w:b/>
          <w:sz w:val="32"/>
          <w:szCs w:val="32"/>
          <w:highlight w:val="none"/>
        </w:rPr>
        <w:t xml:space="preserve">第四章 </w:t>
      </w:r>
      <w:r>
        <w:rPr>
          <w:rStyle w:val="77"/>
          <w:b/>
          <w:sz w:val="32"/>
          <w:szCs w:val="32"/>
          <w:highlight w:val="none"/>
        </w:rPr>
        <w:t xml:space="preserve"> </w:t>
      </w:r>
      <w:r>
        <w:rPr>
          <w:rStyle w:val="77"/>
          <w:rFonts w:hint="eastAsia"/>
          <w:b/>
          <w:sz w:val="32"/>
          <w:szCs w:val="32"/>
          <w:highlight w:val="none"/>
        </w:rPr>
        <w:t>评标办法及评分标准</w:t>
      </w:r>
      <w:r>
        <w:rPr>
          <w:b/>
          <w:sz w:val="32"/>
          <w:szCs w:val="32"/>
          <w:highlight w:val="none"/>
        </w:rPr>
        <w:tab/>
      </w:r>
      <w:r>
        <w:rPr>
          <w:rFonts w:hint="eastAsia"/>
          <w:b/>
          <w:sz w:val="32"/>
          <w:szCs w:val="32"/>
          <w:highlight w:val="none"/>
        </w:rPr>
        <w:t>3</w:t>
      </w:r>
      <w:r>
        <w:rPr>
          <w:rFonts w:hint="eastAsia"/>
          <w:b/>
          <w:sz w:val="32"/>
          <w:szCs w:val="32"/>
          <w:highlight w:val="none"/>
        </w:rPr>
        <w:fldChar w:fldCharType="end"/>
      </w:r>
      <w:r>
        <w:rPr>
          <w:rFonts w:hint="eastAsia"/>
          <w:b/>
          <w:sz w:val="32"/>
          <w:szCs w:val="32"/>
          <w:highlight w:val="none"/>
          <w:lang w:val="en-US" w:eastAsia="zh-CN"/>
        </w:rPr>
        <w:t>1</w:t>
      </w:r>
    </w:p>
    <w:p>
      <w:pPr>
        <w:pStyle w:val="44"/>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"_Toc406402998" </w:instrText>
      </w:r>
      <w:r>
        <w:rPr>
          <w:highlight w:val="none"/>
        </w:rPr>
        <w:fldChar w:fldCharType="separate"/>
      </w:r>
      <w:r>
        <w:rPr>
          <w:rStyle w:val="77"/>
          <w:rFonts w:hint="eastAsia"/>
          <w:b/>
          <w:sz w:val="32"/>
          <w:szCs w:val="32"/>
          <w:highlight w:val="none"/>
        </w:rPr>
        <w:t>第五章</w:t>
      </w:r>
      <w:r>
        <w:rPr>
          <w:rStyle w:val="77"/>
          <w:b/>
          <w:sz w:val="32"/>
          <w:szCs w:val="32"/>
          <w:highlight w:val="none"/>
        </w:rPr>
        <w:t xml:space="preserve">  </w:t>
      </w:r>
      <w:r>
        <w:rPr>
          <w:rStyle w:val="77"/>
          <w:rFonts w:hint="eastAsia"/>
          <w:b/>
          <w:sz w:val="32"/>
          <w:szCs w:val="32"/>
          <w:highlight w:val="none"/>
        </w:rPr>
        <w:t>嘉善县政府采购合同（</w:t>
      </w:r>
      <w:bookmarkStart w:id="3" w:name="_Hlt497308216"/>
      <w:r>
        <w:rPr>
          <w:rStyle w:val="77"/>
          <w:rFonts w:hint="eastAsia"/>
          <w:b/>
          <w:sz w:val="32"/>
          <w:szCs w:val="32"/>
          <w:highlight w:val="none"/>
        </w:rPr>
        <w:t>指</w:t>
      </w:r>
      <w:bookmarkEnd w:id="3"/>
      <w:bookmarkStart w:id="4" w:name="_Hlt497308220"/>
      <w:r>
        <w:rPr>
          <w:rStyle w:val="77"/>
          <w:rFonts w:hint="eastAsia"/>
          <w:b/>
          <w:sz w:val="32"/>
          <w:szCs w:val="32"/>
          <w:highlight w:val="none"/>
        </w:rPr>
        <w:t>引</w:t>
      </w:r>
      <w:bookmarkEnd w:id="4"/>
      <w:r>
        <w:rPr>
          <w:rStyle w:val="77"/>
          <w:rFonts w:hint="eastAsia"/>
          <w:b/>
          <w:sz w:val="32"/>
          <w:szCs w:val="32"/>
          <w:highlight w:val="none"/>
        </w:rPr>
        <w:t>）</w:t>
      </w:r>
      <w:bookmarkStart w:id="5" w:name="_Hlt497308213"/>
      <w:bookmarkStart w:id="6" w:name="_Hlt497308212"/>
      <w:r>
        <w:rPr>
          <w:b/>
          <w:sz w:val="32"/>
          <w:szCs w:val="32"/>
          <w:highlight w:val="none"/>
        </w:rPr>
        <w:tab/>
      </w:r>
      <w:bookmarkEnd w:id="5"/>
      <w:bookmarkEnd w:id="6"/>
      <w:r>
        <w:rPr>
          <w:rFonts w:hint="eastAsia"/>
          <w:b/>
          <w:sz w:val="32"/>
          <w:szCs w:val="32"/>
          <w:highlight w:val="none"/>
          <w:lang w:val="en-US" w:eastAsia="zh-CN"/>
        </w:rPr>
        <w:t>3</w:t>
      </w:r>
      <w:r>
        <w:rPr>
          <w:rFonts w:hint="eastAsia"/>
          <w:b/>
          <w:sz w:val="32"/>
          <w:szCs w:val="32"/>
          <w:highlight w:val="none"/>
        </w:rPr>
        <w:fldChar w:fldCharType="end"/>
      </w:r>
      <w:r>
        <w:rPr>
          <w:rFonts w:hint="eastAsia"/>
          <w:b/>
          <w:sz w:val="32"/>
          <w:szCs w:val="32"/>
          <w:highlight w:val="none"/>
          <w:lang w:val="en-US" w:eastAsia="zh-CN"/>
        </w:rPr>
        <w:t>4</w:t>
      </w:r>
    </w:p>
    <w:p>
      <w:pPr>
        <w:pStyle w:val="44"/>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"_Toc406403000" </w:instrText>
      </w:r>
      <w:r>
        <w:rPr>
          <w:highlight w:val="none"/>
        </w:rPr>
        <w:fldChar w:fldCharType="separate"/>
      </w:r>
      <w:r>
        <w:rPr>
          <w:rStyle w:val="77"/>
          <w:rFonts w:hint="eastAsia"/>
          <w:b/>
          <w:sz w:val="32"/>
          <w:szCs w:val="32"/>
          <w:highlight w:val="none"/>
        </w:rPr>
        <w:t>第六章　投标文件格式</w:t>
      </w:r>
      <w:r>
        <w:rPr>
          <w:b/>
          <w:sz w:val="32"/>
          <w:szCs w:val="32"/>
          <w:highlight w:val="none"/>
        </w:rPr>
        <w:tab/>
      </w:r>
      <w:r>
        <w:rPr>
          <w:b/>
          <w:sz w:val="32"/>
          <w:szCs w:val="32"/>
          <w:highlight w:val="none"/>
        </w:rPr>
        <w:fldChar w:fldCharType="end"/>
      </w:r>
      <w:r>
        <w:rPr>
          <w:rFonts w:hint="eastAsia"/>
          <w:b/>
          <w:sz w:val="32"/>
          <w:szCs w:val="32"/>
          <w:highlight w:val="none"/>
          <w:lang w:val="en-US" w:eastAsia="zh-CN"/>
        </w:rPr>
        <w:t>39</w:t>
      </w:r>
    </w:p>
    <w:p>
      <w:pPr>
        <w:pStyle w:val="44"/>
        <w:tabs>
          <w:tab w:val="right" w:leader="dot" w:pos="8834"/>
        </w:tabs>
        <w:spacing w:line="480" w:lineRule="auto"/>
        <w:rPr>
          <w:b/>
          <w:sz w:val="32"/>
          <w:szCs w:val="32"/>
          <w:highlight w:val="none"/>
        </w:rPr>
      </w:pPr>
    </w:p>
    <w:p>
      <w:pPr>
        <w:pStyle w:val="44"/>
        <w:tabs>
          <w:tab w:val="right" w:leader="dot" w:pos="8834"/>
        </w:tabs>
        <w:spacing w:line="480" w:lineRule="auto"/>
        <w:rPr>
          <w:b/>
          <w:sz w:val="32"/>
          <w:szCs w:val="32"/>
          <w:highlight w:val="none"/>
        </w:rPr>
      </w:pPr>
    </w:p>
    <w:p>
      <w:pPr>
        <w:pStyle w:val="44"/>
        <w:tabs>
          <w:tab w:val="right" w:leader="dot" w:pos="8834"/>
        </w:tabs>
        <w:spacing w:line="480" w:lineRule="auto"/>
        <w:rPr>
          <w:b/>
          <w:sz w:val="32"/>
          <w:szCs w:val="32"/>
          <w:highlight w:val="none"/>
        </w:rPr>
      </w:pPr>
    </w:p>
    <w:p>
      <w:pPr>
        <w:pStyle w:val="44"/>
        <w:tabs>
          <w:tab w:val="right" w:leader="dot" w:pos="8834"/>
        </w:tabs>
        <w:spacing w:line="480" w:lineRule="auto"/>
        <w:rPr>
          <w:b/>
          <w:sz w:val="32"/>
          <w:szCs w:val="32"/>
          <w:highlight w:val="none"/>
        </w:rPr>
      </w:pPr>
    </w:p>
    <w:p>
      <w:pPr>
        <w:spacing w:line="360" w:lineRule="auto"/>
        <w:ind w:firstLine="480" w:firstLineChars="229"/>
        <w:rPr>
          <w:rFonts w:ascii="仿宋" w:hAnsi="仿宋" w:eastAsia="仿宋" w:cs="仿宋_GB2312"/>
          <w:sz w:val="24"/>
          <w:highlight w:val="none"/>
        </w:rPr>
      </w:pPr>
      <w:r>
        <w:rPr>
          <w:szCs w:val="32"/>
          <w:highlight w:val="none"/>
        </w:rPr>
        <w:fldChar w:fldCharType="end"/>
      </w: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bookmarkEnd w:id="2"/>
    <w:p>
      <w:pPr>
        <w:adjustRightInd/>
        <w:spacing w:line="360" w:lineRule="auto"/>
        <w:jc w:val="center"/>
        <w:outlineLvl w:val="0"/>
        <w:rPr>
          <w:rFonts w:hint="eastAsia" w:ascii="仿宋" w:hAnsi="仿宋" w:eastAsia="仿宋" w:cs="仿宋_GB2312"/>
          <w:b/>
          <w:sz w:val="36"/>
          <w:szCs w:val="20"/>
          <w:highlight w:val="none"/>
        </w:rPr>
      </w:pPr>
      <w:bookmarkStart w:id="7" w:name="_Hlt74707423"/>
      <w:bookmarkEnd w:id="7"/>
      <w:bookmarkStart w:id="8" w:name="_Hlt74649545"/>
      <w:bookmarkEnd w:id="8"/>
      <w:bookmarkStart w:id="9" w:name="_Hlt74729822"/>
      <w:bookmarkEnd w:id="9"/>
      <w:bookmarkStart w:id="10" w:name="_Hlt74728647"/>
      <w:bookmarkEnd w:id="10"/>
      <w:bookmarkStart w:id="11" w:name="第二部分"/>
      <w:bookmarkStart w:id="12" w:name="_Toc91899870"/>
      <w:bookmarkStart w:id="13" w:name="_Toc91899871"/>
    </w:p>
    <w:p>
      <w:pPr>
        <w:adjustRightInd/>
        <w:spacing w:line="360" w:lineRule="auto"/>
        <w:jc w:val="center"/>
        <w:outlineLvl w:val="0"/>
        <w:rPr>
          <w:rFonts w:ascii="仿宋_GB2312" w:hAnsi="仿宋" w:eastAsia="仿宋_GB2312" w:cs="仿宋_GB2312"/>
          <w:b/>
          <w:sz w:val="36"/>
          <w:szCs w:val="20"/>
          <w:highlight w:val="none"/>
        </w:rPr>
      </w:pPr>
      <w:r>
        <w:rPr>
          <w:rFonts w:hint="eastAsia" w:ascii="仿宋" w:hAnsi="仿宋" w:eastAsia="仿宋" w:cs="仿宋_GB2312"/>
          <w:b/>
          <w:sz w:val="36"/>
          <w:szCs w:val="20"/>
          <w:highlight w:val="none"/>
        </w:rPr>
        <w:t>第一章</w:t>
      </w:r>
      <w:r>
        <w:rPr>
          <w:rFonts w:ascii="仿宋" w:hAnsi="仿宋" w:eastAsia="仿宋" w:cs="仿宋_GB2312"/>
          <w:b/>
          <w:sz w:val="36"/>
          <w:szCs w:val="20"/>
          <w:highlight w:val="none"/>
        </w:rPr>
        <w:t xml:space="preserve"> </w:t>
      </w:r>
      <w:r>
        <w:rPr>
          <w:rFonts w:hint="eastAsia" w:ascii="仿宋" w:hAnsi="仿宋" w:eastAsia="仿宋" w:cs="仿宋_GB2312"/>
          <w:b/>
          <w:sz w:val="36"/>
          <w:szCs w:val="20"/>
          <w:highlight w:val="none"/>
        </w:rPr>
        <w:t>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highlight w:val="none"/>
          <w:u w:val="single"/>
        </w:rPr>
        <w:t>（</w:t>
      </w:r>
      <w:r>
        <w:rPr>
          <w:rFonts w:hint="eastAsia" w:ascii="仿宋_GB2312" w:hAnsi="仿宋" w:eastAsia="仿宋_GB2312" w:cs="仿宋_GB2312"/>
          <w:sz w:val="24"/>
          <w:highlight w:val="none"/>
          <w:u w:val="single"/>
          <w:lang w:eastAsia="zh-CN"/>
        </w:rPr>
        <w:t>嘉善农科所长秀基地生态智慧提升单体大棚采购项目（第三次）</w:t>
      </w:r>
      <w:r>
        <w:rPr>
          <w:rFonts w:hint="eastAsia" w:ascii="仿宋_GB2312" w:hAnsi="仿宋" w:eastAsia="仿宋_GB2312" w:cs="仿宋_GB2312"/>
          <w:sz w:val="24"/>
          <w:highlight w:val="none"/>
          <w:u w:val="single"/>
        </w:rPr>
        <w:t>）</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ascii="仿宋_GB2312" w:hAnsi="仿宋" w:eastAsia="仿宋_GB2312"/>
          <w:sz w:val="24"/>
          <w:highlight w:val="none"/>
        </w:rPr>
        <w:t>https://www.zcygov.cn/）获取（下载）招标文件，并于</w:t>
      </w:r>
      <w:r>
        <w:rPr>
          <w:rFonts w:hint="eastAsia" w:ascii="仿宋_GB2312" w:hAnsi="仿宋" w:eastAsia="仿宋_GB2312"/>
          <w:sz w:val="24"/>
          <w:highlight w:val="none"/>
          <w:u w:val="single"/>
          <w:lang w:eastAsia="zh-CN"/>
        </w:rPr>
        <w:t>2022年12月20日</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b/>
          <w:sz w:val="24"/>
          <w:highlight w:val="none"/>
          <w:lang w:eastAsia="zh-CN"/>
        </w:rPr>
        <w:t>JXYJ2022049</w:t>
      </w:r>
      <w:r>
        <w:rPr>
          <w:rFonts w:hint="eastAsia" w:ascii="仿宋_GB2312" w:hAnsi="仿宋" w:eastAsia="仿宋_GB2312"/>
          <w:b/>
          <w:sz w:val="24"/>
          <w:highlight w:val="none"/>
        </w:rPr>
        <w:t>(G)</w:t>
      </w:r>
    </w:p>
    <w:p>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w:t>
      </w:r>
      <w:r>
        <w:rPr>
          <w:rFonts w:ascii="仿宋_GB2312" w:hAnsi="仿宋" w:eastAsia="仿宋_GB2312"/>
          <w:b/>
          <w:sz w:val="24"/>
          <w:highlight w:val="none"/>
        </w:rPr>
        <w:t xml:space="preserve"> 项目名称：</w:t>
      </w:r>
      <w:r>
        <w:rPr>
          <w:rFonts w:hint="eastAsia" w:ascii="仿宋_GB2312" w:hAnsi="仿宋" w:eastAsia="仿宋_GB2312"/>
          <w:b/>
          <w:sz w:val="24"/>
          <w:highlight w:val="none"/>
          <w:lang w:eastAsia="zh-CN"/>
        </w:rPr>
        <w:t>嘉善农科所长秀基地生态智慧提升单体大棚采购项目（第三次）</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_GB2312" w:hAnsi="仿宋" w:eastAsia="仿宋_GB2312"/>
          <w:b/>
          <w:sz w:val="24"/>
          <w:highlight w:val="none"/>
        </w:rPr>
        <w:t>2454121</w:t>
      </w:r>
      <w:r>
        <w:rPr>
          <w:rFonts w:ascii="仿宋_GB2312" w:hAnsi="仿宋" w:eastAsia="仿宋_GB2312"/>
          <w:sz w:val="24"/>
          <w:highlight w:val="none"/>
        </w:rPr>
        <w:t xml:space="preserve"> </w:t>
      </w:r>
      <w:r>
        <w:rPr>
          <w:rFonts w:hint="eastAsia"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最高限价（元）：</w:t>
      </w:r>
      <w:r>
        <w:rPr>
          <w:rFonts w:hint="eastAsia" w:ascii="仿宋_GB2312" w:hAnsi="仿宋" w:eastAsia="仿宋_GB2312"/>
          <w:b/>
          <w:sz w:val="24"/>
          <w:highlight w:val="none"/>
          <w:lang w:eastAsia="zh-CN"/>
        </w:rPr>
        <w:t>2454042</w:t>
      </w:r>
    </w:p>
    <w:p>
      <w:pPr>
        <w:pStyle w:val="17"/>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详见招标文件第二章招标需求。</w:t>
      </w:r>
    </w:p>
    <w:p>
      <w:pPr>
        <w:pStyle w:val="17"/>
        <w:spacing w:line="360" w:lineRule="auto"/>
        <w:ind w:firstLine="480"/>
        <w:rPr>
          <w:rFonts w:ascii="仿宋_GB2312" w:hAnsi="仿宋" w:eastAsia="仿宋_GB2312"/>
          <w:highlight w:val="none"/>
        </w:rPr>
      </w:pPr>
      <w:r>
        <w:rPr>
          <w:rFonts w:hint="eastAsia" w:ascii="仿宋_GB2312" w:hAnsi="仿宋" w:eastAsia="仿宋_GB2312"/>
          <w:b/>
          <w:sz w:val="24"/>
          <w:szCs w:val="18"/>
          <w:highlight w:val="none"/>
        </w:rPr>
        <w:t>合同履约期限</w:t>
      </w:r>
      <w:r>
        <w:rPr>
          <w:rFonts w:hint="eastAsia" w:ascii="仿宋_GB2312" w:hAnsi="仿宋" w:eastAsia="仿宋_GB2312"/>
          <w:b/>
          <w:highlight w:val="none"/>
        </w:rPr>
        <w:t>：</w:t>
      </w:r>
      <w:r>
        <w:rPr>
          <w:rFonts w:hint="eastAsia" w:ascii="仿宋_GB2312" w:hAnsi="仿宋" w:eastAsia="仿宋_GB2312"/>
          <w:bCs/>
          <w:sz w:val="24"/>
          <w:szCs w:val="18"/>
          <w:highlight w:val="none"/>
        </w:rPr>
        <w:t>自合同签订之日起</w:t>
      </w:r>
      <w:r>
        <w:rPr>
          <w:rFonts w:hint="eastAsia" w:ascii="仿宋_GB2312" w:hAnsi="仿宋" w:eastAsia="仿宋_GB2312"/>
          <w:bCs/>
          <w:sz w:val="24"/>
          <w:szCs w:val="18"/>
          <w:highlight w:val="none"/>
          <w:lang w:val="en-US" w:eastAsia="zh-CN"/>
        </w:rPr>
        <w:t>60</w:t>
      </w:r>
      <w:r>
        <w:rPr>
          <w:rFonts w:hint="eastAsia" w:ascii="仿宋_GB2312" w:hAnsi="仿宋" w:eastAsia="仿宋_GB2312"/>
          <w:bCs/>
          <w:sz w:val="24"/>
          <w:szCs w:val="18"/>
          <w:highlight w:val="none"/>
        </w:rPr>
        <w:t>日内供货到采购人指定地点, 中标人负责安装，并调试完毕完成验收</w:t>
      </w:r>
      <w:r>
        <w:rPr>
          <w:rFonts w:hint="eastAsia" w:ascii="仿宋_GB2312" w:hAnsi="仿宋" w:eastAsia="仿宋_GB2312"/>
          <w:bCs/>
          <w:snapToGrid/>
          <w:color w:val="auto"/>
          <w:kern w:val="2"/>
          <w:sz w:val="22"/>
          <w:szCs w:val="22"/>
          <w:highlight w:val="none"/>
        </w:rPr>
        <w:t>。</w:t>
      </w:r>
    </w:p>
    <w:p>
      <w:pPr>
        <w:pStyle w:val="17"/>
        <w:spacing w:line="360" w:lineRule="auto"/>
        <w:ind w:firstLine="480"/>
        <w:rPr>
          <w:rFonts w:ascii="仿宋_GB2312" w:hAnsi="仿宋" w:eastAsia="仿宋_GB2312"/>
          <w:b/>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sdt>
        <w:sdtPr>
          <w:rPr>
            <w:rFonts w:hint="eastAsia" w:ascii="仿宋_GB2312" w:hAnsi="仿宋" w:eastAsia="仿宋_GB2312" w:cs="Arial"/>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highlight w:val="none"/>
        </w:rPr>
      </w:pPr>
      <w:sdt>
        <w:sdtPr>
          <w:rPr>
            <w:rFonts w:hint="eastAsia" w:ascii="仿宋_GB2312" w:hAnsi="仿宋" w:eastAsia="仿宋_GB2312" w:cs="Arial"/>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服务全部由符合政策要求的小微企业承接，提供中小企业声明函；</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napToGrid w:val="0"/>
        <w:spacing w:line="360" w:lineRule="auto"/>
        <w:ind w:firstLine="512" w:firstLineChars="200"/>
        <w:rPr>
          <w:rFonts w:ascii="仿宋_GB2312" w:hAnsi="仿宋" w:eastAsia="仿宋_GB2312" w:cs="仿宋_GB2312"/>
          <w:sz w:val="24"/>
          <w:highlight w:val="none"/>
        </w:rPr>
      </w:pPr>
      <w:r>
        <w:rPr>
          <w:rFonts w:hint="eastAsia" w:ascii="仿宋" w:hAnsi="仿宋" w:eastAsia="仿宋" w:cs="宋体"/>
          <w:spacing w:val="8"/>
          <w:kern w:val="0"/>
          <w:sz w:val="24"/>
          <w:highlight w:val="none"/>
        </w:rPr>
        <w:t>3.本项目的特定资格要求：无；</w:t>
      </w:r>
    </w:p>
    <w:p>
      <w:pPr>
        <w:spacing w:line="360" w:lineRule="auto"/>
        <w:ind w:firstLine="512" w:firstLineChars="200"/>
        <w:rPr>
          <w:rFonts w:ascii="仿宋" w:hAnsi="仿宋" w:eastAsia="仿宋" w:cs="宋体"/>
          <w:spacing w:val="8"/>
          <w:kern w:val="0"/>
          <w:sz w:val="24"/>
          <w:highlight w:val="none"/>
        </w:rPr>
      </w:pPr>
      <w:r>
        <w:rPr>
          <w:rFonts w:hint="eastAsia" w:ascii="仿宋" w:hAnsi="仿宋" w:eastAsia="仿宋" w:cs="宋体"/>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lang w:eastAsia="zh-CN"/>
        </w:rPr>
        <w:t>2022年12月20日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lang w:eastAsia="zh-CN"/>
        </w:rPr>
        <w:t>2022年12月20日</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lang w:eastAsia="zh-CN"/>
        </w:rPr>
        <w:t>2022年12月20日</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highlight w:val="none"/>
        </w:rPr>
      </w:pPr>
      <w:r>
        <w:rPr>
          <w:rFonts w:hint="eastAsia" w:ascii="仿宋_GB2312" w:hAnsi="仿宋" w:eastAsia="仿宋_GB2312"/>
          <w:sz w:val="24"/>
          <w:highlight w:val="none"/>
        </w:rPr>
        <w:t>4.其他事项：</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sz w:val="24"/>
          <w:highlight w:val="none"/>
        </w:rPr>
        <w:t>【地址：</w:t>
      </w:r>
      <w:r>
        <w:rPr>
          <w:rFonts w:hint="eastAsia" w:ascii="仿宋_GB2312" w:hAnsi="仿宋" w:eastAsia="仿宋_GB2312"/>
          <w:sz w:val="24"/>
          <w:highlight w:val="none"/>
        </w:rPr>
        <w:t>嘉善县阳光东路185号善商大厦1号（东）楼21层嘉兴市银建工程咨询评估有限公司招标代理部</w:t>
      </w:r>
      <w:r>
        <w:rPr>
          <w:rFonts w:hint="eastAsia" w:ascii="仿宋_GB2312" w:hAnsi="仿宋" w:eastAsia="仿宋_GB2312" w:cs="仿宋_GB2312"/>
          <w:sz w:val="24"/>
          <w:highlight w:val="none"/>
        </w:rPr>
        <w:t>；收件人：王佳浩；电话：0573-84211066；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sz w:val="24"/>
          <w:highlight w:val="none"/>
        </w:rPr>
        <w:t>备份投标文件的制作、存储、密封详见招标文件第</w:t>
      </w:r>
      <w:r>
        <w:rPr>
          <w:rFonts w:hint="eastAsia" w:ascii="仿宋_GB2312" w:hAnsi="仿宋" w:eastAsia="仿宋_GB2312" w:cs="仿宋_GB2312"/>
          <w:sz w:val="24"/>
          <w:highlight w:val="none"/>
        </w:rPr>
        <w:t>三章</w:t>
      </w:r>
      <w:r>
        <w:rPr>
          <w:rFonts w:ascii="仿宋_GB2312" w:hAnsi="仿宋" w:eastAsia="仿宋_GB2312" w:cs="仿宋_GB2312"/>
          <w:sz w:val="24"/>
          <w:highlight w:val="none"/>
        </w:rPr>
        <w:t>—“备份投标文件”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七、对本次招标提出询问，请按以下方式联系</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1.采购人信息</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嘉兴市农业科学研究院嘉善农业科学研究所</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嘉善县西塘镇宏福路19号</w:t>
      </w:r>
      <w:r>
        <w:rPr>
          <w:rFonts w:ascii="仿宋_GB2312" w:hAnsi="仿宋" w:eastAsia="仿宋_GB2312"/>
          <w:sz w:val="24"/>
          <w:highlight w:val="none"/>
        </w:rPr>
        <w:t xml:space="preserve">      </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项目联系人（询问）：梅女士</w:t>
      </w:r>
      <w:r>
        <w:rPr>
          <w:rFonts w:ascii="仿宋_GB2312" w:hAnsi="仿宋" w:eastAsia="仿宋_GB2312"/>
          <w:sz w:val="24"/>
          <w:highlight w:val="none"/>
        </w:rPr>
        <w:t xml:space="preserve"> </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0573-84237183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胡女士</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 xml:space="preserve">0573-84237183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2.采购代理机构信息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称：嘉兴市银建工程咨询评估有限公司</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址：嘉善县阳光东路185号善商大厦1号（东）楼21层</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0573-84971199</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_GB2312" w:hAnsi="仿宋" w:eastAsia="仿宋_GB2312"/>
          <w:sz w:val="24"/>
          <w:highlight w:val="none"/>
        </w:rPr>
        <w:t>王佳浩</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0573-84211066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俞鸿婷</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0573-84211099</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嘉善县财政局</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 xml:space="preserve">嘉善县解放东路318号 </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 xml:space="preserve">0573-84122528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联系人 ：</w:t>
      </w:r>
      <w:r>
        <w:rPr>
          <w:rFonts w:hint="eastAsia" w:ascii="仿宋_GB2312" w:hAnsi="仿宋" w:eastAsia="仿宋_GB2312"/>
          <w:sz w:val="24"/>
          <w:highlight w:val="none"/>
        </w:rPr>
        <w:t xml:space="preserve">刘先生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监督投诉电话：</w:t>
      </w:r>
      <w:r>
        <w:rPr>
          <w:rFonts w:hint="eastAsia" w:ascii="仿宋_GB2312" w:hAnsi="仿宋" w:eastAsia="仿宋_GB2312"/>
          <w:sz w:val="24"/>
          <w:highlight w:val="none"/>
        </w:rPr>
        <w:t xml:space="preserve">0573-84122310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spacing w:line="360" w:lineRule="auto"/>
        <w:ind w:firstLine="480" w:firstLineChars="200"/>
        <w:rPr>
          <w:rFonts w:ascii="仿宋_GB2312" w:hAnsi="仿宋" w:eastAsia="仿宋_GB2312"/>
          <w:sz w:val="24"/>
          <w:highlight w:val="none"/>
        </w:rPr>
        <w:sectPr>
          <w:footerReference r:id="rId6" w:type="firs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start="2"/>
          <w:cols w:space="720" w:num="1"/>
          <w:titlePg/>
          <w:docGrid w:linePitch="312" w:charSpace="0"/>
        </w:sect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招标需求</w:t>
      </w:r>
    </w:p>
    <w:p>
      <w:pPr>
        <w:spacing w:line="440" w:lineRule="exact"/>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一、采购</w:t>
      </w:r>
      <w:r>
        <w:rPr>
          <w:rFonts w:hint="eastAsia" w:ascii="仿宋" w:hAnsi="仿宋" w:eastAsia="仿宋" w:cs="仿宋"/>
          <w:b/>
          <w:color w:val="auto"/>
          <w:sz w:val="28"/>
          <w:szCs w:val="28"/>
          <w:highlight w:val="none"/>
          <w:lang w:eastAsia="zh-CN"/>
        </w:rPr>
        <w:t>内容</w:t>
      </w:r>
    </w:p>
    <w:tbl>
      <w:tblPr>
        <w:tblStyle w:val="63"/>
        <w:tblpPr w:leftFromText="180" w:rightFromText="180" w:vertAnchor="text" w:horzAnchor="page" w:tblpX="1132" w:tblpY="414"/>
        <w:tblOverlap w:val="never"/>
        <w:tblW w:w="5036" w:type="pct"/>
        <w:tblInd w:w="0" w:type="dxa"/>
        <w:tblLayout w:type="fixed"/>
        <w:tblCellMar>
          <w:top w:w="0" w:type="dxa"/>
          <w:left w:w="108" w:type="dxa"/>
          <w:bottom w:w="0" w:type="dxa"/>
          <w:right w:w="108" w:type="dxa"/>
        </w:tblCellMar>
      </w:tblPr>
      <w:tblGrid>
        <w:gridCol w:w="1614"/>
        <w:gridCol w:w="579"/>
        <w:gridCol w:w="2141"/>
        <w:gridCol w:w="2440"/>
        <w:gridCol w:w="459"/>
        <w:gridCol w:w="925"/>
        <w:gridCol w:w="1196"/>
      </w:tblGrid>
      <w:tr>
        <w:tblPrEx>
          <w:tblCellMar>
            <w:top w:w="0" w:type="dxa"/>
            <w:left w:w="108" w:type="dxa"/>
            <w:bottom w:w="0" w:type="dxa"/>
            <w:right w:w="108" w:type="dxa"/>
          </w:tblCellMar>
        </w:tblPrEx>
        <w:trPr>
          <w:trHeight w:val="764" w:hRule="atLeast"/>
        </w:trPr>
        <w:tc>
          <w:tcPr>
            <w:tcW w:w="86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项目名称</w:t>
            </w:r>
          </w:p>
        </w:tc>
        <w:tc>
          <w:tcPr>
            <w:tcW w:w="30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序号</w:t>
            </w:r>
          </w:p>
        </w:tc>
        <w:tc>
          <w:tcPr>
            <w:tcW w:w="114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设备</w:t>
            </w:r>
            <w:r>
              <w:rPr>
                <w:rFonts w:hint="eastAsia" w:ascii="仿宋" w:hAnsi="仿宋" w:eastAsia="仿宋" w:cs="仿宋"/>
                <w:b/>
                <w:bCs/>
                <w:color w:val="auto"/>
                <w:sz w:val="24"/>
                <w:szCs w:val="24"/>
                <w:highlight w:val="none"/>
              </w:rPr>
              <w:t>名称</w:t>
            </w:r>
          </w:p>
        </w:tc>
        <w:tc>
          <w:tcPr>
            <w:tcW w:w="130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主要技术参数及要求</w:t>
            </w:r>
          </w:p>
        </w:tc>
        <w:tc>
          <w:tcPr>
            <w:tcW w:w="245"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49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63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最高单价限价</w:t>
            </w:r>
            <w:r>
              <w:rPr>
                <w:rFonts w:hint="eastAsia" w:ascii="仿宋" w:hAnsi="仿宋" w:eastAsia="仿宋" w:cs="仿宋"/>
                <w:b/>
                <w:bCs/>
                <w:color w:val="auto"/>
                <w:sz w:val="24"/>
                <w:szCs w:val="24"/>
                <w:highlight w:val="none"/>
              </w:rPr>
              <w:t>（元）</w:t>
            </w:r>
          </w:p>
        </w:tc>
      </w:tr>
      <w:tr>
        <w:tblPrEx>
          <w:tblCellMar>
            <w:top w:w="0" w:type="dxa"/>
            <w:left w:w="108" w:type="dxa"/>
            <w:bottom w:w="0" w:type="dxa"/>
            <w:right w:w="108" w:type="dxa"/>
          </w:tblCellMar>
        </w:tblPrEx>
        <w:trPr>
          <w:trHeight w:val="501" w:hRule="atLeast"/>
        </w:trPr>
        <w:tc>
          <w:tcPr>
            <w:tcW w:w="862" w:type="pct"/>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嘉善农科所长秀基地生态智慧提升单体大棚采购项目（第三次）</w:t>
            </w:r>
          </w:p>
        </w:tc>
        <w:tc>
          <w:tcPr>
            <w:tcW w:w="30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1</w:t>
            </w:r>
          </w:p>
        </w:tc>
        <w:tc>
          <w:tcPr>
            <w:tcW w:w="114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12米单体棉被大棚(跨度12*长度72)M</w:t>
            </w:r>
          </w:p>
        </w:tc>
        <w:tc>
          <w:tcPr>
            <w:tcW w:w="1304" w:type="pct"/>
            <w:vMerge w:val="restart"/>
            <w:tcBorders>
              <w:top w:val="single" w:color="auto" w:sz="4" w:space="0"/>
              <w:left w:val="single" w:color="auto" w:sz="4" w:space="0"/>
              <w:right w:val="single" w:color="auto" w:sz="4" w:space="0"/>
            </w:tcBorders>
            <w:noWrap w:val="0"/>
            <w:vAlign w:val="center"/>
          </w:tcPr>
          <w:p>
            <w:pP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详见“二、技术要求及采购清单”</w:t>
            </w:r>
          </w:p>
        </w:tc>
        <w:tc>
          <w:tcPr>
            <w:tcW w:w="245"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座</w:t>
            </w:r>
          </w:p>
        </w:tc>
        <w:tc>
          <w:tcPr>
            <w:tcW w:w="49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1</w:t>
            </w:r>
          </w:p>
        </w:tc>
        <w:tc>
          <w:tcPr>
            <w:tcW w:w="11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8"/>
                <w:szCs w:val="28"/>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102263</w:t>
            </w:r>
          </w:p>
        </w:tc>
      </w:tr>
      <w:tr>
        <w:tblPrEx>
          <w:tblCellMar>
            <w:top w:w="0" w:type="dxa"/>
            <w:left w:w="108" w:type="dxa"/>
            <w:bottom w:w="0" w:type="dxa"/>
            <w:right w:w="108" w:type="dxa"/>
          </w:tblCellMar>
        </w:tblPrEx>
        <w:trPr>
          <w:trHeight w:val="90" w:hRule="atLeast"/>
        </w:trPr>
        <w:tc>
          <w:tcPr>
            <w:tcW w:w="862" w:type="pct"/>
            <w:vMerge w:val="continue"/>
            <w:tcBorders>
              <w:left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rPr>
            </w:pPr>
          </w:p>
        </w:tc>
        <w:tc>
          <w:tcPr>
            <w:tcW w:w="30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2</w:t>
            </w:r>
          </w:p>
        </w:tc>
        <w:tc>
          <w:tcPr>
            <w:tcW w:w="114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12米单体大棚(跨度12*长度72)M</w:t>
            </w:r>
          </w:p>
        </w:tc>
        <w:tc>
          <w:tcPr>
            <w:tcW w:w="1304" w:type="pct"/>
            <w:vMerge w:val="continue"/>
            <w:tcBorders>
              <w:left w:val="single" w:color="auto" w:sz="4" w:space="0"/>
              <w:right w:val="single" w:color="auto" w:sz="4" w:space="0"/>
            </w:tcBorders>
            <w:noWrap w:val="0"/>
            <w:vAlign w:val="center"/>
          </w:tcPr>
          <w:p>
            <w:pPr>
              <w:rPr>
                <w:rFonts w:hint="eastAsia" w:ascii="仿宋" w:hAnsi="仿宋" w:eastAsia="仿宋" w:cs="仿宋"/>
                <w:b w:val="0"/>
                <w:bCs w:val="0"/>
                <w:color w:val="auto"/>
                <w:sz w:val="22"/>
                <w:szCs w:val="22"/>
                <w:highlight w:val="none"/>
              </w:rPr>
            </w:pPr>
          </w:p>
        </w:tc>
        <w:tc>
          <w:tcPr>
            <w:tcW w:w="245"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val="en-US" w:eastAsia="zh-CN"/>
              </w:rPr>
              <w:t>座</w:t>
            </w:r>
          </w:p>
        </w:tc>
        <w:tc>
          <w:tcPr>
            <w:tcW w:w="494" w:type="pct"/>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11</w:t>
            </w:r>
          </w:p>
        </w:tc>
        <w:tc>
          <w:tcPr>
            <w:tcW w:w="11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8"/>
                <w:szCs w:val="28"/>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1013915</w:t>
            </w:r>
          </w:p>
        </w:tc>
      </w:tr>
      <w:tr>
        <w:tblPrEx>
          <w:tblCellMar>
            <w:top w:w="0" w:type="dxa"/>
            <w:left w:w="108" w:type="dxa"/>
            <w:bottom w:w="0" w:type="dxa"/>
            <w:right w:w="108" w:type="dxa"/>
          </w:tblCellMar>
        </w:tblPrEx>
        <w:trPr>
          <w:trHeight w:val="501" w:hRule="atLeast"/>
        </w:trPr>
        <w:tc>
          <w:tcPr>
            <w:tcW w:w="862" w:type="pct"/>
            <w:vMerge w:val="continue"/>
            <w:tcBorders>
              <w:left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rPr>
            </w:pPr>
          </w:p>
        </w:tc>
        <w:tc>
          <w:tcPr>
            <w:tcW w:w="30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3</w:t>
            </w:r>
          </w:p>
        </w:tc>
        <w:tc>
          <w:tcPr>
            <w:tcW w:w="114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i w:val="0"/>
                <w:iCs w:val="0"/>
                <w:color w:val="auto"/>
                <w:kern w:val="0"/>
                <w:sz w:val="22"/>
                <w:szCs w:val="22"/>
                <w:highlight w:val="none"/>
                <w:u w:val="none"/>
                <w:lang w:val="en-US" w:eastAsia="zh-CN" w:bidi="ar"/>
              </w:rPr>
              <w:t>外遮阳系统</w:t>
            </w:r>
          </w:p>
        </w:tc>
        <w:tc>
          <w:tcPr>
            <w:tcW w:w="1304" w:type="pct"/>
            <w:vMerge w:val="continue"/>
            <w:tcBorders>
              <w:left w:val="single" w:color="auto" w:sz="4" w:space="0"/>
              <w:right w:val="single" w:color="auto" w:sz="4" w:space="0"/>
            </w:tcBorders>
            <w:noWrap w:val="0"/>
            <w:vAlign w:val="center"/>
          </w:tcPr>
          <w:p>
            <w:pPr>
              <w:rPr>
                <w:rFonts w:hint="eastAsia" w:ascii="仿宋" w:hAnsi="仿宋" w:eastAsia="仿宋" w:cs="仿宋"/>
                <w:b w:val="0"/>
                <w:bCs w:val="0"/>
                <w:color w:val="auto"/>
                <w:sz w:val="22"/>
                <w:szCs w:val="22"/>
                <w:highlight w:val="none"/>
              </w:rPr>
            </w:pPr>
          </w:p>
        </w:tc>
        <w:tc>
          <w:tcPr>
            <w:tcW w:w="245"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val="en-US" w:eastAsia="zh-CN"/>
              </w:rPr>
              <w:t>项</w:t>
            </w:r>
          </w:p>
        </w:tc>
        <w:tc>
          <w:tcPr>
            <w:tcW w:w="49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1</w:t>
            </w:r>
          </w:p>
        </w:tc>
        <w:tc>
          <w:tcPr>
            <w:tcW w:w="11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8"/>
                <w:szCs w:val="28"/>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834548</w:t>
            </w:r>
          </w:p>
        </w:tc>
      </w:tr>
      <w:tr>
        <w:tblPrEx>
          <w:tblCellMar>
            <w:top w:w="0" w:type="dxa"/>
            <w:left w:w="108" w:type="dxa"/>
            <w:bottom w:w="0" w:type="dxa"/>
            <w:right w:w="108" w:type="dxa"/>
          </w:tblCellMar>
        </w:tblPrEx>
        <w:trPr>
          <w:trHeight w:val="501" w:hRule="atLeast"/>
        </w:trPr>
        <w:tc>
          <w:tcPr>
            <w:tcW w:w="862" w:type="pct"/>
            <w:vMerge w:val="continue"/>
            <w:tcBorders>
              <w:left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rPr>
            </w:pPr>
          </w:p>
        </w:tc>
        <w:tc>
          <w:tcPr>
            <w:tcW w:w="30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4</w:t>
            </w:r>
          </w:p>
        </w:tc>
        <w:tc>
          <w:tcPr>
            <w:tcW w:w="114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i w:val="0"/>
                <w:iCs w:val="0"/>
                <w:color w:val="auto"/>
                <w:kern w:val="0"/>
                <w:sz w:val="22"/>
                <w:szCs w:val="22"/>
                <w:highlight w:val="none"/>
                <w:u w:val="none"/>
                <w:lang w:val="en-US" w:eastAsia="zh-CN" w:bidi="ar"/>
              </w:rPr>
              <w:t>其他附属</w:t>
            </w:r>
          </w:p>
        </w:tc>
        <w:tc>
          <w:tcPr>
            <w:tcW w:w="1304" w:type="pct"/>
            <w:vMerge w:val="continue"/>
            <w:tcBorders>
              <w:left w:val="single" w:color="auto" w:sz="4" w:space="0"/>
              <w:right w:val="single" w:color="auto" w:sz="4" w:space="0"/>
            </w:tcBorders>
            <w:noWrap w:val="0"/>
            <w:vAlign w:val="center"/>
          </w:tcPr>
          <w:p>
            <w:pPr>
              <w:rPr>
                <w:rFonts w:hint="eastAsia" w:ascii="仿宋" w:hAnsi="仿宋" w:eastAsia="仿宋" w:cs="仿宋"/>
                <w:b w:val="0"/>
                <w:bCs w:val="0"/>
                <w:color w:val="auto"/>
                <w:sz w:val="22"/>
                <w:szCs w:val="22"/>
                <w:highlight w:val="none"/>
              </w:rPr>
            </w:pPr>
          </w:p>
        </w:tc>
        <w:tc>
          <w:tcPr>
            <w:tcW w:w="245"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val="en-US" w:eastAsia="zh-CN"/>
              </w:rPr>
              <w:t>项</w:t>
            </w:r>
          </w:p>
        </w:tc>
        <w:tc>
          <w:tcPr>
            <w:tcW w:w="49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1</w:t>
            </w:r>
          </w:p>
        </w:tc>
        <w:tc>
          <w:tcPr>
            <w:tcW w:w="11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8"/>
                <w:szCs w:val="28"/>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162340</w:t>
            </w:r>
          </w:p>
        </w:tc>
      </w:tr>
      <w:tr>
        <w:tblPrEx>
          <w:tblCellMar>
            <w:top w:w="0" w:type="dxa"/>
            <w:left w:w="108" w:type="dxa"/>
            <w:bottom w:w="0" w:type="dxa"/>
            <w:right w:w="108" w:type="dxa"/>
          </w:tblCellMar>
        </w:tblPrEx>
        <w:trPr>
          <w:trHeight w:val="501" w:hRule="atLeast"/>
        </w:trPr>
        <w:tc>
          <w:tcPr>
            <w:tcW w:w="862" w:type="pct"/>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rPr>
            </w:pPr>
          </w:p>
        </w:tc>
        <w:tc>
          <w:tcPr>
            <w:tcW w:w="309" w:type="pct"/>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5</w:t>
            </w:r>
          </w:p>
        </w:tc>
        <w:tc>
          <w:tcPr>
            <w:tcW w:w="114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i w:val="0"/>
                <w:iCs w:val="0"/>
                <w:color w:val="auto"/>
                <w:kern w:val="0"/>
                <w:sz w:val="22"/>
                <w:szCs w:val="22"/>
                <w:highlight w:val="none"/>
                <w:u w:val="none"/>
                <w:lang w:val="en-US" w:eastAsia="zh-CN" w:bidi="ar"/>
              </w:rPr>
            </w:pPr>
            <w:r>
              <w:rPr>
                <w:rFonts w:hint="eastAsia" w:ascii="仿宋" w:hAnsi="仿宋" w:eastAsia="仿宋" w:cs="仿宋"/>
                <w:b w:val="0"/>
                <w:bCs w:val="0"/>
                <w:i w:val="0"/>
                <w:iCs w:val="0"/>
                <w:color w:val="auto"/>
                <w:kern w:val="0"/>
                <w:sz w:val="22"/>
                <w:szCs w:val="22"/>
                <w:highlight w:val="none"/>
                <w:u w:val="none"/>
                <w:lang w:val="en-US" w:eastAsia="zh-CN" w:bidi="ar"/>
              </w:rPr>
              <w:t>水电安装</w:t>
            </w:r>
          </w:p>
        </w:tc>
        <w:tc>
          <w:tcPr>
            <w:tcW w:w="1304" w:type="pct"/>
            <w:vMerge w:val="continue"/>
            <w:tcBorders>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i w:val="0"/>
                <w:iCs w:val="0"/>
                <w:color w:val="auto"/>
                <w:kern w:val="0"/>
                <w:sz w:val="22"/>
                <w:szCs w:val="22"/>
                <w:highlight w:val="none"/>
                <w:u w:val="none"/>
                <w:lang w:val="en-US" w:eastAsia="zh-CN" w:bidi="ar"/>
              </w:rPr>
            </w:pPr>
          </w:p>
        </w:tc>
        <w:tc>
          <w:tcPr>
            <w:tcW w:w="245"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项</w:t>
            </w:r>
          </w:p>
        </w:tc>
        <w:tc>
          <w:tcPr>
            <w:tcW w:w="49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1</w:t>
            </w:r>
          </w:p>
        </w:tc>
        <w:tc>
          <w:tcPr>
            <w:tcW w:w="11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color w:val="auto"/>
                <w:sz w:val="28"/>
                <w:szCs w:val="28"/>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340977</w:t>
            </w:r>
          </w:p>
        </w:tc>
      </w:tr>
      <w:tr>
        <w:tblPrEx>
          <w:tblCellMar>
            <w:top w:w="0" w:type="dxa"/>
            <w:left w:w="108" w:type="dxa"/>
            <w:bottom w:w="0" w:type="dxa"/>
            <w:right w:w="108" w:type="dxa"/>
          </w:tblCellMar>
        </w:tblPrEx>
        <w:trPr>
          <w:trHeight w:val="501"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最高限价</w:t>
            </w:r>
            <w:r>
              <w:rPr>
                <w:rFonts w:hint="eastAsia" w:ascii="仿宋" w:hAnsi="仿宋" w:eastAsia="仿宋" w:cs="仿宋"/>
                <w:b/>
                <w:bCs/>
                <w:color w:val="auto"/>
                <w:sz w:val="24"/>
                <w:szCs w:val="24"/>
                <w:highlight w:val="none"/>
              </w:rPr>
              <w:t>：人民币</w:t>
            </w:r>
            <w:r>
              <w:rPr>
                <w:rFonts w:hint="eastAsia" w:ascii="仿宋" w:hAnsi="仿宋" w:eastAsia="仿宋" w:cs="仿宋"/>
                <w:b/>
                <w:bCs/>
                <w:color w:val="auto"/>
                <w:sz w:val="24"/>
                <w:szCs w:val="24"/>
                <w:highlight w:val="none"/>
                <w:lang w:eastAsia="zh-CN"/>
              </w:rPr>
              <w:t>贰佰肆拾伍万肆仟零肆拾贰元</w:t>
            </w:r>
            <w:r>
              <w:rPr>
                <w:rFonts w:hint="eastAsia" w:ascii="仿宋" w:hAnsi="仿宋" w:eastAsia="仿宋" w:cs="仿宋"/>
                <w:b/>
                <w:bCs/>
                <w:color w:val="auto"/>
                <w:sz w:val="24"/>
                <w:szCs w:val="24"/>
                <w:highlight w:val="none"/>
              </w:rPr>
              <w:t>整（￥:</w:t>
            </w:r>
            <w:r>
              <w:rPr>
                <w:rFonts w:hint="eastAsia" w:ascii="仿宋" w:hAnsi="仿宋" w:eastAsia="仿宋" w:cs="仿宋"/>
                <w:b/>
                <w:bCs/>
                <w:color w:val="auto"/>
                <w:sz w:val="24"/>
                <w:szCs w:val="24"/>
                <w:highlight w:val="none"/>
                <w:lang w:eastAsia="zh-CN"/>
              </w:rPr>
              <w:t>2454042</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元）</w:t>
            </w:r>
          </w:p>
        </w:tc>
      </w:tr>
    </w:tbl>
    <w:p>
      <w:pPr>
        <w:tabs>
          <w:tab w:val="left" w:pos="1260"/>
        </w:tabs>
        <w:spacing w:line="360" w:lineRule="auto"/>
        <w:ind w:firstLine="235" w:firstLineChars="9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注：1、以上总金额包括设计、生产、供货、运输、装卸、安装调试、税金、保险、备品备件、配件、附件、培训、验收、辅助工作及售后服务等完成本项目的所有费用</w:t>
      </w:r>
    </w:p>
    <w:p>
      <w:pPr>
        <w:rPr>
          <w:color w:val="auto"/>
          <w:highlight w:val="none"/>
        </w:rPr>
      </w:pPr>
    </w:p>
    <w:p>
      <w:pPr>
        <w:numPr>
          <w:ilvl w:val="0"/>
          <w:numId w:val="2"/>
        </w:numPr>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技术要求</w:t>
      </w:r>
      <w:r>
        <w:rPr>
          <w:rFonts w:hint="eastAsia" w:ascii="仿宋" w:hAnsi="仿宋" w:eastAsia="仿宋" w:cs="仿宋"/>
          <w:b/>
          <w:color w:val="auto"/>
          <w:sz w:val="28"/>
          <w:szCs w:val="28"/>
          <w:highlight w:val="none"/>
          <w:lang w:val="en-US" w:eastAsia="zh-CN"/>
        </w:rPr>
        <w:t>及采购清单</w:t>
      </w:r>
    </w:p>
    <w:tbl>
      <w:tblPr>
        <w:tblStyle w:val="63"/>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4093"/>
        <w:gridCol w:w="2177"/>
        <w:gridCol w:w="581"/>
        <w:gridCol w:w="581"/>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12米单体棉被大棚(跨度12*长度72)M，共1座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C30基础及垫层（含土方、预埋件）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400*400*400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椭圆拱管，含连接管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φ10钢丝绳 含配套拉钩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棚头立柱1（含连接件）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棚头立柱2（含连接件）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棚头立柱3（含连接件）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棚头立柱4（含连接件）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棚头立柱5（含连接件）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棚头立柱6（含连接件）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拉管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棚内立柱1（含连接件）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棚内立柱2（含连接件）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连接片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方管盖膜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门上横梁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门上轨道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门下轨道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摇膜杆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固定杆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PEP丰谷膜0.1mm厚顶膜（含压膜卡，线等）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72.5×16.5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240克棉被外保温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72.5×16.5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PEP丰谷膜0.15mm厚端面膜（含压膜卡，线等）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PEP丰谷膜0.15mm分隔膜（含压膜卡，线等）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聚乙烯0.1mm裙膜（含压膜卡，线等）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32目聚乙烯防虫网（含压膜卡，线等）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72.5×1.2×2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运费、加工费（含镀锌费）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安装费（含五金配件及各种夹、卡件，辅料）及脚手架等安全措施费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bl>
    <w:p>
      <w:pPr>
        <w:jc w:val="both"/>
        <w:rPr>
          <w:rFonts w:hint="eastAsia" w:ascii="仿宋" w:hAnsi="仿宋" w:eastAsia="仿宋" w:cs="仿宋_GB2312"/>
          <w:b/>
          <w:color w:val="auto"/>
          <w:sz w:val="36"/>
          <w:szCs w:val="20"/>
          <w:highlight w:val="none"/>
        </w:rPr>
      </w:pPr>
    </w:p>
    <w:tbl>
      <w:tblPr>
        <w:tblStyle w:val="63"/>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3963"/>
        <w:gridCol w:w="2112"/>
        <w:gridCol w:w="569"/>
        <w:gridCol w:w="833"/>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12米单体大棚(跨度12*长度72)M，共11座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C30基础及垫层（含土方、预埋件）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400*400*400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椭圆拱管，含连接管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斜撑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φ10钢丝绳 含配套拉钩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拉管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棚头立柱1（含连接件）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棚头立柱2（含连接件）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棚头立柱3（含连接件）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棚头立柱4（含连接件）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棚头立柱5（含连接件）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棚头立柱6（含连接件）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水平拉管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水平拉管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L=10100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水平拉管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L=10200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φ32×2.0，含连接件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连接片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方管盖膜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门上横梁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门上轨道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门下轨道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摇膜杆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固定杆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PEP丰谷膜0.08mm厚顶膜（含压膜卡，线等）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72.5×16.5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PEP丰谷膜0.04mm厚顶膜（含压膜卡，线等）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72*（9.1+10.1）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PEP丰谷膜0.15mm厚端面膜（含压膜卡，线等）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PEP丰谷膜0.15mm分隔膜（含压膜卡，线等）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聚乙烯0.1mm裙膜（含压膜卡，线等）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32目聚乙烯防虫网（含压膜卡，线等）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72.5×1.2×2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运费、加工费（含镀锌费）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安装费（含五金配件及各种夹、卡件，辅料）及脚手架等安全措施费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1"/>
                <w:szCs w:val="21"/>
                <w:highlight w:val="none"/>
                <w:u w:val="none"/>
              </w:rPr>
            </w:pPr>
          </w:p>
        </w:tc>
      </w:tr>
    </w:tbl>
    <w:p>
      <w:pPr>
        <w:pStyle w:val="2"/>
        <w:rPr>
          <w:rFonts w:hint="eastAsia"/>
          <w:color w:val="auto"/>
          <w:highlight w:val="none"/>
        </w:rPr>
      </w:pPr>
    </w:p>
    <w:tbl>
      <w:tblPr>
        <w:tblStyle w:val="63"/>
        <w:tblW w:w="94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2"/>
        <w:gridCol w:w="3059"/>
        <w:gridCol w:w="2490"/>
        <w:gridCol w:w="1450"/>
        <w:gridCol w:w="866"/>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0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外遮阳系统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序号</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项目名称</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规格</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单位</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1</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C30基础及垫层（含土方、预埋件）</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600×600*600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套</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266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2</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外遮阳立柱</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□60×60×5.0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根</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266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L=6300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3</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外遮阳纵梁(组合式桁架式），详见图纸</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auto"/>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□50×50×3.0横杆，30*30*2.5+30*30*2.5角钢支撑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套</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 xml:space="preserve">228.00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L=14000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4</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外遮阳横梁</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□50×50×4.0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根</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 xml:space="preserve">252.00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L=4000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5</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外遮阳斜拉杆</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φ40×2.0mm</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根</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 xml:space="preserve">456.00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L=3000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6</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八字撑</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φ40×2.0mm</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根</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 xml:space="preserve">120.00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L=6000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7</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剪刀撑及花兰</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φ12圆钢</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套</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 xml:space="preserve">84.00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L=5000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8</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齿轮/齿条</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A型</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套</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 xml:space="preserve">38.00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黑体" w:hAnsi="宋体" w:eastAsia="黑体" w:cs="黑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9</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电机</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1.1kw</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 xml:space="preserve">4.00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黑体" w:hAnsi="宋体" w:eastAsia="黑体" w:cs="黑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10</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电机座</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黑体" w:hAnsi="宋体" w:eastAsia="黑体" w:cs="黑体"/>
                <w:i w:val="0"/>
                <w:iCs w:val="0"/>
                <w:color w:val="auto"/>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只</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 xml:space="preserve">4.00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黑体" w:hAnsi="宋体" w:eastAsia="黑体" w:cs="黑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11</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推拉杆</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φ30×2.0缩头</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根</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 xml:space="preserve">684.00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L=4100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12</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推杆支撑滚轮</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黑体" w:hAnsi="宋体" w:eastAsia="黑体" w:cs="黑体"/>
                <w:i w:val="0"/>
                <w:iCs w:val="0"/>
                <w:color w:val="auto"/>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套</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 xml:space="preserve">684.00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黑体" w:hAnsi="宋体" w:eastAsia="黑体" w:cs="黑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13</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传动杆</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φ40×3.0mm</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米</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 xml:space="preserve">168.00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黑体" w:hAnsi="宋体" w:eastAsia="黑体" w:cs="黑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14</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幕杆</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φ30×2.0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根</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 xml:space="preserve">684.00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L=4700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15</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遮阳网(含幕线幕钩等）</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70%国产折叠式黑网</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 xml:space="preserve">12096.00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黑体" w:hAnsi="宋体" w:eastAsia="黑体" w:cs="黑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16</w:t>
            </w:r>
          </w:p>
        </w:tc>
        <w:tc>
          <w:tcPr>
            <w:tcW w:w="3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运费、加工费（含镀锌费）</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黑体" w:hAnsi="宋体" w:eastAsia="黑体" w:cs="黑体"/>
                <w:i w:val="0"/>
                <w:iCs w:val="0"/>
                <w:color w:val="auto"/>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 xml:space="preserve">12096.00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黑体" w:hAnsi="宋体" w:eastAsia="黑体" w:cs="黑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17</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安装费（含五金配件及各种夹、卡件，辅料）及脚手架等安全措施费</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黑体" w:hAnsi="宋体" w:eastAsia="黑体" w:cs="黑体"/>
                <w:i w:val="0"/>
                <w:iCs w:val="0"/>
                <w:color w:val="auto"/>
                <w:sz w:val="22"/>
                <w:szCs w:val="22"/>
                <w:highlight w:val="none"/>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 xml:space="preserve">12096.00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黑体" w:hAnsi="宋体" w:eastAsia="黑体" w:cs="黑体"/>
                <w:i w:val="0"/>
                <w:iCs w:val="0"/>
                <w:color w:val="auto"/>
                <w:sz w:val="22"/>
                <w:szCs w:val="22"/>
                <w:highlight w:val="none"/>
                <w:u w:val="none"/>
              </w:rPr>
            </w:pPr>
          </w:p>
        </w:tc>
      </w:tr>
    </w:tbl>
    <w:p>
      <w:pPr>
        <w:pStyle w:val="3"/>
        <w:rPr>
          <w:rFonts w:hint="eastAsia"/>
          <w:color w:val="auto"/>
          <w:highlight w:val="none"/>
        </w:rPr>
      </w:pPr>
    </w:p>
    <w:tbl>
      <w:tblPr>
        <w:tblStyle w:val="63"/>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2"/>
        <w:gridCol w:w="3061"/>
        <w:gridCol w:w="2543"/>
        <w:gridCol w:w="842"/>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auto"/>
                <w:sz w:val="24"/>
                <w:szCs w:val="24"/>
                <w:highlight w:val="none"/>
                <w:u w:val="none"/>
              </w:rPr>
            </w:pPr>
            <w:r>
              <w:rPr>
                <w:rFonts w:hint="eastAsia" w:ascii="黑体" w:hAnsi="宋体" w:eastAsia="黑体" w:cs="黑体"/>
                <w:b/>
                <w:bCs/>
                <w:i w:val="0"/>
                <w:iCs w:val="0"/>
                <w:color w:val="auto"/>
                <w:kern w:val="0"/>
                <w:sz w:val="24"/>
                <w:szCs w:val="24"/>
                <w:highlight w:val="none"/>
                <w:u w:val="none"/>
                <w:lang w:val="en-US" w:eastAsia="zh-CN" w:bidi="ar"/>
              </w:rPr>
              <w:t>其他附属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1</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成品树脂沟渠含盖板，土方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500*500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2</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de400 pe管过路涵（含砼基础）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3</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棚间排水沟（含土方开挖、处理），覆盖0.5mmHDPE防渗膜（2米宽），具体见图纸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黑体" w:hAnsi="宋体" w:eastAsia="黑体" w:cs="黑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 xml:space="preserve">720.00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4</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临时蓄水池（土方开挖、处理），覆盖0.5mmHDPE防渗膜，具体见图纸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底面积10m*10m*2m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5</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 xml:space="preserve">塑钢围栏网含基础，具体见图纸，含老围栏拆除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6</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五孔板路，10碎石垫层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黑体" w:hAnsi="宋体" w:eastAsia="黑体" w:cs="黑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 xml:space="preserve">108.00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7</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钢筋砼过沟板，10碎石垫层，具体详见图纸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2.5*3.6m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8</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现场杂草清理及平整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黑体" w:hAnsi="宋体" w:eastAsia="黑体" w:cs="黑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 xml:space="preserve">1.00 </w:t>
            </w:r>
          </w:p>
        </w:tc>
      </w:tr>
    </w:tbl>
    <w:p>
      <w:pPr>
        <w:jc w:val="left"/>
        <w:rPr>
          <w:rFonts w:hint="eastAsia" w:ascii="仿宋" w:hAnsi="仿宋" w:eastAsia="仿宋" w:cs="仿宋"/>
          <w:b/>
          <w:bCs/>
          <w:color w:val="auto"/>
          <w:sz w:val="24"/>
          <w:szCs w:val="32"/>
          <w:highlight w:val="none"/>
          <w:shd w:val="clear" w:color="auto" w:fill="auto"/>
          <w:lang w:eastAsia="zh-CN"/>
        </w:rPr>
      </w:pPr>
    </w:p>
    <w:p>
      <w:pPr>
        <w:pStyle w:val="2"/>
        <w:rPr>
          <w:rFonts w:hint="eastAsia" w:ascii="仿宋" w:hAnsi="仿宋" w:eastAsia="仿宋" w:cs="仿宋"/>
          <w:b/>
          <w:bCs/>
          <w:color w:val="auto"/>
          <w:sz w:val="24"/>
          <w:szCs w:val="32"/>
          <w:highlight w:val="none"/>
          <w:shd w:val="clear" w:color="auto" w:fill="auto"/>
          <w:lang w:eastAsia="zh-CN"/>
        </w:rPr>
      </w:pPr>
    </w:p>
    <w:tbl>
      <w:tblPr>
        <w:tblStyle w:val="63"/>
        <w:tblW w:w="83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1216"/>
        <w:gridCol w:w="4687"/>
        <w:gridCol w:w="832"/>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水电安装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4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4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4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w:t>
            </w:r>
          </w:p>
        </w:tc>
        <w:tc>
          <w:tcPr>
            <w:tcW w:w="4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1.名称:电源总进线箱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2.型号:配置及控制方式详见系统图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3.接线端子材质、规格:压铜接线端子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4.安装方式:落地安装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1.柜体尺寸:1600*700*400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2.柜体颜色:灰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3.柜底进出线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4.柜内预留隔层高200 含基础、接地</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送配电装置系统</w:t>
            </w:r>
          </w:p>
        </w:tc>
        <w:tc>
          <w:tcPr>
            <w:tcW w:w="4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1kV以下交流供电系统调试  (综合)</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w:t>
            </w:r>
          </w:p>
        </w:tc>
        <w:tc>
          <w:tcPr>
            <w:tcW w:w="4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1.名称:电源控制箱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2.型号:配置及控制方式详见设计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3.接线端子材质、规格:压铜接线端子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4.安装方式:挂墙安装 部分含帷幕控制 综合考虑</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4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1.名称:电气管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2.规格材质：PE50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3.配置形式:埋地</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4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1.名称:电气管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2.规格材质：PE25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3.配置形式:埋地</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4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1.名称:电气管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2.规格材质：PC20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3.配置形式:综合考虑</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p>
        </w:tc>
        <w:tc>
          <w:tcPr>
            <w:tcW w:w="4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1.电缆名称:电力电缆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 号:ZR-YJV4*70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 质:铜芯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4.敷设方式、部位:管内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含线缆固定件 含挖填土</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w:t>
            </w:r>
          </w:p>
        </w:tc>
        <w:tc>
          <w:tcPr>
            <w:tcW w:w="4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1.电缆名称:电力电缆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 号:ZR-RVV-4*6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 质:铜芯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4.敷设方式、部位:管内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含线缆固定件 含挖填土</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4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1.名称:ZR-RVV2*2.5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2.配线形式:管内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3.材质:铜芯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含线缆固定件</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电力电缆头</w:t>
            </w:r>
          </w:p>
        </w:tc>
        <w:tc>
          <w:tcPr>
            <w:tcW w:w="4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电缆头 70mm2及以下 三芯及以上</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4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1.名称:接线盒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2.材质:综合考虑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3.规格:86型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4.安装形式:综合考虑</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普通灯具</w:t>
            </w:r>
          </w:p>
        </w:tc>
        <w:tc>
          <w:tcPr>
            <w:tcW w:w="4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1.名称:大棚专用补光灯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2.型号、规格:50W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3.安装方式:吊装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4.其他:详见图纸</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潜水泵</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1.名称:潜水泵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 QS20-30-3，20的流量，30的扬程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含导轨；随泵配套电缆、自动/手动控制箱、阀门、止回阀、软接头等 满足设计及使用功能要求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3.减振装置形式、数量:减震垫</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PE给水管:Φ100 热熔连接 含管件 埋地敷设 满足设计及使用功能要求 含挖填土</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砌筑井</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C25素砼闸阀井 含井盖 详见设计图纸 满足设计及使用功能要求 </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过滤器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全自动石英砂过滤器15T/H 含配套附件</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空压机</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空压机（气动反洗）功率约1680w，0.13立方米/分排气量 含控制箱、配套管道、阀门及附件 满足使用功能要求</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调压阀</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调压阀 配套设备使用</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旋流除砂器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旋流除砂器 45T/H 含全部配套 满足使用功能要求</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施肥泵</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QS4-30-3施肥泵（2台，一用一备） 含施肥阀、施肥罐、控制器、管道混合器、配套阀门等 含连接件</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施肥机</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施肥机 含相关配套附件 与施肥泵配套使用</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叠片过滤器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全自动叠片过滤器45T/H 含连接件、管道、阀门</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闸阀及分区</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闸阀及分区 配套使用 具体做法详见图纸 满足使用功能要求</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砖砌配电井</w:t>
            </w:r>
          </w:p>
        </w:tc>
        <w:tc>
          <w:tcPr>
            <w:tcW w:w="4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砖砌配电井 1.2*1m 含井盖</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卷扬机</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棉被大棚专用卷扬机</w:t>
            </w:r>
            <w:r>
              <w:rPr>
                <w:rFonts w:ascii="Arial" w:hAnsi="Arial" w:eastAsia="宋体" w:cs="Arial"/>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功率：</w:t>
            </w:r>
            <w:r>
              <w:rPr>
                <w:rFonts w:ascii="Arial" w:hAnsi="Arial" w:eastAsia="宋体" w:cs="Arial"/>
                <w:i w:val="0"/>
                <w:iCs w:val="0"/>
                <w:color w:val="auto"/>
                <w:kern w:val="0"/>
                <w:sz w:val="20"/>
                <w:szCs w:val="20"/>
                <w:highlight w:val="none"/>
                <w:u w:val="none"/>
                <w:lang w:val="en-US" w:eastAsia="zh-CN" w:bidi="ar"/>
              </w:rPr>
              <w:t xml:space="preserve">380v2.0kw </w:t>
            </w:r>
            <w:r>
              <w:rPr>
                <w:rFonts w:hint="eastAsia" w:ascii="宋体" w:hAnsi="宋体" w:eastAsia="宋体" w:cs="宋体"/>
                <w:i w:val="0"/>
                <w:iCs w:val="0"/>
                <w:color w:val="auto"/>
                <w:kern w:val="0"/>
                <w:sz w:val="20"/>
                <w:szCs w:val="20"/>
                <w:highlight w:val="none"/>
                <w:u w:val="none"/>
                <w:lang w:val="en-US" w:eastAsia="zh-CN" w:bidi="ar"/>
              </w:rPr>
              <w:t>速度：</w:t>
            </w:r>
            <w:r>
              <w:rPr>
                <w:rFonts w:ascii="Arial" w:hAnsi="Arial" w:eastAsia="宋体" w:cs="Arial"/>
                <w:i w:val="0"/>
                <w:iCs w:val="0"/>
                <w:color w:val="auto"/>
                <w:kern w:val="0"/>
                <w:sz w:val="20"/>
                <w:szCs w:val="20"/>
                <w:highlight w:val="none"/>
                <w:u w:val="none"/>
                <w:lang w:val="en-US" w:eastAsia="zh-CN" w:bidi="ar"/>
              </w:rPr>
              <w:t>17</w:t>
            </w:r>
            <w:r>
              <w:rPr>
                <w:rFonts w:hint="eastAsia" w:ascii="宋体" w:hAnsi="宋体" w:eastAsia="宋体" w:cs="宋体"/>
                <w:i w:val="0"/>
                <w:iCs w:val="0"/>
                <w:color w:val="auto"/>
                <w:kern w:val="0"/>
                <w:sz w:val="20"/>
                <w:szCs w:val="20"/>
                <w:highlight w:val="none"/>
                <w:u w:val="none"/>
                <w:lang w:val="en-US" w:eastAsia="zh-CN" w:bidi="ar"/>
              </w:rPr>
              <w:t>转左右</w:t>
            </w:r>
            <w:r>
              <w:rPr>
                <w:rFonts w:ascii="Arial" w:hAnsi="Arial" w:eastAsia="宋体" w:cs="Arial"/>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分</w:t>
            </w:r>
            <w:r>
              <w:rPr>
                <w:rFonts w:ascii="Arial" w:hAnsi="Arial" w:eastAsia="宋体" w:cs="Arial"/>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重量：</w:t>
            </w:r>
            <w:r>
              <w:rPr>
                <w:rFonts w:ascii="Arial" w:hAnsi="Arial" w:eastAsia="宋体" w:cs="Arial"/>
                <w:i w:val="0"/>
                <w:iCs w:val="0"/>
                <w:color w:val="auto"/>
                <w:kern w:val="0"/>
                <w:sz w:val="20"/>
                <w:szCs w:val="20"/>
                <w:highlight w:val="none"/>
                <w:u w:val="none"/>
                <w:lang w:val="en-US" w:eastAsia="zh-CN" w:bidi="ar"/>
              </w:rPr>
              <w:t>80</w:t>
            </w:r>
            <w:r>
              <w:rPr>
                <w:rFonts w:hint="eastAsia" w:ascii="宋体" w:hAnsi="宋体" w:eastAsia="宋体" w:cs="宋体"/>
                <w:i w:val="0"/>
                <w:iCs w:val="0"/>
                <w:color w:val="auto"/>
                <w:kern w:val="0"/>
                <w:sz w:val="20"/>
                <w:szCs w:val="20"/>
                <w:highlight w:val="none"/>
                <w:u w:val="none"/>
                <w:lang w:val="en-US" w:eastAsia="zh-CN" w:bidi="ar"/>
              </w:rPr>
              <w:t>公斤左右</w:t>
            </w:r>
            <w:r>
              <w:rPr>
                <w:rFonts w:ascii="Arial" w:hAnsi="Arial" w:eastAsia="宋体" w:cs="Arial"/>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卷重：</w:t>
            </w:r>
            <w:r>
              <w:rPr>
                <w:rFonts w:ascii="Arial" w:hAnsi="Arial" w:eastAsia="宋体" w:cs="Arial"/>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吨左右，满足棉被大棚使用要求</w:t>
            </w:r>
            <w:r>
              <w:rPr>
                <w:rFonts w:ascii="Arial" w:hAnsi="Arial" w:eastAsia="宋体" w:cs="Arial"/>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含卷杆、支杆、控制箱、电源管线、基础、支架等全部内容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电动摇膜器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电动摇膜器，功率100w，电压24v，电流3.5A，转速3.0rpm，扭转力80Nm，电动摇膜器为成品一套，带电源控制器，含插座、电箱、爬升器</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24</w:t>
            </w:r>
          </w:p>
        </w:tc>
      </w:tr>
    </w:tbl>
    <w:p>
      <w:pPr>
        <w:jc w:val="left"/>
        <w:rPr>
          <w:rFonts w:hint="eastAsia" w:ascii="仿宋" w:hAnsi="仿宋" w:eastAsia="仿宋" w:cs="仿宋_GB2312"/>
          <w:b/>
          <w:color w:val="auto"/>
          <w:sz w:val="36"/>
          <w:szCs w:val="20"/>
          <w:highlight w:val="none"/>
        </w:rPr>
      </w:pPr>
      <w:r>
        <w:rPr>
          <w:rFonts w:hint="eastAsia" w:ascii="仿宋" w:hAnsi="仿宋" w:eastAsia="仿宋" w:cs="仿宋"/>
          <w:b/>
          <w:bCs/>
          <w:color w:val="auto"/>
          <w:sz w:val="24"/>
          <w:szCs w:val="32"/>
          <w:highlight w:val="none"/>
          <w:shd w:val="clear" w:color="auto" w:fill="auto"/>
          <w:lang w:eastAsia="zh-CN"/>
        </w:rPr>
        <w:t>注：单体大棚施工图纸、大棚电气图纸附后，供应商</w:t>
      </w:r>
      <w:r>
        <w:rPr>
          <w:rFonts w:hint="eastAsia" w:ascii="仿宋" w:hAnsi="仿宋" w:eastAsia="仿宋" w:cs="仿宋"/>
          <w:b/>
          <w:bCs/>
          <w:color w:val="auto"/>
          <w:sz w:val="24"/>
          <w:szCs w:val="32"/>
          <w:highlight w:val="none"/>
          <w:shd w:val="clear" w:color="auto" w:fill="auto"/>
          <w:lang w:val="en-US" w:eastAsia="zh-CN"/>
        </w:rPr>
        <w:t>应</w:t>
      </w:r>
      <w:r>
        <w:rPr>
          <w:rFonts w:hint="eastAsia" w:ascii="仿宋" w:hAnsi="仿宋" w:eastAsia="仿宋" w:cs="仿宋"/>
          <w:b/>
          <w:bCs/>
          <w:color w:val="auto"/>
          <w:sz w:val="24"/>
          <w:szCs w:val="32"/>
          <w:highlight w:val="none"/>
          <w:shd w:val="clear" w:color="auto" w:fill="auto"/>
          <w:lang w:eastAsia="zh-CN"/>
        </w:rPr>
        <w:t>根据采购人提供的图纸进行施工，项目竣工后须提供竣工验收图纸。</w:t>
      </w:r>
    </w:p>
    <w:p>
      <w:pPr>
        <w:jc w:val="center"/>
        <w:rPr>
          <w:rFonts w:hint="eastAsia" w:ascii="仿宋" w:hAnsi="仿宋" w:eastAsia="仿宋" w:cs="仿宋_GB2312"/>
          <w:b/>
          <w:color w:val="auto"/>
          <w:sz w:val="36"/>
          <w:szCs w:val="20"/>
          <w:highlight w:val="none"/>
        </w:rPr>
      </w:pPr>
    </w:p>
    <w:p>
      <w:pPr>
        <w:pageBreakBefore w:val="0"/>
        <w:kinsoku/>
        <w:wordWrap/>
        <w:overflowPunct/>
        <w:topLinePunct w:val="0"/>
        <w:bidi w:val="0"/>
        <w:spacing w:line="360" w:lineRule="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商务要求</w:t>
      </w:r>
    </w:p>
    <w:p>
      <w:pPr>
        <w:pStyle w:val="5"/>
        <w:pageBreakBefore w:val="0"/>
        <w:kinsoku/>
        <w:wordWrap/>
        <w:overflowPunct/>
        <w:topLinePunct w:val="0"/>
        <w:bidi w:val="0"/>
        <w:spacing w:line="360" w:lineRule="auto"/>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lang w:eastAsia="zh-CN"/>
        </w:rPr>
        <w:t>（</w:t>
      </w:r>
      <w:r>
        <w:rPr>
          <w:rFonts w:hint="eastAsia" w:ascii="仿宋" w:eastAsia="仿宋" w:cs="仿宋"/>
          <w:color w:val="auto"/>
          <w:sz w:val="28"/>
          <w:szCs w:val="28"/>
          <w:highlight w:val="none"/>
          <w:lang w:val="en-US" w:eastAsia="zh-CN"/>
        </w:rPr>
        <w:t>一</w:t>
      </w:r>
      <w:r>
        <w:rPr>
          <w:rFonts w:hint="eastAsia" w:ascii="仿宋" w:eastAsia="仿宋" w:cs="仿宋"/>
          <w:color w:val="auto"/>
          <w:sz w:val="28"/>
          <w:szCs w:val="28"/>
          <w:highlight w:val="none"/>
          <w:lang w:eastAsia="zh-CN"/>
        </w:rPr>
        <w:t>）</w:t>
      </w:r>
      <w:r>
        <w:rPr>
          <w:rFonts w:hint="eastAsia" w:ascii="仿宋" w:hAnsi="仿宋" w:eastAsia="仿宋" w:cs="仿宋"/>
          <w:color w:val="auto"/>
          <w:sz w:val="28"/>
          <w:szCs w:val="28"/>
          <w:highlight w:val="none"/>
        </w:rPr>
        <w:t>实施团队人员要求</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1、供应商应由承诺的项目管理组完成本</w:t>
      </w:r>
      <w:r>
        <w:rPr>
          <w:rFonts w:hint="eastAsia" w:ascii="仿宋" w:hAnsi="仿宋" w:eastAsia="仿宋" w:cs="仿宋"/>
          <w:color w:val="auto"/>
          <w:sz w:val="24"/>
          <w:highlight w:val="none"/>
          <w:lang w:eastAsia="zh-CN"/>
        </w:rPr>
        <w:t>项目所有</w:t>
      </w:r>
      <w:r>
        <w:rPr>
          <w:rFonts w:hint="eastAsia" w:ascii="仿宋" w:hAnsi="仿宋" w:eastAsia="仿宋" w:cs="仿宋"/>
          <w:color w:val="auto"/>
          <w:sz w:val="24"/>
          <w:highlight w:val="none"/>
        </w:rPr>
        <w:t>工作，供应商应确保其委派的项目负责人和专业负责人在本</w:t>
      </w:r>
      <w:r>
        <w:rPr>
          <w:rFonts w:hint="eastAsia" w:ascii="仿宋" w:hAnsi="仿宋" w:eastAsia="仿宋" w:cs="仿宋"/>
          <w:color w:val="auto"/>
          <w:sz w:val="24"/>
          <w:highlight w:val="none"/>
          <w:lang w:eastAsia="zh-CN"/>
        </w:rPr>
        <w:t>项目实施</w:t>
      </w:r>
      <w:r>
        <w:rPr>
          <w:rFonts w:hint="eastAsia" w:ascii="仿宋" w:hAnsi="仿宋" w:eastAsia="仿宋" w:cs="仿宋"/>
          <w:color w:val="auto"/>
          <w:sz w:val="24"/>
          <w:highlight w:val="none"/>
        </w:rPr>
        <w:t>期间持续稳定地在该项目管理组工作；同时在本</w:t>
      </w:r>
      <w:r>
        <w:rPr>
          <w:rFonts w:hint="eastAsia" w:ascii="仿宋" w:hAnsi="仿宋" w:eastAsia="仿宋" w:cs="仿宋"/>
          <w:color w:val="auto"/>
          <w:sz w:val="24"/>
          <w:highlight w:val="none"/>
          <w:lang w:eastAsia="zh-CN"/>
        </w:rPr>
        <w:t>项目实施</w:t>
      </w:r>
      <w:r>
        <w:rPr>
          <w:rFonts w:hint="eastAsia" w:ascii="仿宋" w:hAnsi="仿宋" w:eastAsia="仿宋" w:cs="仿宋"/>
          <w:color w:val="auto"/>
          <w:sz w:val="24"/>
          <w:highlight w:val="none"/>
        </w:rPr>
        <w:t>过程中，供应商应按采购单位要求的时间派项目</w:t>
      </w:r>
      <w:r>
        <w:rPr>
          <w:rFonts w:hint="eastAsia" w:ascii="仿宋" w:hAnsi="仿宋" w:eastAsia="仿宋" w:cs="仿宋"/>
          <w:color w:val="auto"/>
          <w:sz w:val="24"/>
          <w:highlight w:val="none"/>
          <w:lang w:eastAsia="zh-CN"/>
        </w:rPr>
        <w:t>负责</w:t>
      </w:r>
      <w:r>
        <w:rPr>
          <w:rFonts w:hint="eastAsia" w:ascii="仿宋" w:hAnsi="仿宋" w:eastAsia="仿宋" w:cs="仿宋"/>
          <w:color w:val="auto"/>
          <w:sz w:val="24"/>
          <w:highlight w:val="none"/>
        </w:rPr>
        <w:t>人员到场或参会。</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2、供应商应当综合实力较为突出，具有与本项目相关领域的职称证书</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丰富的</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rPr>
        <w:t>工作经验。项目团队专业配置齐全、合理、架构清晰。在项目进行期间，确保项目组人员的稳定性，未经用户书面同意，不得更换项目组人员。</w:t>
      </w:r>
    </w:p>
    <w:p>
      <w:pPr>
        <w:pageBreakBefore w:val="0"/>
        <w:kinsoku/>
        <w:wordWrap/>
        <w:overflowPunct/>
        <w:topLinePunct w:val="0"/>
        <w:bidi w:val="0"/>
        <w:spacing w:line="360" w:lineRule="auto"/>
        <w:rPr>
          <w:rFonts w:hint="eastAsia" w:ascii="仿宋" w:hAnsi="仿宋" w:eastAsia="仿宋" w:cs="仿宋"/>
          <w:color w:val="auto"/>
          <w:sz w:val="24"/>
          <w:highlight w:val="none"/>
        </w:rPr>
      </w:pPr>
    </w:p>
    <w:p>
      <w:pPr>
        <w:pStyle w:val="5"/>
        <w:pageBreakBefore w:val="0"/>
        <w:kinsoku/>
        <w:wordWrap/>
        <w:overflowPunct/>
        <w:topLinePunct w:val="0"/>
        <w:bidi w:val="0"/>
        <w:spacing w:line="360" w:lineRule="auto"/>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lang w:eastAsia="zh-CN"/>
        </w:rPr>
        <w:t>（</w:t>
      </w:r>
      <w:r>
        <w:rPr>
          <w:rFonts w:hint="eastAsia" w:ascii="仿宋" w:eastAsia="仿宋" w:cs="仿宋"/>
          <w:color w:val="auto"/>
          <w:sz w:val="28"/>
          <w:szCs w:val="28"/>
          <w:highlight w:val="none"/>
          <w:lang w:val="en-US" w:eastAsia="zh-CN"/>
        </w:rPr>
        <w:t>二</w:t>
      </w:r>
      <w:r>
        <w:rPr>
          <w:rFonts w:hint="eastAsia" w:ascii="仿宋" w:eastAsia="仿宋" w:cs="仿宋"/>
          <w:color w:val="auto"/>
          <w:sz w:val="28"/>
          <w:szCs w:val="28"/>
          <w:highlight w:val="none"/>
          <w:lang w:eastAsia="zh-CN"/>
        </w:rPr>
        <w:t>）</w:t>
      </w:r>
      <w:r>
        <w:rPr>
          <w:rFonts w:hint="eastAsia" w:ascii="仿宋" w:hAnsi="仿宋" w:eastAsia="仿宋" w:cs="仿宋"/>
          <w:color w:val="auto"/>
          <w:sz w:val="28"/>
          <w:szCs w:val="28"/>
          <w:highlight w:val="none"/>
        </w:rPr>
        <w:t>其他要求</w:t>
      </w:r>
    </w:p>
    <w:p>
      <w:pPr>
        <w:pageBreakBefore w:val="0"/>
        <w:kinsoku/>
        <w:wordWrap/>
        <w:overflowPunct/>
        <w:topLinePunct w:val="0"/>
        <w:autoSpaceDE w:val="0"/>
        <w:autoSpaceDN w:val="0"/>
        <w:bidi w:val="0"/>
        <w:adjustRightIn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采购的总体要求：</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1、必须符合招标文件(包括补充更正，如有)的技术要求和配置；必须是国内相应制造厂商生产并提供的原装合格产品；</w:t>
      </w:r>
    </w:p>
    <w:p>
      <w:pPr>
        <w:pageBreakBefore w:val="0"/>
        <w:kinsoku/>
        <w:wordWrap/>
        <w:overflowPunct/>
        <w:topLinePunct w:val="0"/>
        <w:autoSpaceDE w:val="0"/>
        <w:autoSpaceDN w:val="0"/>
        <w:bidi w:val="0"/>
        <w:adjustRightInd w:val="0"/>
        <w:snapToGrid w:val="0"/>
        <w:spacing w:line="360" w:lineRule="auto"/>
        <w:ind w:left="-181" w:leftChars="-86" w:right="-178" w:rightChars="-85" w:firstLine="720" w:firstLineChars="300"/>
        <w:textAlignment w:val="bottom"/>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2、售后服务按</w:t>
      </w:r>
      <w:r>
        <w:rPr>
          <w:rFonts w:hint="eastAsia" w:ascii="仿宋" w:hAnsi="仿宋" w:eastAsia="仿宋" w:cs="仿宋"/>
          <w:color w:val="auto"/>
          <w:sz w:val="24"/>
          <w:szCs w:val="24"/>
          <w:highlight w:val="none"/>
          <w:lang w:eastAsia="zh-CN"/>
        </w:rPr>
        <w:t>国家市场监督管理总局</w:t>
      </w:r>
      <w:r>
        <w:rPr>
          <w:rFonts w:hint="eastAsia" w:ascii="仿宋" w:hAnsi="仿宋" w:eastAsia="仿宋" w:cs="仿宋"/>
          <w:color w:val="auto"/>
          <w:sz w:val="24"/>
          <w:szCs w:val="24"/>
          <w:highlight w:val="none"/>
        </w:rPr>
        <w:t>和国家其他有关规定执行，国家没有规定的按厂商规定执行。国家规定标准低于厂商标准的按厂商标准执行，但最低免费原厂质保服务期不得少于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p>
    <w:p>
      <w:pPr>
        <w:pageBreakBefore w:val="0"/>
        <w:kinsoku/>
        <w:wordWrap/>
        <w:overflowPunct/>
        <w:topLinePunct w:val="0"/>
        <w:autoSpaceDE w:val="0"/>
        <w:autoSpaceDN w:val="0"/>
        <w:bidi w:val="0"/>
        <w:adjustRightInd w:val="0"/>
        <w:snapToGrid w:val="0"/>
        <w:spacing w:line="360" w:lineRule="auto"/>
        <w:ind w:firstLine="354" w:firstLineChars="147"/>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售后服务</w:t>
      </w:r>
    </w:p>
    <w:p>
      <w:pPr>
        <w:pageBreakBefore w:val="0"/>
        <w:widowControl/>
        <w:kinsoku/>
        <w:wordWrap/>
        <w:overflowPunct/>
        <w:topLinePunct w:val="0"/>
        <w:autoSpaceDE w:val="0"/>
        <w:autoSpaceDN w:val="0"/>
        <w:bidi w:val="0"/>
        <w:spacing w:line="360" w:lineRule="auto"/>
        <w:ind w:left="-181" w:leftChars="-86" w:right="-178" w:rightChars="-85" w:firstLine="600" w:firstLineChars="25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提供2</w:t>
      </w:r>
      <w:r>
        <w:rPr>
          <w:rFonts w:hint="eastAsia" w:ascii="仿宋" w:hAnsi="仿宋" w:eastAsia="仿宋" w:cs="仿宋"/>
          <w:b/>
          <w:color w:val="auto"/>
          <w:sz w:val="24"/>
          <w:highlight w:val="none"/>
        </w:rPr>
        <w:t>年</w:t>
      </w:r>
      <w:r>
        <w:rPr>
          <w:rFonts w:hint="eastAsia" w:ascii="仿宋" w:hAnsi="仿宋" w:eastAsia="仿宋" w:cs="仿宋"/>
          <w:color w:val="auto"/>
          <w:sz w:val="24"/>
          <w:highlight w:val="none"/>
        </w:rPr>
        <w:t>的质保期，配备维护专用车辆定期对设备进行巡检，确保设备正常运行。质保期从验收合格交付使用之日起算；</w:t>
      </w:r>
      <w:r>
        <w:rPr>
          <w:rFonts w:hint="eastAsia" w:ascii="仿宋" w:hAnsi="仿宋" w:eastAsia="仿宋" w:cs="仿宋"/>
          <w:color w:val="auto"/>
          <w:sz w:val="24"/>
          <w:szCs w:val="24"/>
          <w:highlight w:val="none"/>
        </w:rPr>
        <w:t>质保期内因不能排除的故障而影响工作的情况每发生一次，其质保期相应延长60天，质保期内因设备本身缺陷造成各种故障应由卖方免费技术服务和维修。</w:t>
      </w:r>
    </w:p>
    <w:p>
      <w:pPr>
        <w:pageBreakBefore w:val="0"/>
        <w:kinsoku/>
        <w:wordWrap/>
        <w:overflowPunct/>
        <w:topLinePunct w:val="0"/>
        <w:autoSpaceDE w:val="0"/>
        <w:autoSpaceDN w:val="0"/>
        <w:bidi w:val="0"/>
        <w:adjustRightInd w:val="0"/>
        <w:snapToGrid w:val="0"/>
        <w:spacing w:line="360" w:lineRule="auto"/>
        <w:ind w:left="-181" w:leftChars="-86" w:right="-178" w:rightChars="-85" w:firstLine="597" w:firstLineChars="249"/>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pPr>
        <w:pageBreakBefore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3、供应商在投标文件中须说明保修期内提供的服务计划。</w:t>
      </w:r>
    </w:p>
    <w:p>
      <w:pPr>
        <w:pageBreakBefore w:val="0"/>
        <w:kinsoku/>
        <w:wordWrap/>
        <w:overflowPunct/>
        <w:topLinePunct w:val="0"/>
        <w:bidi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Cs/>
          <w:color w:val="auto"/>
          <w:sz w:val="24"/>
          <w:szCs w:val="24"/>
          <w:highlight w:val="none"/>
        </w:rPr>
        <w:t>质保期内免收包括材料费在内的各种费用及相关服务费用。质保期满后，供应商提供跟踪服务，若需更换零配件，采购方只承担更换零配件的成本费，其余费用均由中标人承担。</w:t>
      </w:r>
    </w:p>
    <w:p>
      <w:pPr>
        <w:pageBreakBefore w:val="0"/>
        <w:kinsoku/>
        <w:wordWrap/>
        <w:overflowPunct/>
        <w:topLinePunct w:val="0"/>
        <w:bidi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5、对提供的设备，供应商产品更新换代，不再批量生产该产品，也必须随时有备品零配件供应，并提供终身技术服务。</w:t>
      </w:r>
    </w:p>
    <w:p>
      <w:pPr>
        <w:pageBreakBefore w:val="0"/>
        <w:kinsoku/>
        <w:wordWrap/>
        <w:overflowPunct/>
        <w:topLinePunct w:val="0"/>
        <w:bidi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6、如供应商未达到以上要求，视为违约，采购方有权要求无条件退货，一切费用将由供应商承担。</w:t>
      </w:r>
    </w:p>
    <w:p>
      <w:pPr>
        <w:pageBreakBefore w:val="0"/>
        <w:kinsoku/>
        <w:wordWrap/>
        <w:overflowPunct/>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交货期限、地点及方式</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交付期限：自合同签订之日起60日内供货到采购人指定地点, 中标人负责安装，并调试完毕完成验收</w:t>
      </w:r>
      <w:r>
        <w:rPr>
          <w:rFonts w:hint="eastAsia" w:ascii="仿宋" w:hAnsi="仿宋" w:eastAsia="仿宋" w:cs="仿宋"/>
          <w:color w:val="auto"/>
          <w:sz w:val="24"/>
          <w:szCs w:val="24"/>
          <w:highlight w:val="none"/>
        </w:rPr>
        <w:t>，如在规定的时间内由于卖方的原因不能送达货物并</w:t>
      </w:r>
      <w:r>
        <w:rPr>
          <w:rFonts w:hint="eastAsia" w:ascii="仿宋" w:hAnsi="仿宋" w:eastAsia="仿宋" w:cs="仿宋"/>
          <w:color w:val="auto"/>
          <w:sz w:val="24"/>
          <w:szCs w:val="24"/>
          <w:highlight w:val="none"/>
          <w:lang w:eastAsia="zh-CN"/>
        </w:rPr>
        <w:t>安装调试完成</w:t>
      </w:r>
      <w:r>
        <w:rPr>
          <w:rFonts w:hint="eastAsia" w:ascii="仿宋" w:hAnsi="仿宋" w:eastAsia="仿宋" w:cs="仿宋"/>
          <w:color w:val="auto"/>
          <w:sz w:val="24"/>
          <w:szCs w:val="24"/>
          <w:highlight w:val="none"/>
        </w:rPr>
        <w:t>通过验收的，中标方应承担由此给</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造成的损失。</w:t>
      </w:r>
    </w:p>
    <w:p>
      <w:pPr>
        <w:pStyle w:val="61"/>
        <w:pageBreakBefore w:val="0"/>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交付地点：</w:t>
      </w:r>
      <w:r>
        <w:rPr>
          <w:rFonts w:hint="eastAsia" w:ascii="仿宋" w:hAnsi="仿宋" w:eastAsia="仿宋" w:cs="仿宋"/>
          <w:color w:val="auto"/>
          <w:sz w:val="24"/>
          <w:szCs w:val="24"/>
          <w:highlight w:val="none"/>
          <w:lang w:val="en-US" w:eastAsia="zh-CN"/>
        </w:rPr>
        <w:t>采购人指定地点</w:t>
      </w:r>
      <w:r>
        <w:rPr>
          <w:rFonts w:hint="eastAsia" w:ascii="仿宋" w:hAnsi="仿宋" w:eastAsia="仿宋" w:cs="仿宋"/>
          <w:color w:val="auto"/>
          <w:sz w:val="24"/>
          <w:szCs w:val="24"/>
          <w:highlight w:val="none"/>
        </w:rPr>
        <w:t>。</w:t>
      </w:r>
    </w:p>
    <w:p>
      <w:pPr>
        <w:pageBreakBefore w:val="0"/>
        <w:kinsoku/>
        <w:wordWrap/>
        <w:overflowPunct/>
        <w:topLinePunct w:val="0"/>
        <w:bidi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交付方式：</w:t>
      </w:r>
      <w:r>
        <w:rPr>
          <w:rFonts w:hint="eastAsia" w:ascii="仿宋" w:hAnsi="仿宋" w:eastAsia="仿宋" w:cs="仿宋"/>
          <w:color w:val="auto"/>
          <w:sz w:val="24"/>
          <w:szCs w:val="24"/>
          <w:highlight w:val="none"/>
        </w:rPr>
        <w:t>中标方提供中标货物的安装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培训和技术指导</w:t>
      </w:r>
      <w:r>
        <w:rPr>
          <w:rFonts w:hint="eastAsia" w:ascii="仿宋" w:hAnsi="仿宋" w:eastAsia="仿宋" w:cs="仿宋"/>
          <w:color w:val="auto"/>
          <w:sz w:val="24"/>
          <w:szCs w:val="24"/>
          <w:highlight w:val="none"/>
          <w:lang w:eastAsia="zh-CN"/>
        </w:rPr>
        <w:t>。</w:t>
      </w:r>
    </w:p>
    <w:p>
      <w:pPr>
        <w:pageBreakBefore w:val="0"/>
        <w:widowControl/>
        <w:kinsoku/>
        <w:wordWrap/>
        <w:overflowPunct/>
        <w:topLinePunct w:val="0"/>
        <w:autoSpaceDE w:val="0"/>
        <w:autoSpaceDN w:val="0"/>
        <w:bidi w:val="0"/>
        <w:spacing w:line="360" w:lineRule="auto"/>
        <w:ind w:firstLine="482" w:firstLineChars="200"/>
        <w:textAlignment w:val="bottom"/>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验收</w:t>
      </w:r>
      <w:r>
        <w:rPr>
          <w:rFonts w:hint="eastAsia" w:ascii="仿宋" w:hAnsi="仿宋" w:eastAsia="仿宋" w:cs="仿宋"/>
          <w:b/>
          <w:color w:val="auto"/>
          <w:sz w:val="24"/>
          <w:szCs w:val="24"/>
          <w:highlight w:val="none"/>
          <w:lang w:eastAsia="zh-CN"/>
        </w:rPr>
        <w:t>方式及标准</w:t>
      </w:r>
    </w:p>
    <w:p>
      <w:pPr>
        <w:pageBreakBefore w:val="0"/>
        <w:widowControl/>
        <w:kinsoku/>
        <w:wordWrap/>
        <w:overflowPunct/>
        <w:topLinePunct w:val="0"/>
        <w:autoSpaceDE w:val="0"/>
        <w:autoSpaceDN w:val="0"/>
        <w:bidi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1、中标单位</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在接</w:t>
      </w:r>
      <w:r>
        <w:rPr>
          <w:rFonts w:hint="eastAsia" w:ascii="仿宋" w:hAnsi="仿宋" w:eastAsia="仿宋" w:cs="仿宋"/>
          <w:color w:val="auto"/>
          <w:sz w:val="24"/>
          <w:szCs w:val="24"/>
          <w:highlight w:val="none"/>
          <w:lang w:val="en-US" w:eastAsia="zh-CN"/>
        </w:rPr>
        <w:t>采购人验收</w:t>
      </w:r>
      <w:r>
        <w:rPr>
          <w:rFonts w:hint="eastAsia" w:ascii="仿宋" w:hAnsi="仿宋" w:eastAsia="仿宋" w:cs="仿宋"/>
          <w:color w:val="auto"/>
          <w:sz w:val="24"/>
          <w:szCs w:val="24"/>
          <w:highlight w:val="none"/>
        </w:rPr>
        <w:t>通知后7个自然日内提供合同货物的有效检验材料，经采购人认可后，与合同的技术指标一起作为验收标准。验收中发现系统设备达不到验收标准或合同规定的技术指标，中标供应商必须更换合同货物，并负担由此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造成的损失，直到验收合格为止。</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2、响应方应于投标文件中提供合同货物的验收标准和检测办法，并在验收中提供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认可的相应检测手段，验收标准应符合中国有关的国家、地方、行业的标准，如若中标，经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确认后作为验收的依据。</w:t>
      </w:r>
    </w:p>
    <w:p>
      <w:pPr>
        <w:pageBreakBefore w:val="0"/>
        <w:kinsoku/>
        <w:wordWrap/>
        <w:overflowPunct/>
        <w:topLinePunct w:val="0"/>
        <w:bidi w:val="0"/>
        <w:spacing w:line="360" w:lineRule="auto"/>
        <w:ind w:firstLine="480" w:firstLineChars="200"/>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szCs w:val="24"/>
          <w:highlight w:val="none"/>
        </w:rPr>
        <w:t>3、验收费用由产品供应商承担。</w:t>
      </w:r>
    </w:p>
    <w:p>
      <w:pPr>
        <w:pageBreakBefore w:val="0"/>
        <w:kinsoku/>
        <w:wordWrap/>
        <w:overflowPunct/>
        <w:topLinePunct w:val="0"/>
        <w:bidi w:val="0"/>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资金支付的方式、时间和条件</w:t>
      </w:r>
    </w:p>
    <w:p>
      <w:pPr>
        <w:pageBreakBefore w:val="0"/>
        <w:kinsoku/>
        <w:wordWrap/>
        <w:overflowPunct/>
        <w:topLinePunct w:val="0"/>
        <w:bidi w:val="0"/>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采购单位根据合同、投标文件等资料进行验收。</w:t>
      </w:r>
    </w:p>
    <w:p>
      <w:pPr>
        <w:pageBreakBefore w:val="0"/>
        <w:kinsoku/>
        <w:wordWrap/>
        <w:overflowPunct/>
        <w:topLinePunct w:val="0"/>
        <w:bidi w:val="0"/>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采购单位在合同签订后7个工作日内支付合同金额的40%；单体大棚安装调试工作量完成至80%时支付合同金额的30%，全部安装调试完毕，项目验收合格并经审价后7个工作日内按照审定价格付清尾款。</w:t>
      </w:r>
    </w:p>
    <w:p>
      <w:pPr>
        <w:pageBreakBefore w:val="0"/>
        <w:kinsoku/>
        <w:wordWrap/>
        <w:overflowPunct/>
        <w:topLinePunct w:val="0"/>
        <w:bidi w:val="0"/>
        <w:spacing w:line="360" w:lineRule="auto"/>
        <w:ind w:firstLine="480" w:firstLineChars="200"/>
        <w:rPr>
          <w:rFonts w:hint="eastAsia" w:ascii="仿宋" w:hAnsi="仿宋" w:eastAsia="仿宋" w:cs="仿宋_GB2312"/>
          <w:b/>
          <w:sz w:val="36"/>
          <w:szCs w:val="20"/>
          <w:highlight w:val="none"/>
          <w:lang w:eastAsia="zh-CN"/>
        </w:rPr>
      </w:pPr>
      <w:r>
        <w:rPr>
          <w:rFonts w:hint="eastAsia" w:ascii="仿宋" w:hAnsi="仿宋" w:eastAsia="仿宋" w:cs="仿宋"/>
          <w:b w:val="0"/>
          <w:bCs w:val="0"/>
          <w:color w:val="auto"/>
          <w:sz w:val="24"/>
          <w:highlight w:val="none"/>
        </w:rPr>
        <w:t>注：付款前中标单位应按规定向采购人开具正规发票</w:t>
      </w:r>
      <w:r>
        <w:rPr>
          <w:rFonts w:hint="eastAsia" w:ascii="仿宋" w:hAnsi="仿宋" w:eastAsia="仿宋" w:cs="仿宋"/>
          <w:b w:val="0"/>
          <w:bCs w:val="0"/>
          <w:color w:val="auto"/>
          <w:sz w:val="24"/>
          <w:highlight w:val="none"/>
          <w:lang w:eastAsia="zh-CN"/>
        </w:rPr>
        <w:t>。</w:t>
      </w: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both"/>
        <w:rPr>
          <w:rFonts w:hint="eastAsia" w:ascii="仿宋" w:hAnsi="仿宋" w:eastAsia="仿宋" w:cs="仿宋_GB2312"/>
          <w:b/>
          <w:sz w:val="36"/>
          <w:szCs w:val="20"/>
          <w:highlight w:val="none"/>
        </w:rPr>
      </w:pPr>
    </w:p>
    <w:p>
      <w:pPr>
        <w:jc w:val="both"/>
        <w:rPr>
          <w:rFonts w:hint="eastAsia" w:ascii="仿宋" w:hAnsi="仿宋" w:eastAsia="仿宋" w:cs="仿宋_GB2312"/>
          <w:b/>
          <w:sz w:val="36"/>
          <w:szCs w:val="20"/>
          <w:highlight w:val="none"/>
        </w:rPr>
      </w:pPr>
    </w:p>
    <w:p>
      <w:pPr>
        <w:jc w:val="center"/>
        <w:rPr>
          <w:rFonts w:ascii="仿宋" w:hAnsi="仿宋" w:eastAsia="仿宋" w:cs="仿宋_GB2312"/>
          <w:b/>
          <w:sz w:val="36"/>
          <w:szCs w:val="20"/>
          <w:highlight w:val="none"/>
        </w:rPr>
      </w:pPr>
      <w:r>
        <w:rPr>
          <w:rFonts w:hint="eastAsia" w:ascii="仿宋" w:hAnsi="仿宋" w:eastAsia="仿宋" w:cs="仿宋_GB2312"/>
          <w:b/>
          <w:sz w:val="36"/>
          <w:szCs w:val="20"/>
          <w:highlight w:val="none"/>
        </w:rPr>
        <w:t>第</w:t>
      </w:r>
      <w:bookmarkEnd w:id="11"/>
      <w:r>
        <w:rPr>
          <w:rFonts w:hint="eastAsia" w:ascii="仿宋" w:hAnsi="仿宋" w:eastAsia="仿宋" w:cs="仿宋_GB2312"/>
          <w:b/>
          <w:sz w:val="36"/>
          <w:szCs w:val="20"/>
          <w:highlight w:val="none"/>
        </w:rPr>
        <w:t>三章</w:t>
      </w:r>
      <w:r>
        <w:rPr>
          <w:rFonts w:ascii="仿宋" w:hAnsi="仿宋" w:eastAsia="仿宋" w:cs="仿宋_GB2312"/>
          <w:b/>
          <w:sz w:val="36"/>
          <w:szCs w:val="20"/>
          <w:highlight w:val="none"/>
        </w:rPr>
        <w:t xml:space="preserve"> 投标人须知</w:t>
      </w:r>
      <w:bookmarkEnd w:id="12"/>
    </w:p>
    <w:bookmarkEnd w:id="13"/>
    <w:p>
      <w:pPr>
        <w:wordWrap w:val="0"/>
        <w:overflowPunct w:val="0"/>
        <w:autoSpaceDE w:val="0"/>
        <w:autoSpaceDN w:val="0"/>
        <w:adjustRightInd/>
        <w:spacing w:before="240" w:beforeLines="100" w:after="240" w:afterLines="100" w:line="360" w:lineRule="atLeast"/>
        <w:jc w:val="center"/>
        <w:rPr>
          <w:rFonts w:ascii="宋体" w:hAnsi="宋体" w:cs="宋体"/>
          <w:b/>
          <w:bCs/>
          <w:sz w:val="28"/>
          <w:szCs w:val="28"/>
          <w:highlight w:val="none"/>
        </w:rPr>
      </w:pPr>
      <w:bookmarkStart w:id="14" w:name="_Toc91899903"/>
      <w:bookmarkStart w:id="15" w:name="_Toc164416483"/>
      <w:bookmarkStart w:id="16" w:name="第三部分"/>
      <w:r>
        <w:rPr>
          <w:rFonts w:hint="eastAsia" w:ascii="宋体" w:hAnsi="宋体" w:cs="宋体"/>
          <w:b/>
          <w:bCs/>
          <w:sz w:val="28"/>
          <w:szCs w:val="28"/>
          <w:highlight w:val="none"/>
        </w:rPr>
        <w:t>电子交易注意事项</w:t>
      </w:r>
    </w:p>
    <w:p>
      <w:pPr>
        <w:wordWrap w:val="0"/>
        <w:overflowPunct w:val="0"/>
        <w:autoSpaceDE w:val="0"/>
        <w:autoSpaceDN w:val="0"/>
        <w:adjustRightInd/>
        <w:spacing w:line="400" w:lineRule="exact"/>
        <w:ind w:firstLine="240" w:firstLineChars="1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　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240" w:firstLineChars="100"/>
        <w:jc w:val="left"/>
        <w:rPr>
          <w:rFonts w:ascii="宋体" w:hAnsi="宋体" w:cs="宋体"/>
          <w:sz w:val="24"/>
          <w:highlight w:val="none"/>
        </w:rPr>
      </w:pPr>
      <w:r>
        <w:rPr>
          <w:rFonts w:hint="eastAsia" w:ascii="宋体" w:hAnsi="宋体" w:cs="宋体"/>
          <w:sz w:val="24"/>
          <w:highlight w:val="none"/>
        </w:rPr>
        <w:t>　1.采购代理机构按照招标文件规定的时间通过电子交易平台组织开标、开启投标文件，所有供应商均应当准时在线参加，直至评审结束。</w:t>
      </w:r>
    </w:p>
    <w:p>
      <w:pPr>
        <w:pStyle w:val="58"/>
        <w:widowControl w:val="0"/>
        <w:wordWrap w:val="0"/>
        <w:overflowPunct w:val="0"/>
        <w:autoSpaceDE w:val="0"/>
        <w:autoSpaceDN w:val="0"/>
        <w:adjustRightInd/>
        <w:spacing w:before="0" w:beforeAutospacing="0" w:after="0" w:afterAutospacing="0" w:line="400" w:lineRule="exact"/>
        <w:ind w:firstLine="240" w:firstLineChars="100"/>
        <w:rPr>
          <w:rFonts w:cs="宋体"/>
          <w:kern w:val="2"/>
          <w:highlight w:val="none"/>
        </w:rPr>
      </w:pPr>
      <w:r>
        <w:rPr>
          <w:rFonts w:hint="eastAsia" w:cs="宋体"/>
          <w:kern w:val="2"/>
          <w:highlight w:val="none"/>
        </w:rPr>
        <w:t>　2.采购过程中出现以下情形，导致电子交易平台无法正常运行，或者无法保证电子交易的公平、公正和安全时，采购代理机构可中止电子交易活动：</w:t>
      </w:r>
    </w:p>
    <w:p>
      <w:pPr>
        <w:pStyle w:val="58"/>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（一）电子交易平台发生故障而无法登录访问的； </w:t>
      </w:r>
    </w:p>
    <w:p>
      <w:pPr>
        <w:pStyle w:val="58"/>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（二）电子交易平台应用或数据库出现错误，不能进行正常操作的；</w:t>
      </w:r>
    </w:p>
    <w:p>
      <w:pPr>
        <w:pStyle w:val="58"/>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（三）电子交易平台发现严重安全漏洞，有潜在泄密危险的；</w:t>
      </w:r>
    </w:p>
    <w:p>
      <w:pPr>
        <w:pStyle w:val="58"/>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（四）病毒发作导致不能进行正常操作的； </w:t>
      </w:r>
    </w:p>
    <w:p>
      <w:pPr>
        <w:pStyle w:val="58"/>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（五）其他无法保证电子交易的公平、公正和安全的情况。</w:t>
      </w:r>
    </w:p>
    <w:p>
      <w:pPr>
        <w:pStyle w:val="58"/>
        <w:widowControl w:val="0"/>
        <w:wordWrap w:val="0"/>
        <w:overflowPunct w:val="0"/>
        <w:autoSpaceDE w:val="0"/>
        <w:autoSpaceDN w:val="0"/>
        <w:adjustRightInd/>
        <w:spacing w:before="0" w:beforeAutospacing="0" w:after="0" w:afterAutospacing="0" w:line="400" w:lineRule="exact"/>
        <w:ind w:firstLine="480"/>
        <w:rPr>
          <w:rFonts w:cs="宋体"/>
          <w:kern w:val="2"/>
          <w:highlight w:val="none"/>
        </w:rPr>
      </w:pPr>
      <w:r>
        <w:rPr>
          <w:rFonts w:hint="eastAsia" w:cs="宋体"/>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58"/>
        <w:widowControl w:val="0"/>
        <w:wordWrap w:val="0"/>
        <w:overflowPunct w:val="0"/>
        <w:autoSpaceDE w:val="0"/>
        <w:autoSpaceDN w:val="0"/>
        <w:adjustRightInd/>
        <w:spacing w:before="0" w:beforeAutospacing="0" w:after="0" w:afterAutospacing="0" w:line="400" w:lineRule="exact"/>
        <w:ind w:firstLine="480"/>
        <w:rPr>
          <w:rFonts w:cs="宋体"/>
          <w:highlight w:val="none"/>
          <w:shd w:val="clear" w:color="auto" w:fill="FFFFFF"/>
        </w:rPr>
      </w:pPr>
      <w:r>
        <w:rPr>
          <w:rFonts w:hint="eastAsia" w:cs="宋体"/>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61"/>
        <w:wordWrap w:val="0"/>
        <w:overflowPunct w:val="0"/>
        <w:adjustRightInd/>
        <w:spacing w:line="400" w:lineRule="exact"/>
        <w:ind w:firstLine="487"/>
        <w:rPr>
          <w:rFonts w:hAnsi="宋体" w:cs="宋体"/>
          <w:kern w:val="0"/>
          <w:szCs w:val="24"/>
          <w:highlight w:val="none"/>
          <w:shd w:val="clear" w:color="auto" w:fill="FFFFFF"/>
        </w:rPr>
      </w:pPr>
      <w:r>
        <w:rPr>
          <w:rFonts w:hint="eastAsia" w:hAnsi="宋体" w:cs="宋体"/>
          <w:kern w:val="0"/>
          <w:szCs w:val="24"/>
          <w:highlight w:val="none"/>
          <w:shd w:val="clear" w:color="auto" w:fill="FFFFFF"/>
          <w:lang w:val="en-US"/>
        </w:rPr>
        <w:t>4</w:t>
      </w:r>
      <w:r>
        <w:rPr>
          <w:rFonts w:hint="eastAsia" w:hAnsi="宋体" w:cs="宋体"/>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kern w:val="0"/>
          <w:szCs w:val="24"/>
          <w:highlight w:val="none"/>
          <w:shd w:val="clear" w:color="auto" w:fill="FFFFFF"/>
          <w:lang w:val="en-US"/>
        </w:rPr>
        <w:t>CA</w:t>
      </w:r>
      <w:r>
        <w:rPr>
          <w:rFonts w:hint="eastAsia" w:hAnsi="宋体" w:cs="宋体"/>
          <w:kern w:val="0"/>
          <w:szCs w:val="24"/>
          <w:highlight w:val="none"/>
          <w:shd w:val="clear" w:color="auto" w:fill="FFFFFF"/>
        </w:rPr>
        <w:t>进行回复。未按要求回复的，视为放弃澄清。</w:t>
      </w:r>
    </w:p>
    <w:p>
      <w:pPr>
        <w:rPr>
          <w:highlight w:val="none"/>
        </w:rPr>
      </w:pPr>
    </w:p>
    <w:p>
      <w:pPr>
        <w:pStyle w:val="61"/>
        <w:wordWrap w:val="0"/>
        <w:overflowPunct w:val="0"/>
        <w:adjustRightInd/>
        <w:spacing w:before="24" w:beforeLines="10"/>
        <w:ind w:firstLine="487"/>
        <w:rPr>
          <w:rFonts w:hAnsi="宋体" w:cs="宋体"/>
          <w:kern w:val="0"/>
          <w:highlight w:val="none"/>
          <w:shd w:val="clear" w:color="auto" w:fill="FFFFFF"/>
        </w:rPr>
      </w:pPr>
    </w:p>
    <w:p>
      <w:pPr>
        <w:wordWrap w:val="0"/>
        <w:overflowPunct w:val="0"/>
        <w:autoSpaceDE w:val="0"/>
        <w:autoSpaceDN w:val="0"/>
        <w:snapToGrid w:val="0"/>
        <w:spacing w:line="360" w:lineRule="auto"/>
        <w:jc w:val="center"/>
        <w:rPr>
          <w:rFonts w:ascii="宋体" w:hAnsi="宋体" w:cs="宋体"/>
          <w:b/>
          <w:bCs/>
          <w:sz w:val="28"/>
          <w:highlight w:val="none"/>
        </w:rPr>
      </w:pPr>
      <w:r>
        <w:rPr>
          <w:rFonts w:hint="eastAsia" w:ascii="宋体" w:hAnsi="宋体" w:cs="宋体"/>
          <w:b/>
          <w:bCs/>
          <w:sz w:val="28"/>
          <w:highlight w:val="none"/>
        </w:rPr>
        <w:t>前附表</w:t>
      </w:r>
    </w:p>
    <w:tbl>
      <w:tblPr>
        <w:tblStyle w:val="63"/>
        <w:tblW w:w="0" w:type="auto"/>
        <w:tblInd w:w="142" w:type="dxa"/>
        <w:tblLayout w:type="fixed"/>
        <w:tblCellMar>
          <w:top w:w="0" w:type="dxa"/>
          <w:left w:w="108" w:type="dxa"/>
          <w:bottom w:w="0" w:type="dxa"/>
          <w:right w:w="108" w:type="dxa"/>
        </w:tblCellMar>
      </w:tblPr>
      <w:tblGrid>
        <w:gridCol w:w="744"/>
        <w:gridCol w:w="8399"/>
      </w:tblGrid>
      <w:tr>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sz w:val="24"/>
                <w:highlight w:val="none"/>
              </w:rPr>
            </w:pPr>
            <w:r>
              <w:rPr>
                <w:rFonts w:hint="eastAsia" w:ascii="宋体" w:hAnsi="宋体" w:cs="宋体"/>
                <w:b/>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sz w:val="24"/>
                <w:highlight w:val="none"/>
              </w:rPr>
            </w:pPr>
            <w:r>
              <w:rPr>
                <w:rFonts w:hint="eastAsia" w:ascii="宋体" w:hAnsi="宋体" w:cs="宋体"/>
                <w:b/>
                <w:sz w:val="24"/>
                <w:highlight w:val="none"/>
              </w:rPr>
              <w:t>内容、要求</w:t>
            </w:r>
          </w:p>
        </w:tc>
      </w:tr>
      <w:tr>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w:t>
            </w:r>
          </w:p>
        </w:tc>
        <w:tc>
          <w:tcPr>
            <w:tcW w:w="8399" w:type="dxa"/>
            <w:tcBorders>
              <w:top w:val="single" w:color="auto" w:sz="4" w:space="0"/>
              <w:left w:val="nil"/>
              <w:bottom w:val="single" w:color="auto" w:sz="4" w:space="0"/>
              <w:right w:val="single" w:color="auto" w:sz="4" w:space="0"/>
            </w:tcBorders>
            <w:vAlign w:val="center"/>
          </w:tcPr>
          <w:p>
            <w:pPr>
              <w:pStyle w:val="34"/>
              <w:wordWrap w:val="0"/>
              <w:overflowPunct w:val="0"/>
              <w:autoSpaceDE w:val="0"/>
              <w:autoSpaceDN w:val="0"/>
              <w:adjustRightInd/>
              <w:snapToGrid w:val="0"/>
              <w:spacing w:before="24" w:beforeLines="10" w:after="24" w:afterLines="10" w:line="400" w:lineRule="exact"/>
              <w:rPr>
                <w:rFonts w:hint="eastAsia" w:hAnsi="宋体" w:eastAsia="宋体" w:cs="宋体"/>
                <w:sz w:val="24"/>
                <w:szCs w:val="24"/>
                <w:highlight w:val="none"/>
                <w:lang w:eastAsia="zh-CN"/>
              </w:rPr>
            </w:pPr>
            <w:r>
              <w:rPr>
                <w:rFonts w:hint="eastAsia" w:hAnsi="宋体" w:cs="宋体"/>
                <w:sz w:val="24"/>
                <w:szCs w:val="24"/>
                <w:highlight w:val="none"/>
              </w:rPr>
              <w:t xml:space="preserve">    项目名称：</w:t>
            </w:r>
            <w:r>
              <w:rPr>
                <w:rFonts w:hint="eastAsia" w:hAnsi="宋体" w:cs="宋体"/>
                <w:sz w:val="24"/>
                <w:szCs w:val="24"/>
                <w:highlight w:val="none"/>
                <w:lang w:eastAsia="zh-CN"/>
              </w:rPr>
              <w:t>嘉善农科所长秀基地生态智慧提升单体大棚采购项目（第三次）</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采购内容：详见第二章。</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3</w:t>
            </w:r>
          </w:p>
        </w:tc>
        <w:tc>
          <w:tcPr>
            <w:tcW w:w="8399" w:type="dxa"/>
            <w:tcBorders>
              <w:top w:val="single" w:color="auto" w:sz="4" w:space="0"/>
              <w:left w:val="nil"/>
              <w:bottom w:val="single" w:color="auto" w:sz="4" w:space="0"/>
              <w:right w:val="single" w:color="auto" w:sz="4" w:space="0"/>
            </w:tcBorders>
            <w:vAlign w:val="center"/>
          </w:tcPr>
          <w:p>
            <w:pPr>
              <w:pStyle w:val="58"/>
              <w:widowControl w:val="0"/>
              <w:overflowPunct w:val="0"/>
              <w:topLinePunct/>
              <w:autoSpaceDE w:val="0"/>
              <w:autoSpaceDN w:val="0"/>
              <w:spacing w:before="24" w:beforeLines="10" w:beforeAutospacing="0" w:after="24" w:afterLines="10" w:afterAutospacing="0" w:line="400" w:lineRule="exact"/>
              <w:ind w:firstLine="480" w:firstLineChars="200"/>
              <w:rPr>
                <w:rFonts w:cs="宋体"/>
                <w:highlight w:val="none"/>
              </w:rPr>
            </w:pPr>
            <w:r>
              <w:rPr>
                <w:rFonts w:hint="eastAsia" w:cs="宋体"/>
                <w:highlight w:val="none"/>
              </w:rPr>
              <w:t>项目预算：</w:t>
            </w:r>
            <w:r>
              <w:rPr>
                <w:rFonts w:hint="eastAsia" w:cs="宋体"/>
                <w:highlight w:val="none"/>
                <w:u w:val="single"/>
              </w:rPr>
              <w:t>245</w:t>
            </w:r>
            <w:r>
              <w:rPr>
                <w:rFonts w:hint="eastAsia" w:cs="宋体"/>
                <w:highlight w:val="none"/>
                <w:u w:val="single"/>
                <w:lang w:val="en-US" w:eastAsia="zh-CN"/>
              </w:rPr>
              <w:t>.</w:t>
            </w:r>
            <w:r>
              <w:rPr>
                <w:rFonts w:hint="eastAsia" w:cs="宋体"/>
                <w:highlight w:val="none"/>
                <w:u w:val="single"/>
              </w:rPr>
              <w:t>4121万元</w:t>
            </w:r>
            <w:r>
              <w:rPr>
                <w:rFonts w:hint="eastAsia" w:cs="宋体"/>
                <w:highlight w:val="none"/>
              </w:rPr>
              <w:t>。</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最高限价</w:t>
            </w:r>
            <w:r>
              <w:rPr>
                <w:rFonts w:hint="eastAsia" w:ascii="宋体" w:hAnsi="宋体" w:cs="宋体"/>
                <w:sz w:val="24"/>
                <w:highlight w:val="none"/>
                <w:lang w:val="en-US" w:eastAsia="zh-CN"/>
              </w:rPr>
              <w:t xml:space="preserve">: </w:t>
            </w:r>
            <w:r>
              <w:rPr>
                <w:rFonts w:hint="eastAsia" w:ascii="宋体" w:hAnsi="宋体" w:cs="宋体"/>
                <w:sz w:val="24"/>
                <w:highlight w:val="none"/>
                <w:u w:val="single"/>
                <w:lang w:val="en-US" w:eastAsia="zh-CN"/>
              </w:rPr>
              <w:t>245.4042</w:t>
            </w:r>
            <w:r>
              <w:rPr>
                <w:rFonts w:hint="eastAsia" w:ascii="宋体" w:hAnsi="宋体" w:cs="宋体"/>
                <w:sz w:val="24"/>
                <w:highlight w:val="none"/>
                <w:u w:val="single"/>
                <w:lang w:eastAsia="zh-CN"/>
              </w:rPr>
              <w:t>万元</w:t>
            </w:r>
            <w:r>
              <w:rPr>
                <w:rFonts w:hint="eastAsia" w:ascii="宋体" w:hAnsi="宋体" w:cs="宋体"/>
                <w:sz w:val="24"/>
                <w:highlight w:val="none"/>
              </w:rPr>
              <w:t>，超最高限价的投标文件无效。</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投标报价及费用：</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1.本项目投标应以人民币报价；</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投标保证金：无。</w:t>
            </w:r>
          </w:p>
        </w:tc>
      </w:tr>
      <w:tr>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答疑与澄清：投标人应认真阅读本招标文件，发现其中有误或有不合理要求的，投标人必须在知道或者应当知道之日起七个工作日内以书面形式向</w:t>
            </w:r>
            <w:r>
              <w:rPr>
                <w:rFonts w:hint="eastAsia" w:ascii="宋体" w:hAnsi="宋体" w:cs="宋体"/>
                <w:sz w:val="24"/>
                <w:highlight w:val="none"/>
                <w:lang w:eastAsia="zh-CN"/>
              </w:rPr>
              <w:t>采购人</w:t>
            </w:r>
            <w:r>
              <w:rPr>
                <w:rFonts w:hint="eastAsia" w:ascii="宋体" w:hAnsi="宋体" w:cs="宋体"/>
                <w:sz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路径：用户中心——项目采购——获取采购文件管理。</w:t>
            </w:r>
          </w:p>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在“已获取”的状态下，供应商可下载查看招标文件。</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bCs/>
                <w:sz w:val="24"/>
                <w:highlight w:val="none"/>
              </w:rPr>
              <w:t xml:space="preserve">    获取采购文件网址：浙江政府采购网（https://zfcg.czt.zj.gov.cn/）</w:t>
            </w:r>
          </w:p>
        </w:tc>
      </w:tr>
      <w:tr>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投标文件形式、制作及组成：</w:t>
            </w:r>
          </w:p>
          <w:p>
            <w:pPr>
              <w:wordWrap w:val="0"/>
              <w:overflowPunct w:val="0"/>
              <w:autoSpaceDE w:val="0"/>
              <w:autoSpaceDN w:val="0"/>
              <w:snapToGrid w:val="0"/>
              <w:spacing w:before="24" w:beforeLines="10" w:after="24" w:afterLines="10" w:line="400" w:lineRule="exact"/>
              <w:rPr>
                <w:rFonts w:ascii="宋体" w:hAnsi="宋体" w:cs="宋体"/>
                <w:kern w:val="0"/>
                <w:sz w:val="24"/>
                <w:highlight w:val="none"/>
              </w:rPr>
            </w:pPr>
            <w:r>
              <w:rPr>
                <w:rFonts w:hint="eastAsia" w:ascii="宋体" w:hAnsi="宋体" w:cs="宋体"/>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投标文件均由资格文件、商务技术文件、报价文件组成。</w:t>
            </w:r>
          </w:p>
        </w:tc>
      </w:tr>
      <w:tr>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投标截止时间：</w:t>
            </w:r>
            <w:r>
              <w:rPr>
                <w:rFonts w:hint="eastAsia" w:ascii="仿宋_GB2312" w:hAnsi="仿宋" w:eastAsia="仿宋_GB2312"/>
                <w:sz w:val="24"/>
                <w:highlight w:val="none"/>
                <w:u w:val="single"/>
                <w:lang w:eastAsia="zh-CN"/>
              </w:rPr>
              <w:t>2022年12月20日</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投标地点：政采云平台（https://www.zcygov.cn/）</w:t>
            </w:r>
          </w:p>
        </w:tc>
      </w:tr>
      <w:tr>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b/>
                <w:bCs/>
                <w:kern w:val="0"/>
                <w:sz w:val="24"/>
                <w:highlight w:val="none"/>
              </w:rPr>
              <w:t xml:space="preserve">    </w:t>
            </w:r>
            <w:r>
              <w:rPr>
                <w:rFonts w:hint="eastAsia" w:ascii="宋体" w:hAnsi="宋体" w:cs="宋体"/>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开标时间：</w:t>
            </w:r>
            <w:r>
              <w:rPr>
                <w:rFonts w:hint="eastAsia" w:ascii="仿宋_GB2312" w:hAnsi="仿宋" w:eastAsia="仿宋_GB2312"/>
                <w:sz w:val="24"/>
                <w:highlight w:val="none"/>
                <w:u w:val="single"/>
                <w:lang w:eastAsia="zh-CN"/>
              </w:rPr>
              <w:t>2022年12月20日</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sz w:val="24"/>
                <w:highlight w:val="none"/>
                <w:shd w:val="clear" w:color="auto" w:fill="FFFFFF"/>
              </w:rPr>
            </w:pPr>
            <w:r>
              <w:rPr>
                <w:rFonts w:hint="eastAsia" w:ascii="宋体" w:hAnsi="宋体" w:cs="宋体"/>
                <w:sz w:val="24"/>
                <w:highlight w:val="none"/>
              </w:rPr>
              <w:t xml:space="preserve">    开标地点：政采云平台（https://www.zcygov.cn/）</w:t>
            </w:r>
          </w:p>
          <w:p>
            <w:pPr>
              <w:wordWrap w:val="0"/>
              <w:overflowPunct w:val="0"/>
              <w:autoSpaceDE w:val="0"/>
              <w:autoSpaceDN w:val="0"/>
              <w:snapToGrid w:val="0"/>
              <w:spacing w:before="24" w:beforeLines="10" w:after="24" w:afterLines="10" w:line="400" w:lineRule="exact"/>
              <w:rPr>
                <w:rFonts w:ascii="宋体" w:hAnsi="宋体" w:cs="宋体"/>
                <w:b/>
                <w:sz w:val="24"/>
                <w:highlight w:val="none"/>
              </w:rPr>
            </w:pPr>
            <w:r>
              <w:rPr>
                <w:rFonts w:hint="eastAsia" w:ascii="宋体" w:hAnsi="宋体" w:cs="宋体"/>
                <w:b/>
                <w:bCs/>
                <w:sz w:val="24"/>
                <w:highlight w:val="none"/>
                <w:shd w:val="clear" w:color="auto" w:fill="FFFFFF"/>
              </w:rPr>
              <w:t xml:space="preserve">    供应商无需到开标现场，但须准时在线参加，直至评审结束。</w:t>
            </w:r>
          </w:p>
        </w:tc>
      </w:tr>
      <w:tr>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评标办法及评分标准：详见第四章。</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13</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履约保证金:签订合同前中标人应向采购人交纳合同金额的1%作为履约保证金，履约保证金在合同履行完毕后一个月内无息退还。</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ind w:firstLine="420"/>
              <w:rPr>
                <w:rFonts w:ascii="宋体" w:hAnsi="宋体" w:cs="宋体"/>
                <w:sz w:val="24"/>
                <w:highlight w:val="none"/>
              </w:rPr>
            </w:pPr>
            <w:r>
              <w:rPr>
                <w:rFonts w:hint="eastAsia" w:ascii="宋体" w:hAnsi="宋体" w:cs="宋体"/>
                <w:sz w:val="24"/>
                <w:highlight w:val="none"/>
              </w:rPr>
              <w:t>付款方式：</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采购单位在合同签订后7个工作日内支付合同金额的40%；单体大棚安装调试工作量完成至80%时支付合同金额的30%，全部安装调试完毕，项目验收合格</w:t>
            </w:r>
            <w:r>
              <w:rPr>
                <w:rFonts w:hint="eastAsia" w:ascii="宋体" w:hAnsi="宋体" w:cs="宋体"/>
                <w:sz w:val="24"/>
                <w:highlight w:val="none"/>
                <w:lang w:eastAsia="zh-CN"/>
              </w:rPr>
              <w:t>并经审价</w:t>
            </w:r>
            <w:r>
              <w:rPr>
                <w:rFonts w:hint="eastAsia" w:ascii="宋体" w:hAnsi="宋体" w:cs="宋体"/>
                <w:sz w:val="24"/>
                <w:highlight w:val="none"/>
              </w:rPr>
              <w:t>后7个工作日内</w:t>
            </w:r>
            <w:r>
              <w:rPr>
                <w:rFonts w:hint="eastAsia" w:ascii="宋体" w:hAnsi="宋体" w:cs="宋体"/>
                <w:sz w:val="24"/>
                <w:highlight w:val="none"/>
                <w:lang w:eastAsia="zh-CN"/>
              </w:rPr>
              <w:t>按照审定价格付清尾款</w:t>
            </w:r>
            <w:r>
              <w:rPr>
                <w:rFonts w:hint="eastAsia" w:ascii="宋体" w:hAnsi="宋体" w:cs="宋体"/>
                <w:sz w:val="24"/>
                <w:highlight w:val="none"/>
              </w:rPr>
              <w:t>。</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注：付款前中标单位应按规定向采购人开具正规发票。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现场踏勘</w:t>
            </w:r>
            <w:r>
              <w:rPr>
                <w:rFonts w:hint="eastAsia" w:ascii="宋体" w:hAnsi="宋体" w:cs="宋体"/>
                <w:sz w:val="24"/>
                <w:highlight w:val="none"/>
                <w:lang w:eastAsia="zh-CN"/>
              </w:rPr>
              <w:t>：</w:t>
            </w:r>
            <w:r>
              <w:rPr>
                <w:rFonts w:hint="eastAsia" w:ascii="宋体" w:hAnsi="宋体" w:cs="宋体"/>
                <w:sz w:val="24"/>
                <w:highlight w:val="none"/>
                <w:lang w:val="en-US" w:eastAsia="zh-CN"/>
              </w:rPr>
              <w:t>投标人根据自身情况自行踏勘（费用自理）</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投标文件有效期：</w:t>
            </w:r>
            <w:r>
              <w:rPr>
                <w:rFonts w:hint="eastAsia" w:ascii="宋体" w:hAnsi="宋体" w:cs="宋体"/>
                <w:sz w:val="24"/>
                <w:highlight w:val="none"/>
                <w:u w:val="single"/>
              </w:rPr>
              <w:t xml:space="preserve"> 90 </w:t>
            </w:r>
            <w:r>
              <w:rPr>
                <w:rFonts w:hint="eastAsia" w:ascii="宋体" w:hAnsi="宋体" w:cs="宋体"/>
                <w:sz w:val="24"/>
                <w:highlight w:val="none"/>
              </w:rPr>
              <w:t>天。</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9</w:t>
            </w:r>
          </w:p>
        </w:tc>
        <w:tc>
          <w:tcPr>
            <w:tcW w:w="8399" w:type="dxa"/>
            <w:tcBorders>
              <w:top w:val="single" w:color="auto" w:sz="4" w:space="0"/>
              <w:left w:val="nil"/>
              <w:bottom w:val="single" w:color="auto" w:sz="4" w:space="0"/>
              <w:right w:val="single" w:color="auto" w:sz="4" w:space="0"/>
            </w:tcBorders>
            <w:vAlign w:val="center"/>
          </w:tcPr>
          <w:p>
            <w:pPr>
              <w:pStyle w:val="34"/>
              <w:wordWrap w:val="0"/>
              <w:overflowPunct w:val="0"/>
              <w:autoSpaceDE w:val="0"/>
              <w:autoSpaceDN w:val="0"/>
              <w:snapToGrid w:val="0"/>
              <w:spacing w:before="24" w:beforeLines="10" w:after="24" w:afterLines="10" w:line="400" w:lineRule="exact"/>
              <w:rPr>
                <w:rFonts w:hAnsi="宋体" w:cs="宋体"/>
                <w:sz w:val="24"/>
                <w:szCs w:val="24"/>
                <w:highlight w:val="none"/>
              </w:rPr>
            </w:pPr>
            <w:r>
              <w:rPr>
                <w:rFonts w:hint="eastAsia" w:hAnsi="宋体" w:cs="宋体"/>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解释：本招标文件的解释权属于采购单位和嘉兴市银建工程咨询评估有限公司。</w:t>
            </w:r>
          </w:p>
        </w:tc>
      </w:tr>
      <w:tr>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根据“浙江省财政厅关于进一步创新管理提高政府采购工作效率和服务水平的意见浙财采监〔2010〕52 号”的规定，本项目已在省级以上政府采购指定媒体经过采购预告并公开招标失败（项目已按规定于2022年12月8日经公开招标，因招标失败而致项目时间较紧）且经专家论证其招标文件没有倾向性或歧视性，故本项将公告等标期缩短到 10 日。</w:t>
            </w:r>
          </w:p>
        </w:tc>
      </w:tr>
    </w:tbl>
    <w:p>
      <w:pPr>
        <w:pStyle w:val="34"/>
        <w:wordWrap w:val="0"/>
        <w:overflowPunct w:val="0"/>
        <w:autoSpaceDE w:val="0"/>
        <w:autoSpaceDN w:val="0"/>
        <w:snapToGrid w:val="0"/>
        <w:spacing w:line="400" w:lineRule="exact"/>
        <w:outlineLvl w:val="0"/>
        <w:rPr>
          <w:rFonts w:hAnsi="宋体" w:cs="宋体"/>
          <w:b/>
          <w:sz w:val="24"/>
          <w:szCs w:val="24"/>
          <w:highlight w:val="none"/>
        </w:rPr>
      </w:pPr>
    </w:p>
    <w:p>
      <w:pPr>
        <w:pStyle w:val="34"/>
        <w:numPr>
          <w:ilvl w:val="0"/>
          <w:numId w:val="3"/>
        </w:numPr>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总  则</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（一）适用范围</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本招标文件适用于本项目的招标、投标、评标、定标、验收、合同履约、付款等行为（法律、法规另有规定的，从其规定）。</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（二）定义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1.招标采购单位系指组织本次招标的代理机构（“</w:t>
      </w:r>
      <w:r>
        <w:rPr>
          <w:rFonts w:hint="eastAsia" w:ascii="宋体" w:hAnsi="宋体" w:cs="宋体"/>
          <w:sz w:val="24"/>
          <w:highlight w:val="none"/>
          <w:lang w:eastAsia="zh-CN"/>
        </w:rPr>
        <w:t>采购人</w:t>
      </w:r>
      <w:r>
        <w:rPr>
          <w:rFonts w:hint="eastAsia" w:ascii="宋体" w:hAnsi="宋体" w:cs="宋体"/>
          <w:sz w:val="24"/>
          <w:highlight w:val="none"/>
        </w:rPr>
        <w:t>”）和采购单位。</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2.“投标人”系指向招标方提交投标文件的单位或个人。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4.“服务”系指招标文件规定投标人须承担的设计、安装、调试、技术协助、校准、培训、技术指导以及其他类似的义务。</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5.“项目”系指投标人按招标文件规定向采购人提供的产品和服务。</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6.“书面形式”包括信函、传真、电报等。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7.“▲”系指实质性要求条款。不满足实质性要求条款的投标文件无效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8.“★”系指重要技术指标。</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（三）招标方式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本次招标采用公开招标方式进行。</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（四）投标委托</w:t>
      </w:r>
    </w:p>
    <w:p>
      <w:pPr>
        <w:pStyle w:val="25"/>
        <w:wordWrap w:val="0"/>
        <w:overflowPunct w:val="0"/>
        <w:autoSpaceDE w:val="0"/>
        <w:autoSpaceDN w:val="0"/>
        <w:snapToGrid w:val="0"/>
        <w:spacing w:line="360" w:lineRule="auto"/>
        <w:jc w:val="left"/>
        <w:rPr>
          <w:rFonts w:cs="宋体"/>
          <w:highlight w:val="none"/>
        </w:rPr>
      </w:pPr>
      <w:r>
        <w:rPr>
          <w:rFonts w:hint="eastAsia" w:cs="宋体"/>
          <w:highlight w:val="none"/>
        </w:rPr>
        <w:t>供应商无需到开标现场，但须准时在线参加，直至评审结束。</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（五）投标费用</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不论投标结果如何，投标人均应自行承担所有与投标有关的全部费用（招标文件有相反规定除外）。</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（六）联合体投标</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本项目不接受联合体投标。</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（七）转包与分包</w:t>
      </w:r>
    </w:p>
    <w:p>
      <w:pPr>
        <w:wordWrap w:val="0"/>
        <w:overflowPunct w:val="0"/>
        <w:autoSpaceDE w:val="0"/>
        <w:autoSpaceDN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1.本项目不允许转包。</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2.本项目不可以分包。</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（八）是否允许采购进口产品</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本项目不允许采购进口产品。</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 xml:space="preserve"> ▲（九）特别说明：</w:t>
      </w:r>
    </w:p>
    <w:p>
      <w:pPr>
        <w:wordWrap w:val="0"/>
        <w:overflowPunct w:val="0"/>
        <w:autoSpaceDE w:val="0"/>
        <w:autoSpaceDN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使用综合评分法的采购项目，提供相同品牌产品且通过资格审查、符合性审查的不同投标人参加同一合同项下投</w:t>
      </w:r>
      <w:r>
        <w:rPr>
          <w:rFonts w:hint="eastAsia" w:ascii="宋体" w:hAnsi="宋体" w:cs="宋体"/>
          <w:sz w:val="24"/>
          <w:highlight w:val="none"/>
        </w:rPr>
        <w:t>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2.投标人投标所使用的资格、信誉、荣誉、业绩与企业认证必须为本投标人所拥有。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（十）质疑和投诉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3.供应商须在法定质疑期内一次性提出针对同一采购程序环节的质疑。</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4.供应商认为采购代理机构在质疑答复程序中启用的调查和复评等程序，在该程序操作过程未明显违反法律禁止性规定时，不得提出疑义。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8.在线或者邮寄政府采购投诉材料当日下班时间点后收到的视为下一个工作日收到。</w:t>
      </w:r>
    </w:p>
    <w:p>
      <w:pPr>
        <w:pStyle w:val="34"/>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二、招标文件</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（一）招标文件的构成。本招标文件由以下部份组成：</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1.招标公告</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2.招标需求</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3.投标人须知</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4.评标办法及标准</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5.合同主要条款</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6.投标文件格式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7.本项目招标文件的澄清、答复、修改、补充的内容</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（二）投标人的风险</w:t>
      </w:r>
    </w:p>
    <w:p>
      <w:pPr>
        <w:pStyle w:val="54"/>
        <w:wordWrap w:val="0"/>
        <w:overflowPunct w:val="0"/>
        <w:autoSpaceDE w:val="0"/>
        <w:autoSpaceDN w:val="0"/>
        <w:rPr>
          <w:rFonts w:ascii="宋体" w:hAnsi="宋体" w:cs="宋体"/>
          <w:szCs w:val="24"/>
          <w:highlight w:val="none"/>
        </w:rPr>
      </w:pPr>
      <w:r>
        <w:rPr>
          <w:rFonts w:hint="eastAsia" w:ascii="宋体" w:hAnsi="宋体" w:cs="宋体"/>
          <w:szCs w:val="24"/>
          <w:highlight w:val="none"/>
        </w:rPr>
        <w:t>投标人没有按照招标文件要求提供全部资料，或者投标人没有对招标文件在各方面作出实质性响应是投标人的风险，并可能导致其投标为无效标。</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 xml:space="preserve">（三）招标文件的澄清与修改 </w:t>
      </w:r>
    </w:p>
    <w:p>
      <w:pPr>
        <w:pStyle w:val="54"/>
        <w:wordWrap w:val="0"/>
        <w:overflowPunct w:val="0"/>
        <w:autoSpaceDE w:val="0"/>
        <w:autoSpaceDN w:val="0"/>
        <w:rPr>
          <w:rFonts w:ascii="宋体" w:hAnsi="宋体" w:cs="宋体"/>
          <w:szCs w:val="24"/>
          <w:highlight w:val="none"/>
        </w:rPr>
      </w:pPr>
      <w:r>
        <w:rPr>
          <w:rFonts w:hint="eastAsia" w:ascii="宋体" w:hAnsi="宋体" w:cs="宋体"/>
          <w:szCs w:val="24"/>
          <w:highlight w:val="none"/>
        </w:rPr>
        <w:t>1.投标人应认真阅读本招标文件，发现其中有误或有不合理要求的，投标人必须在知道或者应当知道之日起七个工作日内以书面形式向</w:t>
      </w:r>
      <w:r>
        <w:rPr>
          <w:rFonts w:hint="eastAsia" w:ascii="宋体" w:hAnsi="宋体" w:cs="宋体"/>
          <w:szCs w:val="24"/>
          <w:highlight w:val="none"/>
          <w:lang w:eastAsia="zh-CN"/>
        </w:rPr>
        <w:t>采购人</w:t>
      </w:r>
      <w:r>
        <w:rPr>
          <w:rFonts w:hint="eastAsia" w:ascii="宋体" w:hAnsi="宋体" w:cs="宋体"/>
          <w:szCs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4"/>
        <w:wordWrap w:val="0"/>
        <w:overflowPunct w:val="0"/>
        <w:autoSpaceDE w:val="0"/>
        <w:autoSpaceDN w:val="0"/>
        <w:rPr>
          <w:rFonts w:ascii="宋体" w:hAnsi="宋体" w:cs="宋体"/>
          <w:szCs w:val="24"/>
          <w:highlight w:val="none"/>
        </w:rPr>
      </w:pPr>
      <w:r>
        <w:rPr>
          <w:rFonts w:hint="eastAsia" w:ascii="宋体" w:hAnsi="宋体" w:cs="宋体"/>
          <w:szCs w:val="24"/>
          <w:highlight w:val="none"/>
        </w:rPr>
        <w:t>2.采购代理机构以公告形式答复投标人要求澄清的问题，但不包含问题来源；除上述媒体发布的答复以外的其他澄清方式及澄清内容均无效。</w:t>
      </w:r>
    </w:p>
    <w:p>
      <w:pPr>
        <w:pStyle w:val="54"/>
        <w:wordWrap w:val="0"/>
        <w:overflowPunct w:val="0"/>
        <w:autoSpaceDE w:val="0"/>
        <w:autoSpaceDN w:val="0"/>
        <w:rPr>
          <w:rFonts w:ascii="宋体" w:hAnsi="宋体" w:cs="宋体"/>
          <w:szCs w:val="24"/>
          <w:highlight w:val="none"/>
        </w:rPr>
      </w:pPr>
      <w:r>
        <w:rPr>
          <w:rFonts w:hint="eastAsia" w:ascii="宋体" w:hAnsi="宋体" w:cs="宋体"/>
          <w:szCs w:val="24"/>
          <w:highlight w:val="none"/>
        </w:rPr>
        <w:t>3.招标文件澄清、答复、修改、补充的内容为招标文件的组成部分。当招标文件与招标文件的答复、澄清、修改、补充通知就同一内容的表述不一致时，以最后发出的文件为准。</w:t>
      </w:r>
    </w:p>
    <w:p>
      <w:pPr>
        <w:pStyle w:val="54"/>
        <w:wordWrap w:val="0"/>
        <w:overflowPunct w:val="0"/>
        <w:autoSpaceDE w:val="0"/>
        <w:autoSpaceDN w:val="0"/>
        <w:rPr>
          <w:rFonts w:ascii="宋体" w:hAnsi="宋体" w:cs="宋体"/>
          <w:szCs w:val="24"/>
          <w:highlight w:val="none"/>
        </w:rPr>
      </w:pPr>
      <w:r>
        <w:rPr>
          <w:rFonts w:hint="eastAsia" w:ascii="宋体" w:hAnsi="宋体" w:cs="宋体"/>
          <w:szCs w:val="24"/>
          <w:highlight w:val="none"/>
        </w:rPr>
        <w:t>4.招标文件的澄清、答复、修改或补充都应该通过本代理机构以法定形式发布，采购人非通过本机构，不得擅自澄清、答复、修改或补充招标文件。</w:t>
      </w:r>
    </w:p>
    <w:p>
      <w:pPr>
        <w:pStyle w:val="34"/>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三、投标文件的编制</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(一)总体要求</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2.投标文件及投标人与采购有关的来往通知，函件和文件均应使用中文。</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3.投标文件的形式：投标文件为电子加密投标文件，按“政府采购项目电子交易管理操作指南-供应商”及本招标文件要求制作、加密并递交。</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（二）投标文件的组成</w:t>
      </w:r>
    </w:p>
    <w:p>
      <w:pPr>
        <w:pStyle w:val="34"/>
        <w:wordWrap w:val="0"/>
        <w:overflowPunct w:val="0"/>
        <w:autoSpaceDE w:val="0"/>
        <w:autoSpaceDN w:val="0"/>
        <w:snapToGrid w:val="0"/>
        <w:spacing w:line="360" w:lineRule="auto"/>
        <w:ind w:firstLine="482" w:firstLineChars="200"/>
        <w:outlineLvl w:val="0"/>
        <w:rPr>
          <w:rFonts w:hAnsi="宋体" w:cs="宋体"/>
          <w:b/>
          <w:sz w:val="24"/>
          <w:szCs w:val="24"/>
          <w:highlight w:val="none"/>
        </w:rPr>
      </w:pPr>
      <w:r>
        <w:rPr>
          <w:rFonts w:hint="eastAsia" w:hAnsi="宋体" w:cs="宋体"/>
          <w:b/>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pPr>
        <w:pStyle w:val="34"/>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投标文件由资格文件、商务技术文件、报价文件三部分组成。</w:t>
      </w:r>
    </w:p>
    <w:p>
      <w:pPr>
        <w:pStyle w:val="34"/>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1.资格文件（</w:t>
      </w:r>
      <w:r>
        <w:rPr>
          <w:rFonts w:hint="eastAsia" w:hAnsi="宋体" w:cs="宋体"/>
          <w:b/>
          <w:bCs/>
          <w:color w:val="FF0000"/>
          <w:sz w:val="24"/>
          <w:szCs w:val="24"/>
          <w:highlight w:val="none"/>
        </w:rPr>
        <w:t>资格文件所需的证明材料均需加盖供应商公章</w:t>
      </w:r>
      <w:r>
        <w:rPr>
          <w:rFonts w:hint="eastAsia" w:hAnsi="宋体" w:cs="宋体"/>
          <w:b/>
          <w:bCs/>
          <w:sz w:val="24"/>
          <w:szCs w:val="24"/>
          <w:highlight w:val="none"/>
        </w:rPr>
        <w:t>）：</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1.1营业执照</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1.2符合参加政府采购活动应当具备的一般条件的承诺函（格式见第六章）</w:t>
      </w:r>
    </w:p>
    <w:p>
      <w:pPr>
        <w:pStyle w:val="58"/>
        <w:widowControl w:val="0"/>
        <w:overflowPunct w:val="0"/>
        <w:topLinePunct/>
        <w:autoSpaceDE w:val="0"/>
        <w:autoSpaceDN w:val="0"/>
        <w:adjustRightInd/>
        <w:spacing w:before="0" w:beforeAutospacing="0" w:after="0" w:afterAutospacing="0" w:line="360" w:lineRule="auto"/>
        <w:ind w:firstLine="481"/>
        <w:rPr>
          <w:rFonts w:hint="default" w:eastAsia="宋体" w:cs="宋体"/>
          <w:b w:val="0"/>
          <w:bCs w:val="0"/>
          <w:highlight w:val="none"/>
          <w:lang w:val="en-US" w:eastAsia="zh-CN"/>
        </w:rPr>
      </w:pPr>
      <w:r>
        <w:rPr>
          <w:rFonts w:hint="eastAsia" w:cs="宋体"/>
          <w:b w:val="0"/>
          <w:bCs w:val="0"/>
          <w:highlight w:val="none"/>
          <w:lang w:val="en-US" w:eastAsia="zh-CN"/>
        </w:rPr>
        <w:t>1.3中小企业声明函或监狱和戒毒企业企业证明材料或残疾人福利性单位声明函（格式见第六章）</w:t>
      </w:r>
    </w:p>
    <w:p>
      <w:pPr>
        <w:pStyle w:val="58"/>
        <w:widowControl w:val="0"/>
        <w:overflowPunct w:val="0"/>
        <w:topLinePunct/>
        <w:autoSpaceDE w:val="0"/>
        <w:autoSpaceDN w:val="0"/>
        <w:adjustRightInd/>
        <w:spacing w:before="0" w:beforeAutospacing="0" w:after="0" w:afterAutospacing="0" w:line="360" w:lineRule="auto"/>
        <w:ind w:firstLine="481"/>
        <w:rPr>
          <w:rFonts w:cs="宋体"/>
          <w:b/>
          <w:bCs/>
          <w:highlight w:val="none"/>
        </w:rPr>
      </w:pPr>
      <w:r>
        <w:rPr>
          <w:rFonts w:hint="eastAsia" w:cs="宋体"/>
          <w:b/>
          <w:bCs/>
          <w:highlight w:val="none"/>
        </w:rPr>
        <w:t>2.商务技术文件</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2.1自评表（格式见第六章）</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2.2投标声明书（格式见第六章）</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2.3法定代表人授权委托书（格式见第六章）</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2.4诚信承诺书（格式见第六章）</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2.5投标人基本情况表（格式见第六章）</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2.6商务响应（偏离）表（格式见第六章）</w:t>
      </w:r>
    </w:p>
    <w:p>
      <w:pPr>
        <w:pStyle w:val="58"/>
        <w:widowControl w:val="0"/>
        <w:overflowPunct w:val="0"/>
        <w:topLinePunct/>
        <w:autoSpaceDE w:val="0"/>
        <w:autoSpaceDN w:val="0"/>
        <w:adjustRightInd/>
        <w:spacing w:before="0" w:beforeAutospacing="0" w:after="0" w:afterAutospacing="0" w:line="360" w:lineRule="auto"/>
        <w:ind w:firstLine="481"/>
        <w:rPr>
          <w:rFonts w:hint="default" w:eastAsia="宋体" w:cs="宋体"/>
          <w:highlight w:val="none"/>
          <w:lang w:val="en-US" w:eastAsia="zh-CN"/>
        </w:rPr>
      </w:pPr>
      <w:r>
        <w:rPr>
          <w:rFonts w:hint="eastAsia" w:cs="宋体"/>
          <w:highlight w:val="none"/>
          <w:lang w:val="en-US" w:eastAsia="zh-CN"/>
        </w:rPr>
        <w:t>2.7诚信分</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8</w:t>
      </w:r>
      <w:r>
        <w:rPr>
          <w:rFonts w:hint="eastAsia" w:cs="宋体"/>
          <w:highlight w:val="none"/>
        </w:rPr>
        <w:t>业绩要求（格式见第六章类似业绩一览表）</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9</w:t>
      </w:r>
      <w:r>
        <w:rPr>
          <w:rFonts w:hint="eastAsia" w:cs="宋体"/>
          <w:highlight w:val="none"/>
        </w:rPr>
        <w:t>投标人所获管理体系认证情况</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10</w:t>
      </w:r>
      <w:r>
        <w:rPr>
          <w:rFonts w:hint="eastAsia" w:cs="宋体"/>
          <w:highlight w:val="none"/>
        </w:rPr>
        <w:t>合理化建议</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1</w:t>
      </w:r>
      <w:r>
        <w:rPr>
          <w:rFonts w:hint="eastAsia" w:cs="宋体"/>
          <w:highlight w:val="none"/>
        </w:rPr>
        <w:t>优惠条件</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2产品性能</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3深化设计方案</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4项目实施方案</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5应急处置方案及服务保障措施</w:t>
      </w:r>
    </w:p>
    <w:p>
      <w:pPr>
        <w:pStyle w:val="58"/>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6人员配备</w:t>
      </w:r>
      <w:r>
        <w:rPr>
          <w:rFonts w:hint="eastAsia" w:cs="宋体"/>
          <w:highlight w:val="none"/>
        </w:rPr>
        <w:t>（格式见第六章项目实施人员表）</w:t>
      </w:r>
    </w:p>
    <w:p>
      <w:pPr>
        <w:pStyle w:val="58"/>
        <w:widowControl w:val="0"/>
        <w:overflowPunct w:val="0"/>
        <w:topLinePunct/>
        <w:autoSpaceDE w:val="0"/>
        <w:autoSpaceDN w:val="0"/>
        <w:adjustRightInd/>
        <w:spacing w:before="0" w:beforeAutospacing="0" w:after="0" w:afterAutospacing="0" w:line="360" w:lineRule="auto"/>
        <w:ind w:firstLine="481"/>
        <w:rPr>
          <w:rFonts w:hint="default" w:eastAsia="宋体" w:cs="宋体"/>
          <w:highlight w:val="none"/>
          <w:lang w:val="en-US" w:eastAsia="zh-CN"/>
        </w:rPr>
      </w:pPr>
      <w:r>
        <w:rPr>
          <w:rFonts w:hint="eastAsia" w:cs="宋体"/>
          <w:highlight w:val="none"/>
          <w:lang w:val="en-US" w:eastAsia="zh-CN"/>
        </w:rPr>
        <w:t>2.17</w:t>
      </w:r>
      <w:r>
        <w:rPr>
          <w:rFonts w:hint="eastAsia" w:cs="宋体"/>
          <w:highlight w:val="none"/>
        </w:rPr>
        <w:t>售后服务</w:t>
      </w:r>
    </w:p>
    <w:p>
      <w:pPr>
        <w:pStyle w:val="58"/>
        <w:widowControl w:val="0"/>
        <w:overflowPunct w:val="0"/>
        <w:topLinePunct/>
        <w:autoSpaceDE w:val="0"/>
        <w:autoSpaceDN w:val="0"/>
        <w:adjustRightInd/>
        <w:spacing w:before="0" w:beforeAutospacing="0" w:after="0" w:afterAutospacing="0" w:line="360" w:lineRule="auto"/>
        <w:ind w:firstLine="481"/>
        <w:rPr>
          <w:rFonts w:cs="宋体"/>
          <w:b/>
          <w:bCs/>
          <w:highlight w:val="none"/>
        </w:rPr>
      </w:pPr>
      <w:r>
        <w:rPr>
          <w:rFonts w:hint="eastAsia" w:cs="宋体"/>
          <w:highlight w:val="none"/>
        </w:rPr>
        <w:t>2.1</w:t>
      </w:r>
      <w:r>
        <w:rPr>
          <w:rFonts w:hint="eastAsia" w:cs="宋体"/>
          <w:highlight w:val="none"/>
          <w:lang w:val="en-US" w:eastAsia="zh-CN"/>
        </w:rPr>
        <w:t>8</w:t>
      </w:r>
      <w:r>
        <w:rPr>
          <w:rFonts w:hint="eastAsia" w:cs="宋体"/>
          <w:highlight w:val="none"/>
        </w:rPr>
        <w:t>投标人根据评标办法及采购需求需要提供的其他资料（如有）</w:t>
      </w:r>
    </w:p>
    <w:p>
      <w:pPr>
        <w:pStyle w:val="34"/>
        <w:wordWrap w:val="0"/>
        <w:overflowPunct w:val="0"/>
        <w:autoSpaceDE w:val="0"/>
        <w:autoSpaceDN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3.报价文件：</w:t>
      </w:r>
    </w:p>
    <w:p>
      <w:pPr>
        <w:pStyle w:val="34"/>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3.1投标函（格式见第六章）</w:t>
      </w:r>
    </w:p>
    <w:p>
      <w:pPr>
        <w:pStyle w:val="34"/>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3.2开标一览表（格式见第六章）</w:t>
      </w:r>
    </w:p>
    <w:p>
      <w:pPr>
        <w:pStyle w:val="34"/>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3.3投标报价明细表（格式见第六章）</w:t>
      </w:r>
    </w:p>
    <w:p>
      <w:pPr>
        <w:spacing w:line="360" w:lineRule="auto"/>
        <w:ind w:firstLine="480" w:firstLineChars="200"/>
        <w:rPr>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投标人针对报价需要说明的其他文件和说明（如有）</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 xml:space="preserve">  4.投标文件内容填写说明 </w:t>
      </w:r>
    </w:p>
    <w:p>
      <w:pPr>
        <w:wordWrap w:val="0"/>
        <w:overflowPunct w:val="0"/>
        <w:autoSpaceDE w:val="0"/>
        <w:autoSpaceDN w:val="0"/>
        <w:snapToGrid w:val="0"/>
        <w:spacing w:line="360" w:lineRule="auto"/>
        <w:jc w:val="left"/>
        <w:rPr>
          <w:rFonts w:ascii="宋体" w:hAnsi="宋体" w:cs="宋体"/>
          <w:bCs/>
          <w:sz w:val="24"/>
          <w:highlight w:val="none"/>
        </w:rPr>
      </w:pPr>
      <w:r>
        <w:rPr>
          <w:rFonts w:hint="eastAsia" w:ascii="宋体" w:hAnsi="宋体" w:cs="宋体"/>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sz w:val="24"/>
          <w:highlight w:val="none"/>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（3）投标人必须保证投标文件所提供的全部资料真实可靠，并接受</w:t>
      </w:r>
      <w:r>
        <w:rPr>
          <w:rFonts w:hint="eastAsia" w:ascii="宋体" w:hAnsi="宋体" w:cs="宋体"/>
          <w:sz w:val="24"/>
          <w:highlight w:val="none"/>
          <w:lang w:eastAsia="zh-CN"/>
        </w:rPr>
        <w:t>采购人</w:t>
      </w:r>
      <w:r>
        <w:rPr>
          <w:rFonts w:hint="eastAsia" w:ascii="宋体" w:hAnsi="宋体" w:cs="宋体"/>
          <w:sz w:val="24"/>
          <w:highlight w:val="none"/>
        </w:rPr>
        <w:t>对其中任何资料进一步审查的要求。</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（4）《开标一览表》为在开标仪式上唱标的内容，要求按格式填写、统一规范，不得自行增减内容。</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w:t>
      </w:r>
      <w:r>
        <w:rPr>
          <w:rFonts w:hint="eastAsia" w:ascii="宋体" w:hAnsi="宋体" w:cs="宋体"/>
          <w:sz w:val="24"/>
          <w:highlight w:val="none"/>
          <w:lang w:eastAsia="zh-CN"/>
        </w:rPr>
        <w:t>采购人</w:t>
      </w:r>
      <w:r>
        <w:rPr>
          <w:rFonts w:hint="eastAsia" w:ascii="宋体" w:hAnsi="宋体" w:cs="宋体"/>
          <w:sz w:val="24"/>
          <w:highlight w:val="none"/>
        </w:rPr>
        <w:t>可以拒绝其投标文件。</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（7）投标响应文件不得涂改和增删，如有错漏必须修改。</w:t>
      </w:r>
    </w:p>
    <w:p>
      <w:pPr>
        <w:wordWrap w:val="0"/>
        <w:overflowPunct w:val="0"/>
        <w:autoSpaceDE w:val="0"/>
        <w:autoSpaceDN w:val="0"/>
        <w:snapToGrid w:val="0"/>
        <w:spacing w:line="360" w:lineRule="auto"/>
        <w:rPr>
          <w:rFonts w:ascii="宋体" w:hAnsi="宋体" w:cs="宋体"/>
          <w:b/>
          <w:bCs/>
          <w:sz w:val="24"/>
          <w:highlight w:val="none"/>
        </w:rPr>
      </w:pPr>
      <w:r>
        <w:rPr>
          <w:rFonts w:hint="eastAsia" w:ascii="宋体" w:hAnsi="宋体" w:cs="宋体"/>
          <w:sz w:val="24"/>
          <w:highlight w:val="none"/>
        </w:rPr>
        <w:t xml:space="preserve">    （8）由于字迹模糊或表达不清引起的后果由供应商负责。</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（三）投标文件的语言及计量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▲2投标计量单位，招标文件已有明确规定的，使用招标文件规定的计量单位；招标文件没有规定的，应采用中华人民共和国法定计量单位（货币单位：人民币元），否则视同未响应。</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（四）投标报价</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1.投标报价应按招标文件中相关附表格式填写。</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▲2.投标报价是履行合同的最终价格，报价采用固定单价方式进行报价</w:t>
      </w:r>
      <w:r>
        <w:rPr>
          <w:rFonts w:hint="eastAsia" w:ascii="宋体" w:hAnsi="宋体" w:cs="宋体"/>
          <w:sz w:val="24"/>
          <w:highlight w:val="none"/>
          <w:lang w:eastAsia="zh-CN"/>
        </w:rPr>
        <w:t>，</w:t>
      </w:r>
      <w:r>
        <w:rPr>
          <w:rFonts w:hint="eastAsia" w:ascii="宋体" w:hAnsi="宋体"/>
          <w:sz w:val="24"/>
          <w:highlight w:val="none"/>
        </w:rPr>
        <w:t>最终结算总价=</w:t>
      </w:r>
      <w:r>
        <w:rPr>
          <w:rFonts w:hint="eastAsia" w:ascii="宋体" w:hAnsi="宋体"/>
          <w:sz w:val="24"/>
          <w:highlight w:val="none"/>
          <w:lang w:eastAsia="zh-CN"/>
        </w:rPr>
        <w:t>中标</w:t>
      </w:r>
      <w:r>
        <w:rPr>
          <w:rFonts w:hint="eastAsia" w:ascii="宋体" w:hAnsi="宋体"/>
          <w:sz w:val="24"/>
          <w:highlight w:val="none"/>
        </w:rPr>
        <w:t>单价*</w:t>
      </w:r>
      <w:r>
        <w:rPr>
          <w:rFonts w:hint="eastAsia" w:ascii="宋体" w:hAnsi="宋体"/>
          <w:sz w:val="24"/>
          <w:highlight w:val="none"/>
          <w:lang w:eastAsia="zh-CN"/>
        </w:rPr>
        <w:t>实际采购</w:t>
      </w:r>
      <w:r>
        <w:rPr>
          <w:rFonts w:hint="eastAsia" w:ascii="宋体" w:hAnsi="宋体"/>
          <w:sz w:val="24"/>
          <w:highlight w:val="none"/>
        </w:rPr>
        <w:t>设备数量</w:t>
      </w:r>
      <w:r>
        <w:rPr>
          <w:rFonts w:hint="eastAsia" w:ascii="宋体" w:hAnsi="宋体"/>
          <w:sz w:val="24"/>
          <w:highlight w:val="none"/>
          <w:lang w:val="en-US" w:eastAsia="zh-CN"/>
        </w:rPr>
        <w:t>及完成的工作量</w:t>
      </w:r>
      <w:r>
        <w:rPr>
          <w:rFonts w:hint="eastAsia" w:ascii="宋体" w:hAnsi="宋体" w:cs="宋体"/>
          <w:sz w:val="24"/>
          <w:highlight w:val="none"/>
          <w:lang w:val="en-US" w:eastAsia="zh-CN"/>
        </w:rPr>
        <w:t>，</w:t>
      </w:r>
      <w:r>
        <w:rPr>
          <w:rFonts w:hint="eastAsia" w:ascii="宋体" w:hAnsi="宋体" w:cs="宋体"/>
          <w:sz w:val="24"/>
          <w:highlight w:val="none"/>
        </w:rPr>
        <w:t>报价包括设计、生产、供货、运输、装卸、安装调试、税金、保险、备品备件、配件、附件、培训、验收、辅助工作及售后服务等完成本项目的所有费用。</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▲3.投标文件只允许有一个报价，有选择的或有条件的报价将不予接受。</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（五）投标文件的有效期</w:t>
      </w:r>
    </w:p>
    <w:p>
      <w:pPr>
        <w:pStyle w:val="16"/>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szCs w:val="24"/>
          <w:highlight w:val="none"/>
        </w:rPr>
      </w:pPr>
      <w:r>
        <w:rPr>
          <w:rFonts w:hint="eastAsia" w:ascii="宋体" w:hAnsi="宋体" w:cs="宋体"/>
          <w:szCs w:val="24"/>
          <w:highlight w:val="none"/>
        </w:rPr>
        <w:t>▲1.自投标截止日起</w:t>
      </w:r>
      <w:r>
        <w:rPr>
          <w:rFonts w:hint="eastAsia" w:ascii="宋体" w:hAnsi="宋体" w:cs="宋体"/>
          <w:szCs w:val="24"/>
          <w:highlight w:val="none"/>
          <w:u w:val="single"/>
        </w:rPr>
        <w:t xml:space="preserve"> 90</w:t>
      </w:r>
      <w:r>
        <w:rPr>
          <w:rFonts w:hint="eastAsia" w:ascii="宋体" w:hAnsi="宋体" w:cs="宋体"/>
          <w:szCs w:val="24"/>
          <w:highlight w:val="none"/>
        </w:rPr>
        <w:t>天投标文件应保持有效。有效期不足的投标文件将被拒绝。</w:t>
      </w:r>
    </w:p>
    <w:p>
      <w:pPr>
        <w:pStyle w:val="16"/>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szCs w:val="24"/>
          <w:highlight w:val="none"/>
        </w:rPr>
      </w:pPr>
      <w:r>
        <w:rPr>
          <w:rFonts w:hint="eastAsia" w:ascii="宋体" w:hAnsi="宋体" w:cs="宋体"/>
          <w:szCs w:val="24"/>
          <w:highlight w:val="none"/>
        </w:rPr>
        <w:t>2.在特殊情况下，</w:t>
      </w:r>
      <w:r>
        <w:rPr>
          <w:rFonts w:hint="eastAsia" w:ascii="宋体" w:hAnsi="宋体" w:cs="宋体"/>
          <w:szCs w:val="24"/>
          <w:highlight w:val="none"/>
          <w:lang w:eastAsia="zh-CN"/>
        </w:rPr>
        <w:t>采购人</w:t>
      </w:r>
      <w:r>
        <w:rPr>
          <w:rFonts w:hint="eastAsia" w:ascii="宋体" w:hAnsi="宋体" w:cs="宋体"/>
          <w:szCs w:val="24"/>
          <w:highlight w:val="none"/>
        </w:rPr>
        <w:t>可与投标人协商延长投标书的有效期，这种要求和答复均以书面形式进行。</w:t>
      </w:r>
    </w:p>
    <w:p>
      <w:pPr>
        <w:wordWrap w:val="0"/>
        <w:overflowPunct w:val="0"/>
        <w:autoSpaceDE w:val="0"/>
        <w:autoSpaceDN w:val="0"/>
        <w:snapToGrid w:val="0"/>
        <w:spacing w:line="360" w:lineRule="auto"/>
        <w:ind w:firstLine="480" w:firstLineChars="200"/>
        <w:jc w:val="left"/>
        <w:outlineLvl w:val="0"/>
        <w:rPr>
          <w:rFonts w:ascii="宋体" w:hAnsi="宋体" w:cs="宋体"/>
          <w:sz w:val="24"/>
          <w:highlight w:val="none"/>
        </w:rPr>
      </w:pPr>
      <w:r>
        <w:rPr>
          <w:rFonts w:hint="eastAsia" w:ascii="宋体" w:hAnsi="宋体" w:cs="宋体"/>
          <w:sz w:val="24"/>
          <w:highlight w:val="none"/>
        </w:rPr>
        <w:t>3.中标人的投标文件自开标之日起至合同履行完毕止均应保持有效。</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（六）投标保证金：无</w:t>
      </w:r>
    </w:p>
    <w:p>
      <w:pPr>
        <w:pStyle w:val="34"/>
        <w:wordWrap w:val="0"/>
        <w:overflowPunct w:val="0"/>
        <w:autoSpaceDE w:val="0"/>
        <w:autoSpaceDN w:val="0"/>
        <w:snapToGrid w:val="0"/>
        <w:spacing w:line="360" w:lineRule="auto"/>
        <w:outlineLvl w:val="0"/>
        <w:rPr>
          <w:rFonts w:hAnsi="宋体" w:cs="宋体"/>
          <w:b/>
          <w:sz w:val="24"/>
          <w:szCs w:val="24"/>
          <w:highlight w:val="none"/>
        </w:rPr>
      </w:pPr>
      <w:bookmarkStart w:id="17" w:name="_Toc359856802"/>
      <w:r>
        <w:rPr>
          <w:rFonts w:hint="eastAsia" w:hAnsi="宋体" w:cs="宋体"/>
          <w:b/>
          <w:sz w:val="24"/>
          <w:szCs w:val="24"/>
          <w:highlight w:val="none"/>
        </w:rPr>
        <w:t>（七）投标文件的签署及规定</w:t>
      </w:r>
      <w:bookmarkEnd w:id="17"/>
    </w:p>
    <w:p>
      <w:pPr>
        <w:wordWrap w:val="0"/>
        <w:overflowPunct w:val="0"/>
        <w:autoSpaceDE w:val="0"/>
        <w:autoSpaceDN w:val="0"/>
        <w:snapToGrid w:val="0"/>
        <w:spacing w:line="360" w:lineRule="auto"/>
        <w:ind w:firstLine="480" w:firstLineChars="200"/>
        <w:jc w:val="left"/>
        <w:outlineLvl w:val="1"/>
        <w:rPr>
          <w:rFonts w:ascii="宋体" w:hAnsi="宋体" w:cs="宋体"/>
          <w:bCs/>
          <w:sz w:val="24"/>
          <w:highlight w:val="none"/>
        </w:rPr>
      </w:pPr>
      <w:r>
        <w:rPr>
          <w:rFonts w:hint="eastAsia" w:ascii="宋体" w:hAnsi="宋体" w:cs="宋体"/>
          <w:bCs/>
          <w:sz w:val="24"/>
          <w:highlight w:val="none"/>
        </w:rPr>
        <w:t>电子投标文件按政采云平台供应商项目采购-电子招投标操作指南（网址：</w:t>
      </w:r>
      <w:r>
        <w:rPr>
          <w:highlight w:val="none"/>
        </w:rPr>
        <w:fldChar w:fldCharType="begin"/>
      </w:r>
      <w:r>
        <w:rPr>
          <w:highlight w:val="none"/>
        </w:rPr>
        <w:instrText xml:space="preserve"> HYPERLINK "https://help.zcy.gov.cn/web/site_2/2018/12-28/2573.html）及本招标文件规定的格式和顺序编制电子投标文件并进行关联定位。" </w:instrText>
      </w:r>
      <w:r>
        <w:rPr>
          <w:highlight w:val="none"/>
        </w:rPr>
        <w:fldChar w:fldCharType="separate"/>
      </w:r>
      <w:r>
        <w:rPr>
          <w:rFonts w:hint="eastAsia" w:ascii="宋体" w:hAnsi="宋体" w:cs="宋体"/>
          <w:bCs/>
          <w:sz w:val="24"/>
          <w:highlight w:val="none"/>
        </w:rPr>
        <w:t>https://service.zcygov.cn/#/knowledges/CW1EtGwBFdiHxlNd6I3m/6IMVAG0BFdiHxlNdQ8Na?keyword</w:t>
      </w:r>
      <w:r>
        <w:rPr>
          <w:rStyle w:val="77"/>
          <w:rFonts w:hint="eastAsia" w:ascii="宋体" w:hAnsi="宋体" w:cs="宋体"/>
          <w:bCs/>
          <w:sz w:val="24"/>
          <w:highlight w:val="none"/>
        </w:rPr>
        <w:t>）及本招标文件规定的格式和顺序编制电子投标文件并进行关联定位。</w:t>
      </w:r>
      <w:r>
        <w:rPr>
          <w:rStyle w:val="77"/>
          <w:rFonts w:hint="eastAsia" w:ascii="宋体" w:hAnsi="宋体" w:cs="宋体"/>
          <w:bCs/>
          <w:sz w:val="24"/>
          <w:highlight w:val="none"/>
        </w:rPr>
        <w:fldChar w:fldCharType="end"/>
      </w:r>
    </w:p>
    <w:p>
      <w:pPr>
        <w:pStyle w:val="34"/>
        <w:wordWrap w:val="0"/>
        <w:overflowPunct w:val="0"/>
        <w:autoSpaceDE w:val="0"/>
        <w:autoSpaceDN w:val="0"/>
        <w:snapToGrid w:val="0"/>
        <w:spacing w:line="360" w:lineRule="auto"/>
        <w:outlineLvl w:val="0"/>
        <w:rPr>
          <w:rFonts w:hAnsi="宋体" w:cs="宋体"/>
          <w:b/>
          <w:sz w:val="24"/>
          <w:szCs w:val="24"/>
          <w:highlight w:val="none"/>
        </w:rPr>
      </w:pPr>
      <w:bookmarkStart w:id="18" w:name="_Toc356371437"/>
      <w:bookmarkStart w:id="19" w:name="_Toc359856803"/>
      <w:r>
        <w:rPr>
          <w:rFonts w:hint="eastAsia" w:hAnsi="宋体" w:cs="宋体"/>
          <w:b/>
          <w:sz w:val="24"/>
          <w:szCs w:val="24"/>
          <w:highlight w:val="none"/>
        </w:rPr>
        <w:t>（八）投标文件的递交</w:t>
      </w:r>
      <w:bookmarkEnd w:id="18"/>
      <w:bookmarkEnd w:id="19"/>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1.递交投标文件截止期</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2.投标文件的修改和撤销</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（2）投标人修改后的投标文件应按原来的规定编制、密封、标记和递交。</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（3）在递交投标文件截止期之后，投标人不得对其投标文件做任何修改。</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（4）递交投标文件截止期后，投标人不得撤回其投标文件。</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（5）实质上没有响应本文件要求的投标文件将被拒绝。投标人不得通过修正或撤销不合要求的偏离或保留从而使其投标文件成为实质上响应的文件。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（1）</w:t>
      </w:r>
      <w:r>
        <w:rPr>
          <w:rFonts w:hint="eastAsia" w:ascii="宋体" w:hAnsi="宋体" w:cs="宋体"/>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（2）</w:t>
      </w:r>
      <w:r>
        <w:rPr>
          <w:rFonts w:hint="eastAsia" w:ascii="宋体" w:hAnsi="宋体" w:cs="宋体"/>
          <w:sz w:val="24"/>
          <w:highlight w:val="none"/>
        </w:rPr>
        <w:t>备份投标文件须在“政采云投标客户端”制作生成，并储存在</w:t>
      </w:r>
      <w:r>
        <w:rPr>
          <w:rFonts w:hint="eastAsia" w:ascii="宋体" w:hAnsi="宋体" w:cs="宋体"/>
          <w:b/>
          <w:bCs/>
          <w:sz w:val="24"/>
          <w:highlight w:val="none"/>
        </w:rPr>
        <w:t>（U盘）</w:t>
      </w:r>
      <w:r>
        <w:rPr>
          <w:rFonts w:hint="eastAsia" w:ascii="宋体" w:hAnsi="宋体" w:cs="宋体"/>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（3）</w:t>
      </w:r>
      <w:r>
        <w:rPr>
          <w:rFonts w:hint="eastAsia" w:ascii="宋体" w:hAnsi="宋体" w:cs="宋体"/>
          <w:sz w:val="24"/>
          <w:highlight w:val="none"/>
        </w:rPr>
        <w:t>直接提交备份投标文件的，投标人应于投标截止时间前在招标公告中载明的开标地点将备份投标文件提交给采购机构，采购机构将拒绝接受逾期送达的备份投标文件。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（4）</w:t>
      </w:r>
      <w:r>
        <w:rPr>
          <w:rFonts w:hint="eastAsia" w:ascii="宋体" w:hAnsi="宋体" w:cs="宋体"/>
          <w:sz w:val="24"/>
          <w:highlight w:val="none"/>
        </w:rPr>
        <w:t>以邮政快递方式递交备份投标文件的，投标人应先将备份投标文件按要求密封和标记，再进行邮政快递包装后邮寄。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（5）</w:t>
      </w:r>
      <w:r>
        <w:rPr>
          <w:rFonts w:hint="eastAsia" w:ascii="宋体" w:hAnsi="宋体" w:cs="宋体"/>
          <w:sz w:val="24"/>
          <w:highlight w:val="none"/>
        </w:rPr>
        <w:t>投标人仅提交备份投标文件，没有在电子交易平台传输递交投标文件的，投标无效。</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（九）投标无效的情形</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根据《政府采购货物和服务招标投标管理办法》有下列情形之一的，视为投标人串通投标，其投标无效：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(一)不同投标人的投标文件由同一单位或者个人编制；</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(二)不同投标人委托同一单位或者个人办理投标事宜；</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(三)不同投标人的投标文件载明的项目管理成员或者联系人员为同一人；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(四)不同投标人的投标文件异常一致或者投标报价呈规律性差异；</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(五)不同投标人的投标文件相互混装；</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(六)不同投标人的投标保证金从同一单位或者个人的账户转出。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4"/>
        </w:numPr>
        <w:wordWrap w:val="0"/>
        <w:overflowPunct w:val="0"/>
        <w:autoSpaceDE w:val="0"/>
        <w:autoSpaceDN w:val="0"/>
        <w:snapToGrid w:val="0"/>
        <w:spacing w:line="360" w:lineRule="auto"/>
        <w:ind w:firstLine="466" w:firstLineChars="200"/>
        <w:jc w:val="left"/>
        <w:rPr>
          <w:rFonts w:ascii="宋体" w:hAnsi="宋体" w:cs="宋体"/>
          <w:b/>
          <w:bCs/>
          <w:sz w:val="24"/>
          <w:highlight w:val="none"/>
        </w:rPr>
      </w:pPr>
      <w:r>
        <w:rPr>
          <w:rFonts w:hint="eastAsia" w:ascii="宋体" w:hAnsi="宋体" w:cs="宋体"/>
          <w:b/>
          <w:bCs/>
          <w:spacing w:val="-4"/>
          <w:sz w:val="24"/>
          <w:highlight w:val="none"/>
        </w:rPr>
        <w:t>电</w:t>
      </w:r>
      <w:r>
        <w:rPr>
          <w:rFonts w:hint="eastAsia" w:ascii="宋体" w:hAnsi="宋体" w:cs="宋体"/>
          <w:b/>
          <w:bCs/>
          <w:sz w:val="24"/>
          <w:highlight w:val="none"/>
        </w:rPr>
        <w:t xml:space="preserve">子加密投标文件解密失败的；   </w:t>
      </w:r>
    </w:p>
    <w:p>
      <w:pPr>
        <w:wordWrap w:val="0"/>
        <w:overflowPunct w:val="0"/>
        <w:autoSpaceDE w:val="0"/>
        <w:autoSpaceDN w:val="0"/>
        <w:snapToGrid w:val="0"/>
        <w:spacing w:line="360" w:lineRule="auto"/>
        <w:jc w:val="left"/>
        <w:rPr>
          <w:rFonts w:ascii="宋体" w:hAnsi="宋体" w:cs="宋体"/>
          <w:b/>
          <w:bCs/>
          <w:sz w:val="24"/>
          <w:highlight w:val="none"/>
        </w:rPr>
      </w:pPr>
      <w:r>
        <w:rPr>
          <w:rFonts w:hint="eastAsia" w:ascii="宋体" w:hAnsi="宋体" w:cs="宋体"/>
          <w:b/>
          <w:bCs/>
          <w:sz w:val="24"/>
          <w:highlight w:val="none"/>
        </w:rPr>
        <w:t xml:space="preserve">    2.没有通过资格审查的，投标文件将被视为无效。</w:t>
      </w:r>
    </w:p>
    <w:p>
      <w:pPr>
        <w:wordWrap w:val="0"/>
        <w:overflowPunct w:val="0"/>
        <w:autoSpaceDE w:val="0"/>
        <w:autoSpaceDN w:val="0"/>
        <w:snapToGrid w:val="0"/>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3.在符合性审查和资信商务评审时，如发现下列情形之一的，投标文件将被视为无效：</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（1）电子投标文件未按规定要求提供电子签章的。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（2）在资格文件或商务技术文件中出现报价的；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（3）资格证明文件不全的，或者不符合招标文件标明的资格要求的；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（4）投标文件无法定代表人签字（或盖章）,或未</w:t>
      </w:r>
      <w:r>
        <w:rPr>
          <w:rFonts w:hint="eastAsia" w:ascii="宋体" w:hAnsi="宋体" w:cs="宋体"/>
          <w:bCs/>
          <w:kern w:val="0"/>
          <w:sz w:val="24"/>
          <w:highlight w:val="none"/>
        </w:rPr>
        <w:t>提供法定代表人授权委托书、投标声明书或者填写项目不齐全的；</w:t>
      </w:r>
    </w:p>
    <w:p>
      <w:pPr>
        <w:wordWrap w:val="0"/>
        <w:overflowPunct w:val="0"/>
        <w:autoSpaceDE w:val="0"/>
        <w:autoSpaceDN w:val="0"/>
        <w:snapToGrid w:val="0"/>
        <w:spacing w:line="360" w:lineRule="auto"/>
        <w:ind w:firstLine="480" w:firstLineChars="200"/>
        <w:rPr>
          <w:rFonts w:ascii="宋体" w:hAnsi="宋体" w:cs="宋体"/>
          <w:bCs/>
          <w:kern w:val="0"/>
          <w:sz w:val="24"/>
          <w:highlight w:val="none"/>
        </w:rPr>
      </w:pPr>
      <w:r>
        <w:rPr>
          <w:rFonts w:hint="eastAsia" w:ascii="宋体" w:hAnsi="宋体" w:cs="宋体"/>
          <w:sz w:val="24"/>
          <w:highlight w:val="none"/>
        </w:rPr>
        <w:t>（5）投标代表人未能出具身份证明或与法定代表人授权委托人身份不符的；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（6）投标文件项目不齐全或者内容虚假的；</w:t>
      </w:r>
    </w:p>
    <w:p>
      <w:pPr>
        <w:pStyle w:val="25"/>
        <w:wordWrap w:val="0"/>
        <w:overflowPunct w:val="0"/>
        <w:autoSpaceDE w:val="0"/>
        <w:autoSpaceDN w:val="0"/>
        <w:snapToGrid w:val="0"/>
        <w:spacing w:line="360" w:lineRule="auto"/>
        <w:rPr>
          <w:rFonts w:cs="宋体"/>
          <w:snapToGrid w:val="0"/>
          <w:highlight w:val="none"/>
        </w:rPr>
      </w:pPr>
      <w:r>
        <w:rPr>
          <w:rFonts w:hint="eastAsia" w:cs="宋体"/>
          <w:highlight w:val="none"/>
        </w:rPr>
        <w:t>（</w:t>
      </w:r>
      <w:r>
        <w:rPr>
          <w:rFonts w:hint="eastAsia" w:cs="宋体"/>
          <w:snapToGrid w:val="0"/>
          <w:highlight w:val="none"/>
        </w:rPr>
        <w:t>7）</w:t>
      </w:r>
      <w:r>
        <w:rPr>
          <w:rFonts w:hint="eastAsia" w:cs="宋体"/>
          <w:highlight w:val="none"/>
        </w:rPr>
        <w:t>投标文件的实质性内容未使用中文表述、意思表述不明确、前后矛盾或者使用计量单位不符合招标文件要求的（经评标委员会认定并允许其当场更正的笔误除外）；</w:t>
      </w:r>
    </w:p>
    <w:p>
      <w:pPr>
        <w:pStyle w:val="25"/>
        <w:wordWrap w:val="0"/>
        <w:overflowPunct w:val="0"/>
        <w:autoSpaceDE w:val="0"/>
        <w:autoSpaceDN w:val="0"/>
        <w:snapToGrid w:val="0"/>
        <w:spacing w:line="360" w:lineRule="auto"/>
        <w:rPr>
          <w:rFonts w:cs="宋体"/>
          <w:snapToGrid w:val="0"/>
          <w:highlight w:val="none"/>
        </w:rPr>
      </w:pPr>
      <w:r>
        <w:rPr>
          <w:rFonts w:hint="eastAsia" w:cs="宋体"/>
          <w:highlight w:val="none"/>
        </w:rPr>
        <w:t>（8）</w:t>
      </w:r>
      <w:r>
        <w:rPr>
          <w:rFonts w:hint="eastAsia" w:cs="宋体"/>
          <w:snapToGrid w:val="0"/>
          <w:highlight w:val="none"/>
        </w:rPr>
        <w:t>投标有效期、服务期、质保期等商务条款不能满足招标文件要求的；</w:t>
      </w:r>
    </w:p>
    <w:p>
      <w:pPr>
        <w:pStyle w:val="25"/>
        <w:wordWrap w:val="0"/>
        <w:overflowPunct w:val="0"/>
        <w:autoSpaceDE w:val="0"/>
        <w:autoSpaceDN w:val="0"/>
        <w:snapToGrid w:val="0"/>
        <w:spacing w:line="360" w:lineRule="auto"/>
        <w:rPr>
          <w:rFonts w:cs="宋体"/>
          <w:snapToGrid w:val="0"/>
          <w:highlight w:val="none"/>
        </w:rPr>
      </w:pPr>
      <w:r>
        <w:rPr>
          <w:rFonts w:hint="eastAsia" w:cs="宋体"/>
          <w:highlight w:val="none"/>
        </w:rPr>
        <w:t>（</w:t>
      </w:r>
      <w:r>
        <w:rPr>
          <w:rFonts w:hint="eastAsia" w:cs="宋体"/>
          <w:snapToGrid w:val="0"/>
          <w:highlight w:val="none"/>
        </w:rPr>
        <w:t>9）</w:t>
      </w:r>
      <w:r>
        <w:rPr>
          <w:rFonts w:hint="eastAsia" w:cs="宋体"/>
          <w:highlight w:val="none"/>
        </w:rPr>
        <w:t>未实质性响应招标文件要求或者投标文件有招标方不能接受的附加条件的</w:t>
      </w:r>
      <w:r>
        <w:rPr>
          <w:rFonts w:hint="eastAsia" w:cs="宋体"/>
          <w:snapToGrid w:val="0"/>
          <w:highlight w:val="none"/>
        </w:rPr>
        <w:t>；</w:t>
      </w:r>
    </w:p>
    <w:p>
      <w:pPr>
        <w:pStyle w:val="25"/>
        <w:wordWrap w:val="0"/>
        <w:overflowPunct w:val="0"/>
        <w:autoSpaceDE w:val="0"/>
        <w:autoSpaceDN w:val="0"/>
        <w:snapToGrid w:val="0"/>
        <w:spacing w:line="360" w:lineRule="auto"/>
        <w:rPr>
          <w:rFonts w:cs="宋体"/>
          <w:highlight w:val="none"/>
        </w:rPr>
      </w:pPr>
      <w:r>
        <w:rPr>
          <w:rFonts w:hint="eastAsia" w:cs="宋体"/>
          <w:highlight w:val="none"/>
        </w:rPr>
        <w:t>（10）不符合本采购文件中的实质性要求条款</w:t>
      </w:r>
    </w:p>
    <w:p>
      <w:pPr>
        <w:pStyle w:val="25"/>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4.在技术评审时，如发现下列情形之一的，投标文件将被视为无效：</w:t>
      </w:r>
    </w:p>
    <w:p>
      <w:pPr>
        <w:pStyle w:val="25"/>
        <w:snapToGrid w:val="0"/>
        <w:spacing w:line="360" w:lineRule="auto"/>
        <w:ind w:firstLine="470" w:firstLineChars="196"/>
        <w:rPr>
          <w:rFonts w:cs="宋体"/>
          <w:highlight w:val="none"/>
        </w:rPr>
      </w:pPr>
      <w:r>
        <w:rPr>
          <w:rFonts w:hint="eastAsia" w:cs="宋体"/>
          <w:highlight w:val="none"/>
        </w:rPr>
        <w:t>（1）投标文件标明的响应或偏离与事实不符或虚假投标的；</w:t>
      </w:r>
    </w:p>
    <w:p>
      <w:pPr>
        <w:pStyle w:val="25"/>
        <w:snapToGrid w:val="0"/>
        <w:spacing w:line="360" w:lineRule="auto"/>
        <w:ind w:firstLine="470" w:firstLineChars="196"/>
        <w:rPr>
          <w:rFonts w:cs="宋体"/>
          <w:highlight w:val="none"/>
        </w:rPr>
      </w:pPr>
      <w:r>
        <w:rPr>
          <w:rFonts w:hint="eastAsia" w:cs="宋体"/>
          <w:highlight w:val="none"/>
        </w:rPr>
        <w:t>（2）明显不符合采购文件要求的服务内容，或者与采购文件中标“▲”的服务需求、主要功能项目发生实质性偏离的；</w:t>
      </w:r>
    </w:p>
    <w:p>
      <w:pPr>
        <w:pStyle w:val="25"/>
        <w:snapToGrid w:val="0"/>
        <w:spacing w:line="360" w:lineRule="auto"/>
        <w:ind w:firstLine="470" w:firstLineChars="196"/>
        <w:rPr>
          <w:rFonts w:cs="宋体"/>
          <w:highlight w:val="none"/>
        </w:rPr>
      </w:pPr>
      <w:r>
        <w:rPr>
          <w:rFonts w:hint="eastAsia" w:cs="宋体"/>
          <w:highlight w:val="none"/>
        </w:rPr>
        <w:t>（3）投标技术方案不明确，存在一个或一个以上备选（替代）投标方案的；</w:t>
      </w:r>
    </w:p>
    <w:p>
      <w:pPr>
        <w:pStyle w:val="25"/>
        <w:snapToGrid w:val="0"/>
        <w:spacing w:line="360" w:lineRule="auto"/>
        <w:ind w:firstLine="470" w:firstLineChars="196"/>
        <w:rPr>
          <w:highlight w:val="none"/>
        </w:rPr>
      </w:pPr>
      <w:r>
        <w:rPr>
          <w:rFonts w:hint="eastAsia" w:cs="宋体"/>
          <w:highlight w:val="none"/>
        </w:rPr>
        <w:t>（4）与其他参加本次投标供应商的投标文件（技术文件）的文字表述内容相同连续20行以上或者差错相同2处以上的</w:t>
      </w:r>
      <w:r>
        <w:rPr>
          <w:rFonts w:hint="eastAsia"/>
          <w:highlight w:val="none"/>
        </w:rPr>
        <w:t>。</w:t>
      </w:r>
    </w:p>
    <w:p>
      <w:pPr>
        <w:pStyle w:val="25"/>
        <w:wordWrap w:val="0"/>
        <w:overflowPunct w:val="0"/>
        <w:autoSpaceDE w:val="0"/>
        <w:autoSpaceDN w:val="0"/>
        <w:snapToGrid w:val="0"/>
        <w:spacing w:line="360" w:lineRule="auto"/>
        <w:rPr>
          <w:rFonts w:cs="宋体"/>
          <w:highlight w:val="none"/>
        </w:rPr>
      </w:pPr>
      <w:r>
        <w:rPr>
          <w:rFonts w:hint="eastAsia"/>
          <w:highlight w:val="none"/>
        </w:rPr>
        <w:t>（5）不符合本采购文件中的实质性要求条款</w:t>
      </w:r>
      <w:r>
        <w:rPr>
          <w:rFonts w:hint="eastAsia" w:cs="宋体"/>
          <w:highlight w:val="none"/>
        </w:rPr>
        <w:t>；</w:t>
      </w:r>
    </w:p>
    <w:p>
      <w:pPr>
        <w:pStyle w:val="25"/>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5.在报价评审时，如发现下列情形之一的，投标文件将被视为无效：</w:t>
      </w:r>
    </w:p>
    <w:p>
      <w:pPr>
        <w:pStyle w:val="25"/>
        <w:snapToGrid w:val="0"/>
        <w:spacing w:line="360" w:lineRule="auto"/>
        <w:rPr>
          <w:highlight w:val="none"/>
        </w:rPr>
      </w:pPr>
      <w:r>
        <w:rPr>
          <w:rFonts w:hint="eastAsia"/>
          <w:highlight w:val="none"/>
        </w:rPr>
        <w:t>（1）未采用人民币报价或者未按照采购文件标明的币种报价的；</w:t>
      </w:r>
    </w:p>
    <w:p>
      <w:pPr>
        <w:pStyle w:val="25"/>
        <w:snapToGrid w:val="0"/>
        <w:spacing w:line="360" w:lineRule="auto"/>
        <w:rPr>
          <w:highlight w:val="none"/>
        </w:rPr>
      </w:pPr>
      <w:r>
        <w:rPr>
          <w:rFonts w:hint="eastAsia"/>
          <w:highlight w:val="none"/>
        </w:rPr>
        <w:t>（2）投标报价具有选择性，或者开标价格与投标文件承诺的优惠（折扣）价格不一致的；</w:t>
      </w:r>
    </w:p>
    <w:p>
      <w:pPr>
        <w:pStyle w:val="25"/>
        <w:snapToGrid w:val="0"/>
        <w:spacing w:line="360" w:lineRule="auto"/>
        <w:rPr>
          <w:highlight w:val="none"/>
        </w:rPr>
      </w:pPr>
      <w:r>
        <w:rPr>
          <w:rFonts w:hint="eastAsia"/>
          <w:highlight w:val="none"/>
        </w:rPr>
        <w:t>（3）报价文件内容与商务、技术文件内容严重不一致，评标委员会无法评审的；</w:t>
      </w:r>
    </w:p>
    <w:p>
      <w:pPr>
        <w:pStyle w:val="25"/>
        <w:snapToGrid w:val="0"/>
        <w:spacing w:line="360" w:lineRule="auto"/>
        <w:rPr>
          <w:highlight w:val="none"/>
        </w:rPr>
      </w:pPr>
      <w:r>
        <w:rPr>
          <w:rFonts w:hint="eastAsia"/>
          <w:highlight w:val="none"/>
        </w:rPr>
        <w:t>（4）评标委员会认定属投标人自身原因有重大漏项的。</w:t>
      </w:r>
    </w:p>
    <w:p>
      <w:pPr>
        <w:pStyle w:val="25"/>
        <w:snapToGrid w:val="0"/>
        <w:spacing w:line="360" w:lineRule="auto"/>
        <w:rPr>
          <w:highlight w:val="none"/>
        </w:rPr>
      </w:pPr>
      <w:r>
        <w:rPr>
          <w:rFonts w:hint="eastAsia"/>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pStyle w:val="25"/>
        <w:snapToGrid w:val="0"/>
        <w:spacing w:line="360" w:lineRule="auto"/>
        <w:rPr>
          <w:highlight w:val="none"/>
        </w:rPr>
      </w:pPr>
      <w:r>
        <w:rPr>
          <w:rFonts w:hint="eastAsia"/>
          <w:highlight w:val="none"/>
        </w:rPr>
        <w:t>（6）报价超过采购文件中规定的预算金额或者最高限价的。</w:t>
      </w:r>
    </w:p>
    <w:p>
      <w:pPr>
        <w:pStyle w:val="25"/>
        <w:snapToGrid w:val="0"/>
        <w:spacing w:line="360" w:lineRule="auto"/>
        <w:rPr>
          <w:highlight w:val="none"/>
        </w:rPr>
      </w:pPr>
      <w:r>
        <w:rPr>
          <w:rFonts w:hint="eastAsia"/>
          <w:highlight w:val="none"/>
        </w:rPr>
        <w:t>（7）报价文件无法定代表人或授权代表签字（或盖章）的；</w:t>
      </w:r>
    </w:p>
    <w:p>
      <w:pPr>
        <w:pStyle w:val="25"/>
        <w:snapToGrid w:val="0"/>
        <w:spacing w:line="360" w:lineRule="auto"/>
        <w:rPr>
          <w:highlight w:val="none"/>
        </w:rPr>
      </w:pPr>
      <w:r>
        <w:rPr>
          <w:rFonts w:hint="eastAsia"/>
          <w:highlight w:val="none"/>
        </w:rPr>
        <w:t>（8）报价文件格式不规范、项目不齐全或者内容虚假的；</w:t>
      </w:r>
    </w:p>
    <w:p>
      <w:pPr>
        <w:pStyle w:val="25"/>
        <w:snapToGrid w:val="0"/>
        <w:spacing w:line="360" w:lineRule="auto"/>
        <w:rPr>
          <w:highlight w:val="none"/>
        </w:rPr>
      </w:pPr>
      <w:r>
        <w:rPr>
          <w:rFonts w:hint="eastAsia"/>
          <w:highlight w:val="none"/>
        </w:rPr>
        <w:t>（9）报价文件的实质性内容未使用中文表述、意思表述不明确、前后矛盾或者使用计量单位不符合招标文件要求的（经评标委员会认定并允许其当场更正的笔误除外）；</w:t>
      </w:r>
    </w:p>
    <w:p>
      <w:pPr>
        <w:pStyle w:val="25"/>
        <w:snapToGrid w:val="0"/>
        <w:spacing w:line="360" w:lineRule="auto"/>
        <w:rPr>
          <w:highlight w:val="none"/>
        </w:rPr>
      </w:pPr>
      <w:r>
        <w:rPr>
          <w:rFonts w:hint="eastAsia"/>
          <w:highlight w:val="none"/>
        </w:rPr>
        <w:t>（10）未实质性响应采购文件要求或者投标文件有采购方不能接受的附加条件的。</w:t>
      </w:r>
    </w:p>
    <w:p>
      <w:pPr>
        <w:pStyle w:val="25"/>
        <w:wordWrap w:val="0"/>
        <w:overflowPunct w:val="0"/>
        <w:autoSpaceDE w:val="0"/>
        <w:autoSpaceDN w:val="0"/>
        <w:snapToGrid w:val="0"/>
        <w:spacing w:line="360" w:lineRule="auto"/>
        <w:rPr>
          <w:rFonts w:cs="宋体"/>
          <w:highlight w:val="none"/>
        </w:rPr>
      </w:pPr>
      <w:r>
        <w:rPr>
          <w:rFonts w:hint="eastAsia"/>
          <w:highlight w:val="none"/>
        </w:rPr>
        <w:t>（11）不符合本采购文件中的实质性要求条款</w:t>
      </w:r>
      <w:r>
        <w:rPr>
          <w:rFonts w:hint="eastAsia" w:cs="宋体"/>
          <w:highlight w:val="none"/>
        </w:rPr>
        <w:t>；</w:t>
      </w:r>
    </w:p>
    <w:p>
      <w:pPr>
        <w:pStyle w:val="25"/>
        <w:wordWrap w:val="0"/>
        <w:overflowPunct w:val="0"/>
        <w:autoSpaceDE w:val="0"/>
        <w:autoSpaceDN w:val="0"/>
        <w:snapToGrid w:val="0"/>
        <w:spacing w:line="360" w:lineRule="auto"/>
        <w:ind w:firstLine="482"/>
        <w:rPr>
          <w:rFonts w:cs="宋体"/>
          <w:b/>
          <w:highlight w:val="none"/>
        </w:rPr>
      </w:pPr>
      <w:r>
        <w:rPr>
          <w:rFonts w:hint="eastAsia" w:cs="宋体"/>
          <w:b/>
          <w:highlight w:val="none"/>
        </w:rPr>
        <w:t>6.被拒绝的投标文件为无效；</w:t>
      </w:r>
    </w:p>
    <w:p>
      <w:pPr>
        <w:pStyle w:val="25"/>
        <w:wordWrap w:val="0"/>
        <w:overflowPunct w:val="0"/>
        <w:autoSpaceDE w:val="0"/>
        <w:autoSpaceDN w:val="0"/>
        <w:snapToGrid w:val="0"/>
        <w:spacing w:line="360" w:lineRule="auto"/>
        <w:ind w:firstLine="482"/>
        <w:rPr>
          <w:rFonts w:cs="宋体"/>
          <w:b/>
          <w:highlight w:val="none"/>
        </w:rPr>
      </w:pPr>
      <w:r>
        <w:rPr>
          <w:rFonts w:hint="eastAsia" w:cs="宋体"/>
          <w:b/>
          <w:highlight w:val="none"/>
        </w:rPr>
        <w:t>7.存在带“▲”条款的负偏离的；</w:t>
      </w:r>
    </w:p>
    <w:p>
      <w:pPr>
        <w:pStyle w:val="25"/>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8.本招标文件其他部分已规定为无效标的情形；</w:t>
      </w:r>
    </w:p>
    <w:p>
      <w:pPr>
        <w:pStyle w:val="25"/>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9.评标专家认定的其他必须按无效标处理的。</w:t>
      </w:r>
    </w:p>
    <w:p>
      <w:pPr>
        <w:pStyle w:val="25"/>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（十）出现以下情形，导致电子交易平台无法正常运行，或者无法保证电子交易的公平、公正和安全时，中止电子交易活动：</w:t>
      </w:r>
    </w:p>
    <w:p>
      <w:pPr>
        <w:pStyle w:val="25"/>
        <w:wordWrap w:val="0"/>
        <w:overflowPunct w:val="0"/>
        <w:autoSpaceDE w:val="0"/>
        <w:autoSpaceDN w:val="0"/>
        <w:snapToGrid w:val="0"/>
        <w:spacing w:line="360" w:lineRule="auto"/>
        <w:rPr>
          <w:rFonts w:cs="宋体"/>
          <w:highlight w:val="none"/>
        </w:rPr>
      </w:pPr>
      <w:r>
        <w:rPr>
          <w:rFonts w:hint="eastAsia" w:cs="宋体"/>
          <w:highlight w:val="none"/>
        </w:rPr>
        <w:t>1.电子交易平台发生故障而无法登录访问的；</w:t>
      </w:r>
    </w:p>
    <w:p>
      <w:pPr>
        <w:pStyle w:val="25"/>
        <w:wordWrap w:val="0"/>
        <w:overflowPunct w:val="0"/>
        <w:autoSpaceDE w:val="0"/>
        <w:autoSpaceDN w:val="0"/>
        <w:snapToGrid w:val="0"/>
        <w:spacing w:line="360" w:lineRule="auto"/>
        <w:rPr>
          <w:rFonts w:cs="宋体"/>
          <w:highlight w:val="none"/>
        </w:rPr>
      </w:pPr>
      <w:r>
        <w:rPr>
          <w:rFonts w:hint="eastAsia" w:cs="宋体"/>
          <w:highlight w:val="none"/>
        </w:rPr>
        <w:t>2.电子交易平台应用或数据库出现错误，不能进行正常操作的；</w:t>
      </w:r>
    </w:p>
    <w:p>
      <w:pPr>
        <w:pStyle w:val="25"/>
        <w:wordWrap w:val="0"/>
        <w:overflowPunct w:val="0"/>
        <w:autoSpaceDE w:val="0"/>
        <w:autoSpaceDN w:val="0"/>
        <w:snapToGrid w:val="0"/>
        <w:spacing w:line="360" w:lineRule="auto"/>
        <w:rPr>
          <w:rFonts w:cs="宋体"/>
          <w:highlight w:val="none"/>
        </w:rPr>
      </w:pPr>
      <w:r>
        <w:rPr>
          <w:rFonts w:hint="eastAsia" w:cs="宋体"/>
          <w:highlight w:val="none"/>
        </w:rPr>
        <w:t>3.电子交易平台发现严重安全漏洞，有潜在泄密危险的；</w:t>
      </w:r>
    </w:p>
    <w:p>
      <w:pPr>
        <w:pStyle w:val="25"/>
        <w:wordWrap w:val="0"/>
        <w:overflowPunct w:val="0"/>
        <w:autoSpaceDE w:val="0"/>
        <w:autoSpaceDN w:val="0"/>
        <w:snapToGrid w:val="0"/>
        <w:spacing w:line="360" w:lineRule="auto"/>
        <w:rPr>
          <w:rFonts w:cs="宋体"/>
          <w:highlight w:val="none"/>
        </w:rPr>
      </w:pPr>
      <w:r>
        <w:rPr>
          <w:rFonts w:hint="eastAsia" w:cs="宋体"/>
          <w:highlight w:val="none"/>
        </w:rPr>
        <w:t>4.病毒发作导致不能进行正常操作的；</w:t>
      </w:r>
    </w:p>
    <w:p>
      <w:pPr>
        <w:pStyle w:val="25"/>
        <w:wordWrap w:val="0"/>
        <w:overflowPunct w:val="0"/>
        <w:autoSpaceDE w:val="0"/>
        <w:autoSpaceDN w:val="0"/>
        <w:snapToGrid w:val="0"/>
        <w:spacing w:line="360" w:lineRule="auto"/>
        <w:rPr>
          <w:rFonts w:cs="宋体"/>
          <w:highlight w:val="none"/>
        </w:rPr>
      </w:pPr>
      <w:r>
        <w:rPr>
          <w:rFonts w:hint="eastAsia" w:cs="宋体"/>
          <w:highlight w:val="none"/>
        </w:rPr>
        <w:t>5.其他无法保证电子交易的公平、公正和安全的情况。</w:t>
      </w:r>
    </w:p>
    <w:p>
      <w:pPr>
        <w:pStyle w:val="25"/>
        <w:wordWrap w:val="0"/>
        <w:overflowPunct w:val="0"/>
        <w:autoSpaceDE w:val="0"/>
        <w:autoSpaceDN w:val="0"/>
        <w:snapToGrid w:val="0"/>
        <w:spacing w:line="360" w:lineRule="auto"/>
        <w:rPr>
          <w:rFonts w:cs="宋体"/>
          <w:highlight w:val="none"/>
        </w:rPr>
      </w:pPr>
      <w:r>
        <w:rPr>
          <w:rFonts w:hint="eastAsia" w:cs="宋体"/>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4"/>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四、开标</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（一）开标准备</w:t>
      </w:r>
    </w:p>
    <w:p>
      <w:pPr>
        <w:wordWrap w:val="0"/>
        <w:overflowPunct w:val="0"/>
        <w:autoSpaceDE w:val="0"/>
        <w:autoSpaceDN w:val="0"/>
        <w:snapToGrid w:val="0"/>
        <w:spacing w:line="360" w:lineRule="auto"/>
        <w:ind w:firstLine="482" w:firstLineChars="200"/>
        <w:jc w:val="left"/>
        <w:rPr>
          <w:rFonts w:ascii="宋体" w:hAnsi="宋体" w:cs="宋体"/>
          <w:b/>
          <w:kern w:val="0"/>
          <w:sz w:val="24"/>
          <w:highlight w:val="none"/>
        </w:rPr>
      </w:pPr>
      <w:r>
        <w:rPr>
          <w:rFonts w:hint="eastAsia" w:ascii="宋体" w:hAnsi="宋体" w:cs="宋体"/>
          <w:b/>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 xml:space="preserve"> (二) 采购人或者采购代理机构职责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采购人或者采购代理机构负责组织评标工作，并履行下列职责：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2.宣布评标纪律；</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3.公布投标人名单，告知评审专家应当回避的情形；</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4.组织评标委员会推选评标组长，采购人代表不得担任组长；</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5.在评标期间采取必要的通讯管理措施，保证评标活动不受外界干扰；</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6.根据评标委员会的要求介绍政府采购相关政策法规、招标文件；</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9.评审工作完成后，按照规定向评审专家支付劳务报酬和异地评审差旅费，不得向评审专家以外的其他人员支付评审劳务报酬；</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10.处理与评标有关的其他事项。</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（三）开标程序</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本项目原则上采用政采云电子招投标开标及评审程序，但有下情形之一的，按以下情况处理：</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1.开标会由采购代理机构主持，主持人宣布开标会议开始；</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2.主持人介绍参加开标会的人员名单； </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3.主持人宣布评标期间的有关事项；告知应当回避的情形,提请有关人员回避；</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4.电子投标文件开标:</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（2）由采购人代表对资格审查文件进行评审，评标委员会对技术商务文件进行评审。</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（3）在系统上公开资格审查和技术商务评审结果；</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（4）在系统上公开报价开标情况；</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（5）评标委员会对报价情况进行评审；</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（6）在系统上公布评审结果。</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特别说明：政采云公司如对电子化开标及评审程序有调整的，按调整后的程序操作。</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五、评标</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w:t>
      </w:r>
      <w:r>
        <w:rPr>
          <w:rFonts w:hint="eastAsia" w:hAnsi="宋体" w:cs="宋体"/>
          <w:b/>
          <w:bCs/>
          <w:sz w:val="24"/>
          <w:szCs w:val="24"/>
          <w:highlight w:val="none"/>
        </w:rPr>
        <w:t>组建评标委员会</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本项目评标委员会由采购人代表和相关专业专家组成，采购人代表1名，专家评委4名，评标委员会负责具体评标事务，并独立履行下列职责：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1.审查、评价投标文件是否符合招标文件的商务、技术等实质性要求；</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2.要求投标人对投标文件有关事项作出澄清或者说明；</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3.对投标文件进行比较和评价；</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4.确定中标候选人名单，以及根据采购人委托直接确定中标人；</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5.向采购人、采购代理机构或者有关部门报告评标中发现的违法行为。</w:t>
      </w:r>
    </w:p>
    <w:p>
      <w:pPr>
        <w:wordWrap w:val="0"/>
        <w:overflowPunct w:val="0"/>
        <w:autoSpaceDE w:val="0"/>
        <w:autoSpaceDN w:val="0"/>
        <w:spacing w:line="360" w:lineRule="auto"/>
        <w:ind w:firstLine="482" w:firstLineChars="200"/>
        <w:rPr>
          <w:rFonts w:ascii="宋体" w:hAnsi="宋体" w:cs="宋体"/>
          <w:b/>
          <w:sz w:val="24"/>
          <w:highlight w:val="none"/>
          <w:u w:val="single"/>
        </w:rPr>
      </w:pPr>
      <w:r>
        <w:rPr>
          <w:rFonts w:hint="eastAsia" w:ascii="宋体" w:hAnsi="宋体" w:cs="宋体"/>
          <w:b/>
          <w:sz w:val="24"/>
          <w:highlight w:val="none"/>
          <w:u w:val="single"/>
        </w:rPr>
        <w:t>除采购人代表、评标现场组织人员外，采购人的其他工作人员以及与评标工作无关的人员不得进入评标现场。</w:t>
      </w:r>
    </w:p>
    <w:p>
      <w:pPr>
        <w:pStyle w:val="34"/>
        <w:wordWrap w:val="0"/>
        <w:overflowPunct w:val="0"/>
        <w:autoSpaceDE w:val="0"/>
        <w:autoSpaceDN w:val="0"/>
        <w:snapToGrid w:val="0"/>
        <w:spacing w:line="360" w:lineRule="auto"/>
        <w:rPr>
          <w:rFonts w:hAnsi="宋体" w:cs="宋体"/>
          <w:b/>
          <w:bCs/>
          <w:sz w:val="24"/>
          <w:szCs w:val="24"/>
          <w:highlight w:val="none"/>
        </w:rPr>
      </w:pPr>
      <w:r>
        <w:rPr>
          <w:rFonts w:hint="eastAsia" w:hAnsi="宋体" w:cs="宋体"/>
          <w:b/>
          <w:sz w:val="24"/>
          <w:szCs w:val="24"/>
          <w:highlight w:val="none"/>
        </w:rPr>
        <w:t>（二）</w:t>
      </w:r>
      <w:r>
        <w:rPr>
          <w:rFonts w:hint="eastAsia" w:hAnsi="宋体" w:cs="宋体"/>
          <w:b/>
          <w:bCs/>
          <w:sz w:val="24"/>
          <w:szCs w:val="24"/>
          <w:highlight w:val="none"/>
        </w:rPr>
        <w:t>评标的方式</w:t>
      </w:r>
    </w:p>
    <w:p>
      <w:pPr>
        <w:pStyle w:val="34"/>
        <w:wordWrap w:val="0"/>
        <w:overflowPunct w:val="0"/>
        <w:autoSpaceDE w:val="0"/>
        <w:autoSpaceDN w:val="0"/>
        <w:snapToGrid w:val="0"/>
        <w:spacing w:line="360" w:lineRule="auto"/>
        <w:rPr>
          <w:rFonts w:hAnsi="宋体" w:cs="宋体"/>
          <w:sz w:val="24"/>
          <w:szCs w:val="24"/>
          <w:highlight w:val="none"/>
        </w:rPr>
      </w:pPr>
      <w:r>
        <w:rPr>
          <w:rFonts w:hint="eastAsia" w:hAnsi="宋体" w:cs="宋体"/>
          <w:sz w:val="24"/>
          <w:szCs w:val="24"/>
          <w:highlight w:val="none"/>
        </w:rPr>
        <w:t xml:space="preserve">     本项目采用不公开方式评标，评标的依据为招标文件和投标文件。</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（三）评标程序</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1.形式审查</w:t>
      </w:r>
    </w:p>
    <w:p>
      <w:pPr>
        <w:wordWrap w:val="0"/>
        <w:overflowPunct w:val="0"/>
        <w:autoSpaceDE w:val="0"/>
        <w:autoSpaceDN w:val="0"/>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采购人代表和代理机构工作人员协助评标委员会对投标人的资格和投标文件的完整性、合法性等进行审查。</w:t>
      </w:r>
    </w:p>
    <w:p>
      <w:pPr>
        <w:wordWrap w:val="0"/>
        <w:overflowPunct w:val="0"/>
        <w:autoSpaceDE w:val="0"/>
        <w:autoSpaceDN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2.实质审查与比较</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（1）评标委员会审查投标文件的实质性内容是否符合招标文件的实质性要求。</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（3）各投标人的技术得分为所有评委的有效评分的算术平均数，由指定专人进行计算复核。</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（4）嘉兴市银建工程咨询评估有限公司工作人员协助评标委员会根据本项目的评分标准计算各投标人的商务报价得分。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（5）评标委员会完成评标后,评委对各部分得分汇总,计算出本项目最终得分、性价比、评标价等。评标委员会按评标原则推荐中标候选人同时起草评标报告。</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（四）澄清问题的形式</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2.如果供应商代表拒绝或未按评标委员会要求在“政采云”平台作出在线回复且无其他有效回复方式的，评标委员会可以对其作出无效标处理。</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（五）</w:t>
      </w:r>
      <w:r>
        <w:rPr>
          <w:rFonts w:hint="eastAsia" w:hAnsi="宋体" w:cs="宋体"/>
          <w:b/>
          <w:bCs/>
          <w:sz w:val="24"/>
          <w:szCs w:val="24"/>
          <w:highlight w:val="none"/>
        </w:rPr>
        <w:t>错误修正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投标文件报价出现前后不一致的，除招标文件另有规定外按照下列规定修正：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1.投标文件中开标一览表（报价表）内容与投标文件中相应内容不一致的，以开标一览表（报价表）为准；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2.大写金额和小写金额不一致的，以大写金额为准；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3.单价金额小数点或者百分比有明显错位的，以开标一览表的总价为准，并修改单价；</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4.总价金额与按单价汇总金额不一致的，以单价金额计算结果为准；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5.电子投标流程中，客户端填写的报价与以pdf格式上传文件中的报价不一致的，应以Pdf格式上传文件中的报价为准。</w:t>
      </w:r>
    </w:p>
    <w:p>
      <w:pPr>
        <w:pStyle w:val="34"/>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（六）</w:t>
      </w:r>
      <w:r>
        <w:rPr>
          <w:rFonts w:hint="eastAsia" w:hAnsi="宋体" w:cs="宋体"/>
          <w:b/>
          <w:bCs/>
          <w:sz w:val="24"/>
          <w:szCs w:val="24"/>
          <w:highlight w:val="none"/>
        </w:rPr>
        <w:t>评标原则和评标办法</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2.评标办法。本项目评标办法是</w:t>
      </w:r>
      <w:r>
        <w:rPr>
          <w:rFonts w:hint="eastAsia" w:ascii="宋体" w:hAnsi="宋体" w:cs="宋体"/>
          <w:sz w:val="24"/>
          <w:highlight w:val="none"/>
          <w:u w:val="single"/>
        </w:rPr>
        <w:t xml:space="preserve"> 综合评分法 </w:t>
      </w:r>
      <w:r>
        <w:rPr>
          <w:rFonts w:hint="eastAsia" w:ascii="宋体" w:hAnsi="宋体" w:cs="宋体"/>
          <w:sz w:val="24"/>
          <w:highlight w:val="none"/>
        </w:rPr>
        <w:t>，具体评标内容及评分标准等详见《第四章：评标办法及评分标准》。</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（七）</w:t>
      </w:r>
      <w:r>
        <w:rPr>
          <w:rFonts w:hint="eastAsia" w:hAnsi="宋体" w:cs="宋体"/>
          <w:b/>
          <w:bCs/>
          <w:sz w:val="24"/>
          <w:szCs w:val="24"/>
          <w:highlight w:val="none"/>
        </w:rPr>
        <w:t>评标过程的监控</w:t>
      </w:r>
    </w:p>
    <w:p>
      <w:pPr>
        <w:pStyle w:val="34"/>
        <w:wordWrap w:val="0"/>
        <w:overflowPunct w:val="0"/>
        <w:autoSpaceDE w:val="0"/>
        <w:autoSpaceDN w:val="0"/>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本项目评标过程实行全程录音、录像监控，有1名相关人员进行现场监督。投标人在评标过程中所进行的试图影响评标结果的不公正活动，可能导致其投标被拒绝。</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六、定标</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如有投标人对评标结果提出质疑的，采购人可在质疑处理完毕后确定中标人。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3.采购人依法确定中标人后2个工作日内，采购代理机构以书面形式发出《中标通知书》,并同时在相关网站上发布中标公告。</w:t>
      </w:r>
    </w:p>
    <w:p>
      <w:pPr>
        <w:pStyle w:val="34"/>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七、合同授予</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（一）签订合同</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1.采购人与中标人应当在《中标通知书》发出之日起30日内签订政府采购合同。同时，采购代理机构对合同内容进行审查，如发现与采购结果和投标承诺内容不一致的，将予以纠正。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2.中标人拖延、拒签合同的,将被列入不良行为记录或黑名单，由此产生的一切不利后果由中标人自行承担。</w:t>
      </w:r>
    </w:p>
    <w:p>
      <w:pPr>
        <w:pStyle w:val="34"/>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（二）履约保证金</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pStyle w:val="34"/>
        <w:snapToGrid w:val="0"/>
        <w:spacing w:line="360" w:lineRule="auto"/>
        <w:rPr>
          <w:rFonts w:hAnsi="宋体" w:cs="宋体"/>
          <w:b/>
          <w:sz w:val="24"/>
          <w:szCs w:val="24"/>
          <w:highlight w:val="none"/>
        </w:rPr>
      </w:pPr>
      <w:r>
        <w:rPr>
          <w:rFonts w:hint="eastAsia" w:hAnsi="宋体" w:cs="宋体"/>
          <w:sz w:val="24"/>
          <w:szCs w:val="24"/>
          <w:highlight w:val="none"/>
        </w:rPr>
        <w:t>2.签订合同后，如中标人不按双方合同约定履约，则没收其全部履约保证金，履约保证金不足以赔偿损失的，按实际损失赔偿</w:t>
      </w:r>
    </w:p>
    <w:p>
      <w:pPr>
        <w:pStyle w:val="34"/>
        <w:snapToGrid w:val="0"/>
        <w:spacing w:line="360" w:lineRule="auto"/>
        <w:rPr>
          <w:rFonts w:hAnsi="宋体" w:cs="宋体"/>
          <w:b/>
          <w:sz w:val="24"/>
          <w:szCs w:val="24"/>
          <w:highlight w:val="none"/>
        </w:rPr>
      </w:pPr>
      <w:r>
        <w:rPr>
          <w:rFonts w:hint="eastAsia" w:hAnsi="宋体" w:cs="宋体"/>
          <w:b/>
          <w:sz w:val="24"/>
          <w:szCs w:val="24"/>
          <w:highlight w:val="none"/>
        </w:rPr>
        <w:t>八、终止招标</w:t>
      </w:r>
    </w:p>
    <w:p>
      <w:pPr>
        <w:pStyle w:val="34"/>
        <w:snapToGrid w:val="0"/>
        <w:spacing w:line="360" w:lineRule="auto"/>
        <w:ind w:firstLine="480" w:firstLineChars="200"/>
        <w:rPr>
          <w:rFonts w:hAnsi="宋体" w:cs="宋体"/>
          <w:b/>
          <w:sz w:val="28"/>
          <w:szCs w:val="28"/>
          <w:highlight w:val="none"/>
        </w:rPr>
      </w:pPr>
      <w:r>
        <w:rPr>
          <w:rFonts w:hint="eastAsia" w:hAnsi="宋体" w:cs="宋体"/>
          <w:sz w:val="24"/>
          <w:szCs w:val="24"/>
          <w:highlight w:val="none"/>
        </w:rPr>
        <w:t>终止招标的，采购人或者采购代理机构应当及时在原公告发布媒体上发布终止公告，并将项目实施情况和采购任务取消原因报告本级财政部门。</w:t>
      </w:r>
      <w:bookmarkStart w:id="20" w:name="_Toc2572"/>
    </w:p>
    <w:bookmarkEnd w:id="14"/>
    <w:bookmarkEnd w:id="20"/>
    <w:p>
      <w:pPr>
        <w:pStyle w:val="34"/>
        <w:snapToGrid w:val="0"/>
        <w:spacing w:line="360" w:lineRule="auto"/>
        <w:rPr>
          <w:rFonts w:hAnsi="宋体" w:cs="宋体"/>
          <w:b/>
          <w:sz w:val="24"/>
          <w:szCs w:val="24"/>
          <w:highlight w:val="none"/>
        </w:rPr>
      </w:pPr>
      <w:bookmarkStart w:id="21" w:name="_Hlt68072998"/>
      <w:bookmarkEnd w:id="21"/>
      <w:bookmarkStart w:id="22" w:name="_Hlt74729768"/>
      <w:bookmarkEnd w:id="22"/>
      <w:bookmarkStart w:id="23" w:name="_Hlt75236290"/>
      <w:bookmarkEnd w:id="23"/>
      <w:bookmarkStart w:id="24" w:name="_Hlt68057669"/>
      <w:bookmarkEnd w:id="24"/>
      <w:bookmarkStart w:id="25" w:name="_Hlt68403820"/>
      <w:bookmarkEnd w:id="25"/>
      <w:bookmarkStart w:id="26" w:name="_Hlt75236011"/>
      <w:bookmarkEnd w:id="26"/>
      <w:bookmarkStart w:id="27" w:name="_Hlt75236101"/>
      <w:bookmarkEnd w:id="27"/>
      <w:bookmarkStart w:id="28" w:name="_Hlt68073093"/>
      <w:bookmarkEnd w:id="28"/>
      <w:bookmarkStart w:id="29" w:name="_Hlt74707468"/>
      <w:bookmarkEnd w:id="29"/>
      <w:bookmarkStart w:id="30" w:name="_Hlt68072990"/>
      <w:bookmarkEnd w:id="30"/>
      <w:bookmarkStart w:id="31" w:name="_Hlt74730295"/>
      <w:bookmarkEnd w:id="31"/>
      <w:bookmarkStart w:id="32" w:name="_Hlt74714665"/>
      <w:bookmarkEnd w:id="32"/>
      <w:r>
        <w:rPr>
          <w:rFonts w:hint="eastAsia" w:hAnsi="宋体" w:cs="宋体"/>
          <w:b/>
          <w:sz w:val="24"/>
          <w:szCs w:val="24"/>
          <w:highlight w:val="none"/>
        </w:rPr>
        <w:t>九、招标代理费</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1、根据“国家发展和改革委员会办公厅《关于招标代理服务收费有关问题的通知》（发改办价格【2003】857号）”规定，招标代理机构向中标人收取招标代理服务费。</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2、中标人应在收取《中标通知书》时向采购代理机构交纳招标代理服务费，服务费的收费标准按国家计委(计价格[2011]534号)文规定计算:</w:t>
      </w:r>
    </w:p>
    <w:tbl>
      <w:tblPr>
        <w:tblStyle w:val="6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宋体" w:hAnsi="宋体"/>
                <w:b/>
                <w:sz w:val="24"/>
                <w:highlight w:val="none"/>
              </w:rPr>
            </w:pPr>
            <w:r>
              <w:rPr>
                <w:rFonts w:hint="eastAsia" w:ascii="宋体" w:hAnsi="宋体"/>
                <w:b/>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pPr>
              <w:spacing w:line="360" w:lineRule="auto"/>
              <w:jc w:val="center"/>
              <w:rPr>
                <w:rFonts w:ascii="宋体" w:hAnsi="宋体"/>
                <w:b/>
                <w:sz w:val="24"/>
                <w:highlight w:val="none"/>
              </w:rPr>
            </w:pPr>
            <w:r>
              <w:rPr>
                <w:rFonts w:hint="eastAsia" w:ascii="宋体" w:hAnsi="宋体"/>
                <w:b/>
                <w:sz w:val="24"/>
                <w:highlight w:val="none"/>
              </w:rPr>
              <w:t>货物招标收费费率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Fonts w:ascii="宋体" w:hAnsi="宋体"/>
                <w:b/>
                <w:sz w:val="24"/>
                <w:highlight w:val="none"/>
              </w:rPr>
            </w:pPr>
            <w:r>
              <w:rPr>
                <w:rStyle w:val="971"/>
                <w:rFonts w:ascii="宋体" w:hAnsi="宋体"/>
                <w:b/>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Fonts w:ascii="宋体" w:hAnsi="宋体"/>
                <w:b/>
                <w:sz w:val="24"/>
                <w:highlight w:val="none"/>
              </w:rPr>
            </w:pPr>
            <w:r>
              <w:rPr>
                <w:rFonts w:hint="eastAsia" w:ascii="宋体" w:hAnsi="宋体"/>
                <w:b/>
                <w:sz w:val="24"/>
                <w:highlight w:val="none"/>
              </w:rPr>
              <w:t>1.10%</w:t>
            </w:r>
          </w:p>
        </w:tc>
      </w:tr>
    </w:tbl>
    <w:p>
      <w:pPr>
        <w:snapToGrid w:val="0"/>
        <w:spacing w:line="360" w:lineRule="auto"/>
        <w:ind w:left="960" w:hanging="960" w:hangingChars="400"/>
        <w:jc w:val="left"/>
        <w:rPr>
          <w:rStyle w:val="971"/>
          <w:rFonts w:ascii="宋体" w:hAnsi="宋体"/>
          <w:sz w:val="24"/>
          <w:highlight w:val="none"/>
        </w:rPr>
      </w:pPr>
      <w:r>
        <w:rPr>
          <w:rFonts w:hint="eastAsia" w:ascii="宋体" w:hAnsi="宋体"/>
          <w:sz w:val="24"/>
          <w:highlight w:val="none"/>
        </w:rPr>
        <w:t>例如：某项目货物类招标代理业务中标金额为</w:t>
      </w:r>
      <w:r>
        <w:rPr>
          <w:rFonts w:hint="eastAsia" w:ascii="宋体" w:hAnsi="宋体"/>
          <w:sz w:val="24"/>
          <w:highlight w:val="none"/>
          <w:lang w:val="en-US" w:eastAsia="zh-CN"/>
        </w:rPr>
        <w:t>300</w:t>
      </w:r>
      <w:r>
        <w:rPr>
          <w:rFonts w:hint="eastAsia" w:ascii="宋体" w:hAnsi="宋体"/>
          <w:sz w:val="24"/>
          <w:highlight w:val="none"/>
        </w:rPr>
        <w:t xml:space="preserve">万元，计算中标服务费收费额如下：  </w:t>
      </w:r>
      <w:r>
        <w:rPr>
          <w:rStyle w:val="970"/>
          <w:rFonts w:ascii="宋体" w:hAnsi="宋体"/>
          <w:sz w:val="24"/>
          <w:highlight w:val="none"/>
        </w:rPr>
        <w:t>100万元×1.5%+</w:t>
      </w:r>
      <w:r>
        <w:rPr>
          <w:rStyle w:val="970"/>
          <w:rFonts w:hint="eastAsia" w:ascii="宋体" w:hAnsi="宋体"/>
          <w:sz w:val="24"/>
          <w:highlight w:val="none"/>
          <w:lang w:val="en-US"/>
        </w:rPr>
        <w:t>200</w:t>
      </w:r>
      <w:r>
        <w:rPr>
          <w:rStyle w:val="970"/>
          <w:rFonts w:ascii="宋体" w:hAnsi="宋体"/>
          <w:sz w:val="24"/>
          <w:highlight w:val="none"/>
        </w:rPr>
        <w:t>万元×</w:t>
      </w:r>
      <w:r>
        <w:rPr>
          <w:rStyle w:val="970"/>
          <w:rFonts w:hint="eastAsia" w:ascii="宋体" w:hAnsi="宋体"/>
          <w:sz w:val="24"/>
          <w:highlight w:val="none"/>
        </w:rPr>
        <w:t>1</w:t>
      </w:r>
      <w:r>
        <w:rPr>
          <w:rStyle w:val="970"/>
          <w:rFonts w:ascii="宋体" w:hAnsi="宋体"/>
          <w:sz w:val="24"/>
          <w:highlight w:val="none"/>
        </w:rPr>
        <w:t>.</w:t>
      </w:r>
      <w:r>
        <w:rPr>
          <w:rStyle w:val="970"/>
          <w:rFonts w:hint="eastAsia" w:ascii="宋体" w:hAnsi="宋体"/>
          <w:sz w:val="24"/>
          <w:highlight w:val="none"/>
        </w:rPr>
        <w:t>1</w:t>
      </w:r>
      <w:r>
        <w:rPr>
          <w:rStyle w:val="970"/>
          <w:rFonts w:ascii="宋体" w:hAnsi="宋体"/>
          <w:sz w:val="24"/>
          <w:highlight w:val="none"/>
        </w:rPr>
        <w:t>0%=</w:t>
      </w:r>
      <w:r>
        <w:rPr>
          <w:rStyle w:val="970"/>
          <w:rFonts w:hint="eastAsia" w:ascii="宋体" w:hAnsi="宋体"/>
          <w:sz w:val="24"/>
          <w:highlight w:val="none"/>
        </w:rPr>
        <w:t xml:space="preserve"> </w:t>
      </w:r>
      <w:r>
        <w:rPr>
          <w:rStyle w:val="970"/>
          <w:rFonts w:hint="eastAsia" w:ascii="宋体" w:hAnsi="宋体"/>
          <w:sz w:val="24"/>
          <w:highlight w:val="none"/>
          <w:lang w:val="en-US"/>
        </w:rPr>
        <w:t>37000</w:t>
      </w:r>
      <w:r>
        <w:rPr>
          <w:rStyle w:val="970"/>
          <w:rFonts w:ascii="宋体" w:hAnsi="宋体"/>
          <w:sz w:val="24"/>
          <w:highlight w:val="none"/>
        </w:rPr>
        <w:t>元</w:t>
      </w:r>
    </w:p>
    <w:p>
      <w:pPr>
        <w:snapToGrid w:val="0"/>
        <w:spacing w:line="360" w:lineRule="auto"/>
        <w:ind w:firstLine="600" w:firstLineChars="250"/>
        <w:jc w:val="left"/>
        <w:rPr>
          <w:rFonts w:ascii="宋体" w:hAnsi="宋体"/>
          <w:bCs/>
          <w:sz w:val="24"/>
          <w:highlight w:val="none"/>
          <w:lang w:val="zh-CN"/>
        </w:rPr>
      </w:pPr>
      <w:r>
        <w:rPr>
          <w:rFonts w:hint="eastAsia" w:ascii="宋体" w:hAnsi="宋体"/>
          <w:sz w:val="24"/>
          <w:highlight w:val="none"/>
        </w:rPr>
        <w:t>3、本项目以货物招标收费标准的68%收取中标服务费</w:t>
      </w:r>
      <w:r>
        <w:rPr>
          <w:rFonts w:hint="eastAsia" w:ascii="宋体" w:hAnsi="宋体"/>
          <w:bCs/>
          <w:sz w:val="24"/>
          <w:highlight w:val="none"/>
          <w:lang w:val="zh-CN"/>
        </w:rPr>
        <w:t>。</w:t>
      </w:r>
    </w:p>
    <w:p>
      <w:pPr>
        <w:tabs>
          <w:tab w:val="left" w:pos="1862"/>
        </w:tabs>
        <w:snapToGrid w:val="0"/>
        <w:spacing w:line="360" w:lineRule="auto"/>
        <w:ind w:firstLine="1080" w:firstLineChars="450"/>
        <w:jc w:val="left"/>
        <w:rPr>
          <w:rFonts w:ascii="宋体" w:hAnsi="宋体"/>
          <w:sz w:val="24"/>
          <w:highlight w:val="none"/>
        </w:rPr>
      </w:pPr>
      <w:r>
        <w:rPr>
          <w:rFonts w:hint="eastAsia" w:ascii="宋体" w:hAnsi="宋体"/>
          <w:sz w:val="24"/>
          <w:highlight w:val="none"/>
        </w:rPr>
        <w:t xml:space="preserve">计收费 = </w:t>
      </w:r>
      <w:r>
        <w:rPr>
          <w:rFonts w:hint="eastAsia" w:ascii="宋体" w:hAnsi="宋体"/>
          <w:sz w:val="24"/>
          <w:highlight w:val="none"/>
          <w:lang w:val="en-US" w:eastAsia="zh-CN"/>
        </w:rPr>
        <w:t>37000</w:t>
      </w:r>
      <w:r>
        <w:rPr>
          <w:rFonts w:hint="eastAsia" w:ascii="宋体" w:hAnsi="宋体"/>
          <w:sz w:val="24"/>
          <w:highlight w:val="none"/>
        </w:rPr>
        <w:t xml:space="preserve">元×68%= </w:t>
      </w:r>
      <w:r>
        <w:rPr>
          <w:rFonts w:hint="eastAsia" w:ascii="宋体" w:hAnsi="宋体"/>
          <w:sz w:val="24"/>
          <w:highlight w:val="none"/>
          <w:lang w:val="en-US" w:eastAsia="zh-CN"/>
        </w:rPr>
        <w:t>25160</w:t>
      </w:r>
      <w:r>
        <w:rPr>
          <w:rFonts w:hint="eastAsia" w:ascii="宋体" w:hAnsi="宋体"/>
          <w:sz w:val="24"/>
          <w:highlight w:val="none"/>
        </w:rPr>
        <w:t>元</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4、服务费的货币为人民币。</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5、服务费支付方式：一次性以银行划账、电汇、汇票或支票的形式支付。</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6、服务费以银行划账方式按下列要求提交：</w:t>
      </w:r>
    </w:p>
    <w:p>
      <w:pPr>
        <w:widowControl/>
        <w:snapToGrid w:val="0"/>
        <w:spacing w:line="360" w:lineRule="auto"/>
        <w:ind w:firstLine="1080" w:firstLineChars="450"/>
        <w:jc w:val="left"/>
        <w:rPr>
          <w:rFonts w:ascii="宋体" w:hAnsi="宋体"/>
          <w:sz w:val="24"/>
          <w:highlight w:val="none"/>
        </w:rPr>
      </w:pPr>
      <w:r>
        <w:rPr>
          <w:rFonts w:hint="eastAsia" w:ascii="宋体" w:hAnsi="宋体"/>
          <w:sz w:val="24"/>
          <w:highlight w:val="none"/>
        </w:rPr>
        <w:t>嘉兴市银建工程咨询评估有限公司嘉善魏塘分公司</w:t>
      </w:r>
    </w:p>
    <w:p>
      <w:pPr>
        <w:widowControl/>
        <w:snapToGrid w:val="0"/>
        <w:spacing w:line="360" w:lineRule="auto"/>
        <w:ind w:firstLine="1080" w:firstLineChars="450"/>
        <w:jc w:val="left"/>
        <w:rPr>
          <w:rFonts w:ascii="宋体" w:hAnsi="宋体"/>
          <w:sz w:val="24"/>
          <w:highlight w:val="none"/>
        </w:rPr>
      </w:pPr>
      <w:r>
        <w:rPr>
          <w:rFonts w:hint="eastAsia" w:ascii="宋体" w:hAnsi="宋体"/>
          <w:sz w:val="24"/>
          <w:highlight w:val="none"/>
        </w:rPr>
        <w:t>开户行：嘉兴银行股份有限公司长三角一体化示范区(浙江嘉善)支行</w:t>
      </w:r>
    </w:p>
    <w:p>
      <w:pPr>
        <w:tabs>
          <w:tab w:val="left" w:pos="0"/>
        </w:tabs>
        <w:spacing w:line="360" w:lineRule="auto"/>
        <w:ind w:firstLine="1024" w:firstLineChars="427"/>
        <w:rPr>
          <w:rFonts w:ascii="仿宋_GB2312" w:hAnsi="仿宋" w:eastAsia="仿宋_GB2312" w:cs="Helvetica"/>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sz w:val="24"/>
          <w:highlight w:val="none"/>
        </w:rPr>
        <w:t>账号：905101201900074615</w:t>
      </w:r>
    </w:p>
    <w:bookmarkEnd w:id="15"/>
    <w:bookmarkEnd w:id="16"/>
    <w:p>
      <w:pPr>
        <w:snapToGrid w:val="0"/>
        <w:spacing w:line="360" w:lineRule="auto"/>
        <w:jc w:val="center"/>
        <w:rPr>
          <w:rFonts w:ascii="仿宋" w:hAnsi="仿宋" w:eastAsia="仿宋" w:cs="仿宋_GB2312"/>
          <w:b/>
          <w:sz w:val="36"/>
          <w:szCs w:val="36"/>
          <w:highlight w:val="none"/>
        </w:rPr>
      </w:pPr>
      <w:bookmarkStart w:id="33" w:name="第四部分"/>
      <w:r>
        <w:rPr>
          <w:rFonts w:hint="eastAsia" w:ascii="仿宋" w:hAnsi="仿宋" w:eastAsia="仿宋" w:cs="仿宋_GB2312"/>
          <w:b/>
          <w:sz w:val="36"/>
          <w:szCs w:val="36"/>
          <w:highlight w:val="none"/>
        </w:rPr>
        <w:t>第四章 评标办法及评分标准</w:t>
      </w:r>
    </w:p>
    <w:bookmarkEnd w:id="33"/>
    <w:p>
      <w:pPr>
        <w:spacing w:line="480" w:lineRule="exact"/>
        <w:ind w:firstLine="420"/>
        <w:rPr>
          <w:rFonts w:ascii="宋体" w:hAnsi="宋体" w:cs="宋体"/>
          <w:sz w:val="24"/>
          <w:highlight w:val="none"/>
        </w:rPr>
      </w:pPr>
      <w:bookmarkStart w:id="34" w:name="_Toc406403000"/>
      <w:r>
        <w:rPr>
          <w:rFonts w:hint="eastAsia" w:ascii="宋体" w:hAnsi="宋体" w:cs="宋体"/>
          <w:sz w:val="24"/>
          <w:highlight w:val="none"/>
        </w:rPr>
        <w:t>为公正、公平、科学地选择中标人，根据《中华人民共和国政府采购法》等有关法律法规的规定，并结合本项目的实际，制定本办法。</w:t>
      </w:r>
    </w:p>
    <w:p>
      <w:pPr>
        <w:pStyle w:val="55"/>
        <w:spacing w:line="480" w:lineRule="exact"/>
        <w:rPr>
          <w:rFonts w:ascii="宋体" w:hAnsi="宋体" w:cs="宋体"/>
          <w:sz w:val="24"/>
          <w:highlight w:val="none"/>
        </w:rPr>
      </w:pPr>
      <w:r>
        <w:rPr>
          <w:rFonts w:hint="eastAsia" w:ascii="宋体" w:hAnsi="宋体" w:cs="宋体"/>
          <w:sz w:val="24"/>
          <w:highlight w:val="none"/>
        </w:rPr>
        <w:t>本办法适用于</w:t>
      </w:r>
      <w:r>
        <w:rPr>
          <w:rFonts w:hint="eastAsia" w:ascii="宋体" w:hAnsi="宋体" w:cs="宋体"/>
          <w:sz w:val="24"/>
          <w:highlight w:val="none"/>
          <w:lang w:eastAsia="zh-CN"/>
        </w:rPr>
        <w:t>嘉善农科所长秀基地生态智慧提升单体大棚采购项目（第三次）</w:t>
      </w:r>
      <w:r>
        <w:rPr>
          <w:rFonts w:hint="eastAsia" w:ascii="宋体" w:hAnsi="宋体" w:cs="宋体"/>
          <w:sz w:val="24"/>
          <w:highlight w:val="none"/>
        </w:rPr>
        <w:t>的评标。</w:t>
      </w:r>
    </w:p>
    <w:p>
      <w:pPr>
        <w:spacing w:line="480" w:lineRule="exact"/>
        <w:rPr>
          <w:rFonts w:ascii="宋体" w:hAnsi="宋体" w:cs="宋体"/>
          <w:b/>
          <w:sz w:val="24"/>
          <w:highlight w:val="none"/>
        </w:rPr>
      </w:pPr>
      <w:r>
        <w:rPr>
          <w:rFonts w:hint="eastAsia" w:ascii="宋体" w:hAnsi="宋体" w:cs="宋体"/>
          <w:b/>
          <w:sz w:val="24"/>
          <w:highlight w:val="none"/>
        </w:rPr>
        <w:t>一 、总则</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本次评标采用综合评分法，总分为100分，其中价格分30分、商务技术70分（其中：商务资信分</w:t>
      </w:r>
      <w:r>
        <w:rPr>
          <w:rFonts w:hint="eastAsia" w:ascii="宋体" w:hAnsi="宋体"/>
          <w:sz w:val="24"/>
          <w:highlight w:val="none"/>
          <w:lang w:val="en-US" w:eastAsia="zh-CN"/>
        </w:rPr>
        <w:t>15</w:t>
      </w:r>
      <w:r>
        <w:rPr>
          <w:rFonts w:hint="eastAsia" w:ascii="宋体" w:hAnsi="宋体"/>
          <w:sz w:val="24"/>
          <w:highlight w:val="none"/>
        </w:rPr>
        <w:t>分，技术分</w:t>
      </w:r>
      <w:r>
        <w:rPr>
          <w:rFonts w:hint="eastAsia" w:ascii="宋体" w:hAnsi="宋体"/>
          <w:sz w:val="24"/>
          <w:highlight w:val="none"/>
          <w:lang w:val="en-US" w:eastAsia="zh-CN"/>
        </w:rPr>
        <w:t>55</w:t>
      </w:r>
      <w:r>
        <w:rPr>
          <w:rFonts w:hint="eastAsia" w:ascii="宋体" w:hAnsi="宋体"/>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评分过程中采用四舍五入法，并保留小数 2 位。中标人拒绝与采购人签订合同的，采购人可以按照评审报告推荐的中标候选人名单顺序，确定下一候选人为中标人，也可以重新开展政府采购活动。</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投标人评标综合得分=价格分+商务技术分</w:t>
      </w:r>
    </w:p>
    <w:p>
      <w:pPr>
        <w:spacing w:line="480" w:lineRule="exact"/>
        <w:rPr>
          <w:rFonts w:ascii="宋体" w:hAnsi="宋体"/>
          <w:b/>
          <w:sz w:val="24"/>
          <w:highlight w:val="none"/>
        </w:rPr>
      </w:pPr>
      <w:r>
        <w:rPr>
          <w:rFonts w:hint="eastAsia" w:ascii="宋体" w:hAnsi="宋体"/>
          <w:b/>
          <w:sz w:val="24"/>
          <w:highlight w:val="none"/>
        </w:rPr>
        <w:t>二</w:t>
      </w:r>
      <w:r>
        <w:rPr>
          <w:rFonts w:ascii="宋体" w:hAnsi="宋体"/>
          <w:b/>
          <w:sz w:val="24"/>
          <w:highlight w:val="none"/>
        </w:rPr>
        <w:t xml:space="preserve"> </w:t>
      </w:r>
      <w:r>
        <w:rPr>
          <w:rFonts w:hint="eastAsia" w:ascii="宋体" w:hAnsi="宋体"/>
          <w:b/>
          <w:sz w:val="24"/>
          <w:highlight w:val="none"/>
        </w:rPr>
        <w:t>、评标内容及标准</w:t>
      </w:r>
    </w:p>
    <w:p>
      <w:pPr>
        <w:pStyle w:val="25"/>
        <w:ind w:firstLine="482"/>
        <w:rPr>
          <w:b/>
          <w:bCs/>
          <w:highlight w:val="none"/>
        </w:rPr>
      </w:pPr>
      <w:r>
        <w:rPr>
          <w:b/>
          <w:highlight w:val="none"/>
        </w:rPr>
        <w:t>（一）</w:t>
      </w:r>
      <w:r>
        <w:rPr>
          <w:b/>
          <w:bCs/>
          <w:highlight w:val="none"/>
        </w:rPr>
        <w:t>价格分（</w:t>
      </w:r>
      <w:r>
        <w:rPr>
          <w:rFonts w:hint="eastAsia"/>
          <w:b/>
          <w:bCs/>
          <w:highlight w:val="none"/>
        </w:rPr>
        <w:t>30分）</w:t>
      </w:r>
    </w:p>
    <w:p>
      <w:pPr>
        <w:pStyle w:val="25"/>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pPr>
        <w:spacing w:line="480" w:lineRule="exact"/>
        <w:ind w:firstLine="480" w:firstLineChars="200"/>
        <w:rPr>
          <w:rFonts w:hAnsi="宋体"/>
          <w:bCs/>
          <w:color w:val="auto"/>
          <w:sz w:val="24"/>
          <w:highlight w:val="none"/>
        </w:rPr>
      </w:pPr>
      <w:r>
        <w:rPr>
          <w:rFonts w:hint="eastAsia" w:ascii="宋体" w:hAnsi="宋体"/>
          <w:color w:val="auto"/>
          <w:sz w:val="24"/>
          <w:highlight w:val="none"/>
        </w:rPr>
        <w:t>价格分=（评标基准价/投标报价）×30%×100</w:t>
      </w:r>
    </w:p>
    <w:p>
      <w:pPr>
        <w:spacing w:line="480" w:lineRule="exact"/>
        <w:ind w:firstLine="480" w:firstLineChars="200"/>
        <w:rPr>
          <w:rFonts w:hAnsi="宋体"/>
          <w:bCs/>
          <w:sz w:val="24"/>
          <w:highlight w:val="none"/>
        </w:rPr>
      </w:pPr>
      <w:r>
        <w:rPr>
          <w:rFonts w:hint="eastAsia" w:hAnsi="宋体"/>
          <w:bCs/>
          <w:color w:val="auto"/>
          <w:sz w:val="24"/>
          <w:highlight w:val="none"/>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hAnsi="宋体"/>
          <w:bCs/>
          <w:sz w:val="24"/>
          <w:highlight w:val="none"/>
        </w:rPr>
        <w:t>。</w:t>
      </w:r>
    </w:p>
    <w:p>
      <w:pPr>
        <w:pStyle w:val="25"/>
        <w:spacing w:before="120" w:beforeLines="50" w:after="120" w:afterLines="50" w:line="360" w:lineRule="auto"/>
        <w:ind w:firstLine="482"/>
        <w:rPr>
          <w:rFonts w:cs="宋体"/>
          <w:b/>
          <w:highlight w:val="none"/>
        </w:rPr>
      </w:pPr>
      <w:r>
        <w:rPr>
          <w:rFonts w:hint="eastAsia" w:cs="宋体"/>
          <w:b/>
          <w:highlight w:val="none"/>
        </w:rPr>
        <w:t>（二）商务资信分（1</w:t>
      </w:r>
      <w:r>
        <w:rPr>
          <w:rFonts w:hint="eastAsia" w:cs="宋体"/>
          <w:b/>
          <w:highlight w:val="none"/>
          <w:lang w:val="en-US" w:eastAsia="zh-CN"/>
        </w:rPr>
        <w:t>5</w:t>
      </w:r>
      <w:r>
        <w:rPr>
          <w:rFonts w:hint="eastAsia" w:cs="宋体"/>
          <w:b/>
          <w:highlight w:val="none"/>
        </w:rPr>
        <w:t>分）</w:t>
      </w:r>
    </w:p>
    <w:tbl>
      <w:tblPr>
        <w:tblStyle w:val="63"/>
        <w:tblW w:w="8487" w:type="dxa"/>
        <w:jc w:val="center"/>
        <w:tblLayout w:type="fixed"/>
        <w:tblCellMar>
          <w:top w:w="0" w:type="dxa"/>
          <w:left w:w="108" w:type="dxa"/>
          <w:bottom w:w="0" w:type="dxa"/>
          <w:right w:w="108" w:type="dxa"/>
        </w:tblCellMar>
      </w:tblPr>
      <w:tblGrid>
        <w:gridCol w:w="516"/>
        <w:gridCol w:w="982"/>
        <w:gridCol w:w="6068"/>
        <w:gridCol w:w="921"/>
      </w:tblGrid>
      <w:tr>
        <w:tblPrEx>
          <w:tblCellMar>
            <w:top w:w="0" w:type="dxa"/>
            <w:left w:w="108" w:type="dxa"/>
            <w:bottom w:w="0" w:type="dxa"/>
            <w:right w:w="108" w:type="dxa"/>
          </w:tblCellMar>
        </w:tblPrEx>
        <w:trPr>
          <w:trHeight w:val="1217" w:hRule="exact"/>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pStyle w:val="80"/>
              <w:widowControl/>
              <w:tabs>
                <w:tab w:val="left" w:pos="0"/>
                <w:tab w:val="clear" w:pos="8268"/>
              </w:tabs>
              <w:spacing w:line="400" w:lineRule="atLeast"/>
              <w:ind w:firstLine="0" w:firstLineChars="0"/>
              <w:rPr>
                <w:rFonts w:ascii="宋体" w:hAnsi="宋体" w:eastAsia="宋体" w:cs="宋体"/>
                <w:kern w:val="0"/>
                <w:sz w:val="20"/>
                <w:szCs w:val="20"/>
                <w:highlight w:val="none"/>
              </w:rPr>
            </w:pPr>
            <w:r>
              <w:rPr>
                <w:rFonts w:hint="eastAsia" w:ascii="宋体" w:hAnsi="宋体" w:eastAsia="宋体" w:cs="宋体"/>
                <w:kern w:val="0"/>
                <w:sz w:val="22"/>
                <w:szCs w:val="22"/>
                <w:highlight w:val="none"/>
              </w:rPr>
              <w:t>商资信分1</w:t>
            </w:r>
            <w:r>
              <w:rPr>
                <w:rFonts w:hint="eastAsia" w:ascii="宋体" w:hAnsi="宋体" w:eastAsia="宋体" w:cs="宋体"/>
                <w:kern w:val="0"/>
                <w:sz w:val="22"/>
                <w:szCs w:val="22"/>
                <w:highlight w:val="none"/>
                <w:lang w:val="en-US" w:eastAsia="zh-CN"/>
              </w:rPr>
              <w:t>5</w:t>
            </w:r>
            <w:r>
              <w:rPr>
                <w:rFonts w:hint="eastAsia" w:ascii="宋体" w:hAnsi="宋体" w:eastAsia="宋体" w:cs="宋体"/>
                <w:kern w:val="0"/>
                <w:sz w:val="22"/>
                <w:szCs w:val="22"/>
                <w:highlight w:val="none"/>
              </w:rPr>
              <w:t>分</w:t>
            </w:r>
          </w:p>
          <w:p>
            <w:pPr>
              <w:pStyle w:val="80"/>
              <w:tabs>
                <w:tab w:val="left" w:pos="0"/>
                <w:tab w:val="clear" w:pos="8268"/>
              </w:tabs>
              <w:spacing w:line="302" w:lineRule="auto"/>
              <w:ind w:firstLine="420"/>
              <w:jc w:val="center"/>
              <w:rPr>
                <w:rFonts w:ascii="宋体" w:hAnsi="宋体" w:eastAsia="宋体" w:cs="宋体"/>
                <w:kern w:val="0"/>
                <w:sz w:val="21"/>
                <w:szCs w:val="21"/>
                <w:highlight w:val="none"/>
              </w:rPr>
            </w:pPr>
          </w:p>
          <w:p>
            <w:pPr>
              <w:pStyle w:val="80"/>
              <w:tabs>
                <w:tab w:val="left" w:pos="0"/>
                <w:tab w:val="clear" w:pos="8268"/>
              </w:tabs>
              <w:spacing w:line="302" w:lineRule="auto"/>
              <w:jc w:val="center"/>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22"/>
                <w:szCs w:val="22"/>
                <w:highlight w:val="none"/>
              </w:rPr>
            </w:pPr>
            <w:r>
              <w:rPr>
                <w:rFonts w:hint="eastAsia" w:ascii="宋体" w:hAnsi="宋体" w:cs="宋体"/>
                <w:color w:val="auto"/>
                <w:sz w:val="22"/>
                <w:szCs w:val="22"/>
                <w:highlight w:val="none"/>
              </w:rPr>
              <w:t>诚信分</w:t>
            </w:r>
          </w:p>
        </w:tc>
        <w:tc>
          <w:tcPr>
            <w:tcW w:w="60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kern w:val="0"/>
                <w:sz w:val="22"/>
                <w:szCs w:val="22"/>
                <w:highlight w:val="none"/>
              </w:rPr>
            </w:pPr>
            <w:r>
              <w:rPr>
                <w:rFonts w:hint="eastAsia" w:ascii="宋体" w:hAnsi="宋体" w:cs="宋体"/>
                <w:color w:val="auto"/>
                <w:kern w:val="0"/>
                <w:sz w:val="22"/>
                <w:szCs w:val="22"/>
                <w:highlight w:val="none"/>
              </w:rPr>
              <w:t>凡在投标截止时间前三年受到行政处罚、行政处理（含通报）或记入不良行为的，此项得分为0，若无处罚、行政处理（含通报）或记入不良行为的得</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分（供应商自行提供，如有不良记录又虚假隐瞒的，一经发现将取消投标资格）</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2"/>
                <w:szCs w:val="22"/>
                <w:highlight w:val="none"/>
              </w:rPr>
            </w:pPr>
            <w:r>
              <w:rPr>
                <w:rFonts w:hint="eastAsia" w:ascii="宋体" w:hAnsi="宋体" w:cs="宋体"/>
                <w:color w:val="auto"/>
                <w:sz w:val="22"/>
                <w:szCs w:val="22"/>
                <w:highlight w:val="none"/>
              </w:rPr>
              <w:t>0或</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p>
        </w:tc>
      </w:tr>
      <w:tr>
        <w:tblPrEx>
          <w:tblCellMar>
            <w:top w:w="0" w:type="dxa"/>
            <w:left w:w="108" w:type="dxa"/>
            <w:bottom w:w="0" w:type="dxa"/>
            <w:right w:w="108" w:type="dxa"/>
          </w:tblCellMar>
        </w:tblPrEx>
        <w:trPr>
          <w:trHeight w:val="1217" w:hRule="exact"/>
          <w:jc w:val="center"/>
        </w:trPr>
        <w:tc>
          <w:tcPr>
            <w:tcW w:w="516" w:type="dxa"/>
            <w:vMerge w:val="continue"/>
            <w:tcBorders>
              <w:left w:val="single" w:color="auto" w:sz="4" w:space="0"/>
              <w:right w:val="single" w:color="auto" w:sz="4" w:space="0"/>
            </w:tcBorders>
            <w:vAlign w:val="center"/>
          </w:tcPr>
          <w:p>
            <w:pPr>
              <w:pStyle w:val="80"/>
              <w:tabs>
                <w:tab w:val="left" w:pos="0"/>
                <w:tab w:val="clear" w:pos="8268"/>
              </w:tabs>
              <w:spacing w:line="302" w:lineRule="auto"/>
              <w:jc w:val="center"/>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2"/>
                <w:szCs w:val="22"/>
                <w:highlight w:val="none"/>
                <w:lang w:val="en-US" w:eastAsia="zh-CN" w:bidi="ar-SA"/>
              </w:rPr>
            </w:pPr>
            <w:r>
              <w:rPr>
                <w:rFonts w:hint="eastAsia" w:ascii="宋体" w:hAnsi="宋体" w:cs="宋体"/>
                <w:bCs/>
                <w:kern w:val="0"/>
                <w:sz w:val="22"/>
                <w:szCs w:val="22"/>
                <w:highlight w:val="none"/>
                <w:lang w:bidi="ar"/>
              </w:rPr>
              <w:t>业绩要求</w:t>
            </w: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szCs w:val="22"/>
                <w:highlight w:val="none"/>
                <w:lang w:val="en-US" w:eastAsia="zh-CN" w:bidi="ar-SA"/>
              </w:rPr>
            </w:pPr>
            <w:r>
              <w:rPr>
                <w:rFonts w:hint="eastAsia" w:ascii="宋体" w:hAnsi="宋体" w:cs="宋体"/>
                <w:kern w:val="0"/>
                <w:sz w:val="22"/>
                <w:szCs w:val="22"/>
                <w:highlight w:val="none"/>
                <w:lang w:bidi="ar"/>
              </w:rPr>
              <w:t>投标人近三年（自投标截止日起往前追溯3年，以合同签订时间为准）以来具有所独立承担同类项目业绩的，每提供一份得1分，最高得3分；（合同、验收证明材料同时提供，缺一不可，否则不得分）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2"/>
                <w:szCs w:val="22"/>
                <w:highlight w:val="none"/>
                <w:lang w:val="en-US" w:eastAsia="zh-CN" w:bidi="ar-SA"/>
              </w:rPr>
            </w:pPr>
            <w:r>
              <w:rPr>
                <w:rFonts w:hint="eastAsia" w:ascii="宋体" w:hAnsi="宋体" w:cs="宋体"/>
                <w:sz w:val="22"/>
                <w:szCs w:val="22"/>
                <w:highlight w:val="none"/>
              </w:rPr>
              <w:t>0或1或2或3分</w:t>
            </w:r>
          </w:p>
        </w:tc>
      </w:tr>
      <w:tr>
        <w:tblPrEx>
          <w:tblCellMar>
            <w:top w:w="0" w:type="dxa"/>
            <w:left w:w="108" w:type="dxa"/>
            <w:bottom w:w="0" w:type="dxa"/>
            <w:right w:w="108" w:type="dxa"/>
          </w:tblCellMar>
        </w:tblPrEx>
        <w:trPr>
          <w:trHeight w:val="1538"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0"/>
              <w:widowControl/>
              <w:tabs>
                <w:tab w:val="left" w:pos="0"/>
                <w:tab w:val="clear" w:pos="8268"/>
              </w:tabs>
              <w:spacing w:line="400" w:lineRule="atLeast"/>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highlight w:val="none"/>
              </w:rPr>
            </w:pPr>
            <w:r>
              <w:rPr>
                <w:rFonts w:ascii="宋体" w:hAnsi="宋体" w:cs="宋体"/>
                <w:bCs/>
                <w:kern w:val="0"/>
                <w:sz w:val="22"/>
                <w:szCs w:val="22"/>
                <w:highlight w:val="none"/>
                <w:lang w:bidi="ar"/>
              </w:rPr>
              <w:t>投标人所获管理体系认证情况</w:t>
            </w: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2"/>
                <w:szCs w:val="22"/>
                <w:highlight w:val="none"/>
              </w:rPr>
            </w:pPr>
            <w:r>
              <w:rPr>
                <w:rFonts w:hint="eastAsia" w:ascii="宋体" w:hAnsi="宋体" w:cs="宋体"/>
                <w:bCs/>
                <w:kern w:val="0"/>
                <w:sz w:val="22"/>
                <w:szCs w:val="22"/>
                <w:highlight w:val="none"/>
                <w:lang w:bidi="ar"/>
              </w:rPr>
              <w:t>投标人具有有效期内的IS09001质量管理体系认证证书、IS014001的环境管理体系认证、IS045001职业健康安全管理体系认证证书，每有1个体系证书得1分，最高得</w:t>
            </w:r>
            <w:r>
              <w:rPr>
                <w:rFonts w:hint="eastAsia" w:ascii="宋体" w:hAnsi="宋体" w:cs="宋体"/>
                <w:bCs/>
                <w:kern w:val="0"/>
                <w:sz w:val="22"/>
                <w:szCs w:val="22"/>
                <w:highlight w:val="none"/>
                <w:lang w:val="en-US" w:eastAsia="zh-CN" w:bidi="ar"/>
              </w:rPr>
              <w:t>3</w:t>
            </w:r>
            <w:r>
              <w:rPr>
                <w:rFonts w:hint="eastAsia" w:ascii="宋体" w:hAnsi="宋体" w:cs="宋体"/>
                <w:bCs/>
                <w:kern w:val="0"/>
                <w:sz w:val="22"/>
                <w:szCs w:val="22"/>
                <w:highlight w:val="none"/>
                <w:lang w:bidi="ar"/>
              </w:rPr>
              <w:t>分。（提供相关证书复印件加盖公章，且要求清晰可辨，否则不得分）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2"/>
                <w:szCs w:val="22"/>
                <w:highlight w:val="none"/>
              </w:rPr>
            </w:pPr>
            <w:r>
              <w:rPr>
                <w:rFonts w:hint="eastAsia" w:ascii="宋体" w:hAnsi="宋体" w:cs="宋体"/>
                <w:sz w:val="22"/>
                <w:szCs w:val="22"/>
                <w:highlight w:val="none"/>
              </w:rPr>
              <w:t>0或1或2或3分</w:t>
            </w:r>
          </w:p>
        </w:tc>
      </w:tr>
      <w:tr>
        <w:tblPrEx>
          <w:tblCellMar>
            <w:top w:w="0" w:type="dxa"/>
            <w:left w:w="108" w:type="dxa"/>
            <w:bottom w:w="0" w:type="dxa"/>
            <w:right w:w="108" w:type="dxa"/>
          </w:tblCellMar>
        </w:tblPrEx>
        <w:trPr>
          <w:trHeight w:val="1149"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0"/>
              <w:widowControl/>
              <w:tabs>
                <w:tab w:val="left" w:pos="0"/>
                <w:tab w:val="clear" w:pos="8268"/>
              </w:tabs>
              <w:spacing w:line="400" w:lineRule="atLeast"/>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宋体" w:hAnsi="宋体" w:cs="宋体"/>
                <w:bCs/>
                <w:kern w:val="0"/>
                <w:sz w:val="22"/>
                <w:szCs w:val="22"/>
                <w:highlight w:val="none"/>
                <w:lang w:bidi="ar"/>
              </w:rPr>
            </w:pPr>
            <w:r>
              <w:rPr>
                <w:rStyle w:val="970"/>
                <w:rFonts w:hint="eastAsia" w:ascii="宋体" w:hAnsi="宋体"/>
                <w:kern w:val="0"/>
                <w:sz w:val="22"/>
                <w:szCs w:val="22"/>
                <w:highlight w:val="none"/>
              </w:rPr>
              <w:t>合理化建议</w:t>
            </w:r>
          </w:p>
        </w:tc>
        <w:tc>
          <w:tcPr>
            <w:tcW w:w="60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textAlignment w:val="baseline"/>
              <w:rPr>
                <w:rFonts w:ascii="宋体" w:hAnsi="宋体" w:cs="宋体"/>
                <w:b/>
                <w:color w:val="FF0000"/>
                <w:kern w:val="0"/>
                <w:sz w:val="22"/>
                <w:szCs w:val="22"/>
                <w:highlight w:val="none"/>
                <w:lang w:bidi="ar"/>
              </w:rPr>
            </w:pPr>
            <w:r>
              <w:rPr>
                <w:rStyle w:val="970"/>
                <w:rFonts w:hint="eastAsia" w:ascii="宋体" w:hAnsi="宋体"/>
                <w:kern w:val="0"/>
                <w:sz w:val="22"/>
                <w:szCs w:val="22"/>
                <w:highlight w:val="none"/>
              </w:rPr>
              <w:t>根据投标人对本项目实际情况的了解及结合对本项目的理解，针对本项目提供合理化建议和措施，得到专家认可且有实际意义的，每项1分，最多2分（应与本项目相关）</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2"/>
                <w:szCs w:val="22"/>
                <w:highlight w:val="none"/>
              </w:rPr>
            </w:pPr>
            <w:r>
              <w:rPr>
                <w:rFonts w:hint="eastAsia" w:ascii="宋体" w:hAnsi="宋体" w:cs="宋体"/>
                <w:sz w:val="22"/>
                <w:szCs w:val="22"/>
                <w:highlight w:val="none"/>
              </w:rPr>
              <w:t>0或1或2分</w:t>
            </w:r>
          </w:p>
        </w:tc>
      </w:tr>
      <w:tr>
        <w:tblPrEx>
          <w:tblCellMar>
            <w:top w:w="0" w:type="dxa"/>
            <w:left w:w="108" w:type="dxa"/>
            <w:bottom w:w="0" w:type="dxa"/>
            <w:right w:w="108" w:type="dxa"/>
          </w:tblCellMar>
        </w:tblPrEx>
        <w:trPr>
          <w:trHeight w:val="1081"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0"/>
              <w:widowControl/>
              <w:tabs>
                <w:tab w:val="left" w:pos="0"/>
                <w:tab w:val="clear" w:pos="8268"/>
              </w:tabs>
              <w:spacing w:line="400" w:lineRule="atLeast"/>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宋体" w:hAnsi="宋体" w:cs="宋体"/>
                <w:bCs/>
                <w:kern w:val="0"/>
                <w:sz w:val="22"/>
                <w:szCs w:val="22"/>
                <w:highlight w:val="none"/>
                <w:lang w:bidi="ar"/>
              </w:rPr>
            </w:pPr>
            <w:r>
              <w:rPr>
                <w:rStyle w:val="970"/>
                <w:rFonts w:hint="eastAsia" w:ascii="宋体" w:hAnsi="宋体"/>
                <w:kern w:val="0"/>
                <w:sz w:val="22"/>
                <w:szCs w:val="22"/>
                <w:highlight w:val="none"/>
              </w:rPr>
              <w:t>优惠条件</w:t>
            </w:r>
          </w:p>
        </w:tc>
        <w:tc>
          <w:tcPr>
            <w:tcW w:w="60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textAlignment w:val="baseline"/>
              <w:rPr>
                <w:rFonts w:hint="eastAsia" w:ascii="宋体" w:hAnsi="宋体" w:eastAsia="宋体" w:cs="宋体"/>
                <w:bCs/>
                <w:kern w:val="0"/>
                <w:sz w:val="22"/>
                <w:szCs w:val="22"/>
                <w:highlight w:val="none"/>
                <w:lang w:val="en-US" w:eastAsia="zh-CN" w:bidi="ar"/>
              </w:rPr>
            </w:pPr>
            <w:r>
              <w:rPr>
                <w:rFonts w:hint="eastAsia" w:ascii="宋体" w:hAnsi="宋体" w:cs="宋体"/>
                <w:bCs/>
                <w:kern w:val="0"/>
                <w:sz w:val="22"/>
                <w:szCs w:val="22"/>
                <w:highlight w:val="none"/>
                <w:lang w:bidi="ar"/>
              </w:rPr>
              <w:t>投标人承诺质保期在满足招标文件质保期基础上,每延长质保期1年的得2分，最高得4分。（投标人须在投标文件中做出相应承诺，无承诺不得分），延长时间不足一年的不加分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2"/>
                <w:szCs w:val="22"/>
                <w:highlight w:val="none"/>
              </w:rPr>
            </w:pPr>
            <w:r>
              <w:rPr>
                <w:rFonts w:hint="eastAsia" w:ascii="宋体" w:hAnsi="宋体" w:cs="宋体"/>
                <w:sz w:val="22"/>
                <w:szCs w:val="22"/>
                <w:highlight w:val="none"/>
              </w:rPr>
              <w:t>0或</w:t>
            </w:r>
            <w:r>
              <w:rPr>
                <w:rFonts w:hint="eastAsia" w:ascii="宋体" w:hAnsi="宋体" w:cs="宋体"/>
                <w:sz w:val="22"/>
                <w:szCs w:val="22"/>
                <w:highlight w:val="none"/>
                <w:lang w:val="en-US" w:eastAsia="zh-CN"/>
              </w:rPr>
              <w:t>2</w:t>
            </w:r>
            <w:r>
              <w:rPr>
                <w:rFonts w:hint="eastAsia" w:ascii="宋体" w:hAnsi="宋体" w:cs="宋体"/>
                <w:sz w:val="22"/>
                <w:szCs w:val="22"/>
                <w:highlight w:val="none"/>
              </w:rPr>
              <w:t>或</w:t>
            </w:r>
            <w:r>
              <w:rPr>
                <w:rFonts w:hint="eastAsia" w:ascii="宋体" w:hAnsi="宋体" w:cs="宋体"/>
                <w:sz w:val="22"/>
                <w:szCs w:val="22"/>
                <w:highlight w:val="none"/>
                <w:lang w:val="en-US" w:eastAsia="zh-CN"/>
              </w:rPr>
              <w:t>4</w:t>
            </w:r>
            <w:r>
              <w:rPr>
                <w:rFonts w:hint="eastAsia" w:ascii="宋体" w:hAnsi="宋体" w:cs="宋体"/>
                <w:sz w:val="22"/>
                <w:szCs w:val="22"/>
                <w:highlight w:val="none"/>
              </w:rPr>
              <w:t>分</w:t>
            </w:r>
          </w:p>
        </w:tc>
      </w:tr>
    </w:tbl>
    <w:p>
      <w:pPr>
        <w:snapToGrid w:val="0"/>
        <w:spacing w:before="72" w:beforeLines="30" w:line="400" w:lineRule="exact"/>
        <w:jc w:val="left"/>
        <w:outlineLvl w:val="1"/>
        <w:rPr>
          <w:rFonts w:ascii="宋体" w:hAnsi="宋体"/>
          <w:b/>
          <w:sz w:val="24"/>
          <w:highlight w:val="none"/>
        </w:rPr>
      </w:pPr>
    </w:p>
    <w:p>
      <w:pPr>
        <w:snapToGrid w:val="0"/>
        <w:spacing w:before="72" w:beforeLines="30" w:line="400" w:lineRule="exact"/>
        <w:jc w:val="left"/>
        <w:outlineLvl w:val="1"/>
        <w:rPr>
          <w:rFonts w:ascii="宋体" w:hAnsi="宋体" w:cs="宋体"/>
          <w:b/>
          <w:sz w:val="24"/>
          <w:highlight w:val="none"/>
        </w:rPr>
      </w:pPr>
      <w:r>
        <w:rPr>
          <w:rFonts w:hint="eastAsia" w:ascii="宋体" w:hAnsi="宋体"/>
          <w:b/>
          <w:sz w:val="24"/>
          <w:highlight w:val="none"/>
        </w:rPr>
        <w:t>（</w:t>
      </w:r>
      <w:r>
        <w:rPr>
          <w:rFonts w:ascii="宋体" w:hAnsi="宋体"/>
          <w:b/>
          <w:sz w:val="24"/>
          <w:highlight w:val="none"/>
        </w:rPr>
        <w:t>三</w:t>
      </w:r>
      <w:r>
        <w:rPr>
          <w:rFonts w:hint="eastAsia" w:ascii="宋体" w:hAnsi="宋体"/>
          <w:b/>
          <w:sz w:val="24"/>
          <w:highlight w:val="none"/>
        </w:rPr>
        <w:t>）技术分</w:t>
      </w:r>
      <w:r>
        <w:rPr>
          <w:rFonts w:hint="eastAsia" w:ascii="宋体" w:hAnsi="宋体" w:cs="宋体"/>
          <w:b/>
          <w:sz w:val="24"/>
          <w:highlight w:val="none"/>
        </w:rPr>
        <w:t>（5</w:t>
      </w:r>
      <w:r>
        <w:rPr>
          <w:rFonts w:hint="eastAsia" w:ascii="宋体" w:hAnsi="宋体" w:cs="宋体"/>
          <w:b/>
          <w:sz w:val="24"/>
          <w:highlight w:val="none"/>
          <w:lang w:val="en-US" w:eastAsia="zh-CN"/>
        </w:rPr>
        <w:t>5</w:t>
      </w:r>
      <w:r>
        <w:rPr>
          <w:rFonts w:hint="eastAsia" w:ascii="宋体" w:hAnsi="宋体" w:cs="宋体"/>
          <w:b/>
          <w:sz w:val="24"/>
          <w:highlight w:val="none"/>
        </w:rPr>
        <w:t>分）</w:t>
      </w:r>
    </w:p>
    <w:tbl>
      <w:tblPr>
        <w:tblStyle w:val="63"/>
        <w:tblpPr w:leftFromText="180" w:rightFromText="180" w:vertAnchor="text" w:horzAnchor="page" w:tblpX="1769" w:tblpY="410"/>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35"/>
        <w:gridCol w:w="6069"/>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17" w:type="dxa"/>
            <w:vMerge w:val="restart"/>
            <w:tcBorders>
              <w:tl2br w:val="nil"/>
              <w:tr2bl w:val="nil"/>
            </w:tcBorders>
            <w:vAlign w:val="center"/>
          </w:tcPr>
          <w:p>
            <w:pPr>
              <w:pStyle w:val="80"/>
              <w:widowControl/>
              <w:tabs>
                <w:tab w:val="left" w:pos="0"/>
                <w:tab w:val="clear" w:pos="8268"/>
              </w:tabs>
              <w:spacing w:line="400" w:lineRule="atLeast"/>
              <w:ind w:firstLine="0" w:firstLineChars="0"/>
              <w:rPr>
                <w:rStyle w:val="970"/>
                <w:rFonts w:ascii="宋体" w:hAnsi="宋体" w:eastAsia="宋体"/>
                <w:sz w:val="22"/>
                <w:szCs w:val="22"/>
                <w:highlight w:val="none"/>
              </w:rPr>
            </w:pPr>
            <w:r>
              <w:rPr>
                <w:rStyle w:val="970"/>
                <w:rFonts w:hint="eastAsia" w:ascii="宋体" w:hAnsi="宋体" w:eastAsia="宋体"/>
                <w:sz w:val="22"/>
                <w:szCs w:val="22"/>
                <w:highlight w:val="none"/>
              </w:rPr>
              <w:t>技术分5</w:t>
            </w:r>
            <w:r>
              <w:rPr>
                <w:rStyle w:val="970"/>
                <w:rFonts w:hint="eastAsia" w:ascii="宋体" w:hAnsi="宋体" w:eastAsia="宋体"/>
                <w:sz w:val="22"/>
                <w:szCs w:val="22"/>
                <w:highlight w:val="none"/>
                <w:lang w:val="en-US"/>
              </w:rPr>
              <w:t>5</w:t>
            </w:r>
            <w:r>
              <w:rPr>
                <w:rStyle w:val="970"/>
                <w:rFonts w:hint="eastAsia" w:ascii="宋体" w:hAnsi="宋体" w:eastAsia="宋体"/>
                <w:sz w:val="22"/>
                <w:szCs w:val="22"/>
                <w:highlight w:val="none"/>
              </w:rPr>
              <w:t>分</w:t>
            </w:r>
          </w:p>
          <w:p>
            <w:pPr>
              <w:pStyle w:val="80"/>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产品性能</w:t>
            </w:r>
          </w:p>
        </w:tc>
        <w:tc>
          <w:tcPr>
            <w:tcW w:w="6069" w:type="dxa"/>
            <w:tcBorders>
              <w:tl2br w:val="nil"/>
              <w:tr2bl w:val="nil"/>
            </w:tcBorders>
            <w:vAlign w:val="center"/>
          </w:tcPr>
          <w:p>
            <w:pPr>
              <w:widowControl/>
              <w:jc w:val="left"/>
              <w:rPr>
                <w:rFonts w:ascii="宋体" w:hAnsi="宋体" w:cs="宋体"/>
                <w:sz w:val="22"/>
                <w:szCs w:val="22"/>
                <w:highlight w:val="none"/>
              </w:rPr>
            </w:pPr>
            <w:r>
              <w:rPr>
                <w:rFonts w:hint="eastAsia" w:ascii="宋体" w:hAnsi="宋体" w:cs="宋体"/>
                <w:sz w:val="22"/>
                <w:szCs w:val="22"/>
                <w:highlight w:val="none"/>
              </w:rPr>
              <w:t>根据供应商所投产品的安全性、耐久性、稳定性、完整性进行综合评议（</w:t>
            </w:r>
            <w:r>
              <w:rPr>
                <w:rFonts w:hint="eastAsia" w:ascii="宋体" w:hAnsi="宋体" w:cs="宋体"/>
                <w:sz w:val="22"/>
                <w:szCs w:val="22"/>
                <w:highlight w:val="none"/>
                <w:lang w:val="en-US" w:eastAsia="zh-CN"/>
              </w:rPr>
              <w:t>2-5</w:t>
            </w:r>
            <w:r>
              <w:rPr>
                <w:rFonts w:hint="eastAsia" w:ascii="宋体" w:hAnsi="宋体" w:cs="宋体"/>
                <w:sz w:val="22"/>
                <w:szCs w:val="22"/>
                <w:highlight w:val="none"/>
              </w:rPr>
              <w:t>分）</w:t>
            </w:r>
          </w:p>
        </w:tc>
        <w:tc>
          <w:tcPr>
            <w:tcW w:w="924" w:type="dxa"/>
            <w:tcBorders>
              <w:tl2br w:val="nil"/>
              <w:tr2bl w:val="nil"/>
            </w:tcBorders>
            <w:vAlign w:val="center"/>
          </w:tcPr>
          <w:p>
            <w:pPr>
              <w:widowControl/>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517" w:type="dxa"/>
            <w:vMerge w:val="continue"/>
            <w:tcBorders>
              <w:tl2br w:val="nil"/>
              <w:tr2bl w:val="nil"/>
            </w:tcBorders>
            <w:vAlign w:val="center"/>
          </w:tcPr>
          <w:p>
            <w:pPr>
              <w:pStyle w:val="80"/>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jc w:val="center"/>
              <w:rPr>
                <w:rFonts w:hint="default" w:ascii="宋体" w:hAnsi="宋体" w:eastAsia="宋体" w:cs="宋体"/>
                <w:sz w:val="22"/>
                <w:szCs w:val="22"/>
                <w:highlight w:val="none"/>
                <w:lang w:val="en-US" w:eastAsia="zh-CN"/>
              </w:rPr>
            </w:pPr>
            <w:r>
              <w:rPr>
                <w:rFonts w:hint="default" w:ascii="宋体" w:hAnsi="宋体" w:eastAsia="宋体" w:cs="宋体"/>
                <w:sz w:val="22"/>
                <w:szCs w:val="22"/>
                <w:highlight w:val="none"/>
                <w:lang w:val="en-US" w:eastAsia="zh-CN"/>
              </w:rPr>
              <w:t>深化设计方案</w:t>
            </w:r>
          </w:p>
        </w:tc>
        <w:tc>
          <w:tcPr>
            <w:tcW w:w="6069" w:type="dxa"/>
            <w:tcBorders>
              <w:tl2br w:val="nil"/>
              <w:tr2bl w:val="nil"/>
            </w:tcBorders>
            <w:vAlign w:val="center"/>
          </w:tcPr>
          <w:p>
            <w:pPr>
              <w:widowControl/>
              <w:jc w:val="lef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（1）根据供应商提供的设计方案的科学性、合理性、可行性等方面进行综合评议（</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eastAsia="zh-CN"/>
              </w:rPr>
              <w:t>5分）；</w:t>
            </w:r>
          </w:p>
          <w:p>
            <w:pPr>
              <w:widowControl/>
              <w:jc w:val="lef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（2）根据供应商提供的深化设计图纸的完善程度、效果等方面进行综合评议（</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eastAsia="zh-CN"/>
              </w:rPr>
              <w:t>5分）；</w:t>
            </w:r>
          </w:p>
          <w:p>
            <w:pPr>
              <w:widowControl/>
              <w:jc w:val="lef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（3）根据供应商提供的深化设计图纸与深化设计方案的符合程度、深化设计情况等进行综合评议（</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eastAsia="zh-CN"/>
              </w:rPr>
              <w:t>5分）；</w:t>
            </w:r>
          </w:p>
          <w:p>
            <w:pPr>
              <w:widowControl/>
              <w:jc w:val="lef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）根据供应商提供的主要施工方法进行综合评议（</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eastAsia="zh-CN"/>
              </w:rPr>
              <w:t>5分）</w:t>
            </w:r>
          </w:p>
        </w:tc>
        <w:tc>
          <w:tcPr>
            <w:tcW w:w="924" w:type="dxa"/>
            <w:tcBorders>
              <w:tl2br w:val="nil"/>
              <w:tr2bl w:val="nil"/>
            </w:tcBorders>
            <w:vAlign w:val="center"/>
          </w:tcPr>
          <w:p>
            <w:pPr>
              <w:widowControl/>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17" w:type="dxa"/>
            <w:vMerge w:val="continue"/>
            <w:tcBorders>
              <w:tl2br w:val="nil"/>
              <w:tr2bl w:val="nil"/>
            </w:tcBorders>
            <w:vAlign w:val="center"/>
          </w:tcPr>
          <w:p>
            <w:pPr>
              <w:pStyle w:val="80"/>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snapToGrid w:val="0"/>
              <w:jc w:val="center"/>
              <w:rPr>
                <w:rFonts w:ascii="宋体" w:hAnsi="宋体" w:cs="宋体"/>
                <w:sz w:val="22"/>
                <w:szCs w:val="22"/>
                <w:highlight w:val="none"/>
              </w:rPr>
            </w:pPr>
            <w:r>
              <w:rPr>
                <w:rFonts w:hint="eastAsia" w:ascii="宋体" w:hAnsi="宋体" w:cs="宋体"/>
                <w:sz w:val="22"/>
                <w:szCs w:val="22"/>
                <w:highlight w:val="none"/>
              </w:rPr>
              <w:t>项目实施方案</w:t>
            </w:r>
          </w:p>
        </w:tc>
        <w:tc>
          <w:tcPr>
            <w:tcW w:w="6069" w:type="dxa"/>
            <w:tcBorders>
              <w:tl2br w:val="nil"/>
              <w:tr2bl w:val="nil"/>
            </w:tcBorders>
            <w:vAlign w:val="center"/>
          </w:tcPr>
          <w:p>
            <w:pPr>
              <w:snapToGrid w:val="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（1）根据供应商提供的针对本项目的质量保证措施进行综合评议（</w:t>
            </w:r>
            <w:r>
              <w:rPr>
                <w:rFonts w:hint="eastAsia" w:ascii="宋体" w:hAnsi="宋体" w:cs="宋体"/>
                <w:sz w:val="22"/>
                <w:szCs w:val="22"/>
                <w:highlight w:val="none"/>
                <w:lang w:val="en-US" w:eastAsia="zh-CN"/>
              </w:rPr>
              <w:t>3-6</w:t>
            </w:r>
            <w:r>
              <w:rPr>
                <w:rFonts w:hint="eastAsia" w:ascii="宋体" w:hAnsi="宋体" w:eastAsia="宋体" w:cs="宋体"/>
                <w:sz w:val="22"/>
                <w:szCs w:val="22"/>
                <w:highlight w:val="none"/>
                <w:lang w:val="en-US" w:eastAsia="zh-CN"/>
              </w:rPr>
              <w:t>分）；</w:t>
            </w:r>
          </w:p>
          <w:p>
            <w:pPr>
              <w:snapToGrid w:val="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根据供应商提供的针对本项目的工期保证措施、安全生产及文明施工措施等内容的完整性、合理性、可行性等方面进行综合评议（</w:t>
            </w:r>
            <w:r>
              <w:rPr>
                <w:rFonts w:hint="eastAsia" w:ascii="宋体" w:hAnsi="宋体" w:cs="宋体"/>
                <w:sz w:val="22"/>
                <w:szCs w:val="22"/>
                <w:highlight w:val="none"/>
                <w:lang w:val="en-US" w:eastAsia="zh-CN"/>
              </w:rPr>
              <w:t>3-6</w:t>
            </w:r>
            <w:r>
              <w:rPr>
                <w:rFonts w:hint="eastAsia" w:ascii="宋体" w:hAnsi="宋体" w:eastAsia="宋体" w:cs="宋体"/>
                <w:sz w:val="22"/>
                <w:szCs w:val="22"/>
                <w:highlight w:val="none"/>
                <w:lang w:val="en-US" w:eastAsia="zh-CN"/>
              </w:rPr>
              <w:t>分）</w:t>
            </w:r>
          </w:p>
        </w:tc>
        <w:tc>
          <w:tcPr>
            <w:tcW w:w="924" w:type="dxa"/>
            <w:tcBorders>
              <w:tl2br w:val="nil"/>
              <w:tr2bl w:val="nil"/>
            </w:tcBorders>
            <w:vAlign w:val="center"/>
          </w:tcPr>
          <w:p>
            <w:pPr>
              <w:snapToGrid w:val="0"/>
              <w:spacing w:line="400" w:lineRule="exact"/>
              <w:jc w:val="center"/>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17" w:type="dxa"/>
            <w:vMerge w:val="continue"/>
            <w:tcBorders>
              <w:tl2br w:val="nil"/>
              <w:tr2bl w:val="nil"/>
            </w:tcBorders>
            <w:vAlign w:val="center"/>
          </w:tcPr>
          <w:p>
            <w:pPr>
              <w:pStyle w:val="80"/>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应急处置方案及服务保障措施</w:t>
            </w:r>
          </w:p>
        </w:tc>
        <w:tc>
          <w:tcPr>
            <w:tcW w:w="6069" w:type="dxa"/>
            <w:tcBorders>
              <w:tl2br w:val="nil"/>
              <w:tr2bl w:val="nil"/>
            </w:tcBorders>
            <w:vAlign w:val="center"/>
          </w:tcPr>
          <w:p>
            <w:pPr>
              <w:widowControl/>
              <w:jc w:val="left"/>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rPr>
              <w:t>提供应急预案，并承诺紧急的响应时间。针对后续实际项目实施中可能遇到的紧急事件、异常处理等应急预案、疫情防控预案和对应的解决措施情况进行打分</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lang w:val="en-US" w:eastAsia="zh-CN"/>
              </w:rPr>
              <w:t>2-5分</w:t>
            </w:r>
            <w:r>
              <w:rPr>
                <w:rFonts w:hint="eastAsia" w:ascii="新宋体" w:hAnsi="新宋体" w:eastAsia="新宋体" w:cs="新宋体"/>
                <w:sz w:val="22"/>
                <w:szCs w:val="22"/>
                <w:highlight w:val="none"/>
                <w:lang w:eastAsia="zh-CN"/>
              </w:rPr>
              <w:t>）</w:t>
            </w:r>
          </w:p>
        </w:tc>
        <w:tc>
          <w:tcPr>
            <w:tcW w:w="924" w:type="dxa"/>
            <w:tcBorders>
              <w:tl2br w:val="nil"/>
              <w:tr2bl w:val="nil"/>
            </w:tcBorders>
            <w:vAlign w:val="center"/>
          </w:tcPr>
          <w:p>
            <w:pPr>
              <w:widowControl/>
              <w:jc w:val="center"/>
              <w:rPr>
                <w:rFonts w:hint="default" w:ascii="新宋体" w:hAnsi="新宋体" w:eastAsia="宋体" w:cs="新宋体"/>
                <w:sz w:val="22"/>
                <w:szCs w:val="22"/>
                <w:highlight w:val="none"/>
                <w:lang w:val="en-US" w:eastAsia="zh-CN"/>
              </w:rPr>
            </w:pPr>
            <w:r>
              <w:rPr>
                <w:rFonts w:hint="eastAsia" w:ascii="新宋体" w:hAnsi="新宋体" w:cs="新宋体"/>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517" w:type="dxa"/>
            <w:vMerge w:val="continue"/>
            <w:tcBorders>
              <w:tl2br w:val="nil"/>
              <w:tr2bl w:val="nil"/>
            </w:tcBorders>
            <w:vAlign w:val="center"/>
          </w:tcPr>
          <w:p>
            <w:pPr>
              <w:pStyle w:val="80"/>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人员配备</w:t>
            </w:r>
          </w:p>
        </w:tc>
        <w:tc>
          <w:tcPr>
            <w:tcW w:w="6069" w:type="dxa"/>
            <w:tcBorders>
              <w:tl2br w:val="nil"/>
              <w:tr2bl w:val="nil"/>
            </w:tcBorders>
            <w:vAlign w:val="center"/>
          </w:tcPr>
          <w:p>
            <w:pPr>
              <w:widowControl/>
              <w:jc w:val="left"/>
              <w:rPr>
                <w:rFonts w:hint="default" w:ascii="宋体" w:hAnsi="宋体" w:eastAsia="宋体" w:cs="宋体"/>
                <w:kern w:val="0"/>
                <w:sz w:val="22"/>
                <w:szCs w:val="22"/>
                <w:highlight w:val="none"/>
                <w:lang w:val="en-US" w:eastAsia="zh-CN"/>
              </w:rPr>
            </w:pPr>
            <w:r>
              <w:rPr>
                <w:rFonts w:hint="default" w:ascii="宋体" w:hAnsi="宋体" w:eastAsia="宋体" w:cs="宋体"/>
                <w:kern w:val="0"/>
                <w:sz w:val="22"/>
                <w:szCs w:val="22"/>
                <w:highlight w:val="none"/>
                <w:lang w:val="en-US" w:eastAsia="zh-CN"/>
              </w:rPr>
              <w:t>投入本项目人员</w:t>
            </w:r>
            <w:r>
              <w:rPr>
                <w:rFonts w:hint="eastAsia" w:ascii="宋体" w:hAnsi="宋体" w:cs="宋体"/>
                <w:kern w:val="0"/>
                <w:sz w:val="22"/>
                <w:szCs w:val="22"/>
                <w:highlight w:val="none"/>
                <w:lang w:val="en-US" w:eastAsia="zh-CN"/>
              </w:rPr>
              <w:t>8</w:t>
            </w:r>
            <w:r>
              <w:rPr>
                <w:rFonts w:hint="default" w:ascii="宋体" w:hAnsi="宋体" w:eastAsia="宋体" w:cs="宋体"/>
                <w:kern w:val="0"/>
                <w:sz w:val="22"/>
                <w:szCs w:val="22"/>
                <w:highlight w:val="none"/>
                <w:lang w:val="en-US" w:eastAsia="zh-CN"/>
              </w:rPr>
              <w:t>名（含）以上得</w:t>
            </w:r>
            <w:r>
              <w:rPr>
                <w:rFonts w:hint="eastAsia" w:ascii="宋体" w:hAnsi="宋体" w:cs="宋体"/>
                <w:kern w:val="0"/>
                <w:sz w:val="22"/>
                <w:szCs w:val="22"/>
                <w:highlight w:val="none"/>
                <w:lang w:val="en-US" w:eastAsia="zh-CN"/>
              </w:rPr>
              <w:t>5</w:t>
            </w:r>
            <w:r>
              <w:rPr>
                <w:rFonts w:hint="default" w:ascii="宋体" w:hAnsi="宋体" w:eastAsia="宋体" w:cs="宋体"/>
                <w:kern w:val="0"/>
                <w:sz w:val="22"/>
                <w:szCs w:val="22"/>
                <w:highlight w:val="none"/>
                <w:lang w:val="en-US" w:eastAsia="zh-CN"/>
              </w:rPr>
              <w:t>分，</w:t>
            </w:r>
            <w:r>
              <w:rPr>
                <w:rFonts w:hint="eastAsia" w:ascii="宋体" w:hAnsi="宋体" w:cs="宋体"/>
                <w:kern w:val="0"/>
                <w:sz w:val="22"/>
                <w:szCs w:val="22"/>
                <w:highlight w:val="none"/>
                <w:lang w:val="en-US" w:eastAsia="zh-CN"/>
              </w:rPr>
              <w:t>5-7</w:t>
            </w:r>
            <w:r>
              <w:rPr>
                <w:rFonts w:hint="default" w:ascii="宋体" w:hAnsi="宋体" w:eastAsia="宋体" w:cs="宋体"/>
                <w:kern w:val="0"/>
                <w:sz w:val="22"/>
                <w:szCs w:val="22"/>
                <w:highlight w:val="none"/>
                <w:lang w:val="en-US" w:eastAsia="zh-CN"/>
              </w:rPr>
              <w:t>名得</w:t>
            </w:r>
            <w:r>
              <w:rPr>
                <w:rFonts w:hint="eastAsia" w:ascii="宋体" w:hAnsi="宋体" w:cs="宋体"/>
                <w:kern w:val="0"/>
                <w:sz w:val="22"/>
                <w:szCs w:val="22"/>
                <w:highlight w:val="none"/>
                <w:lang w:val="en-US" w:eastAsia="zh-CN"/>
              </w:rPr>
              <w:t>3</w:t>
            </w:r>
            <w:r>
              <w:rPr>
                <w:rFonts w:hint="default" w:ascii="宋体" w:hAnsi="宋体" w:eastAsia="宋体" w:cs="宋体"/>
                <w:kern w:val="0"/>
                <w:sz w:val="22"/>
                <w:szCs w:val="22"/>
                <w:highlight w:val="none"/>
                <w:lang w:val="en-US" w:eastAsia="zh-CN"/>
              </w:rPr>
              <w:t>分，</w:t>
            </w:r>
            <w:r>
              <w:rPr>
                <w:rFonts w:hint="eastAsia" w:ascii="宋体" w:hAnsi="宋体" w:cs="宋体"/>
                <w:kern w:val="0"/>
                <w:sz w:val="22"/>
                <w:szCs w:val="22"/>
                <w:highlight w:val="none"/>
                <w:lang w:val="en-US" w:eastAsia="zh-CN"/>
              </w:rPr>
              <w:t>4</w:t>
            </w:r>
            <w:r>
              <w:rPr>
                <w:rFonts w:hint="default" w:ascii="宋体" w:hAnsi="宋体" w:eastAsia="宋体" w:cs="宋体"/>
                <w:kern w:val="0"/>
                <w:sz w:val="22"/>
                <w:szCs w:val="22"/>
                <w:highlight w:val="none"/>
                <w:lang w:val="en-US" w:eastAsia="zh-CN"/>
              </w:rPr>
              <w:t>名（含）以下</w:t>
            </w:r>
            <w:r>
              <w:rPr>
                <w:rFonts w:hint="eastAsia" w:ascii="宋体" w:hAnsi="宋体" w:cs="宋体"/>
                <w:kern w:val="0"/>
                <w:sz w:val="22"/>
                <w:szCs w:val="22"/>
                <w:highlight w:val="none"/>
                <w:lang w:val="en-US" w:eastAsia="zh-CN"/>
              </w:rPr>
              <w:t>得1分</w:t>
            </w:r>
            <w:r>
              <w:rPr>
                <w:rFonts w:hint="default" w:ascii="宋体" w:hAnsi="宋体" w:eastAsia="宋体" w:cs="宋体"/>
                <w:kern w:val="0"/>
                <w:sz w:val="22"/>
                <w:szCs w:val="22"/>
                <w:highlight w:val="none"/>
                <w:lang w:val="en-US" w:eastAsia="zh-CN"/>
              </w:rPr>
              <w:t>。（提供以上人员在本单位近半年内任意一个月的缴纳社保证明复印件并盖章，否则不得分）</w:t>
            </w:r>
          </w:p>
        </w:tc>
        <w:tc>
          <w:tcPr>
            <w:tcW w:w="924" w:type="dxa"/>
            <w:tcBorders>
              <w:tl2br w:val="nil"/>
              <w:tr2bl w:val="nil"/>
            </w:tcBorders>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1或3或5分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517" w:type="dxa"/>
            <w:vMerge w:val="continue"/>
            <w:tcBorders>
              <w:tl2br w:val="nil"/>
              <w:tr2bl w:val="nil"/>
            </w:tcBorders>
            <w:vAlign w:val="center"/>
          </w:tcPr>
          <w:p>
            <w:pPr>
              <w:pStyle w:val="80"/>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vMerge w:val="restart"/>
            <w:tcBorders>
              <w:tl2br w:val="nil"/>
              <w:tr2bl w:val="nil"/>
            </w:tcBorders>
            <w:vAlign w:val="center"/>
          </w:tcPr>
          <w:p>
            <w:pPr>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售后服务</w:t>
            </w:r>
          </w:p>
        </w:tc>
        <w:tc>
          <w:tcPr>
            <w:tcW w:w="6069" w:type="dxa"/>
            <w:tcBorders>
              <w:tl2br w:val="nil"/>
              <w:tr2bl w:val="nil"/>
            </w:tcBorders>
            <w:vAlign w:val="center"/>
          </w:tcPr>
          <w:p>
            <w:pPr>
              <w:spacing w:line="280" w:lineRule="exac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提供的售后服务方案、维护人员和机构等情况，以及服务承诺的可行性、完整性以及服务承诺落实的保障措施；提供免费上门维护所采取的措施等情况进行打分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2-5分）</w:t>
            </w:r>
          </w:p>
        </w:tc>
        <w:tc>
          <w:tcPr>
            <w:tcW w:w="924" w:type="dxa"/>
            <w:tcBorders>
              <w:tl2br w:val="nil"/>
              <w:tr2bl w:val="nil"/>
            </w:tcBorders>
            <w:vAlign w:val="center"/>
          </w:tcPr>
          <w:p>
            <w:pPr>
              <w:spacing w:line="28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517" w:type="dxa"/>
            <w:vMerge w:val="continue"/>
            <w:tcBorders>
              <w:tl2br w:val="nil"/>
              <w:tr2bl w:val="nil"/>
            </w:tcBorders>
            <w:vAlign w:val="center"/>
          </w:tcPr>
          <w:p>
            <w:pPr>
              <w:pStyle w:val="80"/>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vMerge w:val="continue"/>
            <w:tcBorders>
              <w:tl2br w:val="nil"/>
              <w:tr2bl w:val="nil"/>
            </w:tcBorders>
            <w:vAlign w:val="center"/>
          </w:tcPr>
          <w:p>
            <w:pPr>
              <w:spacing w:line="280" w:lineRule="exact"/>
              <w:rPr>
                <w:rFonts w:hint="eastAsia" w:ascii="宋体" w:hAnsi="宋体" w:eastAsia="宋体" w:cs="宋体"/>
                <w:color w:val="auto"/>
                <w:kern w:val="0"/>
                <w:sz w:val="22"/>
                <w:szCs w:val="22"/>
                <w:highlight w:val="none"/>
              </w:rPr>
            </w:pPr>
          </w:p>
        </w:tc>
        <w:tc>
          <w:tcPr>
            <w:tcW w:w="6069" w:type="dxa"/>
            <w:tcBorders>
              <w:tl2br w:val="nil"/>
              <w:tr2bl w:val="nil"/>
            </w:tcBorders>
            <w:vAlign w:val="center"/>
          </w:tcPr>
          <w:p>
            <w:pPr>
              <w:spacing w:line="280" w:lineRule="exac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提供的售后服务方案中计划</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小时内到达现场对故障进行处理的得3分，</w:t>
            </w:r>
            <w:r>
              <w:rPr>
                <w:rFonts w:hint="eastAsia" w:ascii="宋体" w:hAnsi="宋体" w:eastAsia="宋体" w:cs="宋体"/>
                <w:color w:val="auto"/>
                <w:kern w:val="0"/>
                <w:sz w:val="22"/>
                <w:szCs w:val="22"/>
                <w:highlight w:val="none"/>
                <w:lang w:val="en-US" w:eastAsia="zh-CN"/>
              </w:rPr>
              <w:t>2.5</w:t>
            </w:r>
            <w:r>
              <w:rPr>
                <w:rFonts w:hint="eastAsia" w:ascii="宋体" w:hAnsi="宋体" w:eastAsia="宋体" w:cs="宋体"/>
                <w:color w:val="auto"/>
                <w:kern w:val="0"/>
                <w:sz w:val="22"/>
                <w:szCs w:val="22"/>
                <w:highlight w:val="none"/>
              </w:rPr>
              <w:t>小时内到达现场对故障进行处理的得2分，</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小时内到达现场对故障进行处理的得1分</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超过3小时不得分。</w:t>
            </w:r>
          </w:p>
        </w:tc>
        <w:tc>
          <w:tcPr>
            <w:tcW w:w="924" w:type="dxa"/>
            <w:tcBorders>
              <w:tl2br w:val="nil"/>
              <w:tr2bl w:val="nil"/>
            </w:tcBorders>
            <w:vAlign w:val="center"/>
          </w:tcPr>
          <w:p>
            <w:pPr>
              <w:spacing w:line="28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0或1或2或3分</w:t>
            </w:r>
          </w:p>
        </w:tc>
      </w:tr>
    </w:tbl>
    <w:p>
      <w:pPr>
        <w:pStyle w:val="5"/>
        <w:spacing w:line="480" w:lineRule="exact"/>
        <w:ind w:left="0" w:firstLine="0"/>
        <w:rPr>
          <w:rFonts w:hint="eastAsia"/>
          <w:sz w:val="24"/>
          <w:szCs w:val="24"/>
          <w:highlight w:val="none"/>
        </w:rPr>
      </w:pPr>
      <w:r>
        <w:rPr>
          <w:rFonts w:hint="eastAsia"/>
          <w:sz w:val="24"/>
          <w:szCs w:val="24"/>
          <w:highlight w:val="none"/>
        </w:rPr>
        <w:t>注：以上项目若缺项，则该项得0分。</w:t>
      </w:r>
    </w:p>
    <w:p>
      <w:pPr>
        <w:rPr>
          <w:highlight w:val="none"/>
        </w:rPr>
      </w:pPr>
    </w:p>
    <w:p>
      <w:pPr>
        <w:pStyle w:val="5"/>
        <w:spacing w:line="480" w:lineRule="exact"/>
        <w:ind w:left="0" w:firstLine="0"/>
        <w:rPr>
          <w:sz w:val="24"/>
          <w:szCs w:val="24"/>
          <w:highlight w:val="none"/>
        </w:rPr>
      </w:pPr>
    </w:p>
    <w:p>
      <w:pPr>
        <w:spacing w:before="120" w:beforeLines="50" w:line="360" w:lineRule="auto"/>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both"/>
        <w:rPr>
          <w:rFonts w:hint="eastAsia" w:ascii="仿宋" w:hAnsi="仿宋" w:eastAsia="仿宋" w:cs="仿宋_GB2312"/>
          <w:b/>
          <w:sz w:val="36"/>
          <w:szCs w:val="36"/>
          <w:highlight w:val="none"/>
        </w:rPr>
      </w:pPr>
    </w:p>
    <w:p>
      <w:pPr>
        <w:spacing w:before="120" w:beforeLines="50" w:line="360" w:lineRule="auto"/>
        <w:jc w:val="center"/>
        <w:rPr>
          <w:rFonts w:hint="eastAsia" w:ascii="仿宋" w:hAnsi="仿宋" w:eastAsia="仿宋" w:cs="仿宋_GB2312"/>
          <w:b/>
          <w:sz w:val="36"/>
          <w:szCs w:val="36"/>
          <w:highlight w:val="none"/>
        </w:rPr>
      </w:pPr>
    </w:p>
    <w:p>
      <w:pPr>
        <w:spacing w:before="120" w:beforeLines="50" w:line="360" w:lineRule="auto"/>
        <w:jc w:val="center"/>
        <w:rPr>
          <w:rFonts w:hint="eastAsia" w:ascii="仿宋" w:hAnsi="仿宋" w:eastAsia="仿宋" w:cs="仿宋_GB2312"/>
          <w:b/>
          <w:sz w:val="36"/>
          <w:szCs w:val="36"/>
          <w:highlight w:val="none"/>
        </w:rPr>
      </w:pPr>
    </w:p>
    <w:p>
      <w:pPr>
        <w:spacing w:before="120" w:beforeLines="50" w:line="360" w:lineRule="auto"/>
        <w:jc w:val="center"/>
        <w:rPr>
          <w:highlight w:val="none"/>
        </w:rPr>
      </w:pPr>
      <w:r>
        <w:rPr>
          <w:rFonts w:hint="eastAsia" w:ascii="仿宋" w:hAnsi="仿宋" w:eastAsia="仿宋" w:cs="仿宋_GB2312"/>
          <w:b/>
          <w:sz w:val="36"/>
          <w:szCs w:val="36"/>
          <w:highlight w:val="none"/>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8"/>
          <w:szCs w:val="28"/>
          <w:highlight w:val="none"/>
        </w:rPr>
      </w:pPr>
      <w:r>
        <w:rPr>
          <w:rFonts w:hint="eastAsia" w:ascii="宋体" w:hAnsi="宋体" w:cs="宋体"/>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政府采购计划（预算）确认书编号：</w:t>
      </w:r>
      <w:r>
        <w:rPr>
          <w:rFonts w:hint="eastAsia" w:ascii="宋体" w:hAnsi="宋体" w:cs="Arial"/>
          <w:kern w:val="0"/>
          <w:sz w:val="24"/>
          <w:highlight w:val="none"/>
        </w:rPr>
        <w:t>善财采确临[2022]5609号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预算金额：245.4121</w:t>
      </w:r>
      <w:r>
        <w:rPr>
          <w:rFonts w:hint="eastAsia" w:ascii="宋体" w:hAnsi="宋体" w:cs="Arial"/>
          <w:kern w:val="0"/>
          <w:sz w:val="24"/>
          <w:highlight w:val="none"/>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采购人（以下称甲方）：嘉兴市农业科学研究院嘉善农业科学研究所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采购代理机构：嘉兴市银建工程咨询评估有限公司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采购方式：</w:t>
      </w:r>
      <w:r>
        <w:rPr>
          <w:rFonts w:hint="eastAsia" w:ascii="宋体" w:hAnsi="宋体" w:cs="Arial"/>
          <w:kern w:val="0"/>
          <w:sz w:val="24"/>
          <w:highlight w:val="none"/>
        </w:rPr>
        <w:t>公开招标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采购文件编号：</w:t>
      </w:r>
      <w:r>
        <w:rPr>
          <w:rFonts w:hint="eastAsia" w:ascii="宋体" w:hAnsi="宋体" w:cs="宋体"/>
          <w:kern w:val="0"/>
          <w:sz w:val="24"/>
          <w:highlight w:val="none"/>
          <w:lang w:eastAsia="zh-CN"/>
        </w:rPr>
        <w:t>JXYJ2022049</w:t>
      </w:r>
      <w:r>
        <w:rPr>
          <w:rFonts w:hint="eastAsia" w:ascii="宋体" w:hAnsi="宋体" w:cs="宋体"/>
          <w:kern w:val="0"/>
          <w:sz w:val="24"/>
          <w:highlight w:val="none"/>
        </w:rPr>
        <w:t>（G）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根据《中华人民共和国政府采购法》、《中华人民共和国民法典》等法律法规的规定，甲乙双方按照</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eastAsia="zh-CN"/>
        </w:rPr>
        <w:t>嘉善农科所长秀基地生态智慧提升单体大棚采购项目（第三次）</w:t>
      </w:r>
      <w:r>
        <w:rPr>
          <w:rFonts w:hint="eastAsia" w:ascii="宋体" w:hAnsi="宋体" w:cs="宋体"/>
          <w:kern w:val="0"/>
          <w:sz w:val="24"/>
          <w:highlight w:val="none"/>
          <w:u w:val="single"/>
        </w:rPr>
        <w:t xml:space="preserve"> </w:t>
      </w:r>
      <w:r>
        <w:rPr>
          <w:rFonts w:hint="eastAsia" w:ascii="宋体" w:hAnsi="宋体" w:cs="宋体"/>
          <w:kern w:val="0"/>
          <w:sz w:val="24"/>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1、本次采购的是</w:t>
      </w:r>
      <w:r>
        <w:rPr>
          <w:rFonts w:hint="eastAsia" w:ascii="宋体" w:hAnsi="宋体" w:cs="宋体"/>
          <w:kern w:val="0"/>
          <w:sz w:val="24"/>
          <w:highlight w:val="none"/>
          <w:u w:val="single"/>
        </w:rPr>
        <w:t xml:space="preserve">  </w:t>
      </w:r>
      <w:r>
        <w:rPr>
          <w:rFonts w:hint="eastAsia" w:ascii="宋体" w:hAnsi="宋体" w:cs="Arial"/>
          <w:kern w:val="0"/>
          <w:sz w:val="24"/>
          <w:highlight w:val="none"/>
          <w:u w:val="single"/>
          <w:lang w:eastAsia="zh-CN"/>
        </w:rPr>
        <w:t>嘉善农科所长秀基地生态智慧提升单体大棚采购项目（第三次）</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1、本合同项下总价款为人民币（大写）</w:t>
      </w:r>
      <w:r>
        <w:rPr>
          <w:rFonts w:hint="eastAsia" w:ascii="宋体" w:hAnsi="宋体" w:cs="宋体"/>
          <w:kern w:val="0"/>
          <w:sz w:val="24"/>
          <w:highlight w:val="none"/>
          <w:u w:val="single"/>
        </w:rPr>
        <w:t xml:space="preserve">                                 </w:t>
      </w:r>
      <w:r>
        <w:rPr>
          <w:rFonts w:hint="eastAsia" w:ascii="宋体" w:hAnsi="宋体" w:cs="宋体"/>
          <w:kern w:val="0"/>
          <w:sz w:val="24"/>
          <w:highlight w:val="none"/>
        </w:rPr>
        <w:t>，分项价款见“投标报价明细表”（如有）”。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kern w:val="0"/>
          <w:sz w:val="24"/>
          <w:highlight w:val="none"/>
        </w:rPr>
      </w:pPr>
      <w:r>
        <w:rPr>
          <w:rFonts w:hint="eastAsia" w:ascii="宋体" w:hAnsi="宋体" w:cs="宋体"/>
          <w:kern w:val="0"/>
          <w:sz w:val="24"/>
          <w:highlight w:val="none"/>
        </w:rPr>
        <w:t>2、本合同总价款含所有税费（</w:t>
      </w:r>
      <w:r>
        <w:rPr>
          <w:rFonts w:hint="eastAsia" w:ascii="宋体" w:hAnsi="宋体" w:cs="宋体"/>
          <w:sz w:val="24"/>
          <w:highlight w:val="none"/>
        </w:rPr>
        <w:t>设计、生产、供货、运输、装卸、安装调试、税金、保险、备品备件、配件、附件、培训、验收、辅助工作及售后服务等完成本项目的所有费用）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3、本项目资金来源性质为以下第</w:t>
      </w:r>
      <w:r>
        <w:rPr>
          <w:rFonts w:hint="eastAsia" w:ascii="宋体" w:hAnsi="宋体" w:cs="宋体"/>
          <w:kern w:val="0"/>
          <w:sz w:val="24"/>
          <w:highlight w:val="none"/>
          <w:u w:val="single"/>
        </w:rPr>
        <w:t xml:space="preserve">     （1）      </w:t>
      </w:r>
      <w:r>
        <w:rPr>
          <w:rFonts w:hint="eastAsia" w:ascii="宋体" w:hAnsi="宋体" w:cs="宋体"/>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（1）一般公共预算；（2）政府基金；（3）专户核拨的预算外资金；（4）其他财政资金；（5）其他资金。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4、本合同付款方式为以下第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（1）本合同项下的采购资金系甲方自行支付，付款程序为</w:t>
      </w:r>
      <w:r>
        <w:rPr>
          <w:rFonts w:hint="eastAsia" w:ascii="宋体" w:hAnsi="宋体" w:cs="Arial"/>
          <w:kern w:val="0"/>
          <w:sz w:val="24"/>
          <w:highlight w:val="none"/>
          <w:u w:val="single"/>
        </w:rPr>
        <w:t xml:space="preserve">             </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（2）本合同项下的采购资金采用财政授权支付，付款程序为</w:t>
      </w:r>
      <w:r>
        <w:rPr>
          <w:rFonts w:hint="eastAsia" w:ascii="宋体" w:hAnsi="宋体" w:cs="宋体"/>
          <w:kern w:val="0"/>
          <w:sz w:val="24"/>
          <w:highlight w:val="none"/>
          <w:u w:val="single"/>
        </w:rPr>
        <w:t>甲方根据年初预算申请生成用款计划，再在支付管理系统中发起支付申请</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5、本合同项下的采购资金付款进度按采购文件与投标文件（或采购响应文件）规定，未规定时按以下第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 xml:space="preserve">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（1）一次性付款：乙方合同履行达到</w:t>
      </w:r>
      <w:r>
        <w:rPr>
          <w:rFonts w:hint="eastAsia" w:ascii="宋体" w:hAnsi="宋体" w:cs="宋体"/>
          <w:kern w:val="0"/>
          <w:sz w:val="24"/>
          <w:highlight w:val="none"/>
          <w:u w:val="single"/>
        </w:rPr>
        <w:t xml:space="preserve">         </w:t>
      </w:r>
      <w:r>
        <w:rPr>
          <w:rFonts w:hint="eastAsia" w:ascii="宋体" w:hAnsi="宋体" w:cs="宋体"/>
          <w:kern w:val="0"/>
          <w:sz w:val="24"/>
          <w:highlight w:val="none"/>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（2）分期付款：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sz w:val="24"/>
          <w:highlight w:val="none"/>
        </w:rPr>
        <w:t>采购单位在合同签订后7个工作日内支付合同金额的40%；单体大棚安装调试工作量完成至80%时支付合同金额的30%，全部安装调试完毕，项目验收合格</w:t>
      </w:r>
      <w:r>
        <w:rPr>
          <w:rFonts w:hint="eastAsia" w:ascii="宋体" w:hAnsi="宋体" w:cs="宋体"/>
          <w:sz w:val="24"/>
          <w:highlight w:val="none"/>
          <w:lang w:eastAsia="zh-CN"/>
        </w:rPr>
        <w:t>并经审价</w:t>
      </w:r>
      <w:r>
        <w:rPr>
          <w:rFonts w:hint="eastAsia" w:ascii="宋体" w:hAnsi="宋体" w:cs="宋体"/>
          <w:sz w:val="24"/>
          <w:highlight w:val="none"/>
        </w:rPr>
        <w:t>后7个工作日内</w:t>
      </w:r>
      <w:r>
        <w:rPr>
          <w:rFonts w:hint="eastAsia" w:ascii="宋体" w:hAnsi="宋体" w:cs="宋体"/>
          <w:sz w:val="24"/>
          <w:highlight w:val="none"/>
          <w:lang w:eastAsia="zh-CN"/>
        </w:rPr>
        <w:t>按照审定价格付清尾款</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注：付款前中标单位应按规定向采购人开具正规发票。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kern w:val="0"/>
          <w:sz w:val="24"/>
          <w:highlight w:val="none"/>
        </w:rPr>
      </w:pPr>
      <w:r>
        <w:rPr>
          <w:rFonts w:hint="eastAsia" w:ascii="宋体" w:hAnsi="宋体" w:cs="宋体"/>
          <w:kern w:val="0"/>
          <w:sz w:val="24"/>
          <w:highlight w:val="none"/>
        </w:rPr>
        <w:t>按以下第</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1</w:t>
      </w:r>
      <w:r>
        <w:rPr>
          <w:rFonts w:hint="eastAsia" w:ascii="宋体" w:hAnsi="宋体" w:cs="宋体"/>
          <w:kern w:val="0"/>
          <w:sz w:val="24"/>
          <w:highlight w:val="none"/>
          <w:u w:val="single"/>
        </w:rPr>
        <w:t xml:space="preserve">     </w:t>
      </w:r>
      <w:r>
        <w:rPr>
          <w:rFonts w:hint="eastAsia" w:ascii="宋体" w:hAnsi="宋体" w:cs="宋体"/>
          <w:kern w:val="0"/>
          <w:sz w:val="24"/>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1、本项目设置履约保证金,</w:t>
      </w:r>
      <w:r>
        <w:rPr>
          <w:rFonts w:hint="eastAsia" w:ascii="宋体" w:hAnsi="宋体" w:cs="宋体"/>
          <w:sz w:val="24"/>
          <w:highlight w:val="none"/>
        </w:rPr>
        <w:t>签订合同前中标人应向采购人交纳合同金额的1%作为履约保证金，履约保证金在合同履行完毕后一个月内无息退还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kern w:val="0"/>
          <w:sz w:val="24"/>
          <w:highlight w:val="none"/>
        </w:rPr>
      </w:pPr>
      <w:r>
        <w:rPr>
          <w:rFonts w:hint="eastAsia" w:ascii="宋体" w:hAnsi="宋体" w:cs="宋体"/>
          <w:kern w:val="0"/>
          <w:sz w:val="24"/>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Arial"/>
          <w:kern w:val="0"/>
          <w:sz w:val="24"/>
          <w:highlight w:val="none"/>
        </w:rPr>
        <w:t>本项目不允许转包和分包</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因履行本合同引起的或与本合同有关的争议，甲、乙双方应首先通过友好协商解决，如果协商不能解决争议，则采取以下第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（2）向</w:t>
      </w:r>
      <w:r>
        <w:rPr>
          <w:rFonts w:hint="eastAsia" w:ascii="宋体" w:hAnsi="宋体" w:cs="宋体"/>
          <w:kern w:val="0"/>
          <w:sz w:val="24"/>
          <w:highlight w:val="none"/>
          <w:u w:val="single"/>
        </w:rPr>
        <w:t xml:space="preserve">   </w:t>
      </w:r>
      <w:r>
        <w:rPr>
          <w:rFonts w:hint="eastAsia" w:ascii="宋体" w:hAnsi="宋体" w:cs="Arial"/>
          <w:kern w:val="0"/>
          <w:sz w:val="24"/>
          <w:highlight w:val="none"/>
          <w:u w:val="single"/>
          <w:lang w:eastAsia="zh-CN"/>
        </w:rPr>
        <w:t>项目所在地</w:t>
      </w:r>
      <w:r>
        <w:rPr>
          <w:rFonts w:hint="eastAsia" w:ascii="宋体" w:hAnsi="宋体" w:cs="宋体"/>
          <w:kern w:val="0"/>
          <w:sz w:val="24"/>
          <w:highlight w:val="none"/>
          <w:u w:val="single"/>
        </w:rPr>
        <w:t xml:space="preserve">    </w:t>
      </w:r>
      <w:r>
        <w:rPr>
          <w:rFonts w:hint="eastAsia" w:ascii="宋体" w:hAnsi="宋体" w:cs="宋体"/>
          <w:kern w:val="0"/>
          <w:sz w:val="24"/>
          <w:highlight w:val="none"/>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Arial"/>
          <w:kern w:val="0"/>
          <w:sz w:val="24"/>
          <w:highlight w:val="none"/>
        </w:rPr>
        <w:t>本合同一式五份，甲乙双方各</w:t>
      </w:r>
      <w:bookmarkStart w:id="36" w:name="_GoBack"/>
      <w:bookmarkEnd w:id="36"/>
      <w:r>
        <w:rPr>
          <w:rFonts w:hint="eastAsia" w:ascii="宋体" w:hAnsi="宋体" w:cs="Arial"/>
          <w:kern w:val="0"/>
          <w:sz w:val="24"/>
          <w:highlight w:val="none"/>
        </w:rPr>
        <w:t>2份，招标代理机构各持一份</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r>
        <w:rPr>
          <w:rFonts w:hint="eastAsia" w:ascii="宋体" w:hAnsi="宋体" w:cs="宋体"/>
          <w:kern w:val="0"/>
          <w:sz w:val="24"/>
          <w:highlight w:val="none"/>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p>
    <w:p>
      <w:pPr>
        <w:spacing w:line="480" w:lineRule="exact"/>
        <w:rPr>
          <w:rFonts w:ascii="宋体" w:hAnsi="宋体" w:cs="宋体"/>
          <w:b/>
          <w:sz w:val="24"/>
          <w:highlight w:val="none"/>
        </w:rPr>
      </w:pPr>
      <w:r>
        <w:rPr>
          <w:rFonts w:hint="eastAsia" w:ascii="宋体" w:hAnsi="宋体" w:cs="宋体"/>
          <w:b/>
          <w:sz w:val="24"/>
          <w:highlight w:val="none"/>
        </w:rPr>
        <w:t>采购人（甲方公章）                    供应商（乙方公章）：</w:t>
      </w:r>
    </w:p>
    <w:p>
      <w:pPr>
        <w:spacing w:line="480" w:lineRule="exact"/>
        <w:rPr>
          <w:rFonts w:ascii="宋体" w:hAnsi="宋体" w:cs="宋体"/>
          <w:b/>
          <w:sz w:val="24"/>
          <w:highlight w:val="none"/>
        </w:rPr>
      </w:pPr>
      <w:r>
        <w:rPr>
          <w:rFonts w:hint="eastAsia" w:ascii="宋体" w:hAnsi="宋体" w:cs="宋体"/>
          <w:b/>
          <w:sz w:val="24"/>
          <w:highlight w:val="none"/>
        </w:rPr>
        <w:t>法定代表人                            法定代表人</w:t>
      </w:r>
    </w:p>
    <w:p>
      <w:pPr>
        <w:spacing w:line="480" w:lineRule="exact"/>
        <w:rPr>
          <w:rFonts w:ascii="宋体" w:hAnsi="宋体" w:cs="宋体"/>
          <w:b/>
          <w:sz w:val="24"/>
          <w:highlight w:val="none"/>
        </w:rPr>
      </w:pPr>
      <w:r>
        <w:rPr>
          <w:rFonts w:hint="eastAsia" w:ascii="宋体" w:hAnsi="宋体" w:cs="宋体"/>
          <w:b/>
          <w:sz w:val="24"/>
          <w:highlight w:val="none"/>
        </w:rPr>
        <w:t xml:space="preserve">或被授权人（签字）：                   或被授权人（签字）：     </w:t>
      </w:r>
    </w:p>
    <w:p>
      <w:pPr>
        <w:spacing w:line="480" w:lineRule="exact"/>
        <w:rPr>
          <w:rFonts w:ascii="宋体" w:hAnsi="宋体" w:cs="宋体"/>
          <w:b/>
          <w:sz w:val="24"/>
          <w:highlight w:val="none"/>
        </w:rPr>
      </w:pPr>
      <w:r>
        <w:rPr>
          <w:rFonts w:hint="eastAsia" w:ascii="宋体" w:hAnsi="宋体" w:cs="宋体"/>
          <w:b/>
          <w:sz w:val="24"/>
          <w:highlight w:val="none"/>
        </w:rPr>
        <w:t xml:space="preserve">电话：                                电话：  </w:t>
      </w:r>
    </w:p>
    <w:p>
      <w:pPr>
        <w:spacing w:line="480" w:lineRule="exact"/>
        <w:ind w:right="480" w:firstLine="2160" w:firstLineChars="900"/>
        <w:jc w:val="center"/>
        <w:rPr>
          <w:rFonts w:ascii="宋体" w:hAnsi="宋体" w:cs="宋体"/>
          <w:sz w:val="24"/>
          <w:highlight w:val="none"/>
        </w:rPr>
      </w:pPr>
      <w:r>
        <w:rPr>
          <w:rFonts w:hint="eastAsia" w:ascii="宋体" w:hAnsi="宋体" w:cs="宋体"/>
          <w:sz w:val="24"/>
          <w:highlight w:val="none"/>
        </w:rPr>
        <w:t xml:space="preserve">                 </w:t>
      </w:r>
    </w:p>
    <w:p>
      <w:pPr>
        <w:spacing w:line="480" w:lineRule="exact"/>
        <w:ind w:right="480" w:firstLine="2160" w:firstLineChars="900"/>
        <w:jc w:val="center"/>
        <w:rPr>
          <w:rFonts w:ascii="宋体" w:hAnsi="宋体" w:cs="宋体"/>
          <w:sz w:val="24"/>
          <w:highlight w:val="none"/>
        </w:rPr>
      </w:pPr>
      <w:r>
        <w:rPr>
          <w:rFonts w:hint="eastAsia" w:ascii="宋体" w:hAnsi="宋体" w:cs="宋体"/>
          <w:sz w:val="24"/>
          <w:highlight w:val="none"/>
        </w:rPr>
        <w:t xml:space="preserve">       合同签订日期：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sz w:val="24"/>
          <w:highlight w:val="none"/>
        </w:rPr>
        <w:sectPr>
          <w:footerReference r:id="rId7" w:type="defaul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highlight w:val="none"/>
        </w:rPr>
        <w:t>签约地点：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kern w:val="0"/>
          <w:sz w:val="24"/>
          <w:highlight w:val="none"/>
        </w:rPr>
      </w:pPr>
      <w:r>
        <w:rPr>
          <w:rFonts w:hint="eastAsia" w:ascii="宋体" w:hAnsi="宋体" w:cs="宋体"/>
          <w:sz w:val="24"/>
          <w:highlight w:val="none"/>
        </w:rPr>
        <w:t xml:space="preserve">               </w:t>
      </w:r>
    </w:p>
    <w:tbl>
      <w:tblPr>
        <w:tblStyle w:val="63"/>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jc w:val="center"/>
              <w:rPr>
                <w:rFonts w:ascii="宋体" w:hAnsi="宋体" w:cs="宋体"/>
                <w:b/>
                <w:bCs/>
                <w:kern w:val="0"/>
                <w:sz w:val="36"/>
                <w:szCs w:val="36"/>
                <w:highlight w:val="none"/>
              </w:rPr>
            </w:pPr>
            <w:r>
              <w:rPr>
                <w:rFonts w:hint="eastAsia" w:ascii="宋体" w:hAnsi="宋体" w:cs="宋体"/>
                <w:b/>
                <w:bCs/>
                <w:kern w:val="0"/>
                <w:sz w:val="36"/>
                <w:szCs w:val="36"/>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jc w:val="left"/>
              <w:rPr>
                <w:rFonts w:ascii="宋体" w:hAnsi="宋体" w:cs="宋体"/>
                <w:kern w:val="0"/>
                <w:sz w:val="24"/>
                <w:highlight w:val="none"/>
              </w:rPr>
            </w:pPr>
          </w:p>
        </w:tc>
        <w:tc>
          <w:tcPr>
            <w:tcW w:w="3021" w:type="dxa"/>
            <w:tcBorders>
              <w:top w:val="nil"/>
              <w:left w:val="nil"/>
              <w:bottom w:val="nil"/>
              <w:right w:val="nil"/>
            </w:tcBorders>
            <w:vAlign w:val="bottom"/>
          </w:tcPr>
          <w:p>
            <w:pPr>
              <w:widowControl/>
              <w:jc w:val="left"/>
              <w:rPr>
                <w:rFonts w:ascii="宋体" w:hAnsi="宋体" w:cs="宋体"/>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kern w:val="0"/>
                <w:sz w:val="24"/>
                <w:highlight w:val="none"/>
              </w:rPr>
            </w:pPr>
          </w:p>
        </w:tc>
        <w:tc>
          <w:tcPr>
            <w:tcW w:w="2081" w:type="dxa"/>
            <w:tcBorders>
              <w:top w:val="nil"/>
              <w:left w:val="nil"/>
              <w:bottom w:val="nil"/>
              <w:right w:val="nil"/>
            </w:tcBorders>
            <w:vAlign w:val="bottom"/>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采购申请编号:</w:t>
            </w:r>
          </w:p>
        </w:tc>
        <w:tc>
          <w:tcPr>
            <w:tcW w:w="3021" w:type="dxa"/>
            <w:tcBorders>
              <w:top w:val="nil"/>
              <w:left w:val="nil"/>
              <w:bottom w:val="nil"/>
              <w:right w:val="nil"/>
            </w:tcBorders>
            <w:vAlign w:val="bottom"/>
          </w:tcPr>
          <w:p>
            <w:pPr>
              <w:widowControl/>
              <w:jc w:val="left"/>
              <w:rPr>
                <w:rFonts w:ascii="宋体" w:hAnsi="宋体" w:cs="宋体"/>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合同编号:</w:t>
            </w:r>
          </w:p>
        </w:tc>
        <w:tc>
          <w:tcPr>
            <w:tcW w:w="2081" w:type="dxa"/>
            <w:tcBorders>
              <w:top w:val="nil"/>
              <w:left w:val="nil"/>
              <w:bottom w:val="nil"/>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供应商（供方）</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联系人</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商品名称</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规格型号及要求</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计量单位</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数     量</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单价(元)</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合   计</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验收人（签字）:</w:t>
            </w:r>
          </w:p>
        </w:tc>
        <w:tc>
          <w:tcPr>
            <w:tcW w:w="1855" w:type="dxa"/>
            <w:tcBorders>
              <w:top w:val="nil"/>
              <w:left w:val="nil"/>
              <w:bottom w:val="single" w:color="auto" w:sz="4" w:space="0"/>
              <w:right w:val="nil"/>
            </w:tcBorders>
            <w:vAlign w:val="bottom"/>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xml:space="preserve">                                          经办人（签字）:</w:t>
            </w: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nil"/>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(盖章)</w:t>
            </w:r>
          </w:p>
        </w:tc>
        <w:tc>
          <w:tcPr>
            <w:tcW w:w="2081" w:type="dxa"/>
            <w:tcBorders>
              <w:top w:val="nil"/>
              <w:left w:val="nil"/>
              <w:bottom w:val="nil"/>
              <w:right w:val="single" w:color="auto"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xml:space="preserve">    2、本表一式五份，经供需双方签字盖章后由采购单位、供应商、财政支付（核算）中心、财政局、公共资源交易中心各自留存。</w:t>
            </w:r>
          </w:p>
        </w:tc>
      </w:tr>
    </w:tbl>
    <w:p>
      <w:pPr>
        <w:pStyle w:val="34"/>
        <w:spacing w:before="120" w:after="120" w:line="420" w:lineRule="exact"/>
        <w:rPr>
          <w:rFonts w:hAnsi="宋体"/>
          <w:bCs/>
          <w:highlight w:val="none"/>
        </w:rPr>
        <w:sectPr>
          <w:pgSz w:w="16838" w:h="11906" w:orient="landscape"/>
          <w:pgMar w:top="1134" w:right="1134" w:bottom="1134" w:left="1417" w:header="851" w:footer="851" w:gutter="0"/>
          <w:pgBorders>
            <w:top w:val="none" w:sz="0" w:space="0"/>
            <w:left w:val="none" w:sz="0" w:space="0"/>
            <w:bottom w:val="none" w:sz="0" w:space="0"/>
            <w:right w:val="none" w:sz="0" w:space="0"/>
          </w:pgBorders>
          <w:cols w:space="720" w:num="1"/>
          <w:docGrid w:linePitch="312" w:charSpace="0"/>
        </w:sectPr>
      </w:pPr>
    </w:p>
    <w:p>
      <w:pPr>
        <w:jc w:val="center"/>
        <w:rPr>
          <w:rFonts w:ascii="宋体" w:hAnsi="宋体" w:cs="宋体"/>
          <w:sz w:val="28"/>
          <w:szCs w:val="28"/>
          <w:highlight w:val="none"/>
        </w:rPr>
      </w:pPr>
      <w:r>
        <w:rPr>
          <w:rFonts w:hint="eastAsia" w:ascii="宋体" w:hAnsi="宋体" w:cs="宋体"/>
          <w:sz w:val="28"/>
          <w:szCs w:val="28"/>
          <w:highlight w:val="none"/>
          <w:lang w:eastAsia="zh-CN"/>
        </w:rPr>
        <w:t>嘉善农科所长秀基地生态智慧提升单体大棚采购项目（第三次）</w:t>
      </w:r>
      <w:r>
        <w:rPr>
          <w:rFonts w:hint="eastAsia" w:ascii="宋体" w:hAnsi="宋体" w:cs="宋体"/>
          <w:sz w:val="28"/>
          <w:szCs w:val="28"/>
          <w:highlight w:val="none"/>
        </w:rPr>
        <w:t xml:space="preserve"> 验收报告</w:t>
      </w:r>
    </w:p>
    <w:p>
      <w:pPr>
        <w:jc w:val="center"/>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r>
        <w:rPr>
          <w:rFonts w:hint="eastAsia" w:ascii="宋体" w:hAnsi="宋体" w:cs="宋体"/>
          <w:sz w:val="28"/>
          <w:szCs w:val="28"/>
          <w:highlight w:val="none"/>
        </w:rPr>
        <w:t>项目验收情况说明（由双方按验收情况填写）：</w:t>
      </w: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rPr>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8"/>
          <w:szCs w:val="28"/>
          <w:highlight w:val="none"/>
        </w:rPr>
        <w:t>验收小组签字：（3人以上）</w:t>
      </w:r>
    </w:p>
    <w:p>
      <w:pPr>
        <w:pStyle w:val="4"/>
        <w:numPr>
          <w:ilvl w:val="0"/>
          <w:numId w:val="5"/>
        </w:numPr>
        <w:spacing w:before="0" w:after="0" w:line="240" w:lineRule="auto"/>
        <w:ind w:left="0" w:firstLine="0"/>
        <w:jc w:val="center"/>
        <w:rPr>
          <w:rFonts w:ascii="仿宋" w:hAnsi="仿宋" w:eastAsia="仿宋" w:cs="仿宋_GB2312"/>
          <w:bCs w:val="0"/>
          <w:kern w:val="2"/>
          <w:sz w:val="36"/>
          <w:szCs w:val="36"/>
          <w:highlight w:val="none"/>
        </w:rPr>
      </w:pPr>
      <w:r>
        <w:rPr>
          <w:rFonts w:hint="eastAsia" w:ascii="仿宋" w:hAnsi="仿宋" w:eastAsia="仿宋" w:cs="仿宋_GB2312"/>
          <w:bCs w:val="0"/>
          <w:kern w:val="2"/>
          <w:sz w:val="36"/>
          <w:szCs w:val="36"/>
          <w:highlight w:val="none"/>
        </w:rPr>
        <w:t>投标文件格式</w:t>
      </w:r>
      <w:bookmarkEnd w:id="34"/>
    </w:p>
    <w:p>
      <w:pPr>
        <w:spacing w:line="300" w:lineRule="auto"/>
        <w:ind w:firstLine="205" w:firstLineChars="98"/>
        <w:jc w:val="center"/>
        <w:rPr>
          <w:rFonts w:hAnsi="宋体" w:cs="宋体"/>
          <w:color w:val="000000"/>
          <w:highlight w:val="none"/>
        </w:rPr>
      </w:pPr>
      <w:r>
        <w:rPr>
          <w:rFonts w:hint="eastAsia" w:hAnsi="宋体" w:cs="宋体"/>
          <w:color w:val="000000"/>
          <w:highlight w:val="none"/>
        </w:rPr>
        <w:t xml:space="preserve"> </w:t>
      </w: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rPr>
          <w:rFonts w:ascii="仿宋_GB2312" w:hAnsi="仿宋" w:eastAsia="仿宋_GB2312" w:cs="仿宋_GB2312"/>
          <w:kern w:val="0"/>
          <w:sz w:val="24"/>
          <w:highlight w:val="none"/>
          <w:lang w:val="zh-CN"/>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投标人名称（盖章）</w:t>
      </w:r>
      <w:r>
        <w:rPr>
          <w:rFonts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napToGrid w:val="0"/>
        <w:spacing w:before="120" w:beforeLines="50" w:after="50"/>
        <w:rPr>
          <w:b/>
          <w:sz w:val="24"/>
          <w:highlight w:val="none"/>
        </w:rPr>
      </w:pPr>
    </w:p>
    <w:p>
      <w:pPr>
        <w:snapToGrid w:val="0"/>
        <w:jc w:val="center"/>
        <w:rPr>
          <w:rFonts w:hint="eastAsia" w:ascii="宋体" w:hAnsi="宋体"/>
          <w:b/>
          <w:sz w:val="32"/>
          <w:szCs w:val="32"/>
          <w:highlight w:val="none"/>
        </w:rPr>
      </w:pPr>
    </w:p>
    <w:p>
      <w:pPr>
        <w:snapToGrid w:val="0"/>
        <w:jc w:val="center"/>
        <w:rPr>
          <w:rFonts w:ascii="宋体" w:hAnsi="宋体"/>
          <w:b/>
          <w:sz w:val="32"/>
          <w:szCs w:val="32"/>
          <w:highlight w:val="none"/>
        </w:rPr>
      </w:pPr>
      <w:r>
        <w:rPr>
          <w:rFonts w:hint="eastAsia" w:ascii="宋体" w:hAnsi="宋体"/>
          <w:b/>
          <w:sz w:val="32"/>
          <w:szCs w:val="32"/>
          <w:highlight w:val="none"/>
        </w:rPr>
        <w:t>中小企业声明函（货物）</w:t>
      </w:r>
    </w:p>
    <w:p>
      <w:pPr>
        <w:pStyle w:val="967"/>
        <w:snapToGrid w:val="0"/>
        <w:spacing w:line="480" w:lineRule="exact"/>
        <w:ind w:firstLine="494"/>
        <w:rPr>
          <w:rFonts w:ascii="宋体" w:eastAsia="宋体"/>
          <w:b w:val="0"/>
          <w:bCs/>
          <w:color w:val="auto"/>
          <w:sz w:val="24"/>
          <w:szCs w:val="24"/>
          <w:highlight w:val="none"/>
        </w:rPr>
      </w:pPr>
      <w:r>
        <w:rPr>
          <w:rFonts w:hint="eastAsia" w:ascii="宋体" w:eastAsia="宋体"/>
          <w:bCs/>
          <w:sz w:val="24"/>
          <w:szCs w:val="24"/>
          <w:highlight w:val="none"/>
        </w:rPr>
        <w:t>本公司（联合体）郑重声明，根据《政府采购促进中小企业发展管理办法》（财库﹝2020﹞46 号）的</w:t>
      </w:r>
      <w:r>
        <w:rPr>
          <w:rFonts w:hint="eastAsia" w:ascii="宋体" w:eastAsia="宋体"/>
          <w:bCs/>
          <w:color w:val="auto"/>
          <w:sz w:val="24"/>
          <w:szCs w:val="24"/>
          <w:highlight w:val="none"/>
        </w:rPr>
        <w:t>规</w:t>
      </w:r>
      <w:r>
        <w:rPr>
          <w:rFonts w:hint="eastAsia" w:ascii="宋体" w:eastAsia="宋体"/>
          <w:b w:val="0"/>
          <w:bCs/>
          <w:color w:val="auto"/>
          <w:sz w:val="24"/>
          <w:szCs w:val="24"/>
          <w:highlight w:val="none"/>
        </w:rPr>
        <w:t>定，本公司（联合体）参加</w:t>
      </w:r>
      <w:r>
        <w:rPr>
          <w:rFonts w:hint="eastAsia" w:ascii="宋体" w:eastAsia="宋体"/>
          <w:b w:val="0"/>
          <w:bCs/>
          <w:color w:val="auto"/>
          <w:sz w:val="24"/>
          <w:szCs w:val="24"/>
          <w:highlight w:val="none"/>
          <w:u w:val="single"/>
        </w:rPr>
        <w:t xml:space="preserve">  （单位名称）  </w:t>
      </w:r>
      <w:r>
        <w:rPr>
          <w:rFonts w:hint="eastAsia" w:ascii="宋体" w:eastAsia="宋体"/>
          <w:b w:val="0"/>
          <w:bCs/>
          <w:color w:val="auto"/>
          <w:sz w:val="24"/>
          <w:szCs w:val="24"/>
          <w:highlight w:val="none"/>
        </w:rPr>
        <w:t>的</w:t>
      </w:r>
      <w:r>
        <w:rPr>
          <w:rFonts w:hint="eastAsia" w:ascii="宋体" w:eastAsia="宋体"/>
          <w:b w:val="0"/>
          <w:bCs/>
          <w:color w:val="auto"/>
          <w:sz w:val="24"/>
          <w:szCs w:val="24"/>
          <w:highlight w:val="none"/>
          <w:u w:val="single"/>
        </w:rPr>
        <w:t xml:space="preserve">  （项目名称） </w:t>
      </w:r>
      <w:r>
        <w:rPr>
          <w:rFonts w:hint="eastAsia" w:ascii="宋体" w:eastAsia="宋体"/>
          <w:b w:val="0"/>
          <w:bCs/>
          <w:color w:val="auto"/>
          <w:sz w:val="24"/>
          <w:szCs w:val="24"/>
          <w:highlight w:val="none"/>
        </w:rPr>
        <w:t>采购活动，提供的货物全部由符合政策要求的中小企业制造。相关企业（含联合体中的中小企业、签订分包意向协议的中小企业）的具体情况如下：</w:t>
      </w:r>
    </w:p>
    <w:p>
      <w:pPr>
        <w:pStyle w:val="967"/>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 xml:space="preserve">1. </w:t>
      </w:r>
      <w:r>
        <w:rPr>
          <w:rFonts w:hint="eastAsia" w:ascii="宋体" w:eastAsia="宋体"/>
          <w:b w:val="0"/>
          <w:bCs/>
          <w:color w:val="auto"/>
          <w:sz w:val="24"/>
          <w:szCs w:val="24"/>
          <w:highlight w:val="none"/>
          <w:u w:val="single"/>
        </w:rPr>
        <w:t>（标的名称）</w:t>
      </w:r>
      <w:r>
        <w:rPr>
          <w:rFonts w:hint="eastAsia" w:ascii="宋体" w:eastAsia="宋体"/>
          <w:b w:val="0"/>
          <w:bCs/>
          <w:color w:val="auto"/>
          <w:sz w:val="24"/>
          <w:szCs w:val="24"/>
          <w:highlight w:val="none"/>
        </w:rPr>
        <w:t xml:space="preserve"> ，属于</w:t>
      </w:r>
      <w:r>
        <w:rPr>
          <w:rFonts w:hint="eastAsia" w:ascii="宋体" w:eastAsia="宋体"/>
          <w:b w:val="0"/>
          <w:bCs/>
          <w:color w:val="auto"/>
          <w:sz w:val="24"/>
          <w:szCs w:val="24"/>
          <w:highlight w:val="none"/>
          <w:u w:val="single"/>
        </w:rPr>
        <w:t xml:space="preserve"> （采购文件中明确的所属行业）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（企业名称）</w:t>
      </w:r>
      <w:r>
        <w:rPr>
          <w:rFonts w:hint="eastAsia" w:ascii="宋体" w:eastAsia="宋体"/>
          <w:b w:val="0"/>
          <w:bCs/>
          <w:color w:val="auto"/>
          <w:sz w:val="24"/>
          <w:szCs w:val="24"/>
          <w:highlight w:val="none"/>
        </w:rPr>
        <w:t xml:space="preserve"> ，从业人员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 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万元，属于 </w:t>
      </w:r>
      <w:r>
        <w:rPr>
          <w:rFonts w:hint="eastAsia" w:ascii="宋体" w:eastAsia="宋体"/>
          <w:b w:val="0"/>
          <w:bCs/>
          <w:color w:val="auto"/>
          <w:sz w:val="24"/>
          <w:szCs w:val="24"/>
          <w:highlight w:val="none"/>
          <w:u w:val="single"/>
        </w:rPr>
        <w:t>（中型企业、小型企业、微型企业）</w:t>
      </w:r>
      <w:r>
        <w:rPr>
          <w:rFonts w:hint="eastAsia" w:ascii="宋体" w:eastAsia="宋体"/>
          <w:b w:val="0"/>
          <w:bCs/>
          <w:color w:val="auto"/>
          <w:sz w:val="24"/>
          <w:szCs w:val="24"/>
          <w:highlight w:val="none"/>
        </w:rPr>
        <w:t xml:space="preserve"> ；</w:t>
      </w:r>
    </w:p>
    <w:p>
      <w:pPr>
        <w:pStyle w:val="967"/>
        <w:snapToGrid w:val="0"/>
        <w:spacing w:line="480" w:lineRule="exact"/>
        <w:ind w:firstLine="494"/>
        <w:rPr>
          <w:rFonts w:ascii="宋体" w:eastAsia="宋体"/>
          <w:b w:val="0"/>
          <w:bCs/>
          <w:color w:val="auto"/>
          <w:sz w:val="24"/>
          <w:szCs w:val="24"/>
          <w:highlight w:val="none"/>
          <w:u w:val="single"/>
        </w:rPr>
      </w:pPr>
      <w:r>
        <w:rPr>
          <w:rFonts w:hint="eastAsia" w:ascii="宋体" w:eastAsia="宋体"/>
          <w:b w:val="0"/>
          <w:bCs/>
          <w:color w:val="auto"/>
          <w:sz w:val="24"/>
          <w:szCs w:val="24"/>
          <w:highlight w:val="none"/>
        </w:rPr>
        <w:t xml:space="preserve">2. </w:t>
      </w:r>
      <w:r>
        <w:rPr>
          <w:rFonts w:hint="eastAsia" w:ascii="宋体" w:eastAsia="宋体"/>
          <w:b w:val="0"/>
          <w:bCs/>
          <w:color w:val="auto"/>
          <w:sz w:val="24"/>
          <w:szCs w:val="24"/>
          <w:highlight w:val="none"/>
          <w:u w:val="single"/>
        </w:rPr>
        <w:t xml:space="preserve">（标的名称） </w:t>
      </w:r>
      <w:r>
        <w:rPr>
          <w:rFonts w:hint="eastAsia" w:ascii="宋体" w:eastAsia="宋体"/>
          <w:b w:val="0"/>
          <w:bCs/>
          <w:color w:val="auto"/>
          <w:sz w:val="24"/>
          <w:szCs w:val="24"/>
          <w:highlight w:val="none"/>
        </w:rPr>
        <w:t>，属于</w:t>
      </w:r>
      <w:r>
        <w:rPr>
          <w:rFonts w:hint="eastAsia" w:ascii="宋体" w:eastAsia="宋体"/>
          <w:b w:val="0"/>
          <w:bCs/>
          <w:color w:val="auto"/>
          <w:sz w:val="24"/>
          <w:szCs w:val="24"/>
          <w:highlight w:val="none"/>
          <w:u w:val="single"/>
        </w:rPr>
        <w:t xml:space="preserve"> （采购文件中明确的所属行业）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 xml:space="preserve">（企业名称） </w:t>
      </w:r>
      <w:r>
        <w:rPr>
          <w:rFonts w:hint="eastAsia" w:ascii="宋体" w:eastAsia="宋体"/>
          <w:b w:val="0"/>
          <w:bCs/>
          <w:color w:val="auto"/>
          <w:sz w:val="24"/>
          <w:szCs w:val="24"/>
          <w:highlight w:val="none"/>
        </w:rPr>
        <w:t>，从业人员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万元，属于</w:t>
      </w:r>
      <w:r>
        <w:rPr>
          <w:rFonts w:hint="eastAsia" w:ascii="宋体" w:eastAsia="宋体"/>
          <w:b w:val="0"/>
          <w:bCs/>
          <w:color w:val="auto"/>
          <w:sz w:val="24"/>
          <w:szCs w:val="24"/>
          <w:highlight w:val="none"/>
          <w:u w:val="single"/>
        </w:rPr>
        <w:t xml:space="preserve"> （中型企业、小型企业、微型企业）</w:t>
      </w:r>
      <w:r>
        <w:rPr>
          <w:rFonts w:hint="eastAsia" w:ascii="宋体" w:eastAsia="宋体"/>
          <w:b w:val="0"/>
          <w:bCs/>
          <w:color w:val="auto"/>
          <w:sz w:val="24"/>
          <w:szCs w:val="24"/>
          <w:highlight w:val="none"/>
        </w:rPr>
        <w:t xml:space="preserve"> ；</w:t>
      </w:r>
    </w:p>
    <w:p>
      <w:pPr>
        <w:pStyle w:val="967"/>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w:t>
      </w:r>
    </w:p>
    <w:p>
      <w:pPr>
        <w:pStyle w:val="967"/>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pPr>
        <w:pStyle w:val="967"/>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pPr>
        <w:pStyle w:val="967"/>
        <w:snapToGrid w:val="0"/>
        <w:ind w:firstLine="494"/>
        <w:rPr>
          <w:rFonts w:ascii="宋体" w:eastAsia="宋体"/>
          <w:bCs/>
          <w:color w:val="auto"/>
          <w:sz w:val="24"/>
          <w:szCs w:val="24"/>
          <w:highlight w:val="none"/>
        </w:rPr>
      </w:pPr>
    </w:p>
    <w:p>
      <w:pPr>
        <w:pStyle w:val="967"/>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pPr>
        <w:pStyle w:val="967"/>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pPr>
        <w:pStyle w:val="967"/>
        <w:snapToGrid w:val="0"/>
        <w:spacing w:line="240" w:lineRule="auto"/>
        <w:ind w:firstLine="0" w:firstLineChars="0"/>
        <w:rPr>
          <w:rFonts w:ascii="宋体" w:eastAsia="宋体"/>
          <w:bCs/>
          <w:color w:val="auto"/>
          <w:sz w:val="24"/>
          <w:szCs w:val="24"/>
          <w:highlight w:val="none"/>
        </w:rPr>
      </w:pPr>
    </w:p>
    <w:p>
      <w:pPr>
        <w:pStyle w:val="967"/>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pPr>
        <w:pStyle w:val="967"/>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pPr>
        <w:pStyle w:val="967"/>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color w:val="auto"/>
          <w:sz w:val="24"/>
          <w:szCs w:val="24"/>
          <w:highlight w:val="none"/>
        </w:rPr>
        <w:t>工业（制造业）</w:t>
      </w:r>
      <w:r>
        <w:rPr>
          <w:rFonts w:hint="eastAsia" w:ascii="宋体" w:eastAsia="宋体"/>
          <w:bCs/>
          <w:color w:val="auto"/>
          <w:sz w:val="24"/>
          <w:szCs w:val="24"/>
          <w:highlight w:val="none"/>
        </w:rPr>
        <w:t>；</w:t>
      </w:r>
    </w:p>
    <w:p>
      <w:pPr>
        <w:pStyle w:val="967"/>
        <w:snapToGrid w:val="0"/>
        <w:spacing w:line="240" w:lineRule="auto"/>
        <w:ind w:firstLine="0" w:firstLineChars="0"/>
        <w:rPr>
          <w:rFonts w:ascii="宋体" w:eastAsia="宋体"/>
          <w:bCs/>
          <w:sz w:val="24"/>
          <w:szCs w:val="24"/>
          <w:highlight w:val="none"/>
        </w:rPr>
      </w:pPr>
      <w:r>
        <w:rPr>
          <w:rFonts w:hint="eastAsia" w:ascii="宋体" w:eastAsia="宋体"/>
          <w:bCs/>
          <w:sz w:val="24"/>
          <w:szCs w:val="24"/>
          <w:highlight w:val="none"/>
        </w:rPr>
        <w:t>3.符合《关于促进残疾人就业政府采购政策的通知》（财库〔2017〕141号）规定的条件并提供《残疾人福利性单位声明函》的残疾人福利性单位视同小型、微型企业；</w:t>
      </w:r>
    </w:p>
    <w:p>
      <w:pPr>
        <w:pStyle w:val="967"/>
        <w:snapToGrid w:val="0"/>
        <w:spacing w:line="240" w:lineRule="auto"/>
        <w:ind w:firstLine="0" w:firstLineChars="0"/>
        <w:rPr>
          <w:rFonts w:ascii="宋体" w:eastAsia="宋体"/>
          <w:bCs/>
          <w:sz w:val="24"/>
          <w:szCs w:val="24"/>
          <w:highlight w:val="none"/>
        </w:rPr>
      </w:pPr>
      <w:r>
        <w:rPr>
          <w:rFonts w:hint="eastAsia" w:ascii="宋体" w:eastAsia="宋体"/>
          <w:bCs/>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r>
        <w:rPr>
          <w:rFonts w:hint="eastAsia" w:ascii="宋体" w:hAnsi="宋体"/>
          <w:b/>
          <w:bCs/>
          <w:sz w:val="24"/>
          <w:highlight w:val="none"/>
        </w:rPr>
        <w:t>监狱和戒毒企业证明材料</w:t>
      </w:r>
    </w:p>
    <w:p>
      <w:pPr>
        <w:pStyle w:val="968"/>
        <w:snapToGrid w:val="0"/>
        <w:jc w:val="center"/>
        <w:rPr>
          <w:rFonts w:ascii="宋体" w:hAnsi="宋体"/>
          <w:b/>
          <w:sz w:val="24"/>
          <w:highlight w:val="none"/>
          <w:lang w:val="en-GB"/>
        </w:rPr>
      </w:pPr>
    </w:p>
    <w:p>
      <w:pPr>
        <w:snapToGrid w:val="0"/>
        <w:spacing w:line="480" w:lineRule="exact"/>
        <w:ind w:firstLine="480" w:firstLineChars="200"/>
        <w:rPr>
          <w:rFonts w:ascii="宋体" w:hAnsi="宋体"/>
          <w:sz w:val="24"/>
          <w:highlight w:val="none"/>
        </w:rPr>
      </w:pPr>
      <w:r>
        <w:rPr>
          <w:rFonts w:hint="eastAsia" w:ascii="宋体" w:hAnsi="宋体"/>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jc w:val="center"/>
        <w:rPr>
          <w:rFonts w:ascii="宋体" w:hAnsi="宋体"/>
          <w:b/>
          <w:spacing w:val="6"/>
          <w:sz w:val="24"/>
          <w:highlight w:val="none"/>
        </w:rPr>
      </w:pPr>
    </w:p>
    <w:p>
      <w:pPr>
        <w:snapToGrid w:val="0"/>
        <w:jc w:val="center"/>
        <w:rPr>
          <w:rFonts w:ascii="宋体" w:hAnsi="宋体"/>
          <w:b/>
          <w:bCs/>
          <w:sz w:val="24"/>
          <w:highlight w:val="none"/>
        </w:rPr>
      </w:pPr>
      <w:r>
        <w:rPr>
          <w:rFonts w:hint="eastAsia" w:ascii="宋体" w:hAnsi="宋体"/>
          <w:b/>
          <w:bCs/>
          <w:sz w:val="24"/>
          <w:highlight w:val="none"/>
        </w:rPr>
        <w:t>残疾人福利性单位声明函</w:t>
      </w:r>
    </w:p>
    <w:p>
      <w:pPr>
        <w:snapToGrid w:val="0"/>
        <w:rPr>
          <w:rFonts w:ascii="宋体" w:hAnsi="宋体"/>
          <w:b/>
          <w:spacing w:val="6"/>
          <w:sz w:val="24"/>
          <w:highlight w:val="none"/>
        </w:rPr>
      </w:pPr>
    </w:p>
    <w:p>
      <w:pPr>
        <w:snapToGrid w:val="0"/>
        <w:spacing w:line="480" w:lineRule="exact"/>
        <w:ind w:firstLine="480" w:firstLineChars="200"/>
        <w:rPr>
          <w:rFonts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本单位对上述声明的真实性负责。如有虚假，将依法承担相应责任。</w:t>
      </w:r>
    </w:p>
    <w:p>
      <w:pPr>
        <w:snapToGrid w:val="0"/>
        <w:spacing w:line="480" w:lineRule="exact"/>
        <w:rPr>
          <w:rFonts w:ascii="宋体" w:hAnsi="宋体"/>
          <w:sz w:val="24"/>
          <w:highlight w:val="none"/>
        </w:rPr>
      </w:pPr>
    </w:p>
    <w:p>
      <w:pPr>
        <w:snapToGrid w:val="0"/>
        <w:rPr>
          <w:rFonts w:ascii="宋体" w:hAnsi="宋体"/>
          <w:sz w:val="24"/>
          <w:highlight w:val="none"/>
        </w:rPr>
      </w:pPr>
    </w:p>
    <w:p>
      <w:pPr>
        <w:snapToGrid w:val="0"/>
        <w:ind w:firstLine="5520" w:firstLineChars="2300"/>
        <w:rPr>
          <w:rFonts w:ascii="宋体" w:hAnsi="宋体"/>
          <w:sz w:val="24"/>
          <w:highlight w:val="none"/>
        </w:rPr>
      </w:pPr>
      <w:r>
        <w:rPr>
          <w:rFonts w:hint="eastAsia" w:ascii="宋体" w:hAnsi="宋体"/>
          <w:sz w:val="24"/>
          <w:highlight w:val="none"/>
        </w:rPr>
        <w:t>投标人（盖章）：</w:t>
      </w:r>
    </w:p>
    <w:p>
      <w:pPr>
        <w:snapToGrid w:val="0"/>
        <w:rPr>
          <w:rFonts w:ascii="宋体" w:hAnsi="宋体"/>
          <w:sz w:val="24"/>
          <w:highlight w:val="none"/>
        </w:rPr>
      </w:pPr>
      <w:r>
        <w:rPr>
          <w:rFonts w:hint="eastAsia" w:ascii="宋体" w:hAnsi="宋体"/>
          <w:sz w:val="24"/>
          <w:highlight w:val="none"/>
        </w:rPr>
        <w:t xml:space="preserve">   </w:t>
      </w:r>
    </w:p>
    <w:p>
      <w:pPr>
        <w:snapToGrid w:val="0"/>
        <w:rPr>
          <w:rFonts w:ascii="宋体" w:hAnsi="宋体"/>
          <w:sz w:val="24"/>
          <w:highlight w:val="none"/>
        </w:rPr>
      </w:pPr>
    </w:p>
    <w:p>
      <w:pPr>
        <w:jc w:val="center"/>
        <w:rPr>
          <w:highlight w:val="none"/>
        </w:rPr>
      </w:pPr>
      <w:r>
        <w:rPr>
          <w:rFonts w:hint="eastAsia" w:ascii="宋体" w:hAnsi="宋体"/>
          <w:sz w:val="24"/>
          <w:highlight w:val="none"/>
        </w:rPr>
        <w:t xml:space="preserve">                                        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pStyle w:val="17"/>
        <w:rPr>
          <w:highlight w:val="none"/>
        </w:rPr>
      </w:pPr>
    </w:p>
    <w:p>
      <w:pPr>
        <w:snapToGrid w:val="0"/>
        <w:spacing w:before="120" w:beforeLines="50" w:after="50"/>
        <w:rPr>
          <w:rFonts w:hint="eastAsia"/>
          <w:b/>
          <w:sz w:val="24"/>
          <w:highlight w:val="none"/>
        </w:rPr>
      </w:pPr>
    </w:p>
    <w:p>
      <w:pPr>
        <w:snapToGrid w:val="0"/>
        <w:spacing w:before="120" w:beforeLines="50" w:after="50"/>
        <w:rPr>
          <w:rFonts w:hint="eastAsia"/>
          <w:b/>
          <w:sz w:val="24"/>
          <w:highlight w:val="none"/>
        </w:rPr>
      </w:pPr>
    </w:p>
    <w:p>
      <w:pPr>
        <w:snapToGrid w:val="0"/>
        <w:spacing w:before="120" w:beforeLines="50" w:after="50"/>
        <w:rPr>
          <w:rFonts w:hint="eastAsia"/>
          <w:b/>
          <w:sz w:val="24"/>
          <w:highlight w:val="none"/>
        </w:rPr>
      </w:pPr>
    </w:p>
    <w:p>
      <w:pPr>
        <w:snapToGrid w:val="0"/>
        <w:spacing w:before="120" w:beforeLines="50" w:after="50"/>
        <w:rPr>
          <w:rFonts w:hint="eastAsia"/>
          <w:b/>
          <w:sz w:val="24"/>
          <w:highlight w:val="none"/>
        </w:rPr>
      </w:pPr>
    </w:p>
    <w:p>
      <w:pPr>
        <w:snapToGrid w:val="0"/>
        <w:spacing w:before="120" w:beforeLines="50" w:after="50"/>
        <w:rPr>
          <w:rFonts w:hint="eastAsia"/>
          <w:b/>
          <w:sz w:val="24"/>
          <w:highlight w:val="none"/>
        </w:rPr>
      </w:pPr>
    </w:p>
    <w:p>
      <w:pPr>
        <w:snapToGrid w:val="0"/>
        <w:spacing w:before="120" w:beforeLines="50" w:after="50"/>
        <w:rPr>
          <w:b/>
          <w:bCs/>
          <w:sz w:val="32"/>
          <w:szCs w:val="20"/>
          <w:highlight w:val="none"/>
        </w:rPr>
      </w:pPr>
      <w:r>
        <w:rPr>
          <w:rFonts w:hint="eastAsia"/>
          <w:b/>
          <w:sz w:val="24"/>
          <w:highlight w:val="none"/>
        </w:rPr>
        <w:t>商务技术响应文件封面格式：</w:t>
      </w:r>
      <w:r>
        <w:rPr>
          <w:sz w:val="24"/>
          <w:highlight w:val="none"/>
        </w:rPr>
        <w:t xml:space="preserve">                                               </w:t>
      </w: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r>
        <w:rPr>
          <w:rFonts w:hint="eastAsia"/>
          <w:b/>
          <w:bCs/>
          <w:sz w:val="32"/>
          <w:szCs w:val="32"/>
          <w:highlight w:val="none"/>
        </w:rPr>
        <w:t>商务技术文件</w:t>
      </w:r>
    </w:p>
    <w:p>
      <w:pPr>
        <w:snapToGrid w:val="0"/>
        <w:spacing w:before="120" w:beforeLines="50" w:after="50" w:line="320" w:lineRule="exact"/>
        <w:ind w:firstLine="1068" w:firstLineChars="445"/>
        <w:rPr>
          <w:bCs/>
          <w:sz w:val="24"/>
          <w:szCs w:val="20"/>
          <w:highlight w:val="none"/>
        </w:rPr>
      </w:pPr>
      <w:r>
        <w:rPr>
          <w:rFonts w:hint="eastAsia"/>
          <w:bCs/>
          <w:sz w:val="24"/>
          <w:highlight w:val="none"/>
        </w:rPr>
        <w:t>项目名称：</w:t>
      </w:r>
    </w:p>
    <w:p>
      <w:pPr>
        <w:snapToGrid w:val="0"/>
        <w:spacing w:before="120" w:beforeLines="50" w:after="50" w:line="320" w:lineRule="exact"/>
        <w:ind w:firstLine="1068" w:firstLineChars="445"/>
        <w:rPr>
          <w:bCs/>
          <w:sz w:val="24"/>
          <w:highlight w:val="none"/>
        </w:rPr>
      </w:pPr>
      <w:r>
        <w:rPr>
          <w:rFonts w:hint="eastAsia"/>
          <w:bCs/>
          <w:sz w:val="24"/>
          <w:highlight w:val="none"/>
        </w:rPr>
        <w:t>项目编号：</w:t>
      </w:r>
      <w:r>
        <w:rPr>
          <w:bCs/>
          <w:sz w:val="24"/>
          <w:highlight w:val="none"/>
        </w:rPr>
        <w:t xml:space="preserve"> </w:t>
      </w:r>
    </w:p>
    <w:p>
      <w:pPr>
        <w:pStyle w:val="17"/>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17"/>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sz w:val="24"/>
          <w:szCs w:val="20"/>
          <w:highlight w:val="none"/>
        </w:rPr>
      </w:pPr>
      <w:r>
        <w:rPr>
          <w:sz w:val="24"/>
          <w:highlight w:val="none"/>
        </w:rPr>
        <w:t xml:space="preserve">                        </w:t>
      </w:r>
      <w:r>
        <w:rPr>
          <w:rFonts w:hint="eastAsia"/>
          <w:sz w:val="24"/>
          <w:highlight w:val="none"/>
        </w:rPr>
        <w:t xml:space="preserve">                       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before="120" w:beforeLines="50" w:after="50"/>
        <w:jc w:val="center"/>
        <w:rPr>
          <w:rFonts w:ascii="宋体" w:hAnsi="宋体" w:cs="宋体"/>
          <w:b/>
          <w:sz w:val="32"/>
          <w:szCs w:val="32"/>
          <w:highlight w:val="none"/>
        </w:rPr>
      </w:pPr>
    </w:p>
    <w:p>
      <w:pPr>
        <w:pStyle w:val="4"/>
        <w:rPr>
          <w:rFonts w:ascii="宋体" w:hAnsi="宋体" w:cs="宋体"/>
          <w:b w:val="0"/>
          <w:szCs w:val="32"/>
          <w:highlight w:val="none"/>
        </w:rPr>
      </w:pPr>
    </w:p>
    <w:p>
      <w:pPr>
        <w:rPr>
          <w:highlight w:val="none"/>
        </w:rPr>
      </w:pPr>
    </w:p>
    <w:p>
      <w:pPr>
        <w:rPr>
          <w:highlight w:val="none"/>
        </w:rPr>
      </w:pPr>
    </w:p>
    <w:p>
      <w:pPr>
        <w:snapToGrid w:val="0"/>
        <w:spacing w:before="120" w:beforeLines="50" w:after="50"/>
        <w:rPr>
          <w:sz w:val="24"/>
          <w:szCs w:val="20"/>
          <w:highlight w:val="none"/>
        </w:rPr>
      </w:pPr>
      <w:r>
        <w:rPr>
          <w:rFonts w:hint="eastAsia"/>
          <w:b/>
          <w:sz w:val="24"/>
          <w:highlight w:val="none"/>
        </w:rPr>
        <w:t>报价文件响应封面格式：</w:t>
      </w:r>
      <w:r>
        <w:rPr>
          <w:b/>
          <w:sz w:val="24"/>
          <w:highlight w:val="none"/>
        </w:rPr>
        <w:t xml:space="preserve"> </w:t>
      </w:r>
    </w:p>
    <w:p>
      <w:pPr>
        <w:snapToGrid w:val="0"/>
        <w:spacing w:before="120" w:beforeLines="50" w:after="50"/>
        <w:rPr>
          <w:b/>
          <w:bCs/>
          <w:sz w:val="32"/>
          <w:szCs w:val="20"/>
          <w:highlight w:val="none"/>
        </w:rPr>
      </w:pPr>
      <w:r>
        <w:rPr>
          <w:sz w:val="24"/>
          <w:highlight w:val="none"/>
        </w:rPr>
        <w:t xml:space="preserve">                                                    </w:t>
      </w:r>
    </w:p>
    <w:p>
      <w:pPr>
        <w:snapToGrid w:val="0"/>
        <w:spacing w:before="120" w:beforeLines="50" w:after="50"/>
        <w:jc w:val="center"/>
        <w:rPr>
          <w:b/>
          <w:bCs/>
          <w:sz w:val="32"/>
          <w:szCs w:val="32"/>
          <w:highlight w:val="none"/>
        </w:rPr>
      </w:pPr>
      <w:r>
        <w:rPr>
          <w:rFonts w:hint="eastAsia"/>
          <w:b/>
          <w:bCs/>
          <w:sz w:val="32"/>
          <w:szCs w:val="32"/>
          <w:highlight w:val="none"/>
        </w:rPr>
        <w:t>报  价</w:t>
      </w:r>
      <w:r>
        <w:rPr>
          <w:b/>
          <w:bCs/>
          <w:sz w:val="32"/>
          <w:szCs w:val="32"/>
          <w:highlight w:val="none"/>
        </w:rPr>
        <w:t xml:space="preserve"> </w:t>
      </w:r>
      <w:r>
        <w:rPr>
          <w:rFonts w:hint="eastAsia"/>
          <w:b/>
          <w:bCs/>
          <w:sz w:val="32"/>
          <w:szCs w:val="32"/>
          <w:highlight w:val="none"/>
        </w:rPr>
        <w:t>文</w:t>
      </w:r>
      <w:r>
        <w:rPr>
          <w:b/>
          <w:bCs/>
          <w:sz w:val="32"/>
          <w:szCs w:val="32"/>
          <w:highlight w:val="none"/>
        </w:rPr>
        <w:t xml:space="preserve"> </w:t>
      </w:r>
      <w:r>
        <w:rPr>
          <w:rFonts w:hint="eastAsia"/>
          <w:b/>
          <w:bCs/>
          <w:sz w:val="32"/>
          <w:szCs w:val="32"/>
          <w:highlight w:val="none"/>
        </w:rPr>
        <w:t>件</w:t>
      </w:r>
    </w:p>
    <w:p>
      <w:pPr>
        <w:snapToGrid w:val="0"/>
        <w:spacing w:before="120" w:beforeLines="50" w:after="50" w:line="320" w:lineRule="exact"/>
        <w:ind w:firstLine="1068" w:firstLineChars="445"/>
        <w:rPr>
          <w:bCs/>
          <w:sz w:val="24"/>
          <w:szCs w:val="20"/>
          <w:highlight w:val="none"/>
        </w:rPr>
      </w:pPr>
      <w:r>
        <w:rPr>
          <w:rFonts w:hint="eastAsia"/>
          <w:bCs/>
          <w:sz w:val="24"/>
          <w:highlight w:val="none"/>
        </w:rPr>
        <w:t>项目名称：</w:t>
      </w:r>
    </w:p>
    <w:p>
      <w:pPr>
        <w:snapToGrid w:val="0"/>
        <w:spacing w:before="120" w:beforeLines="50" w:after="50" w:line="320" w:lineRule="exact"/>
        <w:ind w:firstLine="1068" w:firstLineChars="445"/>
        <w:rPr>
          <w:bCs/>
          <w:sz w:val="24"/>
          <w:highlight w:val="none"/>
        </w:rPr>
      </w:pPr>
      <w:r>
        <w:rPr>
          <w:rFonts w:hint="eastAsia"/>
          <w:bCs/>
          <w:sz w:val="24"/>
          <w:highlight w:val="none"/>
        </w:rPr>
        <w:t>项目编号：</w:t>
      </w:r>
      <w:r>
        <w:rPr>
          <w:bCs/>
          <w:sz w:val="24"/>
          <w:highlight w:val="none"/>
        </w:rPr>
        <w:t xml:space="preserve"> </w:t>
      </w:r>
    </w:p>
    <w:p>
      <w:pPr>
        <w:pStyle w:val="17"/>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17"/>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pacing w:line="360" w:lineRule="auto"/>
        <w:ind w:right="420"/>
        <w:rPr>
          <w:highlight w:val="none"/>
        </w:rPr>
      </w:pPr>
      <w:r>
        <w:rPr>
          <w:sz w:val="24"/>
          <w:highlight w:val="none"/>
        </w:rPr>
        <w:t xml:space="preserve">                        </w:t>
      </w:r>
      <w:r>
        <w:rPr>
          <w:rFonts w:hint="eastAsia"/>
          <w:sz w:val="24"/>
          <w:highlight w:val="none"/>
        </w:rPr>
        <w:t xml:space="preserve">                       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pacing w:line="360" w:lineRule="auto"/>
        <w:rPr>
          <w:rFonts w:ascii="仿宋" w:hAnsi="仿宋" w:eastAsia="仿宋"/>
          <w:bCs/>
          <w:sz w:val="24"/>
          <w:highlight w:val="none"/>
        </w:rPr>
      </w:pPr>
    </w:p>
    <w:p>
      <w:pPr>
        <w:spacing w:line="360" w:lineRule="auto"/>
        <w:jc w:val="center"/>
        <w:rPr>
          <w:rFonts w:ascii="宋体" w:hAnsi="宋体" w:cs="宋体"/>
          <w:b/>
          <w:sz w:val="24"/>
          <w:highlight w:val="none"/>
        </w:rPr>
      </w:pPr>
      <w:bookmarkStart w:id="35" w:name="_Toc219619166"/>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center"/>
        <w:rPr>
          <w:rFonts w:hint="eastAsia" w:ascii="宋体" w:hAnsi="宋体" w:cs="宋体"/>
          <w:b/>
          <w:sz w:val="24"/>
          <w:highlight w:val="none"/>
        </w:rPr>
      </w:pPr>
    </w:p>
    <w:p>
      <w:pPr>
        <w:spacing w:line="360" w:lineRule="auto"/>
        <w:jc w:val="center"/>
        <w:rPr>
          <w:rFonts w:ascii="宋体" w:hAnsi="宋体" w:cs="宋体"/>
          <w:b/>
          <w:bCs/>
          <w:sz w:val="24"/>
          <w:highlight w:val="none"/>
        </w:rPr>
      </w:pPr>
      <w:r>
        <w:rPr>
          <w:rFonts w:hint="eastAsia" w:ascii="宋体" w:hAnsi="宋体" w:cs="宋体"/>
          <w:b/>
          <w:sz w:val="24"/>
          <w:highlight w:val="none"/>
        </w:rPr>
        <w:t>自评表</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评标内容及分值</w:t>
            </w:r>
          </w:p>
        </w:tc>
        <w:tc>
          <w:tcPr>
            <w:tcW w:w="4254" w:type="dxa"/>
            <w:gridSpan w:val="2"/>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pPr>
              <w:spacing w:line="360" w:lineRule="auto"/>
              <w:jc w:val="center"/>
              <w:rPr>
                <w:rFonts w:ascii="宋体" w:hAnsi="宋体" w:cs="宋体"/>
                <w:b/>
                <w:bCs/>
                <w:sz w:val="24"/>
                <w:highlight w:val="none"/>
              </w:rPr>
            </w:pPr>
          </w:p>
        </w:tc>
        <w:tc>
          <w:tcPr>
            <w:tcW w:w="2145" w:type="dxa"/>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自评分</w:t>
            </w:r>
          </w:p>
        </w:tc>
        <w:tc>
          <w:tcPr>
            <w:tcW w:w="2109" w:type="dxa"/>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jc w:val="center"/>
              <w:rPr>
                <w:rFonts w:ascii="宋体" w:hAnsi="宋体" w:cs="宋体"/>
                <w:b/>
                <w:bCs/>
                <w:sz w:val="24"/>
                <w:highlight w:val="none"/>
              </w:rPr>
            </w:pPr>
            <w:r>
              <w:rPr>
                <w:rFonts w:hint="eastAsia" w:ascii="宋体" w:hAnsi="宋体" w:cs="宋体"/>
                <w:b/>
                <w:bCs/>
                <w:sz w:val="28"/>
                <w:szCs w:val="28"/>
                <w:highlight w:val="none"/>
              </w:rPr>
              <w:t>商务资信分（X分）</w:t>
            </w:r>
          </w:p>
        </w:tc>
        <w:tc>
          <w:tcPr>
            <w:tcW w:w="3300" w:type="dxa"/>
            <w:tcBorders>
              <w:bottom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bottom w:val="single" w:color="auto" w:sz="4" w:space="0"/>
            </w:tcBorders>
            <w:vAlign w:val="center"/>
          </w:tcPr>
          <w:p>
            <w:pPr>
              <w:spacing w:line="360" w:lineRule="auto"/>
              <w:jc w:val="left"/>
              <w:rPr>
                <w:rFonts w:ascii="宋体" w:hAnsi="宋体" w:cs="宋体"/>
                <w:szCs w:val="21"/>
                <w:highlight w:val="none"/>
              </w:rPr>
            </w:pPr>
          </w:p>
        </w:tc>
        <w:tc>
          <w:tcPr>
            <w:tcW w:w="2109" w:type="dxa"/>
            <w:tcBorders>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center"/>
              <w:rPr>
                <w:rFonts w:ascii="宋体" w:hAnsi="宋体" w:cs="宋体"/>
                <w:b/>
                <w:bCs/>
                <w:sz w:val="28"/>
                <w:szCs w:val="28"/>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技术分（X分）</w:t>
            </w: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sz w:val="24"/>
                <w:highlight w:val="none"/>
              </w:rPr>
            </w:pPr>
            <w:r>
              <w:rPr>
                <w:rFonts w:hint="eastAsia" w:ascii="宋体" w:hAnsi="宋体" w:cs="宋体"/>
                <w:bCs/>
                <w:sz w:val="24"/>
                <w:highlight w:val="none"/>
              </w:rPr>
              <w:t>合计（满分X分）</w:t>
            </w:r>
          </w:p>
        </w:tc>
        <w:tc>
          <w:tcPr>
            <w:tcW w:w="4254" w:type="dxa"/>
            <w:gridSpan w:val="2"/>
            <w:vAlign w:val="center"/>
          </w:tcPr>
          <w:p>
            <w:pPr>
              <w:spacing w:line="360" w:lineRule="auto"/>
              <w:jc w:val="center"/>
              <w:rPr>
                <w:rFonts w:ascii="宋体" w:hAnsi="宋体" w:cs="宋体"/>
                <w:b/>
                <w:bCs/>
                <w:sz w:val="24"/>
                <w:highlight w:val="none"/>
              </w:rPr>
            </w:pPr>
          </w:p>
        </w:tc>
      </w:tr>
    </w:tbl>
    <w:p>
      <w:pPr>
        <w:snapToGrid w:val="0"/>
        <w:spacing w:before="120" w:beforeLines="50" w:after="50"/>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rPr>
          <w:rFonts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r>
        <w:rPr>
          <w:rFonts w:hint="eastAsia" w:ascii="宋体" w:hAnsi="宋体" w:cs="宋体"/>
          <w:b/>
          <w:sz w:val="32"/>
          <w:szCs w:val="32"/>
          <w:highlight w:val="none"/>
        </w:rPr>
        <w:t>投标声明书</w:t>
      </w: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szCs w:val="20"/>
          <w:highlight w:val="none"/>
        </w:rPr>
      </w:pPr>
      <w:r>
        <w:rPr>
          <w:rFonts w:hint="eastAsia" w:ascii="宋体" w:hAnsi="宋体" w:cs="宋体"/>
          <w:sz w:val="24"/>
          <w:highlight w:val="none"/>
        </w:rPr>
        <w:t xml:space="preserve">致 </w:t>
      </w:r>
      <w:r>
        <w:rPr>
          <w:rFonts w:hint="eastAsia" w:ascii="宋体" w:hAnsi="宋体" w:cs="宋体"/>
          <w:sz w:val="24"/>
          <w:highlight w:val="none"/>
          <w:u w:val="single"/>
        </w:rPr>
        <w:t xml:space="preserve">               </w:t>
      </w:r>
      <w:r>
        <w:rPr>
          <w:rFonts w:hint="eastAsia" w:ascii="宋体" w:hAnsi="宋体" w:cs="宋体"/>
          <w:sz w:val="24"/>
          <w:highlight w:val="none"/>
        </w:rPr>
        <w:t>（采购人）：</w:t>
      </w:r>
    </w:p>
    <w:p>
      <w:pPr>
        <w:snapToGrid w:val="0"/>
        <w:spacing w:before="120" w:beforeLines="50" w:after="50" w:line="360" w:lineRule="auto"/>
        <w:ind w:firstLine="720" w:firstLineChars="300"/>
        <w:rPr>
          <w:rFonts w:ascii="宋体" w:hAnsi="宋体" w:cs="宋体"/>
          <w:sz w:val="24"/>
          <w:szCs w:val="20"/>
          <w:highlight w:val="none"/>
        </w:rPr>
      </w:pPr>
      <w:r>
        <w:rPr>
          <w:rFonts w:hint="eastAsia" w:ascii="宋体" w:hAnsi="宋体" w:cs="宋体"/>
          <w:sz w:val="24"/>
          <w:highlight w:val="none"/>
          <w:u w:val="single"/>
        </w:rPr>
        <w:t xml:space="preserve">               </w:t>
      </w:r>
      <w:r>
        <w:rPr>
          <w:rFonts w:hint="eastAsia" w:ascii="宋体" w:hAnsi="宋体" w:cs="宋体"/>
          <w:sz w:val="24"/>
          <w:highlight w:val="none"/>
        </w:rPr>
        <w:t>（投标人名称）系中华人民共和国合法企业，经营地址</w:t>
      </w:r>
      <w:r>
        <w:rPr>
          <w:rFonts w:hint="eastAsia" w:ascii="宋体" w:hAnsi="宋体" w:cs="宋体"/>
          <w:sz w:val="24"/>
          <w:highlight w:val="none"/>
          <w:u w:val="single"/>
        </w:rPr>
        <w:t xml:space="preserve">                               </w:t>
      </w:r>
      <w:r>
        <w:rPr>
          <w:rFonts w:hint="eastAsia" w:ascii="宋体" w:hAnsi="宋体" w:cs="宋体"/>
          <w:sz w:val="24"/>
          <w:highlight w:val="none"/>
        </w:rPr>
        <w:t>。</w:t>
      </w:r>
    </w:p>
    <w:p>
      <w:pPr>
        <w:snapToGrid w:val="0"/>
        <w:spacing w:before="120" w:beforeLines="50" w:after="50" w:line="360" w:lineRule="auto"/>
        <w:ind w:firstLine="645"/>
        <w:rPr>
          <w:rFonts w:ascii="宋体" w:hAnsi="宋体" w:cs="宋体"/>
          <w:sz w:val="24"/>
          <w:szCs w:val="20"/>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（投标人名称）的法定代表人，我方愿意参加贵方组织的</w:t>
      </w:r>
      <w:r>
        <w:rPr>
          <w:rFonts w:hint="eastAsia" w:ascii="宋体" w:hAnsi="宋体" w:cs="宋体"/>
          <w:sz w:val="24"/>
          <w:highlight w:val="none"/>
          <w:u w:val="single"/>
        </w:rPr>
        <w:t xml:space="preserve">                    </w:t>
      </w:r>
      <w:r>
        <w:rPr>
          <w:rFonts w:hint="eastAsia" w:ascii="宋体" w:hAnsi="宋体" w:cs="宋体"/>
          <w:sz w:val="24"/>
          <w:highlight w:val="none"/>
        </w:rPr>
        <w:t>采购项目的投标，为便于贵方公正、择优地确定中标人及其投标产品和服务，我方就本次投标有关事项郑重声明如下：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1.我方向贵方提交的所有投标文件、资料都是准确的和真实的。</w:t>
      </w:r>
    </w:p>
    <w:p>
      <w:pPr>
        <w:snapToGrid w:val="0"/>
        <w:spacing w:before="120"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3、我方此次向贵方提供的服务名称为：</w:t>
      </w:r>
      <w:r>
        <w:rPr>
          <w:rFonts w:hint="eastAsia" w:ascii="宋体" w:hAnsi="宋体" w:cs="宋体"/>
          <w:sz w:val="24"/>
          <w:highlight w:val="none"/>
          <w:u w:val="single"/>
        </w:rPr>
        <w:t xml:space="preserve">                              </w:t>
      </w:r>
      <w:r>
        <w:rPr>
          <w:rFonts w:hint="eastAsia" w:ascii="宋体" w:hAnsi="宋体" w:cs="宋体"/>
          <w:sz w:val="24"/>
          <w:highlight w:val="none"/>
        </w:rPr>
        <w:t>。</w:t>
      </w:r>
    </w:p>
    <w:p>
      <w:pPr>
        <w:snapToGrid w:val="0"/>
        <w:spacing w:before="120"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4.我方诚意提请贵方关注：有关该项目的重大决策和事项有：</w:t>
      </w:r>
    </w:p>
    <w:p>
      <w:pPr>
        <w:snapToGrid w:val="0"/>
        <w:spacing w:before="120"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pPr>
        <w:pStyle w:val="25"/>
        <w:snapToGrid w:val="0"/>
        <w:spacing w:line="360" w:lineRule="auto"/>
        <w:rPr>
          <w:rFonts w:cs="宋体"/>
          <w:highlight w:val="none"/>
        </w:rPr>
      </w:pPr>
      <w:r>
        <w:rPr>
          <w:rFonts w:hint="eastAsia" w:cs="宋体"/>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6.以上事项如有虚假或隐瞒，我方愿意承担一切后果，并不再寻求任何旨在减轻或免除法律责任的辩解。</w:t>
      </w:r>
    </w:p>
    <w:p>
      <w:pPr>
        <w:pStyle w:val="28"/>
        <w:tabs>
          <w:tab w:val="left" w:pos="939"/>
        </w:tabs>
        <w:snapToGrid w:val="0"/>
        <w:spacing w:line="400" w:lineRule="exact"/>
        <w:ind w:left="773" w:leftChars="150" w:hanging="458" w:hangingChars="191"/>
        <w:rPr>
          <w:rFonts w:ascii="宋体" w:hAnsi="宋体" w:cs="宋体"/>
          <w:sz w:val="24"/>
          <w:highlight w:val="none"/>
        </w:rPr>
      </w:pPr>
    </w:p>
    <w:p>
      <w:pPr>
        <w:snapToGrid w:val="0"/>
        <w:spacing w:before="120" w:beforeLines="50" w:line="400" w:lineRule="exact"/>
        <w:ind w:firstLine="200"/>
        <w:rPr>
          <w:rFonts w:ascii="宋体" w:hAnsi="宋体" w:cs="宋体"/>
          <w:sz w:val="24"/>
          <w:szCs w:val="20"/>
          <w:highlight w:val="none"/>
          <w:u w:val="single"/>
        </w:rPr>
      </w:pPr>
      <w:r>
        <w:rPr>
          <w:rFonts w:hint="eastAsia" w:ascii="宋体" w:hAnsi="宋体"/>
          <w:sz w:val="24"/>
          <w:highlight w:val="none"/>
        </w:rPr>
        <w:t>法定代表人签字（或盖章）</w:t>
      </w:r>
      <w:r>
        <w:rPr>
          <w:rFonts w:hint="eastAsia" w:ascii="宋体" w:hAnsi="宋体" w:cs="宋体"/>
          <w:sz w:val="24"/>
          <w:highlight w:val="none"/>
        </w:rPr>
        <w:t>：</w:t>
      </w:r>
      <w:r>
        <w:rPr>
          <w:rFonts w:hint="eastAsia" w:ascii="宋体" w:hAnsi="宋体" w:cs="宋体"/>
          <w:sz w:val="24"/>
          <w:highlight w:val="none"/>
          <w:u w:val="single"/>
        </w:rPr>
        <w:t xml:space="preserve">              </w:t>
      </w:r>
    </w:p>
    <w:p>
      <w:pPr>
        <w:snapToGrid w:val="0"/>
        <w:spacing w:before="120" w:beforeLines="50" w:after="50" w:line="400" w:lineRule="exact"/>
        <w:ind w:firstLine="240" w:firstLineChars="100"/>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napToGrid w:val="0"/>
        <w:spacing w:before="120" w:beforeLines="50" w:after="50" w:line="400" w:lineRule="exact"/>
        <w:ind w:firstLine="240" w:firstLineChars="100"/>
        <w:rPr>
          <w:rFonts w:ascii="宋体" w:hAnsi="宋体" w:cs="宋体"/>
          <w:b/>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ascii="宋体" w:hAnsi="宋体" w:cs="宋体"/>
          <w:b/>
          <w:sz w:val="24"/>
          <w:highlight w:val="none"/>
        </w:rPr>
        <w:br w:type="page"/>
      </w:r>
    </w:p>
    <w:p>
      <w:pPr>
        <w:snapToGrid w:val="0"/>
        <w:spacing w:before="120" w:beforeLines="50" w:after="50" w:line="360" w:lineRule="auto"/>
        <w:jc w:val="center"/>
        <w:rPr>
          <w:rFonts w:ascii="宋体" w:hAnsi="宋体" w:cs="宋体"/>
          <w:b/>
          <w:sz w:val="32"/>
          <w:szCs w:val="32"/>
          <w:highlight w:val="none"/>
        </w:rPr>
      </w:pPr>
      <w:r>
        <w:rPr>
          <w:rFonts w:hint="eastAsia" w:ascii="宋体" w:hAnsi="宋体" w:cs="宋体"/>
          <w:b/>
          <w:sz w:val="32"/>
          <w:szCs w:val="32"/>
          <w:highlight w:val="none"/>
        </w:rPr>
        <w:t>法定代表人授权委托书</w:t>
      </w:r>
    </w:p>
    <w:p>
      <w:pPr>
        <w:snapToGrid w:val="0"/>
        <w:spacing w:before="120" w:beforeLines="50" w:after="50" w:line="360" w:lineRule="auto"/>
        <w:rPr>
          <w:rFonts w:ascii="宋体" w:hAnsi="宋体" w:cs="宋体"/>
          <w:b/>
          <w:bCs/>
          <w:sz w:val="24"/>
          <w:szCs w:val="20"/>
          <w:highlight w:val="none"/>
        </w:rPr>
      </w:pPr>
      <w:r>
        <w:rPr>
          <w:rFonts w:hint="eastAsia" w:ascii="宋体" w:hAnsi="宋体" w:cs="宋体"/>
          <w:bCs/>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（采购人）：</w:t>
      </w:r>
    </w:p>
    <w:p>
      <w:pPr>
        <w:snapToGrid w:val="0"/>
        <w:spacing w:before="120" w:beforeLines="50" w:after="50" w:line="360" w:lineRule="auto"/>
        <w:ind w:firstLine="720" w:firstLineChars="300"/>
        <w:rPr>
          <w:rFonts w:ascii="宋体" w:hAnsi="宋体" w:cs="宋体"/>
          <w:sz w:val="24"/>
          <w:szCs w:val="20"/>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（投标人名称）的法定代表人，现授权委托</w:t>
      </w:r>
      <w:r>
        <w:rPr>
          <w:rFonts w:hint="eastAsia" w:ascii="宋体" w:hAnsi="宋体" w:cs="宋体"/>
          <w:sz w:val="24"/>
          <w:highlight w:val="none"/>
          <w:u w:val="single"/>
        </w:rPr>
        <w:t xml:space="preserve">             </w:t>
      </w:r>
      <w:r>
        <w:rPr>
          <w:rFonts w:hint="eastAsia" w:ascii="宋体" w:hAnsi="宋体" w:cs="宋体"/>
          <w:sz w:val="24"/>
          <w:highlight w:val="none"/>
        </w:rPr>
        <w:t>（姓名）以我方的名义参加</w:t>
      </w:r>
      <w:r>
        <w:rPr>
          <w:rFonts w:hint="eastAsia" w:ascii="宋体" w:hAnsi="宋体" w:cs="宋体"/>
          <w:sz w:val="24"/>
          <w:highlight w:val="none"/>
          <w:u w:val="single"/>
        </w:rPr>
        <w:t xml:space="preserve">              政府采购项目</w:t>
      </w:r>
      <w:r>
        <w:rPr>
          <w:rFonts w:hint="eastAsia" w:ascii="宋体" w:hAnsi="宋体" w:cs="宋体"/>
          <w:sz w:val="24"/>
          <w:highlight w:val="none"/>
        </w:rPr>
        <w:t>的投标活动，并代表我方全权办理针对上述项目的投标、开标、评标、签约等具体事务和签署相关文件。</w:t>
      </w:r>
    </w:p>
    <w:p>
      <w:pPr>
        <w:snapToGrid w:val="0"/>
        <w:spacing w:before="120" w:beforeLines="50" w:after="50" w:line="360" w:lineRule="auto"/>
        <w:rPr>
          <w:rFonts w:ascii="宋体" w:hAnsi="宋体" w:cs="宋体"/>
          <w:sz w:val="24"/>
          <w:szCs w:val="20"/>
          <w:highlight w:val="none"/>
        </w:rPr>
      </w:pPr>
      <w:r>
        <w:rPr>
          <w:rFonts w:hint="eastAsia" w:ascii="宋体" w:hAnsi="宋体" w:cs="宋体"/>
          <w:sz w:val="24"/>
          <w:highlight w:val="none"/>
        </w:rPr>
        <w:t xml:space="preserve">    我方对被授权人的签字事项负全部责任。</w:t>
      </w:r>
    </w:p>
    <w:p>
      <w:pPr>
        <w:snapToGrid w:val="0"/>
        <w:spacing w:before="120" w:beforeLines="50" w:after="50" w:line="360" w:lineRule="auto"/>
        <w:ind w:firstLine="480"/>
        <w:rPr>
          <w:rFonts w:ascii="宋体" w:hAnsi="宋体" w:cs="宋体"/>
          <w:sz w:val="24"/>
          <w:szCs w:val="20"/>
          <w:highlight w:val="none"/>
        </w:rPr>
      </w:pPr>
      <w:r>
        <w:rPr>
          <w:rFonts w:hint="eastAsia" w:ascii="宋体" w:hAnsi="宋体" w:cs="宋体"/>
          <w:sz w:val="24"/>
          <w:highlight w:val="none"/>
          <w:u w:val="single"/>
        </w:rPr>
        <w:t>在撤销授权的书面通知以前，本授权书一直有效。</w:t>
      </w:r>
      <w:r>
        <w:rPr>
          <w:rFonts w:hint="eastAsia" w:ascii="宋体" w:hAnsi="宋体" w:cs="宋体"/>
          <w:sz w:val="24"/>
          <w:highlight w:val="none"/>
        </w:rPr>
        <w:t>被授权人在授权书有效期内签署的所有文件不因授权的撤销而失效。</w:t>
      </w:r>
    </w:p>
    <w:p>
      <w:pPr>
        <w:snapToGrid w:val="0"/>
        <w:spacing w:before="120" w:beforeLines="50" w:after="50" w:line="360" w:lineRule="auto"/>
        <w:ind w:firstLine="480"/>
        <w:rPr>
          <w:rFonts w:ascii="宋体" w:hAnsi="宋体" w:cs="宋体"/>
          <w:sz w:val="24"/>
          <w:szCs w:val="20"/>
          <w:highlight w:val="none"/>
        </w:rPr>
      </w:pPr>
      <w:r>
        <w:rPr>
          <w:rFonts w:hint="eastAsia" w:ascii="宋体" w:hAnsi="宋体" w:cs="宋体"/>
          <w:sz w:val="24"/>
          <w:highlight w:val="none"/>
        </w:rPr>
        <w:t>被授权人无转委托权，特此委托。</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szCs w:val="20"/>
          <w:highlight w:val="none"/>
          <w:u w:val="singl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r>
        <w:rPr>
          <w:rFonts w:hint="eastAsia" w:ascii="宋体" w:hAnsi="宋体" w:cs="宋体"/>
          <w:sz w:val="24"/>
          <w:highlight w:val="none"/>
        </w:rPr>
        <w:t xml:space="preserve">  被授权人签字（或盖章）：</w:t>
      </w:r>
      <w:r>
        <w:rPr>
          <w:rFonts w:hint="eastAsia" w:ascii="宋体" w:hAnsi="宋体" w:cs="宋体"/>
          <w:sz w:val="24"/>
          <w:highlight w:val="none"/>
          <w:u w:val="single"/>
        </w:rPr>
        <w:t xml:space="preserve">          </w:t>
      </w:r>
    </w:p>
    <w:p>
      <w:pPr>
        <w:snapToGrid w:val="0"/>
        <w:spacing w:before="120" w:beforeLines="50" w:after="50" w:line="360" w:lineRule="auto"/>
        <w:ind w:firstLine="960" w:firstLineChars="400"/>
        <w:rPr>
          <w:rFonts w:ascii="宋体" w:hAnsi="宋体" w:cs="宋体"/>
          <w:sz w:val="24"/>
          <w:highlight w:val="none"/>
          <w:u w:val="singl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sz w:val="24"/>
          <w:highlight w:val="none"/>
        </w:rPr>
        <w:t>法定代表人身份证粘贴处（正反面）       被授权人身份证粘贴处（正反面）</w:t>
      </w: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sz w:val="24"/>
          <w:highlight w:val="none"/>
        </w:rPr>
        <w:t>投标人公章：</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szCs w:val="20"/>
          <w:highlight w:val="none"/>
        </w:rPr>
      </w:pPr>
    </w:p>
    <w:p>
      <w:pPr>
        <w:snapToGrid w:val="0"/>
        <w:spacing w:before="120" w:beforeLines="50" w:after="50"/>
        <w:jc w:val="right"/>
        <w:rPr>
          <w:rFonts w:ascii="宋体" w:hAnsi="宋体" w:cs="宋体"/>
          <w:sz w:val="24"/>
          <w:highlight w:val="none"/>
        </w:rPr>
      </w:pPr>
      <w:r>
        <w:rPr>
          <w:rFonts w:hint="eastAsia" w:ascii="宋体" w:hAnsi="宋体" w:cs="宋体"/>
          <w:sz w:val="24"/>
          <w:highlight w:val="none"/>
        </w:rPr>
        <w:t xml:space="preserve">                                        年    月    日</w:t>
      </w:r>
    </w:p>
    <w:p>
      <w:pPr>
        <w:pStyle w:val="966"/>
        <w:spacing w:line="360" w:lineRule="auto"/>
        <w:rPr>
          <w:rFonts w:hAnsi="宋体" w:eastAsia="宋体" w:cs="宋体"/>
          <w:sz w:val="24"/>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b/>
          <w:sz w:val="28"/>
          <w:szCs w:val="28"/>
          <w:highlight w:val="none"/>
        </w:rPr>
        <w:t>注：此表请放一页，如要放2页及以上请在每页上都加盖公章。</w:t>
      </w:r>
    </w:p>
    <w:p>
      <w:pPr>
        <w:spacing w:line="360" w:lineRule="auto"/>
        <w:jc w:val="left"/>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诚信承诺书</w:t>
      </w:r>
    </w:p>
    <w:p>
      <w:pPr>
        <w:spacing w:line="360" w:lineRule="auto"/>
        <w:rPr>
          <w:rFonts w:ascii="宋体" w:hAnsi="宋体" w:cs="宋体"/>
          <w:sz w:val="24"/>
          <w:highlight w:val="none"/>
        </w:rPr>
      </w:pPr>
      <w:r>
        <w:rPr>
          <w:rFonts w:hint="eastAsia" w:ascii="宋体" w:hAnsi="宋体" w:cs="宋体"/>
          <w:sz w:val="24"/>
          <w:highlight w:val="none"/>
          <w:u w:val="single"/>
        </w:rPr>
        <w:t xml:space="preserve">（采购人或招标组织机构）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我方在参加贵单位的</w:t>
      </w:r>
      <w:r>
        <w:rPr>
          <w:rFonts w:hint="eastAsia" w:ascii="宋体" w:hAnsi="宋体" w:cs="宋体"/>
          <w:sz w:val="24"/>
          <w:highlight w:val="none"/>
          <w:u w:val="single"/>
        </w:rPr>
        <w:t xml:space="preserve">                   </w:t>
      </w:r>
      <w:r>
        <w:rPr>
          <w:rFonts w:hint="eastAsia" w:ascii="宋体" w:hAnsi="宋体" w:cs="宋体"/>
          <w:sz w:val="24"/>
          <w:highlight w:val="none"/>
        </w:rPr>
        <w:t>政府采购项目的招投标活动中，郑重承诺如下：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1、我方申报的所有资料都是真实、准确、完整的；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2、我方无资质挂靠情形，保证不参与串标、围标及抬标；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3、我方未处于被各级行政主管部门做出停止市场行为处罚的期限内；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4、我方参加本项目政府采购活动前3年内在经营活动中没有重大违法记录；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5、若我方中标，将严格按照规定及时与采购人签订合同；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sz w:val="24"/>
          <w:highlight w:val="none"/>
        </w:rPr>
        <w:t>法定代表人或被授权人（签字或盖章）</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b/>
          <w:sz w:val="24"/>
          <w:szCs w:val="24"/>
          <w:highlight w:val="none"/>
        </w:rPr>
      </w:pPr>
    </w:p>
    <w:p>
      <w:pPr>
        <w:wordWrap w:val="0"/>
        <w:spacing w:before="120" w:beforeLines="50" w:line="360" w:lineRule="auto"/>
        <w:ind w:firstLine="562"/>
        <w:jc w:val="center"/>
        <w:rPr>
          <w:rFonts w:ascii="宋体" w:hAnsi="宋体" w:cs="宋体"/>
          <w:b/>
          <w:sz w:val="28"/>
          <w:szCs w:val="30"/>
          <w:highlight w:val="none"/>
        </w:rPr>
      </w:pPr>
      <w:r>
        <w:rPr>
          <w:rFonts w:hint="eastAsia" w:ascii="宋体" w:hAnsi="宋体" w:cs="宋体"/>
          <w:b/>
          <w:sz w:val="28"/>
          <w:szCs w:val="30"/>
          <w:highlight w:val="none"/>
        </w:rPr>
        <w:t>投标人基本情况表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投标人名称</w:t>
            </w:r>
          </w:p>
        </w:tc>
        <w:tc>
          <w:tcPr>
            <w:tcW w:w="6339" w:type="dxa"/>
            <w:gridSpan w:val="3"/>
            <w:vAlign w:val="center"/>
          </w:tcPr>
          <w:p>
            <w:pPr>
              <w:ind w:firstLine="480"/>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地址</w:t>
            </w:r>
          </w:p>
        </w:tc>
        <w:tc>
          <w:tcPr>
            <w:tcW w:w="6339" w:type="dxa"/>
            <w:gridSpan w:val="3"/>
            <w:vAlign w:val="center"/>
          </w:tcPr>
          <w:p>
            <w:pPr>
              <w:ind w:firstLine="480"/>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业务（经营）范围</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机构类型</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成立时间</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法定代表人</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联系电话</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注册资本</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技术人员数</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是否依法纳税</w:t>
            </w:r>
          </w:p>
        </w:tc>
        <w:tc>
          <w:tcPr>
            <w:tcW w:w="2118" w:type="dxa"/>
            <w:vAlign w:val="center"/>
          </w:tcPr>
          <w:p>
            <w:pPr>
              <w:rPr>
                <w:rFonts w:ascii="宋体" w:hAnsi="宋体" w:cs="宋体"/>
                <w:color w:val="000000"/>
                <w:sz w:val="22"/>
                <w:szCs w:val="28"/>
                <w:highlight w:val="none"/>
              </w:rPr>
            </w:pPr>
          </w:p>
        </w:tc>
        <w:tc>
          <w:tcPr>
            <w:tcW w:w="1980" w:type="dxa"/>
            <w:vAlign w:val="center"/>
          </w:tcPr>
          <w:p>
            <w:pPr>
              <w:jc w:val="center"/>
              <w:rPr>
                <w:rFonts w:ascii="宋体" w:hAnsi="宋体" w:cs="宋体"/>
                <w:color w:val="000000"/>
                <w:sz w:val="22"/>
                <w:szCs w:val="28"/>
                <w:highlight w:val="none"/>
              </w:rPr>
            </w:pPr>
            <w:r>
              <w:rPr>
                <w:rFonts w:hint="eastAsia" w:ascii="宋体" w:hAnsi="宋体" w:cs="宋体"/>
                <w:color w:val="000000"/>
                <w:sz w:val="22"/>
                <w:szCs w:val="28"/>
                <w:highlight w:val="none"/>
              </w:rPr>
              <w:t>是否参加社保</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服务机构情况</w:t>
            </w:r>
          </w:p>
        </w:tc>
        <w:tc>
          <w:tcPr>
            <w:tcW w:w="6339" w:type="dxa"/>
            <w:gridSpan w:val="3"/>
            <w:vAlign w:val="center"/>
          </w:tcPr>
          <w:p>
            <w:pPr>
              <w:jc w:val="left"/>
              <w:rPr>
                <w:rFonts w:ascii="宋体" w:hAnsi="宋体" w:cs="宋体"/>
                <w:color w:val="000000"/>
                <w:sz w:val="22"/>
                <w:szCs w:val="28"/>
                <w:highlight w:val="none"/>
              </w:rPr>
            </w:pPr>
            <w:r>
              <w:rPr>
                <w:rFonts w:hint="eastAsia" w:ascii="宋体" w:hAnsi="宋体" w:cs="宋体"/>
                <w:color w:val="000000"/>
                <w:sz w:val="22"/>
                <w:szCs w:val="28"/>
                <w:highlight w:val="none"/>
              </w:rPr>
              <w:t>服务机构名称：</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地址：</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人员状况：</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联系方式：</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（可另附纸说明）</w:t>
            </w:r>
          </w:p>
        </w:tc>
      </w:tr>
    </w:tbl>
    <w:p>
      <w:pPr>
        <w:wordWrap w:val="0"/>
        <w:spacing w:before="120" w:beforeLines="50"/>
        <w:rPr>
          <w:rFonts w:ascii="宋体" w:hAnsi="宋体" w:cs="宋体"/>
          <w:b/>
          <w:bCs/>
          <w:sz w:val="24"/>
          <w:highlight w:val="none"/>
          <w:lang w:bidi="ar"/>
        </w:rPr>
      </w:pPr>
    </w:p>
    <w:p>
      <w:pPr>
        <w:wordWrap w:val="0"/>
        <w:spacing w:line="360" w:lineRule="auto"/>
        <w:ind w:firstLine="480"/>
        <w:jc w:val="right"/>
        <w:rPr>
          <w:rFonts w:ascii="宋体" w:hAnsi="宋体" w:cs="宋体"/>
          <w:sz w:val="24"/>
          <w:highlight w:val="none"/>
          <w:lang w:bidi="ar"/>
        </w:rPr>
      </w:pPr>
    </w:p>
    <w:p>
      <w:pPr>
        <w:spacing w:line="360" w:lineRule="auto"/>
        <w:jc w:val="left"/>
        <w:rPr>
          <w:rFonts w:ascii="宋体" w:hAnsi="宋体" w:cs="宋体"/>
          <w:sz w:val="24"/>
          <w:highlight w:val="none"/>
          <w:u w:val="single"/>
          <w:lang w:bidi="ar"/>
        </w:rPr>
      </w:pPr>
      <w:r>
        <w:rPr>
          <w:rFonts w:hint="eastAsia" w:ascii="宋体" w:hAnsi="宋体" w:cs="宋体"/>
          <w:sz w:val="24"/>
          <w:highlight w:val="none"/>
          <w:lang w:bidi="ar"/>
        </w:rPr>
        <w:t>投标人名称（加盖公章）：</w:t>
      </w:r>
      <w:r>
        <w:rPr>
          <w:rFonts w:hint="eastAsia" w:ascii="宋体" w:hAnsi="宋体" w:cs="宋体"/>
          <w:sz w:val="24"/>
          <w:highlight w:val="none"/>
          <w:u w:val="single"/>
          <w:lang w:bidi="ar"/>
        </w:rPr>
        <w:t xml:space="preserve">                  </w:t>
      </w:r>
    </w:p>
    <w:p>
      <w:pPr>
        <w:spacing w:line="360" w:lineRule="auto"/>
        <w:jc w:val="left"/>
        <w:rPr>
          <w:rFonts w:ascii="宋体" w:hAnsi="宋体" w:cs="宋体"/>
          <w:sz w:val="24"/>
          <w:highlight w:val="none"/>
          <w:u w:val="single"/>
          <w:lang w:bidi="ar"/>
        </w:rPr>
      </w:pPr>
      <w:r>
        <w:rPr>
          <w:rFonts w:hint="eastAsia" w:ascii="宋体" w:hAnsi="宋体"/>
          <w:sz w:val="24"/>
          <w:highlight w:val="none"/>
        </w:rPr>
        <w:t>法定代表人或被授权人（签字或盖章）</w:t>
      </w:r>
      <w:r>
        <w:rPr>
          <w:rFonts w:hint="eastAsia" w:ascii="宋体" w:hAnsi="宋体" w:cs="宋体"/>
          <w:sz w:val="24"/>
          <w:highlight w:val="none"/>
        </w:rPr>
        <w:t>：</w:t>
      </w:r>
      <w:r>
        <w:rPr>
          <w:rFonts w:hint="eastAsia" w:ascii="宋体" w:hAnsi="宋体" w:cs="宋体"/>
          <w:sz w:val="24"/>
          <w:highlight w:val="none"/>
          <w:u w:val="single"/>
        </w:rPr>
        <w:t xml:space="preserve">                  </w:t>
      </w:r>
    </w:p>
    <w:p>
      <w:pPr>
        <w:pStyle w:val="966"/>
        <w:spacing w:line="360" w:lineRule="auto"/>
        <w:jc w:val="left"/>
        <w:rPr>
          <w:rFonts w:hAnsi="宋体" w:eastAsia="宋体" w:cs="宋体"/>
          <w:sz w:val="24"/>
          <w:szCs w:val="24"/>
          <w:highlight w:val="none"/>
          <w:lang w:bidi="ar"/>
        </w:rPr>
      </w:pPr>
      <w:r>
        <w:rPr>
          <w:rFonts w:hint="eastAsia" w:hAnsi="宋体" w:eastAsia="宋体" w:cs="宋体"/>
          <w:sz w:val="24"/>
          <w:szCs w:val="24"/>
          <w:highlight w:val="none"/>
          <w:lang w:bidi="ar"/>
        </w:rPr>
        <w:t>日期：_____年____月____日</w:t>
      </w: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r>
        <w:rPr>
          <w:rFonts w:hint="eastAsia" w:hAnsi="宋体" w:eastAsia="宋体" w:cs="宋体"/>
          <w:b/>
          <w:sz w:val="24"/>
          <w:szCs w:val="24"/>
          <w:highlight w:val="none"/>
        </w:rPr>
        <w:t>类似业绩一览表</w:t>
      </w:r>
    </w:p>
    <w:tbl>
      <w:tblPr>
        <w:tblStyle w:val="63"/>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序号</w:t>
            </w:r>
          </w:p>
        </w:tc>
        <w:tc>
          <w:tcPr>
            <w:tcW w:w="2943" w:type="dxa"/>
            <w:vAlign w:val="center"/>
          </w:tcPr>
          <w:p>
            <w:pPr>
              <w:jc w:val="center"/>
              <w:rPr>
                <w:rFonts w:ascii="宋体" w:hAnsi="宋体"/>
                <w:bCs/>
                <w:szCs w:val="21"/>
                <w:highlight w:val="none"/>
              </w:rPr>
            </w:pPr>
            <w:r>
              <w:rPr>
                <w:rFonts w:hint="eastAsia" w:ascii="宋体" w:hAnsi="宋体"/>
                <w:bCs/>
                <w:szCs w:val="21"/>
                <w:highlight w:val="none"/>
              </w:rPr>
              <w:t>采购人名称</w:t>
            </w:r>
          </w:p>
        </w:tc>
        <w:tc>
          <w:tcPr>
            <w:tcW w:w="2565" w:type="dxa"/>
            <w:vAlign w:val="center"/>
          </w:tcPr>
          <w:p>
            <w:pPr>
              <w:tabs>
                <w:tab w:val="left" w:pos="6252"/>
              </w:tabs>
              <w:jc w:val="center"/>
              <w:rPr>
                <w:rFonts w:ascii="宋体" w:hAnsi="宋体"/>
                <w:bCs/>
                <w:szCs w:val="21"/>
                <w:highlight w:val="none"/>
              </w:rPr>
            </w:pPr>
            <w:r>
              <w:rPr>
                <w:rFonts w:hint="eastAsia" w:ascii="宋体" w:hAnsi="宋体"/>
                <w:bCs/>
                <w:szCs w:val="21"/>
                <w:highlight w:val="none"/>
              </w:rPr>
              <w:t>项目名称</w:t>
            </w:r>
          </w:p>
        </w:tc>
        <w:tc>
          <w:tcPr>
            <w:tcW w:w="1311" w:type="dxa"/>
            <w:vAlign w:val="center"/>
          </w:tcPr>
          <w:p>
            <w:pPr>
              <w:tabs>
                <w:tab w:val="left" w:pos="6252"/>
              </w:tabs>
              <w:jc w:val="center"/>
              <w:rPr>
                <w:rFonts w:ascii="宋体" w:hAnsi="宋体"/>
                <w:bCs/>
                <w:szCs w:val="21"/>
                <w:highlight w:val="none"/>
              </w:rPr>
            </w:pPr>
            <w:r>
              <w:rPr>
                <w:rFonts w:hint="eastAsia" w:ascii="宋体" w:hAnsi="宋体"/>
                <w:bCs/>
                <w:szCs w:val="21"/>
                <w:highlight w:val="none"/>
              </w:rPr>
              <w:t>服务内容</w:t>
            </w:r>
          </w:p>
        </w:tc>
        <w:tc>
          <w:tcPr>
            <w:tcW w:w="1311" w:type="dxa"/>
            <w:vAlign w:val="center"/>
          </w:tcPr>
          <w:p>
            <w:pPr>
              <w:tabs>
                <w:tab w:val="left" w:pos="6252"/>
              </w:tabs>
              <w:jc w:val="center"/>
              <w:rPr>
                <w:rFonts w:ascii="宋体" w:hAnsi="宋体"/>
                <w:bCs/>
                <w:szCs w:val="21"/>
                <w:highlight w:val="none"/>
              </w:rPr>
            </w:pPr>
            <w:r>
              <w:rPr>
                <w:rFonts w:hint="eastAsia" w:ascii="宋体" w:hAnsi="宋体"/>
                <w:bCs/>
                <w:szCs w:val="21"/>
                <w:highlight w:val="none"/>
              </w:rPr>
              <w:t>服务期限</w:t>
            </w:r>
          </w:p>
        </w:tc>
        <w:tc>
          <w:tcPr>
            <w:tcW w:w="1298" w:type="dxa"/>
            <w:vAlign w:val="center"/>
          </w:tcPr>
          <w:p>
            <w:pPr>
              <w:tabs>
                <w:tab w:val="left" w:pos="6252"/>
              </w:tabs>
              <w:jc w:val="center"/>
              <w:rPr>
                <w:rFonts w:ascii="宋体" w:hAnsi="宋体"/>
                <w:bCs/>
                <w:szCs w:val="21"/>
                <w:highlight w:val="none"/>
              </w:rPr>
            </w:pPr>
            <w:r>
              <w:rPr>
                <w:rFonts w:hint="eastAsia"/>
                <w:bCs/>
                <w:highlight w:val="none"/>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1</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2</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3</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4</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5</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szCs w:val="21"/>
                <w:highlight w:val="none"/>
              </w:rPr>
            </w:pPr>
            <w:r>
              <w:rPr>
                <w:rFonts w:hint="eastAsia" w:ascii="宋体" w:hAnsi="宋体"/>
                <w:szCs w:val="21"/>
                <w:highlight w:val="none"/>
              </w:rPr>
              <w:t>6</w:t>
            </w:r>
          </w:p>
        </w:tc>
        <w:tc>
          <w:tcPr>
            <w:tcW w:w="2943" w:type="dxa"/>
            <w:vAlign w:val="center"/>
          </w:tcPr>
          <w:p>
            <w:pPr>
              <w:jc w:val="center"/>
              <w:rPr>
                <w:rFonts w:ascii="宋体" w:hAnsi="宋体"/>
                <w:szCs w:val="21"/>
                <w:highlight w:val="none"/>
              </w:rPr>
            </w:pPr>
          </w:p>
        </w:tc>
        <w:tc>
          <w:tcPr>
            <w:tcW w:w="2565" w:type="dxa"/>
          </w:tcPr>
          <w:p>
            <w:pPr>
              <w:jc w:val="center"/>
              <w:rPr>
                <w:rFonts w:ascii="宋体" w:hAnsi="宋体"/>
                <w:szCs w:val="21"/>
                <w:highlight w:val="none"/>
              </w:rPr>
            </w:pPr>
          </w:p>
        </w:tc>
        <w:tc>
          <w:tcPr>
            <w:tcW w:w="1311" w:type="dxa"/>
          </w:tcPr>
          <w:p>
            <w:pPr>
              <w:jc w:val="center"/>
              <w:rPr>
                <w:rFonts w:ascii="宋体" w:hAnsi="宋体"/>
                <w:szCs w:val="21"/>
                <w:highlight w:val="none"/>
              </w:rPr>
            </w:pPr>
          </w:p>
        </w:tc>
        <w:tc>
          <w:tcPr>
            <w:tcW w:w="1311" w:type="dxa"/>
            <w:vAlign w:val="center"/>
          </w:tcPr>
          <w:p>
            <w:pPr>
              <w:jc w:val="center"/>
              <w:rPr>
                <w:rFonts w:ascii="宋体" w:hAnsi="宋体"/>
                <w:szCs w:val="21"/>
                <w:highlight w:val="none"/>
              </w:rPr>
            </w:pPr>
          </w:p>
        </w:tc>
        <w:tc>
          <w:tcPr>
            <w:tcW w:w="129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pPr>
              <w:jc w:val="center"/>
              <w:rPr>
                <w:rFonts w:ascii="宋体" w:hAnsi="宋体"/>
                <w:szCs w:val="21"/>
                <w:highlight w:val="none"/>
              </w:rPr>
            </w:pPr>
            <w:r>
              <w:rPr>
                <w:rFonts w:hint="eastAsia" w:ascii="宋体" w:hAnsi="宋体"/>
                <w:szCs w:val="21"/>
                <w:highlight w:val="none"/>
              </w:rPr>
              <w:t>…</w:t>
            </w:r>
          </w:p>
        </w:tc>
        <w:tc>
          <w:tcPr>
            <w:tcW w:w="2943" w:type="dxa"/>
            <w:vAlign w:val="center"/>
          </w:tcPr>
          <w:p>
            <w:pPr>
              <w:jc w:val="center"/>
              <w:rPr>
                <w:rFonts w:ascii="宋体" w:hAnsi="宋体"/>
                <w:szCs w:val="21"/>
                <w:highlight w:val="none"/>
              </w:rPr>
            </w:pPr>
          </w:p>
        </w:tc>
        <w:tc>
          <w:tcPr>
            <w:tcW w:w="2565" w:type="dxa"/>
          </w:tcPr>
          <w:p>
            <w:pPr>
              <w:jc w:val="center"/>
              <w:rPr>
                <w:rFonts w:ascii="宋体" w:hAnsi="宋体"/>
                <w:szCs w:val="21"/>
                <w:highlight w:val="none"/>
              </w:rPr>
            </w:pPr>
          </w:p>
        </w:tc>
        <w:tc>
          <w:tcPr>
            <w:tcW w:w="1311" w:type="dxa"/>
          </w:tcPr>
          <w:p>
            <w:pPr>
              <w:jc w:val="center"/>
              <w:rPr>
                <w:rFonts w:ascii="宋体" w:hAnsi="宋体"/>
                <w:szCs w:val="21"/>
                <w:highlight w:val="none"/>
              </w:rPr>
            </w:pPr>
          </w:p>
        </w:tc>
        <w:tc>
          <w:tcPr>
            <w:tcW w:w="1311" w:type="dxa"/>
            <w:vAlign w:val="center"/>
          </w:tcPr>
          <w:p>
            <w:pPr>
              <w:jc w:val="center"/>
              <w:rPr>
                <w:rFonts w:ascii="宋体" w:hAnsi="宋体"/>
                <w:szCs w:val="21"/>
                <w:highlight w:val="none"/>
              </w:rPr>
            </w:pPr>
          </w:p>
        </w:tc>
        <w:tc>
          <w:tcPr>
            <w:tcW w:w="1298" w:type="dxa"/>
            <w:vAlign w:val="center"/>
          </w:tcPr>
          <w:p>
            <w:pPr>
              <w:jc w:val="center"/>
              <w:rPr>
                <w:rFonts w:ascii="宋体" w:hAnsi="宋体"/>
                <w:szCs w:val="21"/>
                <w:highlight w:val="none"/>
              </w:rPr>
            </w:pPr>
          </w:p>
        </w:tc>
      </w:tr>
    </w:tbl>
    <w:p>
      <w:pPr>
        <w:pStyle w:val="966"/>
        <w:spacing w:line="360" w:lineRule="auto"/>
        <w:rPr>
          <w:rFonts w:hAnsi="宋体" w:eastAsia="宋体"/>
          <w:b/>
          <w:sz w:val="21"/>
          <w:szCs w:val="21"/>
          <w:highlight w:val="none"/>
        </w:rPr>
      </w:pPr>
      <w:r>
        <w:rPr>
          <w:rFonts w:hint="eastAsia" w:hAnsi="宋体" w:eastAsia="宋体"/>
          <w:b/>
          <w:sz w:val="21"/>
          <w:szCs w:val="21"/>
          <w:highlight w:val="none"/>
        </w:rPr>
        <w:t>注：投标人同类项目得分以本表为准，后附相关证明材料，所需的证明材料要求详见评标办法。</w:t>
      </w:r>
    </w:p>
    <w:p>
      <w:pPr>
        <w:pStyle w:val="966"/>
        <w:spacing w:line="360" w:lineRule="auto"/>
        <w:rPr>
          <w:rFonts w:hAnsi="宋体" w:eastAsia="宋体"/>
          <w:b/>
          <w:sz w:val="24"/>
          <w:szCs w:val="24"/>
          <w:highlight w:val="none"/>
        </w:rPr>
      </w:pPr>
    </w:p>
    <w:p>
      <w:pPr>
        <w:pStyle w:val="966"/>
        <w:spacing w:line="360" w:lineRule="auto"/>
        <w:rPr>
          <w:rFonts w:hAnsi="宋体" w:eastAsia="宋体"/>
          <w:b/>
          <w:sz w:val="24"/>
          <w:szCs w:val="24"/>
          <w:highlight w:val="none"/>
        </w:rPr>
      </w:pPr>
    </w:p>
    <w:p>
      <w:pPr>
        <w:snapToGrid w:val="0"/>
        <w:spacing w:before="120" w:beforeLines="50" w:line="400" w:lineRule="exact"/>
        <w:rPr>
          <w:rFonts w:ascii="宋体" w:hAnsi="宋体" w:cs="宋体"/>
          <w:sz w:val="24"/>
          <w:szCs w:val="20"/>
          <w:highlight w:val="none"/>
          <w:u w:val="single"/>
        </w:rPr>
      </w:pPr>
      <w:r>
        <w:rPr>
          <w:rFonts w:hint="eastAsia" w:ascii="宋体" w:hAnsi="宋体" w:cs="宋体"/>
          <w:sz w:val="24"/>
          <w:highlight w:val="none"/>
        </w:rPr>
        <w:t>法定代表人或被授权人签字（或盖章）：</w:t>
      </w:r>
      <w:r>
        <w:rPr>
          <w:rFonts w:hint="eastAsia" w:ascii="宋体" w:hAnsi="宋体" w:cs="宋体"/>
          <w:sz w:val="24"/>
          <w:highlight w:val="none"/>
          <w:u w:val="single"/>
        </w:rPr>
        <w:t xml:space="preserve">             </w:t>
      </w:r>
    </w:p>
    <w:p>
      <w:pPr>
        <w:snapToGrid w:val="0"/>
        <w:spacing w:before="120" w:beforeLines="50" w:after="50" w:line="400" w:lineRule="exact"/>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480" w:lineRule="exact"/>
        <w:rPr>
          <w:rFonts w:ascii="宋体" w:hAnsi="宋体"/>
          <w:b/>
          <w:color w:val="000000"/>
          <w:sz w:val="22"/>
          <w:szCs w:val="22"/>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sz w:val="24"/>
          <w:highlight w:val="none"/>
        </w:rPr>
      </w:pPr>
    </w:p>
    <w:p>
      <w:pPr>
        <w:pStyle w:val="5"/>
        <w:rPr>
          <w:rFonts w:ascii="宋体" w:hAnsi="宋体" w:cs="宋体"/>
          <w:sz w:val="24"/>
          <w:highlight w:val="none"/>
        </w:rPr>
      </w:pPr>
    </w:p>
    <w:p>
      <w:pPr>
        <w:rPr>
          <w:highlight w:val="none"/>
        </w:rPr>
      </w:pPr>
    </w:p>
    <w:p>
      <w:pPr>
        <w:pStyle w:val="83"/>
        <w:ind w:left="420" w:firstLine="480"/>
        <w:rPr>
          <w:highlight w:val="none"/>
        </w:rPr>
      </w:pPr>
    </w:p>
    <w:p>
      <w:pPr>
        <w:pStyle w:val="966"/>
        <w:spacing w:line="360" w:lineRule="auto"/>
        <w:jc w:val="center"/>
        <w:rPr>
          <w:rFonts w:hAnsi="宋体" w:eastAsia="宋体"/>
          <w:b/>
          <w:sz w:val="28"/>
          <w:szCs w:val="28"/>
          <w:highlight w:val="none"/>
        </w:rPr>
      </w:pPr>
    </w:p>
    <w:p>
      <w:pPr>
        <w:pStyle w:val="34"/>
        <w:spacing w:before="120" w:after="120" w:line="360" w:lineRule="auto"/>
        <w:jc w:val="center"/>
        <w:textAlignment w:val="baseline"/>
        <w:rPr>
          <w:rFonts w:hAnsi="宋体"/>
          <w:b/>
          <w:sz w:val="28"/>
          <w:szCs w:val="28"/>
          <w:highlight w:val="none"/>
        </w:rPr>
      </w:pPr>
    </w:p>
    <w:p>
      <w:pPr>
        <w:pStyle w:val="34"/>
        <w:spacing w:before="120" w:after="120" w:line="360" w:lineRule="auto"/>
        <w:jc w:val="center"/>
        <w:textAlignment w:val="baseline"/>
        <w:rPr>
          <w:rFonts w:hAnsi="宋体"/>
          <w:sz w:val="28"/>
          <w:szCs w:val="28"/>
          <w:highlight w:val="none"/>
        </w:rPr>
      </w:pPr>
      <w:r>
        <w:rPr>
          <w:rFonts w:hint="eastAsia" w:hAnsi="宋体"/>
          <w:b/>
          <w:sz w:val="28"/>
          <w:szCs w:val="28"/>
          <w:highlight w:val="none"/>
        </w:rPr>
        <w:t>项目实施人员表</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项目组所任职务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r>
              <w:rPr>
                <w:rFonts w:hint="eastAsia" w:ascii="宋体" w:hAnsi="宋体"/>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bl>
    <w:p>
      <w:pPr>
        <w:spacing w:line="360" w:lineRule="auto"/>
        <w:ind w:firstLine="422" w:firstLineChars="200"/>
        <w:rPr>
          <w:rFonts w:ascii="宋体" w:hAnsi="宋体"/>
          <w:b/>
          <w:szCs w:val="21"/>
          <w:highlight w:val="none"/>
        </w:rPr>
      </w:pPr>
    </w:p>
    <w:p>
      <w:pPr>
        <w:spacing w:line="360" w:lineRule="auto"/>
        <w:ind w:firstLine="422" w:firstLineChars="200"/>
        <w:rPr>
          <w:rFonts w:ascii="宋体" w:hAnsi="宋体"/>
          <w:b/>
          <w:szCs w:val="21"/>
          <w:highlight w:val="none"/>
        </w:rPr>
      </w:pPr>
      <w:r>
        <w:rPr>
          <w:rFonts w:hint="eastAsia" w:ascii="宋体" w:hAnsi="宋体"/>
          <w:b/>
          <w:szCs w:val="21"/>
          <w:highlight w:val="none"/>
        </w:rPr>
        <w:t>注：1、相关证明材料附后，所需的证明材料要求详见评标办法。</w:t>
      </w:r>
    </w:p>
    <w:p>
      <w:pPr>
        <w:spacing w:line="360" w:lineRule="auto"/>
        <w:ind w:firstLine="422" w:firstLineChars="200"/>
        <w:rPr>
          <w:rFonts w:ascii="宋体" w:hAnsi="宋体"/>
          <w:b/>
          <w:szCs w:val="21"/>
          <w:highlight w:val="none"/>
        </w:rPr>
      </w:pPr>
      <w:r>
        <w:rPr>
          <w:rFonts w:hint="eastAsia" w:ascii="宋体" w:hAnsi="宋体"/>
          <w:b/>
          <w:szCs w:val="21"/>
          <w:highlight w:val="none"/>
        </w:rPr>
        <w:t>2、表格不够填写可添加。</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83"/>
        <w:ind w:left="0" w:leftChars="0" w:firstLine="0" w:firstLineChars="0"/>
        <w:rPr>
          <w:rFonts w:hAnsi="宋体"/>
          <w:highlight w:val="none"/>
        </w:rPr>
      </w:pPr>
      <w:r>
        <w:rPr>
          <w:rFonts w:hint="eastAsia" w:ascii="宋体" w:hAnsi="宋体" w:cs="宋体"/>
          <w:highlight w:val="none"/>
        </w:rPr>
        <w:t>投标人名称（加盖公章）</w:t>
      </w:r>
      <w:r>
        <w:rPr>
          <w:rFonts w:hint="eastAsia" w:hAnsi="宋体"/>
          <w:highlight w:val="none"/>
          <w:u w:val="single"/>
        </w:rPr>
        <w:t>：</w:t>
      </w:r>
      <w:r>
        <w:rPr>
          <w:rFonts w:hAnsi="宋体"/>
          <w:highlight w:val="none"/>
          <w:u w:val="single"/>
        </w:rPr>
        <w:t xml:space="preserve">                  </w:t>
      </w:r>
      <w:r>
        <w:rPr>
          <w:rFonts w:hAnsi="宋体"/>
          <w:highlight w:val="none"/>
        </w:rPr>
        <w:t xml:space="preserve">        </w:t>
      </w:r>
      <w:r>
        <w:rPr>
          <w:rFonts w:hint="eastAsia" w:hAnsi="宋体"/>
          <w:highlight w:val="none"/>
        </w:rPr>
        <w:t xml:space="preserve">    </w:t>
      </w:r>
    </w:p>
    <w:p>
      <w:pPr>
        <w:pStyle w:val="83"/>
        <w:ind w:left="0" w:leftChars="0" w:firstLine="0" w:firstLineChars="0"/>
        <w:rPr>
          <w:rFonts w:ascii="宋体" w:hAnsi="宋体"/>
          <w:b/>
          <w:sz w:val="28"/>
          <w:szCs w:val="28"/>
          <w:highlight w:val="none"/>
        </w:rPr>
      </w:pPr>
      <w:r>
        <w:rPr>
          <w:rFonts w:hint="eastAsia" w:hAnsi="宋体" w:cs="宋体"/>
          <w:highlight w:val="none"/>
        </w:rPr>
        <w:t>日期：_____年____月____日</w:t>
      </w:r>
    </w:p>
    <w:p>
      <w:pPr>
        <w:pStyle w:val="83"/>
        <w:ind w:left="420" w:firstLine="0" w:firstLineChars="0"/>
        <w:rPr>
          <w:rFonts w:ascii="宋体" w:hAnsi="宋体"/>
          <w:b/>
          <w:sz w:val="28"/>
          <w:szCs w:val="28"/>
          <w:highlight w:val="none"/>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spacing w:line="360" w:lineRule="auto"/>
        <w:rPr>
          <w:b/>
          <w:sz w:val="24"/>
          <w:highlight w:val="none"/>
        </w:rPr>
      </w:pPr>
    </w:p>
    <w:p>
      <w:pPr>
        <w:pStyle w:val="966"/>
        <w:spacing w:line="360" w:lineRule="auto"/>
        <w:rPr>
          <w:rFonts w:hAnsi="宋体" w:eastAsia="宋体"/>
          <w:b/>
          <w:sz w:val="24"/>
          <w:szCs w:val="24"/>
          <w:highlight w:val="none"/>
        </w:rPr>
      </w:pPr>
    </w:p>
    <w:p>
      <w:pPr>
        <w:pStyle w:val="974"/>
        <w:spacing w:line="276" w:lineRule="auto"/>
        <w:jc w:val="center"/>
        <w:rPr>
          <w:rFonts w:hAnsi="宋体" w:eastAsia="宋体" w:cs="宋体"/>
          <w:b/>
          <w:sz w:val="28"/>
          <w:szCs w:val="28"/>
          <w:highlight w:val="none"/>
        </w:rPr>
      </w:pPr>
    </w:p>
    <w:p>
      <w:pPr>
        <w:pStyle w:val="974"/>
        <w:spacing w:line="276" w:lineRule="auto"/>
        <w:jc w:val="center"/>
        <w:rPr>
          <w:rFonts w:hAnsi="宋体" w:eastAsia="宋体" w:cs="宋体"/>
          <w:b/>
          <w:sz w:val="28"/>
          <w:szCs w:val="28"/>
          <w:highlight w:val="none"/>
        </w:rPr>
      </w:pPr>
      <w:r>
        <w:rPr>
          <w:rFonts w:hint="eastAsia" w:hAnsi="宋体" w:eastAsia="宋体" w:cs="宋体"/>
          <w:b/>
          <w:sz w:val="28"/>
          <w:szCs w:val="28"/>
          <w:highlight w:val="none"/>
        </w:rPr>
        <w:t>商务响应（偏离）表</w:t>
      </w:r>
    </w:p>
    <w:tbl>
      <w:tblPr>
        <w:tblStyle w:val="63"/>
        <w:tblpPr w:leftFromText="180" w:rightFromText="180" w:vertAnchor="text" w:horzAnchor="page" w:tblpX="1587" w:tblpY="32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pPr>
              <w:spacing w:before="240" w:after="240"/>
              <w:rPr>
                <w:rFonts w:ascii="宋体" w:hAnsi="宋体" w:cs="宋体"/>
                <w:b/>
                <w:bCs/>
                <w:sz w:val="24"/>
                <w:highlight w:val="none"/>
              </w:rPr>
            </w:pPr>
            <w:r>
              <w:rPr>
                <w:rFonts w:hint="eastAsia" w:ascii="宋体" w:hAnsi="宋体" w:cs="宋体"/>
                <w:b/>
                <w:bCs/>
                <w:sz w:val="24"/>
                <w:highlight w:val="none"/>
              </w:rPr>
              <w:t>序号</w:t>
            </w:r>
          </w:p>
        </w:tc>
        <w:tc>
          <w:tcPr>
            <w:tcW w:w="3086"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采购文件的规定</w:t>
            </w:r>
          </w:p>
        </w:tc>
        <w:tc>
          <w:tcPr>
            <w:tcW w:w="3086"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投标文件的响应</w:t>
            </w:r>
          </w:p>
        </w:tc>
        <w:tc>
          <w:tcPr>
            <w:tcW w:w="2107"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1</w:t>
            </w:r>
          </w:p>
        </w:tc>
        <w:tc>
          <w:tcPr>
            <w:tcW w:w="3086" w:type="dxa"/>
            <w:tcBorders>
              <w:tl2br w:val="nil"/>
              <w:tr2bl w:val="nil"/>
            </w:tcBorders>
            <w:vAlign w:val="center"/>
          </w:tcPr>
          <w:p>
            <w:pPr>
              <w:spacing w:before="120" w:beforeLines="50" w:after="120" w:afterLines="50" w:line="300" w:lineRule="auto"/>
              <w:jc w:val="center"/>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2</w:t>
            </w:r>
          </w:p>
        </w:tc>
        <w:tc>
          <w:tcPr>
            <w:tcW w:w="3086" w:type="dxa"/>
            <w:tcBorders>
              <w:tl2br w:val="nil"/>
              <w:tr2bl w:val="nil"/>
            </w:tcBorders>
            <w:vAlign w:val="center"/>
          </w:tcPr>
          <w:p>
            <w:pPr>
              <w:spacing w:before="120" w:beforeLines="50" w:after="120" w:afterLines="50" w:line="300" w:lineRule="auto"/>
              <w:jc w:val="center"/>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c>
          <w:tcPr>
            <w:tcW w:w="2107"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r>
    </w:tbl>
    <w:p>
      <w:pPr>
        <w:spacing w:line="360" w:lineRule="auto"/>
        <w:ind w:firstLine="482"/>
        <w:rPr>
          <w:rFonts w:ascii="宋体" w:hAnsi="宋体" w:cs="宋体"/>
          <w:b/>
          <w:sz w:val="24"/>
          <w:highlight w:val="none"/>
        </w:rPr>
      </w:pPr>
      <w:r>
        <w:rPr>
          <w:rFonts w:hint="eastAsia" w:ascii="宋体" w:hAnsi="宋体" w:cs="宋体"/>
          <w:b/>
          <w:sz w:val="24"/>
          <w:highlight w:val="none"/>
        </w:rPr>
        <w:t>注：1、供应商的响应文件（除技术规格部分）与采购文件之规定存在偏离的，应在此表中如实说明。未在上表中说明的，将被认为完全响应采购文件的规定。</w:t>
      </w:r>
    </w:p>
    <w:p>
      <w:pPr>
        <w:numPr>
          <w:ilvl w:val="0"/>
          <w:numId w:val="6"/>
        </w:numPr>
        <w:snapToGrid w:val="0"/>
        <w:spacing w:before="120" w:beforeLines="50" w:after="50" w:line="360" w:lineRule="auto"/>
        <w:rPr>
          <w:rFonts w:ascii="宋体" w:hAnsi="宋体" w:cs="宋体"/>
          <w:b/>
          <w:sz w:val="24"/>
          <w:highlight w:val="none"/>
        </w:rPr>
      </w:pPr>
      <w:r>
        <w:rPr>
          <w:rFonts w:hint="eastAsia" w:ascii="宋体" w:hAnsi="宋体" w:cs="宋体"/>
          <w:b/>
          <w:sz w:val="24"/>
          <w:highlight w:val="none"/>
        </w:rPr>
        <w:t>上表中行数不够可自行添加</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74"/>
        <w:spacing w:line="360" w:lineRule="auto"/>
        <w:ind w:right="480"/>
        <w:rPr>
          <w:rFonts w:hAnsi="宋体" w:eastAsia="宋体"/>
          <w:sz w:val="24"/>
          <w:szCs w:val="24"/>
          <w:highlight w:val="none"/>
        </w:rPr>
      </w:pPr>
      <w:r>
        <w:rPr>
          <w:rFonts w:hint="eastAsia" w:hAnsi="宋体" w:eastAsia="宋体"/>
          <w:sz w:val="24"/>
          <w:szCs w:val="24"/>
          <w:highlight w:val="none"/>
        </w:rPr>
        <w:t>投标人名称(公章)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snapToGrid w:val="0"/>
        <w:spacing w:before="120" w:beforeLines="50" w:after="50"/>
        <w:jc w:val="left"/>
        <w:rPr>
          <w:rFonts w:ascii="宋体" w:hAnsi="宋体" w:cs="宋体"/>
          <w:b/>
          <w:sz w:val="32"/>
          <w:szCs w:val="32"/>
          <w:highlight w:val="none"/>
        </w:rPr>
      </w:pPr>
      <w:r>
        <w:rPr>
          <w:rFonts w:hint="eastAsia" w:ascii="宋体" w:hAnsi="宋体"/>
          <w:sz w:val="24"/>
          <w:highlight w:val="none"/>
        </w:rPr>
        <w:t>日期：_____年____月____日</w:t>
      </w:r>
    </w:p>
    <w:p>
      <w:pPr>
        <w:pStyle w:val="966"/>
        <w:spacing w:line="360" w:lineRule="auto"/>
        <w:ind w:right="480"/>
        <w:rPr>
          <w:rFonts w:hAnsi="宋体" w:eastAsia="宋体" w:cs="宋体"/>
          <w:sz w:val="24"/>
          <w:szCs w:val="24"/>
          <w:highlight w:val="none"/>
        </w:rPr>
      </w:pPr>
    </w:p>
    <w:p>
      <w:pPr>
        <w:pStyle w:val="966"/>
        <w:spacing w:line="360" w:lineRule="auto"/>
        <w:ind w:right="480"/>
        <w:rPr>
          <w:rFonts w:hAnsi="宋体" w:eastAsia="宋体" w:cs="宋体"/>
          <w:sz w:val="24"/>
          <w:szCs w:val="24"/>
          <w:highlight w:val="none"/>
        </w:rPr>
      </w:pPr>
    </w:p>
    <w:p>
      <w:pPr>
        <w:pStyle w:val="966"/>
        <w:spacing w:line="360" w:lineRule="auto"/>
        <w:ind w:right="480"/>
        <w:rPr>
          <w:rFonts w:hAnsi="宋体" w:eastAsia="宋体" w:cs="宋体"/>
          <w:sz w:val="24"/>
          <w:szCs w:val="24"/>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r>
        <w:rPr>
          <w:rFonts w:hint="eastAsia" w:ascii="宋体" w:hAnsi="宋体" w:cs="宋体"/>
          <w:b/>
          <w:sz w:val="32"/>
          <w:szCs w:val="32"/>
          <w:highlight w:val="none"/>
        </w:rPr>
        <w:t>投标函</w:t>
      </w:r>
    </w:p>
    <w:p>
      <w:pPr>
        <w:snapToGrid w:val="0"/>
        <w:spacing w:line="360" w:lineRule="auto"/>
        <w:rPr>
          <w:rFonts w:ascii="宋体" w:hAnsi="宋体" w:cs="宋体"/>
          <w:sz w:val="24"/>
          <w:szCs w:val="20"/>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 xml:space="preserve">（采购人）：  </w:t>
      </w:r>
    </w:p>
    <w:p>
      <w:pPr>
        <w:snapToGrid w:val="0"/>
        <w:spacing w:before="120" w:beforeLines="50" w:after="50" w:line="360" w:lineRule="auto"/>
        <w:ind w:firstLine="480" w:firstLineChars="200"/>
        <w:rPr>
          <w:rFonts w:ascii="宋体" w:hAnsi="宋体" w:cs="宋体"/>
          <w:bCs/>
          <w:sz w:val="24"/>
          <w:szCs w:val="20"/>
          <w:highlight w:val="none"/>
        </w:rPr>
      </w:pPr>
      <w:r>
        <w:rPr>
          <w:rFonts w:hint="eastAsia" w:ascii="宋体" w:hAnsi="宋体" w:cs="宋体"/>
          <w:sz w:val="24"/>
          <w:highlight w:val="none"/>
        </w:rPr>
        <w:t>根据贵方为</w:t>
      </w:r>
      <w:r>
        <w:rPr>
          <w:rFonts w:hint="eastAsia" w:ascii="宋体" w:hAnsi="宋体" w:cs="宋体"/>
          <w:bCs/>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的招标公告（项目编号：</w:t>
      </w:r>
      <w:r>
        <w:rPr>
          <w:rFonts w:hint="eastAsia" w:ascii="宋体" w:hAnsi="宋体" w:cs="宋体"/>
          <w:sz w:val="24"/>
          <w:highlight w:val="none"/>
          <w:u w:val="single"/>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（全名）经正式授权并代表投标人_</w:t>
      </w:r>
      <w:r>
        <w:rPr>
          <w:rFonts w:hint="eastAsia" w:ascii="宋体" w:hAnsi="宋体" w:cs="宋体"/>
          <w:sz w:val="24"/>
          <w:highlight w:val="none"/>
          <w:u w:val="single"/>
        </w:rPr>
        <w:t xml:space="preserve">                      </w:t>
      </w:r>
      <w:r>
        <w:rPr>
          <w:rFonts w:hint="eastAsia" w:ascii="宋体" w:hAnsi="宋体" w:cs="宋体"/>
          <w:sz w:val="24"/>
          <w:highlight w:val="none"/>
        </w:rPr>
        <w:t>（投标人名称）提交电子版投标文件（资格响应文件、商务技术响应文件、报价响应文件）。</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据此函，签字代表宣布同意如下：</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3.本投标有效期自开标日起 ______个日。</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5.投标人同意按照贵方要求提供与投标有关的一切数据或资料。</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6.与本投标有关的一切正式往来信函请寄：</w:t>
      </w:r>
    </w:p>
    <w:p>
      <w:pPr>
        <w:snapToGrid w:val="0"/>
        <w:spacing w:line="360" w:lineRule="auto"/>
        <w:rPr>
          <w:rFonts w:ascii="宋体" w:hAnsi="宋体" w:cs="宋体"/>
          <w:sz w:val="24"/>
          <w:szCs w:val="20"/>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邮编：__________  电话：_____________</w:t>
      </w:r>
    </w:p>
    <w:p>
      <w:pPr>
        <w:snapToGrid w:val="0"/>
        <w:spacing w:line="360" w:lineRule="auto"/>
        <w:rPr>
          <w:rFonts w:ascii="宋体" w:hAnsi="宋体" w:cs="宋体"/>
          <w:sz w:val="24"/>
          <w:highlight w:val="none"/>
          <w:u w:val="single"/>
        </w:rPr>
      </w:pPr>
      <w:r>
        <w:rPr>
          <w:rFonts w:hint="eastAsia" w:ascii="宋体" w:hAnsi="宋体" w:cs="宋体"/>
          <w:sz w:val="24"/>
          <w:highlight w:val="none"/>
        </w:rPr>
        <w:t>传真：______________投标人代表姓名：__________  职务：</w:t>
      </w:r>
      <w:r>
        <w:rPr>
          <w:rFonts w:hint="eastAsia" w:ascii="宋体" w:hAnsi="宋体" w:cs="宋体"/>
          <w:sz w:val="24"/>
          <w:highlight w:val="none"/>
          <w:u w:val="single"/>
        </w:rPr>
        <w:t xml:space="preserve">               </w:t>
      </w:r>
    </w:p>
    <w:p>
      <w:pPr>
        <w:snapToGrid w:val="0"/>
        <w:spacing w:line="360" w:lineRule="auto"/>
        <w:rPr>
          <w:rFonts w:ascii="宋体" w:hAnsi="宋体" w:cs="宋体"/>
          <w:sz w:val="24"/>
          <w:szCs w:val="20"/>
          <w:highlight w:val="none"/>
        </w:rPr>
      </w:pPr>
      <w:r>
        <w:rPr>
          <w:rFonts w:hint="eastAsia" w:ascii="宋体" w:hAnsi="宋体" w:cs="宋体"/>
          <w:sz w:val="24"/>
          <w:highlight w:val="none"/>
        </w:rPr>
        <w:t>投标人名称(公章):___________________</w:t>
      </w:r>
    </w:p>
    <w:p>
      <w:pPr>
        <w:snapToGrid w:val="0"/>
        <w:spacing w:line="360" w:lineRule="auto"/>
        <w:rPr>
          <w:rFonts w:ascii="宋体" w:hAnsi="宋体" w:cs="宋体"/>
          <w:sz w:val="24"/>
          <w:szCs w:val="20"/>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银行帐号：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法定代表人或授权委托人（签名）：            投标人名称（加盖公章）：          </w:t>
      </w:r>
    </w:p>
    <w:p>
      <w:pPr>
        <w:snapToGrid w:val="0"/>
        <w:spacing w:line="360" w:lineRule="auto"/>
        <w:ind w:firstLine="5040" w:firstLineChars="2100"/>
        <w:rPr>
          <w:rFonts w:ascii="宋体" w:hAnsi="宋体" w:cs="宋体"/>
          <w:sz w:val="24"/>
          <w:highlight w:val="none"/>
        </w:rPr>
      </w:pPr>
    </w:p>
    <w:p>
      <w:pPr>
        <w:snapToGrid w:val="0"/>
        <w:spacing w:line="360" w:lineRule="auto"/>
        <w:ind w:firstLine="5040" w:firstLineChars="2100"/>
        <w:rPr>
          <w:rFonts w:ascii="宋体" w:hAnsi="宋体" w:cs="宋体"/>
          <w:sz w:val="24"/>
          <w:highlight w:val="none"/>
        </w:rPr>
      </w:pPr>
      <w:r>
        <w:rPr>
          <w:rFonts w:hint="eastAsia" w:ascii="宋体" w:hAnsi="宋体" w:cs="宋体"/>
          <w:sz w:val="24"/>
          <w:highlight w:val="none"/>
        </w:rPr>
        <w:t>日期:_____年___月___日</w:t>
      </w: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pStyle w:val="2"/>
        <w:rPr>
          <w:rFonts w:hAnsi="宋体" w:cs="宋体"/>
          <w:highlight w:val="none"/>
        </w:rPr>
      </w:pPr>
    </w:p>
    <w:p>
      <w:pPr>
        <w:pStyle w:val="2"/>
        <w:rPr>
          <w:rFonts w:hAnsi="宋体" w:cs="宋体"/>
          <w:highlight w:val="none"/>
        </w:rPr>
      </w:pPr>
    </w:p>
    <w:bookmarkEnd w:id="35"/>
    <w:p>
      <w:pPr>
        <w:snapToGrid w:val="0"/>
        <w:spacing w:before="50" w:after="50"/>
        <w:jc w:val="center"/>
        <w:rPr>
          <w:rFonts w:ascii="宋体" w:hAnsi="宋体" w:cs="宋体"/>
          <w:b/>
          <w:sz w:val="24"/>
          <w:highlight w:val="none"/>
        </w:rPr>
      </w:pPr>
    </w:p>
    <w:p>
      <w:pPr>
        <w:snapToGrid w:val="0"/>
        <w:spacing w:before="50" w:after="50"/>
        <w:jc w:val="center"/>
        <w:rPr>
          <w:rFonts w:ascii="宋体" w:hAnsi="宋体" w:cs="宋体"/>
          <w:b/>
          <w:sz w:val="24"/>
          <w:highlight w:val="none"/>
        </w:rPr>
      </w:pPr>
    </w:p>
    <w:p>
      <w:pPr>
        <w:snapToGrid w:val="0"/>
        <w:spacing w:before="50" w:after="50"/>
        <w:jc w:val="center"/>
        <w:rPr>
          <w:rFonts w:ascii="宋体" w:hAnsi="宋体" w:cs="宋体"/>
          <w:b/>
          <w:sz w:val="24"/>
          <w:highlight w:val="none"/>
        </w:rPr>
      </w:pPr>
    </w:p>
    <w:p>
      <w:pPr>
        <w:snapToGrid w:val="0"/>
        <w:spacing w:before="50" w:after="50"/>
        <w:jc w:val="center"/>
        <w:rPr>
          <w:rFonts w:ascii="宋体" w:hAnsi="宋体" w:cs="宋体"/>
          <w:b/>
          <w:sz w:val="24"/>
          <w:highlight w:val="none"/>
        </w:rPr>
      </w:pPr>
      <w:r>
        <w:rPr>
          <w:rFonts w:hint="eastAsia" w:ascii="宋体" w:hAnsi="宋体" w:cs="宋体"/>
          <w:b/>
          <w:sz w:val="24"/>
          <w:highlight w:val="none"/>
        </w:rPr>
        <w:t>开标一览表</w:t>
      </w:r>
    </w:p>
    <w:p>
      <w:pPr>
        <w:snapToGrid w:val="0"/>
        <w:spacing w:before="50" w:after="50"/>
        <w:jc w:val="center"/>
        <w:rPr>
          <w:rFonts w:ascii="宋体" w:hAnsi="宋体" w:cs="宋体"/>
          <w:b/>
          <w:sz w:val="24"/>
          <w:szCs w:val="20"/>
          <w:highlight w:val="none"/>
        </w:rPr>
      </w:pPr>
    </w:p>
    <w:p>
      <w:pPr>
        <w:snapToGrid w:val="0"/>
        <w:spacing w:before="50" w:after="50"/>
        <w:ind w:right="480"/>
        <w:rPr>
          <w:rFonts w:ascii="宋体" w:hAnsi="宋体" w:cs="宋体"/>
          <w:sz w:val="24"/>
          <w:highlight w:val="none"/>
          <w:u w:val="single"/>
        </w:rPr>
      </w:pP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 xml:space="preserve">                      单位：</w:t>
      </w:r>
      <w:r>
        <w:rPr>
          <w:rFonts w:hint="eastAsia" w:ascii="宋体" w:hAnsi="宋体"/>
          <w:sz w:val="24"/>
          <w:highlight w:val="none"/>
        </w:rPr>
        <w:t>人民币</w:t>
      </w:r>
      <w:r>
        <w:rPr>
          <w:rFonts w:hint="eastAsia" w:ascii="宋体" w:hAnsi="宋体" w:cs="宋体"/>
          <w:sz w:val="24"/>
          <w:highlight w:val="none"/>
        </w:rPr>
        <w:t>元</w:t>
      </w:r>
    </w:p>
    <w:p>
      <w:pPr>
        <w:snapToGrid w:val="0"/>
        <w:spacing w:before="50" w:after="50"/>
        <w:ind w:right="480"/>
        <w:jc w:val="right"/>
        <w:rPr>
          <w:rFonts w:ascii="宋体" w:hAnsi="宋体" w:cs="宋体"/>
          <w:sz w:val="24"/>
          <w:highlight w:val="none"/>
        </w:rPr>
      </w:pPr>
      <w:r>
        <w:rPr>
          <w:rFonts w:hint="eastAsia" w:ascii="宋体" w:hAnsi="宋体" w:cs="宋体"/>
          <w:sz w:val="24"/>
          <w:highlight w:val="none"/>
        </w:rPr>
        <w:t xml:space="preserve">            </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eastAsia="仿宋_GB2312"/>
                <w:b/>
                <w:szCs w:val="21"/>
                <w:highlight w:val="none"/>
              </w:rPr>
            </w:pPr>
            <w:r>
              <w:rPr>
                <w:rFonts w:hint="eastAsia"/>
                <w:b/>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b/>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pPr>
              <w:snapToGrid w:val="0"/>
              <w:spacing w:before="100" w:beforeAutospacing="1" w:after="100" w:afterAutospacing="1" w:line="276" w:lineRule="auto"/>
              <w:jc w:val="center"/>
              <w:rPr>
                <w:b/>
                <w:szCs w:val="21"/>
                <w:highlight w:val="none"/>
              </w:rPr>
            </w:pPr>
            <w:r>
              <w:rPr>
                <w:rFonts w:hint="eastAsia"/>
                <w:b/>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szCs w:val="21"/>
                <w:highlight w:val="none"/>
              </w:rPr>
            </w:pPr>
            <w:r>
              <w:rPr>
                <w:rFonts w:hint="eastAsia" w:eastAsia="仿宋_GB2312"/>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b/>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szCs w:val="21"/>
                <w:highlight w:val="none"/>
              </w:rPr>
            </w:pPr>
            <w:r>
              <w:rPr>
                <w:rFonts w:hint="eastAsia" w:eastAsia="仿宋_GB2312"/>
                <w:szCs w:val="21"/>
                <w:highlight w:val="none"/>
              </w:rPr>
              <w:t>小写</w:t>
            </w:r>
          </w:p>
        </w:tc>
      </w:tr>
    </w:tbl>
    <w:p>
      <w:pPr>
        <w:snapToGrid w:val="0"/>
        <w:spacing w:line="480" w:lineRule="exact"/>
        <w:jc w:val="left"/>
        <w:rPr>
          <w:rFonts w:ascii="宋体" w:hAnsi="宋体" w:cs="宋体"/>
          <w:sz w:val="22"/>
          <w:szCs w:val="22"/>
          <w:highlight w:val="none"/>
        </w:rPr>
      </w:pPr>
      <w:r>
        <w:rPr>
          <w:rFonts w:hint="eastAsia" w:ascii="宋体" w:hAnsi="宋体" w:cs="宋体"/>
          <w:sz w:val="22"/>
          <w:szCs w:val="22"/>
          <w:highlight w:val="none"/>
        </w:rPr>
        <w:t>注: 1、报价一经涂改，应在涂改处加盖单位公章或者由法定代表人或被授权人签字或盖章，</w:t>
      </w:r>
    </w:p>
    <w:p>
      <w:pPr>
        <w:snapToGrid w:val="0"/>
        <w:spacing w:line="480" w:lineRule="exact"/>
        <w:jc w:val="left"/>
        <w:rPr>
          <w:rFonts w:ascii="宋体" w:hAnsi="宋体" w:cs="宋体"/>
          <w:sz w:val="22"/>
          <w:szCs w:val="22"/>
          <w:highlight w:val="none"/>
        </w:rPr>
      </w:pPr>
      <w:r>
        <w:rPr>
          <w:rFonts w:hint="eastAsia" w:ascii="宋体" w:hAnsi="宋体" w:cs="宋体"/>
          <w:sz w:val="22"/>
          <w:szCs w:val="22"/>
          <w:highlight w:val="none"/>
        </w:rPr>
        <w:t>否则其投标将作投标无效处理。</w:t>
      </w:r>
    </w:p>
    <w:p>
      <w:pPr>
        <w:snapToGrid w:val="0"/>
        <w:spacing w:line="48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2、本页后附投标报价明细表。</w:t>
      </w:r>
    </w:p>
    <w:p>
      <w:pPr>
        <w:snapToGrid w:val="0"/>
        <w:spacing w:line="48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3、以上报价应与“投标报价明细表”中的“投标总价”数相一致。</w:t>
      </w:r>
    </w:p>
    <w:p>
      <w:pPr>
        <w:snapToGrid w:val="0"/>
        <w:spacing w:line="480" w:lineRule="exact"/>
        <w:ind w:firstLine="440" w:firstLineChars="200"/>
        <w:jc w:val="left"/>
        <w:rPr>
          <w:rFonts w:ascii="宋体" w:hAnsi="宋体" w:cs="宋体"/>
          <w:sz w:val="22"/>
          <w:szCs w:val="22"/>
          <w:highlight w:val="none"/>
        </w:rPr>
      </w:pPr>
    </w:p>
    <w:p>
      <w:pPr>
        <w:snapToGrid w:val="0"/>
        <w:spacing w:line="480" w:lineRule="exact"/>
        <w:ind w:left="-3" w:leftChars="-72" w:right="-817" w:rightChars="-389" w:hanging="148" w:hangingChars="62"/>
        <w:rPr>
          <w:rFonts w:ascii="宋体" w:hAnsi="宋体" w:cs="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66"/>
        <w:spacing w:line="360" w:lineRule="auto"/>
        <w:ind w:right="480"/>
        <w:rPr>
          <w:rFonts w:hAnsi="宋体" w:eastAsia="宋体"/>
          <w:sz w:val="24"/>
          <w:szCs w:val="24"/>
          <w:highlight w:val="none"/>
        </w:rPr>
      </w:pPr>
      <w:r>
        <w:rPr>
          <w:rFonts w:hint="eastAsia" w:hAnsi="宋体" w:eastAsia="宋体"/>
          <w:sz w:val="24"/>
          <w:szCs w:val="24"/>
          <w:highlight w:val="none"/>
        </w:rPr>
        <w:t>投标人名称（加盖公章）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rPr>
          <w:rFonts w:hAnsi="宋体" w:cs="宋体"/>
          <w:sz w:val="24"/>
          <w:highlight w:val="none"/>
        </w:rPr>
      </w:pPr>
      <w:r>
        <w:rPr>
          <w:rFonts w:hint="eastAsia" w:hAnsi="宋体" w:cs="宋体"/>
          <w:sz w:val="24"/>
          <w:highlight w:val="none"/>
        </w:rPr>
        <w:t>日期：_____年____月____日</w:t>
      </w:r>
    </w:p>
    <w:p>
      <w:pPr>
        <w:pStyle w:val="4"/>
        <w:rPr>
          <w:rFonts w:hAnsi="宋体" w:cs="宋体"/>
          <w:sz w:val="24"/>
          <w:szCs w:val="24"/>
          <w:highlight w:val="none"/>
        </w:rPr>
      </w:pPr>
    </w:p>
    <w:p>
      <w:pPr>
        <w:rPr>
          <w:rFonts w:hAnsi="宋体" w:cs="宋体"/>
          <w:sz w:val="24"/>
          <w:highlight w:val="none"/>
        </w:rPr>
      </w:pPr>
    </w:p>
    <w:p>
      <w:pPr>
        <w:widowControl/>
        <w:spacing w:line="360" w:lineRule="auto"/>
        <w:rPr>
          <w:rFonts w:ascii="宋体" w:hAnsi="宋体"/>
          <w:b/>
          <w:sz w:val="28"/>
          <w:szCs w:val="28"/>
          <w:highlight w:val="none"/>
        </w:rPr>
      </w:pPr>
    </w:p>
    <w:p>
      <w:pPr>
        <w:widowControl/>
        <w:spacing w:line="360" w:lineRule="auto"/>
        <w:rPr>
          <w:rFonts w:ascii="宋体" w:hAnsi="宋体"/>
          <w:b/>
          <w:sz w:val="28"/>
          <w:szCs w:val="28"/>
          <w:highlight w:val="none"/>
        </w:rPr>
      </w:pPr>
    </w:p>
    <w:p>
      <w:pPr>
        <w:widowControl/>
        <w:spacing w:line="360" w:lineRule="auto"/>
        <w:jc w:val="center"/>
        <w:rPr>
          <w:rFonts w:ascii="宋体" w:hAnsi="宋体"/>
          <w:b/>
          <w:sz w:val="28"/>
          <w:szCs w:val="28"/>
          <w:highlight w:val="none"/>
        </w:rPr>
      </w:pPr>
    </w:p>
    <w:p>
      <w:pPr>
        <w:pStyle w:val="62"/>
        <w:ind w:firstLine="420"/>
        <w:rPr>
          <w:highlight w:val="none"/>
        </w:rPr>
      </w:pPr>
    </w:p>
    <w:p>
      <w:pPr>
        <w:widowControl/>
        <w:spacing w:line="360" w:lineRule="auto"/>
        <w:jc w:val="center"/>
        <w:rPr>
          <w:rFonts w:ascii="宋体" w:hAnsi="宋体"/>
          <w:b/>
          <w:sz w:val="28"/>
          <w:szCs w:val="28"/>
          <w:highlight w:val="none"/>
        </w:rPr>
      </w:pPr>
      <w:r>
        <w:rPr>
          <w:rFonts w:hint="eastAsia" w:ascii="宋体" w:hAnsi="宋体"/>
          <w:b/>
          <w:sz w:val="28"/>
          <w:szCs w:val="28"/>
          <w:highlight w:val="none"/>
        </w:rPr>
        <w:t>投标报价明细表</w:t>
      </w:r>
    </w:p>
    <w:p>
      <w:pPr>
        <w:snapToGrid w:val="0"/>
        <w:spacing w:before="120" w:after="120"/>
        <w:rPr>
          <w:rFonts w:ascii="宋体" w:hAnsi="宋体"/>
          <w:sz w:val="24"/>
          <w:highlight w:val="none"/>
        </w:rPr>
      </w:pPr>
    </w:p>
    <w:p>
      <w:pPr>
        <w:snapToGrid w:val="0"/>
        <w:spacing w:before="120" w:after="120"/>
        <w:rPr>
          <w:rFonts w:ascii="宋体" w:hAnsi="宋体"/>
          <w:bCs/>
          <w:sz w:val="24"/>
          <w:highlight w:val="none"/>
        </w:rPr>
      </w:pPr>
      <w:r>
        <w:rPr>
          <w:rFonts w:hint="eastAsia" w:ascii="宋体" w:hAnsi="宋体"/>
          <w:sz w:val="24"/>
          <w:highlight w:val="none"/>
        </w:rPr>
        <w:t>项目名称：</w:t>
      </w:r>
      <w:r>
        <w:rPr>
          <w:rFonts w:hint="eastAsia" w:ascii="宋体" w:hAnsi="宋体"/>
          <w:sz w:val="24"/>
          <w:highlight w:val="none"/>
          <w:u w:val="single"/>
        </w:rPr>
        <w:t xml:space="preserve">                 </w:t>
      </w:r>
      <w:r>
        <w:rPr>
          <w:rFonts w:hint="eastAsia" w:ascii="宋体" w:hAnsi="宋体"/>
          <w:bCs/>
          <w:sz w:val="24"/>
          <w:highlight w:val="none"/>
        </w:rPr>
        <w:t xml:space="preserve">                                  单位：人民币元</w:t>
      </w:r>
    </w:p>
    <w:tbl>
      <w:tblPr>
        <w:tblStyle w:val="63"/>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430"/>
        <w:gridCol w:w="894"/>
        <w:gridCol w:w="992"/>
        <w:gridCol w:w="1276"/>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序号</w:t>
            </w:r>
          </w:p>
        </w:tc>
        <w:tc>
          <w:tcPr>
            <w:tcW w:w="3430"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项目内容</w:t>
            </w:r>
          </w:p>
        </w:tc>
        <w:tc>
          <w:tcPr>
            <w:tcW w:w="894"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单位</w:t>
            </w:r>
          </w:p>
        </w:tc>
        <w:tc>
          <w:tcPr>
            <w:tcW w:w="992"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数量</w:t>
            </w:r>
          </w:p>
        </w:tc>
        <w:tc>
          <w:tcPr>
            <w:tcW w:w="1276"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单价（元）</w:t>
            </w:r>
          </w:p>
        </w:tc>
        <w:tc>
          <w:tcPr>
            <w:tcW w:w="1370"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p>
        </w:tc>
        <w:tc>
          <w:tcPr>
            <w:tcW w:w="3430" w:type="dxa"/>
            <w:vAlign w:val="center"/>
          </w:tcPr>
          <w:p>
            <w:pPr>
              <w:jc w:val="left"/>
              <w:rPr>
                <w:rFonts w:ascii="宋体" w:hAnsi="宋体" w:cs="宋体"/>
                <w:b/>
                <w:sz w:val="22"/>
                <w:szCs w:val="22"/>
                <w:highlight w:val="none"/>
              </w:rPr>
            </w:pPr>
          </w:p>
        </w:tc>
        <w:tc>
          <w:tcPr>
            <w:tcW w:w="894" w:type="dxa"/>
            <w:vAlign w:val="center"/>
          </w:tcPr>
          <w:p>
            <w:pPr>
              <w:jc w:val="center"/>
              <w:rPr>
                <w:rFonts w:ascii="宋体" w:hAnsi="宋体" w:cs="宋体"/>
                <w:b/>
                <w:sz w:val="22"/>
                <w:szCs w:val="22"/>
                <w:highlight w:val="none"/>
              </w:rPr>
            </w:pPr>
          </w:p>
        </w:tc>
        <w:tc>
          <w:tcPr>
            <w:tcW w:w="992" w:type="dxa"/>
            <w:vAlign w:val="center"/>
          </w:tcPr>
          <w:p>
            <w:pPr>
              <w:jc w:val="center"/>
              <w:rPr>
                <w:rFonts w:ascii="宋体" w:hAnsi="宋体" w:cs="宋体"/>
                <w:b/>
                <w:sz w:val="22"/>
                <w:szCs w:val="22"/>
                <w:highlight w:val="none"/>
              </w:rPr>
            </w:pPr>
          </w:p>
        </w:tc>
        <w:tc>
          <w:tcPr>
            <w:tcW w:w="1276" w:type="dxa"/>
            <w:vAlign w:val="center"/>
          </w:tcPr>
          <w:p>
            <w:pPr>
              <w:jc w:val="center"/>
              <w:rPr>
                <w:rFonts w:ascii="宋体" w:hAnsi="宋体" w:cs="宋体"/>
                <w:b/>
                <w:sz w:val="22"/>
                <w:szCs w:val="22"/>
                <w:highlight w:val="none"/>
              </w:rPr>
            </w:pPr>
          </w:p>
        </w:tc>
        <w:tc>
          <w:tcPr>
            <w:tcW w:w="1370" w:type="dxa"/>
          </w:tcPr>
          <w:p>
            <w:pPr>
              <w:rPr>
                <w:rFonts w:ascii="宋体" w:hAnsi="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p>
        </w:tc>
        <w:tc>
          <w:tcPr>
            <w:tcW w:w="3430" w:type="dxa"/>
            <w:vAlign w:val="center"/>
          </w:tcPr>
          <w:p>
            <w:pPr>
              <w:jc w:val="left"/>
              <w:rPr>
                <w:rFonts w:ascii="宋体" w:hAnsi="宋体" w:cs="宋体"/>
                <w:b/>
                <w:sz w:val="22"/>
                <w:szCs w:val="22"/>
                <w:highlight w:val="none"/>
              </w:rPr>
            </w:pPr>
          </w:p>
        </w:tc>
        <w:tc>
          <w:tcPr>
            <w:tcW w:w="894" w:type="dxa"/>
            <w:vAlign w:val="center"/>
          </w:tcPr>
          <w:p>
            <w:pPr>
              <w:jc w:val="center"/>
              <w:rPr>
                <w:rFonts w:ascii="宋体" w:hAnsi="宋体" w:cs="宋体"/>
                <w:b/>
                <w:sz w:val="22"/>
                <w:szCs w:val="22"/>
                <w:highlight w:val="none"/>
              </w:rPr>
            </w:pPr>
          </w:p>
        </w:tc>
        <w:tc>
          <w:tcPr>
            <w:tcW w:w="992" w:type="dxa"/>
            <w:vAlign w:val="center"/>
          </w:tcPr>
          <w:p>
            <w:pPr>
              <w:jc w:val="center"/>
              <w:rPr>
                <w:rFonts w:ascii="宋体" w:hAnsi="宋体" w:cs="宋体"/>
                <w:b/>
                <w:sz w:val="22"/>
                <w:szCs w:val="22"/>
                <w:highlight w:val="none"/>
              </w:rPr>
            </w:pPr>
          </w:p>
        </w:tc>
        <w:tc>
          <w:tcPr>
            <w:tcW w:w="1276" w:type="dxa"/>
            <w:vAlign w:val="center"/>
          </w:tcPr>
          <w:p>
            <w:pPr>
              <w:jc w:val="center"/>
              <w:rPr>
                <w:rFonts w:ascii="宋体" w:hAnsi="宋体" w:cs="宋体"/>
                <w:b/>
                <w:sz w:val="22"/>
                <w:szCs w:val="22"/>
                <w:highlight w:val="none"/>
              </w:rPr>
            </w:pPr>
          </w:p>
        </w:tc>
        <w:tc>
          <w:tcPr>
            <w:tcW w:w="1370" w:type="dxa"/>
          </w:tcPr>
          <w:p>
            <w:pPr>
              <w:rPr>
                <w:rFonts w:ascii="宋体" w:hAnsi="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3" w:type="dxa"/>
            <w:gridSpan w:val="6"/>
            <w:vAlign w:val="center"/>
          </w:tcPr>
          <w:p>
            <w:pPr>
              <w:rPr>
                <w:rFonts w:ascii="宋体" w:hAnsi="宋体" w:cs="宋体"/>
                <w:sz w:val="22"/>
                <w:szCs w:val="22"/>
                <w:highlight w:val="none"/>
              </w:rPr>
            </w:pPr>
            <w:r>
              <w:rPr>
                <w:rFonts w:hint="eastAsia" w:ascii="宋体" w:hAnsi="宋体" w:cs="宋体"/>
                <w:kern w:val="0"/>
                <w:sz w:val="24"/>
                <w:highlight w:val="none"/>
              </w:rPr>
              <w:t>投标总价：    （大写），    （小写）</w:t>
            </w:r>
          </w:p>
        </w:tc>
      </w:tr>
    </w:tbl>
    <w:p>
      <w:pPr>
        <w:pStyle w:val="5"/>
        <w:spacing w:line="240" w:lineRule="auto"/>
        <w:ind w:left="0" w:firstLine="0"/>
        <w:rPr>
          <w:sz w:val="24"/>
          <w:szCs w:val="24"/>
          <w:highlight w:val="none"/>
          <w:lang w:val="en-US"/>
        </w:rPr>
      </w:pPr>
    </w:p>
    <w:p>
      <w:pPr>
        <w:rPr>
          <w:rFonts w:hint="eastAsia" w:ascii="宋体" w:hAnsi="宋体" w:cs="宋体"/>
          <w:kern w:val="0"/>
          <w:sz w:val="24"/>
          <w:highlight w:val="none"/>
        </w:rPr>
      </w:pPr>
      <w:r>
        <w:rPr>
          <w:rFonts w:hint="eastAsia" w:ascii="宋体" w:hAnsi="宋体" w:cs="宋体"/>
          <w:kern w:val="0"/>
          <w:sz w:val="24"/>
          <w:highlight w:val="none"/>
        </w:rPr>
        <w:t>注：</w:t>
      </w:r>
      <w:r>
        <w:rPr>
          <w:rFonts w:hint="eastAsia" w:ascii="宋体" w:hAnsi="宋体" w:cs="宋体"/>
          <w:kern w:val="0"/>
          <w:sz w:val="24"/>
          <w:highlight w:val="none"/>
          <w:lang w:val="en-US" w:eastAsia="zh-CN"/>
        </w:rPr>
        <w:t>1.</w:t>
      </w:r>
      <w:r>
        <w:rPr>
          <w:rFonts w:hint="eastAsia" w:ascii="宋体" w:hAnsi="宋体" w:cs="宋体"/>
          <w:kern w:val="0"/>
          <w:sz w:val="24"/>
          <w:highlight w:val="none"/>
        </w:rPr>
        <w:t>上表中行数不够可自行添加</w:t>
      </w:r>
    </w:p>
    <w:p>
      <w:pPr>
        <w:pStyle w:val="8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2.根据</w:t>
      </w:r>
      <w:r>
        <w:rPr>
          <w:rFonts w:hint="default" w:ascii="宋体" w:hAnsi="宋体" w:eastAsia="宋体" w:cs="宋体"/>
          <w:kern w:val="0"/>
          <w:sz w:val="24"/>
          <w:szCs w:val="24"/>
          <w:highlight w:val="none"/>
          <w:lang w:val="en-US" w:eastAsia="zh-CN" w:bidi="ar-SA"/>
        </w:rPr>
        <w:t>第二章招标需求技术要求及采购清单</w:t>
      </w:r>
      <w:r>
        <w:rPr>
          <w:rFonts w:hint="eastAsia" w:ascii="宋体" w:hAnsi="宋体" w:eastAsia="宋体" w:cs="宋体"/>
          <w:kern w:val="0"/>
          <w:sz w:val="24"/>
          <w:szCs w:val="24"/>
          <w:highlight w:val="none"/>
          <w:lang w:val="en-US" w:eastAsia="zh-CN" w:bidi="ar-SA"/>
        </w:rPr>
        <w:t>编制</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66"/>
        <w:spacing w:line="360" w:lineRule="auto"/>
        <w:ind w:right="480"/>
        <w:rPr>
          <w:rFonts w:hAnsi="宋体" w:eastAsia="宋体"/>
          <w:sz w:val="24"/>
          <w:szCs w:val="24"/>
          <w:highlight w:val="none"/>
        </w:rPr>
      </w:pPr>
      <w:r>
        <w:rPr>
          <w:rFonts w:hint="eastAsia" w:hAnsi="宋体" w:eastAsia="宋体"/>
          <w:sz w:val="24"/>
          <w:szCs w:val="24"/>
          <w:highlight w:val="none"/>
        </w:rPr>
        <w:t>投标人名称（加盖公章）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rPr>
          <w:rFonts w:hAnsi="宋体" w:cs="宋体"/>
          <w:sz w:val="24"/>
          <w:highlight w:val="none"/>
        </w:rPr>
      </w:pPr>
      <w:r>
        <w:rPr>
          <w:rFonts w:hint="eastAsia" w:hAnsi="宋体" w:cs="宋体"/>
          <w:sz w:val="24"/>
          <w:highlight w:val="none"/>
        </w:rPr>
        <w:t>日期：_____年____月____日</w:t>
      </w:r>
    </w:p>
    <w:p>
      <w:pPr>
        <w:rPr>
          <w:rFonts w:hAnsi="宋体" w:cs="宋体"/>
          <w:sz w:val="24"/>
          <w:highlight w:val="none"/>
        </w:rPr>
      </w:pPr>
    </w:p>
    <w:p>
      <w:pPr>
        <w:pStyle w:val="17"/>
        <w:rPr>
          <w:rFonts w:hAnsi="宋体" w:cs="宋体"/>
          <w:sz w:val="24"/>
          <w:szCs w:val="24"/>
          <w:highlight w:val="none"/>
        </w:rPr>
      </w:pPr>
    </w:p>
    <w:p>
      <w:pPr>
        <w:rPr>
          <w:rFonts w:hAnsi="宋体" w:cs="宋体"/>
          <w:sz w:val="24"/>
          <w:highlight w:val="none"/>
        </w:rPr>
      </w:pPr>
    </w:p>
    <w:p>
      <w:pPr>
        <w:pStyle w:val="17"/>
        <w:rPr>
          <w:rFonts w:hAnsi="宋体" w:cs="宋体"/>
          <w:sz w:val="24"/>
          <w:szCs w:val="24"/>
          <w:highlight w:val="none"/>
        </w:rPr>
      </w:pPr>
    </w:p>
    <w:p>
      <w:pPr>
        <w:rPr>
          <w:rFonts w:hAnsi="宋体" w:cs="宋体"/>
          <w:sz w:val="24"/>
          <w:highlight w:val="none"/>
        </w:rPr>
      </w:pPr>
    </w:p>
    <w:p>
      <w:pPr>
        <w:pStyle w:val="17"/>
        <w:rPr>
          <w:rFonts w:hAnsi="宋体" w:cs="宋体"/>
          <w:sz w:val="24"/>
          <w:szCs w:val="24"/>
          <w:highlight w:val="none"/>
        </w:rPr>
      </w:pPr>
    </w:p>
    <w:p>
      <w:pPr>
        <w:spacing w:line="360" w:lineRule="auto"/>
        <w:ind w:firstLine="275" w:firstLineChars="98"/>
        <w:jc w:val="center"/>
        <w:rPr>
          <w:rFonts w:ascii="宋体" w:hAnsi="宋体" w:cs="宋体"/>
          <w:b/>
          <w:bCs/>
          <w:sz w:val="28"/>
          <w:szCs w:val="28"/>
          <w:highlight w:val="none"/>
        </w:rPr>
      </w:pPr>
    </w:p>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D09ECA7D"/>
    <w:multiLevelType w:val="singleLevel"/>
    <w:tmpl w:val="D09ECA7D"/>
    <w:lvl w:ilvl="0" w:tentative="0">
      <w:start w:val="2"/>
      <w:numFmt w:val="decimal"/>
      <w:suff w:val="nothing"/>
      <w:lvlText w:val="%1、"/>
      <w:lvlJc w:val="left"/>
    </w:lvl>
  </w:abstractNum>
  <w:abstractNum w:abstractNumId="3">
    <w:nsid w:val="10EDBD7B"/>
    <w:multiLevelType w:val="singleLevel"/>
    <w:tmpl w:val="10EDBD7B"/>
    <w:lvl w:ilvl="0" w:tentative="0">
      <w:start w:val="2"/>
      <w:numFmt w:val="chineseCounting"/>
      <w:suff w:val="nothing"/>
      <w:lvlText w:val="%1、"/>
      <w:lvlJc w:val="left"/>
      <w:rPr>
        <w:rFonts w:hint="eastAsia"/>
      </w:rPr>
    </w:lvl>
  </w:abstractNum>
  <w:abstractNum w:abstractNumId="4">
    <w:nsid w:val="5D804704"/>
    <w:multiLevelType w:val="singleLevel"/>
    <w:tmpl w:val="5D804704"/>
    <w:lvl w:ilvl="0" w:tentative="0">
      <w:start w:val="1"/>
      <w:numFmt w:val="chineseCounting"/>
      <w:suff w:val="nothing"/>
      <w:lvlText w:val="%1、"/>
      <w:lvlJc w:val="left"/>
    </w:lvl>
  </w:abstractNum>
  <w:abstractNum w:abstractNumId="5">
    <w:nsid w:val="5D804826"/>
    <w:multiLevelType w:val="singleLevel"/>
    <w:tmpl w:val="5D804826"/>
    <w:lvl w:ilvl="0" w:tentative="0">
      <w:start w:val="1"/>
      <w:numFmt w:val="decimal"/>
      <w:suff w:val="nothing"/>
      <w:lvlText w:val="%1."/>
      <w:lvlJc w:val="left"/>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DB0"/>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D1A7E"/>
    <w:rsid w:val="0155173E"/>
    <w:rsid w:val="019F7441"/>
    <w:rsid w:val="01A319FB"/>
    <w:rsid w:val="01B37585"/>
    <w:rsid w:val="01D55165"/>
    <w:rsid w:val="01DF6BF8"/>
    <w:rsid w:val="01EC2C57"/>
    <w:rsid w:val="02151639"/>
    <w:rsid w:val="026B2E25"/>
    <w:rsid w:val="02734700"/>
    <w:rsid w:val="02824D4D"/>
    <w:rsid w:val="028E5F70"/>
    <w:rsid w:val="02C46BBB"/>
    <w:rsid w:val="02DC4B10"/>
    <w:rsid w:val="02DD76CE"/>
    <w:rsid w:val="02F36323"/>
    <w:rsid w:val="02F5619C"/>
    <w:rsid w:val="031C24F2"/>
    <w:rsid w:val="0326446A"/>
    <w:rsid w:val="032D5555"/>
    <w:rsid w:val="036634D2"/>
    <w:rsid w:val="036C5532"/>
    <w:rsid w:val="037B371D"/>
    <w:rsid w:val="03B77F2C"/>
    <w:rsid w:val="03DD35E4"/>
    <w:rsid w:val="04076900"/>
    <w:rsid w:val="041A5A3B"/>
    <w:rsid w:val="042311BA"/>
    <w:rsid w:val="042B157A"/>
    <w:rsid w:val="04352F11"/>
    <w:rsid w:val="048F763B"/>
    <w:rsid w:val="049F330E"/>
    <w:rsid w:val="04AA775C"/>
    <w:rsid w:val="04AF1889"/>
    <w:rsid w:val="04CA06D2"/>
    <w:rsid w:val="04F66F48"/>
    <w:rsid w:val="05251E14"/>
    <w:rsid w:val="0533087A"/>
    <w:rsid w:val="054B2EBB"/>
    <w:rsid w:val="05541A7D"/>
    <w:rsid w:val="05A16594"/>
    <w:rsid w:val="05A7762D"/>
    <w:rsid w:val="06011897"/>
    <w:rsid w:val="060E5941"/>
    <w:rsid w:val="06110FAF"/>
    <w:rsid w:val="06493CA7"/>
    <w:rsid w:val="065A6178"/>
    <w:rsid w:val="066F1CF3"/>
    <w:rsid w:val="06930BB8"/>
    <w:rsid w:val="06DC1F3F"/>
    <w:rsid w:val="07245D42"/>
    <w:rsid w:val="07264C62"/>
    <w:rsid w:val="075D5951"/>
    <w:rsid w:val="077855B9"/>
    <w:rsid w:val="0779354C"/>
    <w:rsid w:val="079F6195"/>
    <w:rsid w:val="07C17D1A"/>
    <w:rsid w:val="07D15156"/>
    <w:rsid w:val="08061376"/>
    <w:rsid w:val="080D354F"/>
    <w:rsid w:val="082A6473"/>
    <w:rsid w:val="08452D77"/>
    <w:rsid w:val="086401F8"/>
    <w:rsid w:val="08751CAA"/>
    <w:rsid w:val="087E4C40"/>
    <w:rsid w:val="08AA4CC9"/>
    <w:rsid w:val="08D66AD6"/>
    <w:rsid w:val="08DA33A3"/>
    <w:rsid w:val="08E80F13"/>
    <w:rsid w:val="092B34F0"/>
    <w:rsid w:val="09335624"/>
    <w:rsid w:val="093D097C"/>
    <w:rsid w:val="0944690F"/>
    <w:rsid w:val="09535675"/>
    <w:rsid w:val="095F057D"/>
    <w:rsid w:val="09642282"/>
    <w:rsid w:val="09733572"/>
    <w:rsid w:val="09772C16"/>
    <w:rsid w:val="098353B5"/>
    <w:rsid w:val="09A92330"/>
    <w:rsid w:val="09B06B87"/>
    <w:rsid w:val="09C13146"/>
    <w:rsid w:val="09E04166"/>
    <w:rsid w:val="0A1C0718"/>
    <w:rsid w:val="0A2E2D1E"/>
    <w:rsid w:val="0A3E7710"/>
    <w:rsid w:val="0A5B7E63"/>
    <w:rsid w:val="0A5C3149"/>
    <w:rsid w:val="0A826F07"/>
    <w:rsid w:val="0A8729A8"/>
    <w:rsid w:val="0A8A7C8B"/>
    <w:rsid w:val="0AA374A5"/>
    <w:rsid w:val="0AA51080"/>
    <w:rsid w:val="0AAB7649"/>
    <w:rsid w:val="0ABC5606"/>
    <w:rsid w:val="0AE012BD"/>
    <w:rsid w:val="0B012ED1"/>
    <w:rsid w:val="0B2E376B"/>
    <w:rsid w:val="0B30404E"/>
    <w:rsid w:val="0B4A3D8A"/>
    <w:rsid w:val="0B4C6C14"/>
    <w:rsid w:val="0B631A88"/>
    <w:rsid w:val="0B683D45"/>
    <w:rsid w:val="0B7F3F11"/>
    <w:rsid w:val="0B7F3FC7"/>
    <w:rsid w:val="0B884417"/>
    <w:rsid w:val="0B973B9D"/>
    <w:rsid w:val="0BDE0321"/>
    <w:rsid w:val="0BF6188C"/>
    <w:rsid w:val="0BF64210"/>
    <w:rsid w:val="0BF73C91"/>
    <w:rsid w:val="0C020E7E"/>
    <w:rsid w:val="0C0E5D5C"/>
    <w:rsid w:val="0C170175"/>
    <w:rsid w:val="0C480CD6"/>
    <w:rsid w:val="0C571A41"/>
    <w:rsid w:val="0C5C1171"/>
    <w:rsid w:val="0C5E1CBC"/>
    <w:rsid w:val="0C615B50"/>
    <w:rsid w:val="0C8445DA"/>
    <w:rsid w:val="0C87121B"/>
    <w:rsid w:val="0CBA4FBD"/>
    <w:rsid w:val="0CC007F7"/>
    <w:rsid w:val="0CD60B29"/>
    <w:rsid w:val="0CDB1229"/>
    <w:rsid w:val="0CFE707A"/>
    <w:rsid w:val="0D063BDA"/>
    <w:rsid w:val="0D08375F"/>
    <w:rsid w:val="0D184CFB"/>
    <w:rsid w:val="0D1E7791"/>
    <w:rsid w:val="0D4A7419"/>
    <w:rsid w:val="0D827401"/>
    <w:rsid w:val="0D84094E"/>
    <w:rsid w:val="0D8A00E9"/>
    <w:rsid w:val="0D8D589E"/>
    <w:rsid w:val="0DA01C73"/>
    <w:rsid w:val="0DD63300"/>
    <w:rsid w:val="0DF50604"/>
    <w:rsid w:val="0DF702FE"/>
    <w:rsid w:val="0E060E51"/>
    <w:rsid w:val="0E550E35"/>
    <w:rsid w:val="0E5604B2"/>
    <w:rsid w:val="0E5E6115"/>
    <w:rsid w:val="0E6D5D79"/>
    <w:rsid w:val="0E9D0089"/>
    <w:rsid w:val="0EB803EE"/>
    <w:rsid w:val="0EE926B8"/>
    <w:rsid w:val="0EF94D4B"/>
    <w:rsid w:val="0EFD4EA0"/>
    <w:rsid w:val="0F285729"/>
    <w:rsid w:val="0F4958DC"/>
    <w:rsid w:val="0F4B0B32"/>
    <w:rsid w:val="0F515DF7"/>
    <w:rsid w:val="0F596BA8"/>
    <w:rsid w:val="0F6248D2"/>
    <w:rsid w:val="0F693536"/>
    <w:rsid w:val="0F7554C5"/>
    <w:rsid w:val="0F7B0511"/>
    <w:rsid w:val="0F7B76D9"/>
    <w:rsid w:val="0F816ACD"/>
    <w:rsid w:val="0F9832DB"/>
    <w:rsid w:val="0FBF3FD2"/>
    <w:rsid w:val="0FBF7FF3"/>
    <w:rsid w:val="0FE73EE9"/>
    <w:rsid w:val="10043AE6"/>
    <w:rsid w:val="10505D41"/>
    <w:rsid w:val="10646583"/>
    <w:rsid w:val="107D4B15"/>
    <w:rsid w:val="107D65A4"/>
    <w:rsid w:val="108A3C80"/>
    <w:rsid w:val="10AA73F0"/>
    <w:rsid w:val="10C26171"/>
    <w:rsid w:val="10F33360"/>
    <w:rsid w:val="10FC16EA"/>
    <w:rsid w:val="110F1D40"/>
    <w:rsid w:val="11266F33"/>
    <w:rsid w:val="11507B96"/>
    <w:rsid w:val="11525A28"/>
    <w:rsid w:val="115343AE"/>
    <w:rsid w:val="118963A1"/>
    <w:rsid w:val="11C6522A"/>
    <w:rsid w:val="11DC71F8"/>
    <w:rsid w:val="11E104CC"/>
    <w:rsid w:val="11E20309"/>
    <w:rsid w:val="12255233"/>
    <w:rsid w:val="122816D4"/>
    <w:rsid w:val="12530213"/>
    <w:rsid w:val="127723A9"/>
    <w:rsid w:val="12862074"/>
    <w:rsid w:val="12883966"/>
    <w:rsid w:val="129E45B4"/>
    <w:rsid w:val="12AA761C"/>
    <w:rsid w:val="12D81596"/>
    <w:rsid w:val="13072A44"/>
    <w:rsid w:val="131B2827"/>
    <w:rsid w:val="135F4BE2"/>
    <w:rsid w:val="139B1A0A"/>
    <w:rsid w:val="139D25C7"/>
    <w:rsid w:val="13BF3CE4"/>
    <w:rsid w:val="13C42FAC"/>
    <w:rsid w:val="13E23345"/>
    <w:rsid w:val="13E34051"/>
    <w:rsid w:val="14043309"/>
    <w:rsid w:val="141008D8"/>
    <w:rsid w:val="14125FE6"/>
    <w:rsid w:val="14165B51"/>
    <w:rsid w:val="146D271E"/>
    <w:rsid w:val="14982588"/>
    <w:rsid w:val="14991C55"/>
    <w:rsid w:val="149A5AD9"/>
    <w:rsid w:val="14A03F0D"/>
    <w:rsid w:val="14A7619D"/>
    <w:rsid w:val="14BE3364"/>
    <w:rsid w:val="14C8320F"/>
    <w:rsid w:val="14EA71B5"/>
    <w:rsid w:val="14F06FC3"/>
    <w:rsid w:val="150536C3"/>
    <w:rsid w:val="150C1963"/>
    <w:rsid w:val="151447A0"/>
    <w:rsid w:val="154A6454"/>
    <w:rsid w:val="15613E68"/>
    <w:rsid w:val="15762120"/>
    <w:rsid w:val="15D77B9E"/>
    <w:rsid w:val="163E55E1"/>
    <w:rsid w:val="166A18FC"/>
    <w:rsid w:val="169F2681"/>
    <w:rsid w:val="16A8729C"/>
    <w:rsid w:val="16B33777"/>
    <w:rsid w:val="16BC70A7"/>
    <w:rsid w:val="16C6339E"/>
    <w:rsid w:val="172F2D79"/>
    <w:rsid w:val="17557BEF"/>
    <w:rsid w:val="17670CB1"/>
    <w:rsid w:val="17984446"/>
    <w:rsid w:val="179E6FD7"/>
    <w:rsid w:val="17A7720B"/>
    <w:rsid w:val="17D349C1"/>
    <w:rsid w:val="17EC68F0"/>
    <w:rsid w:val="1830729E"/>
    <w:rsid w:val="186E4F56"/>
    <w:rsid w:val="1870062C"/>
    <w:rsid w:val="187F5606"/>
    <w:rsid w:val="18817102"/>
    <w:rsid w:val="18830A15"/>
    <w:rsid w:val="18852B28"/>
    <w:rsid w:val="188B5321"/>
    <w:rsid w:val="18A94431"/>
    <w:rsid w:val="18AD308A"/>
    <w:rsid w:val="18DF7E53"/>
    <w:rsid w:val="18F15F4A"/>
    <w:rsid w:val="19137AFC"/>
    <w:rsid w:val="19932372"/>
    <w:rsid w:val="199B1288"/>
    <w:rsid w:val="19A20DD5"/>
    <w:rsid w:val="19AE03F1"/>
    <w:rsid w:val="19BE1321"/>
    <w:rsid w:val="19C914F1"/>
    <w:rsid w:val="1A071A03"/>
    <w:rsid w:val="1A1F16AE"/>
    <w:rsid w:val="1A3B5C77"/>
    <w:rsid w:val="1A4062D0"/>
    <w:rsid w:val="1A8E207F"/>
    <w:rsid w:val="1A984BAD"/>
    <w:rsid w:val="1AAC1FB7"/>
    <w:rsid w:val="1AB8220E"/>
    <w:rsid w:val="1ADC0F2F"/>
    <w:rsid w:val="1AE4166C"/>
    <w:rsid w:val="1AF06CFB"/>
    <w:rsid w:val="1AF11B8D"/>
    <w:rsid w:val="1B11359C"/>
    <w:rsid w:val="1B2A271F"/>
    <w:rsid w:val="1B530544"/>
    <w:rsid w:val="1B591FEF"/>
    <w:rsid w:val="1B713184"/>
    <w:rsid w:val="1BA209CF"/>
    <w:rsid w:val="1BB20793"/>
    <w:rsid w:val="1BB4777D"/>
    <w:rsid w:val="1BD75AB8"/>
    <w:rsid w:val="1C0459C2"/>
    <w:rsid w:val="1C1B3B4A"/>
    <w:rsid w:val="1C88086E"/>
    <w:rsid w:val="1D266CE1"/>
    <w:rsid w:val="1D3963AF"/>
    <w:rsid w:val="1D6A673C"/>
    <w:rsid w:val="1D9247AE"/>
    <w:rsid w:val="1DAE4D97"/>
    <w:rsid w:val="1DB567EC"/>
    <w:rsid w:val="1DC57B03"/>
    <w:rsid w:val="1DF51A98"/>
    <w:rsid w:val="1DFE0D7B"/>
    <w:rsid w:val="1E3D060F"/>
    <w:rsid w:val="1E3F7D2E"/>
    <w:rsid w:val="1E4134E4"/>
    <w:rsid w:val="1E5062B3"/>
    <w:rsid w:val="1E523514"/>
    <w:rsid w:val="1E593358"/>
    <w:rsid w:val="1E686B46"/>
    <w:rsid w:val="1E714A66"/>
    <w:rsid w:val="1E802593"/>
    <w:rsid w:val="1EA703CC"/>
    <w:rsid w:val="1EB7330C"/>
    <w:rsid w:val="1EF93289"/>
    <w:rsid w:val="1F0A0FF3"/>
    <w:rsid w:val="1F5771FF"/>
    <w:rsid w:val="1F745498"/>
    <w:rsid w:val="1FDF32F5"/>
    <w:rsid w:val="1FE868A9"/>
    <w:rsid w:val="20034907"/>
    <w:rsid w:val="20173E4B"/>
    <w:rsid w:val="20181590"/>
    <w:rsid w:val="20380D25"/>
    <w:rsid w:val="204E48BC"/>
    <w:rsid w:val="20631369"/>
    <w:rsid w:val="206801ED"/>
    <w:rsid w:val="207B66B3"/>
    <w:rsid w:val="207E2E19"/>
    <w:rsid w:val="208921B3"/>
    <w:rsid w:val="20973DEB"/>
    <w:rsid w:val="20AC592F"/>
    <w:rsid w:val="20B26522"/>
    <w:rsid w:val="20B44310"/>
    <w:rsid w:val="20CE7626"/>
    <w:rsid w:val="20DB5D96"/>
    <w:rsid w:val="211116EB"/>
    <w:rsid w:val="21431023"/>
    <w:rsid w:val="216133FC"/>
    <w:rsid w:val="2161415A"/>
    <w:rsid w:val="21B27333"/>
    <w:rsid w:val="21BC2207"/>
    <w:rsid w:val="21D56769"/>
    <w:rsid w:val="21E52EF3"/>
    <w:rsid w:val="21FB5D7B"/>
    <w:rsid w:val="220B1C3D"/>
    <w:rsid w:val="221D1D20"/>
    <w:rsid w:val="22334A87"/>
    <w:rsid w:val="224654C1"/>
    <w:rsid w:val="22BE6801"/>
    <w:rsid w:val="22C26C62"/>
    <w:rsid w:val="233500BF"/>
    <w:rsid w:val="23377FF7"/>
    <w:rsid w:val="236B425F"/>
    <w:rsid w:val="23836192"/>
    <w:rsid w:val="23901F29"/>
    <w:rsid w:val="239C0061"/>
    <w:rsid w:val="23A91BB2"/>
    <w:rsid w:val="23B908A4"/>
    <w:rsid w:val="23E95BEF"/>
    <w:rsid w:val="23FD0064"/>
    <w:rsid w:val="24285E12"/>
    <w:rsid w:val="245375B0"/>
    <w:rsid w:val="24642C0A"/>
    <w:rsid w:val="246D0A09"/>
    <w:rsid w:val="24B22173"/>
    <w:rsid w:val="24B95AD9"/>
    <w:rsid w:val="24BE0639"/>
    <w:rsid w:val="24BE24DA"/>
    <w:rsid w:val="24CC579A"/>
    <w:rsid w:val="24CF5825"/>
    <w:rsid w:val="24D32AD5"/>
    <w:rsid w:val="24D34D10"/>
    <w:rsid w:val="24D663E6"/>
    <w:rsid w:val="24D77F2B"/>
    <w:rsid w:val="24DE5462"/>
    <w:rsid w:val="25530F16"/>
    <w:rsid w:val="258B00E2"/>
    <w:rsid w:val="25A917A6"/>
    <w:rsid w:val="25BE27CC"/>
    <w:rsid w:val="25C7193F"/>
    <w:rsid w:val="25F74A5C"/>
    <w:rsid w:val="261C6242"/>
    <w:rsid w:val="2628662C"/>
    <w:rsid w:val="262D45DE"/>
    <w:rsid w:val="264A0EBF"/>
    <w:rsid w:val="264A61BF"/>
    <w:rsid w:val="2662090A"/>
    <w:rsid w:val="26A53EF9"/>
    <w:rsid w:val="26A94201"/>
    <w:rsid w:val="26AC274F"/>
    <w:rsid w:val="27044A29"/>
    <w:rsid w:val="27056071"/>
    <w:rsid w:val="271D34C8"/>
    <w:rsid w:val="276142BF"/>
    <w:rsid w:val="27783712"/>
    <w:rsid w:val="27907362"/>
    <w:rsid w:val="27E965F8"/>
    <w:rsid w:val="27EE00B2"/>
    <w:rsid w:val="28333E1D"/>
    <w:rsid w:val="283C6C0F"/>
    <w:rsid w:val="28454BD6"/>
    <w:rsid w:val="28455253"/>
    <w:rsid w:val="28551971"/>
    <w:rsid w:val="285B1C53"/>
    <w:rsid w:val="2895356C"/>
    <w:rsid w:val="289F7086"/>
    <w:rsid w:val="28C32028"/>
    <w:rsid w:val="28CC490F"/>
    <w:rsid w:val="28DE40AA"/>
    <w:rsid w:val="29345E77"/>
    <w:rsid w:val="294B0DAC"/>
    <w:rsid w:val="294C65AD"/>
    <w:rsid w:val="29806583"/>
    <w:rsid w:val="298B3C4C"/>
    <w:rsid w:val="29D54D29"/>
    <w:rsid w:val="29E90B31"/>
    <w:rsid w:val="29F26D24"/>
    <w:rsid w:val="2A1170FC"/>
    <w:rsid w:val="2A15033F"/>
    <w:rsid w:val="2A155109"/>
    <w:rsid w:val="2A1662C1"/>
    <w:rsid w:val="2A1C7367"/>
    <w:rsid w:val="2A2815FA"/>
    <w:rsid w:val="2A6D6092"/>
    <w:rsid w:val="2A7204D1"/>
    <w:rsid w:val="2A7D76B4"/>
    <w:rsid w:val="2AC70EDC"/>
    <w:rsid w:val="2B373B1E"/>
    <w:rsid w:val="2B437463"/>
    <w:rsid w:val="2B7807EE"/>
    <w:rsid w:val="2B945009"/>
    <w:rsid w:val="2BBF00EC"/>
    <w:rsid w:val="2BC37CFD"/>
    <w:rsid w:val="2BD5237F"/>
    <w:rsid w:val="2BE536CE"/>
    <w:rsid w:val="2BE758D9"/>
    <w:rsid w:val="2BE772F2"/>
    <w:rsid w:val="2C09049E"/>
    <w:rsid w:val="2C0A653C"/>
    <w:rsid w:val="2C191F85"/>
    <w:rsid w:val="2C4712C3"/>
    <w:rsid w:val="2C6000DA"/>
    <w:rsid w:val="2C874F6F"/>
    <w:rsid w:val="2CA32A1F"/>
    <w:rsid w:val="2CE82D6F"/>
    <w:rsid w:val="2D343236"/>
    <w:rsid w:val="2D5C086B"/>
    <w:rsid w:val="2D823314"/>
    <w:rsid w:val="2D9078D1"/>
    <w:rsid w:val="2D9214E0"/>
    <w:rsid w:val="2DD1025A"/>
    <w:rsid w:val="2DD15014"/>
    <w:rsid w:val="2DF51922"/>
    <w:rsid w:val="2DF72DE4"/>
    <w:rsid w:val="2E0220AF"/>
    <w:rsid w:val="2E07472B"/>
    <w:rsid w:val="2E0E6DB8"/>
    <w:rsid w:val="2E455766"/>
    <w:rsid w:val="2E4B082A"/>
    <w:rsid w:val="2E5D4E86"/>
    <w:rsid w:val="2E5D790B"/>
    <w:rsid w:val="2E753370"/>
    <w:rsid w:val="2E9A3C18"/>
    <w:rsid w:val="2EBB0FEE"/>
    <w:rsid w:val="2EC22DD3"/>
    <w:rsid w:val="2EC63002"/>
    <w:rsid w:val="2EE364E6"/>
    <w:rsid w:val="2EFD2AE1"/>
    <w:rsid w:val="2F0A6B38"/>
    <w:rsid w:val="2F3B2DD2"/>
    <w:rsid w:val="2F6F7335"/>
    <w:rsid w:val="2F93773A"/>
    <w:rsid w:val="2F946CCB"/>
    <w:rsid w:val="2FAC6889"/>
    <w:rsid w:val="2FD25781"/>
    <w:rsid w:val="2FDB0057"/>
    <w:rsid w:val="2FFD5044"/>
    <w:rsid w:val="2FFD7934"/>
    <w:rsid w:val="30733ACD"/>
    <w:rsid w:val="3075311F"/>
    <w:rsid w:val="308C3862"/>
    <w:rsid w:val="309379D8"/>
    <w:rsid w:val="30A270F7"/>
    <w:rsid w:val="30DF1478"/>
    <w:rsid w:val="30EC586F"/>
    <w:rsid w:val="311213ED"/>
    <w:rsid w:val="31294542"/>
    <w:rsid w:val="319C6071"/>
    <w:rsid w:val="31A863E0"/>
    <w:rsid w:val="31AC537E"/>
    <w:rsid w:val="31E3679B"/>
    <w:rsid w:val="31E732FD"/>
    <w:rsid w:val="32517576"/>
    <w:rsid w:val="3264180F"/>
    <w:rsid w:val="32897A7B"/>
    <w:rsid w:val="32BE5C2C"/>
    <w:rsid w:val="32ED07A3"/>
    <w:rsid w:val="32FB6478"/>
    <w:rsid w:val="330709B5"/>
    <w:rsid w:val="330E2F43"/>
    <w:rsid w:val="330E6900"/>
    <w:rsid w:val="33263B3F"/>
    <w:rsid w:val="334A12E1"/>
    <w:rsid w:val="336963EB"/>
    <w:rsid w:val="33816EEB"/>
    <w:rsid w:val="338F52EF"/>
    <w:rsid w:val="33EB55CD"/>
    <w:rsid w:val="33EC4C02"/>
    <w:rsid w:val="340D2360"/>
    <w:rsid w:val="3410665D"/>
    <w:rsid w:val="34211214"/>
    <w:rsid w:val="342E63AB"/>
    <w:rsid w:val="34711E4F"/>
    <w:rsid w:val="34915D87"/>
    <w:rsid w:val="34950E68"/>
    <w:rsid w:val="34986E94"/>
    <w:rsid w:val="34AF62C9"/>
    <w:rsid w:val="34CB4388"/>
    <w:rsid w:val="34FA6E12"/>
    <w:rsid w:val="358D5588"/>
    <w:rsid w:val="35C05806"/>
    <w:rsid w:val="35C42453"/>
    <w:rsid w:val="361B3215"/>
    <w:rsid w:val="363A3B40"/>
    <w:rsid w:val="365302AE"/>
    <w:rsid w:val="36607A0A"/>
    <w:rsid w:val="366529DF"/>
    <w:rsid w:val="366E227C"/>
    <w:rsid w:val="366F2E0D"/>
    <w:rsid w:val="36735F09"/>
    <w:rsid w:val="367B6A5C"/>
    <w:rsid w:val="36981C79"/>
    <w:rsid w:val="36A52284"/>
    <w:rsid w:val="36A74ADA"/>
    <w:rsid w:val="36AD60D5"/>
    <w:rsid w:val="36B224F9"/>
    <w:rsid w:val="36BE005A"/>
    <w:rsid w:val="36EC0CC9"/>
    <w:rsid w:val="37090039"/>
    <w:rsid w:val="37363295"/>
    <w:rsid w:val="373F410B"/>
    <w:rsid w:val="37EE7094"/>
    <w:rsid w:val="38296C89"/>
    <w:rsid w:val="383002EB"/>
    <w:rsid w:val="38586797"/>
    <w:rsid w:val="38797966"/>
    <w:rsid w:val="388243AC"/>
    <w:rsid w:val="38855EC9"/>
    <w:rsid w:val="388801F5"/>
    <w:rsid w:val="388F32BA"/>
    <w:rsid w:val="3894610C"/>
    <w:rsid w:val="38B113F5"/>
    <w:rsid w:val="38BC0149"/>
    <w:rsid w:val="38D87D1C"/>
    <w:rsid w:val="38E22CFA"/>
    <w:rsid w:val="391A199A"/>
    <w:rsid w:val="39636459"/>
    <w:rsid w:val="396B7F6C"/>
    <w:rsid w:val="39B417A9"/>
    <w:rsid w:val="39BB2205"/>
    <w:rsid w:val="39F94929"/>
    <w:rsid w:val="39FC5695"/>
    <w:rsid w:val="3A006D8E"/>
    <w:rsid w:val="3A3651E5"/>
    <w:rsid w:val="3A6B67E3"/>
    <w:rsid w:val="3A744481"/>
    <w:rsid w:val="3A8C7BEF"/>
    <w:rsid w:val="3A906246"/>
    <w:rsid w:val="3AE004A0"/>
    <w:rsid w:val="3B2349B7"/>
    <w:rsid w:val="3B3C7E67"/>
    <w:rsid w:val="3B3FC59C"/>
    <w:rsid w:val="3B616CFF"/>
    <w:rsid w:val="3B6259F6"/>
    <w:rsid w:val="3B720C0D"/>
    <w:rsid w:val="3B976654"/>
    <w:rsid w:val="3BAF42E8"/>
    <w:rsid w:val="3BB6355F"/>
    <w:rsid w:val="3BC01EFC"/>
    <w:rsid w:val="3BCA786A"/>
    <w:rsid w:val="3BD31E2F"/>
    <w:rsid w:val="3BF15831"/>
    <w:rsid w:val="3C105946"/>
    <w:rsid w:val="3C471448"/>
    <w:rsid w:val="3C5F759A"/>
    <w:rsid w:val="3C6C525A"/>
    <w:rsid w:val="3CAD649B"/>
    <w:rsid w:val="3CC33275"/>
    <w:rsid w:val="3CC34D87"/>
    <w:rsid w:val="3CCB4B5A"/>
    <w:rsid w:val="3CCE23CB"/>
    <w:rsid w:val="3CD17D17"/>
    <w:rsid w:val="3D095B46"/>
    <w:rsid w:val="3D3C7F39"/>
    <w:rsid w:val="3D4015F2"/>
    <w:rsid w:val="3D440F09"/>
    <w:rsid w:val="3D4504A0"/>
    <w:rsid w:val="3D6F6425"/>
    <w:rsid w:val="3D8734BB"/>
    <w:rsid w:val="3D9A11D4"/>
    <w:rsid w:val="3DA16D89"/>
    <w:rsid w:val="3DA364BE"/>
    <w:rsid w:val="3DE041CB"/>
    <w:rsid w:val="3E0D48F6"/>
    <w:rsid w:val="3E185305"/>
    <w:rsid w:val="3E1868B4"/>
    <w:rsid w:val="3E377251"/>
    <w:rsid w:val="3E42664B"/>
    <w:rsid w:val="3E4A4A56"/>
    <w:rsid w:val="3E4B4F87"/>
    <w:rsid w:val="3E5661DC"/>
    <w:rsid w:val="3E5A7334"/>
    <w:rsid w:val="3E7B5D6B"/>
    <w:rsid w:val="3E843E66"/>
    <w:rsid w:val="3E8F51FE"/>
    <w:rsid w:val="3E926F87"/>
    <w:rsid w:val="3E9A59DE"/>
    <w:rsid w:val="3EAF4836"/>
    <w:rsid w:val="3EC33DFA"/>
    <w:rsid w:val="3EC84D62"/>
    <w:rsid w:val="3EE85404"/>
    <w:rsid w:val="3F060E16"/>
    <w:rsid w:val="3F173D18"/>
    <w:rsid w:val="3F1C4A39"/>
    <w:rsid w:val="3F1D1096"/>
    <w:rsid w:val="3F2F0234"/>
    <w:rsid w:val="3F485DF7"/>
    <w:rsid w:val="3F6363FE"/>
    <w:rsid w:val="3F756B8F"/>
    <w:rsid w:val="3F8F60F8"/>
    <w:rsid w:val="3F95482B"/>
    <w:rsid w:val="3FA57E6B"/>
    <w:rsid w:val="3FC17BDF"/>
    <w:rsid w:val="4019356B"/>
    <w:rsid w:val="40275AB8"/>
    <w:rsid w:val="4046605F"/>
    <w:rsid w:val="40592157"/>
    <w:rsid w:val="40674A44"/>
    <w:rsid w:val="406E1CAE"/>
    <w:rsid w:val="4070076D"/>
    <w:rsid w:val="407A39D5"/>
    <w:rsid w:val="40817E61"/>
    <w:rsid w:val="40A0133A"/>
    <w:rsid w:val="40C11463"/>
    <w:rsid w:val="40C31A53"/>
    <w:rsid w:val="40FF545D"/>
    <w:rsid w:val="410067C8"/>
    <w:rsid w:val="41193901"/>
    <w:rsid w:val="418F0D2A"/>
    <w:rsid w:val="419929E5"/>
    <w:rsid w:val="41A22999"/>
    <w:rsid w:val="41D01505"/>
    <w:rsid w:val="41E9396D"/>
    <w:rsid w:val="421079C8"/>
    <w:rsid w:val="421E7984"/>
    <w:rsid w:val="42474939"/>
    <w:rsid w:val="424C3C57"/>
    <w:rsid w:val="42613FF3"/>
    <w:rsid w:val="42654F91"/>
    <w:rsid w:val="42660D96"/>
    <w:rsid w:val="428667D2"/>
    <w:rsid w:val="429A368A"/>
    <w:rsid w:val="42CD1CE0"/>
    <w:rsid w:val="42E1381E"/>
    <w:rsid w:val="42ED6459"/>
    <w:rsid w:val="42F16C31"/>
    <w:rsid w:val="42FE58DD"/>
    <w:rsid w:val="43132477"/>
    <w:rsid w:val="43144544"/>
    <w:rsid w:val="43174B3D"/>
    <w:rsid w:val="431C3DDE"/>
    <w:rsid w:val="43354997"/>
    <w:rsid w:val="434B790E"/>
    <w:rsid w:val="4360274F"/>
    <w:rsid w:val="43977AB6"/>
    <w:rsid w:val="43A07FF2"/>
    <w:rsid w:val="43A24A91"/>
    <w:rsid w:val="43A3342B"/>
    <w:rsid w:val="43C77C27"/>
    <w:rsid w:val="43DE09EE"/>
    <w:rsid w:val="44002FAD"/>
    <w:rsid w:val="4415542B"/>
    <w:rsid w:val="44657104"/>
    <w:rsid w:val="449101DD"/>
    <w:rsid w:val="44BA722D"/>
    <w:rsid w:val="44DE1391"/>
    <w:rsid w:val="44F96CD2"/>
    <w:rsid w:val="45106B70"/>
    <w:rsid w:val="451B225C"/>
    <w:rsid w:val="452410C9"/>
    <w:rsid w:val="45317DFB"/>
    <w:rsid w:val="456D3CE4"/>
    <w:rsid w:val="4579042C"/>
    <w:rsid w:val="457F0571"/>
    <w:rsid w:val="45851176"/>
    <w:rsid w:val="45883496"/>
    <w:rsid w:val="45B10806"/>
    <w:rsid w:val="45C63B94"/>
    <w:rsid w:val="45C7395E"/>
    <w:rsid w:val="45FF50F7"/>
    <w:rsid w:val="460A332B"/>
    <w:rsid w:val="460E7DA5"/>
    <w:rsid w:val="46402205"/>
    <w:rsid w:val="46422483"/>
    <w:rsid w:val="4659254A"/>
    <w:rsid w:val="465B0637"/>
    <w:rsid w:val="465E3F0D"/>
    <w:rsid w:val="466A16E6"/>
    <w:rsid w:val="466A3861"/>
    <w:rsid w:val="467B69ED"/>
    <w:rsid w:val="46893F2B"/>
    <w:rsid w:val="46C4686E"/>
    <w:rsid w:val="4715601C"/>
    <w:rsid w:val="476C6937"/>
    <w:rsid w:val="477B778F"/>
    <w:rsid w:val="477F61D9"/>
    <w:rsid w:val="478203EC"/>
    <w:rsid w:val="478661AE"/>
    <w:rsid w:val="47B025FA"/>
    <w:rsid w:val="47FE483C"/>
    <w:rsid w:val="4809698F"/>
    <w:rsid w:val="4811697D"/>
    <w:rsid w:val="487A3E25"/>
    <w:rsid w:val="488169AC"/>
    <w:rsid w:val="488B5503"/>
    <w:rsid w:val="48937E21"/>
    <w:rsid w:val="489A0361"/>
    <w:rsid w:val="48AD6A8D"/>
    <w:rsid w:val="48B94FF3"/>
    <w:rsid w:val="48E37AAB"/>
    <w:rsid w:val="48FD4B4C"/>
    <w:rsid w:val="49061243"/>
    <w:rsid w:val="490A68E0"/>
    <w:rsid w:val="491055FE"/>
    <w:rsid w:val="495A44E3"/>
    <w:rsid w:val="495F5B3E"/>
    <w:rsid w:val="496F77D7"/>
    <w:rsid w:val="497654FD"/>
    <w:rsid w:val="497E2BEC"/>
    <w:rsid w:val="49B64211"/>
    <w:rsid w:val="49F6167F"/>
    <w:rsid w:val="4A064FA0"/>
    <w:rsid w:val="4A0909A1"/>
    <w:rsid w:val="4A16615C"/>
    <w:rsid w:val="4A4424D7"/>
    <w:rsid w:val="4AB82D0F"/>
    <w:rsid w:val="4ABB17CB"/>
    <w:rsid w:val="4ABE526B"/>
    <w:rsid w:val="4AEB7664"/>
    <w:rsid w:val="4AFD7C19"/>
    <w:rsid w:val="4B0567D1"/>
    <w:rsid w:val="4B1C363A"/>
    <w:rsid w:val="4B236AAE"/>
    <w:rsid w:val="4B707271"/>
    <w:rsid w:val="4B9739F7"/>
    <w:rsid w:val="4BEE2503"/>
    <w:rsid w:val="4BEF5BF8"/>
    <w:rsid w:val="4BFC7C94"/>
    <w:rsid w:val="4C245A30"/>
    <w:rsid w:val="4C4F7F6B"/>
    <w:rsid w:val="4C503B9A"/>
    <w:rsid w:val="4C736329"/>
    <w:rsid w:val="4C7C718B"/>
    <w:rsid w:val="4C9A4AA6"/>
    <w:rsid w:val="4CB6685F"/>
    <w:rsid w:val="4CC367FE"/>
    <w:rsid w:val="4CD670E4"/>
    <w:rsid w:val="4D077F3C"/>
    <w:rsid w:val="4D123355"/>
    <w:rsid w:val="4D2A3B31"/>
    <w:rsid w:val="4D312C52"/>
    <w:rsid w:val="4D73233C"/>
    <w:rsid w:val="4D844549"/>
    <w:rsid w:val="4D905305"/>
    <w:rsid w:val="4D964A72"/>
    <w:rsid w:val="4D9B759A"/>
    <w:rsid w:val="4D9C1254"/>
    <w:rsid w:val="4DC36632"/>
    <w:rsid w:val="4DF55F07"/>
    <w:rsid w:val="4DFC0584"/>
    <w:rsid w:val="4E6544E7"/>
    <w:rsid w:val="4E793892"/>
    <w:rsid w:val="4E800872"/>
    <w:rsid w:val="4EB63AF8"/>
    <w:rsid w:val="4EC569ED"/>
    <w:rsid w:val="4ED50EA1"/>
    <w:rsid w:val="4EDF24BE"/>
    <w:rsid w:val="4EEC050C"/>
    <w:rsid w:val="4F104EC3"/>
    <w:rsid w:val="4F2C625F"/>
    <w:rsid w:val="4F47354A"/>
    <w:rsid w:val="4F710CA8"/>
    <w:rsid w:val="4F911C54"/>
    <w:rsid w:val="4FE625E0"/>
    <w:rsid w:val="4FE94F10"/>
    <w:rsid w:val="5021480F"/>
    <w:rsid w:val="506932DB"/>
    <w:rsid w:val="50962ECB"/>
    <w:rsid w:val="50A42E38"/>
    <w:rsid w:val="50A4577F"/>
    <w:rsid w:val="50B73D1F"/>
    <w:rsid w:val="50BD5BC9"/>
    <w:rsid w:val="50C11EEE"/>
    <w:rsid w:val="50E97CFC"/>
    <w:rsid w:val="50FA4028"/>
    <w:rsid w:val="510D65B7"/>
    <w:rsid w:val="511157AB"/>
    <w:rsid w:val="51363DAD"/>
    <w:rsid w:val="5142540C"/>
    <w:rsid w:val="515B7CB7"/>
    <w:rsid w:val="517A1653"/>
    <w:rsid w:val="518832C8"/>
    <w:rsid w:val="51A0432A"/>
    <w:rsid w:val="51A86090"/>
    <w:rsid w:val="51AC406F"/>
    <w:rsid w:val="51B278FC"/>
    <w:rsid w:val="51B7396D"/>
    <w:rsid w:val="522E4CC3"/>
    <w:rsid w:val="5244713B"/>
    <w:rsid w:val="525860A8"/>
    <w:rsid w:val="52615633"/>
    <w:rsid w:val="52977FD4"/>
    <w:rsid w:val="52A25790"/>
    <w:rsid w:val="52A96B6F"/>
    <w:rsid w:val="52B45975"/>
    <w:rsid w:val="52D94AA4"/>
    <w:rsid w:val="52EA3A62"/>
    <w:rsid w:val="52F50BB8"/>
    <w:rsid w:val="53097272"/>
    <w:rsid w:val="53513CED"/>
    <w:rsid w:val="53544462"/>
    <w:rsid w:val="535A1773"/>
    <w:rsid w:val="53946913"/>
    <w:rsid w:val="5397158E"/>
    <w:rsid w:val="54013861"/>
    <w:rsid w:val="54487265"/>
    <w:rsid w:val="544D6070"/>
    <w:rsid w:val="54593DEF"/>
    <w:rsid w:val="54605E1E"/>
    <w:rsid w:val="54B3506A"/>
    <w:rsid w:val="54CA0D16"/>
    <w:rsid w:val="54D934E7"/>
    <w:rsid w:val="54DD4057"/>
    <w:rsid w:val="54E7490F"/>
    <w:rsid w:val="54FA328F"/>
    <w:rsid w:val="550764A4"/>
    <w:rsid w:val="550B2BF6"/>
    <w:rsid w:val="55214EB5"/>
    <w:rsid w:val="55364EFD"/>
    <w:rsid w:val="555D4828"/>
    <w:rsid w:val="557A4C8B"/>
    <w:rsid w:val="558931E1"/>
    <w:rsid w:val="55902A27"/>
    <w:rsid w:val="55923347"/>
    <w:rsid w:val="55925180"/>
    <w:rsid w:val="55983B1B"/>
    <w:rsid w:val="55A8376B"/>
    <w:rsid w:val="55D50903"/>
    <w:rsid w:val="55DC29B6"/>
    <w:rsid w:val="55DD4241"/>
    <w:rsid w:val="561926D0"/>
    <w:rsid w:val="566B6D1E"/>
    <w:rsid w:val="569F6AC7"/>
    <w:rsid w:val="56AA6827"/>
    <w:rsid w:val="57032A2C"/>
    <w:rsid w:val="570F5219"/>
    <w:rsid w:val="575D12B5"/>
    <w:rsid w:val="57610A87"/>
    <w:rsid w:val="5772374D"/>
    <w:rsid w:val="577B1140"/>
    <w:rsid w:val="577B7F21"/>
    <w:rsid w:val="577F181B"/>
    <w:rsid w:val="578C50A7"/>
    <w:rsid w:val="57921984"/>
    <w:rsid w:val="579737F0"/>
    <w:rsid w:val="57AB7B30"/>
    <w:rsid w:val="57AF5251"/>
    <w:rsid w:val="57B26373"/>
    <w:rsid w:val="57B63F04"/>
    <w:rsid w:val="57CD20C2"/>
    <w:rsid w:val="57D675AB"/>
    <w:rsid w:val="57D95FDD"/>
    <w:rsid w:val="57EA58F1"/>
    <w:rsid w:val="58142FFC"/>
    <w:rsid w:val="58917D2F"/>
    <w:rsid w:val="5894085C"/>
    <w:rsid w:val="58AE4F0C"/>
    <w:rsid w:val="58B85899"/>
    <w:rsid w:val="58E363A9"/>
    <w:rsid w:val="590E29AC"/>
    <w:rsid w:val="595E1678"/>
    <w:rsid w:val="596D5BD4"/>
    <w:rsid w:val="59782F99"/>
    <w:rsid w:val="597E3DD8"/>
    <w:rsid w:val="59D634DF"/>
    <w:rsid w:val="59F80043"/>
    <w:rsid w:val="5A09252F"/>
    <w:rsid w:val="5A0B2778"/>
    <w:rsid w:val="5A133E67"/>
    <w:rsid w:val="5A2A7C7B"/>
    <w:rsid w:val="5A3E2560"/>
    <w:rsid w:val="5A5D3B6E"/>
    <w:rsid w:val="5A637A76"/>
    <w:rsid w:val="5A6D33BA"/>
    <w:rsid w:val="5A792B1F"/>
    <w:rsid w:val="5A7D5519"/>
    <w:rsid w:val="5A874767"/>
    <w:rsid w:val="5A8C7BCC"/>
    <w:rsid w:val="5A8D7133"/>
    <w:rsid w:val="5A944CE3"/>
    <w:rsid w:val="5AAD6F28"/>
    <w:rsid w:val="5AD63A24"/>
    <w:rsid w:val="5AEA5EB6"/>
    <w:rsid w:val="5AEA62E5"/>
    <w:rsid w:val="5AFF3461"/>
    <w:rsid w:val="5B1511F3"/>
    <w:rsid w:val="5B167F88"/>
    <w:rsid w:val="5B2E1A1D"/>
    <w:rsid w:val="5B317CC1"/>
    <w:rsid w:val="5B6B0A58"/>
    <w:rsid w:val="5B843A1C"/>
    <w:rsid w:val="5B873E3F"/>
    <w:rsid w:val="5B897053"/>
    <w:rsid w:val="5BA83A02"/>
    <w:rsid w:val="5C02690E"/>
    <w:rsid w:val="5C196DA7"/>
    <w:rsid w:val="5C1D0043"/>
    <w:rsid w:val="5C2A048C"/>
    <w:rsid w:val="5C80234E"/>
    <w:rsid w:val="5C8A680C"/>
    <w:rsid w:val="5CA644DC"/>
    <w:rsid w:val="5CE01922"/>
    <w:rsid w:val="5CEC7655"/>
    <w:rsid w:val="5D0C4701"/>
    <w:rsid w:val="5D0F0395"/>
    <w:rsid w:val="5D221076"/>
    <w:rsid w:val="5D397964"/>
    <w:rsid w:val="5D5A391C"/>
    <w:rsid w:val="5D5F10C0"/>
    <w:rsid w:val="5D891B7B"/>
    <w:rsid w:val="5DA35AD2"/>
    <w:rsid w:val="5DAA5DD8"/>
    <w:rsid w:val="5DAD38EE"/>
    <w:rsid w:val="5DCE5EE9"/>
    <w:rsid w:val="5E006862"/>
    <w:rsid w:val="5E0207B9"/>
    <w:rsid w:val="5E0B0AD6"/>
    <w:rsid w:val="5E1834A1"/>
    <w:rsid w:val="5E261785"/>
    <w:rsid w:val="5E4A7017"/>
    <w:rsid w:val="5E4F2952"/>
    <w:rsid w:val="5E552BBA"/>
    <w:rsid w:val="5E610D01"/>
    <w:rsid w:val="5E611C10"/>
    <w:rsid w:val="5E655CD1"/>
    <w:rsid w:val="5E766130"/>
    <w:rsid w:val="5EA31D4C"/>
    <w:rsid w:val="5EFC7377"/>
    <w:rsid w:val="5F06174D"/>
    <w:rsid w:val="5F3A3602"/>
    <w:rsid w:val="5F6277C6"/>
    <w:rsid w:val="5F6D0B1D"/>
    <w:rsid w:val="5F6FF5AD"/>
    <w:rsid w:val="5F8D0B82"/>
    <w:rsid w:val="5FCC5339"/>
    <w:rsid w:val="5FE34A5B"/>
    <w:rsid w:val="5FFE1E36"/>
    <w:rsid w:val="600502B2"/>
    <w:rsid w:val="60232584"/>
    <w:rsid w:val="602C4E9D"/>
    <w:rsid w:val="6060009F"/>
    <w:rsid w:val="607330CE"/>
    <w:rsid w:val="60825176"/>
    <w:rsid w:val="609F2AC4"/>
    <w:rsid w:val="60FA2EE8"/>
    <w:rsid w:val="61054A27"/>
    <w:rsid w:val="610A52BC"/>
    <w:rsid w:val="611D2366"/>
    <w:rsid w:val="61401BAF"/>
    <w:rsid w:val="61421856"/>
    <w:rsid w:val="615227C4"/>
    <w:rsid w:val="6153074E"/>
    <w:rsid w:val="61654E3F"/>
    <w:rsid w:val="61721216"/>
    <w:rsid w:val="6182292A"/>
    <w:rsid w:val="618D5C6B"/>
    <w:rsid w:val="619F7F92"/>
    <w:rsid w:val="61B60EF8"/>
    <w:rsid w:val="61F94C26"/>
    <w:rsid w:val="62000E56"/>
    <w:rsid w:val="620A1913"/>
    <w:rsid w:val="620E01E9"/>
    <w:rsid w:val="620F44F5"/>
    <w:rsid w:val="62330149"/>
    <w:rsid w:val="624E346D"/>
    <w:rsid w:val="624F3E49"/>
    <w:rsid w:val="62632286"/>
    <w:rsid w:val="62885958"/>
    <w:rsid w:val="62B674A5"/>
    <w:rsid w:val="62F40B65"/>
    <w:rsid w:val="62FC2CFE"/>
    <w:rsid w:val="63024505"/>
    <w:rsid w:val="632C6FB1"/>
    <w:rsid w:val="633D721D"/>
    <w:rsid w:val="635B1DB5"/>
    <w:rsid w:val="636B0439"/>
    <w:rsid w:val="63711FED"/>
    <w:rsid w:val="63880DDC"/>
    <w:rsid w:val="638D750D"/>
    <w:rsid w:val="63A36518"/>
    <w:rsid w:val="63AC6CC0"/>
    <w:rsid w:val="63D066D2"/>
    <w:rsid w:val="64055776"/>
    <w:rsid w:val="640C0875"/>
    <w:rsid w:val="640E127D"/>
    <w:rsid w:val="64240056"/>
    <w:rsid w:val="643E143A"/>
    <w:rsid w:val="645A71B2"/>
    <w:rsid w:val="648B6EEF"/>
    <w:rsid w:val="648C1B70"/>
    <w:rsid w:val="64C158BF"/>
    <w:rsid w:val="64C27B00"/>
    <w:rsid w:val="64CE2EAA"/>
    <w:rsid w:val="64D66A7C"/>
    <w:rsid w:val="653C3090"/>
    <w:rsid w:val="65405CCA"/>
    <w:rsid w:val="655A3BEA"/>
    <w:rsid w:val="65854376"/>
    <w:rsid w:val="658767BE"/>
    <w:rsid w:val="65892531"/>
    <w:rsid w:val="65BA52F7"/>
    <w:rsid w:val="66065A48"/>
    <w:rsid w:val="66195831"/>
    <w:rsid w:val="662B5A52"/>
    <w:rsid w:val="662D6DA8"/>
    <w:rsid w:val="662E75B1"/>
    <w:rsid w:val="66342C2E"/>
    <w:rsid w:val="663E784C"/>
    <w:rsid w:val="66594935"/>
    <w:rsid w:val="667A09B7"/>
    <w:rsid w:val="668B6A45"/>
    <w:rsid w:val="66A45BDC"/>
    <w:rsid w:val="66C74351"/>
    <w:rsid w:val="671B2C97"/>
    <w:rsid w:val="672F3F24"/>
    <w:rsid w:val="673E055F"/>
    <w:rsid w:val="67551CE3"/>
    <w:rsid w:val="675B1A5F"/>
    <w:rsid w:val="67762F9E"/>
    <w:rsid w:val="679413D5"/>
    <w:rsid w:val="679B2025"/>
    <w:rsid w:val="67A22552"/>
    <w:rsid w:val="67B22DCC"/>
    <w:rsid w:val="67BE71AA"/>
    <w:rsid w:val="67D90273"/>
    <w:rsid w:val="67DE5875"/>
    <w:rsid w:val="67E55852"/>
    <w:rsid w:val="67EB1AB4"/>
    <w:rsid w:val="67FA1285"/>
    <w:rsid w:val="68551F4F"/>
    <w:rsid w:val="685847A6"/>
    <w:rsid w:val="687C10C9"/>
    <w:rsid w:val="68840C16"/>
    <w:rsid w:val="68876EFB"/>
    <w:rsid w:val="68884654"/>
    <w:rsid w:val="689F444F"/>
    <w:rsid w:val="68B96DBB"/>
    <w:rsid w:val="68BB37A7"/>
    <w:rsid w:val="68CA2805"/>
    <w:rsid w:val="68E937A3"/>
    <w:rsid w:val="69196B57"/>
    <w:rsid w:val="691C4BA2"/>
    <w:rsid w:val="693E15D3"/>
    <w:rsid w:val="694E7060"/>
    <w:rsid w:val="69627681"/>
    <w:rsid w:val="69701FBE"/>
    <w:rsid w:val="6977531D"/>
    <w:rsid w:val="697B1F3A"/>
    <w:rsid w:val="69A53598"/>
    <w:rsid w:val="69C85FF1"/>
    <w:rsid w:val="69CC2BFF"/>
    <w:rsid w:val="69FD55B8"/>
    <w:rsid w:val="6A0B1C62"/>
    <w:rsid w:val="6A2406C8"/>
    <w:rsid w:val="6A2C3AC3"/>
    <w:rsid w:val="6A4B7311"/>
    <w:rsid w:val="6A834F5B"/>
    <w:rsid w:val="6A8453C5"/>
    <w:rsid w:val="6A9A6657"/>
    <w:rsid w:val="6ADE0BD1"/>
    <w:rsid w:val="6AE96859"/>
    <w:rsid w:val="6B147746"/>
    <w:rsid w:val="6B24787C"/>
    <w:rsid w:val="6B26761E"/>
    <w:rsid w:val="6B346F2B"/>
    <w:rsid w:val="6B380B3D"/>
    <w:rsid w:val="6B426AD4"/>
    <w:rsid w:val="6B573233"/>
    <w:rsid w:val="6B5B6274"/>
    <w:rsid w:val="6B935D53"/>
    <w:rsid w:val="6BDA1BDD"/>
    <w:rsid w:val="6BDC30C6"/>
    <w:rsid w:val="6C133194"/>
    <w:rsid w:val="6C196F71"/>
    <w:rsid w:val="6C1A6BD0"/>
    <w:rsid w:val="6C226FCB"/>
    <w:rsid w:val="6C31226F"/>
    <w:rsid w:val="6C514E57"/>
    <w:rsid w:val="6C552F0B"/>
    <w:rsid w:val="6C8B51FB"/>
    <w:rsid w:val="6C8C67B7"/>
    <w:rsid w:val="6C9D744C"/>
    <w:rsid w:val="6CC55D31"/>
    <w:rsid w:val="6D167928"/>
    <w:rsid w:val="6D26299B"/>
    <w:rsid w:val="6D4772EC"/>
    <w:rsid w:val="6D9078AF"/>
    <w:rsid w:val="6DAA3FEF"/>
    <w:rsid w:val="6DBF2DB2"/>
    <w:rsid w:val="6DC0172B"/>
    <w:rsid w:val="6DCB690C"/>
    <w:rsid w:val="6DD41A5B"/>
    <w:rsid w:val="6DF43C2E"/>
    <w:rsid w:val="6DF51CA3"/>
    <w:rsid w:val="6E0863D3"/>
    <w:rsid w:val="6E8335BD"/>
    <w:rsid w:val="6E8E12EF"/>
    <w:rsid w:val="6E972936"/>
    <w:rsid w:val="6EBF1DC3"/>
    <w:rsid w:val="6ED446C5"/>
    <w:rsid w:val="6F2A7D94"/>
    <w:rsid w:val="6F665B7C"/>
    <w:rsid w:val="6F730377"/>
    <w:rsid w:val="6F8331F1"/>
    <w:rsid w:val="6F8A0F8C"/>
    <w:rsid w:val="6FAE1A09"/>
    <w:rsid w:val="6FD44A65"/>
    <w:rsid w:val="6FD75BF8"/>
    <w:rsid w:val="70206492"/>
    <w:rsid w:val="707723D0"/>
    <w:rsid w:val="70BF3010"/>
    <w:rsid w:val="70E5507E"/>
    <w:rsid w:val="70F5661B"/>
    <w:rsid w:val="71084023"/>
    <w:rsid w:val="710E183A"/>
    <w:rsid w:val="711B4915"/>
    <w:rsid w:val="71360107"/>
    <w:rsid w:val="713B688E"/>
    <w:rsid w:val="7151750C"/>
    <w:rsid w:val="71A265F4"/>
    <w:rsid w:val="71D43752"/>
    <w:rsid w:val="71F1796A"/>
    <w:rsid w:val="72093BA6"/>
    <w:rsid w:val="720C45CB"/>
    <w:rsid w:val="72132D4D"/>
    <w:rsid w:val="72154626"/>
    <w:rsid w:val="72262B5D"/>
    <w:rsid w:val="72283FF7"/>
    <w:rsid w:val="722E7212"/>
    <w:rsid w:val="723A0474"/>
    <w:rsid w:val="724F4877"/>
    <w:rsid w:val="725923E4"/>
    <w:rsid w:val="727163BD"/>
    <w:rsid w:val="72777EDD"/>
    <w:rsid w:val="72864BF7"/>
    <w:rsid w:val="729023FC"/>
    <w:rsid w:val="72B62B48"/>
    <w:rsid w:val="72CE1FD6"/>
    <w:rsid w:val="7328339C"/>
    <w:rsid w:val="73286404"/>
    <w:rsid w:val="73460898"/>
    <w:rsid w:val="73B95C72"/>
    <w:rsid w:val="73C0646E"/>
    <w:rsid w:val="73D239B1"/>
    <w:rsid w:val="73D96AEE"/>
    <w:rsid w:val="73E6120B"/>
    <w:rsid w:val="742222F5"/>
    <w:rsid w:val="74476126"/>
    <w:rsid w:val="7463243A"/>
    <w:rsid w:val="74706664"/>
    <w:rsid w:val="747F3682"/>
    <w:rsid w:val="749C4185"/>
    <w:rsid w:val="74BC6A08"/>
    <w:rsid w:val="75067759"/>
    <w:rsid w:val="752E6DCD"/>
    <w:rsid w:val="754405BD"/>
    <w:rsid w:val="754F2B6C"/>
    <w:rsid w:val="7551380D"/>
    <w:rsid w:val="75600BE5"/>
    <w:rsid w:val="7564475C"/>
    <w:rsid w:val="7583797F"/>
    <w:rsid w:val="75D20F1D"/>
    <w:rsid w:val="75DA2C18"/>
    <w:rsid w:val="75F54412"/>
    <w:rsid w:val="761D08E0"/>
    <w:rsid w:val="763A5CD8"/>
    <w:rsid w:val="765D347C"/>
    <w:rsid w:val="76826699"/>
    <w:rsid w:val="76B800A3"/>
    <w:rsid w:val="76C87133"/>
    <w:rsid w:val="76CD08D5"/>
    <w:rsid w:val="76DB4B92"/>
    <w:rsid w:val="77052AA4"/>
    <w:rsid w:val="77136511"/>
    <w:rsid w:val="77315B09"/>
    <w:rsid w:val="77340A39"/>
    <w:rsid w:val="77351FD0"/>
    <w:rsid w:val="77472422"/>
    <w:rsid w:val="777F31F2"/>
    <w:rsid w:val="779C6247"/>
    <w:rsid w:val="77D1700D"/>
    <w:rsid w:val="77DF044B"/>
    <w:rsid w:val="77E12CB2"/>
    <w:rsid w:val="77EC04CC"/>
    <w:rsid w:val="77ED2B68"/>
    <w:rsid w:val="77FDDB5F"/>
    <w:rsid w:val="78063EE4"/>
    <w:rsid w:val="781A0520"/>
    <w:rsid w:val="78602ACB"/>
    <w:rsid w:val="78664675"/>
    <w:rsid w:val="78775729"/>
    <w:rsid w:val="789324D6"/>
    <w:rsid w:val="78A42DB0"/>
    <w:rsid w:val="78A656AB"/>
    <w:rsid w:val="78B2245C"/>
    <w:rsid w:val="78CC2A74"/>
    <w:rsid w:val="78E172CC"/>
    <w:rsid w:val="78E201F2"/>
    <w:rsid w:val="78EA1D1F"/>
    <w:rsid w:val="7904172F"/>
    <w:rsid w:val="790F7E27"/>
    <w:rsid w:val="792A231A"/>
    <w:rsid w:val="79316829"/>
    <w:rsid w:val="79475498"/>
    <w:rsid w:val="797E66A9"/>
    <w:rsid w:val="799632CD"/>
    <w:rsid w:val="79A97383"/>
    <w:rsid w:val="79B7342D"/>
    <w:rsid w:val="79D35D8D"/>
    <w:rsid w:val="79E27E8B"/>
    <w:rsid w:val="79F850CE"/>
    <w:rsid w:val="79FD443C"/>
    <w:rsid w:val="7A1D1975"/>
    <w:rsid w:val="7A307068"/>
    <w:rsid w:val="7A3E5150"/>
    <w:rsid w:val="7A4670D6"/>
    <w:rsid w:val="7A534B63"/>
    <w:rsid w:val="7A5C16D2"/>
    <w:rsid w:val="7A615382"/>
    <w:rsid w:val="7A67303B"/>
    <w:rsid w:val="7AAB1D04"/>
    <w:rsid w:val="7ABA4368"/>
    <w:rsid w:val="7ACD1C1E"/>
    <w:rsid w:val="7AD05746"/>
    <w:rsid w:val="7B2173E8"/>
    <w:rsid w:val="7B257FFD"/>
    <w:rsid w:val="7B343476"/>
    <w:rsid w:val="7B5A2978"/>
    <w:rsid w:val="7B5A7E4C"/>
    <w:rsid w:val="7B667AF9"/>
    <w:rsid w:val="7B6B7668"/>
    <w:rsid w:val="7B7468F8"/>
    <w:rsid w:val="7B7C1ABA"/>
    <w:rsid w:val="7BC30888"/>
    <w:rsid w:val="7BEE0103"/>
    <w:rsid w:val="7BF56183"/>
    <w:rsid w:val="7C0A0FE4"/>
    <w:rsid w:val="7C1A1F01"/>
    <w:rsid w:val="7C254906"/>
    <w:rsid w:val="7C30396B"/>
    <w:rsid w:val="7C590818"/>
    <w:rsid w:val="7C6FCA9D"/>
    <w:rsid w:val="7C7C10F6"/>
    <w:rsid w:val="7C853BEA"/>
    <w:rsid w:val="7C881368"/>
    <w:rsid w:val="7CD60A03"/>
    <w:rsid w:val="7CE27788"/>
    <w:rsid w:val="7D0C32F1"/>
    <w:rsid w:val="7D0F408D"/>
    <w:rsid w:val="7D491C6C"/>
    <w:rsid w:val="7D5429C0"/>
    <w:rsid w:val="7D6E6D43"/>
    <w:rsid w:val="7D7E1AD8"/>
    <w:rsid w:val="7DB57A34"/>
    <w:rsid w:val="7DE60973"/>
    <w:rsid w:val="7DEF0916"/>
    <w:rsid w:val="7DF74B1D"/>
    <w:rsid w:val="7E1E5218"/>
    <w:rsid w:val="7E290672"/>
    <w:rsid w:val="7E8D00FD"/>
    <w:rsid w:val="7E924985"/>
    <w:rsid w:val="7E9A4E1F"/>
    <w:rsid w:val="7EA7723A"/>
    <w:rsid w:val="7ED02A96"/>
    <w:rsid w:val="7EF56FBB"/>
    <w:rsid w:val="7F0768EB"/>
    <w:rsid w:val="7F143BEC"/>
    <w:rsid w:val="7F28097A"/>
    <w:rsid w:val="7F715AF2"/>
    <w:rsid w:val="7F886E69"/>
    <w:rsid w:val="7FFA4FF3"/>
    <w:rsid w:val="BB7FA927"/>
    <w:rsid w:val="DEFFAD92"/>
    <w:rsid w:val="F5FFD31F"/>
    <w:rsid w:val="FA47BF2E"/>
    <w:rsid w:val="FA7DB66F"/>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3"/>
    <w:qFormat/>
    <w:uiPriority w:val="0"/>
    <w:pPr>
      <w:autoSpaceDE w:val="0"/>
      <w:autoSpaceDN w:val="0"/>
      <w:spacing w:line="360" w:lineRule="auto"/>
    </w:pPr>
    <w:rPr>
      <w:rFonts w:ascii="宋体" w:hAnsi="Arial" w:cs="Arial"/>
      <w:snapToGrid w:val="0"/>
      <w:sz w:val="24"/>
      <w:szCs w:val="21"/>
      <w:lang w:val="zh-CN"/>
    </w:rPr>
  </w:style>
  <w:style w:type="paragraph" w:styleId="3">
    <w:name w:val="Body Text 2"/>
    <w:basedOn w:val="1"/>
    <w:next w:val="1"/>
    <w:link w:val="305"/>
    <w:qFormat/>
    <w:uiPriority w:val="0"/>
    <w:pPr>
      <w:spacing w:after="120" w:line="480" w:lineRule="auto"/>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8"/>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cs="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next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
    <w:link w:val="313"/>
    <w:qFormat/>
    <w:uiPriority w:val="0"/>
    <w:pPr>
      <w:adjustRightInd/>
      <w:spacing w:before="60" w:after="60" w:line="300" w:lineRule="exact"/>
    </w:pPr>
    <w:rPr>
      <w:rFonts w:ascii="Calibri"/>
      <w:color w:val="0000FF"/>
      <w:kern w:val="0"/>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w:basedOn w:val="2"/>
    <w:next w:val="52"/>
    <w:link w:val="324"/>
    <w:qFormat/>
    <w:uiPriority w:val="0"/>
    <w:pPr>
      <w:ind w:firstLine="420"/>
    </w:pPr>
    <w:rPr>
      <w:rFonts w:hAnsi="Calibri" w:cs="Times New Roman"/>
      <w:snapToGrid/>
      <w:szCs w:val="20"/>
    </w:rPr>
  </w:style>
  <w:style w:type="paragraph" w:styleId="62">
    <w:name w:val="Body Text First Indent 2"/>
    <w:basedOn w:val="25"/>
    <w:next w:val="1"/>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Times New Roman" w:hAnsi="Times New Roman" w:eastAsia="宋体" w:cs="Times New Roman"/>
      <w:kern w:val="2"/>
      <w:sz w:val="21"/>
      <w:szCs w:val="24"/>
      <w:lang w:val="en-US" w:eastAsia="zh-CN" w:bidi="ar-SA"/>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1">
    <w:name w:val="文章正文"/>
    <w:basedOn w:val="1"/>
    <w:qFormat/>
    <w:uiPriority w:val="0"/>
    <w:pPr>
      <w:spacing w:line="360" w:lineRule="auto"/>
      <w:ind w:firstLine="200" w:firstLineChars="200"/>
    </w:pPr>
    <w:rPr>
      <w:rFonts w:ascii="Calibri" w:hAnsi="Calibri"/>
      <w:sz w:val="24"/>
    </w:rPr>
  </w:style>
  <w:style w:type="paragraph" w:customStyle="1" w:styleId="82">
    <w:name w:val="_Style 2"/>
    <w:basedOn w:val="1"/>
    <w:qFormat/>
    <w:uiPriority w:val="0"/>
    <w:pPr>
      <w:ind w:firstLine="200" w:firstLineChars="200"/>
    </w:pPr>
    <w:rPr>
      <w:rFonts w:ascii="Calibri" w:hAnsi="Calibri"/>
      <w:sz w:val="28"/>
    </w:rPr>
  </w:style>
  <w:style w:type="paragraph" w:customStyle="1" w:styleId="83">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basedOn w:val="70"/>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basedOn w:val="70"/>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3"/>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0"/>
    <w:qFormat/>
    <w:uiPriority w:val="0"/>
    <w:rPr>
      <w:b/>
      <w:bCs/>
      <w:kern w:val="2"/>
      <w:sz w:val="24"/>
      <w:szCs w:val="24"/>
    </w:rPr>
  </w:style>
  <w:style w:type="character" w:customStyle="1" w:styleId="311">
    <w:name w:val="正文文本缩进 2 字符"/>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qFormat/>
    <w:uiPriority w:val="0"/>
    <w:rPr>
      <w:kern w:val="2"/>
      <w:sz w:val="21"/>
      <w:szCs w:val="24"/>
    </w:rPr>
  </w:style>
  <w:style w:type="character" w:customStyle="1" w:styleId="348">
    <w:name w:val="签名 字符"/>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3"/>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6">
    <w:name w:val="纯文本3"/>
    <w:basedOn w:val="1"/>
    <w:qFormat/>
    <w:uiPriority w:val="0"/>
    <w:pPr>
      <w:textAlignment w:val="baseline"/>
    </w:pPr>
    <w:rPr>
      <w:rFonts w:ascii="宋体" w:hAnsi="Courier New" w:eastAsia="楷体_GB2312"/>
      <w:sz w:val="26"/>
      <w:szCs w:val="20"/>
    </w:rPr>
  </w:style>
  <w:style w:type="paragraph" w:customStyle="1" w:styleId="96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0">
    <w:name w:val="NormalCharacter"/>
    <w:qFormat/>
    <w:uiPriority w:val="0"/>
    <w:rPr>
      <w:kern w:val="2"/>
      <w:sz w:val="21"/>
      <w:szCs w:val="24"/>
      <w:lang w:val="en-US" w:eastAsia="zh-CN" w:bidi="ar-SA"/>
    </w:rPr>
  </w:style>
  <w:style w:type="character" w:customStyle="1" w:styleId="971">
    <w:name w:val="UserStyle_12"/>
    <w:qFormat/>
    <w:uiPriority w:val="0"/>
    <w:rPr>
      <w:kern w:val="2"/>
      <w:sz w:val="21"/>
      <w:szCs w:val="24"/>
      <w:lang w:val="en-US" w:eastAsia="zh-CN" w:bidi="ar-SA"/>
    </w:rPr>
  </w:style>
  <w:style w:type="paragraph" w:customStyle="1" w:styleId="972">
    <w:name w:val="BodyText"/>
    <w:basedOn w:val="1"/>
    <w:next w:val="973"/>
    <w:qFormat/>
    <w:uiPriority w:val="0"/>
    <w:pPr>
      <w:spacing w:after="120"/>
      <w:textAlignment w:val="baseline"/>
    </w:pPr>
    <w:rPr>
      <w:rFonts w:ascii="Calibri" w:hAnsi="Calibri"/>
    </w:rPr>
  </w:style>
  <w:style w:type="paragraph" w:customStyle="1" w:styleId="973">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4">
    <w:name w:val="纯文本4"/>
    <w:basedOn w:val="1"/>
    <w:qFormat/>
    <w:uiPriority w:val="0"/>
    <w:pPr>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53</Pages>
  <Words>28264</Words>
  <Characters>31042</Characters>
  <Lines>627</Lines>
  <Paragraphs>176</Paragraphs>
  <TotalTime>10</TotalTime>
  <ScaleCrop>false</ScaleCrop>
  <LinksUpToDate>false</LinksUpToDate>
  <CharactersWithSpaces>33645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9</cp:lastModifiedBy>
  <cp:lastPrinted>2022-04-02T14:08:00Z</cp:lastPrinted>
  <dcterms:modified xsi:type="dcterms:W3CDTF">2022-12-09T08:01:24Z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eyJoZGlkIjoiMGMzMTVmNWQ0ZWUwMDFhMGMxMjI0ODY0ODBlMmFiN2UifQ==</vt:lpwstr>
  </property>
</Properties>
</file>