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spacing w:line="360" w:lineRule="auto"/>
        <w:jc w:val="center"/>
        <w:rPr>
          <w:rFonts w:hint="eastAsia" w:ascii="仿宋" w:hAnsi="仿宋" w:eastAsia="仿宋" w:cs="仿宋_GB2312"/>
          <w:b/>
          <w:sz w:val="24"/>
          <w:highlight w:val="none"/>
        </w:rPr>
      </w:pPr>
    </w:p>
    <w:p>
      <w:pPr>
        <w:spacing w:line="1160" w:lineRule="exact"/>
        <w:jc w:val="center"/>
        <w:rPr>
          <w:rFonts w:hint="default" w:ascii="宋体" w:hAnsi="宋体" w:eastAsia="宋体"/>
          <w:b/>
          <w:sz w:val="56"/>
          <w:szCs w:val="56"/>
          <w:highlight w:val="none"/>
          <w:lang w:val="en-US" w:eastAsia="zh-CN"/>
        </w:rPr>
      </w:pPr>
      <w:bookmarkStart w:id="0" w:name="_Hlt67893495"/>
      <w:bookmarkEnd w:id="0"/>
      <w:r>
        <w:rPr>
          <w:rFonts w:hint="eastAsia" w:ascii="宋体" w:hAnsi="宋体"/>
          <w:b/>
          <w:sz w:val="52"/>
          <w:szCs w:val="52"/>
          <w:highlight w:val="none"/>
          <w:lang w:eastAsia="zh-CN"/>
        </w:rPr>
        <w:t>嘉善农科所长秀基地生态智慧提升单体大棚采购项目（第三次）</w:t>
      </w: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rPr>
          <w:rFonts w:ascii="宋体" w:hAnsi="宋体"/>
          <w:sz w:val="72"/>
          <w:szCs w:val="72"/>
          <w:highlight w:val="none"/>
        </w:rPr>
      </w:pPr>
    </w:p>
    <w:p>
      <w:pPr>
        <w:spacing w:before="120" w:beforeLines="50"/>
        <w:jc w:val="center"/>
        <w:rPr>
          <w:rFonts w:ascii="宋体" w:hAnsi="宋体"/>
          <w:sz w:val="72"/>
          <w:szCs w:val="72"/>
          <w:highlight w:val="none"/>
        </w:rPr>
      </w:pPr>
      <w:r>
        <w:rPr>
          <w:rFonts w:hint="eastAsia" w:ascii="宋体" w:hAnsi="宋体"/>
          <w:sz w:val="72"/>
          <w:szCs w:val="72"/>
          <w:highlight w:val="none"/>
        </w:rPr>
        <w:t>公开招标文件</w:t>
      </w:r>
    </w:p>
    <w:p>
      <w:pPr>
        <w:pStyle w:val="61"/>
        <w:rPr>
          <w:highlight w:val="none"/>
        </w:rPr>
      </w:pPr>
    </w:p>
    <w:p>
      <w:pPr>
        <w:snapToGrid w:val="0"/>
        <w:spacing w:before="120" w:beforeLines="50" w:line="360" w:lineRule="auto"/>
        <w:jc w:val="center"/>
        <w:rPr>
          <w:rFonts w:ascii="宋体" w:hAnsi="宋体"/>
          <w:sz w:val="30"/>
          <w:szCs w:val="72"/>
          <w:highlight w:val="none"/>
        </w:rPr>
      </w:pPr>
    </w:p>
    <w:p>
      <w:pPr>
        <w:snapToGrid w:val="0"/>
        <w:spacing w:before="120" w:beforeLines="50" w:line="360" w:lineRule="auto"/>
        <w:rPr>
          <w:rFonts w:ascii="宋体" w:hAnsi="宋体"/>
          <w:sz w:val="30"/>
          <w:szCs w:val="72"/>
          <w:highlight w:val="none"/>
        </w:rPr>
      </w:pPr>
    </w:p>
    <w:p>
      <w:pPr>
        <w:pStyle w:val="34"/>
        <w:snapToGrid w:val="0"/>
        <w:spacing w:before="120" w:after="120" w:line="360" w:lineRule="auto"/>
        <w:rPr>
          <w:b/>
          <w:sz w:val="30"/>
          <w:szCs w:val="30"/>
          <w:highlight w:val="none"/>
        </w:rPr>
      </w:pPr>
    </w:p>
    <w:p>
      <w:pPr>
        <w:pStyle w:val="34"/>
        <w:snapToGrid w:val="0"/>
        <w:spacing w:before="120" w:after="120" w:line="360" w:lineRule="auto"/>
        <w:jc w:val="left"/>
        <w:rPr>
          <w:b/>
          <w:sz w:val="30"/>
          <w:szCs w:val="30"/>
          <w:highlight w:val="none"/>
        </w:rPr>
      </w:pPr>
    </w:p>
    <w:p>
      <w:pPr>
        <w:pStyle w:val="34"/>
        <w:snapToGrid w:val="0"/>
        <w:spacing w:before="120" w:after="120" w:line="360" w:lineRule="auto"/>
        <w:jc w:val="left"/>
        <w:rPr>
          <w:b/>
          <w:sz w:val="30"/>
          <w:szCs w:val="30"/>
          <w:highlight w:val="none"/>
        </w:rPr>
      </w:pPr>
    </w:p>
    <w:p>
      <w:pPr>
        <w:pStyle w:val="34"/>
        <w:snapToGrid w:val="0"/>
        <w:spacing w:before="120" w:after="120" w:line="360" w:lineRule="auto"/>
        <w:jc w:val="left"/>
        <w:rPr>
          <w:b/>
          <w:sz w:val="30"/>
          <w:szCs w:val="30"/>
          <w:highlight w:val="none"/>
        </w:rPr>
      </w:pPr>
      <w:r>
        <w:rPr>
          <w:b/>
          <w:sz w:val="30"/>
          <w:szCs w:val="30"/>
          <w:highlight w:val="none"/>
        </w:rPr>
        <w:t>项目编号：</w:t>
      </w:r>
      <w:r>
        <w:rPr>
          <w:rFonts w:hint="eastAsia" w:hAnsi="宋体"/>
          <w:b/>
          <w:sz w:val="30"/>
          <w:szCs w:val="48"/>
          <w:highlight w:val="none"/>
          <w:lang w:eastAsia="zh-CN"/>
        </w:rPr>
        <w:t>JXYJ2022049</w:t>
      </w:r>
      <w:r>
        <w:rPr>
          <w:rFonts w:hint="eastAsia" w:hAnsi="宋体"/>
          <w:b/>
          <w:sz w:val="30"/>
          <w:szCs w:val="48"/>
          <w:highlight w:val="none"/>
        </w:rPr>
        <w:t>(G)</w:t>
      </w:r>
    </w:p>
    <w:p>
      <w:pPr>
        <w:pStyle w:val="34"/>
        <w:snapToGrid w:val="0"/>
        <w:spacing w:before="120" w:after="120" w:line="360" w:lineRule="auto"/>
        <w:jc w:val="left"/>
        <w:rPr>
          <w:rFonts w:hint="eastAsia" w:eastAsia="宋体"/>
          <w:b/>
          <w:sz w:val="30"/>
          <w:szCs w:val="30"/>
          <w:highlight w:val="none"/>
          <w:lang w:eastAsia="zh-CN"/>
        </w:rPr>
      </w:pPr>
      <w:r>
        <w:rPr>
          <w:rFonts w:hint="eastAsia"/>
          <w:b/>
          <w:sz w:val="30"/>
          <w:szCs w:val="30"/>
          <w:highlight w:val="none"/>
        </w:rPr>
        <w:t>项目名称：</w:t>
      </w:r>
      <w:r>
        <w:rPr>
          <w:rFonts w:hint="eastAsia"/>
          <w:b/>
          <w:sz w:val="30"/>
          <w:szCs w:val="30"/>
          <w:highlight w:val="none"/>
          <w:lang w:eastAsia="zh-CN"/>
        </w:rPr>
        <w:t>嘉善农科所长秀基地生态智慧提升单体大棚采购项目（第三次）</w:t>
      </w:r>
    </w:p>
    <w:p>
      <w:pPr>
        <w:pStyle w:val="34"/>
        <w:snapToGrid w:val="0"/>
        <w:spacing w:before="120" w:after="120" w:line="360" w:lineRule="auto"/>
        <w:jc w:val="left"/>
        <w:rPr>
          <w:rFonts w:hAnsi="宋体"/>
          <w:b/>
          <w:sz w:val="30"/>
          <w:szCs w:val="30"/>
          <w:highlight w:val="none"/>
        </w:rPr>
      </w:pPr>
      <w:r>
        <w:rPr>
          <w:b/>
          <w:sz w:val="30"/>
          <w:szCs w:val="30"/>
          <w:highlight w:val="none"/>
        </w:rPr>
        <w:t>采购</w:t>
      </w:r>
      <w:r>
        <w:rPr>
          <w:rFonts w:hint="eastAsia"/>
          <w:b/>
          <w:sz w:val="30"/>
          <w:szCs w:val="30"/>
          <w:highlight w:val="none"/>
        </w:rPr>
        <w:t>单位</w:t>
      </w:r>
      <w:r>
        <w:rPr>
          <w:b/>
          <w:sz w:val="30"/>
          <w:szCs w:val="30"/>
          <w:highlight w:val="none"/>
        </w:rPr>
        <w:t>：</w:t>
      </w:r>
      <w:r>
        <w:rPr>
          <w:rFonts w:hint="eastAsia"/>
          <w:b/>
          <w:sz w:val="30"/>
          <w:szCs w:val="30"/>
          <w:highlight w:val="none"/>
        </w:rPr>
        <w:t>嘉兴市农业科学研究院嘉善农业科学研究所</w:t>
      </w:r>
    </w:p>
    <w:p>
      <w:pPr>
        <w:pStyle w:val="34"/>
        <w:snapToGrid w:val="0"/>
        <w:spacing w:before="120" w:after="120" w:line="360" w:lineRule="auto"/>
        <w:jc w:val="left"/>
        <w:rPr>
          <w:rFonts w:hAnsi="宋体"/>
          <w:b/>
          <w:bCs/>
          <w:sz w:val="30"/>
          <w:szCs w:val="30"/>
          <w:highlight w:val="none"/>
        </w:rPr>
      </w:pPr>
      <w:r>
        <w:rPr>
          <w:rFonts w:hint="eastAsia"/>
          <w:b/>
          <w:sz w:val="30"/>
          <w:szCs w:val="30"/>
          <w:highlight w:val="none"/>
        </w:rPr>
        <w:t>采购代理机构</w:t>
      </w:r>
      <w:r>
        <w:rPr>
          <w:b/>
          <w:sz w:val="30"/>
          <w:szCs w:val="30"/>
          <w:highlight w:val="none"/>
        </w:rPr>
        <w:t>：</w:t>
      </w:r>
      <w:r>
        <w:rPr>
          <w:rFonts w:hint="eastAsia"/>
          <w:b/>
          <w:sz w:val="30"/>
          <w:szCs w:val="30"/>
          <w:highlight w:val="none"/>
        </w:rPr>
        <w:t>嘉兴市银建工程咨询评估有限公司</w:t>
      </w:r>
    </w:p>
    <w:p>
      <w:pPr>
        <w:spacing w:line="360" w:lineRule="auto"/>
        <w:jc w:val="center"/>
        <w:rPr>
          <w:rFonts w:ascii="仿宋" w:hAnsi="仿宋" w:eastAsia="仿宋" w:cs="仿宋_GB2312"/>
          <w:sz w:val="24"/>
          <w:highlight w:val="none"/>
        </w:rPr>
      </w:pPr>
      <w:r>
        <w:rPr>
          <w:rFonts w:hint="eastAsia" w:ascii="宋体" w:hAnsi="宋体"/>
          <w:b/>
          <w:bCs/>
          <w:w w:val="95"/>
          <w:sz w:val="30"/>
          <w:szCs w:val="30"/>
          <w:highlight w:val="none"/>
        </w:rPr>
        <w:t>2022年</w:t>
      </w:r>
      <w:r>
        <w:rPr>
          <w:rFonts w:hint="eastAsia" w:ascii="宋体" w:hAnsi="宋体"/>
          <w:b/>
          <w:bCs/>
          <w:w w:val="95"/>
          <w:sz w:val="30"/>
          <w:szCs w:val="30"/>
          <w:highlight w:val="none"/>
          <w:lang w:val="en-US" w:eastAsia="zh-CN"/>
        </w:rPr>
        <w:t>12</w:t>
      </w:r>
      <w:r>
        <w:rPr>
          <w:rFonts w:hint="eastAsia" w:ascii="宋体" w:hAnsi="宋体"/>
          <w:b/>
          <w:bCs/>
          <w:w w:val="95"/>
          <w:sz w:val="30"/>
          <w:szCs w:val="30"/>
          <w:highlight w:val="none"/>
        </w:rPr>
        <w:t>月</w:t>
      </w:r>
    </w:p>
    <w:p>
      <w:pPr>
        <w:rPr>
          <w:rFonts w:ascii="仿宋" w:hAnsi="仿宋" w:eastAsia="仿宋" w:cs="仿宋_GB2312"/>
          <w:sz w:val="24"/>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4"/>
        <w:spacing w:before="120" w:after="120" w:line="600" w:lineRule="exact"/>
        <w:rPr>
          <w:rFonts w:ascii="创艺简标宋" w:hAnsi="宋体" w:eastAsia="创艺简标宋"/>
          <w:b/>
          <w:sz w:val="44"/>
          <w:szCs w:val="44"/>
          <w:highlight w:val="none"/>
        </w:rPr>
      </w:pPr>
      <w:bookmarkStart w:id="1" w:name="_Hlt91233176"/>
      <w:bookmarkEnd w:id="1"/>
      <w:bookmarkStart w:id="2" w:name="_Toc91899869"/>
    </w:p>
    <w:p>
      <w:pPr>
        <w:pStyle w:val="34"/>
        <w:spacing w:before="120" w:after="120" w:line="600" w:lineRule="exact"/>
        <w:jc w:val="center"/>
        <w:rPr>
          <w:rFonts w:hint="eastAsia" w:hAnsi="宋体" w:cs="宋体"/>
          <w:b/>
          <w:sz w:val="44"/>
          <w:szCs w:val="44"/>
          <w:highlight w:val="none"/>
        </w:rPr>
      </w:pPr>
    </w:p>
    <w:p>
      <w:pPr>
        <w:pStyle w:val="34"/>
        <w:spacing w:before="120" w:after="120" w:line="600" w:lineRule="exact"/>
        <w:jc w:val="center"/>
        <w:rPr>
          <w:rFonts w:hAnsi="宋体" w:cs="宋体"/>
          <w:b/>
          <w:sz w:val="44"/>
          <w:szCs w:val="44"/>
          <w:highlight w:val="none"/>
        </w:rPr>
      </w:pPr>
      <w:r>
        <w:rPr>
          <w:rFonts w:hint="eastAsia" w:hAnsi="宋体" w:cs="宋体"/>
          <w:b/>
          <w:sz w:val="44"/>
          <w:szCs w:val="44"/>
          <w:highlight w:val="none"/>
        </w:rPr>
        <w:t>目    录</w:t>
      </w:r>
    </w:p>
    <w:p>
      <w:pPr>
        <w:pStyle w:val="34"/>
        <w:tabs>
          <w:tab w:val="left" w:pos="6645"/>
        </w:tabs>
        <w:spacing w:before="120" w:after="120" w:line="600" w:lineRule="exact"/>
        <w:jc w:val="left"/>
        <w:rPr>
          <w:rFonts w:ascii="创艺简标宋" w:hAnsi="宋体" w:eastAsia="创艺简标宋"/>
          <w:b/>
          <w:sz w:val="44"/>
          <w:szCs w:val="44"/>
          <w:highlight w:val="none"/>
        </w:rPr>
      </w:pPr>
      <w:r>
        <w:rPr>
          <w:rFonts w:ascii="创艺简标宋" w:hAnsi="宋体" w:eastAsia="创艺简标宋"/>
          <w:b/>
          <w:sz w:val="44"/>
          <w:szCs w:val="44"/>
          <w:highlight w:val="none"/>
        </w:rPr>
        <w:tab/>
      </w:r>
    </w:p>
    <w:p>
      <w:pPr>
        <w:pStyle w:val="44"/>
        <w:tabs>
          <w:tab w:val="right" w:leader="dot" w:pos="8834"/>
        </w:tabs>
        <w:spacing w:line="480" w:lineRule="auto"/>
        <w:rPr>
          <w:b/>
          <w:sz w:val="32"/>
          <w:szCs w:val="32"/>
          <w:highlight w:val="none"/>
        </w:rPr>
      </w:pPr>
      <w:r>
        <w:rPr>
          <w:b/>
          <w:sz w:val="32"/>
          <w:szCs w:val="32"/>
          <w:highlight w:val="none"/>
        </w:rPr>
        <w:fldChar w:fldCharType="begin"/>
      </w:r>
      <w:r>
        <w:rPr>
          <w:b/>
          <w:sz w:val="32"/>
          <w:szCs w:val="32"/>
          <w:highlight w:val="none"/>
        </w:rPr>
        <w:instrText xml:space="preserve"> TOC \o "1-1" \h \z \u </w:instrText>
      </w:r>
      <w:r>
        <w:rPr>
          <w:b/>
          <w:sz w:val="32"/>
          <w:szCs w:val="32"/>
          <w:highlight w:val="none"/>
        </w:rPr>
        <w:fldChar w:fldCharType="separate"/>
      </w:r>
      <w:r>
        <w:rPr>
          <w:highlight w:val="none"/>
        </w:rPr>
        <w:fldChar w:fldCharType="begin"/>
      </w:r>
      <w:r>
        <w:rPr>
          <w:highlight w:val="none"/>
        </w:rPr>
        <w:instrText xml:space="preserve"> HYPERLINK \l "_Toc406402981" </w:instrText>
      </w:r>
      <w:r>
        <w:rPr>
          <w:highlight w:val="none"/>
        </w:rPr>
        <w:fldChar w:fldCharType="separate"/>
      </w:r>
      <w:r>
        <w:rPr>
          <w:rStyle w:val="77"/>
          <w:rFonts w:hint="eastAsia"/>
          <w:b/>
          <w:sz w:val="32"/>
          <w:szCs w:val="32"/>
          <w:highlight w:val="none"/>
        </w:rPr>
        <w:t>第一章</w:t>
      </w:r>
      <w:r>
        <w:rPr>
          <w:rStyle w:val="77"/>
          <w:b/>
          <w:sz w:val="32"/>
          <w:szCs w:val="32"/>
          <w:highlight w:val="none"/>
        </w:rPr>
        <w:t xml:space="preserve">  </w:t>
      </w:r>
      <w:r>
        <w:rPr>
          <w:rStyle w:val="77"/>
          <w:rFonts w:hint="eastAsia"/>
          <w:b/>
          <w:sz w:val="32"/>
          <w:szCs w:val="32"/>
          <w:highlight w:val="none"/>
        </w:rPr>
        <w:t>公开招标采购公告</w:t>
      </w:r>
      <w:r>
        <w:rPr>
          <w:b/>
          <w:sz w:val="32"/>
          <w:szCs w:val="32"/>
          <w:highlight w:val="none"/>
        </w:rPr>
        <w:tab/>
      </w:r>
      <w:r>
        <w:rPr>
          <w:rFonts w:hint="eastAsia"/>
          <w:b/>
          <w:sz w:val="32"/>
          <w:szCs w:val="32"/>
          <w:highlight w:val="none"/>
        </w:rPr>
        <w:t>3</w:t>
      </w:r>
      <w:r>
        <w:rPr>
          <w:rFonts w:hint="eastAsia"/>
          <w:b/>
          <w:sz w:val="32"/>
          <w:szCs w:val="32"/>
          <w:highlight w:val="none"/>
        </w:rPr>
        <w:fldChar w:fldCharType="end"/>
      </w:r>
    </w:p>
    <w:p>
      <w:pPr>
        <w:pStyle w:val="44"/>
        <w:tabs>
          <w:tab w:val="right" w:leader="dot" w:pos="8834"/>
        </w:tabs>
        <w:spacing w:line="480" w:lineRule="auto"/>
        <w:rPr>
          <w:b/>
          <w:sz w:val="32"/>
          <w:szCs w:val="32"/>
          <w:highlight w:val="none"/>
        </w:rPr>
      </w:pPr>
      <w:r>
        <w:rPr>
          <w:highlight w:val="none"/>
        </w:rPr>
        <w:fldChar w:fldCharType="begin"/>
      </w:r>
      <w:r>
        <w:rPr>
          <w:highlight w:val="none"/>
        </w:rPr>
        <w:instrText xml:space="preserve"> HYPERLINK \l "_Toc406402982" </w:instrText>
      </w:r>
      <w:r>
        <w:rPr>
          <w:highlight w:val="none"/>
        </w:rPr>
        <w:fldChar w:fldCharType="separate"/>
      </w:r>
      <w:r>
        <w:rPr>
          <w:rStyle w:val="77"/>
          <w:rFonts w:hint="eastAsia"/>
          <w:b/>
          <w:sz w:val="32"/>
          <w:szCs w:val="32"/>
          <w:highlight w:val="none"/>
        </w:rPr>
        <w:t>第二章</w:t>
      </w:r>
      <w:r>
        <w:rPr>
          <w:rStyle w:val="77"/>
          <w:b/>
          <w:sz w:val="32"/>
          <w:szCs w:val="32"/>
          <w:highlight w:val="none"/>
        </w:rPr>
        <w:t xml:space="preserve">  </w:t>
      </w:r>
      <w:r>
        <w:rPr>
          <w:rStyle w:val="77"/>
          <w:rFonts w:hint="eastAsia"/>
          <w:b/>
          <w:sz w:val="32"/>
          <w:szCs w:val="32"/>
          <w:highlight w:val="none"/>
        </w:rPr>
        <w:t>招标需求</w:t>
      </w:r>
      <w:r>
        <w:rPr>
          <w:b/>
          <w:sz w:val="32"/>
          <w:szCs w:val="32"/>
          <w:highlight w:val="none"/>
        </w:rPr>
        <w:tab/>
      </w:r>
      <w:r>
        <w:rPr>
          <w:rFonts w:hint="eastAsia"/>
          <w:b/>
          <w:sz w:val="32"/>
          <w:szCs w:val="32"/>
          <w:highlight w:val="none"/>
        </w:rPr>
        <w:t>7</w:t>
      </w:r>
      <w:r>
        <w:rPr>
          <w:rFonts w:hint="eastAsia"/>
          <w:b/>
          <w:sz w:val="32"/>
          <w:szCs w:val="32"/>
          <w:highlight w:val="none"/>
        </w:rPr>
        <w:fldChar w:fldCharType="end"/>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"_Toc406402986" </w:instrText>
      </w:r>
      <w:r>
        <w:rPr>
          <w:highlight w:val="none"/>
        </w:rPr>
        <w:fldChar w:fldCharType="separate"/>
      </w:r>
      <w:r>
        <w:rPr>
          <w:rStyle w:val="77"/>
          <w:rFonts w:hint="eastAsia"/>
          <w:b/>
          <w:sz w:val="32"/>
          <w:szCs w:val="32"/>
          <w:highlight w:val="none"/>
        </w:rPr>
        <w:t>第三章</w:t>
      </w:r>
      <w:r>
        <w:rPr>
          <w:rStyle w:val="77"/>
          <w:b/>
          <w:sz w:val="32"/>
          <w:szCs w:val="32"/>
          <w:highlight w:val="none"/>
        </w:rPr>
        <w:t xml:space="preserve">  </w:t>
      </w:r>
      <w:r>
        <w:rPr>
          <w:rStyle w:val="77"/>
          <w:rFonts w:hint="eastAsia"/>
          <w:b/>
          <w:sz w:val="32"/>
          <w:szCs w:val="32"/>
          <w:highlight w:val="none"/>
        </w:rPr>
        <w:t>投标人须知</w:t>
      </w:r>
      <w:r>
        <w:rPr>
          <w:b/>
          <w:sz w:val="32"/>
          <w:szCs w:val="32"/>
          <w:highlight w:val="none"/>
        </w:rPr>
        <w:tab/>
      </w:r>
      <w:r>
        <w:rPr>
          <w:rFonts w:hint="eastAsia"/>
          <w:b/>
          <w:sz w:val="32"/>
          <w:szCs w:val="32"/>
          <w:highlight w:val="none"/>
          <w:lang w:val="en-US" w:eastAsia="zh-CN"/>
        </w:rPr>
        <w:t>1</w:t>
      </w:r>
      <w:r>
        <w:rPr>
          <w:rFonts w:hint="eastAsia"/>
          <w:b/>
          <w:sz w:val="32"/>
          <w:szCs w:val="32"/>
          <w:highlight w:val="none"/>
        </w:rPr>
        <w:fldChar w:fldCharType="end"/>
      </w:r>
      <w:r>
        <w:rPr>
          <w:rFonts w:hint="eastAsia"/>
          <w:b/>
          <w:sz w:val="32"/>
          <w:szCs w:val="32"/>
          <w:highlight w:val="none"/>
          <w:lang w:val="en-US" w:eastAsia="zh-CN"/>
        </w:rPr>
        <w:t>4</w:t>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"_Toc406402996" </w:instrText>
      </w:r>
      <w:r>
        <w:rPr>
          <w:highlight w:val="none"/>
        </w:rPr>
        <w:fldChar w:fldCharType="separate"/>
      </w:r>
      <w:r>
        <w:rPr>
          <w:rStyle w:val="77"/>
          <w:rFonts w:hint="eastAsia"/>
          <w:b/>
          <w:sz w:val="32"/>
          <w:szCs w:val="32"/>
          <w:highlight w:val="none"/>
        </w:rPr>
        <w:t xml:space="preserve">第四章 </w:t>
      </w:r>
      <w:r>
        <w:rPr>
          <w:rStyle w:val="77"/>
          <w:b/>
          <w:sz w:val="32"/>
          <w:szCs w:val="32"/>
          <w:highlight w:val="none"/>
        </w:rPr>
        <w:t xml:space="preserve"> </w:t>
      </w:r>
      <w:r>
        <w:rPr>
          <w:rStyle w:val="77"/>
          <w:rFonts w:hint="eastAsia"/>
          <w:b/>
          <w:sz w:val="32"/>
          <w:szCs w:val="32"/>
          <w:highlight w:val="none"/>
        </w:rPr>
        <w:t>评标办法及评分标准</w:t>
      </w:r>
      <w:r>
        <w:rPr>
          <w:b/>
          <w:sz w:val="32"/>
          <w:szCs w:val="32"/>
          <w:highlight w:val="none"/>
        </w:rPr>
        <w:tab/>
      </w:r>
      <w:r>
        <w:rPr>
          <w:rFonts w:hint="eastAsia"/>
          <w:b/>
          <w:sz w:val="32"/>
          <w:szCs w:val="32"/>
          <w:highlight w:val="none"/>
        </w:rPr>
        <w:t>3</w:t>
      </w:r>
      <w:r>
        <w:rPr>
          <w:rFonts w:hint="eastAsia"/>
          <w:b/>
          <w:sz w:val="32"/>
          <w:szCs w:val="32"/>
          <w:highlight w:val="none"/>
        </w:rPr>
        <w:fldChar w:fldCharType="end"/>
      </w:r>
      <w:r>
        <w:rPr>
          <w:rFonts w:hint="eastAsia"/>
          <w:b/>
          <w:sz w:val="32"/>
          <w:szCs w:val="32"/>
          <w:highlight w:val="none"/>
          <w:lang w:val="en-US" w:eastAsia="zh-CN"/>
        </w:rPr>
        <w:t>1</w:t>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"_Toc406402998" </w:instrText>
      </w:r>
      <w:r>
        <w:rPr>
          <w:highlight w:val="none"/>
        </w:rPr>
        <w:fldChar w:fldCharType="separate"/>
      </w:r>
      <w:r>
        <w:rPr>
          <w:rStyle w:val="77"/>
          <w:rFonts w:hint="eastAsia"/>
          <w:b/>
          <w:sz w:val="32"/>
          <w:szCs w:val="32"/>
          <w:highlight w:val="none"/>
        </w:rPr>
        <w:t>第五章</w:t>
      </w:r>
      <w:r>
        <w:rPr>
          <w:rStyle w:val="77"/>
          <w:b/>
          <w:sz w:val="32"/>
          <w:szCs w:val="32"/>
          <w:highlight w:val="none"/>
        </w:rPr>
        <w:t xml:space="preserve">  </w:t>
      </w:r>
      <w:r>
        <w:rPr>
          <w:rStyle w:val="77"/>
          <w:rFonts w:hint="eastAsia"/>
          <w:b/>
          <w:sz w:val="32"/>
          <w:szCs w:val="32"/>
          <w:highlight w:val="none"/>
        </w:rPr>
        <w:t>嘉善县政府采购合同（</w:t>
      </w:r>
      <w:bookmarkStart w:id="3" w:name="_Hlt497308216"/>
      <w:r>
        <w:rPr>
          <w:rStyle w:val="77"/>
          <w:rFonts w:hint="eastAsia"/>
          <w:b/>
          <w:sz w:val="32"/>
          <w:szCs w:val="32"/>
          <w:highlight w:val="none"/>
        </w:rPr>
        <w:t>指</w:t>
      </w:r>
      <w:bookmarkEnd w:id="3"/>
      <w:bookmarkStart w:id="4" w:name="_Hlt497308220"/>
      <w:r>
        <w:rPr>
          <w:rStyle w:val="77"/>
          <w:rFonts w:hint="eastAsia"/>
          <w:b/>
          <w:sz w:val="32"/>
          <w:szCs w:val="32"/>
          <w:highlight w:val="none"/>
        </w:rPr>
        <w:t>引</w:t>
      </w:r>
      <w:bookmarkEnd w:id="4"/>
      <w:r>
        <w:rPr>
          <w:rStyle w:val="77"/>
          <w:rFonts w:hint="eastAsia"/>
          <w:b/>
          <w:sz w:val="32"/>
          <w:szCs w:val="32"/>
          <w:highlight w:val="none"/>
        </w:rPr>
        <w:t>）</w:t>
      </w:r>
      <w:bookmarkStart w:id="5" w:name="_Hlt497308213"/>
      <w:bookmarkStart w:id="6" w:name="_Hlt497308212"/>
      <w:r>
        <w:rPr>
          <w:b/>
          <w:sz w:val="32"/>
          <w:szCs w:val="32"/>
          <w:highlight w:val="none"/>
        </w:rPr>
        <w:tab/>
      </w:r>
      <w:bookmarkEnd w:id="5"/>
      <w:bookmarkEnd w:id="6"/>
      <w:r>
        <w:rPr>
          <w:rFonts w:hint="eastAsia"/>
          <w:b/>
          <w:sz w:val="32"/>
          <w:szCs w:val="32"/>
          <w:highlight w:val="none"/>
          <w:lang w:val="en-US" w:eastAsia="zh-CN"/>
        </w:rPr>
        <w:t>3</w:t>
      </w:r>
      <w:r>
        <w:rPr>
          <w:rFonts w:hint="eastAsia"/>
          <w:b/>
          <w:sz w:val="32"/>
          <w:szCs w:val="32"/>
          <w:highlight w:val="none"/>
        </w:rPr>
        <w:fldChar w:fldCharType="end"/>
      </w:r>
      <w:r>
        <w:rPr>
          <w:rFonts w:hint="eastAsia"/>
          <w:b/>
          <w:sz w:val="32"/>
          <w:szCs w:val="32"/>
          <w:highlight w:val="none"/>
          <w:lang w:val="en-US" w:eastAsia="zh-CN"/>
        </w:rPr>
        <w:t>4</w:t>
      </w:r>
    </w:p>
    <w:p>
      <w:pPr>
        <w:pStyle w:val="44"/>
        <w:tabs>
          <w:tab w:val="right" w:leader="dot" w:pos="8834"/>
        </w:tabs>
        <w:spacing w:line="480" w:lineRule="auto"/>
        <w:rPr>
          <w:rFonts w:hint="eastAsia" w:eastAsia="宋体"/>
          <w:b/>
          <w:sz w:val="32"/>
          <w:szCs w:val="32"/>
          <w:highlight w:val="none"/>
          <w:lang w:eastAsia="zh-CN"/>
        </w:rPr>
      </w:pPr>
      <w:r>
        <w:rPr>
          <w:highlight w:val="none"/>
        </w:rPr>
        <w:fldChar w:fldCharType="begin"/>
      </w:r>
      <w:r>
        <w:rPr>
          <w:highlight w:val="none"/>
        </w:rPr>
        <w:instrText xml:space="preserve"> HYPERLINK \l "_Toc406403000" </w:instrText>
      </w:r>
      <w:r>
        <w:rPr>
          <w:highlight w:val="none"/>
        </w:rPr>
        <w:fldChar w:fldCharType="separate"/>
      </w:r>
      <w:r>
        <w:rPr>
          <w:rStyle w:val="77"/>
          <w:rFonts w:hint="eastAsia"/>
          <w:b/>
          <w:sz w:val="32"/>
          <w:szCs w:val="32"/>
          <w:highlight w:val="none"/>
        </w:rPr>
        <w:t>第六章　投标文件格式</w:t>
      </w:r>
      <w:r>
        <w:rPr>
          <w:b/>
          <w:sz w:val="32"/>
          <w:szCs w:val="32"/>
          <w:highlight w:val="none"/>
        </w:rPr>
        <w:tab/>
      </w:r>
      <w:r>
        <w:rPr>
          <w:b/>
          <w:sz w:val="32"/>
          <w:szCs w:val="32"/>
          <w:highlight w:val="none"/>
        </w:rPr>
        <w:fldChar w:fldCharType="end"/>
      </w:r>
      <w:r>
        <w:rPr>
          <w:rFonts w:hint="eastAsia"/>
          <w:b/>
          <w:sz w:val="32"/>
          <w:szCs w:val="32"/>
          <w:highlight w:val="none"/>
          <w:lang w:val="en-US" w:eastAsia="zh-CN"/>
        </w:rPr>
        <w:t>39</w:t>
      </w:r>
    </w:p>
    <w:p>
      <w:pPr>
        <w:pStyle w:val="44"/>
        <w:tabs>
          <w:tab w:val="right" w:leader="dot" w:pos="8834"/>
        </w:tabs>
        <w:spacing w:line="480" w:lineRule="auto"/>
        <w:rPr>
          <w:b/>
          <w:sz w:val="32"/>
          <w:szCs w:val="32"/>
          <w:highlight w:val="none"/>
        </w:rPr>
      </w:pPr>
    </w:p>
    <w:p>
      <w:pPr>
        <w:pStyle w:val="44"/>
        <w:tabs>
          <w:tab w:val="right" w:leader="dot" w:pos="8834"/>
        </w:tabs>
        <w:spacing w:line="480" w:lineRule="auto"/>
        <w:rPr>
          <w:b/>
          <w:sz w:val="32"/>
          <w:szCs w:val="32"/>
          <w:highlight w:val="none"/>
        </w:rPr>
      </w:pPr>
    </w:p>
    <w:p>
      <w:pPr>
        <w:pStyle w:val="44"/>
        <w:tabs>
          <w:tab w:val="right" w:leader="dot" w:pos="8834"/>
        </w:tabs>
        <w:spacing w:line="480" w:lineRule="auto"/>
        <w:rPr>
          <w:b/>
          <w:sz w:val="32"/>
          <w:szCs w:val="32"/>
          <w:highlight w:val="none"/>
        </w:rPr>
      </w:pPr>
    </w:p>
    <w:p>
      <w:pPr>
        <w:pStyle w:val="44"/>
        <w:tabs>
          <w:tab w:val="right" w:leader="dot" w:pos="8834"/>
        </w:tabs>
        <w:spacing w:line="480" w:lineRule="auto"/>
        <w:rPr>
          <w:b/>
          <w:sz w:val="32"/>
          <w:szCs w:val="32"/>
          <w:highlight w:val="none"/>
        </w:rPr>
      </w:pPr>
    </w:p>
    <w:p>
      <w:pPr>
        <w:spacing w:line="360" w:lineRule="auto"/>
        <w:ind w:firstLine="480" w:firstLineChars="229"/>
        <w:rPr>
          <w:rFonts w:ascii="仿宋" w:hAnsi="仿宋" w:eastAsia="仿宋" w:cs="仿宋_GB2312"/>
          <w:sz w:val="24"/>
          <w:highlight w:val="none"/>
        </w:rPr>
      </w:pPr>
      <w:r>
        <w:rPr>
          <w:szCs w:val="32"/>
          <w:highlight w:val="none"/>
        </w:rPr>
        <w:fldChar w:fldCharType="end"/>
      </w: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ind w:firstLine="549" w:firstLineChars="229"/>
        <w:rPr>
          <w:rFonts w:ascii="仿宋" w:hAnsi="仿宋" w:eastAsia="仿宋" w:cs="仿宋_GB2312"/>
          <w:sz w:val="24"/>
          <w:highlight w:val="none"/>
        </w:rPr>
      </w:pPr>
    </w:p>
    <w:p>
      <w:pPr>
        <w:spacing w:line="360" w:lineRule="auto"/>
        <w:rPr>
          <w:rFonts w:ascii="仿宋" w:hAnsi="仿宋" w:eastAsia="仿宋" w:cs="仿宋_GB2312"/>
          <w:sz w:val="24"/>
          <w:highlight w:val="none"/>
        </w:rPr>
      </w:pPr>
    </w:p>
    <w:bookmarkEnd w:id="2"/>
    <w:p>
      <w:pPr>
        <w:adjustRightInd/>
        <w:spacing w:line="360" w:lineRule="auto"/>
        <w:jc w:val="center"/>
        <w:outlineLvl w:val="0"/>
        <w:rPr>
          <w:rFonts w:hint="eastAsia" w:ascii="仿宋" w:hAnsi="仿宋" w:eastAsia="仿宋" w:cs="仿宋_GB2312"/>
          <w:b/>
          <w:sz w:val="36"/>
          <w:szCs w:val="20"/>
          <w:highlight w:val="none"/>
        </w:rPr>
      </w:pPr>
      <w:bookmarkStart w:id="7" w:name="_Hlt74707423"/>
      <w:bookmarkEnd w:id="7"/>
      <w:bookmarkStart w:id="8" w:name="_Hlt74649545"/>
      <w:bookmarkEnd w:id="8"/>
      <w:bookmarkStart w:id="9" w:name="_Hlt74729822"/>
      <w:bookmarkEnd w:id="9"/>
      <w:bookmarkStart w:id="10" w:name="_Hlt74728647"/>
      <w:bookmarkEnd w:id="10"/>
      <w:bookmarkStart w:id="11" w:name="第二部分"/>
      <w:bookmarkStart w:id="12" w:name="_Toc91899870"/>
      <w:bookmarkStart w:id="13" w:name="_Toc91899871"/>
    </w:p>
    <w:p>
      <w:pPr>
        <w:adjustRightInd/>
        <w:spacing w:line="360" w:lineRule="auto"/>
        <w:jc w:val="center"/>
        <w:outlineLvl w:val="0"/>
        <w:rPr>
          <w:rFonts w:ascii="仿宋_GB2312" w:hAnsi="仿宋" w:eastAsia="仿宋_GB2312" w:cs="仿宋_GB2312"/>
          <w:b/>
          <w:sz w:val="36"/>
          <w:szCs w:val="20"/>
          <w:highlight w:val="none"/>
        </w:rPr>
      </w:pPr>
      <w:r>
        <w:rPr>
          <w:rFonts w:hint="eastAsia" w:ascii="仿宋" w:hAnsi="仿宋" w:eastAsia="仿宋" w:cs="仿宋_GB2312"/>
          <w:b/>
          <w:sz w:val="36"/>
          <w:szCs w:val="20"/>
          <w:highlight w:val="none"/>
        </w:rPr>
        <w:t>第一章</w:t>
      </w:r>
      <w:r>
        <w:rPr>
          <w:rFonts w:ascii="仿宋" w:hAnsi="仿宋" w:eastAsia="仿宋" w:cs="仿宋_GB2312"/>
          <w:b/>
          <w:sz w:val="36"/>
          <w:szCs w:val="20"/>
          <w:highlight w:val="none"/>
        </w:rPr>
        <w:t xml:space="preserve"> </w:t>
      </w:r>
      <w:r>
        <w:rPr>
          <w:rFonts w:hint="eastAsia" w:ascii="仿宋" w:hAnsi="仿宋" w:eastAsia="仿宋" w:cs="仿宋_GB2312"/>
          <w:b/>
          <w:sz w:val="36"/>
          <w:szCs w:val="20"/>
          <w:highlight w:val="none"/>
        </w:rPr>
        <w:t>公开招标采购公告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highlight w:val="none"/>
          <w:u w:val="single"/>
        </w:rPr>
      </w:pPr>
      <w:r>
        <w:rPr>
          <w:rFonts w:hint="eastAsia" w:ascii="仿宋_GB2312" w:hAnsi="仿宋" w:eastAsia="仿宋_GB2312" w:cs="仿宋_GB2312"/>
          <w:sz w:val="24"/>
          <w:highlight w:val="none"/>
          <w:u w:val="single"/>
        </w:rPr>
        <w:t>（</w:t>
      </w:r>
      <w:r>
        <w:rPr>
          <w:rFonts w:hint="eastAsia" w:ascii="仿宋_GB2312" w:hAnsi="仿宋" w:eastAsia="仿宋_GB2312" w:cs="仿宋_GB2312"/>
          <w:sz w:val="24"/>
          <w:highlight w:val="none"/>
          <w:u w:val="single"/>
          <w:lang w:eastAsia="zh-CN"/>
        </w:rPr>
        <w:t>嘉善农科所长秀基地生态智慧提升单体大棚采购项目（第三次）</w:t>
      </w:r>
      <w:r>
        <w:rPr>
          <w:rFonts w:hint="eastAsia" w:ascii="仿宋_GB2312" w:hAnsi="仿宋" w:eastAsia="仿宋_GB2312" w:cs="仿宋_GB2312"/>
          <w:sz w:val="24"/>
          <w:highlight w:val="none"/>
          <w:u w:val="single"/>
        </w:rPr>
        <w:t>）</w:t>
      </w:r>
      <w:r>
        <w:rPr>
          <w:rFonts w:hint="eastAsia" w:ascii="仿宋_GB2312" w:hAnsi="仿宋" w:eastAsia="仿宋_GB2312"/>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ascii="仿宋_GB2312" w:hAnsi="仿宋" w:eastAsia="仿宋_GB2312"/>
          <w:sz w:val="24"/>
          <w:highlight w:val="none"/>
        </w:rPr>
        <w:t>https://www.zcygov.cn/）获取（下载）招标文件，并于</w:t>
      </w:r>
      <w:r>
        <w:rPr>
          <w:rFonts w:hint="eastAsia" w:ascii="仿宋_GB2312" w:hAnsi="仿宋" w:eastAsia="仿宋_GB2312"/>
          <w:sz w:val="24"/>
          <w:highlight w:val="none"/>
          <w:u w:val="single"/>
          <w:lang w:eastAsia="zh-CN"/>
        </w:rPr>
        <w:t>2022年12月20日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00秒</w:t>
      </w:r>
      <w:r>
        <w:rPr>
          <w:rFonts w:hint="eastAsia" w:ascii="仿宋_GB2312" w:hAnsi="仿宋" w:eastAsia="仿宋_GB2312"/>
          <w:bCs/>
          <w:sz w:val="24"/>
          <w:highlight w:val="none"/>
          <w:u w:val="single"/>
        </w:rPr>
        <w:fldChar w:fldCharType="end"/>
      </w:r>
      <w:r>
        <w:rPr>
          <w:rFonts w:hint="eastAsia" w:ascii="仿宋_GB2312" w:hAnsi="仿宋" w:eastAsia="仿宋_GB2312"/>
          <w:bCs/>
          <w:sz w:val="24"/>
          <w:highlight w:val="none"/>
        </w:rPr>
        <w:t>（北京时间）前</w:t>
      </w:r>
      <w:r>
        <w:rPr>
          <w:rFonts w:hint="eastAsia" w:ascii="仿宋_GB2312" w:hAnsi="仿宋" w:eastAsia="仿宋_GB2312"/>
          <w:sz w:val="24"/>
          <w:highlight w:val="none"/>
        </w:rPr>
        <w:t>递交（上传）投标文件。</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一、项目基本情况</w:t>
      </w:r>
      <w:r>
        <w:rPr>
          <w:rFonts w:ascii="仿宋_GB2312" w:hAnsi="仿宋" w:eastAsia="仿宋_GB2312"/>
          <w:b/>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hint="eastAsia" w:ascii="仿宋_GB2312" w:hAnsi="仿宋" w:eastAsia="仿宋_GB2312"/>
          <w:b/>
          <w:sz w:val="24"/>
          <w:highlight w:val="none"/>
        </w:rPr>
        <w:t>项目编号：</w:t>
      </w:r>
      <w:r>
        <w:rPr>
          <w:rFonts w:hint="eastAsia" w:ascii="仿宋_GB2312" w:hAnsi="仿宋" w:eastAsia="仿宋_GB2312"/>
          <w:b/>
          <w:sz w:val="24"/>
          <w:highlight w:val="none"/>
          <w:lang w:eastAsia="zh-CN"/>
        </w:rPr>
        <w:t>JXYJ2022049</w:t>
      </w:r>
      <w:r>
        <w:rPr>
          <w:rFonts w:hint="eastAsia" w:ascii="仿宋_GB2312" w:hAnsi="仿宋" w:eastAsia="仿宋_GB2312"/>
          <w:b/>
          <w:sz w:val="24"/>
          <w:highlight w:val="none"/>
        </w:rPr>
        <w:t>(G)</w:t>
      </w:r>
    </w:p>
    <w:p>
      <w:pPr>
        <w:spacing w:line="360" w:lineRule="auto"/>
        <w:rPr>
          <w:rFonts w:hint="eastAsia" w:ascii="仿宋_GB2312" w:hAnsi="仿宋" w:eastAsia="仿宋_GB2312"/>
          <w:sz w:val="24"/>
          <w:highlight w:val="none"/>
          <w:lang w:eastAsia="zh-CN"/>
        </w:rPr>
      </w:pPr>
      <w:r>
        <w:rPr>
          <w:rFonts w:ascii="仿宋_GB2312" w:hAnsi="仿宋" w:eastAsia="仿宋_GB2312"/>
          <w:sz w:val="24"/>
          <w:highlight w:val="none"/>
        </w:rPr>
        <w:t xml:space="preserve">   </w:t>
      </w:r>
      <w:r>
        <w:rPr>
          <w:rFonts w:ascii="仿宋_GB2312" w:hAnsi="仿宋" w:eastAsia="仿宋_GB2312"/>
          <w:b/>
          <w:sz w:val="24"/>
          <w:highlight w:val="none"/>
        </w:rPr>
        <w:t xml:space="preserve"> 项目名称：</w:t>
      </w:r>
      <w:r>
        <w:rPr>
          <w:rFonts w:hint="eastAsia" w:ascii="仿宋_GB2312" w:hAnsi="仿宋" w:eastAsia="仿宋_GB2312"/>
          <w:b/>
          <w:sz w:val="24"/>
          <w:highlight w:val="none"/>
          <w:lang w:eastAsia="zh-CN"/>
        </w:rPr>
        <w:t>嘉善农科所长秀基地生态智慧提升单体大棚采购项目（第三次）</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w:t>
      </w:r>
      <w:r>
        <w:rPr>
          <w:rFonts w:ascii="仿宋_GB2312" w:hAnsi="仿宋" w:eastAsia="仿宋_GB2312"/>
          <w:b/>
          <w:sz w:val="24"/>
          <w:highlight w:val="none"/>
        </w:rPr>
        <w:t xml:space="preserve"> 预算金额（元）：</w:t>
      </w:r>
      <w:r>
        <w:rPr>
          <w:rFonts w:hint="eastAsia" w:ascii="仿宋_GB2312" w:hAnsi="仿宋" w:eastAsia="仿宋_GB2312"/>
          <w:b/>
          <w:sz w:val="24"/>
          <w:highlight w:val="none"/>
        </w:rPr>
        <w:t>2454121</w:t>
      </w:r>
      <w:r>
        <w:rPr>
          <w:rFonts w:ascii="仿宋_GB2312" w:hAnsi="仿宋" w:eastAsia="仿宋_GB2312"/>
          <w:sz w:val="24"/>
          <w:highlight w:val="none"/>
        </w:rPr>
        <w:t xml:space="preserve"> </w:t>
      </w:r>
      <w:r>
        <w:rPr>
          <w:rFonts w:hint="eastAsia" w:ascii="仿宋_GB2312" w:hAnsi="仿宋" w:eastAsia="仿宋_GB2312"/>
          <w:sz w:val="24"/>
          <w:highlight w:val="none"/>
        </w:rPr>
        <w:t xml:space="preserve"> </w:t>
      </w:r>
    </w:p>
    <w:p>
      <w:pPr>
        <w:spacing w:line="360" w:lineRule="auto"/>
        <w:ind w:firstLine="480"/>
        <w:rPr>
          <w:rFonts w:ascii="仿宋_GB2312" w:hAnsi="仿宋" w:eastAsia="仿宋_GB2312"/>
          <w:sz w:val="24"/>
          <w:highlight w:val="none"/>
        </w:rPr>
      </w:pPr>
      <w:r>
        <w:rPr>
          <w:rFonts w:hint="eastAsia" w:ascii="仿宋_GB2312" w:hAnsi="仿宋" w:eastAsia="仿宋_GB2312"/>
          <w:b/>
          <w:sz w:val="24"/>
          <w:highlight w:val="none"/>
        </w:rPr>
        <w:t>最高限价（元）：</w:t>
      </w:r>
      <w:r>
        <w:rPr>
          <w:rFonts w:hint="eastAsia" w:ascii="仿宋_GB2312" w:hAnsi="仿宋" w:eastAsia="仿宋_GB2312"/>
          <w:b/>
          <w:sz w:val="24"/>
          <w:highlight w:val="none"/>
          <w:lang w:eastAsia="zh-CN"/>
        </w:rPr>
        <w:t>2454042</w:t>
      </w:r>
    </w:p>
    <w:p>
      <w:pPr>
        <w:pStyle w:val="17"/>
        <w:spacing w:line="360" w:lineRule="auto"/>
        <w:ind w:firstLine="480"/>
        <w:rPr>
          <w:rFonts w:ascii="仿宋_GB2312" w:hAnsi="仿宋" w:eastAsia="仿宋_GB2312"/>
          <w:bCs/>
          <w:snapToGrid/>
          <w:color w:val="auto"/>
          <w:kern w:val="2"/>
          <w:sz w:val="24"/>
          <w:szCs w:val="24"/>
          <w:highlight w:val="none"/>
        </w:rPr>
      </w:pPr>
      <w:r>
        <w:rPr>
          <w:rFonts w:hint="eastAsia" w:ascii="仿宋_GB2312" w:hAnsi="仿宋" w:eastAsia="仿宋_GB2312"/>
          <w:b/>
          <w:color w:val="auto"/>
          <w:sz w:val="24"/>
          <w:highlight w:val="none"/>
        </w:rPr>
        <w:t>采购需求：</w:t>
      </w:r>
      <w:r>
        <w:rPr>
          <w:rFonts w:hint="eastAsia" w:ascii="仿宋_GB2312" w:hAnsi="仿宋" w:eastAsia="仿宋_GB2312"/>
          <w:bCs/>
          <w:snapToGrid/>
          <w:color w:val="auto"/>
          <w:kern w:val="2"/>
          <w:sz w:val="24"/>
          <w:szCs w:val="24"/>
          <w:highlight w:val="none"/>
        </w:rPr>
        <w:t>详见招标文件第二章招标需求。</w:t>
      </w:r>
    </w:p>
    <w:p>
      <w:pPr>
        <w:pStyle w:val="17"/>
        <w:spacing w:line="360" w:lineRule="auto"/>
        <w:ind w:firstLine="480"/>
        <w:rPr>
          <w:rFonts w:ascii="仿宋_GB2312" w:hAnsi="仿宋" w:eastAsia="仿宋_GB2312"/>
          <w:highlight w:val="none"/>
        </w:rPr>
      </w:pPr>
      <w:r>
        <w:rPr>
          <w:rFonts w:hint="eastAsia" w:ascii="仿宋_GB2312" w:hAnsi="仿宋" w:eastAsia="仿宋_GB2312"/>
          <w:b/>
          <w:sz w:val="24"/>
          <w:szCs w:val="18"/>
          <w:highlight w:val="none"/>
        </w:rPr>
        <w:t>合同履约期限</w:t>
      </w:r>
      <w:r>
        <w:rPr>
          <w:rFonts w:hint="eastAsia" w:ascii="仿宋_GB2312" w:hAnsi="仿宋" w:eastAsia="仿宋_GB2312"/>
          <w:b/>
          <w:highlight w:val="none"/>
        </w:rPr>
        <w:t>：</w:t>
      </w:r>
      <w:r>
        <w:rPr>
          <w:rFonts w:hint="eastAsia" w:ascii="仿宋_GB2312" w:hAnsi="仿宋" w:eastAsia="仿宋_GB2312"/>
          <w:bCs/>
          <w:sz w:val="24"/>
          <w:szCs w:val="18"/>
          <w:highlight w:val="none"/>
        </w:rPr>
        <w:t>自合同签订之日起</w:t>
      </w:r>
      <w:r>
        <w:rPr>
          <w:rFonts w:hint="eastAsia" w:ascii="仿宋_GB2312" w:hAnsi="仿宋" w:eastAsia="仿宋_GB2312"/>
          <w:bCs/>
          <w:sz w:val="24"/>
          <w:szCs w:val="18"/>
          <w:highlight w:val="none"/>
          <w:lang w:val="en-US" w:eastAsia="zh-CN"/>
        </w:rPr>
        <w:t>60</w:t>
      </w:r>
      <w:r>
        <w:rPr>
          <w:rFonts w:hint="eastAsia" w:ascii="仿宋_GB2312" w:hAnsi="仿宋" w:eastAsia="仿宋_GB2312"/>
          <w:bCs/>
          <w:sz w:val="24"/>
          <w:szCs w:val="18"/>
          <w:highlight w:val="none"/>
        </w:rPr>
        <w:t>日内供货到采购人指定地点, 中标人负责安装，并调试完毕完成验收</w:t>
      </w:r>
      <w:r>
        <w:rPr>
          <w:rFonts w:hint="eastAsia" w:ascii="仿宋_GB2312" w:hAnsi="仿宋" w:eastAsia="仿宋_GB2312"/>
          <w:bCs/>
          <w:snapToGrid/>
          <w:color w:val="auto"/>
          <w:kern w:val="2"/>
          <w:sz w:val="22"/>
          <w:szCs w:val="22"/>
          <w:highlight w:val="none"/>
        </w:rPr>
        <w:t>。</w:t>
      </w:r>
    </w:p>
    <w:p>
      <w:pPr>
        <w:pStyle w:val="17"/>
        <w:spacing w:line="360" w:lineRule="auto"/>
        <w:ind w:firstLine="480"/>
        <w:rPr>
          <w:rFonts w:ascii="仿宋_GB2312" w:hAnsi="仿宋" w:eastAsia="仿宋_GB2312"/>
          <w:b/>
          <w:sz w:val="24"/>
          <w:highlight w:val="none"/>
        </w:rPr>
      </w:pPr>
      <w:r>
        <w:rPr>
          <w:rFonts w:hint="eastAsia" w:ascii="仿宋_GB2312" w:hAnsi="仿宋" w:eastAsia="仿宋_GB2312"/>
          <w:b/>
          <w:color w:val="auto"/>
          <w:sz w:val="24"/>
          <w:highlight w:val="none"/>
        </w:rPr>
        <w:t>本项目接受联合体投标：</w:t>
      </w:r>
      <w:sdt>
        <w:sdtPr>
          <w:rPr>
            <w:rFonts w:hint="eastAsia" w:ascii="仿宋_GB2312" w:hAnsi="仿宋" w:eastAsia="仿宋_GB2312" w:cs="Arial"/>
            <w:color w:val="auto"/>
            <w:kern w:val="0"/>
            <w:sz w:val="24"/>
            <w:highlight w:val="none"/>
          </w:rPr>
          <w:id w:val="2035453831"/>
          <w14:checkbox>
            <w14:checked w14:val="0"/>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MS Gothic" w:hAnsi="MS Gothic" w:eastAsia="MS Gothic" w:cs="Arial"/>
              <w:color w:val="auto"/>
              <w:kern w:val="0"/>
              <w:sz w:val="24"/>
              <w:highlight w:val="none"/>
            </w:rPr>
            <w:t>☐</w:t>
          </w:r>
        </w:sdtContent>
      </w:sdt>
      <w:r>
        <w:rPr>
          <w:rFonts w:hint="eastAsia" w:ascii="仿宋_GB2312" w:hAnsi="仿宋" w:eastAsia="仿宋_GB2312"/>
          <w:b/>
          <w:color w:val="auto"/>
          <w:sz w:val="24"/>
          <w:highlight w:val="none"/>
        </w:rPr>
        <w:t>是，</w:t>
      </w:r>
      <w:sdt>
        <w:sdtPr>
          <w:rPr>
            <w:rFonts w:hint="eastAsia" w:ascii="仿宋_GB2312" w:hAnsi="仿宋" w:eastAsia="仿宋_GB2312" w:cs="Arial"/>
            <w:color w:val="auto"/>
            <w:kern w:val="0"/>
            <w:sz w:val="24"/>
            <w:highlight w:val="none"/>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highlight w:val="none"/>
          </w:rPr>
        </w:sdtEndPr>
        <w:sdtContent>
          <w:r>
            <w:rPr>
              <w:rFonts w:ascii="Wingdings" w:hAnsi="Wingdings" w:eastAsia="MS Gothic" w:cs="Arial"/>
              <w:color w:val="auto"/>
              <w:kern w:val="0"/>
              <w:sz w:val="24"/>
              <w:highlight w:val="none"/>
            </w:rPr>
            <w:t>þ</w:t>
          </w:r>
        </w:sdtContent>
      </w:sdt>
      <w:r>
        <w:rPr>
          <w:rFonts w:hint="eastAsia" w:ascii="仿宋_GB2312" w:hAnsi="仿宋" w:eastAsia="仿宋_GB2312"/>
          <w:b/>
          <w:color w:val="auto"/>
          <w:sz w:val="24"/>
          <w:highlight w:val="none"/>
        </w:rPr>
        <w:t>否</w:t>
      </w:r>
      <w:r>
        <w:rPr>
          <w:rFonts w:hint="eastAsia" w:cs="Arial" w:asciiTheme="minorEastAsia" w:hAnsiTheme="minorEastAsia" w:eastAsiaTheme="minorEastAsia"/>
          <w:color w:val="auto"/>
          <w:kern w:val="0"/>
          <w:sz w:val="24"/>
          <w:highlight w:val="none"/>
        </w:rPr>
        <w:t>。</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二、申请人的资格要求：</w:t>
      </w:r>
    </w:p>
    <w:p>
      <w:pPr>
        <w:spacing w:line="360" w:lineRule="auto"/>
        <w:ind w:firstLine="480"/>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1.</w:t>
      </w:r>
      <w:r>
        <w:rPr>
          <w:rFonts w:hint="eastAsia" w:ascii="仿宋" w:hAnsi="仿宋" w:eastAsia="仿宋" w:cs="仿宋_GB2312"/>
          <w:snapToGrid w:val="0"/>
          <w:kern w:val="28"/>
          <w:sz w:val="24"/>
          <w:szCs w:val="20"/>
          <w:highlight w:val="none"/>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highlight w:val="none"/>
        </w:rPr>
      </w:pP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28616923"/>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MS Gothic" w:cs="Arial"/>
              <w:kern w:val="0"/>
              <w:sz w:val="24"/>
              <w:szCs w:val="24"/>
              <w:highlight w:val="none"/>
              <w:lang w:val="en-US" w:eastAsia="zh-CN" w:bidi="ar-SA"/>
            </w:rPr>
            <w:t>☐</w:t>
          </w:r>
        </w:sdtContent>
      </w:sdt>
      <w:r>
        <w:rPr>
          <w:rFonts w:hint="eastAsia" w:ascii="仿宋_GB2312" w:hAnsi="仿宋" w:eastAsia="仿宋_GB2312"/>
          <w:sz w:val="24"/>
          <w:highlight w:val="none"/>
        </w:rPr>
        <w:t>无；</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024704304"/>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u w:val="single"/>
        </w:rPr>
      </w:pPr>
      <w:sdt>
        <w:sdtPr>
          <w:rPr>
            <w:rFonts w:hint="eastAsia" w:ascii="仿宋_GB2312" w:hAnsi="仿宋" w:eastAsia="仿宋_GB2312" w:cs="Arial"/>
            <w:kern w:val="0"/>
            <w:sz w:val="24"/>
            <w:highlight w:val="none"/>
          </w:rPr>
          <w:id w:val="-924730588"/>
          <w14:checkbox>
            <w14:checked w14:val="1"/>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Wingdings" w:hAnsi="Wingdings" w:eastAsia="MS Gothic" w:cs="Arial"/>
              <w:kern w:val="0"/>
              <w:sz w:val="24"/>
              <w:szCs w:val="24"/>
              <w:highlight w:val="none"/>
              <w:lang w:val="en-US" w:eastAsia="zh-CN" w:bidi="ar-SA"/>
            </w:rPr>
            <w:t>þ</w:t>
          </w: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1152604937"/>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highlight w:val="none"/>
        </w:rPr>
      </w:pPr>
      <w:sdt>
        <w:sdtPr>
          <w:rPr>
            <w:rFonts w:hint="eastAsia" w:ascii="仿宋_GB2312" w:hAnsi="仿宋" w:eastAsia="仿宋_GB2312" w:cs="Arial"/>
            <w:kern w:val="0"/>
            <w:sz w:val="24"/>
            <w:highlight w:val="none"/>
          </w:rPr>
          <w:id w:val="-2141025358"/>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198560779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%，小</w:t>
      </w:r>
      <w:r>
        <w:rPr>
          <w:rFonts w:hint="eastAsia" w:ascii="仿宋_GB2312" w:hAnsi="仿宋" w:eastAsia="仿宋_GB2312"/>
          <w:sz w:val="24"/>
          <w:highlight w:val="none"/>
        </w:rPr>
        <w:t>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w:t>
      </w:r>
      <w:r>
        <w:rPr>
          <w:rFonts w:hint="eastAsia" w:ascii="仿宋" w:hAnsi="仿宋" w:eastAsia="仿宋"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highlight w:val="none"/>
        </w:rPr>
        <w:t>；</w:t>
      </w:r>
    </w:p>
    <w:p>
      <w:pPr>
        <w:spacing w:line="360" w:lineRule="auto"/>
        <w:ind w:firstLine="480" w:firstLineChars="200"/>
        <w:rPr>
          <w:rFonts w:ascii="仿宋" w:hAnsi="仿宋" w:eastAsia="仿宋"/>
          <w:sz w:val="24"/>
          <w:highlight w:val="none"/>
        </w:rPr>
      </w:pPr>
      <w:sdt>
        <w:sdtPr>
          <w:rPr>
            <w:rFonts w:hint="eastAsia" w:ascii="仿宋_GB2312" w:hAnsi="仿宋" w:eastAsia="仿宋_GB2312" w:cs="Arial"/>
            <w:kern w:val="0"/>
            <w:sz w:val="24"/>
            <w:highlight w:val="none"/>
          </w:rPr>
          <w:id w:val="34630645"/>
          <w14:checkbox>
            <w14:checked w14:val="0"/>
            <w14:checkedState w14:val="00FE" w14:font="Wingdings"/>
            <w14:uncheckedState w14:val="2610" w14:font="MS Gothic"/>
          </w14:checkbox>
        </w:sdtPr>
        <w:sdtEndPr>
          <w:rPr>
            <w:rFonts w:hint="eastAsia" w:ascii="仿宋_GB2312" w:hAnsi="仿宋" w:eastAsia="仿宋_GB2312" w:cs="Arial"/>
            <w:kern w:val="0"/>
            <w:sz w:val="24"/>
            <w:highlight w:val="none"/>
          </w:rPr>
        </w:sdtEndPr>
        <w:sdtContent>
          <w:r>
            <w:rPr>
              <w:rFonts w:ascii="MS Gothic" w:hAnsi="MS Gothic" w:eastAsia="仿宋_GB2312" w:cs="Arial"/>
              <w:kern w:val="0"/>
              <w:sz w:val="24"/>
              <w:highlight w:val="none"/>
            </w:rPr>
            <w:t>☐</w:t>
          </w:r>
        </w:sdtContent>
      </w:sdt>
      <w:r>
        <w:rPr>
          <w:rFonts w:hint="eastAsia" w:ascii="仿宋" w:hAnsi="仿宋" w:eastAsia="仿宋"/>
          <w:sz w:val="24"/>
          <w:highlight w:val="none"/>
        </w:rPr>
        <w:t>要求合同分包，提供分包意向协议和中小企业声明函，分包意向协议中中小企业合同金额应当达到</w:t>
      </w:r>
      <w:r>
        <w:rPr>
          <w:rFonts w:hint="eastAsia" w:ascii="仿宋_GB2312" w:hAnsi="仿宋" w:eastAsia="仿宋_GB2312"/>
          <w:sz w:val="24"/>
          <w:highlight w:val="none"/>
        </w:rPr>
        <w:t>达到</w:t>
      </w:r>
      <w:r>
        <w:rPr>
          <w:rFonts w:ascii="仿宋_GB2312" w:hAnsi="仿宋" w:eastAsia="仿宋_GB2312"/>
          <w:sz w:val="24"/>
          <w:highlight w:val="none"/>
          <w:u w:val="single"/>
        </w:rPr>
        <w:t xml:space="preserve">  </w:t>
      </w:r>
      <w:r>
        <w:rPr>
          <w:rFonts w:ascii="仿宋_GB2312" w:hAnsi="仿宋" w:eastAsia="仿宋_GB2312"/>
          <w:sz w:val="24"/>
          <w:highlight w:val="none"/>
        </w:rPr>
        <w:t xml:space="preserve">% </w:t>
      </w:r>
      <w:r>
        <w:rPr>
          <w:rFonts w:hint="eastAsia" w:ascii="仿宋_GB2312" w:hAnsi="仿宋" w:eastAsia="仿宋_GB2312"/>
          <w:sz w:val="24"/>
          <w:highlight w:val="none"/>
        </w:rPr>
        <w:t>，小微企业合同金额应当达到</w:t>
      </w:r>
      <w:r>
        <w:rPr>
          <w:rFonts w:ascii="仿宋_GB2312" w:hAnsi="仿宋" w:eastAsia="仿宋_GB2312"/>
          <w:sz w:val="24"/>
          <w:highlight w:val="none"/>
          <w:u w:val="single"/>
        </w:rPr>
        <w:t xml:space="preserve"> </w:t>
      </w:r>
      <w:r>
        <w:rPr>
          <w:rFonts w:ascii="仿宋_GB2312" w:hAnsi="仿宋" w:eastAsia="仿宋_GB2312"/>
          <w:sz w:val="24"/>
          <w:highlight w:val="none"/>
        </w:rPr>
        <w:t>% ;</w:t>
      </w:r>
      <w:r>
        <w:rPr>
          <w:rFonts w:hint="eastAsia" w:ascii="仿宋" w:hAnsi="仿宋" w:eastAsia="仿宋"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sz w:val="24"/>
          <w:highlight w:val="none"/>
        </w:rPr>
        <w:t>；</w:t>
      </w:r>
    </w:p>
    <w:p>
      <w:pPr>
        <w:snapToGrid w:val="0"/>
        <w:spacing w:line="360" w:lineRule="auto"/>
        <w:ind w:firstLine="512" w:firstLineChars="200"/>
        <w:rPr>
          <w:rFonts w:ascii="仿宋_GB2312" w:hAnsi="仿宋" w:eastAsia="仿宋_GB2312" w:cs="仿宋_GB2312"/>
          <w:sz w:val="24"/>
          <w:highlight w:val="none"/>
        </w:rPr>
      </w:pPr>
      <w:r>
        <w:rPr>
          <w:rFonts w:hint="eastAsia" w:ascii="仿宋" w:hAnsi="仿宋" w:eastAsia="仿宋" w:cs="宋体"/>
          <w:spacing w:val="8"/>
          <w:kern w:val="0"/>
          <w:sz w:val="24"/>
          <w:highlight w:val="none"/>
        </w:rPr>
        <w:t>3.本项目的特定资格要求：无；</w:t>
      </w:r>
    </w:p>
    <w:p>
      <w:pPr>
        <w:spacing w:line="360" w:lineRule="auto"/>
        <w:ind w:firstLine="512" w:firstLineChars="200"/>
        <w:rPr>
          <w:rFonts w:ascii="仿宋" w:hAnsi="仿宋" w:eastAsia="仿宋" w:cs="宋体"/>
          <w:spacing w:val="8"/>
          <w:kern w:val="0"/>
          <w:sz w:val="24"/>
          <w:highlight w:val="none"/>
        </w:rPr>
      </w:pPr>
      <w:r>
        <w:rPr>
          <w:rFonts w:hint="eastAsia" w:ascii="仿宋" w:hAnsi="仿宋" w:eastAsia="仿宋" w:cs="宋体"/>
          <w:spacing w:val="8"/>
          <w:kern w:val="0"/>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三、获取招标文件</w:t>
      </w:r>
      <w:r>
        <w:rPr>
          <w:rFonts w:ascii="仿宋_GB2312" w:hAnsi="仿宋" w:eastAsia="仿宋_GB2312"/>
          <w:b/>
          <w:sz w:val="24"/>
          <w:highlight w:val="non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时间：</w:t>
      </w:r>
      <w:r>
        <w:rPr>
          <w:rFonts w:ascii="仿宋_GB2312" w:hAnsi="仿宋" w:eastAsia="仿宋_GB2312"/>
          <w:sz w:val="24"/>
          <w:highlight w:val="none"/>
        </w:rPr>
        <w:t>/至</w:t>
      </w:r>
      <w:r>
        <w:rPr>
          <w:rFonts w:hint="eastAsia" w:ascii="仿宋_GB2312" w:hAnsi="仿宋" w:eastAsia="仿宋_GB2312"/>
          <w:sz w:val="24"/>
          <w:highlight w:val="none"/>
          <w:u w:val="single"/>
          <w:lang w:eastAsia="zh-CN"/>
        </w:rPr>
        <w:t>2022年12月20日</w:t>
      </w:r>
      <w:r>
        <w:rPr>
          <w:rFonts w:hint="eastAsia" w:ascii="仿宋_GB2312" w:hAnsi="仿宋" w:eastAsia="仿宋_GB2312"/>
          <w:sz w:val="24"/>
          <w:highlight w:val="none"/>
        </w:rPr>
        <w:t>，每天上午</w:t>
      </w:r>
      <w:r>
        <w:rPr>
          <w:rFonts w:ascii="仿宋_GB2312" w:hAnsi="仿宋" w:eastAsia="仿宋_GB2312"/>
          <w:sz w:val="24"/>
          <w:highlight w:val="none"/>
        </w:rPr>
        <w:t xml:space="preserve">00:00至12:00 </w:t>
      </w:r>
      <w:r>
        <w:rPr>
          <w:rFonts w:hint="eastAsia" w:ascii="仿宋_GB2312" w:hAnsi="仿宋" w:eastAsia="仿宋_GB2312"/>
          <w:sz w:val="24"/>
          <w:highlight w:val="none"/>
        </w:rPr>
        <w:t>，下午</w:t>
      </w:r>
      <w:r>
        <w:rPr>
          <w:rFonts w:ascii="仿宋_GB2312" w:hAnsi="仿宋" w:eastAsia="仿宋_GB2312"/>
          <w:sz w:val="24"/>
          <w:highlight w:val="none"/>
        </w:rPr>
        <w:t>12:00至23:59（北京时间，线上获取法定节假日均可，线下获取文件法定节假日除外）</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方式：</w:t>
      </w:r>
      <w:r>
        <w:rPr>
          <w:rFonts w:hint="eastAsia" w:ascii="仿宋_GB2312" w:hAnsi="仿宋" w:eastAsia="仿宋_GB2312"/>
          <w:sz w:val="24"/>
          <w:highlight w:val="none"/>
        </w:rPr>
        <w:t>供应商登录政采云平台</w:t>
      </w:r>
      <w:r>
        <w:rPr>
          <w:rFonts w:ascii="仿宋_GB2312" w:hAnsi="仿宋" w:eastAsia="仿宋_GB2312"/>
          <w:sz w:val="24"/>
          <w:highlight w:val="none"/>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售价（元）：</w:t>
      </w:r>
      <w:r>
        <w:rPr>
          <w:rFonts w:ascii="仿宋_GB2312" w:hAnsi="仿宋" w:eastAsia="仿宋_GB2312"/>
          <w:sz w:val="24"/>
          <w:highlight w:val="none"/>
        </w:rPr>
        <w:t xml:space="preserve">0 </w:t>
      </w:r>
      <w:r>
        <w:rPr>
          <w:rFonts w:ascii="仿宋_GB2312" w:hAnsi="仿宋" w:eastAsia="仿宋_GB2312"/>
          <w:sz w:val="24"/>
          <w:highlight w:val="none"/>
        </w:rPr>
        <w:tab/>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四、提交投标文件截止时间、开标时间和地点</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提交投标文件截止时间：</w:t>
      </w:r>
      <w:r>
        <w:rPr>
          <w:rFonts w:hint="eastAsia" w:ascii="仿宋_GB2312" w:hAnsi="仿宋" w:eastAsia="仿宋_GB2312"/>
          <w:sz w:val="24"/>
          <w:highlight w:val="none"/>
          <w:u w:val="single"/>
          <w:lang w:eastAsia="zh-CN"/>
        </w:rPr>
        <w:t>2022年12月20日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r>
        <w:rPr>
          <w:rFonts w:hint="eastAsia" w:ascii="仿宋_GB2312" w:hAnsi="仿宋" w:eastAsia="仿宋_GB2312"/>
          <w:sz w:val="24"/>
          <w:highlight w:val="none"/>
        </w:rPr>
        <w:t>（北京时间）</w:t>
      </w:r>
    </w:p>
    <w:p>
      <w:pPr>
        <w:spacing w:line="360" w:lineRule="auto"/>
        <w:ind w:firstLine="482" w:firstLineChars="200"/>
        <w:rPr>
          <w:rFonts w:ascii="仿宋_GB2312" w:hAnsi="仿宋" w:eastAsia="仿宋_GB2312"/>
          <w:b/>
          <w:sz w:val="24"/>
          <w:highlight w:val="none"/>
        </w:rPr>
      </w:pPr>
      <w:r>
        <w:rPr>
          <w:rFonts w:hint="eastAsia" w:ascii="仿宋_GB2312" w:hAnsi="仿宋" w:eastAsia="仿宋_GB2312"/>
          <w:b/>
          <w:sz w:val="24"/>
          <w:highlight w:val="none"/>
        </w:rPr>
        <w:t>投标地点（网址）：</w:t>
      </w:r>
      <w:r>
        <w:rPr>
          <w:rFonts w:hint="eastAsia" w:ascii="仿宋_GB2312" w:hAnsi="仿宋" w:eastAsia="仿宋_GB2312"/>
          <w:sz w:val="24"/>
          <w:highlight w:val="none"/>
        </w:rPr>
        <w:t>政采云平台（</w:t>
      </w:r>
      <w:r>
        <w:rPr>
          <w:rFonts w:ascii="仿宋_GB2312" w:hAnsi="仿宋" w:eastAsia="仿宋_GB2312"/>
          <w:sz w:val="24"/>
          <w:highlight w:val="none"/>
        </w:rPr>
        <w:t xml:space="preserve">https://www.zcygov.cn/） </w:t>
      </w:r>
    </w:p>
    <w:p>
      <w:pPr>
        <w:spacing w:line="360" w:lineRule="auto"/>
        <w:ind w:firstLine="482" w:firstLineChars="200"/>
        <w:rPr>
          <w:rFonts w:ascii="仿宋_GB2312" w:hAnsi="仿宋" w:eastAsia="仿宋_GB2312"/>
          <w:bCs/>
          <w:sz w:val="24"/>
          <w:highlight w:val="none"/>
          <w:u w:val="single"/>
        </w:rPr>
      </w:pPr>
      <w:r>
        <w:rPr>
          <w:rFonts w:hint="eastAsia" w:ascii="仿宋_GB2312" w:hAnsi="仿宋" w:eastAsia="仿宋_GB2312"/>
          <w:b/>
          <w:sz w:val="24"/>
          <w:highlight w:val="none"/>
        </w:rPr>
        <w:t>开标时间：</w:t>
      </w:r>
      <w:r>
        <w:rPr>
          <w:rFonts w:hint="eastAsia" w:ascii="仿宋_GB2312" w:hAnsi="仿宋" w:eastAsia="仿宋_GB2312"/>
          <w:sz w:val="24"/>
          <w:highlight w:val="none"/>
          <w:u w:val="single"/>
          <w:lang w:eastAsia="zh-CN"/>
        </w:rPr>
        <w:t>2022年12月20日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spacing w:line="360" w:lineRule="auto"/>
        <w:ind w:firstLine="482" w:firstLineChars="200"/>
        <w:rPr>
          <w:rFonts w:ascii="仿宋_GB2312" w:hAnsi="仿宋" w:eastAsia="仿宋_GB2312"/>
          <w:sz w:val="24"/>
          <w:highlight w:val="none"/>
        </w:rPr>
      </w:pPr>
      <w:r>
        <w:rPr>
          <w:rFonts w:hint="eastAsia" w:ascii="仿宋_GB2312" w:hAnsi="仿宋" w:eastAsia="仿宋_GB2312"/>
          <w:b/>
          <w:sz w:val="24"/>
          <w:highlight w:val="none"/>
        </w:rPr>
        <w:t>开标地点（网址）：</w:t>
      </w:r>
      <w:r>
        <w:rPr>
          <w:rFonts w:ascii="仿宋_GB2312" w:hAnsi="仿宋" w:eastAsia="仿宋_GB2312"/>
          <w:sz w:val="24"/>
          <w:highlight w:val="none"/>
        </w:rPr>
        <w:t>政</w:t>
      </w:r>
      <w:r>
        <w:rPr>
          <w:rFonts w:hint="eastAsia" w:ascii="仿宋_GB2312" w:hAnsi="仿宋" w:eastAsia="仿宋_GB2312"/>
          <w:sz w:val="24"/>
          <w:highlight w:val="none"/>
        </w:rPr>
        <w:t>采云平台（</w:t>
      </w:r>
      <w:r>
        <w:rPr>
          <w:rFonts w:ascii="仿宋_GB2312" w:hAnsi="仿宋" w:eastAsia="仿宋_GB2312"/>
          <w:sz w:val="24"/>
          <w:highlight w:val="none"/>
        </w:rPr>
        <w:t>https://www.zcygov.cn/）</w:t>
      </w:r>
    </w:p>
    <w:p>
      <w:pPr>
        <w:spacing w:line="360" w:lineRule="auto"/>
        <w:rPr>
          <w:rFonts w:ascii="仿宋_GB2312" w:hAnsi="仿宋" w:eastAsia="仿宋_GB2312"/>
          <w:sz w:val="24"/>
          <w:highlight w:val="none"/>
        </w:rPr>
      </w:pPr>
      <w:r>
        <w:rPr>
          <w:rFonts w:hint="eastAsia" w:ascii="仿宋_GB2312" w:hAnsi="仿宋" w:eastAsia="仿宋_GB2312"/>
          <w:b/>
          <w:sz w:val="24"/>
          <w:highlight w:val="none"/>
        </w:rPr>
        <w:t>五、公告期限</w:t>
      </w:r>
      <w:r>
        <w:rPr>
          <w:rFonts w:ascii="仿宋_GB2312" w:hAnsi="仿宋" w:eastAsia="仿宋_GB2312"/>
          <w:b/>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自本公告发布之日起</w:t>
      </w:r>
      <w:r>
        <w:rPr>
          <w:rFonts w:ascii="仿宋_GB2312" w:hAnsi="仿宋" w:eastAsia="仿宋_GB2312"/>
          <w:sz w:val="24"/>
          <w:highlight w:val="none"/>
        </w:rPr>
        <w:t>5个工作日。</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六、其他补充事宜</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 xml:space="preserve">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highlight w:val="none"/>
        </w:rPr>
      </w:pPr>
      <w:r>
        <w:rPr>
          <w:rFonts w:hint="eastAsia" w:ascii="仿宋_GB2312" w:hAnsi="仿宋" w:eastAsia="仿宋_GB2312"/>
          <w:sz w:val="24"/>
          <w:highlight w:val="none"/>
        </w:rPr>
        <w:t>4.其他事项：</w:t>
      </w:r>
      <w:r>
        <w:rPr>
          <w:rFonts w:hint="eastAsia" w:ascii="仿宋_GB2312" w:hAnsi="仿宋" w:eastAsia="仿宋_GB2312" w:cs="仿宋_GB2312"/>
          <w:sz w:val="24"/>
          <w:highlight w:val="none"/>
        </w:rPr>
        <w:t>①</w:t>
      </w:r>
      <w:r>
        <w:rPr>
          <w:rFonts w:ascii="仿宋_GB2312" w:hAnsi="仿宋" w:eastAsia="仿宋_GB2312" w:cs="仿宋_GB2312"/>
          <w:sz w:val="24"/>
          <w:highlight w:val="none"/>
        </w:rPr>
        <w:t>电子招投标：本项目以数据电文形式，依托“政府采购云平台（www.zcygov.cn）”进行招投标活动，不接受纸质投标文件</w:t>
      </w:r>
      <w:r>
        <w:rPr>
          <w:rFonts w:hint="eastAsia" w:ascii="仿宋_GB2312" w:hAnsi="仿宋" w:eastAsia="仿宋_GB2312" w:cs="仿宋_GB2312"/>
          <w:sz w:val="24"/>
          <w:highlight w:val="none"/>
        </w:rPr>
        <w:t>；②</w:t>
      </w:r>
      <w:r>
        <w:rPr>
          <w:rFonts w:ascii="仿宋_GB2312" w:hAnsi="仿宋" w:eastAsia="仿宋_GB2312" w:cs="仿宋_GB2312"/>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highlight w:val="none"/>
        </w:rPr>
        <w:t>采云电子交易客户端”</w:t>
      </w:r>
      <w:r>
        <w:rPr>
          <w:rFonts w:ascii="仿宋_GB2312" w:hAnsi="仿宋" w:eastAsia="仿宋_GB2312" w:cs="仿宋_GB2312"/>
          <w:sz w:val="24"/>
          <w:highlight w:val="none"/>
        </w:rPr>
        <w:t>----前往“浙江政府采购网-下载专区-电子交易客户端”进行下载并安装</w:t>
      </w:r>
      <w:r>
        <w:rPr>
          <w:rFonts w:hint="eastAsia" w:ascii="仿宋_GB2312" w:hAnsi="仿宋" w:eastAsia="仿宋_GB2312" w:cs="仿宋_GB2312"/>
          <w:sz w:val="24"/>
          <w:highlight w:val="none"/>
        </w:rPr>
        <w:t>；③</w:t>
      </w:r>
      <w:r>
        <w:rPr>
          <w:rFonts w:ascii="仿宋_GB2312" w:hAnsi="仿宋" w:eastAsia="仿宋_GB2312" w:cs="仿宋_GB2312"/>
          <w:sz w:val="24"/>
          <w:highlight w:val="none"/>
        </w:rPr>
        <w:t>招标文件的获取：使用账号登录或者使用CA登录政</w:t>
      </w:r>
      <w:r>
        <w:rPr>
          <w:rFonts w:hint="eastAsia" w:ascii="仿宋_GB2312" w:hAnsi="仿宋" w:eastAsia="仿宋_GB2312" w:cs="仿宋_GB2312"/>
          <w:sz w:val="24"/>
          <w:highlight w:val="none"/>
        </w:rPr>
        <w:t>采云平台；进入“项目采购”应用，在获取采购文件菜单中选择项目，获取招标文件；④</w:t>
      </w:r>
      <w:r>
        <w:rPr>
          <w:rFonts w:ascii="仿宋_GB2312" w:hAnsi="仿宋" w:eastAsia="仿宋_GB2312" w:cs="仿宋_GB2312"/>
          <w:sz w:val="24"/>
          <w:highlight w:val="none"/>
        </w:rPr>
        <w:t>投标文件的制作：在“政</w:t>
      </w:r>
      <w:r>
        <w:rPr>
          <w:rFonts w:hint="eastAsia" w:ascii="仿宋_GB2312" w:hAnsi="仿宋" w:eastAsia="仿宋_GB2312" w:cs="仿宋_GB2312"/>
          <w:sz w:val="24"/>
          <w:highlight w:val="none"/>
        </w:rPr>
        <w:t>采云电子交易客户端”中完成“填写基本信息”、“导入投标文件”、“标书关联”、“标书检查”、“电子签名”、“生成电子标书”等操作；</w:t>
      </w:r>
      <w:r>
        <w:rPr>
          <w:rFonts w:hint="eastAsia" w:ascii="仿宋_GB2312" w:hAnsi="仿宋" w:eastAsia="仿宋_GB2312"/>
          <w:sz w:val="24"/>
          <w:highlight w:val="none"/>
        </w:rPr>
        <w:t>⑤</w:t>
      </w:r>
      <w:r>
        <w:rPr>
          <w:rFonts w:ascii="仿宋_GB2312" w:hAnsi="仿宋" w:eastAsia="仿宋_GB2312"/>
          <w:sz w:val="24"/>
          <w:highlight w:val="none"/>
        </w:rPr>
        <w:t>采购人、采购机构将依托政</w:t>
      </w:r>
      <w:r>
        <w:rPr>
          <w:rFonts w:hint="eastAsia" w:ascii="仿宋_GB2312" w:hAnsi="仿宋" w:eastAsia="仿宋_GB2312"/>
          <w:sz w:val="24"/>
          <w:highlight w:val="none"/>
        </w:rPr>
        <w:t>采云平台完成本项目的电子交易活动，平台不接受未按上述方式获取招标文件的供应商进行投标活动；⑥</w:t>
      </w:r>
      <w:r>
        <w:rPr>
          <w:rFonts w:ascii="仿宋_GB2312" w:hAnsi="仿宋" w:eastAsia="仿宋_GB2312"/>
          <w:sz w:val="24"/>
          <w:highlight w:val="none"/>
        </w:rPr>
        <w:t>对未按上述方式获取招标文件的供应商对该文件提出的质疑，采购人或采购代理机构将</w:t>
      </w:r>
      <w:r>
        <w:rPr>
          <w:rFonts w:hint="eastAsia" w:ascii="仿宋_GB2312" w:hAnsi="仿宋" w:eastAsia="仿宋_GB2312"/>
          <w:sz w:val="24"/>
          <w:highlight w:val="none"/>
        </w:rPr>
        <w:t>不予处理；⑦</w:t>
      </w:r>
      <w:r>
        <w:rPr>
          <w:rFonts w:ascii="仿宋_GB2312" w:hAnsi="仿宋" w:eastAsia="仿宋_GB2312"/>
          <w:sz w:val="24"/>
          <w:highlight w:val="none"/>
        </w:rPr>
        <w:t>不提供招标文件纸质版</w:t>
      </w:r>
      <w:r>
        <w:rPr>
          <w:rFonts w:hint="eastAsia" w:ascii="仿宋_GB2312" w:hAnsi="仿宋" w:eastAsia="仿宋_GB2312"/>
          <w:sz w:val="24"/>
          <w:highlight w:val="none"/>
        </w:rPr>
        <w:t>；</w:t>
      </w:r>
      <w:r>
        <w:rPr>
          <w:rFonts w:hint="eastAsia" w:ascii="仿宋_GB2312" w:hAnsi="仿宋" w:eastAsia="仿宋_GB2312" w:cs="仿宋_GB2312"/>
          <w:sz w:val="24"/>
          <w:highlight w:val="none"/>
        </w:rPr>
        <w:t>⑧</w:t>
      </w:r>
      <w:r>
        <w:rPr>
          <w:rFonts w:ascii="仿宋_GB2312" w:hAnsi="仿宋" w:eastAsia="仿宋_GB2312" w:cs="仿宋_GB2312"/>
          <w:sz w:val="24"/>
          <w:highlight w:val="none"/>
        </w:rPr>
        <w:t>投标文件的传输递交：投标人在投标截止时间前将加密的投标文件上传至政府采购云平台，还可以在投标截止时间前直接提交或者以邮政快递方式递交备份投标文件1份</w:t>
      </w:r>
      <w:r>
        <w:rPr>
          <w:rFonts w:hint="eastAsia" w:ascii="仿宋_GB2312" w:hAnsi="仿宋" w:eastAsia="仿宋_GB2312" w:cs="仿宋_GB2312"/>
          <w:sz w:val="24"/>
          <w:highlight w:val="none"/>
        </w:rPr>
        <w:t>【地址：</w:t>
      </w:r>
      <w:r>
        <w:rPr>
          <w:rFonts w:hint="eastAsia" w:ascii="仿宋_GB2312" w:hAnsi="仿宋" w:eastAsia="仿宋_GB2312"/>
          <w:sz w:val="24"/>
          <w:highlight w:val="none"/>
        </w:rPr>
        <w:t>嘉善县阳光东路185号善商大厦1号（东）楼21层嘉兴市银建工程咨询评估有限公司招标代理部</w:t>
      </w:r>
      <w:r>
        <w:rPr>
          <w:rFonts w:hint="eastAsia" w:ascii="仿宋_GB2312" w:hAnsi="仿宋" w:eastAsia="仿宋_GB2312" w:cs="仿宋_GB2312"/>
          <w:sz w:val="24"/>
          <w:highlight w:val="none"/>
        </w:rPr>
        <w:t>；收件人：王佳浩；电话：0573-84211066；快递寄出同时，项目被授权代表须以邮件方式将快递单号、项目名称、公司名称、被授权代表姓名及联系方式等内容（邮件格式为：项目编号+快递单号+公司名称+被授权代表姓名及联系方式）发送至采购代理机构联系人邮箱(735621524@qq.com)。如供应商选择快递费到付，采购代理机构将拒签。】</w:t>
      </w:r>
      <w:r>
        <w:rPr>
          <w:rFonts w:ascii="仿宋_GB2312" w:hAnsi="仿宋" w:eastAsia="仿宋_GB2312" w:cs="仿宋_GB2312"/>
          <w:sz w:val="24"/>
          <w:highlight w:val="none"/>
        </w:rPr>
        <w:t>备份投标文件的制作、存储、密封详见招标文件第</w:t>
      </w:r>
      <w:r>
        <w:rPr>
          <w:rFonts w:hint="eastAsia" w:ascii="仿宋_GB2312" w:hAnsi="仿宋" w:eastAsia="仿宋_GB2312" w:cs="仿宋_GB2312"/>
          <w:sz w:val="24"/>
          <w:highlight w:val="none"/>
        </w:rPr>
        <w:t>三章</w:t>
      </w:r>
      <w:r>
        <w:rPr>
          <w:rFonts w:ascii="仿宋_GB2312" w:hAnsi="仿宋" w:eastAsia="仿宋_GB2312" w:cs="仿宋_GB2312"/>
          <w:sz w:val="24"/>
          <w:highlight w:val="none"/>
        </w:rPr>
        <w:t>—“备份投标文件”</w:t>
      </w:r>
      <w:r>
        <w:rPr>
          <w:rFonts w:hint="eastAsia" w:ascii="仿宋_GB2312" w:hAnsi="仿宋" w:eastAsia="仿宋_GB2312" w:cs="仿宋_GB2312"/>
          <w:sz w:val="24"/>
          <w:highlight w:val="none"/>
        </w:rPr>
        <w:t>；</w:t>
      </w:r>
      <w:r>
        <w:rPr>
          <w:rFonts w:hint="eastAsia" w:ascii="仿宋_GB2312" w:hAnsi="仿宋" w:eastAsia="仿宋_GB2312"/>
          <w:sz w:val="24"/>
          <w:highlight w:val="none"/>
        </w:rPr>
        <w:t>⑨</w:t>
      </w:r>
      <w:r>
        <w:rPr>
          <w:rFonts w:hint="eastAsia" w:ascii="仿宋_GB2312" w:hAnsi="仿宋" w:eastAsia="仿宋_GB2312" w:cs="仿宋_GB2312"/>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highlight w:val="none"/>
        </w:rPr>
        <w:t>具体操作指南：详见政</w:t>
      </w:r>
      <w:r>
        <w:rPr>
          <w:rFonts w:hint="eastAsia" w:ascii="仿宋_GB2312" w:hAnsi="仿宋" w:eastAsia="仿宋_GB2312" w:cs="仿宋_GB2312"/>
          <w:sz w:val="24"/>
          <w:highlight w:val="none"/>
        </w:rPr>
        <w:t>采云平台“服务中心</w:t>
      </w:r>
      <w:r>
        <w:rPr>
          <w:rFonts w:ascii="仿宋_GB2312" w:hAnsi="仿宋" w:eastAsia="仿宋_GB2312" w:cs="仿宋_GB2312"/>
          <w:sz w:val="24"/>
          <w:highlight w:val="none"/>
        </w:rPr>
        <w:t>-帮助文档-项目采购-操作流程-电子招投标-政府采购项目电子交易管理操作指南-供应商”。</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七、对本次招标提出询问，请按以下方式联系</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1.采购人信息</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嘉兴市农业科学研究院嘉善农业科学研究所</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嘉善县西塘镇宏福路19号</w:t>
      </w:r>
      <w:r>
        <w:rPr>
          <w:rFonts w:ascii="仿宋_GB2312" w:hAnsi="仿宋" w:eastAsia="仿宋_GB2312"/>
          <w:sz w:val="24"/>
          <w:highlight w:val="none"/>
        </w:rPr>
        <w:t xml:space="preserve">      </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项目联系人（询问）：梅女士</w:t>
      </w:r>
      <w:r>
        <w:rPr>
          <w:rFonts w:ascii="仿宋_GB2312" w:hAnsi="仿宋" w:eastAsia="仿宋_GB2312"/>
          <w:sz w:val="24"/>
          <w:highlight w:val="none"/>
        </w:rPr>
        <w:t xml:space="preserve"> </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0573-84237183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胡女士</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 xml:space="preserve">0573-84237183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2.采购代理机构信息            </w:t>
      </w:r>
    </w:p>
    <w:p>
      <w:pPr>
        <w:spacing w:line="360" w:lineRule="auto"/>
        <w:ind w:firstLine="480"/>
        <w:rPr>
          <w:rFonts w:ascii="仿宋_GB2312" w:hAnsi="仿宋" w:eastAsia="仿宋_GB2312"/>
          <w:sz w:val="24"/>
          <w:highlight w:val="none"/>
        </w:rPr>
      </w:pPr>
      <w:r>
        <w:rPr>
          <w:rFonts w:hint="eastAsia" w:ascii="仿宋_GB2312" w:hAnsi="仿宋" w:eastAsia="仿宋_GB2312"/>
          <w:sz w:val="24"/>
          <w:highlight w:val="none"/>
        </w:rPr>
        <w:t>名</w:t>
      </w:r>
      <w:r>
        <w:rPr>
          <w:rFonts w:ascii="仿宋_GB2312" w:hAnsi="仿宋" w:eastAsia="仿宋_GB2312"/>
          <w:sz w:val="24"/>
          <w:highlight w:val="none"/>
        </w:rPr>
        <w:t xml:space="preserve">    </w:t>
      </w:r>
      <w:r>
        <w:rPr>
          <w:rFonts w:hint="eastAsia" w:ascii="仿宋_GB2312" w:hAnsi="仿宋" w:eastAsia="仿宋_GB2312"/>
          <w:sz w:val="24"/>
          <w:highlight w:val="none"/>
        </w:rPr>
        <w:t>称：嘉兴市银建工程咨询评估有限公司</w:t>
      </w:r>
    </w:p>
    <w:p>
      <w:pPr>
        <w:spacing w:line="360" w:lineRule="auto"/>
        <w:ind w:firstLine="480"/>
        <w:rPr>
          <w:rFonts w:ascii="仿宋_GB2312" w:hAnsi="仿宋" w:eastAsia="仿宋"/>
          <w:sz w:val="24"/>
          <w:highlight w:val="none"/>
        </w:rPr>
      </w:pPr>
      <w:r>
        <w:rPr>
          <w:rFonts w:hint="eastAsia" w:ascii="仿宋_GB2312" w:hAnsi="仿宋" w:eastAsia="仿宋_GB2312"/>
          <w:sz w:val="24"/>
          <w:highlight w:val="none"/>
        </w:rPr>
        <w:t>地</w:t>
      </w:r>
      <w:r>
        <w:rPr>
          <w:rFonts w:ascii="仿宋_GB2312" w:hAnsi="仿宋" w:eastAsia="仿宋_GB2312"/>
          <w:sz w:val="24"/>
          <w:highlight w:val="none"/>
        </w:rPr>
        <w:t xml:space="preserve">    </w:t>
      </w:r>
      <w:r>
        <w:rPr>
          <w:rFonts w:hint="eastAsia" w:ascii="仿宋_GB2312" w:hAnsi="仿宋" w:eastAsia="仿宋_GB2312"/>
          <w:sz w:val="24"/>
          <w:highlight w:val="none"/>
        </w:rPr>
        <w:t>址：嘉善县阳光东路185号善商大厦1号（东）楼21层</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0573-84971199</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项目联系人（询问）：</w:t>
      </w:r>
      <w:r>
        <w:rPr>
          <w:rFonts w:hint="eastAsia" w:ascii="仿宋_GB2312" w:hAnsi="仿宋" w:eastAsia="仿宋_GB2312"/>
          <w:sz w:val="24"/>
          <w:highlight w:val="none"/>
        </w:rPr>
        <w:t>王佳浩</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项目联系方式（询问）：</w:t>
      </w:r>
      <w:r>
        <w:rPr>
          <w:rFonts w:hint="eastAsia" w:ascii="仿宋_GB2312" w:hAnsi="仿宋" w:eastAsia="仿宋_GB2312"/>
          <w:sz w:val="24"/>
          <w:highlight w:val="none"/>
        </w:rPr>
        <w:t xml:space="preserve">0573-84211066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质疑联系人：</w:t>
      </w:r>
      <w:r>
        <w:rPr>
          <w:rFonts w:hint="eastAsia" w:ascii="仿宋_GB2312" w:hAnsi="仿宋" w:eastAsia="仿宋_GB2312"/>
          <w:sz w:val="24"/>
          <w:highlight w:val="none"/>
        </w:rPr>
        <w:t>俞鸿婷</w:t>
      </w:r>
      <w:r>
        <w:rPr>
          <w:rFonts w:hint="eastAsia" w:ascii="仿宋" w:hAnsi="仿宋" w:eastAsia="仿宋"/>
          <w:sz w:val="24"/>
          <w:highlight w:val="none"/>
        </w:rPr>
        <w:t xml:space="preserve"> </w:t>
      </w:r>
      <w:r>
        <w:rPr>
          <w:rFonts w:ascii="仿宋_GB2312" w:hAnsi="仿宋" w:eastAsia="仿宋_GB2312"/>
          <w:sz w:val="24"/>
          <w:highlight w:val="none"/>
        </w:rPr>
        <w:t xml:space="preserve">            </w:t>
      </w:r>
    </w:p>
    <w:p>
      <w:pPr>
        <w:spacing w:line="360" w:lineRule="auto"/>
        <w:rPr>
          <w:rFonts w:ascii="仿宋" w:hAnsi="仿宋" w:eastAsia="仿宋"/>
          <w:sz w:val="24"/>
          <w:highlight w:val="none"/>
        </w:rPr>
      </w:pPr>
      <w:r>
        <w:rPr>
          <w:rFonts w:ascii="仿宋_GB2312" w:hAnsi="仿宋" w:eastAsia="仿宋_GB2312"/>
          <w:sz w:val="24"/>
          <w:highlight w:val="none"/>
        </w:rPr>
        <w:t xml:space="preserve">    质疑联系方式：</w:t>
      </w:r>
      <w:r>
        <w:rPr>
          <w:rFonts w:hint="eastAsia" w:ascii="仿宋_GB2312" w:hAnsi="仿宋" w:eastAsia="仿宋_GB2312"/>
          <w:sz w:val="24"/>
          <w:highlight w:val="none"/>
        </w:rPr>
        <w:t>0573-84211099</w:t>
      </w:r>
      <w:r>
        <w:rPr>
          <w:rFonts w:hint="eastAsia" w:ascii="仿宋" w:hAnsi="仿宋" w:eastAsia="仿宋"/>
          <w:sz w:val="24"/>
          <w:highlight w:val="none"/>
        </w:rPr>
        <w:t xml:space="preserve">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3.同级政府采购监督管理部门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名    称：</w:t>
      </w:r>
      <w:r>
        <w:rPr>
          <w:rFonts w:hint="eastAsia" w:ascii="仿宋_GB2312" w:hAnsi="仿宋" w:eastAsia="仿宋_GB2312"/>
          <w:sz w:val="24"/>
          <w:highlight w:val="none"/>
        </w:rPr>
        <w:t>嘉善县财政局</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地    址：</w:t>
      </w:r>
      <w:r>
        <w:rPr>
          <w:rFonts w:hint="eastAsia" w:ascii="仿宋_GB2312" w:hAnsi="仿宋" w:eastAsia="仿宋_GB2312"/>
          <w:sz w:val="24"/>
          <w:highlight w:val="none"/>
        </w:rPr>
        <w:t xml:space="preserve">嘉善县解放东路318号 </w:t>
      </w:r>
    </w:p>
    <w:p>
      <w:pPr>
        <w:spacing w:line="360" w:lineRule="auto"/>
        <w:ind w:firstLine="240" w:firstLineChars="100"/>
        <w:rPr>
          <w:rFonts w:ascii="仿宋_GB2312" w:hAnsi="仿宋" w:eastAsia="仿宋_GB2312"/>
          <w:sz w:val="24"/>
          <w:highlight w:val="none"/>
        </w:rPr>
      </w:pPr>
      <w:r>
        <w:rPr>
          <w:rFonts w:ascii="仿宋_GB2312" w:hAnsi="仿宋" w:eastAsia="仿宋_GB2312"/>
          <w:sz w:val="24"/>
          <w:highlight w:val="none"/>
        </w:rPr>
        <w:t xml:space="preserve">  传    真：</w:t>
      </w:r>
      <w:r>
        <w:rPr>
          <w:rFonts w:hint="eastAsia" w:ascii="仿宋_GB2312" w:hAnsi="仿宋" w:eastAsia="仿宋_GB2312"/>
          <w:sz w:val="24"/>
          <w:highlight w:val="none"/>
        </w:rPr>
        <w:t xml:space="preserve">0573-84122528 </w:t>
      </w:r>
    </w:p>
    <w:p>
      <w:pPr>
        <w:spacing w:line="360" w:lineRule="auto"/>
        <w:rPr>
          <w:rFonts w:ascii="仿宋_GB2312" w:hAnsi="仿宋" w:eastAsia="仿宋_GB2312"/>
          <w:sz w:val="24"/>
          <w:highlight w:val="none"/>
        </w:rPr>
      </w:pPr>
      <w:r>
        <w:rPr>
          <w:rFonts w:ascii="仿宋_GB2312" w:hAnsi="仿宋" w:eastAsia="仿宋_GB2312"/>
          <w:sz w:val="24"/>
          <w:highlight w:val="none"/>
        </w:rPr>
        <w:t xml:space="preserve">    联系人 ：</w:t>
      </w:r>
      <w:r>
        <w:rPr>
          <w:rFonts w:hint="eastAsia" w:ascii="仿宋_GB2312" w:hAnsi="仿宋" w:eastAsia="仿宋_GB2312"/>
          <w:sz w:val="24"/>
          <w:highlight w:val="none"/>
        </w:rPr>
        <w:t xml:space="preserve">刘先生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ascii="仿宋_GB2312" w:hAnsi="仿宋" w:eastAsia="仿宋_GB2312"/>
          <w:sz w:val="24"/>
          <w:highlight w:val="none"/>
        </w:rPr>
        <w:t>监督投诉电话：</w:t>
      </w:r>
      <w:r>
        <w:rPr>
          <w:rFonts w:hint="eastAsia" w:ascii="仿宋_GB2312" w:hAnsi="仿宋" w:eastAsia="仿宋_GB2312"/>
          <w:sz w:val="24"/>
          <w:highlight w:val="none"/>
        </w:rPr>
        <w:t xml:space="preserve">0573-84122310 </w:t>
      </w:r>
      <w:r>
        <w:rPr>
          <w:rFonts w:ascii="仿宋_GB2312" w:hAnsi="仿宋" w:eastAsia="仿宋_GB2312"/>
          <w:sz w:val="24"/>
          <w:highlight w:val="none"/>
        </w:rPr>
        <w:t xml:space="preserve">         </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若对项目采购电子交易系统操作有疑问，可登录政采云（</w:t>
      </w:r>
      <w:r>
        <w:rPr>
          <w:rFonts w:ascii="仿宋_GB2312" w:hAnsi="仿宋" w:eastAsia="仿宋_GB2312"/>
          <w:sz w:val="24"/>
          <w:highlight w:val="none"/>
        </w:rPr>
        <w:t>https://www.zcygov.cn/），点击右侧咨询小采，获取采小蜜智能服务管家帮助，或拨打政</w:t>
      </w:r>
      <w:r>
        <w:rPr>
          <w:rFonts w:hint="eastAsia" w:ascii="仿宋_GB2312" w:hAnsi="仿宋" w:eastAsia="仿宋_GB2312"/>
          <w:sz w:val="24"/>
          <w:highlight w:val="none"/>
        </w:rPr>
        <w:t>采云服务热线</w:t>
      </w:r>
      <w:r>
        <w:rPr>
          <w:rFonts w:ascii="仿宋_GB2312" w:hAnsi="仿宋" w:eastAsia="仿宋_GB2312"/>
          <w:sz w:val="24"/>
          <w:highlight w:val="none"/>
        </w:rPr>
        <w:t>400-881-7190获取热线服务帮助。</w:t>
      </w:r>
    </w:p>
    <w:p>
      <w:pPr>
        <w:spacing w:line="360" w:lineRule="auto"/>
        <w:ind w:firstLine="480" w:firstLineChars="200"/>
        <w:rPr>
          <w:rFonts w:ascii="仿宋_GB2312" w:hAnsi="仿宋" w:eastAsia="仿宋_GB2312"/>
          <w:sz w:val="24"/>
          <w:highlight w:val="none"/>
        </w:rPr>
        <w:sectPr>
          <w:footerReference r:id="rId6" w:type="first"/>
          <w:footerReference r:id="rId5" w:type="default"/>
          <w:pgSz w:w="11906" w:h="16838"/>
          <w:pgMar w:top="680" w:right="1418" w:bottom="468" w:left="1418" w:header="851" w:footer="992" w:gutter="0"/>
          <w:pgBorders>
            <w:top w:val="none" w:sz="0" w:space="0"/>
            <w:left w:val="none" w:sz="0" w:space="0"/>
            <w:bottom w:val="none" w:sz="0" w:space="0"/>
            <w:right w:val="none" w:sz="0" w:space="0"/>
          </w:pgBorders>
          <w:pgNumType w:start="2"/>
          <w:cols w:space="720" w:num="1"/>
          <w:titlePg/>
          <w:docGrid w:linePitch="312" w:charSpace="0"/>
        </w:sectPr>
      </w:pPr>
      <w:r>
        <w:rPr>
          <w:rFonts w:ascii="仿宋_GB2312" w:hAnsi="仿宋" w:eastAsia="仿宋_GB2312"/>
          <w:sz w:val="24"/>
          <w:highlight w:val="none"/>
        </w:rPr>
        <w:t>CA问题联系电话（人工）：</w:t>
      </w:r>
      <w:r>
        <w:rPr>
          <w:rFonts w:hint="eastAsia" w:ascii="仿宋_GB2312" w:hAnsi="仿宋" w:eastAsia="仿宋_GB2312"/>
          <w:sz w:val="24"/>
          <w:highlight w:val="none"/>
        </w:rPr>
        <w:t>汇信</w:t>
      </w:r>
      <w:r>
        <w:rPr>
          <w:rFonts w:ascii="仿宋_GB2312" w:hAnsi="仿宋" w:eastAsia="仿宋_GB2312"/>
          <w:sz w:val="24"/>
          <w:highlight w:val="none"/>
        </w:rPr>
        <w:t>CA 400-888-4636；天谷CA 400-087-8198。</w:t>
      </w:r>
    </w:p>
    <w:p>
      <w:pPr>
        <w:numPr>
          <w:ilvl w:val="0"/>
          <w:numId w:val="1"/>
        </w:numPr>
        <w:adjustRightInd/>
        <w:spacing w:line="336" w:lineRule="auto"/>
        <w:jc w:val="center"/>
        <w:outlineLvl w:val="0"/>
        <w:rPr>
          <w:rFonts w:ascii="仿宋" w:hAnsi="仿宋" w:eastAsia="仿宋" w:cs="仿宋_GB2312"/>
          <w:b/>
          <w:color w:val="auto"/>
          <w:sz w:val="36"/>
          <w:szCs w:val="20"/>
          <w:highlight w:val="none"/>
        </w:rPr>
      </w:pPr>
      <w:r>
        <w:rPr>
          <w:rFonts w:hint="eastAsia" w:ascii="仿宋" w:hAnsi="仿宋" w:eastAsia="仿宋" w:cs="仿宋_GB2312"/>
          <w:b/>
          <w:color w:val="auto"/>
          <w:sz w:val="36"/>
          <w:szCs w:val="20"/>
          <w:highlight w:val="none"/>
        </w:rPr>
        <w:t>招标需求</w:t>
      </w:r>
    </w:p>
    <w:p>
      <w:pPr>
        <w:spacing w:line="440" w:lineRule="exact"/>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rPr>
        <w:t>一、采购</w:t>
      </w:r>
      <w:r>
        <w:rPr>
          <w:rFonts w:hint="eastAsia" w:ascii="仿宋" w:hAnsi="仿宋" w:eastAsia="仿宋" w:cs="仿宋"/>
          <w:b/>
          <w:color w:val="auto"/>
          <w:sz w:val="28"/>
          <w:szCs w:val="28"/>
          <w:highlight w:val="none"/>
          <w:lang w:eastAsia="zh-CN"/>
        </w:rPr>
        <w:t>内容</w:t>
      </w:r>
    </w:p>
    <w:tbl>
      <w:tblPr>
        <w:tblStyle w:val="63"/>
        <w:tblpPr w:leftFromText="180" w:rightFromText="180" w:vertAnchor="text" w:horzAnchor="page" w:tblpX="1132" w:tblpY="414"/>
        <w:tblOverlap w:val="never"/>
        <w:tblW w:w="5036" w:type="pct"/>
        <w:tblInd w:w="0" w:type="dxa"/>
        <w:tblLayout w:type="fixed"/>
        <w:tblCellMar>
          <w:top w:w="0" w:type="dxa"/>
          <w:left w:w="108" w:type="dxa"/>
          <w:bottom w:w="0" w:type="dxa"/>
          <w:right w:w="108" w:type="dxa"/>
        </w:tblCellMar>
      </w:tblPr>
      <w:tblGrid>
        <w:gridCol w:w="1614"/>
        <w:gridCol w:w="579"/>
        <w:gridCol w:w="2141"/>
        <w:gridCol w:w="2440"/>
        <w:gridCol w:w="459"/>
        <w:gridCol w:w="925"/>
        <w:gridCol w:w="1196"/>
      </w:tblGrid>
      <w:tr>
        <w:tblPrEx>
          <w:tblCellMar>
            <w:top w:w="0" w:type="dxa"/>
            <w:left w:w="108" w:type="dxa"/>
            <w:bottom w:w="0" w:type="dxa"/>
            <w:right w:w="108" w:type="dxa"/>
          </w:tblCellMar>
        </w:tblPrEx>
        <w:trPr>
          <w:trHeight w:val="764" w:hRule="atLeast"/>
        </w:trPr>
        <w:tc>
          <w:tcPr>
            <w:tcW w:w="86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项目名称</w:t>
            </w:r>
          </w:p>
        </w:tc>
        <w:tc>
          <w:tcPr>
            <w:tcW w:w="309"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序号</w:t>
            </w:r>
          </w:p>
        </w:tc>
        <w:tc>
          <w:tcPr>
            <w:tcW w:w="114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设备</w:t>
            </w:r>
            <w:r>
              <w:rPr>
                <w:rFonts w:hint="eastAsia" w:ascii="仿宋" w:hAnsi="仿宋" w:eastAsia="仿宋" w:cs="仿宋"/>
                <w:b/>
                <w:bCs/>
                <w:color w:val="auto"/>
                <w:sz w:val="24"/>
                <w:szCs w:val="24"/>
                <w:highlight w:val="none"/>
              </w:rPr>
              <w:t>名称</w:t>
            </w:r>
          </w:p>
        </w:tc>
        <w:tc>
          <w:tcPr>
            <w:tcW w:w="130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主要技术参数及要求</w:t>
            </w:r>
          </w:p>
        </w:tc>
        <w:tc>
          <w:tcPr>
            <w:tcW w:w="24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w:t>
            </w:r>
          </w:p>
        </w:tc>
        <w:tc>
          <w:tcPr>
            <w:tcW w:w="49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数量</w:t>
            </w:r>
          </w:p>
        </w:tc>
        <w:tc>
          <w:tcPr>
            <w:tcW w:w="639"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最高单价限价</w:t>
            </w:r>
            <w:r>
              <w:rPr>
                <w:rFonts w:hint="eastAsia" w:ascii="仿宋" w:hAnsi="仿宋" w:eastAsia="仿宋" w:cs="仿宋"/>
                <w:b/>
                <w:bCs/>
                <w:color w:val="auto"/>
                <w:sz w:val="24"/>
                <w:szCs w:val="24"/>
                <w:highlight w:val="none"/>
              </w:rPr>
              <w:t>（元）</w:t>
            </w:r>
          </w:p>
        </w:tc>
      </w:tr>
      <w:tr>
        <w:tblPrEx>
          <w:tblCellMar>
            <w:top w:w="0" w:type="dxa"/>
            <w:left w:w="108" w:type="dxa"/>
            <w:bottom w:w="0" w:type="dxa"/>
            <w:right w:w="108" w:type="dxa"/>
          </w:tblCellMar>
        </w:tblPrEx>
        <w:trPr>
          <w:trHeight w:val="501" w:hRule="atLeast"/>
        </w:trPr>
        <w:tc>
          <w:tcPr>
            <w:tcW w:w="862" w:type="pct"/>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eastAsia="zh-CN"/>
              </w:rPr>
              <w:t>嘉善农科所长秀基地生态智慧提升单体大棚采购项目（第三次）</w:t>
            </w:r>
          </w:p>
        </w:tc>
        <w:tc>
          <w:tcPr>
            <w:tcW w:w="309"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w:t>
            </w:r>
          </w:p>
        </w:tc>
        <w:tc>
          <w:tcPr>
            <w:tcW w:w="114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12米单体棉被大棚(跨度12*长度72)M</w:t>
            </w:r>
          </w:p>
        </w:tc>
        <w:tc>
          <w:tcPr>
            <w:tcW w:w="1304" w:type="pct"/>
            <w:vMerge w:val="restart"/>
            <w:tcBorders>
              <w:top w:val="single" w:color="auto" w:sz="4" w:space="0"/>
              <w:left w:val="single" w:color="auto" w:sz="4" w:space="0"/>
              <w:right w:val="single" w:color="auto" w:sz="4" w:space="0"/>
            </w:tcBorders>
            <w:noWrap w:val="0"/>
            <w:vAlign w:val="center"/>
          </w:tcPr>
          <w:p>
            <w:pPr>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eastAsia="zh-CN"/>
              </w:rPr>
              <w:t>详见“二、技术要求及采购清单”</w:t>
            </w:r>
          </w:p>
        </w:tc>
        <w:tc>
          <w:tcPr>
            <w:tcW w:w="24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座</w:t>
            </w:r>
          </w:p>
        </w:tc>
        <w:tc>
          <w:tcPr>
            <w:tcW w:w="49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102263</w:t>
            </w:r>
          </w:p>
        </w:tc>
      </w:tr>
      <w:tr>
        <w:tblPrEx>
          <w:tblCellMar>
            <w:top w:w="0" w:type="dxa"/>
            <w:left w:w="108" w:type="dxa"/>
            <w:bottom w:w="0" w:type="dxa"/>
            <w:right w:w="108" w:type="dxa"/>
          </w:tblCellMar>
        </w:tblPrEx>
        <w:trPr>
          <w:trHeight w:val="90" w:hRule="atLeast"/>
        </w:trPr>
        <w:tc>
          <w:tcPr>
            <w:tcW w:w="862" w:type="pct"/>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rPr>
            </w:pPr>
          </w:p>
        </w:tc>
        <w:tc>
          <w:tcPr>
            <w:tcW w:w="309"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2</w:t>
            </w:r>
          </w:p>
        </w:tc>
        <w:tc>
          <w:tcPr>
            <w:tcW w:w="114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12米单体大棚(跨度12*长度72)M</w:t>
            </w:r>
          </w:p>
        </w:tc>
        <w:tc>
          <w:tcPr>
            <w:tcW w:w="1304" w:type="pct"/>
            <w:vMerge w:val="continue"/>
            <w:tcBorders>
              <w:left w:val="single" w:color="auto" w:sz="4" w:space="0"/>
              <w:right w:val="single" w:color="auto" w:sz="4" w:space="0"/>
            </w:tcBorders>
            <w:noWrap w:val="0"/>
            <w:vAlign w:val="center"/>
          </w:tcPr>
          <w:p>
            <w:pPr>
              <w:rPr>
                <w:rFonts w:hint="eastAsia" w:ascii="仿宋" w:hAnsi="仿宋" w:eastAsia="仿宋" w:cs="仿宋"/>
                <w:b w:val="0"/>
                <w:bCs w:val="0"/>
                <w:color w:val="auto"/>
                <w:sz w:val="22"/>
                <w:szCs w:val="22"/>
                <w:highlight w:val="none"/>
              </w:rPr>
            </w:pPr>
          </w:p>
        </w:tc>
        <w:tc>
          <w:tcPr>
            <w:tcW w:w="24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val="en-US" w:eastAsia="zh-CN"/>
              </w:rPr>
              <w:t>座</w:t>
            </w:r>
          </w:p>
        </w:tc>
        <w:tc>
          <w:tcPr>
            <w:tcW w:w="494" w:type="pct"/>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11</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1013915</w:t>
            </w:r>
          </w:p>
        </w:tc>
      </w:tr>
      <w:tr>
        <w:tblPrEx>
          <w:tblCellMar>
            <w:top w:w="0" w:type="dxa"/>
            <w:left w:w="108" w:type="dxa"/>
            <w:bottom w:w="0" w:type="dxa"/>
            <w:right w:w="108" w:type="dxa"/>
          </w:tblCellMar>
        </w:tblPrEx>
        <w:trPr>
          <w:trHeight w:val="501" w:hRule="atLeast"/>
        </w:trPr>
        <w:tc>
          <w:tcPr>
            <w:tcW w:w="862" w:type="pct"/>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rPr>
            </w:pPr>
          </w:p>
        </w:tc>
        <w:tc>
          <w:tcPr>
            <w:tcW w:w="309"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3</w:t>
            </w:r>
          </w:p>
        </w:tc>
        <w:tc>
          <w:tcPr>
            <w:tcW w:w="114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i w:val="0"/>
                <w:iCs w:val="0"/>
                <w:color w:val="auto"/>
                <w:kern w:val="0"/>
                <w:sz w:val="22"/>
                <w:szCs w:val="22"/>
                <w:highlight w:val="none"/>
                <w:u w:val="none"/>
                <w:lang w:val="en-US" w:eastAsia="zh-CN" w:bidi="ar"/>
              </w:rPr>
              <w:t>外遮阳系统</w:t>
            </w:r>
          </w:p>
        </w:tc>
        <w:tc>
          <w:tcPr>
            <w:tcW w:w="1304" w:type="pct"/>
            <w:vMerge w:val="continue"/>
            <w:tcBorders>
              <w:left w:val="single" w:color="auto" w:sz="4" w:space="0"/>
              <w:right w:val="single" w:color="auto" w:sz="4" w:space="0"/>
            </w:tcBorders>
            <w:noWrap w:val="0"/>
            <w:vAlign w:val="center"/>
          </w:tcPr>
          <w:p>
            <w:pPr>
              <w:rPr>
                <w:rFonts w:hint="eastAsia" w:ascii="仿宋" w:hAnsi="仿宋" w:eastAsia="仿宋" w:cs="仿宋"/>
                <w:b w:val="0"/>
                <w:bCs w:val="0"/>
                <w:color w:val="auto"/>
                <w:sz w:val="22"/>
                <w:szCs w:val="22"/>
                <w:highlight w:val="none"/>
              </w:rPr>
            </w:pPr>
          </w:p>
        </w:tc>
        <w:tc>
          <w:tcPr>
            <w:tcW w:w="24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val="en-US" w:eastAsia="zh-CN"/>
              </w:rPr>
              <w:t>项</w:t>
            </w:r>
          </w:p>
        </w:tc>
        <w:tc>
          <w:tcPr>
            <w:tcW w:w="49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834548</w:t>
            </w:r>
          </w:p>
        </w:tc>
      </w:tr>
      <w:tr>
        <w:tblPrEx>
          <w:tblCellMar>
            <w:top w:w="0" w:type="dxa"/>
            <w:left w:w="108" w:type="dxa"/>
            <w:bottom w:w="0" w:type="dxa"/>
            <w:right w:w="108" w:type="dxa"/>
          </w:tblCellMar>
        </w:tblPrEx>
        <w:trPr>
          <w:trHeight w:val="501" w:hRule="atLeast"/>
        </w:trPr>
        <w:tc>
          <w:tcPr>
            <w:tcW w:w="862" w:type="pct"/>
            <w:vMerge w:val="continue"/>
            <w:tcBorders>
              <w:left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rPr>
            </w:pPr>
          </w:p>
        </w:tc>
        <w:tc>
          <w:tcPr>
            <w:tcW w:w="309"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4</w:t>
            </w:r>
          </w:p>
        </w:tc>
        <w:tc>
          <w:tcPr>
            <w:tcW w:w="114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i w:val="0"/>
                <w:iCs w:val="0"/>
                <w:color w:val="auto"/>
                <w:kern w:val="0"/>
                <w:sz w:val="22"/>
                <w:szCs w:val="22"/>
                <w:highlight w:val="none"/>
                <w:u w:val="none"/>
                <w:lang w:val="en-US" w:eastAsia="zh-CN" w:bidi="ar"/>
              </w:rPr>
              <w:t>其他附属</w:t>
            </w:r>
          </w:p>
        </w:tc>
        <w:tc>
          <w:tcPr>
            <w:tcW w:w="1304" w:type="pct"/>
            <w:vMerge w:val="continue"/>
            <w:tcBorders>
              <w:left w:val="single" w:color="auto" w:sz="4" w:space="0"/>
              <w:right w:val="single" w:color="auto" w:sz="4" w:space="0"/>
            </w:tcBorders>
            <w:noWrap w:val="0"/>
            <w:vAlign w:val="center"/>
          </w:tcPr>
          <w:p>
            <w:pPr>
              <w:rPr>
                <w:rFonts w:hint="eastAsia" w:ascii="仿宋" w:hAnsi="仿宋" w:eastAsia="仿宋" w:cs="仿宋"/>
                <w:b w:val="0"/>
                <w:bCs w:val="0"/>
                <w:color w:val="auto"/>
                <w:sz w:val="22"/>
                <w:szCs w:val="22"/>
                <w:highlight w:val="none"/>
              </w:rPr>
            </w:pPr>
          </w:p>
        </w:tc>
        <w:tc>
          <w:tcPr>
            <w:tcW w:w="24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val="en-US" w:eastAsia="zh-CN"/>
              </w:rPr>
              <w:t>项</w:t>
            </w:r>
          </w:p>
        </w:tc>
        <w:tc>
          <w:tcPr>
            <w:tcW w:w="49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162340</w:t>
            </w:r>
          </w:p>
        </w:tc>
      </w:tr>
      <w:tr>
        <w:tblPrEx>
          <w:tblCellMar>
            <w:top w:w="0" w:type="dxa"/>
            <w:left w:w="108" w:type="dxa"/>
            <w:bottom w:w="0" w:type="dxa"/>
            <w:right w:w="108" w:type="dxa"/>
          </w:tblCellMar>
        </w:tblPrEx>
        <w:trPr>
          <w:trHeight w:val="501" w:hRule="atLeast"/>
        </w:trPr>
        <w:tc>
          <w:tcPr>
            <w:tcW w:w="862" w:type="pct"/>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rPr>
            </w:pPr>
          </w:p>
        </w:tc>
        <w:tc>
          <w:tcPr>
            <w:tcW w:w="309" w:type="pct"/>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5</w:t>
            </w:r>
          </w:p>
        </w:tc>
        <w:tc>
          <w:tcPr>
            <w:tcW w:w="114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i w:val="0"/>
                <w:iCs w:val="0"/>
                <w:color w:val="auto"/>
                <w:kern w:val="0"/>
                <w:sz w:val="22"/>
                <w:szCs w:val="22"/>
                <w:highlight w:val="none"/>
                <w:u w:val="none"/>
                <w:lang w:val="en-US" w:eastAsia="zh-CN" w:bidi="ar"/>
              </w:rPr>
            </w:pPr>
            <w:r>
              <w:rPr>
                <w:rFonts w:hint="eastAsia" w:ascii="仿宋" w:hAnsi="仿宋" w:eastAsia="仿宋" w:cs="仿宋"/>
                <w:b w:val="0"/>
                <w:bCs w:val="0"/>
                <w:i w:val="0"/>
                <w:iCs w:val="0"/>
                <w:color w:val="auto"/>
                <w:kern w:val="0"/>
                <w:sz w:val="22"/>
                <w:szCs w:val="22"/>
                <w:highlight w:val="none"/>
                <w:u w:val="none"/>
                <w:lang w:val="en-US" w:eastAsia="zh-CN" w:bidi="ar"/>
              </w:rPr>
              <w:t>水电安装</w:t>
            </w:r>
          </w:p>
        </w:tc>
        <w:tc>
          <w:tcPr>
            <w:tcW w:w="1304" w:type="pct"/>
            <w:vMerge w:val="continue"/>
            <w:tcBorders>
              <w:left w:val="single" w:color="auto" w:sz="4" w:space="0"/>
              <w:bottom w:val="single" w:color="auto" w:sz="4" w:space="0"/>
              <w:right w:val="single" w:color="auto" w:sz="4" w:space="0"/>
            </w:tcBorders>
            <w:noWrap w:val="0"/>
            <w:vAlign w:val="center"/>
          </w:tcPr>
          <w:p>
            <w:pPr>
              <w:rPr>
                <w:rFonts w:hint="eastAsia" w:ascii="仿宋" w:hAnsi="仿宋" w:eastAsia="仿宋" w:cs="仿宋"/>
                <w:b w:val="0"/>
                <w:bCs w:val="0"/>
                <w:i w:val="0"/>
                <w:iCs w:val="0"/>
                <w:color w:val="auto"/>
                <w:kern w:val="0"/>
                <w:sz w:val="22"/>
                <w:szCs w:val="22"/>
                <w:highlight w:val="none"/>
                <w:u w:val="none"/>
                <w:lang w:val="en-US" w:eastAsia="zh-CN" w:bidi="ar"/>
              </w:rPr>
            </w:pPr>
          </w:p>
        </w:tc>
        <w:tc>
          <w:tcPr>
            <w:tcW w:w="24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项</w:t>
            </w:r>
          </w:p>
        </w:tc>
        <w:tc>
          <w:tcPr>
            <w:tcW w:w="494"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val="0"/>
                <w:color w:val="auto"/>
                <w:sz w:val="22"/>
                <w:szCs w:val="22"/>
                <w:highlight w:val="none"/>
                <w:lang w:val="en-US" w:eastAsia="zh-CN"/>
              </w:rPr>
            </w:pPr>
            <w:r>
              <w:rPr>
                <w:rFonts w:hint="eastAsia" w:ascii="仿宋" w:hAnsi="仿宋" w:eastAsia="仿宋" w:cs="仿宋"/>
                <w:b w:val="0"/>
                <w:bCs w:val="0"/>
                <w:color w:val="auto"/>
                <w:sz w:val="22"/>
                <w:szCs w:val="22"/>
                <w:highlight w:val="none"/>
                <w:lang w:val="en-US" w:eastAsia="zh-CN"/>
              </w:rPr>
              <w:t>1</w:t>
            </w:r>
          </w:p>
        </w:tc>
        <w:tc>
          <w:tcPr>
            <w:tcW w:w="119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color w:val="auto"/>
                <w:sz w:val="28"/>
                <w:szCs w:val="28"/>
                <w:highlight w:val="none"/>
                <w:lang w:val="en-US" w:eastAsia="zh-CN"/>
              </w:rPr>
            </w:pPr>
            <w:r>
              <w:rPr>
                <w:rFonts w:hint="eastAsia" w:ascii="宋体" w:hAnsi="宋体" w:eastAsia="宋体" w:cs="宋体"/>
                <w:i w:val="0"/>
                <w:iCs w:val="0"/>
                <w:color w:val="000000"/>
                <w:kern w:val="0"/>
                <w:sz w:val="21"/>
                <w:szCs w:val="21"/>
                <w:highlight w:val="none"/>
                <w:u w:val="none"/>
                <w:lang w:val="en-US" w:eastAsia="zh-CN" w:bidi="ar"/>
              </w:rPr>
              <w:t>340977</w:t>
            </w:r>
          </w:p>
        </w:tc>
      </w:tr>
      <w:tr>
        <w:tblPrEx>
          <w:tblCellMar>
            <w:top w:w="0" w:type="dxa"/>
            <w:left w:w="108" w:type="dxa"/>
            <w:bottom w:w="0" w:type="dxa"/>
            <w:right w:w="108" w:type="dxa"/>
          </w:tblCellMar>
        </w:tblPrEx>
        <w:trPr>
          <w:trHeight w:val="501" w:hRule="atLeast"/>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最高限价</w:t>
            </w:r>
            <w:r>
              <w:rPr>
                <w:rFonts w:hint="eastAsia" w:ascii="仿宋" w:hAnsi="仿宋" w:eastAsia="仿宋" w:cs="仿宋"/>
                <w:b/>
                <w:bCs/>
                <w:color w:val="auto"/>
                <w:sz w:val="24"/>
                <w:szCs w:val="24"/>
                <w:highlight w:val="none"/>
              </w:rPr>
              <w:t>：人民币</w:t>
            </w:r>
            <w:r>
              <w:rPr>
                <w:rFonts w:hint="eastAsia" w:ascii="仿宋" w:hAnsi="仿宋" w:eastAsia="仿宋" w:cs="仿宋"/>
                <w:b/>
                <w:bCs/>
                <w:color w:val="auto"/>
                <w:sz w:val="24"/>
                <w:szCs w:val="24"/>
                <w:highlight w:val="none"/>
                <w:lang w:eastAsia="zh-CN"/>
              </w:rPr>
              <w:t>贰佰肆拾伍万肆仟零肆拾贰元</w:t>
            </w:r>
            <w:r>
              <w:rPr>
                <w:rFonts w:hint="eastAsia" w:ascii="仿宋" w:hAnsi="仿宋" w:eastAsia="仿宋" w:cs="仿宋"/>
                <w:b/>
                <w:bCs/>
                <w:color w:val="auto"/>
                <w:sz w:val="24"/>
                <w:szCs w:val="24"/>
                <w:highlight w:val="none"/>
              </w:rPr>
              <w:t>整（￥:</w:t>
            </w:r>
            <w:r>
              <w:rPr>
                <w:rFonts w:hint="eastAsia" w:ascii="仿宋" w:hAnsi="仿宋" w:eastAsia="仿宋" w:cs="仿宋"/>
                <w:b/>
                <w:bCs/>
                <w:color w:val="auto"/>
                <w:sz w:val="24"/>
                <w:szCs w:val="24"/>
                <w:highlight w:val="none"/>
                <w:lang w:eastAsia="zh-CN"/>
              </w:rPr>
              <w:t>2454042</w:t>
            </w:r>
            <w:r>
              <w:rPr>
                <w:rFonts w:hint="eastAsia" w:ascii="仿宋" w:hAnsi="仿宋" w:eastAsia="仿宋" w:cs="仿宋"/>
                <w:b/>
                <w:bCs/>
                <w:color w:val="auto"/>
                <w:sz w:val="24"/>
                <w:szCs w:val="24"/>
                <w:highlight w:val="none"/>
                <w:lang w:val="en-US" w:eastAsia="zh-CN"/>
              </w:rPr>
              <w:t>.00</w:t>
            </w:r>
            <w:r>
              <w:rPr>
                <w:rFonts w:hint="eastAsia" w:ascii="仿宋" w:hAnsi="仿宋" w:eastAsia="仿宋" w:cs="仿宋"/>
                <w:b/>
                <w:bCs/>
                <w:color w:val="auto"/>
                <w:sz w:val="24"/>
                <w:szCs w:val="24"/>
                <w:highlight w:val="none"/>
              </w:rPr>
              <w:t>元）</w:t>
            </w:r>
          </w:p>
        </w:tc>
      </w:tr>
    </w:tbl>
    <w:p>
      <w:pPr>
        <w:tabs>
          <w:tab w:val="left" w:pos="1260"/>
        </w:tabs>
        <w:spacing w:line="360" w:lineRule="auto"/>
        <w:ind w:firstLine="235" w:firstLineChars="98"/>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注：1、以上总金额包括设计、生产、供货、运输、装卸、安装调试、税金、保险、备品备件、配件、附件、培训、验收、辅助工作及售后服务等完成本项目的所有费用</w:t>
      </w:r>
    </w:p>
    <w:p>
      <w:pPr>
        <w:rPr>
          <w:color w:val="auto"/>
          <w:highlight w:val="none"/>
        </w:rPr>
      </w:pPr>
    </w:p>
    <w:p>
      <w:pPr>
        <w:numPr>
          <w:ilvl w:val="0"/>
          <w:numId w:val="2"/>
        </w:numPr>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技术要求</w:t>
      </w:r>
      <w:r>
        <w:rPr>
          <w:rFonts w:hint="eastAsia" w:ascii="仿宋" w:hAnsi="仿宋" w:eastAsia="仿宋" w:cs="仿宋"/>
          <w:b/>
          <w:color w:val="auto"/>
          <w:sz w:val="28"/>
          <w:szCs w:val="28"/>
          <w:highlight w:val="none"/>
          <w:lang w:val="en-US" w:eastAsia="zh-CN"/>
        </w:rPr>
        <w:t>及采购清单</w:t>
      </w:r>
    </w:p>
    <w:tbl>
      <w:tblPr>
        <w:tblStyle w:val="63"/>
        <w:tblW w:w="9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3"/>
        <w:gridCol w:w="4093"/>
        <w:gridCol w:w="2177"/>
        <w:gridCol w:w="581"/>
        <w:gridCol w:w="581"/>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12米单体棉被大棚(跨度12*长度72)M，共1座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C30基础及垫层（含土方、预埋件）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400*400*400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椭圆拱管，含连接管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斜撑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φ10钢丝绳 含配套拉钩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直杆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棚头立柱1（含连接件）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棚头立柱2（含连接件）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棚头立柱3（含连接件）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棚头立柱4（含连接件）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棚头立柱5（含连接件）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棚头立柱6（含连接件）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拉管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棚内立柱1（含连接件）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棚内立柱2（含连接件）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连接片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移门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方管盖膜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门上横梁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门上轨道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门下轨道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摇膜杆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固定杆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φ25×1.5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PEP丰谷膜0.1mm厚顶膜（含压膜卡，线等）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240克棉被外保温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PEP丰谷膜0.15mm厚端面膜（含压膜卡，线等）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PEP丰谷膜0.15mm分隔膜（含压膜卡，线等）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聚乙烯0.1mm裙膜（含压膜卡，线等）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32目聚乙烯防虫网（含压膜卡，线等）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72.5×1.2×2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运费、加工费（含镀锌费）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安装费（含五金配件及各种夹、卡件，辅料）及脚手架等安全措施费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bl>
    <w:p>
      <w:pPr>
        <w:jc w:val="both"/>
        <w:rPr>
          <w:rFonts w:hint="eastAsia" w:ascii="仿宋" w:hAnsi="仿宋" w:eastAsia="仿宋" w:cs="仿宋_GB2312"/>
          <w:b/>
          <w:color w:val="auto"/>
          <w:sz w:val="36"/>
          <w:szCs w:val="20"/>
          <w:highlight w:val="none"/>
        </w:rPr>
      </w:pPr>
    </w:p>
    <w:tbl>
      <w:tblPr>
        <w:tblStyle w:val="63"/>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3963"/>
        <w:gridCol w:w="2112"/>
        <w:gridCol w:w="569"/>
        <w:gridCol w:w="833"/>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0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 xml:space="preserve">12米单体大棚(跨度12*长度72)M，共11座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C30基础及垫层（含土方、预埋件）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400*400*400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椭圆拱管，含连接管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100×30×2.5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斜撑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φ10钢丝绳 含配套拉钩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拉管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棚头立柱1（含连接件）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棚头立柱2（含连接件）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棚头立柱3（含连接件）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棚头立柱4（含连接件）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棚头立柱5（含连接件）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棚头立柱6（含连接件）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水平拉管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水平拉管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L=10100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水平拉管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横管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V撑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φ32×2.0，含连接件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连接片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卡簧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移门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方管盖膜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2000×2200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门上横梁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□50×30×2.0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门上轨道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门下轨道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摇膜杆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固定杆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φ25×1.5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L=2500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地桩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PEP丰谷膜0.08mm厚顶膜（含压膜卡，线等）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72.5×16.5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PEP丰谷膜0.04mm厚顶膜（含压膜卡，线等）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72*（9.1+10.1）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PEP丰谷膜0.15mm厚端面膜（含压膜卡，线等）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PEP丰谷膜0.15mm分隔膜（含压膜卡，线等）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聚乙烯0.1mm裙膜（含压膜卡，线等）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32目聚乙烯防虫网（含压膜卡，线等）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72.5×1.2×2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运费、加工费（含镀锌费）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34</w:t>
            </w:r>
          </w:p>
        </w:tc>
        <w:tc>
          <w:tcPr>
            <w:tcW w:w="31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安装费（含五金配件及各种夹、卡件，辅料）及脚手架等安全措施费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auto"/>
                <w:sz w:val="21"/>
                <w:szCs w:val="21"/>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1"/>
                <w:szCs w:val="21"/>
                <w:highlight w:val="none"/>
                <w:u w:val="none"/>
              </w:rPr>
            </w:pPr>
          </w:p>
        </w:tc>
      </w:tr>
    </w:tbl>
    <w:p>
      <w:pPr>
        <w:pStyle w:val="2"/>
        <w:rPr>
          <w:rFonts w:hint="eastAsia"/>
          <w:color w:val="auto"/>
          <w:highlight w:val="none"/>
        </w:rPr>
      </w:pPr>
    </w:p>
    <w:tbl>
      <w:tblPr>
        <w:tblStyle w:val="63"/>
        <w:tblW w:w="94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2"/>
        <w:gridCol w:w="3059"/>
        <w:gridCol w:w="2490"/>
        <w:gridCol w:w="1450"/>
        <w:gridCol w:w="866"/>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0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外遮阳系统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序号</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项目名称</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规格</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单位</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数量</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C30基础及垫层（含土方、预埋件）</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600×600*600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266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2</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外遮阳立柱</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□60×60×5.0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266</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3</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外遮阳纵梁(组合式桁架式），详见图纸</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auto"/>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□50×50×3.0横杆，30*30*2.5+30*30*2.5角钢支撑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228.00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4</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外遮阳横梁</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□50×50×4.0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252.00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5</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外遮阳斜拉杆</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φ40×2.0mm</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456.00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6</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八字撑</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φ40×2.0mm</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120.00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7</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剪刀撑及花兰</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φ12圆钢</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84.00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8</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齿轮/齿条</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A型</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38.00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9</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电机</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1.1kw</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台</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4.00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10</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电机座</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只</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4.00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11</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推拉杆</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φ30×2.0缩头</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684.00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L=4100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12</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推杆支撑滚轮</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套</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684.00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13</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传动杆</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φ40×3.0mm</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米</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168.00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14</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幕杆</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φ30×2.0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根</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684.00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L=4700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15</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遮阳网(含幕线幕钩等）</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70%国产折叠式黑网</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12096.00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16</w:t>
            </w:r>
          </w:p>
        </w:tc>
        <w:tc>
          <w:tcPr>
            <w:tcW w:w="30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运费、加工费（含镀锌费）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12096.00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17</w:t>
            </w:r>
          </w:p>
        </w:tc>
        <w:tc>
          <w:tcPr>
            <w:tcW w:w="3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安装费（含五金配件及各种夹、卡件，辅料）及脚手架等安全措施费</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w:t>
            </w:r>
          </w:p>
        </w:tc>
        <w:tc>
          <w:tcPr>
            <w:tcW w:w="8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2"/>
                <w:szCs w:val="22"/>
                <w:highlight w:val="none"/>
                <w:u w:val="none"/>
              </w:rPr>
            </w:pPr>
            <w:r>
              <w:rPr>
                <w:rFonts w:hint="eastAsia" w:ascii="黑体" w:hAnsi="宋体" w:eastAsia="黑体" w:cs="黑体"/>
                <w:i w:val="0"/>
                <w:iCs w:val="0"/>
                <w:color w:val="auto"/>
                <w:kern w:val="0"/>
                <w:sz w:val="22"/>
                <w:szCs w:val="22"/>
                <w:highlight w:val="none"/>
                <w:u w:val="none"/>
                <w:lang w:val="en-US" w:eastAsia="zh-CN" w:bidi="ar"/>
              </w:rPr>
              <w:t xml:space="preserve">12096.00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2"/>
                <w:szCs w:val="22"/>
                <w:highlight w:val="none"/>
                <w:u w:val="none"/>
              </w:rPr>
            </w:pPr>
          </w:p>
        </w:tc>
      </w:tr>
    </w:tbl>
    <w:p>
      <w:pPr>
        <w:pStyle w:val="3"/>
        <w:rPr>
          <w:rFonts w:hint="eastAsia"/>
          <w:color w:val="auto"/>
          <w:highlight w:val="none"/>
        </w:rPr>
      </w:pPr>
    </w:p>
    <w:tbl>
      <w:tblPr>
        <w:tblStyle w:val="63"/>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3061"/>
        <w:gridCol w:w="2543"/>
        <w:gridCol w:w="842"/>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auto"/>
                <w:sz w:val="24"/>
                <w:szCs w:val="24"/>
                <w:highlight w:val="none"/>
                <w:u w:val="none"/>
              </w:rPr>
            </w:pPr>
            <w:r>
              <w:rPr>
                <w:rFonts w:hint="eastAsia" w:ascii="黑体" w:hAnsi="宋体" w:eastAsia="黑体" w:cs="黑体"/>
                <w:b/>
                <w:bCs/>
                <w:i w:val="0"/>
                <w:iCs w:val="0"/>
                <w:color w:val="auto"/>
                <w:kern w:val="0"/>
                <w:sz w:val="24"/>
                <w:szCs w:val="24"/>
                <w:highlight w:val="none"/>
                <w:u w:val="none"/>
                <w:lang w:val="en-US" w:eastAsia="zh-CN" w:bidi="ar"/>
              </w:rPr>
              <w:t>其他附属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0"/>
                <w:szCs w:val="20"/>
                <w:highlight w:val="none"/>
                <w:u w:val="none"/>
              </w:rPr>
            </w:pPr>
            <w:r>
              <w:rPr>
                <w:rFonts w:hint="eastAsia" w:ascii="黑体" w:hAnsi="宋体" w:eastAsia="黑体" w:cs="黑体"/>
                <w:b/>
                <w:bCs/>
                <w:i w:val="0"/>
                <w:iCs w:val="0"/>
                <w:color w:val="auto"/>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1</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成品树脂沟渠含盖板，土方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500*500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2</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de400 pe管过路涵（含砼基础）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3</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棚间排水沟（含土方开挖、处理），覆盖0.5mmHDPE防渗膜（2米宽），具体见图纸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4</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临时蓄水池（土方开挖、处理），覆盖0.5mmHDPE防渗膜，具体见图纸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底面积10m*10m*2m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5</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塑钢围栏网含基础，具体见图纸，含老围栏拆除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6</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五孔板路，10碎石垫层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7</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钢筋砼过沟板，10碎石垫层，具体详见图纸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2.5*3.6m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8</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现场杂草清理及平整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黑体" w:hAnsi="宋体" w:eastAsia="黑体" w:cs="黑体"/>
                <w:i w:val="0"/>
                <w:iCs w:val="0"/>
                <w:color w:val="auto"/>
                <w:sz w:val="20"/>
                <w:szCs w:val="20"/>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0"/>
                <w:szCs w:val="20"/>
                <w:highlight w:val="none"/>
                <w:u w:val="none"/>
              </w:rPr>
            </w:pPr>
            <w:r>
              <w:rPr>
                <w:rFonts w:hint="eastAsia" w:ascii="黑体" w:hAnsi="宋体" w:eastAsia="黑体" w:cs="黑体"/>
                <w:i w:val="0"/>
                <w:iCs w:val="0"/>
                <w:color w:val="auto"/>
                <w:kern w:val="0"/>
                <w:sz w:val="20"/>
                <w:szCs w:val="20"/>
                <w:highlight w:val="none"/>
                <w:u w:val="none"/>
                <w:lang w:val="en-US" w:eastAsia="zh-CN" w:bidi="ar"/>
              </w:rPr>
              <w:t xml:space="preserve">1.00 </w:t>
            </w:r>
          </w:p>
        </w:tc>
      </w:tr>
    </w:tbl>
    <w:p>
      <w:pPr>
        <w:jc w:val="left"/>
        <w:rPr>
          <w:rFonts w:hint="eastAsia" w:ascii="仿宋" w:hAnsi="仿宋" w:eastAsia="仿宋" w:cs="仿宋"/>
          <w:b/>
          <w:bCs/>
          <w:color w:val="auto"/>
          <w:sz w:val="24"/>
          <w:szCs w:val="32"/>
          <w:highlight w:val="none"/>
          <w:shd w:val="clear" w:color="auto" w:fill="auto"/>
          <w:lang w:eastAsia="zh-CN"/>
        </w:rPr>
      </w:pPr>
    </w:p>
    <w:p>
      <w:pPr>
        <w:pStyle w:val="2"/>
        <w:rPr>
          <w:rFonts w:hint="eastAsia" w:ascii="仿宋" w:hAnsi="仿宋" w:eastAsia="仿宋" w:cs="仿宋"/>
          <w:b/>
          <w:bCs/>
          <w:color w:val="auto"/>
          <w:sz w:val="24"/>
          <w:szCs w:val="32"/>
          <w:highlight w:val="none"/>
          <w:shd w:val="clear" w:color="auto" w:fill="auto"/>
          <w:lang w:eastAsia="zh-CN"/>
        </w:rPr>
      </w:pPr>
    </w:p>
    <w:tbl>
      <w:tblPr>
        <w:tblStyle w:val="63"/>
        <w:tblW w:w="83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3"/>
        <w:gridCol w:w="1216"/>
        <w:gridCol w:w="4687"/>
        <w:gridCol w:w="832"/>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38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40"/>
                <w:szCs w:val="40"/>
                <w:highlight w:val="none"/>
                <w:u w:val="none"/>
              </w:rPr>
            </w:pPr>
            <w:r>
              <w:rPr>
                <w:rFonts w:hint="eastAsia" w:ascii="宋体" w:hAnsi="宋体" w:eastAsia="宋体" w:cs="宋体"/>
                <w:b/>
                <w:bCs/>
                <w:i w:val="0"/>
                <w:iCs w:val="0"/>
                <w:color w:val="auto"/>
                <w:kern w:val="0"/>
                <w:sz w:val="40"/>
                <w:szCs w:val="40"/>
                <w:highlight w:val="none"/>
                <w:u w:val="none"/>
                <w:lang w:val="en-US" w:eastAsia="zh-CN" w:bidi="ar"/>
              </w:rPr>
              <w:t>水电安装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项目名称</w:t>
            </w:r>
          </w:p>
        </w:tc>
        <w:tc>
          <w:tcPr>
            <w:tcW w:w="46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规格</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46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46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配电箱</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1.名称:电源总进线箱</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2.型号:配置及控制方式详见系统图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3.接线端子材质、规格:压铜接线端子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4.安装方式:落地安装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1.柜体尺寸:1600*700*400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2.柜体颜色:灰</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3.柜底进出线</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4.柜内预留隔层高200 含基础、接地</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送配电装置系统</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1kV以下交流供电系统调试  (综合)</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系统</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配电箱</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1.名称:电源控制箱</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 xml:space="preserve">2.型号:配置及控制方式详见设计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3.接线端子材质、规格:压铜接线端子</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4.安装方式:挂墙安装 部分含帷幕控制 综合考虑</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配管</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1.名称:电气管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2.规格材质：PE50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3.配置形式:埋地</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配管</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1.名称:电气管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2.规格材质：PE25</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3.配置形式:埋地</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配管</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1.名称:电气管</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2.规格材质：PC20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3.配置形式:综合考虑</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电力电缆</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1.电缆名称:电力电缆</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2.型 号:ZR-YJV4*70</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3.材 质:铜芯</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4.敷设方式、部位:管内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含线缆固定件 含挖填土</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电力电缆</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1.电缆名称:电力电缆</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2.型 号:ZR-RVV-4*6</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3.材 质:铜芯</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4.敷设方式、部位:管内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含线缆固定件 含挖填土</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配线</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1.名称:ZR-RVV2*2.5 </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2.配线形式:管内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3.材质:铜芯</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含线缆固定件</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电力电缆头</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电缆头 70mm2及以下 三芯及以上</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接线盒</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1.名称:接线盒</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2.材质:综合考虑</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3.规格:86型</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4.安装形式:综合考虑</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普通灯具</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1.名称:大棚专用补光灯</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2.型号、规格:50W</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3.安装方式:吊装</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4.其他:详见图纸</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潜水泵</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1.名称:潜水泵</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2.型号: QS20-30-3，20的流量，30的扬程</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含导轨；随泵配套电缆、自动/手动控制箱、阀门、止回阀、软接头等 满足设计及使用功能要求</w:t>
            </w:r>
            <w:r>
              <w:rPr>
                <w:rFonts w:hint="eastAsia" w:ascii="宋体" w:hAnsi="宋体" w:eastAsia="宋体" w:cs="宋体"/>
                <w:i w:val="0"/>
                <w:iCs w:val="0"/>
                <w:color w:val="auto"/>
                <w:kern w:val="0"/>
                <w:sz w:val="18"/>
                <w:szCs w:val="18"/>
                <w:highlight w:val="none"/>
                <w:u w:val="none"/>
                <w:lang w:val="en-US" w:eastAsia="zh-CN" w:bidi="ar"/>
              </w:rPr>
              <w:br w:type="textWrapping"/>
            </w:r>
            <w:r>
              <w:rPr>
                <w:rFonts w:hint="eastAsia" w:ascii="宋体" w:hAnsi="宋体" w:eastAsia="宋体" w:cs="宋体"/>
                <w:i w:val="0"/>
                <w:iCs w:val="0"/>
                <w:color w:val="auto"/>
                <w:kern w:val="0"/>
                <w:sz w:val="18"/>
                <w:szCs w:val="18"/>
                <w:highlight w:val="none"/>
                <w:u w:val="none"/>
                <w:lang w:val="en-US" w:eastAsia="zh-CN" w:bidi="ar"/>
              </w:rPr>
              <w:t>3.减振装置形式、数量:减震垫</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塑料管</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PE给水管:Φ100 热熔连接 含管件 埋地敷设 满足设计及使用功能要求 含挖填土</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m</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砌筑井</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C25素砼闸阀井 含井盖 详见设计图纸 满足设计及使用功能要求 </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座</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过滤器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全自动石英砂过滤器15T/H 含配套附件</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空压机</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空压机（气动反洗）功率约1680w，0.13立方米/分排气量 含控制箱、配套管道、阀门及附件 满足使用功能要求</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调压阀</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调压阀 配套设备使用</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旋流除砂器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旋流除砂器 45T/H 含全部配套 满足使用功能要求</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施肥泵</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QS4-30-3施肥泵（2台，一用一备） 含施肥阀、施肥罐、控制器、管道混合器、配套阀门等 含连接件</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组</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施肥机</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施肥机 含相关配套附件 与施肥泵配套使用</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叠片过滤器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全自动叠片过滤器45T/H 含连接件、管道、阀门</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闸阀及分区</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闸阀及分区 配套使用 具体做法详见图纸 满足使用功能要求</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砖砌配电井</w:t>
            </w:r>
          </w:p>
        </w:tc>
        <w:tc>
          <w:tcPr>
            <w:tcW w:w="46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砖砌配电井 1.2*1m 含井盖</w:t>
            </w:r>
          </w:p>
        </w:tc>
        <w:tc>
          <w:tcPr>
            <w:tcW w:w="8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1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卷扬机</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棉被大棚专用卷扬机</w:t>
            </w:r>
            <w:r>
              <w:rPr>
                <w:rFonts w:ascii="Arial" w:hAnsi="Arial" w:eastAsia="宋体" w:cs="Arial"/>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功率：</w:t>
            </w:r>
            <w:r>
              <w:rPr>
                <w:rFonts w:ascii="Arial" w:hAnsi="Arial" w:eastAsia="宋体" w:cs="Arial"/>
                <w:i w:val="0"/>
                <w:iCs w:val="0"/>
                <w:color w:val="auto"/>
                <w:kern w:val="0"/>
                <w:sz w:val="20"/>
                <w:szCs w:val="20"/>
                <w:highlight w:val="none"/>
                <w:u w:val="none"/>
                <w:lang w:val="en-US" w:eastAsia="zh-CN" w:bidi="ar"/>
              </w:rPr>
              <w:t xml:space="preserve">380v2.0kw </w:t>
            </w:r>
            <w:r>
              <w:rPr>
                <w:rFonts w:hint="eastAsia" w:ascii="宋体" w:hAnsi="宋体" w:eastAsia="宋体" w:cs="宋体"/>
                <w:i w:val="0"/>
                <w:iCs w:val="0"/>
                <w:color w:val="auto"/>
                <w:kern w:val="0"/>
                <w:sz w:val="20"/>
                <w:szCs w:val="20"/>
                <w:highlight w:val="none"/>
                <w:u w:val="none"/>
                <w:lang w:val="en-US" w:eastAsia="zh-CN" w:bidi="ar"/>
              </w:rPr>
              <w:t>速度：</w:t>
            </w:r>
            <w:r>
              <w:rPr>
                <w:rFonts w:ascii="Arial" w:hAnsi="Arial" w:eastAsia="宋体" w:cs="Arial"/>
                <w:i w:val="0"/>
                <w:iCs w:val="0"/>
                <w:color w:val="auto"/>
                <w:kern w:val="0"/>
                <w:sz w:val="20"/>
                <w:szCs w:val="20"/>
                <w:highlight w:val="none"/>
                <w:u w:val="none"/>
                <w:lang w:val="en-US" w:eastAsia="zh-CN" w:bidi="ar"/>
              </w:rPr>
              <w:t>17</w:t>
            </w:r>
            <w:r>
              <w:rPr>
                <w:rFonts w:hint="eastAsia" w:ascii="宋体" w:hAnsi="宋体" w:eastAsia="宋体" w:cs="宋体"/>
                <w:i w:val="0"/>
                <w:iCs w:val="0"/>
                <w:color w:val="auto"/>
                <w:kern w:val="0"/>
                <w:sz w:val="20"/>
                <w:szCs w:val="20"/>
                <w:highlight w:val="none"/>
                <w:u w:val="none"/>
                <w:lang w:val="en-US" w:eastAsia="zh-CN" w:bidi="ar"/>
              </w:rPr>
              <w:t>转左右</w:t>
            </w:r>
            <w:r>
              <w:rPr>
                <w:rFonts w:ascii="Arial" w:hAnsi="Arial" w:eastAsia="宋体" w:cs="Arial"/>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分</w:t>
            </w:r>
            <w:r>
              <w:rPr>
                <w:rFonts w:ascii="Arial" w:hAnsi="Arial" w:eastAsia="宋体" w:cs="Arial"/>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重量：</w:t>
            </w:r>
            <w:r>
              <w:rPr>
                <w:rFonts w:ascii="Arial" w:hAnsi="Arial" w:eastAsia="宋体" w:cs="Arial"/>
                <w:i w:val="0"/>
                <w:iCs w:val="0"/>
                <w:color w:val="auto"/>
                <w:kern w:val="0"/>
                <w:sz w:val="20"/>
                <w:szCs w:val="20"/>
                <w:highlight w:val="none"/>
                <w:u w:val="none"/>
                <w:lang w:val="en-US" w:eastAsia="zh-CN" w:bidi="ar"/>
              </w:rPr>
              <w:t>80</w:t>
            </w:r>
            <w:r>
              <w:rPr>
                <w:rFonts w:hint="eastAsia" w:ascii="宋体" w:hAnsi="宋体" w:eastAsia="宋体" w:cs="宋体"/>
                <w:i w:val="0"/>
                <w:iCs w:val="0"/>
                <w:color w:val="auto"/>
                <w:kern w:val="0"/>
                <w:sz w:val="20"/>
                <w:szCs w:val="20"/>
                <w:highlight w:val="none"/>
                <w:u w:val="none"/>
                <w:lang w:val="en-US" w:eastAsia="zh-CN" w:bidi="ar"/>
              </w:rPr>
              <w:t>公斤左右</w:t>
            </w:r>
            <w:r>
              <w:rPr>
                <w:rFonts w:ascii="Arial" w:hAnsi="Arial" w:eastAsia="宋体" w:cs="Arial"/>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卷重：</w:t>
            </w:r>
            <w:r>
              <w:rPr>
                <w:rFonts w:ascii="Arial" w:hAnsi="Arial" w:eastAsia="宋体" w:cs="Arial"/>
                <w:i w:val="0"/>
                <w:iCs w:val="0"/>
                <w:color w:val="auto"/>
                <w:kern w:val="0"/>
                <w:sz w:val="20"/>
                <w:szCs w:val="20"/>
                <w:highlight w:val="none"/>
                <w:u w:val="none"/>
                <w:lang w:val="en-US" w:eastAsia="zh-CN" w:bidi="ar"/>
              </w:rPr>
              <w:t>7</w:t>
            </w:r>
            <w:r>
              <w:rPr>
                <w:rFonts w:hint="eastAsia" w:ascii="宋体" w:hAnsi="宋体" w:eastAsia="宋体" w:cs="宋体"/>
                <w:i w:val="0"/>
                <w:iCs w:val="0"/>
                <w:color w:val="auto"/>
                <w:kern w:val="0"/>
                <w:sz w:val="20"/>
                <w:szCs w:val="20"/>
                <w:highlight w:val="none"/>
                <w:u w:val="none"/>
                <w:lang w:val="en-US" w:eastAsia="zh-CN" w:bidi="ar"/>
              </w:rPr>
              <w:t>吨左右，满足棉被大棚使用要求</w:t>
            </w:r>
            <w:r>
              <w:rPr>
                <w:rFonts w:ascii="Arial" w:hAnsi="Arial" w:eastAsia="宋体" w:cs="Arial"/>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含卷杆、支杆、控制箱、电源管线、基础、支架等全部内容</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auto"/>
                <w:sz w:val="20"/>
                <w:szCs w:val="20"/>
                <w:highlight w:val="none"/>
                <w:u w:val="none"/>
              </w:rPr>
            </w:pPr>
            <w:r>
              <w:rPr>
                <w:rFonts w:hint="default" w:ascii="Arial" w:hAnsi="Arial" w:eastAsia="宋体" w:cs="Arial"/>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电动摇膜器</w:t>
            </w:r>
          </w:p>
        </w:tc>
        <w:tc>
          <w:tcPr>
            <w:tcW w:w="4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电动摇膜器，功率100w，电压24v，电流3.5A，转速3.0rpm，扭转力80Nm，电动摇膜器为成品一套，带电源控制器，含插座、电箱、爬升器</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highlight w:val="none"/>
                <w:u w:val="none"/>
              </w:rPr>
            </w:pPr>
            <w:r>
              <w:rPr>
                <w:rFonts w:hint="default" w:ascii="Arial" w:hAnsi="Arial" w:eastAsia="宋体" w:cs="Arial"/>
                <w:i w:val="0"/>
                <w:iCs w:val="0"/>
                <w:color w:val="000000"/>
                <w:kern w:val="0"/>
                <w:sz w:val="20"/>
                <w:szCs w:val="20"/>
                <w:highlight w:val="none"/>
                <w:u w:val="none"/>
                <w:lang w:val="en-US" w:eastAsia="zh-CN" w:bidi="ar"/>
              </w:rPr>
              <w:t>24</w:t>
            </w:r>
          </w:p>
        </w:tc>
      </w:tr>
    </w:tbl>
    <w:p>
      <w:pPr>
        <w:jc w:val="left"/>
        <w:rPr>
          <w:rFonts w:hint="eastAsia" w:ascii="仿宋" w:hAnsi="仿宋" w:eastAsia="仿宋" w:cs="仿宋_GB2312"/>
          <w:b/>
          <w:color w:val="auto"/>
          <w:sz w:val="36"/>
          <w:szCs w:val="20"/>
          <w:highlight w:val="none"/>
        </w:rPr>
      </w:pPr>
      <w:r>
        <w:rPr>
          <w:rFonts w:hint="eastAsia" w:ascii="仿宋" w:hAnsi="仿宋" w:eastAsia="仿宋" w:cs="仿宋"/>
          <w:b/>
          <w:bCs/>
          <w:color w:val="auto"/>
          <w:sz w:val="24"/>
          <w:szCs w:val="32"/>
          <w:highlight w:val="none"/>
          <w:shd w:val="clear" w:color="auto" w:fill="auto"/>
          <w:lang w:eastAsia="zh-CN"/>
        </w:rPr>
        <w:t>注：单体大棚施工图纸、大棚电气图纸附后，供应商</w:t>
      </w:r>
      <w:r>
        <w:rPr>
          <w:rFonts w:hint="eastAsia" w:ascii="仿宋" w:hAnsi="仿宋" w:eastAsia="仿宋" w:cs="仿宋"/>
          <w:b/>
          <w:bCs/>
          <w:color w:val="auto"/>
          <w:sz w:val="24"/>
          <w:szCs w:val="32"/>
          <w:highlight w:val="none"/>
          <w:shd w:val="clear" w:color="auto" w:fill="auto"/>
          <w:lang w:val="en-US" w:eastAsia="zh-CN"/>
        </w:rPr>
        <w:t>应</w:t>
      </w:r>
      <w:r>
        <w:rPr>
          <w:rFonts w:hint="eastAsia" w:ascii="仿宋" w:hAnsi="仿宋" w:eastAsia="仿宋" w:cs="仿宋"/>
          <w:b/>
          <w:bCs/>
          <w:color w:val="auto"/>
          <w:sz w:val="24"/>
          <w:szCs w:val="32"/>
          <w:highlight w:val="none"/>
          <w:shd w:val="clear" w:color="auto" w:fill="auto"/>
          <w:lang w:eastAsia="zh-CN"/>
        </w:rPr>
        <w:t>根据采购人提供的图纸进行施工，项目竣工后须提供竣工验收图纸。</w:t>
      </w:r>
    </w:p>
    <w:p>
      <w:pPr>
        <w:jc w:val="center"/>
        <w:rPr>
          <w:rFonts w:hint="eastAsia" w:ascii="仿宋" w:hAnsi="仿宋" w:eastAsia="仿宋" w:cs="仿宋_GB2312"/>
          <w:b/>
          <w:color w:val="auto"/>
          <w:sz w:val="36"/>
          <w:szCs w:val="20"/>
          <w:highlight w:val="none"/>
        </w:rPr>
      </w:pPr>
    </w:p>
    <w:p>
      <w:pPr>
        <w:pageBreakBefore w:val="0"/>
        <w:kinsoku/>
        <w:wordWrap/>
        <w:overflowPunct/>
        <w:topLinePunct w:val="0"/>
        <w:bidi w:val="0"/>
        <w:spacing w:line="360" w:lineRule="auto"/>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lang w:val="en-US" w:eastAsia="zh-CN"/>
        </w:rPr>
        <w:t>三</w:t>
      </w:r>
      <w:r>
        <w:rPr>
          <w:rFonts w:hint="eastAsia" w:ascii="仿宋" w:hAnsi="仿宋" w:eastAsia="仿宋" w:cs="仿宋"/>
          <w:b/>
          <w:color w:val="auto"/>
          <w:sz w:val="28"/>
          <w:szCs w:val="28"/>
          <w:highlight w:val="none"/>
        </w:rPr>
        <w:t>、</w:t>
      </w:r>
      <w:r>
        <w:rPr>
          <w:rFonts w:hint="eastAsia" w:ascii="仿宋" w:hAnsi="仿宋" w:eastAsia="仿宋" w:cs="仿宋"/>
          <w:b/>
          <w:color w:val="auto"/>
          <w:sz w:val="28"/>
          <w:szCs w:val="28"/>
          <w:highlight w:val="none"/>
          <w:lang w:val="en-US" w:eastAsia="zh-CN"/>
        </w:rPr>
        <w:t>商务要求</w:t>
      </w:r>
    </w:p>
    <w:p>
      <w:pPr>
        <w:pStyle w:val="5"/>
        <w:pageBreakBefore w:val="0"/>
        <w:kinsoku/>
        <w:wordWrap/>
        <w:overflowPunct/>
        <w:topLinePunct w:val="0"/>
        <w:bidi w:val="0"/>
        <w:spacing w:line="360" w:lineRule="auto"/>
        <w:rPr>
          <w:rFonts w:hint="eastAsia" w:ascii="仿宋" w:hAnsi="仿宋" w:eastAsia="仿宋" w:cs="仿宋"/>
          <w:color w:val="auto"/>
          <w:sz w:val="28"/>
          <w:szCs w:val="28"/>
          <w:highlight w:val="none"/>
        </w:rPr>
      </w:pPr>
      <w:r>
        <w:rPr>
          <w:rFonts w:hint="eastAsia" w:ascii="仿宋" w:eastAsia="仿宋" w:cs="仿宋"/>
          <w:color w:val="auto"/>
          <w:sz w:val="28"/>
          <w:szCs w:val="28"/>
          <w:highlight w:val="none"/>
          <w:lang w:eastAsia="zh-CN"/>
        </w:rPr>
        <w:t>（</w:t>
      </w:r>
      <w:r>
        <w:rPr>
          <w:rFonts w:hint="eastAsia" w:ascii="仿宋" w:eastAsia="仿宋" w:cs="仿宋"/>
          <w:color w:val="auto"/>
          <w:sz w:val="28"/>
          <w:szCs w:val="28"/>
          <w:highlight w:val="none"/>
          <w:lang w:val="en-US" w:eastAsia="zh-CN"/>
        </w:rPr>
        <w:t>一</w:t>
      </w:r>
      <w:r>
        <w:rPr>
          <w:rFonts w:hint="eastAsia" w:ascii="仿宋" w:eastAsia="仿宋" w:cs="仿宋"/>
          <w:color w:val="auto"/>
          <w:sz w:val="28"/>
          <w:szCs w:val="28"/>
          <w:highlight w:val="none"/>
          <w:lang w:eastAsia="zh-CN"/>
        </w:rPr>
        <w:t>）</w:t>
      </w:r>
      <w:r>
        <w:rPr>
          <w:rFonts w:hint="eastAsia" w:ascii="仿宋" w:hAnsi="仿宋" w:eastAsia="仿宋" w:cs="仿宋"/>
          <w:color w:val="auto"/>
          <w:sz w:val="28"/>
          <w:szCs w:val="28"/>
          <w:highlight w:val="none"/>
        </w:rPr>
        <w:t>实施团队人员要求</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1、供应商应由承诺的项目管理组完成本</w:t>
      </w:r>
      <w:r>
        <w:rPr>
          <w:rFonts w:hint="eastAsia" w:ascii="仿宋" w:hAnsi="仿宋" w:eastAsia="仿宋" w:cs="仿宋"/>
          <w:color w:val="auto"/>
          <w:sz w:val="24"/>
          <w:highlight w:val="none"/>
          <w:lang w:eastAsia="zh-CN"/>
        </w:rPr>
        <w:t>项目所有</w:t>
      </w:r>
      <w:r>
        <w:rPr>
          <w:rFonts w:hint="eastAsia" w:ascii="仿宋" w:hAnsi="仿宋" w:eastAsia="仿宋" w:cs="仿宋"/>
          <w:color w:val="auto"/>
          <w:sz w:val="24"/>
          <w:highlight w:val="none"/>
        </w:rPr>
        <w:t>工作，供应商应确保其委派的项目负责人和专业负责人在本</w:t>
      </w:r>
      <w:r>
        <w:rPr>
          <w:rFonts w:hint="eastAsia" w:ascii="仿宋" w:hAnsi="仿宋" w:eastAsia="仿宋" w:cs="仿宋"/>
          <w:color w:val="auto"/>
          <w:sz w:val="24"/>
          <w:highlight w:val="none"/>
          <w:lang w:eastAsia="zh-CN"/>
        </w:rPr>
        <w:t>项目实施</w:t>
      </w:r>
      <w:r>
        <w:rPr>
          <w:rFonts w:hint="eastAsia" w:ascii="仿宋" w:hAnsi="仿宋" w:eastAsia="仿宋" w:cs="仿宋"/>
          <w:color w:val="auto"/>
          <w:sz w:val="24"/>
          <w:highlight w:val="none"/>
        </w:rPr>
        <w:t>期间持续稳定地在该项目管理组工作；同时在本</w:t>
      </w:r>
      <w:r>
        <w:rPr>
          <w:rFonts w:hint="eastAsia" w:ascii="仿宋" w:hAnsi="仿宋" w:eastAsia="仿宋" w:cs="仿宋"/>
          <w:color w:val="auto"/>
          <w:sz w:val="24"/>
          <w:highlight w:val="none"/>
          <w:lang w:eastAsia="zh-CN"/>
        </w:rPr>
        <w:t>项目实施</w:t>
      </w:r>
      <w:r>
        <w:rPr>
          <w:rFonts w:hint="eastAsia" w:ascii="仿宋" w:hAnsi="仿宋" w:eastAsia="仿宋" w:cs="仿宋"/>
          <w:color w:val="auto"/>
          <w:sz w:val="24"/>
          <w:highlight w:val="none"/>
        </w:rPr>
        <w:t>过程中，供应商应按采购单位要求的时间派项目</w:t>
      </w:r>
      <w:r>
        <w:rPr>
          <w:rFonts w:hint="eastAsia" w:ascii="仿宋" w:hAnsi="仿宋" w:eastAsia="仿宋" w:cs="仿宋"/>
          <w:color w:val="auto"/>
          <w:sz w:val="24"/>
          <w:highlight w:val="none"/>
          <w:lang w:eastAsia="zh-CN"/>
        </w:rPr>
        <w:t>负责</w:t>
      </w:r>
      <w:r>
        <w:rPr>
          <w:rFonts w:hint="eastAsia" w:ascii="仿宋" w:hAnsi="仿宋" w:eastAsia="仿宋" w:cs="仿宋"/>
          <w:color w:val="auto"/>
          <w:sz w:val="24"/>
          <w:highlight w:val="none"/>
        </w:rPr>
        <w:t>人员到场或参会。</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2、供应商应当综合实力较为突出，具有与本项目相关领域的职称证书</w:t>
      </w:r>
      <w:r>
        <w:rPr>
          <w:rFonts w:hint="eastAsia" w:ascii="仿宋" w:hAnsi="仿宋" w:eastAsia="仿宋" w:cs="仿宋"/>
          <w:color w:val="auto"/>
          <w:sz w:val="24"/>
          <w:highlight w:val="none"/>
          <w:lang w:val="en-US" w:eastAsia="zh-CN"/>
        </w:rPr>
        <w:t>或</w:t>
      </w:r>
      <w:r>
        <w:rPr>
          <w:rFonts w:hint="eastAsia" w:ascii="仿宋" w:hAnsi="仿宋" w:eastAsia="仿宋" w:cs="仿宋"/>
          <w:color w:val="auto"/>
          <w:sz w:val="24"/>
          <w:highlight w:val="none"/>
        </w:rPr>
        <w:t>丰富的</w:t>
      </w:r>
      <w:r>
        <w:rPr>
          <w:rFonts w:hint="eastAsia" w:ascii="仿宋" w:hAnsi="仿宋" w:eastAsia="仿宋" w:cs="仿宋"/>
          <w:color w:val="auto"/>
          <w:sz w:val="24"/>
          <w:highlight w:val="none"/>
          <w:lang w:val="en-US" w:eastAsia="zh-CN"/>
        </w:rPr>
        <w:t>相关</w:t>
      </w:r>
      <w:r>
        <w:rPr>
          <w:rFonts w:hint="eastAsia" w:ascii="仿宋" w:hAnsi="仿宋" w:eastAsia="仿宋" w:cs="仿宋"/>
          <w:color w:val="auto"/>
          <w:sz w:val="24"/>
          <w:highlight w:val="none"/>
        </w:rPr>
        <w:t>工作经验。项目团队专业配置齐全、合理、架构清晰。在项目进行期间，确保项目组人员的稳定性，未经用户书面同意，不得更换项目组人员。</w:t>
      </w:r>
    </w:p>
    <w:p>
      <w:pPr>
        <w:pageBreakBefore w:val="0"/>
        <w:kinsoku/>
        <w:wordWrap/>
        <w:overflowPunct/>
        <w:topLinePunct w:val="0"/>
        <w:bidi w:val="0"/>
        <w:spacing w:line="360" w:lineRule="auto"/>
        <w:rPr>
          <w:rFonts w:hint="eastAsia" w:ascii="仿宋" w:hAnsi="仿宋" w:eastAsia="仿宋" w:cs="仿宋"/>
          <w:color w:val="auto"/>
          <w:sz w:val="24"/>
          <w:highlight w:val="none"/>
        </w:rPr>
      </w:pPr>
    </w:p>
    <w:p>
      <w:pPr>
        <w:pStyle w:val="5"/>
        <w:pageBreakBefore w:val="0"/>
        <w:kinsoku/>
        <w:wordWrap/>
        <w:overflowPunct/>
        <w:topLinePunct w:val="0"/>
        <w:bidi w:val="0"/>
        <w:spacing w:line="360" w:lineRule="auto"/>
        <w:rPr>
          <w:rFonts w:hint="eastAsia" w:ascii="仿宋" w:hAnsi="仿宋" w:eastAsia="仿宋" w:cs="仿宋"/>
          <w:color w:val="auto"/>
          <w:sz w:val="28"/>
          <w:szCs w:val="28"/>
          <w:highlight w:val="none"/>
        </w:rPr>
      </w:pPr>
      <w:r>
        <w:rPr>
          <w:rFonts w:hint="eastAsia" w:ascii="仿宋" w:eastAsia="仿宋" w:cs="仿宋"/>
          <w:color w:val="auto"/>
          <w:sz w:val="28"/>
          <w:szCs w:val="28"/>
          <w:highlight w:val="none"/>
          <w:lang w:eastAsia="zh-CN"/>
        </w:rPr>
        <w:t>（</w:t>
      </w:r>
      <w:r>
        <w:rPr>
          <w:rFonts w:hint="eastAsia" w:ascii="仿宋" w:eastAsia="仿宋" w:cs="仿宋"/>
          <w:color w:val="auto"/>
          <w:sz w:val="28"/>
          <w:szCs w:val="28"/>
          <w:highlight w:val="none"/>
          <w:lang w:val="en-US" w:eastAsia="zh-CN"/>
        </w:rPr>
        <w:t>二</w:t>
      </w:r>
      <w:r>
        <w:rPr>
          <w:rFonts w:hint="eastAsia" w:ascii="仿宋" w:eastAsia="仿宋" w:cs="仿宋"/>
          <w:color w:val="auto"/>
          <w:sz w:val="28"/>
          <w:szCs w:val="28"/>
          <w:highlight w:val="none"/>
          <w:lang w:eastAsia="zh-CN"/>
        </w:rPr>
        <w:t>）</w:t>
      </w:r>
      <w:r>
        <w:rPr>
          <w:rFonts w:hint="eastAsia" w:ascii="仿宋" w:hAnsi="仿宋" w:eastAsia="仿宋" w:cs="仿宋"/>
          <w:color w:val="auto"/>
          <w:sz w:val="28"/>
          <w:szCs w:val="28"/>
          <w:highlight w:val="none"/>
        </w:rPr>
        <w:t>其他要求</w:t>
      </w:r>
    </w:p>
    <w:p>
      <w:pPr>
        <w:pageBreakBefore w:val="0"/>
        <w:kinsoku/>
        <w:wordWrap/>
        <w:overflowPunct/>
        <w:topLinePunct w:val="0"/>
        <w:autoSpaceDE w:val="0"/>
        <w:autoSpaceDN w:val="0"/>
        <w:bidi w:val="0"/>
        <w:adjustRightInd w:val="0"/>
        <w:spacing w:line="360" w:lineRule="auto"/>
        <w:ind w:firstLine="482" w:firstLineChars="20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采购的总体要求：</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1、必须符合招标文件(包括补充更正，如有)的技术要求和配置；必须是国内相应制造厂商生产并提供的原装合格产品；</w:t>
      </w:r>
    </w:p>
    <w:p>
      <w:pPr>
        <w:pageBreakBefore w:val="0"/>
        <w:kinsoku/>
        <w:wordWrap/>
        <w:overflowPunct/>
        <w:topLinePunct w:val="0"/>
        <w:autoSpaceDE w:val="0"/>
        <w:autoSpaceDN w:val="0"/>
        <w:bidi w:val="0"/>
        <w:adjustRightInd w:val="0"/>
        <w:snapToGrid w:val="0"/>
        <w:spacing w:line="360" w:lineRule="auto"/>
        <w:ind w:left="-181" w:leftChars="-86" w:right="-178" w:rightChars="-85" w:firstLine="720" w:firstLineChars="300"/>
        <w:textAlignment w:val="bottom"/>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2、售后服务按</w:t>
      </w:r>
      <w:r>
        <w:rPr>
          <w:rFonts w:hint="eastAsia" w:ascii="仿宋" w:hAnsi="仿宋" w:eastAsia="仿宋" w:cs="仿宋"/>
          <w:color w:val="auto"/>
          <w:sz w:val="24"/>
          <w:szCs w:val="24"/>
          <w:highlight w:val="none"/>
          <w:lang w:eastAsia="zh-CN"/>
        </w:rPr>
        <w:t>国家市场监督管理总局</w:t>
      </w:r>
      <w:r>
        <w:rPr>
          <w:rFonts w:hint="eastAsia" w:ascii="仿宋" w:hAnsi="仿宋" w:eastAsia="仿宋" w:cs="仿宋"/>
          <w:color w:val="auto"/>
          <w:sz w:val="24"/>
          <w:szCs w:val="24"/>
          <w:highlight w:val="none"/>
        </w:rPr>
        <w:t>和国家其他有关规定执行，国家没有规定的按厂商规定执行。国家规定标准低于厂商标准的按厂商标准执行，但最低免费原厂质保服务期不得少于</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年。</w:t>
      </w:r>
    </w:p>
    <w:p>
      <w:pPr>
        <w:pageBreakBefore w:val="0"/>
        <w:kinsoku/>
        <w:wordWrap/>
        <w:overflowPunct/>
        <w:topLinePunct w:val="0"/>
        <w:autoSpaceDE w:val="0"/>
        <w:autoSpaceDN w:val="0"/>
        <w:bidi w:val="0"/>
        <w:adjustRightInd w:val="0"/>
        <w:snapToGrid w:val="0"/>
        <w:spacing w:line="360" w:lineRule="auto"/>
        <w:ind w:firstLine="354" w:firstLineChars="147"/>
        <w:textAlignment w:val="bottom"/>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售后服务</w:t>
      </w:r>
    </w:p>
    <w:p>
      <w:pPr>
        <w:pageBreakBefore w:val="0"/>
        <w:widowControl/>
        <w:kinsoku/>
        <w:wordWrap/>
        <w:overflowPunct/>
        <w:topLinePunct w:val="0"/>
        <w:autoSpaceDE w:val="0"/>
        <w:autoSpaceDN w:val="0"/>
        <w:bidi w:val="0"/>
        <w:spacing w:line="360" w:lineRule="auto"/>
        <w:ind w:left="-181" w:leftChars="-86" w:right="-178" w:rightChars="-85" w:firstLine="600" w:firstLineChars="25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highlight w:val="none"/>
        </w:rPr>
        <w:t>提供2</w:t>
      </w:r>
      <w:r>
        <w:rPr>
          <w:rFonts w:hint="eastAsia" w:ascii="仿宋" w:hAnsi="仿宋" w:eastAsia="仿宋" w:cs="仿宋"/>
          <w:b/>
          <w:color w:val="auto"/>
          <w:sz w:val="24"/>
          <w:highlight w:val="none"/>
        </w:rPr>
        <w:t>年</w:t>
      </w:r>
      <w:r>
        <w:rPr>
          <w:rFonts w:hint="eastAsia" w:ascii="仿宋" w:hAnsi="仿宋" w:eastAsia="仿宋" w:cs="仿宋"/>
          <w:color w:val="auto"/>
          <w:sz w:val="24"/>
          <w:highlight w:val="none"/>
        </w:rPr>
        <w:t>的质保期，配备维护专用车辆定期对设备进行巡检，确保设备正常运行。质保期从验收合格交付使用之日起算；</w:t>
      </w:r>
      <w:r>
        <w:rPr>
          <w:rFonts w:hint="eastAsia" w:ascii="仿宋" w:hAnsi="仿宋" w:eastAsia="仿宋" w:cs="仿宋"/>
          <w:color w:val="auto"/>
          <w:sz w:val="24"/>
          <w:szCs w:val="24"/>
          <w:highlight w:val="none"/>
        </w:rPr>
        <w:t>质保期内因不能排除的故障而影响工作的情况每发生一次，其质保期相应延长60天，质保期内因设备本身缺陷造成各种故障应由卖方免费技术服务和维修。</w:t>
      </w:r>
    </w:p>
    <w:p>
      <w:pPr>
        <w:pageBreakBefore w:val="0"/>
        <w:kinsoku/>
        <w:wordWrap/>
        <w:overflowPunct/>
        <w:topLinePunct w:val="0"/>
        <w:autoSpaceDE w:val="0"/>
        <w:autoSpaceDN w:val="0"/>
        <w:bidi w:val="0"/>
        <w:adjustRightInd w:val="0"/>
        <w:snapToGrid w:val="0"/>
        <w:spacing w:line="360" w:lineRule="auto"/>
        <w:ind w:left="-181" w:leftChars="-86" w:right="-178" w:rightChars="-85" w:firstLine="597" w:firstLineChars="249"/>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设备（或系统）整个使用期内，卖方应确保正常使用，在接到用户维修要求后在0.5小时内响应并提出解决方案，2小时内到达现场对故障进行处理，维修过程中所需材料中标供应商在接到通知后应及时提供，最长不超过24小时必须送达买方。若24小时内无法修复的，应48小时内提供相应备用设备并负责安装调试，为此，投标供应商应提供相应承诺书。</w:t>
      </w:r>
    </w:p>
    <w:p>
      <w:pPr>
        <w:pageBreakBefore w:val="0"/>
        <w:kinsoku/>
        <w:wordWrap/>
        <w:overflowPunct/>
        <w:topLinePunct w:val="0"/>
        <w:autoSpaceDE w:val="0"/>
        <w:autoSpaceDN w:val="0"/>
        <w:bidi w:val="0"/>
        <w:adjustRightInd w:val="0"/>
        <w:snapToGrid w:val="0"/>
        <w:spacing w:line="360" w:lineRule="auto"/>
        <w:ind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3、供应商在投标文件中须说明保修期内提供的服务计划。</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bCs/>
          <w:color w:val="auto"/>
          <w:sz w:val="24"/>
          <w:szCs w:val="24"/>
          <w:highlight w:val="none"/>
        </w:rPr>
        <w:t>质保期内免收包括材料费在内的各种费用及相关服务费用。质保期满后，供应商提供跟踪服务，若需更换零配件，采购方只承担更换零配件的成本费，其余费用均由中标人承担。</w:t>
      </w:r>
    </w:p>
    <w:p>
      <w:pPr>
        <w:pageBreakBefore w:val="0"/>
        <w:kinsoku/>
        <w:wordWrap/>
        <w:overflowPunct/>
        <w:topLinePunct w:val="0"/>
        <w:bidi w:val="0"/>
        <w:spacing w:line="360" w:lineRule="auto"/>
        <w:ind w:firstLine="48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5、对提供的设备，供应商产品更新换代，不再批量生产该产品，也必须随时有备品零配件供应，并提供终身技术服务。</w:t>
      </w:r>
    </w:p>
    <w:p>
      <w:pPr>
        <w:pageBreakBefore w:val="0"/>
        <w:kinsoku/>
        <w:wordWrap/>
        <w:overflowPunct/>
        <w:topLinePunct w:val="0"/>
        <w:bidi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6、如供应商未达到以上要求，视为违约，采购方有权要求无条件退货，一切费用将由供应商承担。</w:t>
      </w:r>
    </w:p>
    <w:p>
      <w:pPr>
        <w:pageBreakBefore w:val="0"/>
        <w:kinsoku/>
        <w:wordWrap/>
        <w:overflowPunct/>
        <w:topLinePunct w:val="0"/>
        <w:bidi w:val="0"/>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lang w:eastAsia="zh-CN"/>
        </w:rPr>
        <w:t>交货期限、地点及方式</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交付期限：自合同签订之日起60日内供货到采购人指定地点, 中标人负责安装，并调试完毕完成验收</w:t>
      </w:r>
      <w:r>
        <w:rPr>
          <w:rFonts w:hint="eastAsia" w:ascii="仿宋" w:hAnsi="仿宋" w:eastAsia="仿宋" w:cs="仿宋"/>
          <w:color w:val="auto"/>
          <w:sz w:val="24"/>
          <w:szCs w:val="24"/>
          <w:highlight w:val="none"/>
        </w:rPr>
        <w:t>，如在规定的时间内由于卖方的原因不能送达货物并</w:t>
      </w:r>
      <w:r>
        <w:rPr>
          <w:rFonts w:hint="eastAsia" w:ascii="仿宋" w:hAnsi="仿宋" w:eastAsia="仿宋" w:cs="仿宋"/>
          <w:color w:val="auto"/>
          <w:sz w:val="24"/>
          <w:szCs w:val="24"/>
          <w:highlight w:val="none"/>
          <w:lang w:eastAsia="zh-CN"/>
        </w:rPr>
        <w:t>安装调试完成</w:t>
      </w:r>
      <w:r>
        <w:rPr>
          <w:rFonts w:hint="eastAsia" w:ascii="仿宋" w:hAnsi="仿宋" w:eastAsia="仿宋" w:cs="仿宋"/>
          <w:color w:val="auto"/>
          <w:sz w:val="24"/>
          <w:szCs w:val="24"/>
          <w:highlight w:val="none"/>
        </w:rPr>
        <w:t>通过验收的，中标方应承担由此给</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rPr>
        <w:t>造成的损失。</w:t>
      </w:r>
    </w:p>
    <w:p>
      <w:pPr>
        <w:pStyle w:val="61"/>
        <w:pageBreakBefore w:val="0"/>
        <w:kinsoku/>
        <w:wordWrap/>
        <w:overflowPunct/>
        <w:topLinePunct w:val="0"/>
        <w:bidi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交付地点：</w:t>
      </w:r>
      <w:r>
        <w:rPr>
          <w:rFonts w:hint="eastAsia" w:ascii="仿宋" w:hAnsi="仿宋" w:eastAsia="仿宋" w:cs="仿宋"/>
          <w:color w:val="auto"/>
          <w:sz w:val="24"/>
          <w:szCs w:val="24"/>
          <w:highlight w:val="none"/>
          <w:lang w:val="en-US" w:eastAsia="zh-CN"/>
        </w:rPr>
        <w:t>采购人指定地点</w:t>
      </w:r>
      <w:r>
        <w:rPr>
          <w:rFonts w:hint="eastAsia" w:ascii="仿宋" w:hAnsi="仿宋" w:eastAsia="仿宋" w:cs="仿宋"/>
          <w:color w:val="auto"/>
          <w:sz w:val="24"/>
          <w:szCs w:val="24"/>
          <w:highlight w:val="none"/>
        </w:rPr>
        <w:t>。</w:t>
      </w:r>
    </w:p>
    <w:p>
      <w:pPr>
        <w:pageBreakBefore w:val="0"/>
        <w:kinsoku/>
        <w:wordWrap/>
        <w:overflowPunct/>
        <w:topLinePunct w:val="0"/>
        <w:bidi w:val="0"/>
        <w:spacing w:line="360" w:lineRule="auto"/>
        <w:ind w:firstLine="420" w:firstLineChars="175"/>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交付方式：</w:t>
      </w:r>
      <w:r>
        <w:rPr>
          <w:rFonts w:hint="eastAsia" w:ascii="仿宋" w:hAnsi="仿宋" w:eastAsia="仿宋" w:cs="仿宋"/>
          <w:color w:val="auto"/>
          <w:sz w:val="24"/>
          <w:szCs w:val="24"/>
          <w:highlight w:val="none"/>
        </w:rPr>
        <w:t>中标方提供中标货物的安装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培训和技术指导</w:t>
      </w:r>
      <w:r>
        <w:rPr>
          <w:rFonts w:hint="eastAsia" w:ascii="仿宋" w:hAnsi="仿宋" w:eastAsia="仿宋" w:cs="仿宋"/>
          <w:color w:val="auto"/>
          <w:sz w:val="24"/>
          <w:szCs w:val="24"/>
          <w:highlight w:val="none"/>
          <w:lang w:eastAsia="zh-CN"/>
        </w:rPr>
        <w:t>。</w:t>
      </w:r>
    </w:p>
    <w:p>
      <w:pPr>
        <w:pageBreakBefore w:val="0"/>
        <w:widowControl/>
        <w:kinsoku/>
        <w:wordWrap/>
        <w:overflowPunct/>
        <w:topLinePunct w:val="0"/>
        <w:autoSpaceDE w:val="0"/>
        <w:autoSpaceDN w:val="0"/>
        <w:bidi w:val="0"/>
        <w:spacing w:line="360" w:lineRule="auto"/>
        <w:ind w:firstLine="482" w:firstLineChars="200"/>
        <w:textAlignment w:val="bottom"/>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验收</w:t>
      </w:r>
      <w:r>
        <w:rPr>
          <w:rFonts w:hint="eastAsia" w:ascii="仿宋" w:hAnsi="仿宋" w:eastAsia="仿宋" w:cs="仿宋"/>
          <w:b/>
          <w:color w:val="auto"/>
          <w:sz w:val="24"/>
          <w:szCs w:val="24"/>
          <w:highlight w:val="none"/>
          <w:lang w:eastAsia="zh-CN"/>
        </w:rPr>
        <w:t>方式及标准</w:t>
      </w:r>
    </w:p>
    <w:p>
      <w:pPr>
        <w:pageBreakBefore w:val="0"/>
        <w:widowControl/>
        <w:kinsoku/>
        <w:wordWrap/>
        <w:overflowPunct/>
        <w:topLinePunct w:val="0"/>
        <w:autoSpaceDE w:val="0"/>
        <w:autoSpaceDN w:val="0"/>
        <w:bidi w:val="0"/>
        <w:spacing w:line="360" w:lineRule="auto"/>
        <w:ind w:firstLine="480" w:firstLineChars="200"/>
        <w:textAlignment w:val="bottom"/>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1、中标单位</w:t>
      </w:r>
      <w:r>
        <w:rPr>
          <w:rFonts w:hint="eastAsia" w:ascii="仿宋" w:hAnsi="仿宋" w:eastAsia="仿宋" w:cs="仿宋"/>
          <w:color w:val="auto"/>
          <w:sz w:val="24"/>
          <w:szCs w:val="24"/>
          <w:highlight w:val="none"/>
          <w:lang w:val="en-US" w:eastAsia="zh-CN"/>
        </w:rPr>
        <w:t>应</w:t>
      </w:r>
      <w:r>
        <w:rPr>
          <w:rFonts w:hint="eastAsia" w:ascii="仿宋" w:hAnsi="仿宋" w:eastAsia="仿宋" w:cs="仿宋"/>
          <w:color w:val="auto"/>
          <w:sz w:val="24"/>
          <w:szCs w:val="24"/>
          <w:highlight w:val="none"/>
        </w:rPr>
        <w:t>在接</w:t>
      </w:r>
      <w:r>
        <w:rPr>
          <w:rFonts w:hint="eastAsia" w:ascii="仿宋" w:hAnsi="仿宋" w:eastAsia="仿宋" w:cs="仿宋"/>
          <w:color w:val="auto"/>
          <w:sz w:val="24"/>
          <w:szCs w:val="24"/>
          <w:highlight w:val="none"/>
          <w:lang w:val="en-US" w:eastAsia="zh-CN"/>
        </w:rPr>
        <w:t>采购人验收</w:t>
      </w:r>
      <w:r>
        <w:rPr>
          <w:rFonts w:hint="eastAsia" w:ascii="仿宋" w:hAnsi="仿宋" w:eastAsia="仿宋" w:cs="仿宋"/>
          <w:color w:val="auto"/>
          <w:sz w:val="24"/>
          <w:szCs w:val="24"/>
          <w:highlight w:val="none"/>
        </w:rPr>
        <w:t>通知后7个自然日内提供合同货物的有效检验材料，经采购人认可后，与合同的技术指标一起作为验收标准。验收中发现系统设备达不到验收标准或合同规定的技术指标，中标供应商必须更换合同货物，并负担由此给</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造成的损失，直到验收合格为止。</w:t>
      </w:r>
    </w:p>
    <w:p>
      <w:pPr>
        <w:pageBreakBefore w:val="0"/>
        <w:kinsoku/>
        <w:wordWrap/>
        <w:overflowPunct/>
        <w:topLinePunct w:val="0"/>
        <w:bidi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2、响应方应于投标文件中提供合同货物的验收标准和检测办法，并在验收中提供</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认可的相应检测手段，验收标准应符合中国有关的国家、地方、行业的标准，如若中标，经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确认后作为验收的依据。</w:t>
      </w:r>
    </w:p>
    <w:p>
      <w:pPr>
        <w:pageBreakBefore w:val="0"/>
        <w:kinsoku/>
        <w:wordWrap/>
        <w:overflowPunct/>
        <w:topLinePunct w:val="0"/>
        <w:bidi w:val="0"/>
        <w:spacing w:line="360" w:lineRule="auto"/>
        <w:ind w:firstLine="480" w:firstLineChars="200"/>
        <w:rPr>
          <w:rFonts w:hint="eastAsia" w:ascii="仿宋" w:hAnsi="仿宋" w:eastAsia="仿宋" w:cs="仿宋"/>
          <w:b/>
          <w:bCs/>
          <w:color w:val="auto"/>
          <w:sz w:val="24"/>
          <w:highlight w:val="none"/>
          <w:lang w:val="en-US" w:eastAsia="zh-CN"/>
        </w:rPr>
      </w:pPr>
      <w:r>
        <w:rPr>
          <w:rFonts w:hint="eastAsia" w:ascii="仿宋" w:hAnsi="仿宋" w:eastAsia="仿宋" w:cs="仿宋"/>
          <w:color w:val="auto"/>
          <w:sz w:val="24"/>
          <w:szCs w:val="24"/>
          <w:highlight w:val="none"/>
        </w:rPr>
        <w:t>3、验收费用由产品供应商承担。</w:t>
      </w:r>
    </w:p>
    <w:p>
      <w:pPr>
        <w:pageBreakBefore w:val="0"/>
        <w:kinsoku/>
        <w:wordWrap/>
        <w:overflowPunct/>
        <w:topLinePunct w:val="0"/>
        <w:bidi w:val="0"/>
        <w:spacing w:line="360" w:lineRule="auto"/>
        <w:ind w:firstLine="482" w:firstLineChars="200"/>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eastAsia="zh-CN"/>
        </w:rPr>
        <w:t>资金支付的方式、时间和条件</w:t>
      </w:r>
    </w:p>
    <w:p>
      <w:pPr>
        <w:pageBreakBefore w:val="0"/>
        <w:kinsoku/>
        <w:wordWrap/>
        <w:overflowPunct/>
        <w:topLinePunct w:val="0"/>
        <w:bidi w:val="0"/>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采购单位根据合同、投标文件等资料进行验收。</w:t>
      </w:r>
    </w:p>
    <w:p>
      <w:pPr>
        <w:pageBreakBefore w:val="0"/>
        <w:kinsoku/>
        <w:wordWrap/>
        <w:overflowPunct/>
        <w:topLinePunct w:val="0"/>
        <w:bidi w:val="0"/>
        <w:spacing w:line="360" w:lineRule="auto"/>
        <w:ind w:firstLine="480" w:firstLineChars="20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采购单位在合同签订后7个工作日内支付合同金额的40%；单体大棚安装调试工作量完成至80%时支付合同金额的30%，全部安装调试完毕，项目验收合格并经审价后7个工作日内按照审定价格付清尾款。</w:t>
      </w:r>
    </w:p>
    <w:p>
      <w:pPr>
        <w:pageBreakBefore w:val="0"/>
        <w:kinsoku/>
        <w:wordWrap/>
        <w:overflowPunct/>
        <w:topLinePunct w:val="0"/>
        <w:bidi w:val="0"/>
        <w:spacing w:line="360" w:lineRule="auto"/>
        <w:ind w:firstLine="480" w:firstLineChars="200"/>
        <w:rPr>
          <w:rFonts w:hint="eastAsia" w:ascii="仿宋" w:hAnsi="仿宋" w:eastAsia="仿宋" w:cs="仿宋_GB2312"/>
          <w:b/>
          <w:sz w:val="36"/>
          <w:szCs w:val="20"/>
          <w:highlight w:val="none"/>
          <w:lang w:eastAsia="zh-CN"/>
        </w:rPr>
      </w:pPr>
      <w:r>
        <w:rPr>
          <w:rFonts w:hint="eastAsia" w:ascii="仿宋" w:hAnsi="仿宋" w:eastAsia="仿宋" w:cs="仿宋"/>
          <w:b w:val="0"/>
          <w:bCs w:val="0"/>
          <w:color w:val="auto"/>
          <w:sz w:val="24"/>
          <w:highlight w:val="none"/>
        </w:rPr>
        <w:t>注：付款前中标单位应按规定向采购人开具正规发票</w:t>
      </w:r>
      <w:r>
        <w:rPr>
          <w:rFonts w:hint="eastAsia" w:ascii="仿宋" w:hAnsi="仿宋" w:eastAsia="仿宋" w:cs="仿宋"/>
          <w:b w:val="0"/>
          <w:bCs w:val="0"/>
          <w:color w:val="auto"/>
          <w:sz w:val="24"/>
          <w:highlight w:val="none"/>
          <w:lang w:eastAsia="zh-CN"/>
        </w:rPr>
        <w:t>。</w:t>
      </w: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center"/>
        <w:rPr>
          <w:rFonts w:hint="eastAsia" w:ascii="仿宋" w:hAnsi="仿宋" w:eastAsia="仿宋" w:cs="仿宋_GB2312"/>
          <w:b/>
          <w:sz w:val="36"/>
          <w:szCs w:val="20"/>
          <w:highlight w:val="none"/>
        </w:rPr>
      </w:pPr>
    </w:p>
    <w:p>
      <w:pPr>
        <w:jc w:val="both"/>
        <w:rPr>
          <w:rFonts w:hint="eastAsia" w:ascii="仿宋" w:hAnsi="仿宋" w:eastAsia="仿宋" w:cs="仿宋_GB2312"/>
          <w:b/>
          <w:sz w:val="36"/>
          <w:szCs w:val="20"/>
          <w:highlight w:val="none"/>
        </w:rPr>
      </w:pPr>
    </w:p>
    <w:p>
      <w:pPr>
        <w:jc w:val="both"/>
        <w:rPr>
          <w:rFonts w:hint="eastAsia" w:ascii="仿宋" w:hAnsi="仿宋" w:eastAsia="仿宋" w:cs="仿宋_GB2312"/>
          <w:b/>
          <w:sz w:val="36"/>
          <w:szCs w:val="20"/>
          <w:highlight w:val="none"/>
        </w:rPr>
      </w:pPr>
    </w:p>
    <w:p>
      <w:pPr>
        <w:jc w:val="center"/>
        <w:rPr>
          <w:rFonts w:ascii="仿宋" w:hAnsi="仿宋" w:eastAsia="仿宋" w:cs="仿宋_GB2312"/>
          <w:b/>
          <w:sz w:val="36"/>
          <w:szCs w:val="20"/>
          <w:highlight w:val="none"/>
        </w:rPr>
      </w:pPr>
      <w:r>
        <w:rPr>
          <w:rFonts w:hint="eastAsia" w:ascii="仿宋" w:hAnsi="仿宋" w:eastAsia="仿宋" w:cs="仿宋_GB2312"/>
          <w:b/>
          <w:sz w:val="36"/>
          <w:szCs w:val="20"/>
          <w:highlight w:val="none"/>
        </w:rPr>
        <w:t>第</w:t>
      </w:r>
      <w:bookmarkEnd w:id="11"/>
      <w:r>
        <w:rPr>
          <w:rFonts w:hint="eastAsia" w:ascii="仿宋" w:hAnsi="仿宋" w:eastAsia="仿宋" w:cs="仿宋_GB2312"/>
          <w:b/>
          <w:sz w:val="36"/>
          <w:szCs w:val="20"/>
          <w:highlight w:val="none"/>
        </w:rPr>
        <w:t>三章</w:t>
      </w:r>
      <w:r>
        <w:rPr>
          <w:rFonts w:ascii="仿宋" w:hAnsi="仿宋" w:eastAsia="仿宋" w:cs="仿宋_GB2312"/>
          <w:b/>
          <w:sz w:val="36"/>
          <w:szCs w:val="20"/>
          <w:highlight w:val="none"/>
        </w:rPr>
        <w:t xml:space="preserve"> 投标人须知</w:t>
      </w:r>
      <w:bookmarkEnd w:id="12"/>
    </w:p>
    <w:bookmarkEnd w:id="13"/>
    <w:p>
      <w:pPr>
        <w:wordWrap w:val="0"/>
        <w:overflowPunct w:val="0"/>
        <w:autoSpaceDE w:val="0"/>
        <w:autoSpaceDN w:val="0"/>
        <w:adjustRightInd/>
        <w:spacing w:before="240" w:beforeLines="100" w:after="240" w:afterLines="100" w:line="360" w:lineRule="atLeast"/>
        <w:jc w:val="center"/>
        <w:rPr>
          <w:rFonts w:ascii="宋体" w:hAnsi="宋体" w:cs="宋体"/>
          <w:b/>
          <w:bCs/>
          <w:sz w:val="28"/>
          <w:szCs w:val="28"/>
          <w:highlight w:val="none"/>
        </w:rPr>
      </w:pPr>
      <w:bookmarkStart w:id="14" w:name="_Toc91899903"/>
      <w:bookmarkStart w:id="15" w:name="_Toc164416483"/>
      <w:bookmarkStart w:id="16" w:name="第三部分"/>
      <w:r>
        <w:rPr>
          <w:rFonts w:hint="eastAsia" w:ascii="宋体" w:hAnsi="宋体" w:cs="宋体"/>
          <w:b/>
          <w:bCs/>
          <w:sz w:val="28"/>
          <w:szCs w:val="28"/>
          <w:highlight w:val="none"/>
        </w:rPr>
        <w:t>电子交易注意事项</w:t>
      </w:r>
    </w:p>
    <w:p>
      <w:pPr>
        <w:wordWrap w:val="0"/>
        <w:overflowPunct w:val="0"/>
        <w:autoSpaceDE w:val="0"/>
        <w:autoSpaceDN w:val="0"/>
        <w:adjustRightInd/>
        <w:spacing w:line="400" w:lineRule="exact"/>
        <w:ind w:firstLine="240" w:firstLineChars="100"/>
        <w:jc w:val="left"/>
        <w:rPr>
          <w:rFonts w:ascii="宋体" w:hAnsi="宋体" w:cs="宋体"/>
          <w:sz w:val="24"/>
          <w:highlight w:val="none"/>
          <w:shd w:val="clear" w:color="auto" w:fill="FFFFFF"/>
        </w:rPr>
      </w:pPr>
      <w:r>
        <w:rPr>
          <w:rFonts w:hint="eastAsia" w:ascii="宋体" w:hAnsi="宋体" w:cs="宋体"/>
          <w:sz w:val="24"/>
          <w:highlight w:val="none"/>
          <w:shd w:val="clear" w:color="auto" w:fill="FFFFFF"/>
        </w:rPr>
        <w:t>　政府采购项目电子交易活动适用《浙江省政府采购项目电子交易管理暂行办法》，现将相关注意事项告知如下：</w:t>
      </w:r>
    </w:p>
    <w:p>
      <w:pPr>
        <w:wordWrap w:val="0"/>
        <w:overflowPunct w:val="0"/>
        <w:autoSpaceDE w:val="0"/>
        <w:autoSpaceDN w:val="0"/>
        <w:adjustRightInd/>
        <w:spacing w:line="400" w:lineRule="exact"/>
        <w:ind w:firstLine="240" w:firstLineChars="100"/>
        <w:jc w:val="left"/>
        <w:rPr>
          <w:rFonts w:ascii="宋体" w:hAnsi="宋体" w:cs="宋体"/>
          <w:sz w:val="24"/>
          <w:highlight w:val="none"/>
        </w:rPr>
      </w:pPr>
      <w:r>
        <w:rPr>
          <w:rFonts w:hint="eastAsia" w:ascii="宋体" w:hAnsi="宋体" w:cs="宋体"/>
          <w:sz w:val="24"/>
          <w:highlight w:val="none"/>
        </w:rPr>
        <w:t>　1.采购代理机构按照招标文件规定的时间通过电子交易平台组织开标、开启投标文件，所有供应商均应当准时在线参加，直至评审结束。</w:t>
      </w:r>
    </w:p>
    <w:p>
      <w:pPr>
        <w:pStyle w:val="58"/>
        <w:widowControl w:val="0"/>
        <w:wordWrap w:val="0"/>
        <w:overflowPunct w:val="0"/>
        <w:autoSpaceDE w:val="0"/>
        <w:autoSpaceDN w:val="0"/>
        <w:adjustRightInd/>
        <w:spacing w:before="0" w:beforeAutospacing="0" w:after="0" w:afterAutospacing="0" w:line="400" w:lineRule="exact"/>
        <w:ind w:firstLine="240" w:firstLineChars="100"/>
        <w:rPr>
          <w:rFonts w:cs="宋体"/>
          <w:kern w:val="2"/>
          <w:highlight w:val="none"/>
        </w:rPr>
      </w:pPr>
      <w:r>
        <w:rPr>
          <w:rFonts w:hint="eastAsia" w:cs="宋体"/>
          <w:kern w:val="2"/>
          <w:highlight w:val="none"/>
        </w:rPr>
        <w:t>　2.采购过程中出现以下情形，导致电子交易平台无法正常运行，或者无法保证电子交易的公平、公正和安全时，采购代理机构可中止电子交易活动：</w:t>
      </w:r>
    </w:p>
    <w:p>
      <w:pPr>
        <w:pStyle w:val="58"/>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（一）电子交易平台发生故障而无法登录访问的； </w:t>
      </w:r>
    </w:p>
    <w:p>
      <w:pPr>
        <w:pStyle w:val="58"/>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（二）电子交易平台应用或数据库出现错误，不能进行正常操作的；</w:t>
      </w:r>
    </w:p>
    <w:p>
      <w:pPr>
        <w:pStyle w:val="58"/>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（三）电子交易平台发现严重安全漏洞，有潜在泄密危险的；</w:t>
      </w:r>
    </w:p>
    <w:p>
      <w:pPr>
        <w:pStyle w:val="58"/>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（四）病毒发作导致不能进行正常操作的； </w:t>
      </w:r>
    </w:p>
    <w:p>
      <w:pPr>
        <w:pStyle w:val="58"/>
        <w:widowControl w:val="0"/>
        <w:wordWrap w:val="0"/>
        <w:overflowPunct w:val="0"/>
        <w:autoSpaceDE w:val="0"/>
        <w:autoSpaceDN w:val="0"/>
        <w:adjustRightInd/>
        <w:spacing w:before="0" w:beforeAutospacing="0" w:after="0" w:afterAutospacing="0" w:line="400" w:lineRule="exact"/>
        <w:ind w:firstLine="645"/>
        <w:rPr>
          <w:rFonts w:cs="宋体"/>
          <w:kern w:val="2"/>
          <w:highlight w:val="none"/>
        </w:rPr>
      </w:pPr>
      <w:r>
        <w:rPr>
          <w:rFonts w:hint="eastAsia" w:cs="宋体"/>
          <w:kern w:val="2"/>
          <w:highlight w:val="none"/>
        </w:rPr>
        <w:t>（五）其他无法保证电子交易的公平、公正和安全的情况。</w:t>
      </w:r>
    </w:p>
    <w:p>
      <w:pPr>
        <w:pStyle w:val="58"/>
        <w:widowControl w:val="0"/>
        <w:wordWrap w:val="0"/>
        <w:overflowPunct w:val="0"/>
        <w:autoSpaceDE w:val="0"/>
        <w:autoSpaceDN w:val="0"/>
        <w:adjustRightInd/>
        <w:spacing w:before="0" w:beforeAutospacing="0" w:after="0" w:afterAutospacing="0" w:line="400" w:lineRule="exact"/>
        <w:ind w:firstLine="480"/>
        <w:rPr>
          <w:rFonts w:cs="宋体"/>
          <w:kern w:val="2"/>
          <w:highlight w:val="none"/>
        </w:rPr>
      </w:pPr>
      <w:r>
        <w:rPr>
          <w:rFonts w:hint="eastAsia" w:cs="宋体"/>
          <w:kern w:val="2"/>
          <w:highlight w:val="none"/>
        </w:rPr>
        <w:t>出现前款规定情形，不影响采购公平、公正性的，采购代理机构可以待上述情形消除后继续组织电子交易活动，也可以决定某些环节以纸质形式进行；影响或可能影响采购公平、公正性的，应当重新采购。</w:t>
      </w:r>
    </w:p>
    <w:p>
      <w:pPr>
        <w:pStyle w:val="58"/>
        <w:widowControl w:val="0"/>
        <w:wordWrap w:val="0"/>
        <w:overflowPunct w:val="0"/>
        <w:autoSpaceDE w:val="0"/>
        <w:autoSpaceDN w:val="0"/>
        <w:adjustRightInd/>
        <w:spacing w:before="0" w:beforeAutospacing="0" w:after="0" w:afterAutospacing="0" w:line="400" w:lineRule="exact"/>
        <w:ind w:firstLine="480"/>
        <w:rPr>
          <w:rFonts w:cs="宋体"/>
          <w:highlight w:val="none"/>
          <w:shd w:val="clear" w:color="auto" w:fill="FFFFFF"/>
        </w:rPr>
      </w:pPr>
      <w:r>
        <w:rPr>
          <w:rFonts w:hint="eastAsia" w:cs="宋体"/>
          <w:highlight w:val="none"/>
          <w:shd w:val="clear" w:color="auto" w:fill="FFFFFF"/>
        </w:rPr>
        <w:t>3.评审中需要供应商对投标文件作出澄清、说明或者补正的，评审小组和供应商应当通过电子交易平台交换数据电文。供应商需在半小时内提交澄清说明或补正，供应商已经明确表示澄清说明或补正完毕的除外。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61"/>
        <w:wordWrap w:val="0"/>
        <w:overflowPunct w:val="0"/>
        <w:adjustRightInd/>
        <w:spacing w:line="400" w:lineRule="exact"/>
        <w:ind w:firstLine="487"/>
        <w:rPr>
          <w:rFonts w:hAnsi="宋体" w:cs="宋体"/>
          <w:kern w:val="0"/>
          <w:szCs w:val="24"/>
          <w:highlight w:val="none"/>
          <w:shd w:val="clear" w:color="auto" w:fill="FFFFFF"/>
        </w:rPr>
      </w:pPr>
      <w:r>
        <w:rPr>
          <w:rFonts w:hint="eastAsia" w:hAnsi="宋体" w:cs="宋体"/>
          <w:kern w:val="0"/>
          <w:szCs w:val="24"/>
          <w:highlight w:val="none"/>
          <w:shd w:val="clear" w:color="auto" w:fill="FFFFFF"/>
          <w:lang w:val="en-US"/>
        </w:rPr>
        <w:t>4</w:t>
      </w:r>
      <w:r>
        <w:rPr>
          <w:rFonts w:hint="eastAsia" w:hAnsi="宋体" w:cs="宋体"/>
          <w:kern w:val="0"/>
          <w:szCs w:val="24"/>
          <w:highlight w:val="none"/>
          <w:shd w:val="clear" w:color="auto" w:fill="FFFFFF"/>
        </w:rPr>
        <w:t>.供应商须在采购代理机构宣布评审结束、产生中标候选人前时刻关注，配合专家组工作，如有询标（澄清、质疑），在约定时间内（具体时间以询标函上规定的时间为准备）通过</w:t>
      </w:r>
      <w:r>
        <w:rPr>
          <w:rFonts w:hint="eastAsia" w:hAnsi="宋体" w:cs="宋体"/>
          <w:kern w:val="0"/>
          <w:szCs w:val="24"/>
          <w:highlight w:val="none"/>
          <w:shd w:val="clear" w:color="auto" w:fill="FFFFFF"/>
          <w:lang w:val="en-US"/>
        </w:rPr>
        <w:t>CA</w:t>
      </w:r>
      <w:r>
        <w:rPr>
          <w:rFonts w:hint="eastAsia" w:hAnsi="宋体" w:cs="宋体"/>
          <w:kern w:val="0"/>
          <w:szCs w:val="24"/>
          <w:highlight w:val="none"/>
          <w:shd w:val="clear" w:color="auto" w:fill="FFFFFF"/>
        </w:rPr>
        <w:t>进行回复。未按要求回复的，视为放弃澄清。</w:t>
      </w:r>
    </w:p>
    <w:p>
      <w:pPr>
        <w:rPr>
          <w:highlight w:val="none"/>
        </w:rPr>
      </w:pPr>
    </w:p>
    <w:p>
      <w:pPr>
        <w:pStyle w:val="61"/>
        <w:wordWrap w:val="0"/>
        <w:overflowPunct w:val="0"/>
        <w:adjustRightInd/>
        <w:spacing w:before="24" w:beforeLines="10"/>
        <w:ind w:firstLine="487"/>
        <w:rPr>
          <w:rFonts w:hAnsi="宋体" w:cs="宋体"/>
          <w:kern w:val="0"/>
          <w:highlight w:val="none"/>
          <w:shd w:val="clear" w:color="auto" w:fill="FFFFFF"/>
        </w:rPr>
      </w:pPr>
    </w:p>
    <w:p>
      <w:pPr>
        <w:wordWrap w:val="0"/>
        <w:overflowPunct w:val="0"/>
        <w:autoSpaceDE w:val="0"/>
        <w:autoSpaceDN w:val="0"/>
        <w:snapToGrid w:val="0"/>
        <w:spacing w:line="360" w:lineRule="auto"/>
        <w:jc w:val="center"/>
        <w:rPr>
          <w:rFonts w:ascii="宋体" w:hAnsi="宋体" w:cs="宋体"/>
          <w:b/>
          <w:bCs/>
          <w:sz w:val="28"/>
          <w:highlight w:val="none"/>
        </w:rPr>
      </w:pPr>
      <w:r>
        <w:rPr>
          <w:rFonts w:hint="eastAsia" w:ascii="宋体" w:hAnsi="宋体" w:cs="宋体"/>
          <w:b/>
          <w:bCs/>
          <w:sz w:val="28"/>
          <w:highlight w:val="none"/>
        </w:rPr>
        <w:t>前附表</w:t>
      </w:r>
    </w:p>
    <w:tbl>
      <w:tblPr>
        <w:tblStyle w:val="63"/>
        <w:tblW w:w="0" w:type="auto"/>
        <w:tblInd w:w="142" w:type="dxa"/>
        <w:tblLayout w:type="fixed"/>
        <w:tblCellMar>
          <w:top w:w="0" w:type="dxa"/>
          <w:left w:w="108" w:type="dxa"/>
          <w:bottom w:w="0" w:type="dxa"/>
          <w:right w:w="108" w:type="dxa"/>
        </w:tblCellMar>
      </w:tblPr>
      <w:tblGrid>
        <w:gridCol w:w="744"/>
        <w:gridCol w:w="8399"/>
      </w:tblGrid>
      <w:tr>
        <w:tblPrEx>
          <w:tblCellMar>
            <w:top w:w="0" w:type="dxa"/>
            <w:left w:w="108" w:type="dxa"/>
            <w:bottom w:w="0" w:type="dxa"/>
            <w:right w:w="108" w:type="dxa"/>
          </w:tblCellMar>
        </w:tblPrEx>
        <w:trPr>
          <w:trHeight w:val="618" w:hRule="atLeast"/>
        </w:trPr>
        <w:tc>
          <w:tcPr>
            <w:tcW w:w="744" w:type="dxa"/>
            <w:tcBorders>
              <w:top w:val="single" w:color="auto" w:sz="4" w:space="0"/>
              <w:left w:val="single" w:color="auto" w:sz="4" w:space="0"/>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序号</w:t>
            </w:r>
          </w:p>
        </w:tc>
        <w:tc>
          <w:tcPr>
            <w:tcW w:w="8399" w:type="dxa"/>
            <w:tcBorders>
              <w:top w:val="single" w:color="auto" w:sz="4" w:space="0"/>
              <w:left w:val="nil"/>
              <w:bottom w:val="single" w:color="auto" w:sz="4" w:space="0"/>
              <w:right w:val="single" w:color="auto" w:sz="4" w:space="0"/>
            </w:tcBorders>
            <w:shd w:val="clear" w:color="auto" w:fill="EEECE1"/>
            <w:vAlign w:val="center"/>
          </w:tcPr>
          <w:p>
            <w:pPr>
              <w:wordWrap w:val="0"/>
              <w:overflowPunct w:val="0"/>
              <w:autoSpaceDE w:val="0"/>
              <w:autoSpaceDN w:val="0"/>
              <w:snapToGrid w:val="0"/>
              <w:spacing w:before="24" w:beforeLines="10" w:after="24" w:afterLines="10" w:line="400" w:lineRule="exact"/>
              <w:jc w:val="center"/>
              <w:rPr>
                <w:rFonts w:ascii="宋体" w:hAnsi="宋体" w:cs="宋体"/>
                <w:b/>
                <w:sz w:val="24"/>
                <w:highlight w:val="none"/>
              </w:rPr>
            </w:pPr>
            <w:r>
              <w:rPr>
                <w:rFonts w:hint="eastAsia" w:ascii="宋体" w:hAnsi="宋体" w:cs="宋体"/>
                <w:b/>
                <w:sz w:val="24"/>
                <w:highlight w:val="none"/>
              </w:rPr>
              <w:t>内容、要求</w:t>
            </w:r>
          </w:p>
        </w:tc>
      </w:tr>
      <w:tr>
        <w:tblPrEx>
          <w:tblCellMar>
            <w:top w:w="0" w:type="dxa"/>
            <w:left w:w="108" w:type="dxa"/>
            <w:bottom w:w="0" w:type="dxa"/>
            <w:right w:w="108" w:type="dxa"/>
          </w:tblCellMar>
        </w:tblPrEx>
        <w:trPr>
          <w:trHeight w:val="38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adjustRightInd/>
              <w:snapToGrid w:val="0"/>
              <w:spacing w:before="24" w:beforeLines="10" w:after="24" w:afterLines="10" w:line="400" w:lineRule="exact"/>
              <w:rPr>
                <w:rFonts w:hint="eastAsia" w:hAnsi="宋体" w:eastAsia="宋体" w:cs="宋体"/>
                <w:sz w:val="24"/>
                <w:szCs w:val="24"/>
                <w:highlight w:val="none"/>
                <w:lang w:eastAsia="zh-CN"/>
              </w:rPr>
            </w:pPr>
            <w:r>
              <w:rPr>
                <w:rFonts w:hint="eastAsia" w:hAnsi="宋体" w:cs="宋体"/>
                <w:sz w:val="24"/>
                <w:szCs w:val="24"/>
                <w:highlight w:val="none"/>
              </w:rPr>
              <w:t xml:space="preserve">    项目名称：</w:t>
            </w:r>
            <w:r>
              <w:rPr>
                <w:rFonts w:hint="eastAsia" w:hAnsi="宋体" w:cs="宋体"/>
                <w:sz w:val="24"/>
                <w:szCs w:val="24"/>
                <w:highlight w:val="none"/>
                <w:lang w:eastAsia="zh-CN"/>
              </w:rPr>
              <w:t>嘉善农科所长秀基地生态智慧提升单体大棚采购项目（第三次）</w:t>
            </w:r>
          </w:p>
        </w:tc>
      </w:tr>
      <w:tr>
        <w:tblPrEx>
          <w:tblCellMar>
            <w:top w:w="0" w:type="dxa"/>
            <w:left w:w="108" w:type="dxa"/>
            <w:bottom w:w="0" w:type="dxa"/>
            <w:right w:w="108" w:type="dxa"/>
          </w:tblCellMar>
        </w:tblPrEx>
        <w:trPr>
          <w:trHeight w:val="277"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采购内容：详见第二章。</w:t>
            </w:r>
          </w:p>
        </w:tc>
      </w:tr>
      <w:tr>
        <w:tblPrEx>
          <w:tblCellMar>
            <w:top w:w="0" w:type="dxa"/>
            <w:left w:w="108" w:type="dxa"/>
            <w:bottom w:w="0" w:type="dxa"/>
            <w:right w:w="108" w:type="dxa"/>
          </w:tblCellMar>
        </w:tblPrEx>
        <w:trPr>
          <w:trHeight w:val="4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3</w:t>
            </w:r>
          </w:p>
        </w:tc>
        <w:tc>
          <w:tcPr>
            <w:tcW w:w="8399" w:type="dxa"/>
            <w:tcBorders>
              <w:top w:val="single" w:color="auto" w:sz="4" w:space="0"/>
              <w:left w:val="nil"/>
              <w:bottom w:val="single" w:color="auto" w:sz="4" w:space="0"/>
              <w:right w:val="single" w:color="auto" w:sz="4" w:space="0"/>
            </w:tcBorders>
            <w:vAlign w:val="center"/>
          </w:tcPr>
          <w:p>
            <w:pPr>
              <w:pStyle w:val="58"/>
              <w:widowControl w:val="0"/>
              <w:overflowPunct w:val="0"/>
              <w:topLinePunct/>
              <w:autoSpaceDE w:val="0"/>
              <w:autoSpaceDN w:val="0"/>
              <w:spacing w:before="24" w:beforeLines="10" w:beforeAutospacing="0" w:after="24" w:afterLines="10" w:afterAutospacing="0" w:line="400" w:lineRule="exact"/>
              <w:ind w:firstLine="480" w:firstLineChars="200"/>
              <w:rPr>
                <w:rFonts w:cs="宋体"/>
                <w:highlight w:val="none"/>
              </w:rPr>
            </w:pPr>
            <w:r>
              <w:rPr>
                <w:rFonts w:hint="eastAsia" w:cs="宋体"/>
                <w:highlight w:val="none"/>
              </w:rPr>
              <w:t>项目预算：</w:t>
            </w:r>
            <w:r>
              <w:rPr>
                <w:rFonts w:hint="eastAsia" w:cs="宋体"/>
                <w:highlight w:val="none"/>
                <w:u w:val="single"/>
              </w:rPr>
              <w:t>245</w:t>
            </w:r>
            <w:r>
              <w:rPr>
                <w:rFonts w:hint="eastAsia" w:cs="宋体"/>
                <w:highlight w:val="none"/>
                <w:u w:val="single"/>
                <w:lang w:val="en-US" w:eastAsia="zh-CN"/>
              </w:rPr>
              <w:t>.</w:t>
            </w:r>
            <w:r>
              <w:rPr>
                <w:rFonts w:hint="eastAsia" w:cs="宋体"/>
                <w:highlight w:val="none"/>
                <w:u w:val="single"/>
              </w:rPr>
              <w:t>4121万元</w:t>
            </w:r>
            <w:r>
              <w:rPr>
                <w:rFonts w:hint="eastAsia" w:cs="宋体"/>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最高限价</w:t>
            </w:r>
            <w:r>
              <w:rPr>
                <w:rFonts w:hint="eastAsia" w:ascii="宋体" w:hAnsi="宋体" w:cs="宋体"/>
                <w:sz w:val="24"/>
                <w:highlight w:val="none"/>
                <w:lang w:val="en-US" w:eastAsia="zh-CN"/>
              </w:rPr>
              <w:t xml:space="preserve">: </w:t>
            </w:r>
            <w:r>
              <w:rPr>
                <w:rFonts w:hint="eastAsia" w:ascii="宋体" w:hAnsi="宋体" w:cs="宋体"/>
                <w:sz w:val="24"/>
                <w:highlight w:val="none"/>
                <w:u w:val="single"/>
                <w:lang w:val="en-US" w:eastAsia="zh-CN"/>
              </w:rPr>
              <w:t>245.4042</w:t>
            </w:r>
            <w:r>
              <w:rPr>
                <w:rFonts w:hint="eastAsia" w:ascii="宋体" w:hAnsi="宋体" w:cs="宋体"/>
                <w:sz w:val="24"/>
                <w:highlight w:val="none"/>
                <w:u w:val="single"/>
                <w:lang w:eastAsia="zh-CN"/>
              </w:rPr>
              <w:t>万元</w:t>
            </w:r>
            <w:r>
              <w:rPr>
                <w:rFonts w:hint="eastAsia" w:ascii="宋体" w:hAnsi="宋体" w:cs="宋体"/>
                <w:sz w:val="24"/>
                <w:highlight w:val="none"/>
              </w:rPr>
              <w:t>，超最高限价的投标文件无效。</w:t>
            </w:r>
          </w:p>
        </w:tc>
      </w:tr>
      <w:tr>
        <w:tblPrEx>
          <w:tblCellMar>
            <w:top w:w="0" w:type="dxa"/>
            <w:left w:w="108" w:type="dxa"/>
            <w:bottom w:w="0" w:type="dxa"/>
            <w:right w:w="108" w:type="dxa"/>
          </w:tblCellMar>
        </w:tblPrEx>
        <w:trPr>
          <w:trHeight w:val="25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投标报价及费用：</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1.本项目投标应以人民币报价；</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2.不论投标结果如何，投标人均应自行承担所有与投标有关的全部费用。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投标保证金：无。</w:t>
            </w:r>
          </w:p>
        </w:tc>
      </w:tr>
      <w:tr>
        <w:tblPrEx>
          <w:tblCellMar>
            <w:top w:w="0" w:type="dxa"/>
            <w:left w:w="108" w:type="dxa"/>
            <w:bottom w:w="0" w:type="dxa"/>
            <w:right w:w="108" w:type="dxa"/>
          </w:tblCellMar>
        </w:tblPrEx>
        <w:trPr>
          <w:trHeight w:val="82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答疑与澄清：投标人应认真阅读本招标文件，发现其中有误或有不合理要求的，投标人必须在知道或者应当知道之日起七个工作日内以书面形式向</w:t>
            </w:r>
            <w:r>
              <w:rPr>
                <w:rFonts w:hint="eastAsia" w:ascii="宋体" w:hAnsi="宋体" w:cs="宋体"/>
                <w:sz w:val="24"/>
                <w:highlight w:val="none"/>
                <w:lang w:eastAsia="zh-CN"/>
              </w:rPr>
              <w:t>采购人</w:t>
            </w:r>
            <w:r>
              <w:rPr>
                <w:rFonts w:hint="eastAsia" w:ascii="宋体" w:hAnsi="宋体" w:cs="宋体"/>
                <w:sz w:val="24"/>
                <w:highlight w:val="none"/>
              </w:rPr>
              <w:t>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tc>
      </w:tr>
      <w:tr>
        <w:tblPrEx>
          <w:tblCellMar>
            <w:top w:w="0" w:type="dxa"/>
            <w:left w:w="108" w:type="dxa"/>
            <w:bottom w:w="0" w:type="dxa"/>
            <w:right w:w="108" w:type="dxa"/>
          </w:tblCellMar>
        </w:tblPrEx>
        <w:trPr>
          <w:trHeight w:val="58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采购公告发布后，在政采云平台已完成注册的供应商登录系统，申请获取采购文件，待审核通过后，可下载采购文件。如果“已申请”标签页显示状态为“审核通过”即为报名成功。</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路径：用户中心——项目采购——获取采购文件管理。</w:t>
            </w:r>
          </w:p>
          <w:p>
            <w:pPr>
              <w:wordWrap w:val="0"/>
              <w:overflowPunct w:val="0"/>
              <w:autoSpaceDE w:val="0"/>
              <w:autoSpaceDN w:val="0"/>
              <w:snapToGrid w:val="0"/>
              <w:spacing w:before="24" w:beforeLines="10" w:after="24" w:afterLines="10" w:line="400" w:lineRule="exact"/>
              <w:rPr>
                <w:rFonts w:ascii="宋体" w:hAnsi="宋体" w:cs="宋体"/>
                <w:bCs/>
                <w:sz w:val="24"/>
                <w:highlight w:val="none"/>
              </w:rPr>
            </w:pPr>
            <w:r>
              <w:rPr>
                <w:rFonts w:hint="eastAsia" w:ascii="宋体" w:hAnsi="宋体" w:cs="宋体"/>
                <w:bCs/>
                <w:sz w:val="24"/>
                <w:highlight w:val="none"/>
              </w:rPr>
              <w:t xml:space="preserve">    在“已获取”的状态下，供应商可下载查看招标文件。</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Cs/>
                <w:sz w:val="24"/>
                <w:highlight w:val="none"/>
              </w:rPr>
              <w:t xml:space="preserve">    获取采购文件网址：浙江政府采购网（https://zfcg.czt.zj.gov.cn/）</w:t>
            </w:r>
          </w:p>
        </w:tc>
      </w:tr>
      <w:tr>
        <w:tblPrEx>
          <w:tblCellMar>
            <w:top w:w="0" w:type="dxa"/>
            <w:left w:w="108" w:type="dxa"/>
            <w:bottom w:w="0" w:type="dxa"/>
            <w:right w:w="108" w:type="dxa"/>
          </w:tblCellMar>
        </w:tblPrEx>
        <w:trPr>
          <w:trHeight w:val="204"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投标文件形式、制作及组成：</w:t>
            </w:r>
          </w:p>
          <w:p>
            <w:pPr>
              <w:wordWrap w:val="0"/>
              <w:overflowPunct w:val="0"/>
              <w:autoSpaceDE w:val="0"/>
              <w:autoSpaceDN w:val="0"/>
              <w:snapToGrid w:val="0"/>
              <w:spacing w:before="24" w:beforeLines="10" w:after="24" w:afterLines="10" w:line="400" w:lineRule="exact"/>
              <w:rPr>
                <w:rFonts w:ascii="宋体" w:hAnsi="宋体" w:cs="宋体"/>
                <w:kern w:val="0"/>
                <w:sz w:val="24"/>
                <w:highlight w:val="none"/>
              </w:rPr>
            </w:pPr>
            <w:r>
              <w:rPr>
                <w:rFonts w:hint="eastAsia" w:ascii="宋体" w:hAnsi="宋体" w:cs="宋体"/>
                <w:kern w:val="0"/>
                <w:sz w:val="24"/>
                <w:highlight w:val="none"/>
              </w:rPr>
              <w:t xml:space="preserve">    投标人应准备电子加密投标文件，按政采云平台供应商项目采购-电子招投标操作指南（网址：https://service.zcygov.cn/#/knowledges/CW1EtGwBFdiHxlNd6I3m/6IMVAG0BFdiHxlNdQ8Na?keyword）及本招标文件要求递交。</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投标文件均由资格文件、商务技术文件、报价文件组成。</w:t>
            </w:r>
          </w:p>
        </w:tc>
      </w:tr>
      <w:tr>
        <w:trPr>
          <w:trHeight w:val="346"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9</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投标截止时间：</w:t>
            </w:r>
            <w:r>
              <w:rPr>
                <w:rFonts w:hint="eastAsia" w:ascii="仿宋_GB2312" w:hAnsi="仿宋" w:eastAsia="仿宋_GB2312"/>
                <w:sz w:val="24"/>
                <w:highlight w:val="none"/>
                <w:u w:val="single"/>
                <w:lang w:eastAsia="zh-CN"/>
              </w:rPr>
              <w:t>2022年12月20日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投标地点：政采云平台（https://www.zcygov.cn/）</w:t>
            </w:r>
          </w:p>
        </w:tc>
      </w:tr>
      <w:tr>
        <w:tblPrEx>
          <w:tblCellMar>
            <w:top w:w="0" w:type="dxa"/>
            <w:left w:w="108" w:type="dxa"/>
            <w:bottom w:w="0" w:type="dxa"/>
            <w:right w:w="108" w:type="dxa"/>
          </w:tblCellMar>
        </w:tblPrEx>
        <w:trPr>
          <w:trHeight w:val="313"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b/>
                <w:bCs/>
                <w:kern w:val="0"/>
                <w:sz w:val="24"/>
                <w:highlight w:val="none"/>
              </w:rPr>
              <w:t xml:space="preserve">    </w:t>
            </w:r>
            <w:r>
              <w:rPr>
                <w:rFonts w:hint="eastAsia" w:ascii="宋体" w:hAnsi="宋体" w:cs="宋体"/>
                <w:kern w:val="0"/>
                <w:sz w:val="24"/>
                <w:highlight w:val="none"/>
              </w:rPr>
              <w:t>电子加密投标文件的传输递交：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CellMar>
            <w:top w:w="0" w:type="dxa"/>
            <w:left w:w="108" w:type="dxa"/>
            <w:bottom w:w="0" w:type="dxa"/>
            <w:right w:w="108" w:type="dxa"/>
          </w:tblCellMar>
        </w:tblPrEx>
        <w:trPr>
          <w:trHeight w:val="598"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开标时间：</w:t>
            </w:r>
            <w:r>
              <w:rPr>
                <w:rFonts w:hint="eastAsia" w:ascii="仿宋_GB2312" w:hAnsi="仿宋" w:eastAsia="仿宋_GB2312"/>
                <w:sz w:val="24"/>
                <w:highlight w:val="none"/>
                <w:u w:val="single"/>
                <w:lang w:eastAsia="zh-CN"/>
              </w:rPr>
              <w:t>2022年12月20日</w:t>
            </w:r>
            <w:r>
              <w:rPr>
                <w:rFonts w:hint="eastAsia" w:ascii="仿宋_GB2312" w:hAnsi="仿宋" w:eastAsia="仿宋_GB2312"/>
                <w:sz w:val="24"/>
                <w:highlight w:val="none"/>
                <w:u w:val="single"/>
                <w:lang w:val="en-US" w:eastAsia="zh-CN"/>
              </w:rPr>
              <w:t>9</w:t>
            </w:r>
            <w:r>
              <w:rPr>
                <w:rFonts w:hint="eastAsia" w:ascii="仿宋_GB2312" w:hAnsi="仿宋" w:eastAsia="仿宋_GB2312"/>
                <w:sz w:val="24"/>
                <w:highlight w:val="none"/>
                <w:u w:val="single"/>
              </w:rPr>
              <w:t>点30分</w:t>
            </w:r>
            <w:r>
              <w:rPr>
                <w:rFonts w:hint="eastAsia" w:ascii="仿宋_GB2312" w:hAnsi="仿宋" w:eastAsia="仿宋_GB2312"/>
                <w:bCs/>
                <w:sz w:val="24"/>
                <w:highlight w:val="none"/>
                <w:u w:val="single"/>
              </w:rPr>
              <w:t xml:space="preserve"> </w:t>
            </w:r>
          </w:p>
          <w:p>
            <w:pPr>
              <w:wordWrap w:val="0"/>
              <w:overflowPunct w:val="0"/>
              <w:autoSpaceDE w:val="0"/>
              <w:autoSpaceDN w:val="0"/>
              <w:snapToGrid w:val="0"/>
              <w:spacing w:before="24" w:beforeLines="10" w:after="24" w:afterLines="10" w:line="400" w:lineRule="exact"/>
              <w:rPr>
                <w:rFonts w:ascii="宋体" w:hAnsi="宋体" w:cs="宋体"/>
                <w:sz w:val="24"/>
                <w:highlight w:val="none"/>
                <w:shd w:val="clear" w:color="auto" w:fill="FFFFFF"/>
              </w:rPr>
            </w:pPr>
            <w:r>
              <w:rPr>
                <w:rFonts w:hint="eastAsia" w:ascii="宋体" w:hAnsi="宋体" w:cs="宋体"/>
                <w:sz w:val="24"/>
                <w:highlight w:val="none"/>
              </w:rPr>
              <w:t xml:space="preserve">    开标地点：政采云平台（https://www.zcygov.cn/）</w:t>
            </w:r>
          </w:p>
          <w:p>
            <w:pPr>
              <w:wordWrap w:val="0"/>
              <w:overflowPunct w:val="0"/>
              <w:autoSpaceDE w:val="0"/>
              <w:autoSpaceDN w:val="0"/>
              <w:snapToGrid w:val="0"/>
              <w:spacing w:before="24" w:beforeLines="10" w:after="24" w:afterLines="10" w:line="400" w:lineRule="exact"/>
              <w:rPr>
                <w:rFonts w:ascii="宋体" w:hAnsi="宋体" w:cs="宋体"/>
                <w:b/>
                <w:sz w:val="24"/>
                <w:highlight w:val="none"/>
              </w:rPr>
            </w:pPr>
            <w:r>
              <w:rPr>
                <w:rFonts w:hint="eastAsia" w:ascii="宋体" w:hAnsi="宋体" w:cs="宋体"/>
                <w:b/>
                <w:bCs/>
                <w:sz w:val="24"/>
                <w:highlight w:val="none"/>
                <w:shd w:val="clear" w:color="auto" w:fill="FFFFFF"/>
              </w:rPr>
              <w:t xml:space="preserve">    供应商无需到开标现场，但须准时在线参加，直至评审结束。</w:t>
            </w:r>
          </w:p>
        </w:tc>
      </w:tr>
      <w:tr>
        <w:tblPrEx>
          <w:tblCellMar>
            <w:top w:w="0" w:type="dxa"/>
            <w:left w:w="108" w:type="dxa"/>
            <w:bottom w:w="0" w:type="dxa"/>
            <w:right w:w="108" w:type="dxa"/>
          </w:tblCellMar>
        </w:tblPrEx>
        <w:trPr>
          <w:trHeight w:val="35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12</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评标办法及评分标准：详见第四章。</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13</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中标公告及中标通知书：中标、成交供应商确定之日起2个工作日内，中标公告发布于浙江省政府采购网(http://zfcg.czt.zj.gov.cn/)等网站或媒体，公告期限为1个工作日。各参加政府采购活动的供应商认为该中标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质疑函范本、投诉书范本请到浙江政府采购网下载专区下载。</w:t>
            </w:r>
          </w:p>
        </w:tc>
      </w:tr>
      <w:tr>
        <w:trPr>
          <w:trHeight w:val="7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14</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textAlignment w:val="bottom"/>
              <w:rPr>
                <w:rFonts w:ascii="宋体" w:hAnsi="宋体" w:cs="宋体"/>
                <w:sz w:val="24"/>
                <w:highlight w:val="none"/>
              </w:rPr>
            </w:pPr>
            <w:r>
              <w:rPr>
                <w:rFonts w:hint="eastAsia" w:ascii="宋体" w:hAnsi="宋体" w:cs="宋体"/>
                <w:sz w:val="24"/>
                <w:highlight w:val="none"/>
              </w:rPr>
              <w:t xml:space="preserve">    合同公告：本项目政府采购合同将于签订之日起2个工作日内发布于上述媒体，但政府采购合同中涉及国家秘密、商业秘密的内容除外。</w:t>
            </w:r>
          </w:p>
        </w:tc>
      </w:tr>
      <w:tr>
        <w:tblPrEx>
          <w:tblCellMar>
            <w:top w:w="0" w:type="dxa"/>
            <w:left w:w="108" w:type="dxa"/>
            <w:bottom w:w="0" w:type="dxa"/>
            <w:right w:w="108" w:type="dxa"/>
          </w:tblCellMar>
        </w:tblPrEx>
        <w:trPr>
          <w:trHeight w:val="285"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15</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履约保证金:签订合同前中标人应向采购人交纳合同金额的1%作为履约保证金，履约保证金在合同履行完毕后一个月内无息退还。</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ascii="宋体" w:hAnsi="宋体" w:cs="宋体"/>
                <w:sz w:val="24"/>
                <w:highlight w:val="none"/>
              </w:rPr>
            </w:pPr>
            <w:r>
              <w:rPr>
                <w:rFonts w:hint="eastAsia" w:ascii="宋体" w:hAnsi="宋体" w:cs="宋体"/>
                <w:sz w:val="24"/>
                <w:highlight w:val="none"/>
              </w:rPr>
              <w:t>16</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ind w:firstLine="420"/>
              <w:rPr>
                <w:rFonts w:ascii="宋体" w:hAnsi="宋体" w:cs="宋体"/>
                <w:sz w:val="24"/>
                <w:highlight w:val="none"/>
              </w:rPr>
            </w:pPr>
            <w:r>
              <w:rPr>
                <w:rFonts w:hint="eastAsia" w:ascii="宋体" w:hAnsi="宋体" w:cs="宋体"/>
                <w:sz w:val="24"/>
                <w:highlight w:val="none"/>
              </w:rPr>
              <w:t>付款方式：</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采购单位在合同签订后7个工作日内支付合同金额的40%；单体大棚安装调试工作量完成至80%时支付合同金额的30%，全部安装调试完毕，项目验收合格</w:t>
            </w:r>
            <w:r>
              <w:rPr>
                <w:rFonts w:hint="eastAsia" w:ascii="宋体" w:hAnsi="宋体" w:cs="宋体"/>
                <w:sz w:val="24"/>
                <w:highlight w:val="none"/>
                <w:lang w:eastAsia="zh-CN"/>
              </w:rPr>
              <w:t>并经审价</w:t>
            </w:r>
            <w:r>
              <w:rPr>
                <w:rFonts w:hint="eastAsia" w:ascii="宋体" w:hAnsi="宋体" w:cs="宋体"/>
                <w:sz w:val="24"/>
                <w:highlight w:val="none"/>
              </w:rPr>
              <w:t>后7个工作日内</w:t>
            </w:r>
            <w:r>
              <w:rPr>
                <w:rFonts w:hint="eastAsia" w:ascii="宋体" w:hAnsi="宋体" w:cs="宋体"/>
                <w:sz w:val="24"/>
                <w:highlight w:val="none"/>
                <w:lang w:eastAsia="zh-CN"/>
              </w:rPr>
              <w:t>按照审定价格付清尾款</w:t>
            </w:r>
            <w:r>
              <w:rPr>
                <w:rFonts w:hint="eastAsia" w:ascii="宋体" w:hAnsi="宋体" w:cs="宋体"/>
                <w:sz w:val="24"/>
                <w:highlight w:val="none"/>
              </w:rPr>
              <w:t>。</w:t>
            </w:r>
          </w:p>
          <w:p>
            <w:pPr>
              <w:wordWrap w:val="0"/>
              <w:overflowPunct w:val="0"/>
              <w:autoSpaceDE w:val="0"/>
              <w:autoSpaceDN w:val="0"/>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注：付款前中标单位应按规定向采购人开具正规发票。</w:t>
            </w:r>
          </w:p>
        </w:tc>
      </w:tr>
      <w:tr>
        <w:tblPrEx>
          <w:tblCellMar>
            <w:top w:w="0" w:type="dxa"/>
            <w:left w:w="108" w:type="dxa"/>
            <w:bottom w:w="0" w:type="dxa"/>
            <w:right w:w="108" w:type="dxa"/>
          </w:tblCellMar>
        </w:tblPrEx>
        <w:trPr>
          <w:trHeight w:val="9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17</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现场踏勘</w:t>
            </w:r>
            <w:r>
              <w:rPr>
                <w:rFonts w:hint="eastAsia" w:ascii="宋体" w:hAnsi="宋体" w:cs="宋体"/>
                <w:sz w:val="24"/>
                <w:highlight w:val="none"/>
                <w:lang w:eastAsia="zh-CN"/>
              </w:rPr>
              <w:t>：</w:t>
            </w:r>
            <w:r>
              <w:rPr>
                <w:rFonts w:hint="eastAsia" w:ascii="宋体" w:hAnsi="宋体" w:cs="宋体"/>
                <w:sz w:val="24"/>
                <w:highlight w:val="none"/>
                <w:lang w:val="en-US" w:eastAsia="zh-CN"/>
              </w:rPr>
              <w:t>投标人根据自身情况自行踏勘（费用自理）</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8</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投标文件有效期：</w:t>
            </w:r>
            <w:r>
              <w:rPr>
                <w:rFonts w:hint="eastAsia" w:ascii="宋体" w:hAnsi="宋体" w:cs="宋体"/>
                <w:sz w:val="24"/>
                <w:highlight w:val="none"/>
                <w:u w:val="single"/>
              </w:rPr>
              <w:t xml:space="preserve"> 90 </w:t>
            </w:r>
            <w:r>
              <w:rPr>
                <w:rFonts w:hint="eastAsia" w:ascii="宋体" w:hAnsi="宋体" w:cs="宋体"/>
                <w:sz w:val="24"/>
                <w:highlight w:val="none"/>
              </w:rPr>
              <w:t>天。</w:t>
            </w:r>
          </w:p>
        </w:tc>
      </w:tr>
      <w:tr>
        <w:tblPrEx>
          <w:tblCellMar>
            <w:top w:w="0" w:type="dxa"/>
            <w:left w:w="108" w:type="dxa"/>
            <w:bottom w:w="0" w:type="dxa"/>
            <w:right w:w="108" w:type="dxa"/>
          </w:tblCellMar>
        </w:tblPrEx>
        <w:trPr>
          <w:trHeight w:val="260"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snapToGrid w:val="0"/>
              <w:spacing w:before="24" w:beforeLines="10" w:after="24" w:afterLines="10" w:line="400" w:lineRule="exact"/>
              <w:jc w:val="center"/>
              <w:rPr>
                <w:rFonts w:hint="eastAsia" w:ascii="宋体" w:hAnsi="宋体" w:eastAsia="宋体" w:cs="宋体"/>
                <w:sz w:val="24"/>
                <w:highlight w:val="none"/>
                <w:lang w:eastAsia="zh-CN"/>
              </w:rPr>
            </w:pPr>
            <w:r>
              <w:rPr>
                <w:rFonts w:hint="eastAsia" w:ascii="宋体" w:hAnsi="宋体" w:cs="宋体"/>
                <w:sz w:val="24"/>
                <w:highlight w:val="none"/>
              </w:rPr>
              <w:t>1</w:t>
            </w:r>
            <w:r>
              <w:rPr>
                <w:rFonts w:hint="eastAsia" w:ascii="宋体" w:hAnsi="宋体" w:cs="宋体"/>
                <w:sz w:val="24"/>
                <w:highlight w:val="none"/>
                <w:lang w:val="en-US" w:eastAsia="zh-CN"/>
              </w:rPr>
              <w:t>9</w:t>
            </w:r>
          </w:p>
        </w:tc>
        <w:tc>
          <w:tcPr>
            <w:tcW w:w="8399" w:type="dxa"/>
            <w:tcBorders>
              <w:top w:val="single" w:color="auto" w:sz="4" w:space="0"/>
              <w:left w:val="nil"/>
              <w:bottom w:val="single" w:color="auto" w:sz="4" w:space="0"/>
              <w:right w:val="single" w:color="auto" w:sz="4" w:space="0"/>
            </w:tcBorders>
            <w:vAlign w:val="center"/>
          </w:tcPr>
          <w:p>
            <w:pPr>
              <w:pStyle w:val="34"/>
              <w:wordWrap w:val="0"/>
              <w:overflowPunct w:val="0"/>
              <w:autoSpaceDE w:val="0"/>
              <w:autoSpaceDN w:val="0"/>
              <w:snapToGrid w:val="0"/>
              <w:spacing w:before="24" w:beforeLines="10" w:after="24" w:afterLines="10" w:line="400" w:lineRule="exact"/>
              <w:rPr>
                <w:rFonts w:hAnsi="宋体" w:cs="宋体"/>
                <w:sz w:val="24"/>
                <w:szCs w:val="24"/>
                <w:highlight w:val="none"/>
              </w:rPr>
            </w:pPr>
            <w:r>
              <w:rPr>
                <w:rFonts w:hint="eastAsia" w:hAnsi="宋体" w:cs="宋体"/>
                <w:sz w:val="24"/>
                <w:szCs w:val="24"/>
                <w:highlight w:val="none"/>
              </w:rPr>
              <w:t xml:space="preserve">    承诺符合浙财采监【2013】24号《关于规范政府采购供应商资格设定及资格审查的通知》第六条规定，且未被“信用中国”（www.creditchina.gov.cn）和中国政府采购网（www.ccgp.gov.cn）列入失信被执行人、重大税收违法案件当事人名单、政府采购严重违法失信行为记录名单。</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20</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ascii="宋体" w:hAnsi="宋体" w:cs="宋体"/>
                <w:sz w:val="24"/>
                <w:highlight w:val="none"/>
              </w:rPr>
            </w:pPr>
            <w:r>
              <w:rPr>
                <w:rFonts w:hint="eastAsia" w:ascii="宋体" w:hAnsi="宋体" w:cs="宋体"/>
                <w:sz w:val="24"/>
                <w:highlight w:val="none"/>
              </w:rPr>
              <w:t xml:space="preserve">    解释：本招标文件的解释权属于采购单位和嘉兴市银建工程咨询评估有限公司。</w:t>
            </w:r>
          </w:p>
        </w:tc>
      </w:tr>
      <w:tr>
        <w:tblPrEx>
          <w:tblCellMar>
            <w:top w:w="0" w:type="dxa"/>
            <w:left w:w="108" w:type="dxa"/>
            <w:bottom w:w="0" w:type="dxa"/>
            <w:right w:w="108" w:type="dxa"/>
          </w:tblCellMar>
        </w:tblPrEx>
        <w:trPr>
          <w:trHeight w:val="279" w:hRule="atLeast"/>
        </w:trPr>
        <w:tc>
          <w:tcPr>
            <w:tcW w:w="744" w:type="dxa"/>
            <w:tcBorders>
              <w:top w:val="single" w:color="auto" w:sz="4" w:space="0"/>
              <w:left w:val="single" w:color="auto" w:sz="4" w:space="0"/>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21</w:t>
            </w:r>
          </w:p>
        </w:tc>
        <w:tc>
          <w:tcPr>
            <w:tcW w:w="8399" w:type="dxa"/>
            <w:tcBorders>
              <w:top w:val="single" w:color="auto" w:sz="4" w:space="0"/>
              <w:left w:val="nil"/>
              <w:bottom w:val="single" w:color="auto" w:sz="4" w:space="0"/>
              <w:right w:val="single" w:color="auto" w:sz="4" w:space="0"/>
            </w:tcBorders>
            <w:vAlign w:val="center"/>
          </w:tcPr>
          <w:p>
            <w:pPr>
              <w:wordWrap w:val="0"/>
              <w:overflowPunct w:val="0"/>
              <w:autoSpaceDE w:val="0"/>
              <w:autoSpaceDN w:val="0"/>
              <w:adjustRightInd/>
              <w:snapToGrid w:val="0"/>
              <w:spacing w:before="24" w:beforeLines="10" w:after="24" w:afterLines="10" w:line="400" w:lineRule="exact"/>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根据“浙江省财政厅关于进一步创新管理提高政府采购工作效率和服务水平的意见浙财采监〔2010〕52 号”的规定，本项目已在省级以上政府采购指定媒体经过采购预告并公开招标失败（项目已按规定于2022年12月8日经公开招标，因招标失败而致项目时间较紧）且经专家论证其招标文件没有倾向性或歧视性，故本项将公告等标期缩短到 10 日。</w:t>
            </w:r>
          </w:p>
        </w:tc>
      </w:tr>
    </w:tbl>
    <w:p>
      <w:pPr>
        <w:pStyle w:val="34"/>
        <w:wordWrap w:val="0"/>
        <w:overflowPunct w:val="0"/>
        <w:autoSpaceDE w:val="0"/>
        <w:autoSpaceDN w:val="0"/>
        <w:snapToGrid w:val="0"/>
        <w:spacing w:line="400" w:lineRule="exact"/>
        <w:outlineLvl w:val="0"/>
        <w:rPr>
          <w:rFonts w:hAnsi="宋体" w:cs="宋体"/>
          <w:b/>
          <w:sz w:val="24"/>
          <w:szCs w:val="24"/>
          <w:highlight w:val="none"/>
        </w:rPr>
      </w:pPr>
    </w:p>
    <w:p>
      <w:pPr>
        <w:pStyle w:val="34"/>
        <w:numPr>
          <w:ilvl w:val="0"/>
          <w:numId w:val="3"/>
        </w:numPr>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总  则</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（一）适用范围</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本招标文件适用于本项目的招标、投标、评标、定标、验收、合同履约、付款等行为（法律、法规另有规定的，从其规定）。</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（二）定义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1.招标采购单位系指组织本次招标的代理机构（“</w:t>
      </w:r>
      <w:r>
        <w:rPr>
          <w:rFonts w:hint="eastAsia" w:ascii="宋体" w:hAnsi="宋体" w:cs="宋体"/>
          <w:sz w:val="24"/>
          <w:highlight w:val="none"/>
          <w:lang w:eastAsia="zh-CN"/>
        </w:rPr>
        <w:t>采购人</w:t>
      </w:r>
      <w:r>
        <w:rPr>
          <w:rFonts w:hint="eastAsia" w:ascii="宋体" w:hAnsi="宋体" w:cs="宋体"/>
          <w:sz w:val="24"/>
          <w:highlight w:val="none"/>
        </w:rPr>
        <w:t>”）和采购单位。</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2.“投标人”系指向招标方提交投标文件的单位或个人。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3.“产品”系指供方按招标文件规定，须向采购人提供的一切设备、保险、税金、备品备件、工具、手册及其它有关技术资料和材料。</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4.“服务”系指招标文件规定投标人须承担的设计、安装、调试、技术协助、校准、培训、技术指导以及其他类似的义务。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5.“项目”系指投标人按招标文件规定向采购人提供的产品和服务。</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6.“书面形式”包括信函、传真、电报等。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7.“▲”系指实质性要求条款。不满足实质性要求条款的投标文件无效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8.“★”系指重要技术指标。</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（三）招标方式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本次招标采用公开招标方式进行。</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（四）投标委托</w:t>
      </w:r>
    </w:p>
    <w:p>
      <w:pPr>
        <w:pStyle w:val="25"/>
        <w:wordWrap w:val="0"/>
        <w:overflowPunct w:val="0"/>
        <w:autoSpaceDE w:val="0"/>
        <w:autoSpaceDN w:val="0"/>
        <w:snapToGrid w:val="0"/>
        <w:spacing w:line="360" w:lineRule="auto"/>
        <w:jc w:val="left"/>
        <w:rPr>
          <w:rFonts w:cs="宋体"/>
          <w:highlight w:val="none"/>
        </w:rPr>
      </w:pPr>
      <w:r>
        <w:rPr>
          <w:rFonts w:hint="eastAsia" w:cs="宋体"/>
          <w:highlight w:val="none"/>
        </w:rPr>
        <w:t>供应商无需到开标现场，但须准时在线参加，直至评审结束。</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（五）投标费用</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不论投标结果如何，投标人均应自行承担所有与投标有关的全部费用（招标文件有相反规定除外）。</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（六）联合体投标</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本项目不接受联合体投标。</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（七）转包与分包</w:t>
      </w:r>
    </w:p>
    <w:p>
      <w:pPr>
        <w:wordWrap w:val="0"/>
        <w:overflowPunct w:val="0"/>
        <w:autoSpaceDE w:val="0"/>
        <w:autoSpaceDN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1.本项目不允许转包。</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2.本项目不可以分包。</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（八）是否允许采购进口产品</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本项目不允许采购进口产品。</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 ▲（九）特别说明：</w:t>
      </w:r>
    </w:p>
    <w:p>
      <w:pPr>
        <w:wordWrap w:val="0"/>
        <w:overflowPunct w:val="0"/>
        <w:autoSpaceDE w:val="0"/>
        <w:autoSpaceDN w:val="0"/>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color w:val="000000" w:themeColor="text1"/>
          <w:sz w:val="24"/>
          <w:highlight w:val="none"/>
          <w14:textFill>
            <w14:solidFill>
              <w14:schemeClr w14:val="tx1"/>
            </w14:solidFill>
          </w14:textFill>
        </w:rPr>
        <w:t>使用综合评分法的采购项目，提供相同品牌产品且通过资格审查、符合性审查的不同投标人参加同一合同项下投</w:t>
      </w:r>
      <w:r>
        <w:rPr>
          <w:rFonts w:hint="eastAsia" w:ascii="宋体" w:hAnsi="宋体" w:cs="宋体"/>
          <w:sz w:val="24"/>
          <w:highlight w:val="none"/>
        </w:rPr>
        <w:t>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非单一产品采购项目，采购人应当根据采购项目技术构成、产品价格比重等合理确定核心产品，并在招标文件中载明。多家投标人提供的核心产品品牌相同的，按前两款规定处理。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2.投标人投标所使用的资格、信誉、荣誉、业绩与企业认证必须为本投标人所拥有。</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3.投标人应仔细阅读招标文件的所有内容，按照招标文件的要求提交投标文件，并对所提供的全部资料的真实性承担法律责任。</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（十）质疑和投诉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1.投标人认为招标文件、招标过程或中标结果使自己的合法权益受到损害的，应当在知道或者应知其权益受到损害之日起七个工作日内，以书面形式向采购人、采购代理机构提出质疑。投标人对招标采购单位的质疑答复不满意或者招标采购单位未在规定时间内作出答复的，可以在答复期满后十五个工作日内向同级采购监管部门投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3.供应商须在法定质疑期内一次性提出针对同一采购程序环节的质疑。</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4.供应商认为采购代理机构在质疑答复程序中启用的调查和复评等程序，在该程序操作过程未明显违反法律禁止性规定时，不得提出疑义。</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5.质疑函须采用财政部发布的政府采购供应商质疑函范本（参考样式可从浙江政府采购网下载专区下载），否则采购代理机构有权要求质疑供应商改正后重新提出。</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6.政府采购供应商可以通过登录“浙江政务服务网”（http://www.zjzwfw.gov.cn/），搜索关键字“政府采购投诉处理”，或者选择“部门窗口—省财政厅—行政裁决—政府采购投诉处理”，点击“在线办理”，即可进行在线投诉。财政部门审查受理、处理决定等政府采购投诉处理相关文书均在线送达，政府采购投诉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7.供应商也可通过邮寄方式寄递政府采购投诉材料，邮寄地址为涉及政府采购项目采购人预算级次相应的财政部门。政府采购投诉材料中须写明邮箱地址、传真号码，财政部门审查受理、处理决定等相关文书可通过电子邮件、传真等形式送达，供应商明确表示需要邮寄的除外。</w:t>
      </w:r>
    </w:p>
    <w:p>
      <w:pPr>
        <w:wordWrap w:val="0"/>
        <w:overflowPunct w:val="0"/>
        <w:autoSpaceDE w:val="0"/>
        <w:autoSpaceDN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8.在线或者邮寄政府采购投诉材料当日下班时间点后收到的视为下一个工作日收到。</w:t>
      </w:r>
    </w:p>
    <w:p>
      <w:pPr>
        <w:pStyle w:val="34"/>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二、招标文件</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（一）招标文件的构成。本招标文件由以下部份组成：</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1.招标公告</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2.招标需求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3.投标人须知</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4.评标办法及标准</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5.合同主要条款</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6.投标文件格式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7.本项目招标文件的澄清、答复、修改、补充的内容</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（二）投标人的风险</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投标人没有按照招标文件要求提供全部资料，或者投标人没有对招标文件在各方面作出实质性响应是投标人的风险，并可能导致其投标为无效标。</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 xml:space="preserve">（三）招标文件的澄清与修改 </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1.投标人应认真阅读本招标文件，发现其中有误或有不合理要求的，投标人必须在知道或者应当知道之日起七个工作日内以书面形式向</w:t>
      </w:r>
      <w:r>
        <w:rPr>
          <w:rFonts w:hint="eastAsia" w:ascii="宋体" w:hAnsi="宋体" w:cs="宋体"/>
          <w:szCs w:val="24"/>
          <w:highlight w:val="none"/>
          <w:lang w:eastAsia="zh-CN"/>
        </w:rPr>
        <w:t>采购人</w:t>
      </w:r>
      <w:r>
        <w:rPr>
          <w:rFonts w:hint="eastAsia" w:ascii="宋体" w:hAnsi="宋体" w:cs="宋体"/>
          <w:szCs w:val="24"/>
          <w:highlight w:val="none"/>
        </w:rPr>
        <w:t>一次性提出。采购代理机构对已发出的招标文件进行必要澄清、答复、修改或补充的，应当在招标文件要求提交投标文件截止时间十五日前，在浙江政府采购网(https://zfcg.czt.zj.gov.cn/)上发布更正公告，请投标人在投标截止前及时关注。招标文件的要澄清、答复、修改或补充，一经在上述媒体发布，即视所有投标人都已经收到相关文件。</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2.采购代理机构以公告形式答复投标人要求澄清的问题，但不包含问题来源；除上述媒体发布的答复以外的其他澄清方式及澄清内容均无效。</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3.招标文件澄清、答复、修改、补充的内容为招标文件的组成部分。当招标文件与招标文件的答复、澄清、修改、补充通知就同一内容的表述不一致时，以最后发出的文件为准。</w:t>
      </w:r>
    </w:p>
    <w:p>
      <w:pPr>
        <w:pStyle w:val="54"/>
        <w:wordWrap w:val="0"/>
        <w:overflowPunct w:val="0"/>
        <w:autoSpaceDE w:val="0"/>
        <w:autoSpaceDN w:val="0"/>
        <w:rPr>
          <w:rFonts w:ascii="宋体" w:hAnsi="宋体" w:cs="宋体"/>
          <w:szCs w:val="24"/>
          <w:highlight w:val="none"/>
        </w:rPr>
      </w:pPr>
      <w:r>
        <w:rPr>
          <w:rFonts w:hint="eastAsia" w:ascii="宋体" w:hAnsi="宋体" w:cs="宋体"/>
          <w:szCs w:val="24"/>
          <w:highlight w:val="none"/>
        </w:rPr>
        <w:t>4.招标文件的澄清、答复、修改或补充都应该通过本代理机构以法定形式发布，采购人非通过本机构，不得擅自澄清、答复、修改或补充招标文件。</w:t>
      </w:r>
    </w:p>
    <w:p>
      <w:pPr>
        <w:pStyle w:val="34"/>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三、投标文件的编制</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(一)总体要求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1.投标人应仔细阅读招标文件的所有内容，按本文件的要求提供投标文件，并保证所提供的全部资料的真实性，以使其投标文件对招标文件作出实质性响应，否则，投标文件可能视为无效投标文件。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2.投标文件及投标人与采购有关的来往通知，函件和文件均应使用中文。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3.投标文件的形式：投标文件为电子加密投标文件，按“政府采购项目电子交易管理操作指南-供应商”及本招标文件要求制作、加密并递交。</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（二）投标文件的组成</w:t>
      </w:r>
    </w:p>
    <w:p>
      <w:pPr>
        <w:pStyle w:val="34"/>
        <w:wordWrap w:val="0"/>
        <w:overflowPunct w:val="0"/>
        <w:autoSpaceDE w:val="0"/>
        <w:autoSpaceDN w:val="0"/>
        <w:snapToGrid w:val="0"/>
        <w:spacing w:line="360" w:lineRule="auto"/>
        <w:ind w:firstLine="482" w:firstLineChars="200"/>
        <w:outlineLvl w:val="0"/>
        <w:rPr>
          <w:rFonts w:hAnsi="宋体" w:cs="宋体"/>
          <w:b/>
          <w:sz w:val="24"/>
          <w:szCs w:val="24"/>
          <w:highlight w:val="none"/>
        </w:rPr>
      </w:pPr>
      <w:r>
        <w:rPr>
          <w:rFonts w:hint="eastAsia" w:hAnsi="宋体" w:cs="宋体"/>
          <w:b/>
          <w:sz w:val="24"/>
          <w:szCs w:val="24"/>
          <w:highlight w:val="none"/>
        </w:rPr>
        <w:t>本项目所涉投标文件格式请详见第六章，未给出的格式请自拟。资格文件及商务技术文件中不得出现报价，否则投标文件将被视为无效。投标文件中所须加盖公章部分均采用CA签章。</w:t>
      </w:r>
    </w:p>
    <w:p>
      <w:pPr>
        <w:pStyle w:val="34"/>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投标文件由资格文件、商务技术文件、报价文件三部分组成。</w:t>
      </w:r>
    </w:p>
    <w:p>
      <w:pPr>
        <w:pStyle w:val="34"/>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1.资格文件（</w:t>
      </w:r>
      <w:r>
        <w:rPr>
          <w:rFonts w:hint="eastAsia" w:hAnsi="宋体" w:cs="宋体"/>
          <w:b/>
          <w:bCs/>
          <w:color w:val="FF0000"/>
          <w:sz w:val="24"/>
          <w:szCs w:val="24"/>
          <w:highlight w:val="none"/>
        </w:rPr>
        <w:t>资格文件所需的证明材料均需加盖供应商公章</w:t>
      </w:r>
      <w:r>
        <w:rPr>
          <w:rFonts w:hint="eastAsia" w:hAnsi="宋体" w:cs="宋体"/>
          <w:b/>
          <w:bCs/>
          <w:sz w:val="24"/>
          <w:szCs w:val="24"/>
          <w:highlight w:val="none"/>
        </w:rPr>
        <w:t>）：</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1.1营业执照</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1.2符合参加政府采购活动应当具备的一般条件的承诺函（格式见第六章）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hint="default" w:eastAsia="宋体" w:cs="宋体"/>
          <w:b w:val="0"/>
          <w:bCs w:val="0"/>
          <w:highlight w:val="none"/>
          <w:lang w:val="en-US" w:eastAsia="zh-CN"/>
        </w:rPr>
      </w:pPr>
      <w:r>
        <w:rPr>
          <w:rFonts w:hint="eastAsia" w:cs="宋体"/>
          <w:b w:val="0"/>
          <w:bCs w:val="0"/>
          <w:highlight w:val="none"/>
          <w:lang w:val="en-US" w:eastAsia="zh-CN"/>
        </w:rPr>
        <w:t>1.3中小企业声明函或监狱和戒毒企业企业证明材料或残疾人福利性单位声明函（格式见第六章）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cs="宋体"/>
          <w:b/>
          <w:bCs/>
          <w:highlight w:val="none"/>
        </w:rPr>
        <w:t>2.商务技术文件</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2.1自评表（格式见第六章）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2.2投标声明书（格式见第六章）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2.3法定代表人授权委托书（格式见第六章）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2.4诚信承诺书（格式见第六章）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2.5投标人基本情况表（格式见第六章）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2.6商务响应（偏离）表（格式见第六章）</w:t>
      </w:r>
    </w:p>
    <w:p>
      <w:pPr>
        <w:pStyle w:val="58"/>
        <w:widowControl w:val="0"/>
        <w:overflowPunct w:val="0"/>
        <w:topLinePunct/>
        <w:autoSpaceDE w:val="0"/>
        <w:autoSpaceDN w:val="0"/>
        <w:adjustRightInd/>
        <w:spacing w:before="0" w:beforeAutospacing="0" w:after="0" w:afterAutospacing="0" w:line="360" w:lineRule="auto"/>
        <w:ind w:firstLine="481"/>
        <w:rPr>
          <w:rFonts w:hint="default" w:eastAsia="宋体" w:cs="宋体"/>
          <w:highlight w:val="none"/>
          <w:lang w:val="en-US" w:eastAsia="zh-CN"/>
        </w:rPr>
      </w:pPr>
      <w:r>
        <w:rPr>
          <w:rFonts w:hint="eastAsia" w:cs="宋体"/>
          <w:highlight w:val="none"/>
          <w:lang w:val="en-US" w:eastAsia="zh-CN"/>
        </w:rPr>
        <w:t>2.7诚信分</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8</w:t>
      </w:r>
      <w:r>
        <w:rPr>
          <w:rFonts w:hint="eastAsia" w:cs="宋体"/>
          <w:highlight w:val="none"/>
        </w:rPr>
        <w:t>业绩要求（格式见第六章类似业绩一览表）</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9</w:t>
      </w:r>
      <w:r>
        <w:rPr>
          <w:rFonts w:hint="eastAsia" w:cs="宋体"/>
          <w:highlight w:val="none"/>
        </w:rPr>
        <w:t>投标人所获管理体系认证情况</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w:t>
      </w:r>
      <w:r>
        <w:rPr>
          <w:rFonts w:hint="eastAsia" w:cs="宋体"/>
          <w:highlight w:val="none"/>
          <w:lang w:val="en-US" w:eastAsia="zh-CN"/>
        </w:rPr>
        <w:t>10</w:t>
      </w:r>
      <w:r>
        <w:rPr>
          <w:rFonts w:hint="eastAsia" w:cs="宋体"/>
          <w:highlight w:val="none"/>
        </w:rPr>
        <w:t>合理化建议</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1</w:t>
      </w:r>
      <w:r>
        <w:rPr>
          <w:rFonts w:hint="eastAsia" w:cs="宋体"/>
          <w:highlight w:val="none"/>
        </w:rPr>
        <w:t>优惠条件</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2产品性能</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3深化设计方案</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4项目实施方案</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5应急处置方案及服务保障措施</w:t>
      </w:r>
    </w:p>
    <w:p>
      <w:pPr>
        <w:pStyle w:val="58"/>
        <w:widowControl w:val="0"/>
        <w:overflowPunct w:val="0"/>
        <w:topLinePunct/>
        <w:autoSpaceDE w:val="0"/>
        <w:autoSpaceDN w:val="0"/>
        <w:adjustRightInd/>
        <w:spacing w:before="0" w:beforeAutospacing="0" w:after="0" w:afterAutospacing="0" w:line="360" w:lineRule="auto"/>
        <w:ind w:firstLine="481"/>
        <w:rPr>
          <w:rFonts w:cs="宋体"/>
          <w:highlight w:val="none"/>
        </w:rPr>
      </w:pPr>
      <w:r>
        <w:rPr>
          <w:rFonts w:hint="eastAsia" w:cs="宋体"/>
          <w:highlight w:val="none"/>
        </w:rPr>
        <w:t>2.1</w:t>
      </w:r>
      <w:r>
        <w:rPr>
          <w:rFonts w:hint="eastAsia" w:cs="宋体"/>
          <w:highlight w:val="none"/>
          <w:lang w:val="en-US" w:eastAsia="zh-CN"/>
        </w:rPr>
        <w:t>6人员配备</w:t>
      </w:r>
      <w:r>
        <w:rPr>
          <w:rFonts w:hint="eastAsia" w:cs="宋体"/>
          <w:highlight w:val="none"/>
        </w:rPr>
        <w:t>（格式见第六章项目实施人员表）</w:t>
      </w:r>
    </w:p>
    <w:p>
      <w:pPr>
        <w:pStyle w:val="58"/>
        <w:widowControl w:val="0"/>
        <w:overflowPunct w:val="0"/>
        <w:topLinePunct/>
        <w:autoSpaceDE w:val="0"/>
        <w:autoSpaceDN w:val="0"/>
        <w:adjustRightInd/>
        <w:spacing w:before="0" w:beforeAutospacing="0" w:after="0" w:afterAutospacing="0" w:line="360" w:lineRule="auto"/>
        <w:ind w:firstLine="481"/>
        <w:rPr>
          <w:rFonts w:hint="default" w:eastAsia="宋体" w:cs="宋体"/>
          <w:highlight w:val="none"/>
          <w:lang w:val="en-US" w:eastAsia="zh-CN"/>
        </w:rPr>
      </w:pPr>
      <w:r>
        <w:rPr>
          <w:rFonts w:hint="eastAsia" w:cs="宋体"/>
          <w:highlight w:val="none"/>
          <w:lang w:val="en-US" w:eastAsia="zh-CN"/>
        </w:rPr>
        <w:t>2.17</w:t>
      </w:r>
      <w:r>
        <w:rPr>
          <w:rFonts w:hint="eastAsia" w:cs="宋体"/>
          <w:highlight w:val="none"/>
        </w:rPr>
        <w:t>售后服务</w:t>
      </w:r>
    </w:p>
    <w:p>
      <w:pPr>
        <w:pStyle w:val="58"/>
        <w:widowControl w:val="0"/>
        <w:overflowPunct w:val="0"/>
        <w:topLinePunct/>
        <w:autoSpaceDE w:val="0"/>
        <w:autoSpaceDN w:val="0"/>
        <w:adjustRightInd/>
        <w:spacing w:before="0" w:beforeAutospacing="0" w:after="0" w:afterAutospacing="0" w:line="360" w:lineRule="auto"/>
        <w:ind w:firstLine="481"/>
        <w:rPr>
          <w:rFonts w:cs="宋体"/>
          <w:b/>
          <w:bCs/>
          <w:highlight w:val="none"/>
        </w:rPr>
      </w:pPr>
      <w:r>
        <w:rPr>
          <w:rFonts w:hint="eastAsia" w:cs="宋体"/>
          <w:highlight w:val="none"/>
        </w:rPr>
        <w:t>2.1</w:t>
      </w:r>
      <w:r>
        <w:rPr>
          <w:rFonts w:hint="eastAsia" w:cs="宋体"/>
          <w:highlight w:val="none"/>
          <w:lang w:val="en-US" w:eastAsia="zh-CN"/>
        </w:rPr>
        <w:t>8</w:t>
      </w:r>
      <w:r>
        <w:rPr>
          <w:rFonts w:hint="eastAsia" w:cs="宋体"/>
          <w:highlight w:val="none"/>
        </w:rPr>
        <w:t>投标人根据评标办法及采购需求需要提供的其他资料（如有）</w:t>
      </w:r>
    </w:p>
    <w:p>
      <w:pPr>
        <w:pStyle w:val="34"/>
        <w:wordWrap w:val="0"/>
        <w:overflowPunct w:val="0"/>
        <w:autoSpaceDE w:val="0"/>
        <w:autoSpaceDN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3.报价文件：</w:t>
      </w:r>
    </w:p>
    <w:p>
      <w:pPr>
        <w:pStyle w:val="34"/>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3.1投标函（格式见第六章）</w:t>
      </w:r>
    </w:p>
    <w:p>
      <w:pPr>
        <w:pStyle w:val="34"/>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3.2开标一览表（格式见第六章）</w:t>
      </w:r>
    </w:p>
    <w:p>
      <w:pPr>
        <w:pStyle w:val="34"/>
        <w:wordWrap w:val="0"/>
        <w:overflowPunct w:val="0"/>
        <w:autoSpaceDE w:val="0"/>
        <w:autoSpaceDN w:val="0"/>
        <w:adjustRightInd/>
        <w:spacing w:line="360" w:lineRule="auto"/>
        <w:ind w:firstLine="480" w:firstLineChars="200"/>
        <w:rPr>
          <w:rFonts w:hAnsi="宋体" w:cs="宋体"/>
          <w:snapToGrid/>
          <w:sz w:val="24"/>
          <w:szCs w:val="24"/>
          <w:highlight w:val="none"/>
        </w:rPr>
      </w:pPr>
      <w:r>
        <w:rPr>
          <w:rFonts w:hint="eastAsia" w:hAnsi="宋体" w:cs="宋体"/>
          <w:snapToGrid/>
          <w:sz w:val="24"/>
          <w:szCs w:val="24"/>
          <w:highlight w:val="none"/>
        </w:rPr>
        <w:t>3.3投标报价明细表（格式见第六章）</w:t>
      </w:r>
    </w:p>
    <w:p>
      <w:pPr>
        <w:spacing w:line="360" w:lineRule="auto"/>
        <w:ind w:firstLine="480" w:firstLineChars="200"/>
        <w:rPr>
          <w:highlight w:val="none"/>
        </w:rPr>
      </w:pPr>
      <w:r>
        <w:rPr>
          <w:rFonts w:hint="eastAsia" w:ascii="宋体" w:hAnsi="宋体" w:cs="宋体"/>
          <w:sz w:val="24"/>
          <w:highlight w:val="none"/>
        </w:rPr>
        <w:t>3.</w:t>
      </w:r>
      <w:r>
        <w:rPr>
          <w:rFonts w:hint="eastAsia" w:ascii="宋体" w:hAnsi="宋体" w:cs="宋体"/>
          <w:sz w:val="24"/>
          <w:highlight w:val="none"/>
          <w:lang w:val="en-US" w:eastAsia="zh-CN"/>
        </w:rPr>
        <w:t>4</w:t>
      </w:r>
      <w:r>
        <w:rPr>
          <w:rFonts w:hint="eastAsia" w:ascii="宋体" w:hAnsi="宋体" w:cs="宋体"/>
          <w:sz w:val="24"/>
          <w:highlight w:val="none"/>
        </w:rPr>
        <w:t>投标人针对报价需要说明的其他文件和说明（如有）</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b/>
          <w:bCs/>
          <w:sz w:val="24"/>
          <w:highlight w:val="none"/>
        </w:rPr>
        <w:t xml:space="preserve">  </w:t>
      </w:r>
      <w:r>
        <w:rPr>
          <w:rFonts w:hint="eastAsia" w:ascii="宋体" w:hAnsi="宋体" w:cs="宋体"/>
          <w:sz w:val="24"/>
          <w:highlight w:val="none"/>
        </w:rPr>
        <w:t xml:space="preserve">  4.投标文件内容填写说明 </w:t>
      </w:r>
    </w:p>
    <w:p>
      <w:pPr>
        <w:wordWrap w:val="0"/>
        <w:overflowPunct w:val="0"/>
        <w:autoSpaceDE w:val="0"/>
        <w:autoSpaceDN w:val="0"/>
        <w:snapToGrid w:val="0"/>
        <w:spacing w:line="360" w:lineRule="auto"/>
        <w:jc w:val="left"/>
        <w:rPr>
          <w:rFonts w:ascii="宋体" w:hAnsi="宋体" w:cs="宋体"/>
          <w:bCs/>
          <w:sz w:val="24"/>
          <w:highlight w:val="none"/>
        </w:rPr>
      </w:pPr>
      <w:r>
        <w:rPr>
          <w:rFonts w:hint="eastAsia" w:ascii="宋体" w:hAnsi="宋体" w:cs="宋体"/>
          <w:sz w:val="24"/>
          <w:highlight w:val="none"/>
        </w:rPr>
        <w:t xml:space="preserve">   （1）投标人应在认真阅读招标文件所有内容的基础上，按照招标文件的要求编制完整的投标文件。投标文件应按照招标文件中规定的统一格式填写：</w:t>
      </w:r>
      <w:r>
        <w:rPr>
          <w:rFonts w:hint="eastAsia" w:ascii="宋体" w:hAnsi="宋体" w:cs="宋体"/>
          <w:bCs/>
          <w:sz w:val="24"/>
          <w:highlight w:val="none"/>
        </w:rPr>
        <w:t>电子投标文件按政采云平台供应商项目采购-电子招投标操作指南（网址：https://service.zcygov.cn/#/knowledges/CW1EtGwBFdiHxlNd6I3m/6IMVAG0BFdiHxlNdQ8Na?keyword）及本招标文件要求制作、加密。</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（2）招标文件对投标文件格式有要求的应按格式逐项填写内容，不准有空项；无相应内容可填的项应填写“无”、“未测试”、“没有相应指标”等明确的回答文字。</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（3）投标人必须保证投标文件所提供的全部资料真实可靠，并接受</w:t>
      </w:r>
      <w:r>
        <w:rPr>
          <w:rFonts w:hint="eastAsia" w:ascii="宋体" w:hAnsi="宋体" w:cs="宋体"/>
          <w:sz w:val="24"/>
          <w:highlight w:val="none"/>
          <w:lang w:eastAsia="zh-CN"/>
        </w:rPr>
        <w:t>采购人</w:t>
      </w:r>
      <w:r>
        <w:rPr>
          <w:rFonts w:hint="eastAsia" w:ascii="宋体" w:hAnsi="宋体" w:cs="宋体"/>
          <w:sz w:val="24"/>
          <w:highlight w:val="none"/>
        </w:rPr>
        <w:t>对其中任何资料进一步审查的要求。</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（4）《开标一览表》为在开标仪式上唱标的内容，要求按格式填写、统一规范，不得自行增减内容。</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（5）投标文件须对招标文件中的内容做出实质性的和完整的响应，否则其投标将被拒绝。如果投标文件填报的内容资料不详，或没有提供招标文件中所要求的全部资料及数据，将会导致投标被拒绝。</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6）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w:t>
      </w:r>
      <w:r>
        <w:rPr>
          <w:rFonts w:hint="eastAsia" w:ascii="宋体" w:hAnsi="宋体" w:cs="宋体"/>
          <w:sz w:val="24"/>
          <w:highlight w:val="none"/>
          <w:lang w:eastAsia="zh-CN"/>
        </w:rPr>
        <w:t>采购人</w:t>
      </w:r>
      <w:r>
        <w:rPr>
          <w:rFonts w:hint="eastAsia" w:ascii="宋体" w:hAnsi="宋体" w:cs="宋体"/>
          <w:sz w:val="24"/>
          <w:highlight w:val="none"/>
        </w:rPr>
        <w:t>可以拒绝其投标文件。</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（7）投标响应文件不得涂改和增删，如有错漏必须修改。</w:t>
      </w:r>
    </w:p>
    <w:p>
      <w:pPr>
        <w:wordWrap w:val="0"/>
        <w:overflowPunct w:val="0"/>
        <w:autoSpaceDE w:val="0"/>
        <w:autoSpaceDN w:val="0"/>
        <w:snapToGrid w:val="0"/>
        <w:spacing w:line="360" w:lineRule="auto"/>
        <w:rPr>
          <w:rFonts w:ascii="宋体" w:hAnsi="宋体" w:cs="宋体"/>
          <w:b/>
          <w:bCs/>
          <w:sz w:val="24"/>
          <w:highlight w:val="none"/>
        </w:rPr>
      </w:pPr>
      <w:r>
        <w:rPr>
          <w:rFonts w:hint="eastAsia" w:ascii="宋体" w:hAnsi="宋体" w:cs="宋体"/>
          <w:sz w:val="24"/>
          <w:highlight w:val="none"/>
        </w:rPr>
        <w:t xml:space="preserve">    （8）由于字迹模糊或表达不清引起的后果由供应商负责。</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（三）投标文件的语言及计量</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▲1投标文件以及投标方与招标方就有关投标事宜的所有来往函电，均应以中文汉语书写。除签名、盖章、专用名称等特殊情形外，以中文汉语以外的文字表述的投标文件视同未提供。</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▲2投标计量单位，招标文件已有明确规定的，使用招标文件规定的计量单位；招标文件没有规定的，应采用中华人民共和国法定计量单位（货币单位：人民币元），否则视同未响应。</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（四）投标报价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1.投标报价应按招标文件中相关附表格式填写。</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▲2.投标报价是履行合同的最终价格，报价采用固定单价方式进行报价</w:t>
      </w:r>
      <w:r>
        <w:rPr>
          <w:rFonts w:hint="eastAsia" w:ascii="宋体" w:hAnsi="宋体" w:cs="宋体"/>
          <w:sz w:val="24"/>
          <w:highlight w:val="none"/>
          <w:lang w:eastAsia="zh-CN"/>
        </w:rPr>
        <w:t>，</w:t>
      </w:r>
      <w:r>
        <w:rPr>
          <w:rFonts w:hint="eastAsia" w:ascii="宋体" w:hAnsi="宋体"/>
          <w:sz w:val="24"/>
          <w:highlight w:val="none"/>
        </w:rPr>
        <w:t>最终结算总价=</w:t>
      </w:r>
      <w:r>
        <w:rPr>
          <w:rFonts w:hint="eastAsia" w:ascii="宋体" w:hAnsi="宋体"/>
          <w:sz w:val="24"/>
          <w:highlight w:val="none"/>
          <w:lang w:eastAsia="zh-CN"/>
        </w:rPr>
        <w:t>中标</w:t>
      </w:r>
      <w:r>
        <w:rPr>
          <w:rFonts w:hint="eastAsia" w:ascii="宋体" w:hAnsi="宋体"/>
          <w:sz w:val="24"/>
          <w:highlight w:val="none"/>
        </w:rPr>
        <w:t>单价*</w:t>
      </w:r>
      <w:r>
        <w:rPr>
          <w:rFonts w:hint="eastAsia" w:ascii="宋体" w:hAnsi="宋体"/>
          <w:sz w:val="24"/>
          <w:highlight w:val="none"/>
          <w:lang w:eastAsia="zh-CN"/>
        </w:rPr>
        <w:t>实际采购</w:t>
      </w:r>
      <w:r>
        <w:rPr>
          <w:rFonts w:hint="eastAsia" w:ascii="宋体" w:hAnsi="宋体"/>
          <w:sz w:val="24"/>
          <w:highlight w:val="none"/>
        </w:rPr>
        <w:t>设备数量</w:t>
      </w:r>
      <w:r>
        <w:rPr>
          <w:rFonts w:hint="eastAsia" w:ascii="宋体" w:hAnsi="宋体"/>
          <w:sz w:val="24"/>
          <w:highlight w:val="none"/>
          <w:lang w:val="en-US" w:eastAsia="zh-CN"/>
        </w:rPr>
        <w:t>及完成的工作量</w:t>
      </w:r>
      <w:r>
        <w:rPr>
          <w:rFonts w:hint="eastAsia" w:ascii="宋体" w:hAnsi="宋体" w:cs="宋体"/>
          <w:sz w:val="24"/>
          <w:highlight w:val="none"/>
          <w:lang w:val="en-US" w:eastAsia="zh-CN"/>
        </w:rPr>
        <w:t>，</w:t>
      </w:r>
      <w:r>
        <w:rPr>
          <w:rFonts w:hint="eastAsia" w:ascii="宋体" w:hAnsi="宋体" w:cs="宋体"/>
          <w:sz w:val="24"/>
          <w:highlight w:val="none"/>
        </w:rPr>
        <w:t>报价包括设计、生产、供货、运输、装卸、安装调试、税金、保险、备品备件、配件、附件、培训、验收、辅助工作及售后服务等完成本项目的所有费用。</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▲3.投标文件只允许有一个报价，有选择的或有条件的报价将不予接受。</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（五）投标文件的有效期</w:t>
      </w:r>
    </w:p>
    <w:p>
      <w:pPr>
        <w:pStyle w:val="16"/>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▲1.自投标截止日起</w:t>
      </w:r>
      <w:r>
        <w:rPr>
          <w:rFonts w:hint="eastAsia" w:ascii="宋体" w:hAnsi="宋体" w:cs="宋体"/>
          <w:szCs w:val="24"/>
          <w:highlight w:val="none"/>
          <w:u w:val="single"/>
        </w:rPr>
        <w:t xml:space="preserve"> 90</w:t>
      </w:r>
      <w:r>
        <w:rPr>
          <w:rFonts w:hint="eastAsia" w:ascii="宋体" w:hAnsi="宋体" w:cs="宋体"/>
          <w:szCs w:val="24"/>
          <w:highlight w:val="none"/>
        </w:rPr>
        <w:t>天投标文件应保持有效。有效期不足的投标文件将被拒绝。</w:t>
      </w:r>
    </w:p>
    <w:p>
      <w:pPr>
        <w:pStyle w:val="16"/>
        <w:widowControl w:val="0"/>
        <w:tabs>
          <w:tab w:val="left" w:pos="720"/>
          <w:tab w:val="clear" w:pos="390"/>
        </w:tabs>
        <w:wordWrap w:val="0"/>
        <w:overflowPunct w:val="0"/>
        <w:autoSpaceDE w:val="0"/>
        <w:autoSpaceDN w:val="0"/>
        <w:snapToGrid w:val="0"/>
        <w:spacing w:after="0" w:afterLines="0" w:line="360" w:lineRule="auto"/>
        <w:ind w:left="0" w:firstLine="480" w:firstLineChars="200"/>
        <w:rPr>
          <w:rFonts w:ascii="宋体" w:hAnsi="宋体" w:cs="宋体"/>
          <w:szCs w:val="24"/>
          <w:highlight w:val="none"/>
        </w:rPr>
      </w:pPr>
      <w:r>
        <w:rPr>
          <w:rFonts w:hint="eastAsia" w:ascii="宋体" w:hAnsi="宋体" w:cs="宋体"/>
          <w:szCs w:val="24"/>
          <w:highlight w:val="none"/>
        </w:rPr>
        <w:t>2.在特殊情况下，</w:t>
      </w:r>
      <w:r>
        <w:rPr>
          <w:rFonts w:hint="eastAsia" w:ascii="宋体" w:hAnsi="宋体" w:cs="宋体"/>
          <w:szCs w:val="24"/>
          <w:highlight w:val="none"/>
          <w:lang w:eastAsia="zh-CN"/>
        </w:rPr>
        <w:t>采购人</w:t>
      </w:r>
      <w:r>
        <w:rPr>
          <w:rFonts w:hint="eastAsia" w:ascii="宋体" w:hAnsi="宋体" w:cs="宋体"/>
          <w:szCs w:val="24"/>
          <w:highlight w:val="none"/>
        </w:rPr>
        <w:t>可与投标人协商延长投标书的有效期，这种要求和答复均以书面形式进行。</w:t>
      </w:r>
    </w:p>
    <w:p>
      <w:pPr>
        <w:wordWrap w:val="0"/>
        <w:overflowPunct w:val="0"/>
        <w:autoSpaceDE w:val="0"/>
        <w:autoSpaceDN w:val="0"/>
        <w:snapToGrid w:val="0"/>
        <w:spacing w:line="360" w:lineRule="auto"/>
        <w:ind w:firstLine="480" w:firstLineChars="200"/>
        <w:jc w:val="left"/>
        <w:outlineLvl w:val="0"/>
        <w:rPr>
          <w:rFonts w:ascii="宋体" w:hAnsi="宋体" w:cs="宋体"/>
          <w:sz w:val="24"/>
          <w:highlight w:val="none"/>
        </w:rPr>
      </w:pPr>
      <w:r>
        <w:rPr>
          <w:rFonts w:hint="eastAsia" w:ascii="宋体" w:hAnsi="宋体" w:cs="宋体"/>
          <w:sz w:val="24"/>
          <w:highlight w:val="none"/>
        </w:rPr>
        <w:t>3.中标人的投标文件自开标之日起至合同履行完毕止均应保持有效。</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（六）投标保证金：无</w:t>
      </w:r>
    </w:p>
    <w:p>
      <w:pPr>
        <w:pStyle w:val="34"/>
        <w:wordWrap w:val="0"/>
        <w:overflowPunct w:val="0"/>
        <w:autoSpaceDE w:val="0"/>
        <w:autoSpaceDN w:val="0"/>
        <w:snapToGrid w:val="0"/>
        <w:spacing w:line="360" w:lineRule="auto"/>
        <w:outlineLvl w:val="0"/>
        <w:rPr>
          <w:rFonts w:hAnsi="宋体" w:cs="宋体"/>
          <w:b/>
          <w:sz w:val="24"/>
          <w:szCs w:val="24"/>
          <w:highlight w:val="none"/>
        </w:rPr>
      </w:pPr>
      <w:bookmarkStart w:id="17" w:name="_Toc359856802"/>
      <w:r>
        <w:rPr>
          <w:rFonts w:hint="eastAsia" w:hAnsi="宋体" w:cs="宋体"/>
          <w:b/>
          <w:sz w:val="24"/>
          <w:szCs w:val="24"/>
          <w:highlight w:val="none"/>
        </w:rPr>
        <w:t>（七）投标文件的签署及规定</w:t>
      </w:r>
      <w:bookmarkEnd w:id="17"/>
    </w:p>
    <w:p>
      <w:pPr>
        <w:wordWrap w:val="0"/>
        <w:overflowPunct w:val="0"/>
        <w:autoSpaceDE w:val="0"/>
        <w:autoSpaceDN w:val="0"/>
        <w:snapToGrid w:val="0"/>
        <w:spacing w:line="360" w:lineRule="auto"/>
        <w:ind w:firstLine="480" w:firstLineChars="200"/>
        <w:jc w:val="left"/>
        <w:outlineLvl w:val="1"/>
        <w:rPr>
          <w:rFonts w:ascii="宋体" w:hAnsi="宋体" w:cs="宋体"/>
          <w:bCs/>
          <w:sz w:val="24"/>
          <w:highlight w:val="none"/>
        </w:rPr>
      </w:pPr>
      <w:r>
        <w:rPr>
          <w:rFonts w:hint="eastAsia" w:ascii="宋体" w:hAnsi="宋体" w:cs="宋体"/>
          <w:bCs/>
          <w:sz w:val="24"/>
          <w:highlight w:val="none"/>
        </w:rPr>
        <w:t>电子投标文件按政采云平台供应商项目采购-电子招投标操作指南（网址：</w:t>
      </w:r>
      <w:r>
        <w:rPr>
          <w:highlight w:val="none"/>
        </w:rPr>
        <w:fldChar w:fldCharType="begin"/>
      </w:r>
      <w:r>
        <w:rPr>
          <w:highlight w:val="none"/>
        </w:rPr>
        <w:instrText xml:space="preserve"> HYPERLINK "https://help.zcy.gov.cn/web/site_2/2018/12-28/2573.html）及本招标文件规定的格式和顺序编制电子投标文件并进行关联定位。" </w:instrText>
      </w:r>
      <w:r>
        <w:rPr>
          <w:highlight w:val="none"/>
        </w:rPr>
        <w:fldChar w:fldCharType="separate"/>
      </w:r>
      <w:r>
        <w:rPr>
          <w:rFonts w:hint="eastAsia" w:ascii="宋体" w:hAnsi="宋体" w:cs="宋体"/>
          <w:bCs/>
          <w:sz w:val="24"/>
          <w:highlight w:val="none"/>
        </w:rPr>
        <w:t>https://service.zcygov.cn/#/knowledges/CW1EtGwBFdiHxlNd6I3m/6IMVAG0BFdiHxlNdQ8Na?keyword</w:t>
      </w:r>
      <w:r>
        <w:rPr>
          <w:rStyle w:val="77"/>
          <w:rFonts w:hint="eastAsia" w:ascii="宋体" w:hAnsi="宋体" w:cs="宋体"/>
          <w:bCs/>
          <w:sz w:val="24"/>
          <w:highlight w:val="none"/>
        </w:rPr>
        <w:t>）及本招标文件规定的格式和顺序编制电子投标文件并进行关联定位。</w:t>
      </w:r>
      <w:r>
        <w:rPr>
          <w:rStyle w:val="77"/>
          <w:rFonts w:hint="eastAsia" w:ascii="宋体" w:hAnsi="宋体" w:cs="宋体"/>
          <w:bCs/>
          <w:sz w:val="24"/>
          <w:highlight w:val="none"/>
        </w:rPr>
        <w:fldChar w:fldCharType="end"/>
      </w:r>
    </w:p>
    <w:p>
      <w:pPr>
        <w:pStyle w:val="34"/>
        <w:wordWrap w:val="0"/>
        <w:overflowPunct w:val="0"/>
        <w:autoSpaceDE w:val="0"/>
        <w:autoSpaceDN w:val="0"/>
        <w:snapToGrid w:val="0"/>
        <w:spacing w:line="360" w:lineRule="auto"/>
        <w:outlineLvl w:val="0"/>
        <w:rPr>
          <w:rFonts w:hAnsi="宋体" w:cs="宋体"/>
          <w:b/>
          <w:sz w:val="24"/>
          <w:szCs w:val="24"/>
          <w:highlight w:val="none"/>
        </w:rPr>
      </w:pPr>
      <w:bookmarkStart w:id="18" w:name="_Toc356371437"/>
      <w:bookmarkStart w:id="19" w:name="_Toc359856803"/>
      <w:r>
        <w:rPr>
          <w:rFonts w:hint="eastAsia" w:hAnsi="宋体" w:cs="宋体"/>
          <w:b/>
          <w:sz w:val="24"/>
          <w:szCs w:val="24"/>
          <w:highlight w:val="none"/>
        </w:rPr>
        <w:t>（八）投标文件的递交</w:t>
      </w:r>
      <w:bookmarkEnd w:id="18"/>
      <w:bookmarkEnd w:id="19"/>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1.递交投标文件截止期</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2.投标文件的修改和撤销</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（1）投标人在递交投标文件后，可以修改或撤回其投标文件：递交投标文件截止时间之前补充或者修改电子投标文件的，应当先行撤回原文件，补充、修改后重新传输递交。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（2）投标人修改后的投标文件应按原来的规定编制、密封、标记和递交。</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（3）在递交投标文件截止期之后，投标人不得对其投标文件做任何修改。</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（4）递交投标文件截止期后，投标人不得撤回其投标文件。</w:t>
      </w:r>
    </w:p>
    <w:p>
      <w:pPr>
        <w:wordWrap w:val="0"/>
        <w:overflowPunct w:val="0"/>
        <w:autoSpaceDE w:val="0"/>
        <w:autoSpaceDN w:val="0"/>
        <w:snapToGrid w:val="0"/>
        <w:spacing w:line="360" w:lineRule="auto"/>
        <w:ind w:firstLine="480" w:firstLineChars="200"/>
        <w:rPr>
          <w:rFonts w:ascii="宋体" w:hAnsi="宋体" w:cs="宋体"/>
          <w:bCs/>
          <w:sz w:val="24"/>
          <w:highlight w:val="none"/>
        </w:rPr>
      </w:pPr>
      <w:r>
        <w:rPr>
          <w:rFonts w:hint="eastAsia" w:ascii="宋体" w:hAnsi="宋体" w:cs="宋体"/>
          <w:bCs/>
          <w:sz w:val="24"/>
          <w:highlight w:val="none"/>
        </w:rPr>
        <w:t>（5）实质上没有响应本文件要求的投标文件将被拒绝。投标人不得通过修正或撤销不合要求的偏离或保留从而使其投标文件成为实质上响应的文件。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（1）</w:t>
      </w:r>
      <w:r>
        <w:rPr>
          <w:rFonts w:hint="eastAsia" w:ascii="宋体" w:hAnsi="宋体" w:cs="宋体"/>
          <w:sz w:val="24"/>
          <w:highlight w:val="none"/>
        </w:rPr>
        <w:t>投标人在电子交易平台传输递交投标文件后，还可以在投标截止时间前直接提交或者以邮政快递方式递交备份投标文件1份，但采购人、采购机构不强制或变相强制投标人提交备份投标文件。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（2）</w:t>
      </w:r>
      <w:r>
        <w:rPr>
          <w:rFonts w:hint="eastAsia" w:ascii="宋体" w:hAnsi="宋体" w:cs="宋体"/>
          <w:sz w:val="24"/>
          <w:highlight w:val="none"/>
        </w:rPr>
        <w:t>备份投标文件须在“政采云投标客户端”制作生成，并储存在</w:t>
      </w:r>
      <w:r>
        <w:rPr>
          <w:rFonts w:hint="eastAsia" w:ascii="宋体" w:hAnsi="宋体" w:cs="宋体"/>
          <w:b/>
          <w:bCs/>
          <w:sz w:val="24"/>
          <w:highlight w:val="none"/>
        </w:rPr>
        <w:t>（U盘）</w:t>
      </w:r>
      <w:r>
        <w:rPr>
          <w:rFonts w:hint="eastAsia" w:ascii="宋体" w:hAnsi="宋体" w:cs="宋体"/>
          <w:sz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（3）</w:t>
      </w:r>
      <w:r>
        <w:rPr>
          <w:rFonts w:hint="eastAsia" w:ascii="宋体" w:hAnsi="宋体" w:cs="宋体"/>
          <w:sz w:val="24"/>
          <w:highlight w:val="none"/>
        </w:rPr>
        <w:t>直接提交备份投标文件的，投标人应于投标截止时间前在招标公告中载明的开标地点将备份投标文件提交给采购机构，采购机构将拒绝接受逾期送达的备份投标文件。</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（4）</w:t>
      </w:r>
      <w:r>
        <w:rPr>
          <w:rFonts w:hint="eastAsia" w:ascii="宋体" w:hAnsi="宋体" w:cs="宋体"/>
          <w:sz w:val="24"/>
          <w:highlight w:val="none"/>
        </w:rPr>
        <w:t>以邮政快递方式递交备份投标文件的，投标人应先将备份投标文件按要求密封和标记，再进行邮政快递包装后邮寄。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bCs/>
          <w:sz w:val="24"/>
          <w:highlight w:val="none"/>
        </w:rPr>
        <w:t>（5）</w:t>
      </w:r>
      <w:r>
        <w:rPr>
          <w:rFonts w:hint="eastAsia" w:ascii="宋体" w:hAnsi="宋体" w:cs="宋体"/>
          <w:sz w:val="24"/>
          <w:highlight w:val="none"/>
        </w:rPr>
        <w:t>投标人仅提交备份投标文件，没有在电子交易平台传输递交投标文件的，投标无效。</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（九）投标无效的情形</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根据《政府采购货物和服务招标投标管理办法》有下列情形之一的，视为投标人串通投标，其投标无效：</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(一)不同投标人的投标文件由同一单位或者个人编制；</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(二)不同投标人委托同一单位或者个人办理投标事宜；</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(三)不同投标人的投标文件载明的项目管理成员或者联系人员为同一人；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(四)不同投标人的投标文件异常一致或者投标报价呈规律性差异；</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(五)不同投标人的投标文件相互混装；</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(六)不同投标人的投标保证金从同一单位或者个人的账户转出。</w:t>
      </w:r>
    </w:p>
    <w:p>
      <w:pPr>
        <w:wordWrap w:val="0"/>
        <w:overflowPunct w:val="0"/>
        <w:autoSpaceDE w:val="0"/>
        <w:autoSpaceDN w:val="0"/>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numPr>
          <w:ilvl w:val="0"/>
          <w:numId w:val="4"/>
        </w:numPr>
        <w:wordWrap w:val="0"/>
        <w:overflowPunct w:val="0"/>
        <w:autoSpaceDE w:val="0"/>
        <w:autoSpaceDN w:val="0"/>
        <w:snapToGrid w:val="0"/>
        <w:spacing w:line="360" w:lineRule="auto"/>
        <w:ind w:firstLine="466" w:firstLineChars="200"/>
        <w:jc w:val="left"/>
        <w:rPr>
          <w:rFonts w:ascii="宋体" w:hAnsi="宋体" w:cs="宋体"/>
          <w:b/>
          <w:bCs/>
          <w:sz w:val="24"/>
          <w:highlight w:val="none"/>
        </w:rPr>
      </w:pPr>
      <w:r>
        <w:rPr>
          <w:rFonts w:hint="eastAsia" w:ascii="宋体" w:hAnsi="宋体" w:cs="宋体"/>
          <w:b/>
          <w:bCs/>
          <w:spacing w:val="-4"/>
          <w:sz w:val="24"/>
          <w:highlight w:val="none"/>
        </w:rPr>
        <w:t>电</w:t>
      </w:r>
      <w:r>
        <w:rPr>
          <w:rFonts w:hint="eastAsia" w:ascii="宋体" w:hAnsi="宋体" w:cs="宋体"/>
          <w:b/>
          <w:bCs/>
          <w:sz w:val="24"/>
          <w:highlight w:val="none"/>
        </w:rPr>
        <w:t xml:space="preserve">子加密投标文件解密失败的；   </w:t>
      </w:r>
    </w:p>
    <w:p>
      <w:pPr>
        <w:wordWrap w:val="0"/>
        <w:overflowPunct w:val="0"/>
        <w:autoSpaceDE w:val="0"/>
        <w:autoSpaceDN w:val="0"/>
        <w:snapToGrid w:val="0"/>
        <w:spacing w:line="360" w:lineRule="auto"/>
        <w:jc w:val="left"/>
        <w:rPr>
          <w:rFonts w:ascii="宋体" w:hAnsi="宋体" w:cs="宋体"/>
          <w:b/>
          <w:bCs/>
          <w:sz w:val="24"/>
          <w:highlight w:val="none"/>
        </w:rPr>
      </w:pPr>
      <w:r>
        <w:rPr>
          <w:rFonts w:hint="eastAsia" w:ascii="宋体" w:hAnsi="宋体" w:cs="宋体"/>
          <w:b/>
          <w:bCs/>
          <w:sz w:val="24"/>
          <w:highlight w:val="none"/>
        </w:rPr>
        <w:t xml:space="preserve">    2.没有通过资格审查的，投标文件将被视为无效。</w:t>
      </w:r>
    </w:p>
    <w:p>
      <w:pPr>
        <w:wordWrap w:val="0"/>
        <w:overflowPunct w:val="0"/>
        <w:autoSpaceDE w:val="0"/>
        <w:autoSpaceDN w:val="0"/>
        <w:snapToGrid w:val="0"/>
        <w:spacing w:line="360" w:lineRule="auto"/>
        <w:ind w:firstLine="482" w:firstLineChars="200"/>
        <w:jc w:val="left"/>
        <w:rPr>
          <w:rFonts w:ascii="宋体" w:hAnsi="宋体" w:cs="宋体"/>
          <w:b/>
          <w:bCs/>
          <w:sz w:val="24"/>
          <w:highlight w:val="none"/>
        </w:rPr>
      </w:pPr>
      <w:r>
        <w:rPr>
          <w:rFonts w:hint="eastAsia" w:ascii="宋体" w:hAnsi="宋体" w:cs="宋体"/>
          <w:b/>
          <w:bCs/>
          <w:sz w:val="24"/>
          <w:highlight w:val="none"/>
        </w:rPr>
        <w:t>3.在符合性审查和资信商务评审时，如发现下列情形之一的，投标文件将被视为无效：</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（1）电子投标文件未按规定要求提供电子签章的。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（2）在资格文件或商务技术文件中出现报价的；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（3）资格证明文件不全的，或者不符合招标文件标明的资格要求的；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（4）投标文件无法定代表人签字（或盖章）,或未</w:t>
      </w:r>
      <w:r>
        <w:rPr>
          <w:rFonts w:hint="eastAsia" w:ascii="宋体" w:hAnsi="宋体" w:cs="宋体"/>
          <w:bCs/>
          <w:kern w:val="0"/>
          <w:sz w:val="24"/>
          <w:highlight w:val="none"/>
        </w:rPr>
        <w:t>提供法定代表人授权委托书、投标声明书或者填写项目不齐全的；</w:t>
      </w:r>
    </w:p>
    <w:p>
      <w:pPr>
        <w:wordWrap w:val="0"/>
        <w:overflowPunct w:val="0"/>
        <w:autoSpaceDE w:val="0"/>
        <w:autoSpaceDN w:val="0"/>
        <w:snapToGrid w:val="0"/>
        <w:spacing w:line="360" w:lineRule="auto"/>
        <w:ind w:firstLine="480" w:firstLineChars="200"/>
        <w:rPr>
          <w:rFonts w:ascii="宋体" w:hAnsi="宋体" w:cs="宋体"/>
          <w:bCs/>
          <w:kern w:val="0"/>
          <w:sz w:val="24"/>
          <w:highlight w:val="none"/>
        </w:rPr>
      </w:pPr>
      <w:r>
        <w:rPr>
          <w:rFonts w:hint="eastAsia" w:ascii="宋体" w:hAnsi="宋体" w:cs="宋体"/>
          <w:sz w:val="24"/>
          <w:highlight w:val="none"/>
        </w:rPr>
        <w:t>（5）投标代表人未能出具身份证明或与法定代表人授权委托人身份不符的；</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（6）投标文件项目不齐全或者内容虚假的；</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7）</w:t>
      </w:r>
      <w:r>
        <w:rPr>
          <w:rFonts w:hint="eastAsia" w:cs="宋体"/>
          <w:highlight w:val="none"/>
        </w:rPr>
        <w:t>投标文件的实质性内容未使用中文表述、意思表述不明确、前后矛盾或者使用计量单位不符合招标文件要求的（经评标委员会认定并允许其当场更正的笔误除外）；</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（8）</w:t>
      </w:r>
      <w:r>
        <w:rPr>
          <w:rFonts w:hint="eastAsia" w:cs="宋体"/>
          <w:snapToGrid w:val="0"/>
          <w:highlight w:val="none"/>
        </w:rPr>
        <w:t>投标有效期、服务期、质保期等商务条款不能满足招标文件要求的；</w:t>
      </w:r>
    </w:p>
    <w:p>
      <w:pPr>
        <w:pStyle w:val="25"/>
        <w:wordWrap w:val="0"/>
        <w:overflowPunct w:val="0"/>
        <w:autoSpaceDE w:val="0"/>
        <w:autoSpaceDN w:val="0"/>
        <w:snapToGrid w:val="0"/>
        <w:spacing w:line="360" w:lineRule="auto"/>
        <w:rPr>
          <w:rFonts w:cs="宋体"/>
          <w:snapToGrid w:val="0"/>
          <w:highlight w:val="none"/>
        </w:rPr>
      </w:pPr>
      <w:r>
        <w:rPr>
          <w:rFonts w:hint="eastAsia" w:cs="宋体"/>
          <w:highlight w:val="none"/>
        </w:rPr>
        <w:t>（</w:t>
      </w:r>
      <w:r>
        <w:rPr>
          <w:rFonts w:hint="eastAsia" w:cs="宋体"/>
          <w:snapToGrid w:val="0"/>
          <w:highlight w:val="none"/>
        </w:rPr>
        <w:t>9）</w:t>
      </w:r>
      <w:r>
        <w:rPr>
          <w:rFonts w:hint="eastAsia" w:cs="宋体"/>
          <w:highlight w:val="none"/>
        </w:rPr>
        <w:t>未实质性响应招标文件要求或者投标文件有招标方不能接受的附加条件的</w:t>
      </w:r>
      <w:r>
        <w:rPr>
          <w:rFonts w:hint="eastAsia" w:cs="宋体"/>
          <w:snapToGrid w:val="0"/>
          <w:highlight w:val="none"/>
        </w:rPr>
        <w:t>；</w:t>
      </w:r>
    </w:p>
    <w:p>
      <w:pPr>
        <w:pStyle w:val="25"/>
        <w:wordWrap w:val="0"/>
        <w:overflowPunct w:val="0"/>
        <w:autoSpaceDE w:val="0"/>
        <w:autoSpaceDN w:val="0"/>
        <w:snapToGrid w:val="0"/>
        <w:spacing w:line="360" w:lineRule="auto"/>
        <w:rPr>
          <w:rFonts w:cs="宋体"/>
          <w:highlight w:val="none"/>
        </w:rPr>
      </w:pPr>
      <w:r>
        <w:rPr>
          <w:rFonts w:hint="eastAsia" w:cs="宋体"/>
          <w:highlight w:val="none"/>
        </w:rPr>
        <w:t>（10）不符合本采购文件中的实质性要求条款</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4.在技术评审时，如发现下列情形之一的，投标文件将被视为无效：</w:t>
      </w:r>
    </w:p>
    <w:p>
      <w:pPr>
        <w:pStyle w:val="25"/>
        <w:snapToGrid w:val="0"/>
        <w:spacing w:line="360" w:lineRule="auto"/>
        <w:ind w:firstLine="470" w:firstLineChars="196"/>
        <w:rPr>
          <w:rFonts w:cs="宋体"/>
          <w:highlight w:val="none"/>
        </w:rPr>
      </w:pPr>
      <w:r>
        <w:rPr>
          <w:rFonts w:hint="eastAsia" w:cs="宋体"/>
          <w:highlight w:val="none"/>
        </w:rPr>
        <w:t>（1）投标文件标明的响应或偏离与事实不符或虚假投标的；</w:t>
      </w:r>
    </w:p>
    <w:p>
      <w:pPr>
        <w:pStyle w:val="25"/>
        <w:snapToGrid w:val="0"/>
        <w:spacing w:line="360" w:lineRule="auto"/>
        <w:ind w:firstLine="470" w:firstLineChars="196"/>
        <w:rPr>
          <w:rFonts w:cs="宋体"/>
          <w:highlight w:val="none"/>
        </w:rPr>
      </w:pPr>
      <w:r>
        <w:rPr>
          <w:rFonts w:hint="eastAsia" w:cs="宋体"/>
          <w:highlight w:val="none"/>
        </w:rPr>
        <w:t>（2）明显不符合采购文件要求的服务内容，或者与采购文件中标“▲”的服务需求、主要功能项目发生实质性偏离的；</w:t>
      </w:r>
    </w:p>
    <w:p>
      <w:pPr>
        <w:pStyle w:val="25"/>
        <w:snapToGrid w:val="0"/>
        <w:spacing w:line="360" w:lineRule="auto"/>
        <w:ind w:firstLine="470" w:firstLineChars="196"/>
        <w:rPr>
          <w:rFonts w:cs="宋体"/>
          <w:highlight w:val="none"/>
        </w:rPr>
      </w:pPr>
      <w:r>
        <w:rPr>
          <w:rFonts w:hint="eastAsia" w:cs="宋体"/>
          <w:highlight w:val="none"/>
        </w:rPr>
        <w:t>（3）投标技术方案不明确，存在一个或一个以上备选（替代）投标方案的；</w:t>
      </w:r>
    </w:p>
    <w:p>
      <w:pPr>
        <w:pStyle w:val="25"/>
        <w:snapToGrid w:val="0"/>
        <w:spacing w:line="360" w:lineRule="auto"/>
        <w:ind w:firstLine="470" w:firstLineChars="196"/>
        <w:rPr>
          <w:highlight w:val="none"/>
        </w:rPr>
      </w:pPr>
      <w:r>
        <w:rPr>
          <w:rFonts w:hint="eastAsia" w:cs="宋体"/>
          <w:highlight w:val="none"/>
        </w:rPr>
        <w:t>（4）与其他参加本次投标供应商的投标文件（技术文件）的文字表述内容相同连续20行以上或者差错相同2处以上的</w:t>
      </w:r>
      <w:r>
        <w:rPr>
          <w:rFonts w:hint="eastAsia"/>
          <w:highlight w:val="none"/>
        </w:rPr>
        <w:t>。</w:t>
      </w:r>
    </w:p>
    <w:p>
      <w:pPr>
        <w:pStyle w:val="25"/>
        <w:wordWrap w:val="0"/>
        <w:overflowPunct w:val="0"/>
        <w:autoSpaceDE w:val="0"/>
        <w:autoSpaceDN w:val="0"/>
        <w:snapToGrid w:val="0"/>
        <w:spacing w:line="360" w:lineRule="auto"/>
        <w:rPr>
          <w:rFonts w:cs="宋体"/>
          <w:highlight w:val="none"/>
        </w:rPr>
      </w:pPr>
      <w:r>
        <w:rPr>
          <w:rFonts w:hint="eastAsia"/>
          <w:highlight w:val="none"/>
        </w:rPr>
        <w:t>（5）不符合本采购文件中的实质性要求条款</w:t>
      </w:r>
      <w:r>
        <w:rPr>
          <w:rFonts w:hint="eastAsia" w:cs="宋体"/>
          <w:highlight w:val="none"/>
        </w:rPr>
        <w:t>；</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5.在报价评审时，如发现下列情形之一的，投标文件将被视为无效：</w:t>
      </w:r>
    </w:p>
    <w:p>
      <w:pPr>
        <w:pStyle w:val="25"/>
        <w:snapToGrid w:val="0"/>
        <w:spacing w:line="360" w:lineRule="auto"/>
        <w:rPr>
          <w:highlight w:val="none"/>
        </w:rPr>
      </w:pPr>
      <w:r>
        <w:rPr>
          <w:rFonts w:hint="eastAsia"/>
          <w:highlight w:val="none"/>
        </w:rPr>
        <w:t>（1）未采用人民币报价或者未按照采购文件标明的币种报价的；</w:t>
      </w:r>
    </w:p>
    <w:p>
      <w:pPr>
        <w:pStyle w:val="25"/>
        <w:snapToGrid w:val="0"/>
        <w:spacing w:line="360" w:lineRule="auto"/>
        <w:rPr>
          <w:highlight w:val="none"/>
        </w:rPr>
      </w:pPr>
      <w:r>
        <w:rPr>
          <w:rFonts w:hint="eastAsia"/>
          <w:highlight w:val="none"/>
        </w:rPr>
        <w:t>（2）投标报价具有选择性，或者开标价格与投标文件承诺的优惠（折扣）价格不一致的；</w:t>
      </w:r>
    </w:p>
    <w:p>
      <w:pPr>
        <w:pStyle w:val="25"/>
        <w:snapToGrid w:val="0"/>
        <w:spacing w:line="360" w:lineRule="auto"/>
        <w:rPr>
          <w:highlight w:val="none"/>
        </w:rPr>
      </w:pPr>
      <w:r>
        <w:rPr>
          <w:rFonts w:hint="eastAsia"/>
          <w:highlight w:val="none"/>
        </w:rPr>
        <w:t>（3）报价文件内容与商务、技术文件内容严重不一致，评标委员会无法评审的；</w:t>
      </w:r>
    </w:p>
    <w:p>
      <w:pPr>
        <w:pStyle w:val="25"/>
        <w:snapToGrid w:val="0"/>
        <w:spacing w:line="360" w:lineRule="auto"/>
        <w:rPr>
          <w:highlight w:val="none"/>
        </w:rPr>
      </w:pPr>
      <w:r>
        <w:rPr>
          <w:rFonts w:hint="eastAsia"/>
          <w:highlight w:val="none"/>
        </w:rPr>
        <w:t>（4）评标委员会认定属投标人自身原因有重大漏项的。</w:t>
      </w:r>
    </w:p>
    <w:p>
      <w:pPr>
        <w:pStyle w:val="25"/>
        <w:snapToGrid w:val="0"/>
        <w:spacing w:line="360" w:lineRule="auto"/>
        <w:rPr>
          <w:highlight w:val="none"/>
        </w:rPr>
      </w:pPr>
      <w:r>
        <w:rPr>
          <w:rFonts w:hint="eastAsia"/>
          <w:highlight w:val="none"/>
        </w:rPr>
        <w:t>（5）评标委员会认为投标人的报价明显低于其他通过符合性审查投标人的报价，有可能影响产品质量或者不能诚信履约，要求其通过“政采云”平台在规定的时间内提供经CA签章的材料，投标人不能提供证明其报价合理性材料的。</w:t>
      </w:r>
    </w:p>
    <w:p>
      <w:pPr>
        <w:pStyle w:val="25"/>
        <w:snapToGrid w:val="0"/>
        <w:spacing w:line="360" w:lineRule="auto"/>
        <w:rPr>
          <w:highlight w:val="none"/>
        </w:rPr>
      </w:pPr>
      <w:r>
        <w:rPr>
          <w:rFonts w:hint="eastAsia"/>
          <w:highlight w:val="none"/>
        </w:rPr>
        <w:t>（6）报价超过采购文件中规定的预算金额或者最高限价的。</w:t>
      </w:r>
    </w:p>
    <w:p>
      <w:pPr>
        <w:pStyle w:val="25"/>
        <w:snapToGrid w:val="0"/>
        <w:spacing w:line="360" w:lineRule="auto"/>
        <w:rPr>
          <w:highlight w:val="none"/>
        </w:rPr>
      </w:pPr>
      <w:r>
        <w:rPr>
          <w:rFonts w:hint="eastAsia"/>
          <w:highlight w:val="none"/>
        </w:rPr>
        <w:t>（7）报价文件无法定代表人或授权代表签字（或盖章）的；</w:t>
      </w:r>
    </w:p>
    <w:p>
      <w:pPr>
        <w:pStyle w:val="25"/>
        <w:snapToGrid w:val="0"/>
        <w:spacing w:line="360" w:lineRule="auto"/>
        <w:rPr>
          <w:highlight w:val="none"/>
        </w:rPr>
      </w:pPr>
      <w:r>
        <w:rPr>
          <w:rFonts w:hint="eastAsia"/>
          <w:highlight w:val="none"/>
        </w:rPr>
        <w:t>（8）报价文件格式不规范、项目不齐全或者内容虚假的；</w:t>
      </w:r>
    </w:p>
    <w:p>
      <w:pPr>
        <w:pStyle w:val="25"/>
        <w:snapToGrid w:val="0"/>
        <w:spacing w:line="360" w:lineRule="auto"/>
        <w:rPr>
          <w:highlight w:val="none"/>
        </w:rPr>
      </w:pPr>
      <w:r>
        <w:rPr>
          <w:rFonts w:hint="eastAsia"/>
          <w:highlight w:val="none"/>
        </w:rPr>
        <w:t>（9）报价文件的实质性内容未使用中文表述、意思表述不明确、前后矛盾或者使用计量单位不符合招标文件要求的（经评标委员会认定并允许其当场更正的笔误除外）；</w:t>
      </w:r>
    </w:p>
    <w:p>
      <w:pPr>
        <w:pStyle w:val="25"/>
        <w:snapToGrid w:val="0"/>
        <w:spacing w:line="360" w:lineRule="auto"/>
        <w:rPr>
          <w:highlight w:val="none"/>
        </w:rPr>
      </w:pPr>
      <w:r>
        <w:rPr>
          <w:rFonts w:hint="eastAsia"/>
          <w:highlight w:val="none"/>
        </w:rPr>
        <w:t>（10）未实质性响应采购文件要求或者投标文件有采购方不能接受的附加条件的。</w:t>
      </w:r>
    </w:p>
    <w:p>
      <w:pPr>
        <w:pStyle w:val="25"/>
        <w:wordWrap w:val="0"/>
        <w:overflowPunct w:val="0"/>
        <w:autoSpaceDE w:val="0"/>
        <w:autoSpaceDN w:val="0"/>
        <w:snapToGrid w:val="0"/>
        <w:spacing w:line="360" w:lineRule="auto"/>
        <w:rPr>
          <w:rFonts w:cs="宋体"/>
          <w:highlight w:val="none"/>
        </w:rPr>
      </w:pPr>
      <w:r>
        <w:rPr>
          <w:rFonts w:hint="eastAsia"/>
          <w:highlight w:val="none"/>
        </w:rPr>
        <w:t>（11）不符合本采购文件中的实质性要求条款</w:t>
      </w:r>
      <w:r>
        <w:rPr>
          <w:rFonts w:hint="eastAsia" w:cs="宋体"/>
          <w:highlight w:val="none"/>
        </w:rPr>
        <w:t>；</w:t>
      </w:r>
    </w:p>
    <w:p>
      <w:pPr>
        <w:pStyle w:val="25"/>
        <w:wordWrap w:val="0"/>
        <w:overflowPunct w:val="0"/>
        <w:autoSpaceDE w:val="0"/>
        <w:autoSpaceDN w:val="0"/>
        <w:snapToGrid w:val="0"/>
        <w:spacing w:line="360" w:lineRule="auto"/>
        <w:ind w:firstLine="482"/>
        <w:rPr>
          <w:rFonts w:cs="宋体"/>
          <w:b/>
          <w:highlight w:val="none"/>
        </w:rPr>
      </w:pPr>
      <w:r>
        <w:rPr>
          <w:rFonts w:hint="eastAsia" w:cs="宋体"/>
          <w:b/>
          <w:highlight w:val="none"/>
        </w:rPr>
        <w:t>6.被拒绝的投标文件为无效；</w:t>
      </w:r>
    </w:p>
    <w:p>
      <w:pPr>
        <w:pStyle w:val="25"/>
        <w:wordWrap w:val="0"/>
        <w:overflowPunct w:val="0"/>
        <w:autoSpaceDE w:val="0"/>
        <w:autoSpaceDN w:val="0"/>
        <w:snapToGrid w:val="0"/>
        <w:spacing w:line="360" w:lineRule="auto"/>
        <w:ind w:firstLine="482"/>
        <w:rPr>
          <w:rFonts w:cs="宋体"/>
          <w:b/>
          <w:highlight w:val="none"/>
        </w:rPr>
      </w:pPr>
      <w:r>
        <w:rPr>
          <w:rFonts w:hint="eastAsia" w:cs="宋体"/>
          <w:b/>
          <w:highlight w:val="none"/>
        </w:rPr>
        <w:t>7.存在带“▲”条款的负偏离的；</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8.本招标文件其他部分已规定为无效标的情形；</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9.评标专家认定的其他必须按无效标处理的。</w:t>
      </w:r>
    </w:p>
    <w:p>
      <w:pPr>
        <w:pStyle w:val="25"/>
        <w:wordWrap w:val="0"/>
        <w:overflowPunct w:val="0"/>
        <w:autoSpaceDE w:val="0"/>
        <w:autoSpaceDN w:val="0"/>
        <w:snapToGrid w:val="0"/>
        <w:spacing w:line="360" w:lineRule="auto"/>
        <w:ind w:firstLine="482"/>
        <w:rPr>
          <w:rFonts w:cs="宋体"/>
          <w:b/>
          <w:bCs/>
          <w:highlight w:val="none"/>
        </w:rPr>
      </w:pPr>
      <w:r>
        <w:rPr>
          <w:rFonts w:hint="eastAsia" w:cs="宋体"/>
          <w:b/>
          <w:bCs/>
          <w:highlight w:val="none"/>
        </w:rPr>
        <w:t>（十）出现以下情形，导致电子交易平台无法正常运行，或者无法保证电子交易的公平、公正和安全时，中止电子交易活动：</w:t>
      </w:r>
    </w:p>
    <w:p>
      <w:pPr>
        <w:pStyle w:val="25"/>
        <w:wordWrap w:val="0"/>
        <w:overflowPunct w:val="0"/>
        <w:autoSpaceDE w:val="0"/>
        <w:autoSpaceDN w:val="0"/>
        <w:snapToGrid w:val="0"/>
        <w:spacing w:line="360" w:lineRule="auto"/>
        <w:rPr>
          <w:rFonts w:cs="宋体"/>
          <w:highlight w:val="none"/>
        </w:rPr>
      </w:pPr>
      <w:r>
        <w:rPr>
          <w:rFonts w:hint="eastAsia" w:cs="宋体"/>
          <w:highlight w:val="none"/>
        </w:rPr>
        <w:t>1.电子交易平台发生故障而无法登录访问的；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2.电子交易平台应用或数据库出现错误，不能进行正常操作的；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3.电子交易平台发现严重安全漏洞，有潜在泄密危险的；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4.病毒发作导致不能进行正常操作的；</w:t>
      </w:r>
    </w:p>
    <w:p>
      <w:pPr>
        <w:pStyle w:val="25"/>
        <w:wordWrap w:val="0"/>
        <w:overflowPunct w:val="0"/>
        <w:autoSpaceDE w:val="0"/>
        <w:autoSpaceDN w:val="0"/>
        <w:snapToGrid w:val="0"/>
        <w:spacing w:line="360" w:lineRule="auto"/>
        <w:rPr>
          <w:rFonts w:cs="宋体"/>
          <w:highlight w:val="none"/>
        </w:rPr>
      </w:pPr>
      <w:r>
        <w:rPr>
          <w:rFonts w:hint="eastAsia" w:cs="宋体"/>
          <w:highlight w:val="none"/>
        </w:rPr>
        <w:t>5.其他无法保证电子交易的公平、公正和安全的情况。</w:t>
      </w:r>
    </w:p>
    <w:p>
      <w:pPr>
        <w:pStyle w:val="25"/>
        <w:wordWrap w:val="0"/>
        <w:overflowPunct w:val="0"/>
        <w:autoSpaceDE w:val="0"/>
        <w:autoSpaceDN w:val="0"/>
        <w:snapToGrid w:val="0"/>
        <w:spacing w:line="360" w:lineRule="auto"/>
        <w:rPr>
          <w:rFonts w:cs="宋体"/>
          <w:highlight w:val="none"/>
        </w:rPr>
      </w:pPr>
      <w:r>
        <w:rPr>
          <w:rFonts w:hint="eastAsia" w:cs="宋体"/>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pStyle w:val="34"/>
        <w:wordWrap w:val="0"/>
        <w:overflowPunct w:val="0"/>
        <w:autoSpaceDE w:val="0"/>
        <w:autoSpaceDN w:val="0"/>
        <w:snapToGrid w:val="0"/>
        <w:spacing w:line="360" w:lineRule="auto"/>
        <w:outlineLvl w:val="0"/>
        <w:rPr>
          <w:rFonts w:hAnsi="宋体" w:cs="宋体"/>
          <w:b/>
          <w:sz w:val="28"/>
          <w:szCs w:val="28"/>
          <w:highlight w:val="none"/>
        </w:rPr>
      </w:pPr>
      <w:r>
        <w:rPr>
          <w:rFonts w:hint="eastAsia" w:hAnsi="宋体" w:cs="宋体"/>
          <w:b/>
          <w:sz w:val="28"/>
          <w:szCs w:val="28"/>
          <w:highlight w:val="none"/>
        </w:rPr>
        <w:t>四、开标</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（一）开标准备</w:t>
      </w:r>
    </w:p>
    <w:p>
      <w:pPr>
        <w:wordWrap w:val="0"/>
        <w:overflowPunct w:val="0"/>
        <w:autoSpaceDE w:val="0"/>
        <w:autoSpaceDN w:val="0"/>
        <w:snapToGrid w:val="0"/>
        <w:spacing w:line="360" w:lineRule="auto"/>
        <w:ind w:firstLine="482" w:firstLineChars="200"/>
        <w:jc w:val="left"/>
        <w:rPr>
          <w:rFonts w:ascii="宋体" w:hAnsi="宋体" w:cs="宋体"/>
          <w:b/>
          <w:kern w:val="0"/>
          <w:sz w:val="24"/>
          <w:highlight w:val="none"/>
        </w:rPr>
      </w:pPr>
      <w:r>
        <w:rPr>
          <w:rFonts w:hint="eastAsia" w:ascii="宋体" w:hAnsi="宋体" w:cs="宋体"/>
          <w:b/>
          <w:sz w:val="24"/>
          <w:highlight w:val="none"/>
        </w:rPr>
        <w:t>采购代理机构原则上采用电子评标，按照招标文件规定的时间通过“政府采购云平台”组织开标、开启投标文件，所有供应商可以派授权代表参加或准时在线参加。</w:t>
      </w:r>
      <w:r>
        <w:rPr>
          <w:rFonts w:hint="eastAsia" w:ascii="宋体" w:hAnsi="宋体" w:cs="宋体"/>
          <w:b/>
          <w:kern w:val="0"/>
          <w:sz w:val="24"/>
          <w:highlight w:val="none"/>
        </w:rPr>
        <w:t>供应商如不参加开标会议的，视同认可开标结果，事后不得对采购相关人员、招标过程和招标结果提出异议，同时供应商因未在线参加开标而导致投标文件无法按时解密等一切后果由供应商自己承担。</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 xml:space="preserve"> (二) 采购人或者采购代理机构职责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采购人或者采购代理机构负责组织评标工作，并履行下列职责：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1.核对评审专家身份和采购人代表授权函，对评审专家在政府采购活动中的职责履行情况予以记录，并及时将有关违法违规行为向财政部门报告；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2.宣布评标纪律；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3.公布投标人名单，告知评审专家应当回避的情形；</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4.组织评标委员会推选评标组长，采购人代表不得担任组长；</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5.在评标期间采取必要的通讯管理措施，保证评标活动不受外界干扰；</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6.根据评标委员会的要求介绍政府采购相关政策法规、招标文件；</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7.维护评标秩序，监督评标委员会依照招标文件规定的评标程序、方法和标准进行独立评审，及时制止和纠正采购人代表、评审专家的倾向性言论或者违法违规行为；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8.核对评标结果，有本办法第六十四条规定情形的，要求评标委员会复核或者书面说明理由，评标委员会拒绝的，应予记录并向本级财政部门报告；</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9.评审工作完成后，按照规定向评审专家支付劳务报酬和异地评审差旅费，不得向评审专家以外的其他人员支付评审劳务报酬；</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10.处理与评标有关的其他事项。</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（三）开标程序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本项目原则上采用政采云电子招投标开标及评审程序，但有下情形之一的，按以下情况处理：</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1.开标会由采购代理机构主持，主持人宣布开标会议开始；</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2.主持人介绍参加开标会的人员名单； </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3.主持人宣布评标期间的有关事项；告知应当回避的情形,提请有关人员回避；</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4.电子投标文件开标:</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（1）投标截止时间后，投标人登录政采云平台，用“项目采购-开标评标”功能对电子投标文件进行在线解密。在线解密电子投标文件时间为开标时间起半个小时内。</w:t>
      </w:r>
    </w:p>
    <w:p>
      <w:pPr>
        <w:wordWrap w:val="0"/>
        <w:overflowPunct w:val="0"/>
        <w:autoSpaceDE w:val="0"/>
        <w:autoSpaceDN w:val="0"/>
        <w:snapToGrid w:val="0"/>
        <w:spacing w:line="360" w:lineRule="auto"/>
        <w:rPr>
          <w:rFonts w:ascii="宋体" w:hAnsi="宋体" w:cs="宋体"/>
          <w:sz w:val="24"/>
          <w:highlight w:val="none"/>
        </w:rPr>
      </w:pPr>
      <w:r>
        <w:rPr>
          <w:rFonts w:hint="eastAsia" w:ascii="宋体" w:hAnsi="宋体" w:cs="宋体"/>
          <w:sz w:val="24"/>
          <w:highlight w:val="none"/>
        </w:rPr>
        <w:t xml:space="preserve">   （2）由采购人代表对资格审查文件进行评审，评标委员会对技术商务文件进行评审。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（3）在系统上公开资格审查和技术商务评审结果；</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（4）在系统上公开报价开标情况；</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（5）评标委员会对报价情况进行评审；</w:t>
      </w:r>
    </w:p>
    <w:p>
      <w:pPr>
        <w:wordWrap w:val="0"/>
        <w:overflowPunct w:val="0"/>
        <w:autoSpaceDE w:val="0"/>
        <w:autoSpaceDN w:val="0"/>
        <w:spacing w:line="360" w:lineRule="auto"/>
        <w:rPr>
          <w:rFonts w:ascii="宋体" w:hAnsi="宋体" w:cs="宋体"/>
          <w:sz w:val="24"/>
          <w:highlight w:val="none"/>
        </w:rPr>
      </w:pPr>
      <w:r>
        <w:rPr>
          <w:rFonts w:hint="eastAsia" w:ascii="宋体" w:hAnsi="宋体" w:cs="宋体"/>
          <w:sz w:val="24"/>
          <w:highlight w:val="none"/>
        </w:rPr>
        <w:t xml:space="preserve">   （6）在系统上公布评审结果。</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特别说明：政采云公司如对电子化开标及评审程序有调整的，按调整后的程序操作。</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五、评标</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w:t>
      </w:r>
      <w:r>
        <w:rPr>
          <w:rFonts w:hint="eastAsia" w:hAnsi="宋体" w:cs="宋体"/>
          <w:b/>
          <w:bCs/>
          <w:sz w:val="24"/>
          <w:szCs w:val="24"/>
          <w:highlight w:val="none"/>
        </w:rPr>
        <w:t>组建评标委员会</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本项目评标委员会由采购人代表和相关专业专家组成，采购人代表1名，专家评委4名，评标委员会负责具体评标事务，并独立履行下列职责：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1.审查、评价投标文件是否符合招标文件的商务、技术等实质性要求；</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2.要求投标人对投标文件有关事项作出澄清或者说明；</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3.对投标文件进行比较和评价；</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4.确定中标候选人名单，以及根据采购人委托直接确定中标人；</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5.向采购人、采购代理机构或者有关部门报告评标中发现的违法行为。</w:t>
      </w:r>
    </w:p>
    <w:p>
      <w:pPr>
        <w:wordWrap w:val="0"/>
        <w:overflowPunct w:val="0"/>
        <w:autoSpaceDE w:val="0"/>
        <w:autoSpaceDN w:val="0"/>
        <w:spacing w:line="360" w:lineRule="auto"/>
        <w:ind w:firstLine="482" w:firstLineChars="200"/>
        <w:rPr>
          <w:rFonts w:ascii="宋体" w:hAnsi="宋体" w:cs="宋体"/>
          <w:b/>
          <w:sz w:val="24"/>
          <w:highlight w:val="none"/>
          <w:u w:val="single"/>
        </w:rPr>
      </w:pPr>
      <w:r>
        <w:rPr>
          <w:rFonts w:hint="eastAsia" w:ascii="宋体" w:hAnsi="宋体" w:cs="宋体"/>
          <w:b/>
          <w:sz w:val="24"/>
          <w:highlight w:val="none"/>
          <w:u w:val="single"/>
        </w:rPr>
        <w:t>除采购人代表、评标现场组织人员外，采购人的其他工作人员以及与评标工作无关的人员不得进入评标现场。</w:t>
      </w:r>
    </w:p>
    <w:p>
      <w:pPr>
        <w:pStyle w:val="34"/>
        <w:wordWrap w:val="0"/>
        <w:overflowPunct w:val="0"/>
        <w:autoSpaceDE w:val="0"/>
        <w:autoSpaceDN w:val="0"/>
        <w:snapToGrid w:val="0"/>
        <w:spacing w:line="360" w:lineRule="auto"/>
        <w:rPr>
          <w:rFonts w:hAnsi="宋体" w:cs="宋体"/>
          <w:b/>
          <w:bCs/>
          <w:sz w:val="24"/>
          <w:szCs w:val="24"/>
          <w:highlight w:val="none"/>
        </w:rPr>
      </w:pPr>
      <w:r>
        <w:rPr>
          <w:rFonts w:hint="eastAsia" w:hAnsi="宋体" w:cs="宋体"/>
          <w:b/>
          <w:sz w:val="24"/>
          <w:szCs w:val="24"/>
          <w:highlight w:val="none"/>
        </w:rPr>
        <w:t>（二）</w:t>
      </w:r>
      <w:r>
        <w:rPr>
          <w:rFonts w:hint="eastAsia" w:hAnsi="宋体" w:cs="宋体"/>
          <w:b/>
          <w:bCs/>
          <w:sz w:val="24"/>
          <w:szCs w:val="24"/>
          <w:highlight w:val="none"/>
        </w:rPr>
        <w:t>评标的方式</w:t>
      </w:r>
    </w:p>
    <w:p>
      <w:pPr>
        <w:pStyle w:val="34"/>
        <w:wordWrap w:val="0"/>
        <w:overflowPunct w:val="0"/>
        <w:autoSpaceDE w:val="0"/>
        <w:autoSpaceDN w:val="0"/>
        <w:snapToGrid w:val="0"/>
        <w:spacing w:line="360" w:lineRule="auto"/>
        <w:rPr>
          <w:rFonts w:hAnsi="宋体" w:cs="宋体"/>
          <w:sz w:val="24"/>
          <w:szCs w:val="24"/>
          <w:highlight w:val="none"/>
        </w:rPr>
      </w:pPr>
      <w:r>
        <w:rPr>
          <w:rFonts w:hint="eastAsia" w:hAnsi="宋体" w:cs="宋体"/>
          <w:sz w:val="24"/>
          <w:szCs w:val="24"/>
          <w:highlight w:val="none"/>
        </w:rPr>
        <w:t xml:space="preserve">     本项目采用不公开方式评标，评标的依据为招标文件和投标文件。</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（三）评标程序</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采购人可以在评标前说明项目背景和采购需求，说明内容不得含有歧视性、倾向性意见，不得超出招标文件所述范围。说明应当提交书面材料，并随采购文件一并存档。</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1.形式审查</w:t>
      </w:r>
    </w:p>
    <w:p>
      <w:pPr>
        <w:wordWrap w:val="0"/>
        <w:overflowPunct w:val="0"/>
        <w:autoSpaceDE w:val="0"/>
        <w:autoSpaceDN w:val="0"/>
        <w:snapToGrid w:val="0"/>
        <w:spacing w:line="360" w:lineRule="auto"/>
        <w:ind w:firstLine="480" w:firstLineChars="200"/>
        <w:rPr>
          <w:rFonts w:ascii="宋体" w:hAnsi="宋体" w:cs="宋体"/>
          <w:b/>
          <w:sz w:val="24"/>
          <w:highlight w:val="none"/>
        </w:rPr>
      </w:pPr>
      <w:r>
        <w:rPr>
          <w:rFonts w:hint="eastAsia" w:ascii="宋体" w:hAnsi="宋体" w:cs="宋体"/>
          <w:sz w:val="24"/>
          <w:highlight w:val="none"/>
        </w:rPr>
        <w:t>采购人代表和代理机构工作人员协助评标委员会对投标人的资格和投标文件的完整性、合法性等进行审查。</w:t>
      </w:r>
    </w:p>
    <w:p>
      <w:pPr>
        <w:wordWrap w:val="0"/>
        <w:overflowPunct w:val="0"/>
        <w:autoSpaceDE w:val="0"/>
        <w:autoSpaceDN w:val="0"/>
        <w:snapToGrid w:val="0"/>
        <w:spacing w:line="360" w:lineRule="auto"/>
        <w:ind w:firstLine="482" w:firstLineChars="200"/>
        <w:rPr>
          <w:rFonts w:ascii="宋体" w:hAnsi="宋体" w:cs="宋体"/>
          <w:b/>
          <w:bCs/>
          <w:sz w:val="24"/>
          <w:highlight w:val="none"/>
        </w:rPr>
      </w:pPr>
      <w:r>
        <w:rPr>
          <w:rFonts w:hint="eastAsia" w:ascii="宋体" w:hAnsi="宋体" w:cs="宋体"/>
          <w:b/>
          <w:bCs/>
          <w:sz w:val="24"/>
          <w:highlight w:val="none"/>
        </w:rPr>
        <w:t>2.实质审查与比较</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（1）评标委员会审查投标文件的实质性内容是否符合招标文件的实质性要求。</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（2）评标委员会将根据投标人的投标文件进行审查、核对,如有疑问,将对投标人进行询标,投标人要向评标委员会澄清有关问题,并最终以书面形式进行答复。</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投标人代表未到场、未在线或者拒绝澄清或者澄清的内容改变了投标文件的实质性内容的，评标委员会有权对该投标文件作出不利于投标人的评判。</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（3）各投标人的技术得分为所有评委的有效评分的算术平均数，由指定专人进行计算复核。</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（4）嘉兴市银建工程咨询评估有限公司工作人员协助评标委员会根据本项目的评分标准计算各投标人的商务报价得分。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（5）评标委员会完成评标后,评委对各部分得分汇总,计算出本项目最终得分、性价比、评标价等。评标委员会按评标原则推荐中标候选人同时起草评标报告。</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（四）澄清问题的形式</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对投标文件中含义不明确、同类问题表述不一致或者有明显文字和计算错误的内容，评标委员会可要求供应商作出必要的澄清、说明或者纠正。</w:t>
      </w:r>
    </w:p>
    <w:p>
      <w:pPr>
        <w:wordWrap w:val="0"/>
        <w:overflowPunct w:val="0"/>
        <w:autoSpaceDE w:val="0"/>
        <w:autoSpaceDN w:val="0"/>
        <w:spacing w:line="360" w:lineRule="auto"/>
        <w:ind w:firstLine="480" w:firstLineChars="200"/>
        <w:rPr>
          <w:rFonts w:ascii="宋体" w:hAnsi="宋体" w:cs="宋体"/>
          <w:sz w:val="24"/>
          <w:highlight w:val="none"/>
        </w:rPr>
      </w:pPr>
      <w:r>
        <w:rPr>
          <w:rFonts w:hint="eastAsia" w:ascii="宋体" w:hAnsi="宋体" w:cs="宋体"/>
          <w:sz w:val="24"/>
          <w:highlight w:val="none"/>
        </w:rPr>
        <w:t>1.评标委员会可以在“政采云”平台在线询标或其他有效形式要求供应商对同一份投标文件含义不明确或同类问题表述不一致的内容（招标文件其它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2.如果供应商代表拒绝或未按评标委员会要求在“政采云”平台作出在线回复且无其他有效回复方式的，评标委员会可以对其作出无效标处理。</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（五）</w:t>
      </w:r>
      <w:r>
        <w:rPr>
          <w:rFonts w:hint="eastAsia" w:hAnsi="宋体" w:cs="宋体"/>
          <w:b/>
          <w:bCs/>
          <w:sz w:val="24"/>
          <w:szCs w:val="24"/>
          <w:highlight w:val="none"/>
        </w:rPr>
        <w:t>错误修正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投标文件报价出现前后不一致的，除招标文件另有规定外按照下列规定修正：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1.投标文件中开标一览表（报价表）内容与投标文件中相应内容不一致的，以开标一览表（报价表）为准；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2.大写金额和小写金额不一致的，以大写金额为准；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3.单价金额小数点或者百分比有明显错位的，以开标一览表的总价为准，并修改单价；</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4.总价金额与按单价汇总金额不一致的，以单价金额计算结果为准；</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5.电子投标流程中，客户端填写的报价与以pdf格式上传文件中的报价不一致的，应以Pdf格式上传文件中的报价为准。</w:t>
      </w:r>
    </w:p>
    <w:p>
      <w:pPr>
        <w:pStyle w:val="34"/>
        <w:wordWrap w:val="0"/>
        <w:overflowPunct w:val="0"/>
        <w:autoSpaceDE w:val="0"/>
        <w:autoSpaceDN w:val="0"/>
        <w:snapToGrid w:val="0"/>
        <w:spacing w:line="360" w:lineRule="auto"/>
        <w:ind w:firstLine="482" w:firstLineChars="200"/>
        <w:rPr>
          <w:rFonts w:hAnsi="宋体" w:cs="宋体"/>
          <w:b/>
          <w:bCs/>
          <w:sz w:val="24"/>
          <w:szCs w:val="24"/>
          <w:highlight w:val="none"/>
        </w:rPr>
      </w:pPr>
      <w:r>
        <w:rPr>
          <w:rFonts w:hint="eastAsia" w:hAnsi="宋体" w:cs="宋体"/>
          <w:b/>
          <w:bCs/>
          <w:sz w:val="24"/>
          <w:szCs w:val="24"/>
          <w:highlight w:val="none"/>
        </w:rPr>
        <w:t>同时出现两种以上不一致的，按照前款规定的顺序修正。修正后的报价按照《政府采购货物与服务招标投标管理办法（第87号令）》第五十一条第二款的规定经投标人确认后产生约束力，投标人不确认的，其投标无效。</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（六）</w:t>
      </w:r>
      <w:r>
        <w:rPr>
          <w:rFonts w:hint="eastAsia" w:hAnsi="宋体" w:cs="宋体"/>
          <w:b/>
          <w:bCs/>
          <w:sz w:val="24"/>
          <w:szCs w:val="24"/>
          <w:highlight w:val="none"/>
        </w:rPr>
        <w:t>评标原则和评标办法</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2.评标办法。本项目评标办法是</w:t>
      </w:r>
      <w:r>
        <w:rPr>
          <w:rFonts w:hint="eastAsia" w:ascii="宋体" w:hAnsi="宋体" w:cs="宋体"/>
          <w:sz w:val="24"/>
          <w:highlight w:val="none"/>
          <w:u w:val="single"/>
        </w:rPr>
        <w:t xml:space="preserve"> 综合评分法 </w:t>
      </w:r>
      <w:r>
        <w:rPr>
          <w:rFonts w:hint="eastAsia" w:ascii="宋体" w:hAnsi="宋体" w:cs="宋体"/>
          <w:sz w:val="24"/>
          <w:highlight w:val="none"/>
        </w:rPr>
        <w:t>，具体评标内容及评分标准等详见《第四章：评标办法及评分标准》。</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（七）</w:t>
      </w:r>
      <w:r>
        <w:rPr>
          <w:rFonts w:hint="eastAsia" w:hAnsi="宋体" w:cs="宋体"/>
          <w:b/>
          <w:bCs/>
          <w:sz w:val="24"/>
          <w:szCs w:val="24"/>
          <w:highlight w:val="none"/>
        </w:rPr>
        <w:t>评标过程的监控</w:t>
      </w:r>
    </w:p>
    <w:p>
      <w:pPr>
        <w:pStyle w:val="34"/>
        <w:wordWrap w:val="0"/>
        <w:overflowPunct w:val="0"/>
        <w:autoSpaceDE w:val="0"/>
        <w:autoSpaceDN w:val="0"/>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本项目评标过程实行全程录音、录像监控，有1名相关人员进行现场监督。投标人在评标过程中所进行的试图影响评标结果的不公正活动，可能导致其投标被拒绝。</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六、定标</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1.采购代理机构在评标结束后2个工作日内将评标报告交采购人确认，同时在发布招标公告的网站上对评标结果进行公示。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投标人对评标结果无异议的，采购人应当自收到评标报告之日起5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如有投标人对评标结果提出质疑的，采购人可在质疑处理完毕后确定中标人。</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3.采购人依法确定中标人后2个工作日内，采购代理机构以书面形式发出《中标通知书》,并同时在相关网站上发布中标公告。</w:t>
      </w:r>
    </w:p>
    <w:p>
      <w:pPr>
        <w:pStyle w:val="34"/>
        <w:wordWrap w:val="0"/>
        <w:overflowPunct w:val="0"/>
        <w:autoSpaceDE w:val="0"/>
        <w:autoSpaceDN w:val="0"/>
        <w:snapToGrid w:val="0"/>
        <w:spacing w:line="360" w:lineRule="auto"/>
        <w:outlineLvl w:val="0"/>
        <w:rPr>
          <w:rFonts w:hAnsi="宋体" w:cs="宋体"/>
          <w:b/>
          <w:sz w:val="24"/>
          <w:szCs w:val="24"/>
          <w:highlight w:val="none"/>
        </w:rPr>
      </w:pPr>
      <w:r>
        <w:rPr>
          <w:rFonts w:hint="eastAsia" w:hAnsi="宋体" w:cs="宋体"/>
          <w:b/>
          <w:sz w:val="24"/>
          <w:szCs w:val="24"/>
          <w:highlight w:val="none"/>
        </w:rPr>
        <w:t>七、合同授予</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（一）签订合同</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1.采购人与中标人应当在《中标通知书》发出之日起30日内签订政府采购合同。同时，采购代理机构对合同内容进行审查，如发现与采购结果和投标承诺内容不一致的，将予以纠正。</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2.中标人拖延、拒签合同的,将被列入不良行为记录或黑名单，由此产生的一切不利后果由中标人自行承担。</w:t>
      </w:r>
    </w:p>
    <w:p>
      <w:pPr>
        <w:pStyle w:val="34"/>
        <w:wordWrap w:val="0"/>
        <w:overflowPunct w:val="0"/>
        <w:autoSpaceDE w:val="0"/>
        <w:autoSpaceDN w:val="0"/>
        <w:snapToGrid w:val="0"/>
        <w:spacing w:line="360" w:lineRule="auto"/>
        <w:rPr>
          <w:rFonts w:hAnsi="宋体" w:cs="宋体"/>
          <w:b/>
          <w:sz w:val="24"/>
          <w:szCs w:val="24"/>
          <w:highlight w:val="none"/>
        </w:rPr>
      </w:pPr>
      <w:r>
        <w:rPr>
          <w:rFonts w:hint="eastAsia" w:hAnsi="宋体" w:cs="宋体"/>
          <w:b/>
          <w:sz w:val="24"/>
          <w:szCs w:val="24"/>
          <w:highlight w:val="none"/>
        </w:rPr>
        <w:t>（二）履约保证金</w:t>
      </w:r>
    </w:p>
    <w:p>
      <w:pPr>
        <w:wordWrap w:val="0"/>
        <w:overflowPunct w:val="0"/>
        <w:autoSpaceDE w:val="0"/>
        <w:autoSpaceDN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1.中标人应按照与采购人约定的履约保证金金额，向采购人交纳履约保证金，中标人可以银行、保险公司出具保函形式提交履约保证金；否则，由此产生的一切不利后果由中标人自行承担。</w:t>
      </w:r>
    </w:p>
    <w:p>
      <w:pPr>
        <w:pStyle w:val="34"/>
        <w:snapToGrid w:val="0"/>
        <w:spacing w:line="360" w:lineRule="auto"/>
        <w:rPr>
          <w:rFonts w:hAnsi="宋体" w:cs="宋体"/>
          <w:b/>
          <w:sz w:val="24"/>
          <w:szCs w:val="24"/>
          <w:highlight w:val="none"/>
        </w:rPr>
      </w:pPr>
      <w:r>
        <w:rPr>
          <w:rFonts w:hint="eastAsia" w:hAnsi="宋体" w:cs="宋体"/>
          <w:sz w:val="24"/>
          <w:szCs w:val="24"/>
          <w:highlight w:val="none"/>
        </w:rPr>
        <w:t>2.签订合同后，如中标人不按双方合同约定履约，则没收其全部履约保证金，履约保证金不足以赔偿损失的，按实际损失赔偿</w:t>
      </w:r>
    </w:p>
    <w:p>
      <w:pPr>
        <w:pStyle w:val="34"/>
        <w:snapToGrid w:val="0"/>
        <w:spacing w:line="360" w:lineRule="auto"/>
        <w:rPr>
          <w:rFonts w:hAnsi="宋体" w:cs="宋体"/>
          <w:b/>
          <w:sz w:val="24"/>
          <w:szCs w:val="24"/>
          <w:highlight w:val="none"/>
        </w:rPr>
      </w:pPr>
      <w:r>
        <w:rPr>
          <w:rFonts w:hint="eastAsia" w:hAnsi="宋体" w:cs="宋体"/>
          <w:b/>
          <w:sz w:val="24"/>
          <w:szCs w:val="24"/>
          <w:highlight w:val="none"/>
        </w:rPr>
        <w:t>八、终止招标</w:t>
      </w:r>
    </w:p>
    <w:p>
      <w:pPr>
        <w:pStyle w:val="34"/>
        <w:snapToGrid w:val="0"/>
        <w:spacing w:line="360" w:lineRule="auto"/>
        <w:ind w:firstLine="480" w:firstLineChars="200"/>
        <w:rPr>
          <w:rFonts w:hAnsi="宋体" w:cs="宋体"/>
          <w:b/>
          <w:sz w:val="28"/>
          <w:szCs w:val="28"/>
          <w:highlight w:val="none"/>
        </w:rPr>
      </w:pPr>
      <w:r>
        <w:rPr>
          <w:rFonts w:hint="eastAsia" w:hAnsi="宋体" w:cs="宋体"/>
          <w:sz w:val="24"/>
          <w:szCs w:val="24"/>
          <w:highlight w:val="none"/>
        </w:rPr>
        <w:t>终止招标的，采购人或者采购代理机构应当及时在原公告发布媒体上发布终止公告，并将项目实施情况和采购任务取消原因报告本级财政部门。</w:t>
      </w:r>
      <w:bookmarkStart w:id="20" w:name="_Toc2572"/>
    </w:p>
    <w:bookmarkEnd w:id="14"/>
    <w:bookmarkEnd w:id="20"/>
    <w:p>
      <w:pPr>
        <w:pStyle w:val="34"/>
        <w:snapToGrid w:val="0"/>
        <w:spacing w:line="360" w:lineRule="auto"/>
        <w:rPr>
          <w:rFonts w:hAnsi="宋体" w:cs="宋体"/>
          <w:b/>
          <w:sz w:val="24"/>
          <w:szCs w:val="24"/>
          <w:highlight w:val="none"/>
        </w:rPr>
      </w:pPr>
      <w:bookmarkStart w:id="21" w:name="_Hlt68072998"/>
      <w:bookmarkEnd w:id="21"/>
      <w:bookmarkStart w:id="22" w:name="_Hlt74729768"/>
      <w:bookmarkEnd w:id="22"/>
      <w:bookmarkStart w:id="23" w:name="_Hlt75236290"/>
      <w:bookmarkEnd w:id="23"/>
      <w:bookmarkStart w:id="24" w:name="_Hlt68057669"/>
      <w:bookmarkEnd w:id="24"/>
      <w:bookmarkStart w:id="25" w:name="_Hlt68403820"/>
      <w:bookmarkEnd w:id="25"/>
      <w:bookmarkStart w:id="26" w:name="_Hlt75236011"/>
      <w:bookmarkEnd w:id="26"/>
      <w:bookmarkStart w:id="27" w:name="_Hlt75236101"/>
      <w:bookmarkEnd w:id="27"/>
      <w:bookmarkStart w:id="28" w:name="_Hlt68073093"/>
      <w:bookmarkEnd w:id="28"/>
      <w:bookmarkStart w:id="29" w:name="_Hlt74707468"/>
      <w:bookmarkEnd w:id="29"/>
      <w:bookmarkStart w:id="30" w:name="_Hlt68072990"/>
      <w:bookmarkEnd w:id="30"/>
      <w:bookmarkStart w:id="31" w:name="_Hlt74730295"/>
      <w:bookmarkEnd w:id="31"/>
      <w:bookmarkStart w:id="32" w:name="_Hlt74714665"/>
      <w:bookmarkEnd w:id="32"/>
      <w:r>
        <w:rPr>
          <w:rFonts w:hint="eastAsia" w:hAnsi="宋体" w:cs="宋体"/>
          <w:b/>
          <w:sz w:val="24"/>
          <w:szCs w:val="24"/>
          <w:highlight w:val="none"/>
        </w:rPr>
        <w:t>九、招标代理费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1、根据“国家发展和改革委员会办公厅《关于招标代理服务收费有关问题的通知》（发改办价格【2003】857号）”规定，招标代理机构向中标人收取招标代理服务费。</w:t>
      </w:r>
    </w:p>
    <w:p>
      <w:pPr>
        <w:snapToGrid w:val="0"/>
        <w:spacing w:line="360" w:lineRule="auto"/>
        <w:ind w:firstLine="480" w:firstLineChars="200"/>
        <w:jc w:val="left"/>
        <w:rPr>
          <w:rFonts w:ascii="宋体" w:hAnsi="宋体"/>
          <w:sz w:val="24"/>
          <w:highlight w:val="none"/>
        </w:rPr>
      </w:pPr>
      <w:r>
        <w:rPr>
          <w:rFonts w:hint="eastAsia" w:ascii="宋体" w:hAnsi="宋体"/>
          <w:sz w:val="24"/>
          <w:highlight w:val="none"/>
        </w:rPr>
        <w:t>2、中标人应在收取《中标通知书》时向采购代理机构交纳招标代理服务费，服务费的收费标准按国家计委(计价格[2011]534号)文规定计算:</w:t>
      </w:r>
    </w:p>
    <w:tbl>
      <w:tblPr>
        <w:tblStyle w:val="63"/>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215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153" w:type="dxa"/>
            <w:tcBorders>
              <w:top w:val="double" w:color="auto" w:sz="4" w:space="0"/>
              <w:left w:val="double" w:color="auto" w:sz="4" w:space="0"/>
              <w:bottom w:val="single" w:color="auto" w:sz="6" w:space="0"/>
              <w:right w:val="single" w:color="auto" w:sz="6"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中标金额（万元）</w:t>
            </w:r>
          </w:p>
        </w:tc>
        <w:tc>
          <w:tcPr>
            <w:tcW w:w="2153" w:type="dxa"/>
            <w:tcBorders>
              <w:top w:val="double" w:color="auto" w:sz="4" w:space="0"/>
              <w:left w:val="single" w:color="auto" w:sz="6" w:space="0"/>
              <w:bottom w:val="single" w:color="auto" w:sz="6" w:space="0"/>
              <w:right w:val="double" w:color="auto" w:sz="4" w:space="0"/>
            </w:tcBorders>
            <w:shd w:val="clear" w:color="auto" w:fill="D9D9D9"/>
            <w:vAlign w:val="center"/>
          </w:tcPr>
          <w:p>
            <w:pPr>
              <w:spacing w:line="360" w:lineRule="auto"/>
              <w:jc w:val="center"/>
              <w:rPr>
                <w:rFonts w:ascii="宋体" w:hAnsi="宋体"/>
                <w:b/>
                <w:sz w:val="24"/>
                <w:highlight w:val="none"/>
              </w:rPr>
            </w:pPr>
            <w:r>
              <w:rPr>
                <w:rFonts w:hint="eastAsia" w:ascii="宋体" w:hAnsi="宋体"/>
                <w:b/>
                <w:sz w:val="24"/>
                <w:highlight w:val="none"/>
              </w:rPr>
              <w:t>货物招标收费费率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100以下</w:t>
            </w:r>
          </w:p>
        </w:tc>
        <w:tc>
          <w:tcPr>
            <w:tcW w:w="2153" w:type="dxa"/>
            <w:tcBorders>
              <w:top w:val="single" w:color="auto" w:sz="6" w:space="0"/>
              <w:left w:val="single" w:color="auto" w:sz="6" w:space="0"/>
              <w:bottom w:val="single" w:color="auto" w:sz="6" w:space="0"/>
              <w:right w:val="double" w:color="auto" w:sz="4" w:space="0"/>
            </w:tcBorders>
            <w:vAlign w:val="center"/>
          </w:tcPr>
          <w:p>
            <w:pPr>
              <w:spacing w:line="360" w:lineRule="auto"/>
              <w:jc w:val="center"/>
              <w:rPr>
                <w:rFonts w:ascii="宋体" w:hAnsi="宋体"/>
                <w:b/>
                <w:sz w:val="24"/>
                <w:highlight w:val="none"/>
              </w:rPr>
            </w:pPr>
            <w:r>
              <w:rPr>
                <w:rFonts w:hint="eastAsia" w:ascii="宋体" w:hAnsi="宋体"/>
                <w:b/>
                <w:sz w:val="24"/>
                <w:highlight w:val="none"/>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2153" w:type="dxa"/>
            <w:tcBorders>
              <w:top w:val="single" w:color="auto" w:sz="6" w:space="0"/>
              <w:left w:val="double" w:color="auto" w:sz="4" w:space="0"/>
              <w:bottom w:val="single" w:color="auto" w:sz="6" w:space="0"/>
              <w:right w:val="single" w:color="auto" w:sz="6" w:space="0"/>
            </w:tcBorders>
            <w:vAlign w:val="center"/>
          </w:tcPr>
          <w:p>
            <w:pPr>
              <w:snapToGrid w:val="0"/>
              <w:spacing w:line="360" w:lineRule="auto"/>
              <w:jc w:val="center"/>
              <w:textAlignment w:val="baseline"/>
              <w:rPr>
                <w:rFonts w:ascii="宋体" w:hAnsi="宋体"/>
                <w:b/>
                <w:sz w:val="24"/>
                <w:highlight w:val="none"/>
              </w:rPr>
            </w:pPr>
            <w:r>
              <w:rPr>
                <w:rStyle w:val="971"/>
                <w:rFonts w:ascii="宋体" w:hAnsi="宋体"/>
                <w:b/>
                <w:sz w:val="24"/>
                <w:highlight w:val="none"/>
              </w:rPr>
              <w:t>100-500</w:t>
            </w:r>
          </w:p>
        </w:tc>
        <w:tc>
          <w:tcPr>
            <w:tcW w:w="2153" w:type="dxa"/>
            <w:tcBorders>
              <w:top w:val="single" w:color="auto" w:sz="6" w:space="0"/>
              <w:left w:val="single" w:color="auto" w:sz="6" w:space="0"/>
              <w:bottom w:val="single" w:color="auto" w:sz="6" w:space="0"/>
              <w:right w:val="double" w:color="auto" w:sz="4" w:space="0"/>
            </w:tcBorders>
            <w:vAlign w:val="center"/>
          </w:tcPr>
          <w:p>
            <w:pPr>
              <w:snapToGrid w:val="0"/>
              <w:spacing w:line="360" w:lineRule="auto"/>
              <w:jc w:val="center"/>
              <w:textAlignment w:val="baseline"/>
              <w:rPr>
                <w:rFonts w:ascii="宋体" w:hAnsi="宋体"/>
                <w:b/>
                <w:sz w:val="24"/>
                <w:highlight w:val="none"/>
              </w:rPr>
            </w:pPr>
            <w:r>
              <w:rPr>
                <w:rFonts w:hint="eastAsia" w:ascii="宋体" w:hAnsi="宋体"/>
                <w:b/>
                <w:sz w:val="24"/>
                <w:highlight w:val="none"/>
              </w:rPr>
              <w:t>1.10%</w:t>
            </w:r>
          </w:p>
        </w:tc>
      </w:tr>
    </w:tbl>
    <w:p>
      <w:pPr>
        <w:snapToGrid w:val="0"/>
        <w:spacing w:line="360" w:lineRule="auto"/>
        <w:ind w:left="960" w:hanging="960" w:hangingChars="400"/>
        <w:jc w:val="left"/>
        <w:rPr>
          <w:rStyle w:val="971"/>
          <w:rFonts w:ascii="宋体" w:hAnsi="宋体"/>
          <w:sz w:val="24"/>
          <w:highlight w:val="none"/>
        </w:rPr>
      </w:pPr>
      <w:r>
        <w:rPr>
          <w:rFonts w:hint="eastAsia" w:ascii="宋体" w:hAnsi="宋体"/>
          <w:sz w:val="24"/>
          <w:highlight w:val="none"/>
        </w:rPr>
        <w:t>例如：某项目货物类招标代理业务中标金额为</w:t>
      </w:r>
      <w:r>
        <w:rPr>
          <w:rFonts w:hint="eastAsia" w:ascii="宋体" w:hAnsi="宋体"/>
          <w:sz w:val="24"/>
          <w:highlight w:val="none"/>
          <w:lang w:val="en-US" w:eastAsia="zh-CN"/>
        </w:rPr>
        <w:t>300</w:t>
      </w:r>
      <w:r>
        <w:rPr>
          <w:rFonts w:hint="eastAsia" w:ascii="宋体" w:hAnsi="宋体"/>
          <w:sz w:val="24"/>
          <w:highlight w:val="none"/>
        </w:rPr>
        <w:t xml:space="preserve">万元，计算中标服务费收费额如下：  </w:t>
      </w:r>
      <w:r>
        <w:rPr>
          <w:rStyle w:val="970"/>
          <w:rFonts w:ascii="宋体" w:hAnsi="宋体"/>
          <w:sz w:val="24"/>
          <w:highlight w:val="none"/>
        </w:rPr>
        <w:t>100万元×1.5%+</w:t>
      </w:r>
      <w:r>
        <w:rPr>
          <w:rStyle w:val="970"/>
          <w:rFonts w:hint="eastAsia" w:ascii="宋体" w:hAnsi="宋体"/>
          <w:sz w:val="24"/>
          <w:highlight w:val="none"/>
          <w:lang w:val="en-US"/>
        </w:rPr>
        <w:t>200</w:t>
      </w:r>
      <w:r>
        <w:rPr>
          <w:rStyle w:val="970"/>
          <w:rFonts w:ascii="宋体" w:hAnsi="宋体"/>
          <w:sz w:val="24"/>
          <w:highlight w:val="none"/>
        </w:rPr>
        <w:t>万元×</w:t>
      </w:r>
      <w:r>
        <w:rPr>
          <w:rStyle w:val="970"/>
          <w:rFonts w:hint="eastAsia" w:ascii="宋体" w:hAnsi="宋体"/>
          <w:sz w:val="24"/>
          <w:highlight w:val="none"/>
        </w:rPr>
        <w:t>1</w:t>
      </w:r>
      <w:r>
        <w:rPr>
          <w:rStyle w:val="970"/>
          <w:rFonts w:ascii="宋体" w:hAnsi="宋体"/>
          <w:sz w:val="24"/>
          <w:highlight w:val="none"/>
        </w:rPr>
        <w:t>.</w:t>
      </w:r>
      <w:r>
        <w:rPr>
          <w:rStyle w:val="970"/>
          <w:rFonts w:hint="eastAsia" w:ascii="宋体" w:hAnsi="宋体"/>
          <w:sz w:val="24"/>
          <w:highlight w:val="none"/>
        </w:rPr>
        <w:t>1</w:t>
      </w:r>
      <w:r>
        <w:rPr>
          <w:rStyle w:val="970"/>
          <w:rFonts w:ascii="宋体" w:hAnsi="宋体"/>
          <w:sz w:val="24"/>
          <w:highlight w:val="none"/>
        </w:rPr>
        <w:t>0%=</w:t>
      </w:r>
      <w:r>
        <w:rPr>
          <w:rStyle w:val="970"/>
          <w:rFonts w:hint="eastAsia" w:ascii="宋体" w:hAnsi="宋体"/>
          <w:sz w:val="24"/>
          <w:highlight w:val="none"/>
        </w:rPr>
        <w:t xml:space="preserve"> </w:t>
      </w:r>
      <w:r>
        <w:rPr>
          <w:rStyle w:val="970"/>
          <w:rFonts w:hint="eastAsia" w:ascii="宋体" w:hAnsi="宋体"/>
          <w:sz w:val="24"/>
          <w:highlight w:val="none"/>
          <w:lang w:val="en-US"/>
        </w:rPr>
        <w:t>37000</w:t>
      </w:r>
      <w:r>
        <w:rPr>
          <w:rStyle w:val="970"/>
          <w:rFonts w:ascii="宋体" w:hAnsi="宋体"/>
          <w:sz w:val="24"/>
          <w:highlight w:val="none"/>
        </w:rPr>
        <w:t>元</w:t>
      </w:r>
    </w:p>
    <w:p>
      <w:pPr>
        <w:snapToGrid w:val="0"/>
        <w:spacing w:line="360" w:lineRule="auto"/>
        <w:ind w:firstLine="600" w:firstLineChars="250"/>
        <w:jc w:val="left"/>
        <w:rPr>
          <w:rFonts w:ascii="宋体" w:hAnsi="宋体"/>
          <w:bCs/>
          <w:sz w:val="24"/>
          <w:highlight w:val="none"/>
          <w:lang w:val="zh-CN"/>
        </w:rPr>
      </w:pPr>
      <w:r>
        <w:rPr>
          <w:rFonts w:hint="eastAsia" w:ascii="宋体" w:hAnsi="宋体"/>
          <w:sz w:val="24"/>
          <w:highlight w:val="none"/>
        </w:rPr>
        <w:t>3、本项目以货物招标收费标准的68%收取中标服务费</w:t>
      </w:r>
      <w:r>
        <w:rPr>
          <w:rFonts w:hint="eastAsia" w:ascii="宋体" w:hAnsi="宋体"/>
          <w:bCs/>
          <w:sz w:val="24"/>
          <w:highlight w:val="none"/>
          <w:lang w:val="zh-CN"/>
        </w:rPr>
        <w:t>。</w:t>
      </w:r>
    </w:p>
    <w:p>
      <w:pPr>
        <w:tabs>
          <w:tab w:val="left" w:pos="1862"/>
        </w:tabs>
        <w:snapToGrid w:val="0"/>
        <w:spacing w:line="360" w:lineRule="auto"/>
        <w:ind w:firstLine="1080" w:firstLineChars="450"/>
        <w:jc w:val="left"/>
        <w:rPr>
          <w:rFonts w:ascii="宋体" w:hAnsi="宋体"/>
          <w:sz w:val="24"/>
          <w:highlight w:val="none"/>
        </w:rPr>
      </w:pPr>
      <w:r>
        <w:rPr>
          <w:rFonts w:hint="eastAsia" w:ascii="宋体" w:hAnsi="宋体"/>
          <w:sz w:val="24"/>
          <w:highlight w:val="none"/>
        </w:rPr>
        <w:t xml:space="preserve">计收费 = </w:t>
      </w:r>
      <w:r>
        <w:rPr>
          <w:rFonts w:hint="eastAsia" w:ascii="宋体" w:hAnsi="宋体"/>
          <w:sz w:val="24"/>
          <w:highlight w:val="none"/>
          <w:lang w:val="en-US" w:eastAsia="zh-CN"/>
        </w:rPr>
        <w:t>37000</w:t>
      </w:r>
      <w:r>
        <w:rPr>
          <w:rFonts w:hint="eastAsia" w:ascii="宋体" w:hAnsi="宋体"/>
          <w:sz w:val="24"/>
          <w:highlight w:val="none"/>
        </w:rPr>
        <w:t xml:space="preserve">元×68%= </w:t>
      </w:r>
      <w:r>
        <w:rPr>
          <w:rFonts w:hint="eastAsia" w:ascii="宋体" w:hAnsi="宋体"/>
          <w:sz w:val="24"/>
          <w:highlight w:val="none"/>
          <w:lang w:val="en-US" w:eastAsia="zh-CN"/>
        </w:rPr>
        <w:t>25160</w:t>
      </w:r>
      <w:r>
        <w:rPr>
          <w:rFonts w:hint="eastAsia" w:ascii="宋体" w:hAnsi="宋体"/>
          <w:sz w:val="24"/>
          <w:highlight w:val="none"/>
        </w:rPr>
        <w:t>元</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4、服务费的货币为人民币。</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5、服务费支付方式：一次性以银行划账、电汇、汇票或支票的形式支付。</w:t>
      </w:r>
    </w:p>
    <w:p>
      <w:pPr>
        <w:snapToGrid w:val="0"/>
        <w:spacing w:line="360" w:lineRule="auto"/>
        <w:ind w:firstLine="600" w:firstLineChars="250"/>
        <w:jc w:val="left"/>
        <w:rPr>
          <w:rFonts w:ascii="宋体" w:hAnsi="宋体"/>
          <w:sz w:val="24"/>
          <w:highlight w:val="none"/>
        </w:rPr>
      </w:pPr>
      <w:r>
        <w:rPr>
          <w:rFonts w:hint="eastAsia" w:ascii="宋体" w:hAnsi="宋体"/>
          <w:sz w:val="24"/>
          <w:highlight w:val="none"/>
        </w:rPr>
        <w:t>6、服务费以银行划账方式按下列要求提交：</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嘉兴市银建工程咨询评估有限公司嘉善魏塘分公司</w:t>
      </w:r>
    </w:p>
    <w:p>
      <w:pPr>
        <w:widowControl/>
        <w:snapToGrid w:val="0"/>
        <w:spacing w:line="360" w:lineRule="auto"/>
        <w:ind w:firstLine="1080" w:firstLineChars="450"/>
        <w:jc w:val="left"/>
        <w:rPr>
          <w:rFonts w:ascii="宋体" w:hAnsi="宋体"/>
          <w:sz w:val="24"/>
          <w:highlight w:val="none"/>
        </w:rPr>
      </w:pPr>
      <w:r>
        <w:rPr>
          <w:rFonts w:hint="eastAsia" w:ascii="宋体" w:hAnsi="宋体"/>
          <w:sz w:val="24"/>
          <w:highlight w:val="none"/>
        </w:rPr>
        <w:t>开户行：嘉兴银行股份有限公司长三角一体化示范区(浙江嘉善)支行</w:t>
      </w:r>
    </w:p>
    <w:p>
      <w:pPr>
        <w:tabs>
          <w:tab w:val="left" w:pos="0"/>
        </w:tabs>
        <w:spacing w:line="360" w:lineRule="auto"/>
        <w:ind w:firstLine="1024" w:firstLineChars="427"/>
        <w:rPr>
          <w:rFonts w:ascii="仿宋_GB2312" w:hAnsi="仿宋" w:eastAsia="仿宋_GB2312" w:cs="Helvetica"/>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sz w:val="24"/>
          <w:highlight w:val="none"/>
        </w:rPr>
        <w:t>账号：905101201900074615</w:t>
      </w:r>
    </w:p>
    <w:bookmarkEnd w:id="15"/>
    <w:bookmarkEnd w:id="16"/>
    <w:p>
      <w:pPr>
        <w:snapToGrid w:val="0"/>
        <w:spacing w:line="360" w:lineRule="auto"/>
        <w:jc w:val="center"/>
        <w:rPr>
          <w:rFonts w:ascii="仿宋" w:hAnsi="仿宋" w:eastAsia="仿宋" w:cs="仿宋_GB2312"/>
          <w:b/>
          <w:sz w:val="36"/>
          <w:szCs w:val="36"/>
          <w:highlight w:val="none"/>
        </w:rPr>
      </w:pPr>
      <w:bookmarkStart w:id="33" w:name="第四部分"/>
      <w:r>
        <w:rPr>
          <w:rFonts w:hint="eastAsia" w:ascii="仿宋" w:hAnsi="仿宋" w:eastAsia="仿宋" w:cs="仿宋_GB2312"/>
          <w:b/>
          <w:sz w:val="36"/>
          <w:szCs w:val="36"/>
          <w:highlight w:val="none"/>
        </w:rPr>
        <w:t>第四章 评标办法及评分标准</w:t>
      </w:r>
    </w:p>
    <w:bookmarkEnd w:id="33"/>
    <w:p>
      <w:pPr>
        <w:spacing w:line="480" w:lineRule="exact"/>
        <w:ind w:firstLine="420"/>
        <w:rPr>
          <w:rFonts w:ascii="宋体" w:hAnsi="宋体" w:cs="宋体"/>
          <w:sz w:val="24"/>
          <w:highlight w:val="none"/>
        </w:rPr>
      </w:pPr>
      <w:bookmarkStart w:id="34" w:name="_Toc406403000"/>
      <w:r>
        <w:rPr>
          <w:rFonts w:hint="eastAsia" w:ascii="宋体" w:hAnsi="宋体" w:cs="宋体"/>
          <w:sz w:val="24"/>
          <w:highlight w:val="none"/>
        </w:rPr>
        <w:t>为公正、公平、科学地选择中标人，根据《中华人民共和国政府采购法》等有关法律法规的规定，并结合本项目的实际，制定本办法。</w:t>
      </w:r>
    </w:p>
    <w:p>
      <w:pPr>
        <w:pStyle w:val="55"/>
        <w:spacing w:line="480" w:lineRule="exact"/>
        <w:rPr>
          <w:rFonts w:ascii="宋体" w:hAnsi="宋体" w:cs="宋体"/>
          <w:sz w:val="24"/>
          <w:highlight w:val="none"/>
        </w:rPr>
      </w:pPr>
      <w:r>
        <w:rPr>
          <w:rFonts w:hint="eastAsia" w:ascii="宋体" w:hAnsi="宋体" w:cs="宋体"/>
          <w:sz w:val="24"/>
          <w:highlight w:val="none"/>
        </w:rPr>
        <w:t>本办法适用于</w:t>
      </w:r>
      <w:r>
        <w:rPr>
          <w:rFonts w:hint="eastAsia" w:ascii="宋体" w:hAnsi="宋体" w:cs="宋体"/>
          <w:sz w:val="24"/>
          <w:highlight w:val="none"/>
          <w:lang w:eastAsia="zh-CN"/>
        </w:rPr>
        <w:t>嘉善农科所长秀基地生态智慧提升单体大棚采购项目（第三次）</w:t>
      </w:r>
      <w:r>
        <w:rPr>
          <w:rFonts w:hint="eastAsia" w:ascii="宋体" w:hAnsi="宋体" w:cs="宋体"/>
          <w:sz w:val="24"/>
          <w:highlight w:val="none"/>
        </w:rPr>
        <w:t>的评标。</w:t>
      </w:r>
    </w:p>
    <w:p>
      <w:pPr>
        <w:spacing w:line="480" w:lineRule="exact"/>
        <w:rPr>
          <w:rFonts w:ascii="宋体" w:hAnsi="宋体" w:cs="宋体"/>
          <w:b/>
          <w:sz w:val="24"/>
          <w:highlight w:val="none"/>
        </w:rPr>
      </w:pPr>
      <w:r>
        <w:rPr>
          <w:rFonts w:hint="eastAsia" w:ascii="宋体" w:hAnsi="宋体" w:cs="宋体"/>
          <w:b/>
          <w:sz w:val="24"/>
          <w:highlight w:val="none"/>
        </w:rPr>
        <w:t>一 、总则</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本次评标采用综合评分法，总分为100分，其中价格分30分、商务技术70分（其中：商务资信分</w:t>
      </w:r>
      <w:r>
        <w:rPr>
          <w:rFonts w:hint="eastAsia" w:ascii="宋体" w:hAnsi="宋体"/>
          <w:sz w:val="24"/>
          <w:highlight w:val="none"/>
          <w:lang w:val="en-US" w:eastAsia="zh-CN"/>
        </w:rPr>
        <w:t>15</w:t>
      </w:r>
      <w:r>
        <w:rPr>
          <w:rFonts w:hint="eastAsia" w:ascii="宋体" w:hAnsi="宋体"/>
          <w:sz w:val="24"/>
          <w:highlight w:val="none"/>
        </w:rPr>
        <w:t>分，技术分</w:t>
      </w:r>
      <w:r>
        <w:rPr>
          <w:rFonts w:hint="eastAsia" w:ascii="宋体" w:hAnsi="宋体"/>
          <w:sz w:val="24"/>
          <w:highlight w:val="none"/>
          <w:lang w:val="en-US" w:eastAsia="zh-CN"/>
        </w:rPr>
        <w:t>55</w:t>
      </w:r>
      <w:r>
        <w:rPr>
          <w:rFonts w:hint="eastAsia" w:ascii="宋体" w:hAnsi="宋体"/>
          <w:sz w:val="24"/>
          <w:highlight w:val="none"/>
        </w:rPr>
        <w:t>分）。中标候选资格按评标综合得分由高到低顺序排列，得分相同的，按投标报价由低到高顺序排列；得分且投标报价相同的，按技术分得分总分由高到低顺序排列，仍不能分出前后的，以电子投标文件解密先后顺序确定。综合得分排名第一的供应商为第一成交候选供应商，综合得分排名第二的供应商为第二成交候选供应商，其他供应商的成交候选资格依此类推，评分过程中采用四舍五入法评分过程中采用四舍五入法，并保留小数 2 位。中标人拒绝与采购人签订合同的，采购人可以按照评审报告推荐的中标候选人名单顺序，确定下一候选人为中标人，也可以重新开展政府采购活动。</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投标人评标综合得分=价格分+商务技术分</w:t>
      </w:r>
    </w:p>
    <w:p>
      <w:pPr>
        <w:spacing w:line="480" w:lineRule="exact"/>
        <w:rPr>
          <w:rFonts w:ascii="宋体" w:hAnsi="宋体"/>
          <w:b/>
          <w:sz w:val="24"/>
          <w:highlight w:val="none"/>
        </w:rPr>
      </w:pPr>
      <w:r>
        <w:rPr>
          <w:rFonts w:hint="eastAsia" w:ascii="宋体" w:hAnsi="宋体"/>
          <w:b/>
          <w:sz w:val="24"/>
          <w:highlight w:val="none"/>
        </w:rPr>
        <w:t>二</w:t>
      </w:r>
      <w:r>
        <w:rPr>
          <w:rFonts w:ascii="宋体" w:hAnsi="宋体"/>
          <w:b/>
          <w:sz w:val="24"/>
          <w:highlight w:val="none"/>
        </w:rPr>
        <w:t xml:space="preserve"> </w:t>
      </w:r>
      <w:r>
        <w:rPr>
          <w:rFonts w:hint="eastAsia" w:ascii="宋体" w:hAnsi="宋体"/>
          <w:b/>
          <w:sz w:val="24"/>
          <w:highlight w:val="none"/>
        </w:rPr>
        <w:t>、评标内容及标准</w:t>
      </w:r>
    </w:p>
    <w:p>
      <w:pPr>
        <w:pStyle w:val="25"/>
        <w:ind w:firstLine="482"/>
        <w:rPr>
          <w:b/>
          <w:bCs/>
          <w:highlight w:val="none"/>
        </w:rPr>
      </w:pPr>
      <w:r>
        <w:rPr>
          <w:b/>
          <w:highlight w:val="none"/>
        </w:rPr>
        <w:t>（一）</w:t>
      </w:r>
      <w:r>
        <w:rPr>
          <w:b/>
          <w:bCs/>
          <w:highlight w:val="none"/>
        </w:rPr>
        <w:t>价格分（</w:t>
      </w:r>
      <w:r>
        <w:rPr>
          <w:rFonts w:hint="eastAsia"/>
          <w:b/>
          <w:bCs/>
          <w:highlight w:val="none"/>
        </w:rPr>
        <w:t>30分）</w:t>
      </w:r>
    </w:p>
    <w:p>
      <w:pPr>
        <w:pStyle w:val="25"/>
        <w:rPr>
          <w:color w:val="auto"/>
          <w:highlight w:val="none"/>
        </w:rPr>
      </w:pPr>
      <w:r>
        <w:rPr>
          <w:rFonts w:hint="eastAsia"/>
          <w:color w:val="auto"/>
          <w:highlight w:val="none"/>
        </w:rPr>
        <w:t>1.价格分采用低价优先法计算，即满足招标文件要求且投标价格最低的投标报价为评标基准价，其他投标人的价格分按照下列公式计算：</w:t>
      </w:r>
    </w:p>
    <w:p>
      <w:pPr>
        <w:spacing w:line="480" w:lineRule="exact"/>
        <w:ind w:firstLine="480" w:firstLineChars="200"/>
        <w:rPr>
          <w:rFonts w:hAnsi="宋体"/>
          <w:bCs/>
          <w:color w:val="auto"/>
          <w:sz w:val="24"/>
          <w:highlight w:val="none"/>
        </w:rPr>
      </w:pPr>
      <w:r>
        <w:rPr>
          <w:rFonts w:hint="eastAsia" w:ascii="宋体" w:hAnsi="宋体"/>
          <w:color w:val="auto"/>
          <w:sz w:val="24"/>
          <w:highlight w:val="none"/>
        </w:rPr>
        <w:t>价格分=（评标基准价/投标报价）×30%×100</w:t>
      </w:r>
    </w:p>
    <w:p>
      <w:pPr>
        <w:spacing w:line="480" w:lineRule="exact"/>
        <w:ind w:firstLine="480" w:firstLineChars="200"/>
        <w:rPr>
          <w:rFonts w:hAnsi="宋体"/>
          <w:bCs/>
          <w:sz w:val="24"/>
          <w:highlight w:val="none"/>
        </w:rPr>
      </w:pPr>
      <w:r>
        <w:rPr>
          <w:rFonts w:hint="eastAsia" w:hAnsi="宋体"/>
          <w:bCs/>
          <w:color w:val="auto"/>
          <w:sz w:val="24"/>
          <w:highlight w:val="none"/>
        </w:rPr>
        <w:t>2.投标人的投标报价超过采购人设定的最高限价，将作为无效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hAnsi="宋体"/>
          <w:bCs/>
          <w:sz w:val="24"/>
          <w:highlight w:val="none"/>
        </w:rPr>
        <w:t>。</w:t>
      </w:r>
    </w:p>
    <w:p>
      <w:pPr>
        <w:pStyle w:val="25"/>
        <w:spacing w:before="120" w:beforeLines="50" w:after="120" w:afterLines="50" w:line="360" w:lineRule="auto"/>
        <w:ind w:firstLine="482"/>
        <w:rPr>
          <w:rFonts w:cs="宋体"/>
          <w:b/>
          <w:highlight w:val="none"/>
        </w:rPr>
      </w:pPr>
      <w:r>
        <w:rPr>
          <w:rFonts w:hint="eastAsia" w:cs="宋体"/>
          <w:b/>
          <w:highlight w:val="none"/>
        </w:rPr>
        <w:t>（二）商务资信分（1</w:t>
      </w:r>
      <w:r>
        <w:rPr>
          <w:rFonts w:hint="eastAsia" w:cs="宋体"/>
          <w:b/>
          <w:highlight w:val="none"/>
          <w:lang w:val="en-US" w:eastAsia="zh-CN"/>
        </w:rPr>
        <w:t>5</w:t>
      </w:r>
      <w:r>
        <w:rPr>
          <w:rFonts w:hint="eastAsia" w:cs="宋体"/>
          <w:b/>
          <w:highlight w:val="none"/>
        </w:rPr>
        <w:t>分）</w:t>
      </w:r>
    </w:p>
    <w:tbl>
      <w:tblPr>
        <w:tblStyle w:val="63"/>
        <w:tblW w:w="8487" w:type="dxa"/>
        <w:jc w:val="center"/>
        <w:tblLayout w:type="fixed"/>
        <w:tblCellMar>
          <w:top w:w="0" w:type="dxa"/>
          <w:left w:w="108" w:type="dxa"/>
          <w:bottom w:w="0" w:type="dxa"/>
          <w:right w:w="108" w:type="dxa"/>
        </w:tblCellMar>
      </w:tblPr>
      <w:tblGrid>
        <w:gridCol w:w="516"/>
        <w:gridCol w:w="982"/>
        <w:gridCol w:w="6068"/>
        <w:gridCol w:w="921"/>
      </w:tblGrid>
      <w:tr>
        <w:tblPrEx>
          <w:tblCellMar>
            <w:top w:w="0" w:type="dxa"/>
            <w:left w:w="108" w:type="dxa"/>
            <w:bottom w:w="0" w:type="dxa"/>
            <w:right w:w="108" w:type="dxa"/>
          </w:tblCellMar>
        </w:tblPrEx>
        <w:trPr>
          <w:trHeight w:val="1217" w:hRule="exact"/>
          <w:jc w:val="center"/>
        </w:trPr>
        <w:tc>
          <w:tcPr>
            <w:tcW w:w="516" w:type="dxa"/>
            <w:vMerge w:val="restart"/>
            <w:tcBorders>
              <w:top w:val="single" w:color="auto" w:sz="4" w:space="0"/>
              <w:left w:val="single" w:color="auto" w:sz="4" w:space="0"/>
              <w:bottom w:val="single" w:color="auto" w:sz="4" w:space="0"/>
              <w:right w:val="single" w:color="auto" w:sz="4" w:space="0"/>
            </w:tcBorders>
            <w:vAlign w:val="center"/>
          </w:tcPr>
          <w:p>
            <w:pPr>
              <w:pStyle w:val="80"/>
              <w:widowControl/>
              <w:tabs>
                <w:tab w:val="left" w:pos="0"/>
                <w:tab w:val="clear" w:pos="8268"/>
              </w:tabs>
              <w:spacing w:line="400" w:lineRule="atLeast"/>
              <w:ind w:firstLine="0" w:firstLineChars="0"/>
              <w:rPr>
                <w:rFonts w:ascii="宋体" w:hAnsi="宋体" w:eastAsia="宋体" w:cs="宋体"/>
                <w:kern w:val="0"/>
                <w:sz w:val="20"/>
                <w:szCs w:val="20"/>
                <w:highlight w:val="none"/>
              </w:rPr>
            </w:pPr>
            <w:r>
              <w:rPr>
                <w:rFonts w:hint="eastAsia" w:ascii="宋体" w:hAnsi="宋体" w:eastAsia="宋体" w:cs="宋体"/>
                <w:kern w:val="0"/>
                <w:sz w:val="22"/>
                <w:szCs w:val="22"/>
                <w:highlight w:val="none"/>
              </w:rPr>
              <w:t>商资信分1</w:t>
            </w:r>
            <w:r>
              <w:rPr>
                <w:rFonts w:hint="eastAsia" w:ascii="宋体" w:hAnsi="宋体" w:eastAsia="宋体" w:cs="宋体"/>
                <w:kern w:val="0"/>
                <w:sz w:val="22"/>
                <w:szCs w:val="22"/>
                <w:highlight w:val="none"/>
                <w:lang w:val="en-US" w:eastAsia="zh-CN"/>
              </w:rPr>
              <w:t>5</w:t>
            </w:r>
            <w:r>
              <w:rPr>
                <w:rFonts w:hint="eastAsia" w:ascii="宋体" w:hAnsi="宋体" w:eastAsia="宋体" w:cs="宋体"/>
                <w:kern w:val="0"/>
                <w:sz w:val="22"/>
                <w:szCs w:val="22"/>
                <w:highlight w:val="none"/>
              </w:rPr>
              <w:t>分</w:t>
            </w:r>
          </w:p>
          <w:p>
            <w:pPr>
              <w:pStyle w:val="80"/>
              <w:tabs>
                <w:tab w:val="left" w:pos="0"/>
                <w:tab w:val="clear" w:pos="8268"/>
              </w:tabs>
              <w:spacing w:line="302" w:lineRule="auto"/>
              <w:ind w:firstLine="420"/>
              <w:jc w:val="center"/>
              <w:rPr>
                <w:rFonts w:ascii="宋体" w:hAnsi="宋体" w:eastAsia="宋体" w:cs="宋体"/>
                <w:kern w:val="0"/>
                <w:sz w:val="21"/>
                <w:szCs w:val="21"/>
                <w:highlight w:val="none"/>
              </w:rPr>
            </w:pPr>
          </w:p>
          <w:p>
            <w:pPr>
              <w:pStyle w:val="80"/>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kern w:val="0"/>
                <w:sz w:val="22"/>
                <w:szCs w:val="22"/>
                <w:highlight w:val="none"/>
              </w:rPr>
            </w:pPr>
            <w:r>
              <w:rPr>
                <w:rFonts w:hint="eastAsia" w:ascii="宋体" w:hAnsi="宋体" w:cs="宋体"/>
                <w:color w:val="auto"/>
                <w:sz w:val="22"/>
                <w:szCs w:val="22"/>
                <w:highlight w:val="none"/>
              </w:rPr>
              <w:t>诚信分</w:t>
            </w:r>
          </w:p>
        </w:tc>
        <w:tc>
          <w:tcPr>
            <w:tcW w:w="606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kern w:val="0"/>
                <w:sz w:val="22"/>
                <w:szCs w:val="22"/>
                <w:highlight w:val="none"/>
              </w:rPr>
            </w:pPr>
            <w:r>
              <w:rPr>
                <w:rFonts w:hint="eastAsia" w:ascii="宋体" w:hAnsi="宋体" w:cs="宋体"/>
                <w:color w:val="auto"/>
                <w:kern w:val="0"/>
                <w:sz w:val="22"/>
                <w:szCs w:val="22"/>
                <w:highlight w:val="none"/>
              </w:rPr>
              <w:t>凡在投标截止时间前三年受到行政处罚、行政处理（含通报）或记入不良行为的，此项得分为0，若无处罚、行政处理（含通报）或记入不良行为的得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分（供应商自行提供，如有不良记录又虚假隐瞒的，一经发现将取消投标资格）</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2"/>
                <w:szCs w:val="22"/>
                <w:highlight w:val="none"/>
              </w:rPr>
            </w:pPr>
            <w:r>
              <w:rPr>
                <w:rFonts w:hint="eastAsia" w:ascii="宋体" w:hAnsi="宋体" w:cs="宋体"/>
                <w:color w:val="auto"/>
                <w:sz w:val="22"/>
                <w:szCs w:val="22"/>
                <w:highlight w:val="none"/>
              </w:rPr>
              <w:t>0或</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分</w:t>
            </w:r>
          </w:p>
        </w:tc>
      </w:tr>
      <w:tr>
        <w:tblPrEx>
          <w:tblCellMar>
            <w:top w:w="0" w:type="dxa"/>
            <w:left w:w="108" w:type="dxa"/>
            <w:bottom w:w="0" w:type="dxa"/>
            <w:right w:w="108" w:type="dxa"/>
          </w:tblCellMar>
        </w:tblPrEx>
        <w:trPr>
          <w:trHeight w:val="1217" w:hRule="exact"/>
          <w:jc w:val="center"/>
        </w:trPr>
        <w:tc>
          <w:tcPr>
            <w:tcW w:w="516" w:type="dxa"/>
            <w:vMerge w:val="continue"/>
            <w:tcBorders>
              <w:left w:val="single" w:color="auto" w:sz="4" w:space="0"/>
              <w:right w:val="single" w:color="auto" w:sz="4" w:space="0"/>
            </w:tcBorders>
            <w:vAlign w:val="center"/>
          </w:tcPr>
          <w:p>
            <w:pPr>
              <w:pStyle w:val="80"/>
              <w:tabs>
                <w:tab w:val="left" w:pos="0"/>
                <w:tab w:val="clear" w:pos="8268"/>
              </w:tabs>
              <w:spacing w:line="302" w:lineRule="auto"/>
              <w:jc w:val="center"/>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szCs w:val="22"/>
                <w:highlight w:val="none"/>
                <w:lang w:val="en-US" w:eastAsia="zh-CN" w:bidi="ar-SA"/>
              </w:rPr>
            </w:pPr>
            <w:r>
              <w:rPr>
                <w:rFonts w:hint="eastAsia" w:ascii="宋体" w:hAnsi="宋体" w:cs="宋体"/>
                <w:bCs/>
                <w:kern w:val="0"/>
                <w:sz w:val="22"/>
                <w:szCs w:val="22"/>
                <w:highlight w:val="none"/>
                <w:lang w:bidi="ar"/>
              </w:rPr>
              <w:t>业绩要求</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bidi="ar"/>
              </w:rPr>
              <w:t>投标人近三年（自投标截止日起往前追溯3年，以合同签订时间为准）以来具有所独立承担同类项目业绩的，每提供一份得1分，最高得3分；（合同、验收证明材料同时提供，缺一不可，否则不得分）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kern w:val="0"/>
                <w:sz w:val="22"/>
                <w:szCs w:val="22"/>
                <w:highlight w:val="none"/>
                <w:lang w:val="en-US" w:eastAsia="zh-CN" w:bidi="ar-SA"/>
              </w:rPr>
            </w:pPr>
            <w:r>
              <w:rPr>
                <w:rFonts w:hint="eastAsia" w:ascii="宋体" w:hAnsi="宋体" w:cs="宋体"/>
                <w:sz w:val="22"/>
                <w:szCs w:val="22"/>
                <w:highlight w:val="none"/>
              </w:rPr>
              <w:t>0或1或2或3分</w:t>
            </w:r>
          </w:p>
        </w:tc>
      </w:tr>
      <w:tr>
        <w:tblPrEx>
          <w:tblCellMar>
            <w:top w:w="0" w:type="dxa"/>
            <w:left w:w="108" w:type="dxa"/>
            <w:bottom w:w="0" w:type="dxa"/>
            <w:right w:w="108" w:type="dxa"/>
          </w:tblCellMar>
        </w:tblPrEx>
        <w:trPr>
          <w:trHeight w:val="1538"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0"/>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szCs w:val="22"/>
                <w:highlight w:val="none"/>
              </w:rPr>
            </w:pPr>
            <w:r>
              <w:rPr>
                <w:rFonts w:ascii="宋体" w:hAnsi="宋体" w:cs="宋体"/>
                <w:bCs/>
                <w:kern w:val="0"/>
                <w:sz w:val="22"/>
                <w:szCs w:val="22"/>
                <w:highlight w:val="none"/>
                <w:lang w:bidi="ar"/>
              </w:rPr>
              <w:t>投标人所获管理体系认证情况</w:t>
            </w:r>
          </w:p>
        </w:tc>
        <w:tc>
          <w:tcPr>
            <w:tcW w:w="60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2"/>
                <w:szCs w:val="22"/>
                <w:highlight w:val="none"/>
              </w:rPr>
            </w:pPr>
            <w:r>
              <w:rPr>
                <w:rFonts w:hint="eastAsia" w:ascii="宋体" w:hAnsi="宋体" w:cs="宋体"/>
                <w:bCs/>
                <w:kern w:val="0"/>
                <w:sz w:val="22"/>
                <w:szCs w:val="22"/>
                <w:highlight w:val="none"/>
                <w:lang w:bidi="ar"/>
              </w:rPr>
              <w:t>投标人具有有效期内的IS09001质量管理体系认证证书、IS014001的环境管理体系认证、IS045001职业健康安全管理体系认证证书，每有1个体系证书得1分，最高得</w:t>
            </w:r>
            <w:r>
              <w:rPr>
                <w:rFonts w:hint="eastAsia" w:ascii="宋体" w:hAnsi="宋体" w:cs="宋体"/>
                <w:bCs/>
                <w:kern w:val="0"/>
                <w:sz w:val="22"/>
                <w:szCs w:val="22"/>
                <w:highlight w:val="none"/>
                <w:lang w:val="en-US" w:eastAsia="zh-CN" w:bidi="ar"/>
              </w:rPr>
              <w:t>3</w:t>
            </w:r>
            <w:r>
              <w:rPr>
                <w:rFonts w:hint="eastAsia" w:ascii="宋体" w:hAnsi="宋体" w:cs="宋体"/>
                <w:bCs/>
                <w:kern w:val="0"/>
                <w:sz w:val="22"/>
                <w:szCs w:val="22"/>
                <w:highlight w:val="none"/>
                <w:lang w:bidi="ar"/>
              </w:rPr>
              <w:t>分。（提供相关证书复印件加盖公章，且要求清晰可辨，否则不得分）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0或1或2或3分</w:t>
            </w:r>
          </w:p>
        </w:tc>
      </w:tr>
      <w:tr>
        <w:tblPrEx>
          <w:tblCellMar>
            <w:top w:w="0" w:type="dxa"/>
            <w:left w:w="108" w:type="dxa"/>
            <w:bottom w:w="0" w:type="dxa"/>
            <w:right w:w="108" w:type="dxa"/>
          </w:tblCellMar>
        </w:tblPrEx>
        <w:trPr>
          <w:trHeight w:val="1149"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0"/>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kern w:val="0"/>
                <w:sz w:val="22"/>
                <w:szCs w:val="22"/>
                <w:highlight w:val="none"/>
              </w:rPr>
              <w:t>合理化建议</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ascii="宋体" w:hAnsi="宋体" w:cs="宋体"/>
                <w:b/>
                <w:color w:val="FF0000"/>
                <w:kern w:val="0"/>
                <w:sz w:val="22"/>
                <w:szCs w:val="22"/>
                <w:highlight w:val="none"/>
                <w:lang w:bidi="ar"/>
              </w:rPr>
            </w:pPr>
            <w:r>
              <w:rPr>
                <w:rStyle w:val="970"/>
                <w:rFonts w:hint="eastAsia" w:ascii="宋体" w:hAnsi="宋体"/>
                <w:kern w:val="0"/>
                <w:sz w:val="22"/>
                <w:szCs w:val="22"/>
                <w:highlight w:val="none"/>
              </w:rPr>
              <w:t>根据投标人对本项目实际情况的了解及结合对本项目的理解，针对本项目提供合理化建议和措施，得到专家认可且有实际意义的，每项1分，最多2分（应与本项目相关）</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0或1或2分</w:t>
            </w:r>
          </w:p>
        </w:tc>
      </w:tr>
      <w:tr>
        <w:tblPrEx>
          <w:tblCellMar>
            <w:top w:w="0" w:type="dxa"/>
            <w:left w:w="108" w:type="dxa"/>
            <w:bottom w:w="0" w:type="dxa"/>
            <w:right w:w="108" w:type="dxa"/>
          </w:tblCellMar>
        </w:tblPrEx>
        <w:trPr>
          <w:trHeight w:val="1081" w:hRule="exact"/>
          <w:jc w:val="center"/>
        </w:trPr>
        <w:tc>
          <w:tcPr>
            <w:tcW w:w="516" w:type="dxa"/>
            <w:vMerge w:val="continue"/>
            <w:tcBorders>
              <w:top w:val="single" w:color="auto" w:sz="4" w:space="0"/>
              <w:left w:val="single" w:color="auto" w:sz="4" w:space="0"/>
              <w:bottom w:val="single" w:color="auto" w:sz="4" w:space="0"/>
              <w:right w:val="single" w:color="auto" w:sz="4" w:space="0"/>
            </w:tcBorders>
            <w:vAlign w:val="center"/>
          </w:tcPr>
          <w:p>
            <w:pPr>
              <w:pStyle w:val="80"/>
              <w:widowControl/>
              <w:tabs>
                <w:tab w:val="left" w:pos="0"/>
                <w:tab w:val="clear" w:pos="8268"/>
              </w:tabs>
              <w:spacing w:line="400" w:lineRule="atLeast"/>
              <w:rPr>
                <w:rFonts w:ascii="宋体" w:hAnsi="宋体" w:eastAsia="宋体" w:cs="宋体"/>
                <w:highlight w:val="none"/>
              </w:rPr>
            </w:pP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jc w:val="center"/>
              <w:textAlignment w:val="baseline"/>
              <w:rPr>
                <w:rFonts w:ascii="宋体" w:hAnsi="宋体" w:cs="宋体"/>
                <w:bCs/>
                <w:kern w:val="0"/>
                <w:sz w:val="22"/>
                <w:szCs w:val="22"/>
                <w:highlight w:val="none"/>
                <w:lang w:bidi="ar"/>
              </w:rPr>
            </w:pPr>
            <w:r>
              <w:rPr>
                <w:rStyle w:val="970"/>
                <w:rFonts w:hint="eastAsia" w:ascii="宋体" w:hAnsi="宋体"/>
                <w:kern w:val="0"/>
                <w:sz w:val="22"/>
                <w:szCs w:val="22"/>
                <w:highlight w:val="none"/>
              </w:rPr>
              <w:t>优惠条件</w:t>
            </w:r>
          </w:p>
        </w:tc>
        <w:tc>
          <w:tcPr>
            <w:tcW w:w="6068" w:type="dxa"/>
            <w:tcBorders>
              <w:top w:val="single" w:color="auto" w:sz="4" w:space="0"/>
              <w:left w:val="single" w:color="auto" w:sz="4" w:space="0"/>
              <w:bottom w:val="single" w:color="auto" w:sz="4" w:space="0"/>
              <w:right w:val="single" w:color="auto" w:sz="4" w:space="0"/>
            </w:tcBorders>
            <w:vAlign w:val="center"/>
          </w:tcPr>
          <w:p>
            <w:pPr>
              <w:snapToGrid w:val="0"/>
              <w:spacing w:line="276" w:lineRule="auto"/>
              <w:textAlignment w:val="baseline"/>
              <w:rPr>
                <w:rFonts w:hint="eastAsia" w:ascii="宋体" w:hAnsi="宋体" w:eastAsia="宋体" w:cs="宋体"/>
                <w:bCs/>
                <w:kern w:val="0"/>
                <w:sz w:val="22"/>
                <w:szCs w:val="22"/>
                <w:highlight w:val="none"/>
                <w:lang w:val="en-US" w:eastAsia="zh-CN" w:bidi="ar"/>
              </w:rPr>
            </w:pPr>
            <w:r>
              <w:rPr>
                <w:rFonts w:hint="eastAsia" w:ascii="宋体" w:hAnsi="宋体" w:cs="宋体"/>
                <w:bCs/>
                <w:kern w:val="0"/>
                <w:sz w:val="22"/>
                <w:szCs w:val="22"/>
                <w:highlight w:val="none"/>
                <w:lang w:bidi="ar"/>
              </w:rPr>
              <w:t>投标人承诺质保期在满足招标文件质保期基础上,每延长质保期1年的得2分，最高得4分。（投标人须在投标文件中做出相应承诺，无承诺不得分），延长时间不足一年的不加分</w:t>
            </w:r>
          </w:p>
        </w:tc>
        <w:tc>
          <w:tcPr>
            <w:tcW w:w="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2"/>
                <w:szCs w:val="22"/>
                <w:highlight w:val="none"/>
              </w:rPr>
            </w:pPr>
            <w:r>
              <w:rPr>
                <w:rFonts w:hint="eastAsia" w:ascii="宋体" w:hAnsi="宋体" w:cs="宋体"/>
                <w:sz w:val="22"/>
                <w:szCs w:val="22"/>
                <w:highlight w:val="none"/>
              </w:rPr>
              <w:t>0或</w:t>
            </w:r>
            <w:r>
              <w:rPr>
                <w:rFonts w:hint="eastAsia" w:ascii="宋体" w:hAnsi="宋体" w:cs="宋体"/>
                <w:sz w:val="22"/>
                <w:szCs w:val="22"/>
                <w:highlight w:val="none"/>
                <w:lang w:val="en-US" w:eastAsia="zh-CN"/>
              </w:rPr>
              <w:t>2</w:t>
            </w:r>
            <w:r>
              <w:rPr>
                <w:rFonts w:hint="eastAsia" w:ascii="宋体" w:hAnsi="宋体" w:cs="宋体"/>
                <w:sz w:val="22"/>
                <w:szCs w:val="22"/>
                <w:highlight w:val="none"/>
              </w:rPr>
              <w:t>或</w:t>
            </w:r>
            <w:r>
              <w:rPr>
                <w:rFonts w:hint="eastAsia" w:ascii="宋体" w:hAnsi="宋体" w:cs="宋体"/>
                <w:sz w:val="22"/>
                <w:szCs w:val="22"/>
                <w:highlight w:val="none"/>
                <w:lang w:val="en-US" w:eastAsia="zh-CN"/>
              </w:rPr>
              <w:t>4</w:t>
            </w:r>
            <w:r>
              <w:rPr>
                <w:rFonts w:hint="eastAsia" w:ascii="宋体" w:hAnsi="宋体" w:cs="宋体"/>
                <w:sz w:val="22"/>
                <w:szCs w:val="22"/>
                <w:highlight w:val="none"/>
              </w:rPr>
              <w:t>分</w:t>
            </w:r>
          </w:p>
        </w:tc>
      </w:tr>
    </w:tbl>
    <w:p>
      <w:pPr>
        <w:snapToGrid w:val="0"/>
        <w:spacing w:before="72" w:beforeLines="30" w:line="400" w:lineRule="exact"/>
        <w:jc w:val="left"/>
        <w:outlineLvl w:val="1"/>
        <w:rPr>
          <w:rFonts w:ascii="宋体" w:hAnsi="宋体"/>
          <w:b/>
          <w:sz w:val="24"/>
          <w:highlight w:val="none"/>
        </w:rPr>
      </w:pPr>
    </w:p>
    <w:p>
      <w:pPr>
        <w:snapToGrid w:val="0"/>
        <w:spacing w:before="72" w:beforeLines="30" w:line="400" w:lineRule="exact"/>
        <w:jc w:val="left"/>
        <w:outlineLvl w:val="1"/>
        <w:rPr>
          <w:rFonts w:ascii="宋体" w:hAnsi="宋体" w:cs="宋体"/>
          <w:b/>
          <w:sz w:val="24"/>
          <w:highlight w:val="none"/>
        </w:rPr>
      </w:pPr>
      <w:r>
        <w:rPr>
          <w:rFonts w:hint="eastAsia" w:ascii="宋体" w:hAnsi="宋体"/>
          <w:b/>
          <w:sz w:val="24"/>
          <w:highlight w:val="none"/>
        </w:rPr>
        <w:t>（</w:t>
      </w:r>
      <w:r>
        <w:rPr>
          <w:rFonts w:ascii="宋体" w:hAnsi="宋体"/>
          <w:b/>
          <w:sz w:val="24"/>
          <w:highlight w:val="none"/>
        </w:rPr>
        <w:t>三</w:t>
      </w:r>
      <w:r>
        <w:rPr>
          <w:rFonts w:hint="eastAsia" w:ascii="宋体" w:hAnsi="宋体"/>
          <w:b/>
          <w:sz w:val="24"/>
          <w:highlight w:val="none"/>
        </w:rPr>
        <w:t>）技术分</w:t>
      </w:r>
      <w:r>
        <w:rPr>
          <w:rFonts w:hint="eastAsia" w:ascii="宋体" w:hAnsi="宋体" w:cs="宋体"/>
          <w:b/>
          <w:sz w:val="24"/>
          <w:highlight w:val="none"/>
        </w:rPr>
        <w:t>（5</w:t>
      </w:r>
      <w:r>
        <w:rPr>
          <w:rFonts w:hint="eastAsia" w:ascii="宋体" w:hAnsi="宋体" w:cs="宋体"/>
          <w:b/>
          <w:sz w:val="24"/>
          <w:highlight w:val="none"/>
          <w:lang w:val="en-US" w:eastAsia="zh-CN"/>
        </w:rPr>
        <w:t>5</w:t>
      </w:r>
      <w:r>
        <w:rPr>
          <w:rFonts w:hint="eastAsia" w:ascii="宋体" w:hAnsi="宋体" w:cs="宋体"/>
          <w:b/>
          <w:sz w:val="24"/>
          <w:highlight w:val="none"/>
        </w:rPr>
        <w:t>分）</w:t>
      </w:r>
    </w:p>
    <w:tbl>
      <w:tblPr>
        <w:tblStyle w:val="63"/>
        <w:tblpPr w:leftFromText="180" w:rightFromText="180" w:vertAnchor="text" w:horzAnchor="page" w:tblpX="1769" w:tblpY="410"/>
        <w:tblOverlap w:val="never"/>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035"/>
        <w:gridCol w:w="6069"/>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17" w:type="dxa"/>
            <w:vMerge w:val="restart"/>
            <w:tcBorders>
              <w:tl2br w:val="nil"/>
              <w:tr2bl w:val="nil"/>
            </w:tcBorders>
            <w:vAlign w:val="center"/>
          </w:tcPr>
          <w:p>
            <w:pPr>
              <w:pStyle w:val="80"/>
              <w:widowControl/>
              <w:tabs>
                <w:tab w:val="left" w:pos="0"/>
                <w:tab w:val="clear" w:pos="8268"/>
              </w:tabs>
              <w:spacing w:line="400" w:lineRule="atLeast"/>
              <w:ind w:firstLine="0" w:firstLineChars="0"/>
              <w:rPr>
                <w:rStyle w:val="970"/>
                <w:rFonts w:ascii="宋体" w:hAnsi="宋体" w:eastAsia="宋体"/>
                <w:sz w:val="22"/>
                <w:szCs w:val="22"/>
                <w:highlight w:val="none"/>
              </w:rPr>
            </w:pPr>
            <w:r>
              <w:rPr>
                <w:rStyle w:val="970"/>
                <w:rFonts w:hint="eastAsia" w:ascii="宋体" w:hAnsi="宋体" w:eastAsia="宋体"/>
                <w:sz w:val="22"/>
                <w:szCs w:val="22"/>
                <w:highlight w:val="none"/>
              </w:rPr>
              <w:t>技术分5</w:t>
            </w:r>
            <w:r>
              <w:rPr>
                <w:rStyle w:val="970"/>
                <w:rFonts w:hint="eastAsia" w:ascii="宋体" w:hAnsi="宋体" w:eastAsia="宋体"/>
                <w:sz w:val="22"/>
                <w:szCs w:val="22"/>
                <w:highlight w:val="none"/>
                <w:lang w:val="en-US"/>
              </w:rPr>
              <w:t>5</w:t>
            </w:r>
            <w:r>
              <w:rPr>
                <w:rStyle w:val="970"/>
                <w:rFonts w:hint="eastAsia" w:ascii="宋体" w:hAnsi="宋体" w:eastAsia="宋体"/>
                <w:sz w:val="22"/>
                <w:szCs w:val="22"/>
                <w:highlight w:val="none"/>
              </w:rPr>
              <w:t>分</w:t>
            </w:r>
          </w:p>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产品性能</w:t>
            </w:r>
          </w:p>
        </w:tc>
        <w:tc>
          <w:tcPr>
            <w:tcW w:w="6069" w:type="dxa"/>
            <w:tcBorders>
              <w:tl2br w:val="nil"/>
              <w:tr2bl w:val="nil"/>
            </w:tcBorders>
            <w:vAlign w:val="center"/>
          </w:tcPr>
          <w:p>
            <w:pPr>
              <w:widowControl/>
              <w:jc w:val="left"/>
              <w:rPr>
                <w:rFonts w:ascii="宋体" w:hAnsi="宋体" w:cs="宋体"/>
                <w:sz w:val="22"/>
                <w:szCs w:val="22"/>
                <w:highlight w:val="none"/>
              </w:rPr>
            </w:pPr>
            <w:r>
              <w:rPr>
                <w:rFonts w:hint="eastAsia" w:ascii="宋体" w:hAnsi="宋体" w:cs="宋体"/>
                <w:sz w:val="22"/>
                <w:szCs w:val="22"/>
                <w:highlight w:val="none"/>
              </w:rPr>
              <w:t>根据供应商所投产品的安全性、耐久性、稳定性、完整性进行综合评议（</w:t>
            </w:r>
            <w:r>
              <w:rPr>
                <w:rFonts w:hint="eastAsia" w:ascii="宋体" w:hAnsi="宋体" w:cs="宋体"/>
                <w:sz w:val="22"/>
                <w:szCs w:val="22"/>
                <w:highlight w:val="none"/>
                <w:lang w:val="en-US" w:eastAsia="zh-CN"/>
              </w:rPr>
              <w:t>2-5</w:t>
            </w:r>
            <w:r>
              <w:rPr>
                <w:rFonts w:hint="eastAsia" w:ascii="宋体" w:hAnsi="宋体" w:cs="宋体"/>
                <w:sz w:val="22"/>
                <w:szCs w:val="22"/>
                <w:highlight w:val="none"/>
              </w:rPr>
              <w:t>分）</w:t>
            </w:r>
          </w:p>
        </w:tc>
        <w:tc>
          <w:tcPr>
            <w:tcW w:w="924" w:type="dxa"/>
            <w:tcBorders>
              <w:tl2br w:val="nil"/>
              <w:tr2bl w:val="nil"/>
            </w:tcBorders>
            <w:vAlign w:val="center"/>
          </w:tcPr>
          <w:p>
            <w:pPr>
              <w:widowControl/>
              <w:jc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517" w:type="dxa"/>
            <w:vMerge w:val="continue"/>
            <w:tcBorders>
              <w:tl2br w:val="nil"/>
              <w:tr2bl w:val="nil"/>
            </w:tcBorders>
            <w:vAlign w:val="center"/>
          </w:tcPr>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hint="default" w:ascii="宋体" w:hAnsi="宋体" w:eastAsia="宋体" w:cs="宋体"/>
                <w:sz w:val="22"/>
                <w:szCs w:val="22"/>
                <w:highlight w:val="none"/>
                <w:lang w:val="en-US" w:eastAsia="zh-CN"/>
              </w:rPr>
            </w:pPr>
            <w:r>
              <w:rPr>
                <w:rFonts w:hint="default" w:ascii="宋体" w:hAnsi="宋体" w:eastAsia="宋体" w:cs="宋体"/>
                <w:sz w:val="22"/>
                <w:szCs w:val="22"/>
                <w:highlight w:val="none"/>
                <w:lang w:val="en-US" w:eastAsia="zh-CN"/>
              </w:rPr>
              <w:t>深化设计方案</w:t>
            </w:r>
          </w:p>
        </w:tc>
        <w:tc>
          <w:tcPr>
            <w:tcW w:w="6069" w:type="dxa"/>
            <w:tcBorders>
              <w:tl2br w:val="nil"/>
              <w:tr2bl w:val="nil"/>
            </w:tcBorders>
            <w:vAlign w:val="center"/>
          </w:tcPr>
          <w:p>
            <w:pPr>
              <w:widowControl/>
              <w:jc w:val="left"/>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（1）根据供应商提供的设计方案的科学性、合理性、可行性等方面进行综合评议（</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eastAsia="zh-CN"/>
              </w:rPr>
              <w:t>5分）；</w:t>
            </w:r>
          </w:p>
          <w:p>
            <w:pPr>
              <w:widowControl/>
              <w:jc w:val="left"/>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（2）根据供应商提供的深化设计图纸的完善程度、效果等方面进行综合评议（</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eastAsia="zh-CN"/>
              </w:rPr>
              <w:t>5分）；</w:t>
            </w:r>
          </w:p>
          <w:p>
            <w:pPr>
              <w:widowControl/>
              <w:jc w:val="left"/>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（3）根据供应商提供的深化设计图纸与深化设计方案的符合程度、深化设计情况等进行综合评议（</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eastAsia="zh-CN"/>
              </w:rPr>
              <w:t>5分）；</w:t>
            </w:r>
          </w:p>
          <w:p>
            <w:pPr>
              <w:widowControl/>
              <w:jc w:val="left"/>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lang w:eastAsia="zh-CN"/>
              </w:rPr>
              <w:t>）根据供应商提供的主要施工方法进行综合评议（</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eastAsia="zh-CN"/>
              </w:rPr>
              <w:t>5分）</w:t>
            </w:r>
          </w:p>
        </w:tc>
        <w:tc>
          <w:tcPr>
            <w:tcW w:w="924" w:type="dxa"/>
            <w:tcBorders>
              <w:tl2br w:val="nil"/>
              <w:tr2bl w:val="nil"/>
            </w:tcBorders>
            <w:vAlign w:val="center"/>
          </w:tcPr>
          <w:p>
            <w:pPr>
              <w:widowControl/>
              <w:jc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517" w:type="dxa"/>
            <w:vMerge w:val="continue"/>
            <w:tcBorders>
              <w:tl2br w:val="nil"/>
              <w:tr2bl w:val="nil"/>
            </w:tcBorders>
            <w:vAlign w:val="center"/>
          </w:tcPr>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snapToGrid w:val="0"/>
              <w:jc w:val="center"/>
              <w:rPr>
                <w:rFonts w:ascii="宋体" w:hAnsi="宋体" w:cs="宋体"/>
                <w:sz w:val="22"/>
                <w:szCs w:val="22"/>
                <w:highlight w:val="none"/>
              </w:rPr>
            </w:pPr>
            <w:r>
              <w:rPr>
                <w:rFonts w:hint="eastAsia" w:ascii="宋体" w:hAnsi="宋体" w:cs="宋体"/>
                <w:sz w:val="22"/>
                <w:szCs w:val="22"/>
                <w:highlight w:val="none"/>
              </w:rPr>
              <w:t>项目实施方案</w:t>
            </w:r>
          </w:p>
        </w:tc>
        <w:tc>
          <w:tcPr>
            <w:tcW w:w="6069" w:type="dxa"/>
            <w:tcBorders>
              <w:tl2br w:val="nil"/>
              <w:tr2bl w:val="nil"/>
            </w:tcBorders>
            <w:vAlign w:val="center"/>
          </w:tcPr>
          <w:p>
            <w:pPr>
              <w:snapToGrid w:val="0"/>
              <w:jc w:val="left"/>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（1）根据供应商提供的针对本项目的质量保证措施进行综合评议（</w:t>
            </w:r>
            <w:r>
              <w:rPr>
                <w:rFonts w:hint="eastAsia" w:ascii="宋体" w:hAnsi="宋体" w:cs="宋体"/>
                <w:sz w:val="22"/>
                <w:szCs w:val="22"/>
                <w:highlight w:val="none"/>
                <w:lang w:val="en-US" w:eastAsia="zh-CN"/>
              </w:rPr>
              <w:t>3-6</w:t>
            </w:r>
            <w:r>
              <w:rPr>
                <w:rFonts w:hint="eastAsia" w:ascii="宋体" w:hAnsi="宋体" w:eastAsia="宋体" w:cs="宋体"/>
                <w:sz w:val="22"/>
                <w:szCs w:val="22"/>
                <w:highlight w:val="none"/>
                <w:lang w:val="en-US" w:eastAsia="zh-CN"/>
              </w:rPr>
              <w:t>分）；</w:t>
            </w:r>
          </w:p>
          <w:p>
            <w:pPr>
              <w:snapToGrid w:val="0"/>
              <w:jc w:val="left"/>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val="en-US" w:eastAsia="zh-CN"/>
              </w:rPr>
              <w:t>根据供应商提供的针对本项目的工期保证措施、安全生产及文明施工措施等内容的完整性、合理性、可行性等方面进行综合评议（</w:t>
            </w:r>
            <w:r>
              <w:rPr>
                <w:rFonts w:hint="eastAsia" w:ascii="宋体" w:hAnsi="宋体" w:cs="宋体"/>
                <w:sz w:val="22"/>
                <w:szCs w:val="22"/>
                <w:highlight w:val="none"/>
                <w:lang w:val="en-US" w:eastAsia="zh-CN"/>
              </w:rPr>
              <w:t>3-6</w:t>
            </w:r>
            <w:r>
              <w:rPr>
                <w:rFonts w:hint="eastAsia" w:ascii="宋体" w:hAnsi="宋体" w:eastAsia="宋体" w:cs="宋体"/>
                <w:sz w:val="22"/>
                <w:szCs w:val="22"/>
                <w:highlight w:val="none"/>
                <w:lang w:val="en-US" w:eastAsia="zh-CN"/>
              </w:rPr>
              <w:t>分）</w:t>
            </w:r>
          </w:p>
        </w:tc>
        <w:tc>
          <w:tcPr>
            <w:tcW w:w="924" w:type="dxa"/>
            <w:tcBorders>
              <w:tl2br w:val="nil"/>
              <w:tr2bl w:val="nil"/>
            </w:tcBorders>
            <w:vAlign w:val="center"/>
          </w:tcPr>
          <w:p>
            <w:pPr>
              <w:snapToGrid w:val="0"/>
              <w:spacing w:line="400" w:lineRule="exact"/>
              <w:jc w:val="center"/>
              <w:rPr>
                <w:rFonts w:hint="default" w:ascii="新宋体" w:hAnsi="新宋体" w:eastAsia="新宋体" w:cs="新宋体"/>
                <w:sz w:val="22"/>
                <w:szCs w:val="22"/>
                <w:highlight w:val="none"/>
                <w:lang w:val="en-US" w:eastAsia="zh-CN"/>
              </w:rPr>
            </w:pPr>
            <w:r>
              <w:rPr>
                <w:rFonts w:hint="eastAsia" w:ascii="新宋体" w:hAnsi="新宋体" w:eastAsia="新宋体" w:cs="新宋体"/>
                <w:sz w:val="22"/>
                <w:szCs w:val="22"/>
                <w:highlight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17" w:type="dxa"/>
            <w:vMerge w:val="continue"/>
            <w:tcBorders>
              <w:tl2br w:val="nil"/>
              <w:tr2bl w:val="nil"/>
            </w:tcBorders>
            <w:vAlign w:val="center"/>
          </w:tcPr>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ascii="宋体" w:hAnsi="宋体" w:cs="宋体"/>
                <w:sz w:val="22"/>
                <w:szCs w:val="22"/>
                <w:highlight w:val="none"/>
              </w:rPr>
            </w:pPr>
            <w:r>
              <w:rPr>
                <w:rFonts w:hint="eastAsia" w:ascii="宋体" w:hAnsi="宋体" w:cs="宋体"/>
                <w:sz w:val="22"/>
                <w:szCs w:val="22"/>
                <w:highlight w:val="none"/>
              </w:rPr>
              <w:t>应急处置方案及服务保障措施</w:t>
            </w:r>
          </w:p>
        </w:tc>
        <w:tc>
          <w:tcPr>
            <w:tcW w:w="6069" w:type="dxa"/>
            <w:tcBorders>
              <w:tl2br w:val="nil"/>
              <w:tr2bl w:val="nil"/>
            </w:tcBorders>
            <w:vAlign w:val="center"/>
          </w:tcPr>
          <w:p>
            <w:pPr>
              <w:widowControl/>
              <w:jc w:val="left"/>
              <w:rPr>
                <w:rFonts w:hint="eastAsia" w:ascii="新宋体" w:hAnsi="新宋体" w:eastAsia="新宋体" w:cs="新宋体"/>
                <w:sz w:val="22"/>
                <w:szCs w:val="22"/>
                <w:highlight w:val="none"/>
                <w:lang w:eastAsia="zh-CN"/>
              </w:rPr>
            </w:pPr>
            <w:r>
              <w:rPr>
                <w:rFonts w:hint="eastAsia" w:ascii="新宋体" w:hAnsi="新宋体" w:eastAsia="新宋体" w:cs="新宋体"/>
                <w:sz w:val="22"/>
                <w:szCs w:val="22"/>
                <w:highlight w:val="none"/>
              </w:rPr>
              <w:t>提供应急预案，并承诺紧急的响应时间。针对后续实际项目实施中可能遇到的紧急事件、异常处理等应急预案、疫情防控预案和对应的解决措施情况进行打分</w:t>
            </w:r>
            <w:r>
              <w:rPr>
                <w:rFonts w:hint="eastAsia" w:ascii="新宋体" w:hAnsi="新宋体" w:eastAsia="新宋体" w:cs="新宋体"/>
                <w:sz w:val="22"/>
                <w:szCs w:val="22"/>
                <w:highlight w:val="none"/>
                <w:lang w:eastAsia="zh-CN"/>
              </w:rPr>
              <w:t>（</w:t>
            </w:r>
            <w:r>
              <w:rPr>
                <w:rFonts w:hint="eastAsia" w:ascii="新宋体" w:hAnsi="新宋体" w:eastAsia="新宋体" w:cs="新宋体"/>
                <w:sz w:val="22"/>
                <w:szCs w:val="22"/>
                <w:highlight w:val="none"/>
                <w:lang w:val="en-US" w:eastAsia="zh-CN"/>
              </w:rPr>
              <w:t>2-5分</w:t>
            </w:r>
            <w:r>
              <w:rPr>
                <w:rFonts w:hint="eastAsia" w:ascii="新宋体" w:hAnsi="新宋体" w:eastAsia="新宋体" w:cs="新宋体"/>
                <w:sz w:val="22"/>
                <w:szCs w:val="22"/>
                <w:highlight w:val="none"/>
                <w:lang w:eastAsia="zh-CN"/>
              </w:rPr>
              <w:t>）</w:t>
            </w:r>
          </w:p>
        </w:tc>
        <w:tc>
          <w:tcPr>
            <w:tcW w:w="924" w:type="dxa"/>
            <w:tcBorders>
              <w:tl2br w:val="nil"/>
              <w:tr2bl w:val="nil"/>
            </w:tcBorders>
            <w:vAlign w:val="center"/>
          </w:tcPr>
          <w:p>
            <w:pPr>
              <w:widowControl/>
              <w:jc w:val="center"/>
              <w:rPr>
                <w:rFonts w:hint="default" w:ascii="新宋体" w:hAnsi="新宋体" w:eastAsia="宋体" w:cs="新宋体"/>
                <w:sz w:val="22"/>
                <w:szCs w:val="22"/>
                <w:highlight w:val="none"/>
                <w:lang w:val="en-US" w:eastAsia="zh-CN"/>
              </w:rPr>
            </w:pPr>
            <w:r>
              <w:rPr>
                <w:rFonts w:hint="eastAsia" w:ascii="新宋体" w:hAnsi="新宋体" w:cs="新宋体"/>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517" w:type="dxa"/>
            <w:vMerge w:val="continue"/>
            <w:tcBorders>
              <w:tl2br w:val="nil"/>
              <w:tr2bl w:val="nil"/>
            </w:tcBorders>
            <w:vAlign w:val="center"/>
          </w:tcPr>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tcBorders>
              <w:tl2br w:val="nil"/>
              <w:tr2bl w:val="nil"/>
            </w:tcBorders>
            <w:vAlign w:val="center"/>
          </w:tcPr>
          <w:p>
            <w:pPr>
              <w:widowControl/>
              <w:jc w:val="center"/>
              <w:rPr>
                <w:rFonts w:hint="default"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人员配备</w:t>
            </w:r>
          </w:p>
        </w:tc>
        <w:tc>
          <w:tcPr>
            <w:tcW w:w="6069" w:type="dxa"/>
            <w:tcBorders>
              <w:tl2br w:val="nil"/>
              <w:tr2bl w:val="nil"/>
            </w:tcBorders>
            <w:vAlign w:val="center"/>
          </w:tcPr>
          <w:p>
            <w:pPr>
              <w:widowControl/>
              <w:jc w:val="left"/>
              <w:rPr>
                <w:rFonts w:hint="default" w:ascii="宋体" w:hAnsi="宋体" w:eastAsia="宋体" w:cs="宋体"/>
                <w:kern w:val="0"/>
                <w:sz w:val="22"/>
                <w:szCs w:val="22"/>
                <w:highlight w:val="none"/>
                <w:lang w:val="en-US" w:eastAsia="zh-CN"/>
              </w:rPr>
            </w:pPr>
            <w:r>
              <w:rPr>
                <w:rFonts w:hint="default" w:ascii="宋体" w:hAnsi="宋体" w:eastAsia="宋体" w:cs="宋体"/>
                <w:kern w:val="0"/>
                <w:sz w:val="22"/>
                <w:szCs w:val="22"/>
                <w:highlight w:val="none"/>
                <w:lang w:val="en-US" w:eastAsia="zh-CN"/>
              </w:rPr>
              <w:t>投入本项目人员</w:t>
            </w:r>
            <w:r>
              <w:rPr>
                <w:rFonts w:hint="eastAsia" w:ascii="宋体" w:hAnsi="宋体" w:cs="宋体"/>
                <w:kern w:val="0"/>
                <w:sz w:val="22"/>
                <w:szCs w:val="22"/>
                <w:highlight w:val="none"/>
                <w:lang w:val="en-US" w:eastAsia="zh-CN"/>
              </w:rPr>
              <w:t>8</w:t>
            </w:r>
            <w:r>
              <w:rPr>
                <w:rFonts w:hint="default" w:ascii="宋体" w:hAnsi="宋体" w:eastAsia="宋体" w:cs="宋体"/>
                <w:kern w:val="0"/>
                <w:sz w:val="22"/>
                <w:szCs w:val="22"/>
                <w:highlight w:val="none"/>
                <w:lang w:val="en-US" w:eastAsia="zh-CN"/>
              </w:rPr>
              <w:t>名（含）以上得</w:t>
            </w:r>
            <w:r>
              <w:rPr>
                <w:rFonts w:hint="eastAsia" w:ascii="宋体" w:hAnsi="宋体" w:cs="宋体"/>
                <w:kern w:val="0"/>
                <w:sz w:val="22"/>
                <w:szCs w:val="22"/>
                <w:highlight w:val="none"/>
                <w:lang w:val="en-US" w:eastAsia="zh-CN"/>
              </w:rPr>
              <w:t>5</w:t>
            </w:r>
            <w:r>
              <w:rPr>
                <w:rFonts w:hint="default" w:ascii="宋体" w:hAnsi="宋体" w:eastAsia="宋体" w:cs="宋体"/>
                <w:kern w:val="0"/>
                <w:sz w:val="22"/>
                <w:szCs w:val="22"/>
                <w:highlight w:val="none"/>
                <w:lang w:val="en-US" w:eastAsia="zh-CN"/>
              </w:rPr>
              <w:t>分，</w:t>
            </w:r>
            <w:r>
              <w:rPr>
                <w:rFonts w:hint="eastAsia" w:ascii="宋体" w:hAnsi="宋体" w:cs="宋体"/>
                <w:kern w:val="0"/>
                <w:sz w:val="22"/>
                <w:szCs w:val="22"/>
                <w:highlight w:val="none"/>
                <w:lang w:val="en-US" w:eastAsia="zh-CN"/>
              </w:rPr>
              <w:t>5-7</w:t>
            </w:r>
            <w:r>
              <w:rPr>
                <w:rFonts w:hint="default" w:ascii="宋体" w:hAnsi="宋体" w:eastAsia="宋体" w:cs="宋体"/>
                <w:kern w:val="0"/>
                <w:sz w:val="22"/>
                <w:szCs w:val="22"/>
                <w:highlight w:val="none"/>
                <w:lang w:val="en-US" w:eastAsia="zh-CN"/>
              </w:rPr>
              <w:t>名得</w:t>
            </w:r>
            <w:r>
              <w:rPr>
                <w:rFonts w:hint="eastAsia" w:ascii="宋体" w:hAnsi="宋体" w:cs="宋体"/>
                <w:kern w:val="0"/>
                <w:sz w:val="22"/>
                <w:szCs w:val="22"/>
                <w:highlight w:val="none"/>
                <w:lang w:val="en-US" w:eastAsia="zh-CN"/>
              </w:rPr>
              <w:t>3</w:t>
            </w:r>
            <w:r>
              <w:rPr>
                <w:rFonts w:hint="default" w:ascii="宋体" w:hAnsi="宋体" w:eastAsia="宋体" w:cs="宋体"/>
                <w:kern w:val="0"/>
                <w:sz w:val="22"/>
                <w:szCs w:val="22"/>
                <w:highlight w:val="none"/>
                <w:lang w:val="en-US" w:eastAsia="zh-CN"/>
              </w:rPr>
              <w:t>分，</w:t>
            </w:r>
            <w:r>
              <w:rPr>
                <w:rFonts w:hint="eastAsia" w:ascii="宋体" w:hAnsi="宋体" w:cs="宋体"/>
                <w:kern w:val="0"/>
                <w:sz w:val="22"/>
                <w:szCs w:val="22"/>
                <w:highlight w:val="none"/>
                <w:lang w:val="en-US" w:eastAsia="zh-CN"/>
              </w:rPr>
              <w:t>4</w:t>
            </w:r>
            <w:r>
              <w:rPr>
                <w:rFonts w:hint="default" w:ascii="宋体" w:hAnsi="宋体" w:eastAsia="宋体" w:cs="宋体"/>
                <w:kern w:val="0"/>
                <w:sz w:val="22"/>
                <w:szCs w:val="22"/>
                <w:highlight w:val="none"/>
                <w:lang w:val="en-US" w:eastAsia="zh-CN"/>
              </w:rPr>
              <w:t>名（含）以下</w:t>
            </w:r>
            <w:r>
              <w:rPr>
                <w:rFonts w:hint="eastAsia" w:ascii="宋体" w:hAnsi="宋体" w:cs="宋体"/>
                <w:kern w:val="0"/>
                <w:sz w:val="22"/>
                <w:szCs w:val="22"/>
                <w:highlight w:val="none"/>
                <w:lang w:val="en-US" w:eastAsia="zh-CN"/>
              </w:rPr>
              <w:t>得1分</w:t>
            </w:r>
            <w:r>
              <w:rPr>
                <w:rFonts w:hint="default" w:ascii="宋体" w:hAnsi="宋体" w:eastAsia="宋体" w:cs="宋体"/>
                <w:kern w:val="0"/>
                <w:sz w:val="22"/>
                <w:szCs w:val="22"/>
                <w:highlight w:val="none"/>
                <w:lang w:val="en-US" w:eastAsia="zh-CN"/>
              </w:rPr>
              <w:t>。（提供以上人员在本单位近半年内任意一个月的缴纳社保证明复印件并盖章，否则不得分）</w:t>
            </w:r>
          </w:p>
        </w:tc>
        <w:tc>
          <w:tcPr>
            <w:tcW w:w="924" w:type="dxa"/>
            <w:tcBorders>
              <w:tl2br w:val="nil"/>
              <w:tr2bl w:val="nil"/>
            </w:tcBorders>
            <w:vAlign w:val="center"/>
          </w:tcPr>
          <w:p>
            <w:pPr>
              <w:widowControl/>
              <w:jc w:val="center"/>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1或3或5分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17" w:type="dxa"/>
            <w:vMerge w:val="continue"/>
            <w:tcBorders>
              <w:tl2br w:val="nil"/>
              <w:tr2bl w:val="nil"/>
            </w:tcBorders>
            <w:vAlign w:val="center"/>
          </w:tcPr>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vMerge w:val="restart"/>
            <w:tcBorders>
              <w:tl2br w:val="nil"/>
              <w:tr2bl w:val="nil"/>
            </w:tcBorders>
            <w:vAlign w:val="center"/>
          </w:tcPr>
          <w:p>
            <w:pPr>
              <w:spacing w:line="28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售后服务</w:t>
            </w:r>
          </w:p>
        </w:tc>
        <w:tc>
          <w:tcPr>
            <w:tcW w:w="6069" w:type="dxa"/>
            <w:tcBorders>
              <w:tl2br w:val="nil"/>
              <w:tr2bl w:val="nil"/>
            </w:tcBorders>
            <w:vAlign w:val="center"/>
          </w:tcPr>
          <w:p>
            <w:pPr>
              <w:spacing w:line="280" w:lineRule="exact"/>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kern w:val="0"/>
                <w:sz w:val="22"/>
                <w:szCs w:val="22"/>
                <w:highlight w:val="none"/>
                <w:lang w:eastAsia="zh-CN"/>
              </w:rPr>
              <w:t>投标人</w:t>
            </w:r>
            <w:r>
              <w:rPr>
                <w:rFonts w:hint="eastAsia" w:ascii="宋体" w:hAnsi="宋体" w:eastAsia="宋体" w:cs="宋体"/>
                <w:color w:val="auto"/>
                <w:kern w:val="0"/>
                <w:sz w:val="22"/>
                <w:szCs w:val="22"/>
                <w:highlight w:val="none"/>
              </w:rPr>
              <w:t>提供的售后服务方案、维护人员和机构等情况，以及服务承诺的可行性、完整性以及服务承诺落实的保障措施；提供免费上门维护所采取的措施等情况进行打分</w:t>
            </w:r>
            <w:r>
              <w:rPr>
                <w:rFonts w:hint="eastAsia" w:ascii="宋体" w:hAnsi="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2-5分）</w:t>
            </w:r>
          </w:p>
        </w:tc>
        <w:tc>
          <w:tcPr>
            <w:tcW w:w="924" w:type="dxa"/>
            <w:tcBorders>
              <w:tl2br w:val="nil"/>
              <w:tr2bl w:val="nil"/>
            </w:tcBorders>
            <w:vAlign w:val="center"/>
          </w:tcPr>
          <w:p>
            <w:pPr>
              <w:spacing w:line="280" w:lineRule="exact"/>
              <w:jc w:val="center"/>
              <w:rPr>
                <w:rFonts w:hint="default"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517" w:type="dxa"/>
            <w:vMerge w:val="continue"/>
            <w:tcBorders>
              <w:tl2br w:val="nil"/>
              <w:tr2bl w:val="nil"/>
            </w:tcBorders>
            <w:vAlign w:val="center"/>
          </w:tcPr>
          <w:p>
            <w:pPr>
              <w:pStyle w:val="80"/>
              <w:widowControl/>
              <w:tabs>
                <w:tab w:val="left" w:pos="0"/>
                <w:tab w:val="clear" w:pos="8268"/>
              </w:tabs>
              <w:spacing w:line="360" w:lineRule="atLeast"/>
              <w:ind w:firstLine="440"/>
              <w:jc w:val="center"/>
              <w:rPr>
                <w:rFonts w:ascii="宋体" w:hAnsi="宋体" w:eastAsia="宋体" w:cs="宋体"/>
                <w:sz w:val="22"/>
                <w:szCs w:val="22"/>
                <w:highlight w:val="none"/>
              </w:rPr>
            </w:pPr>
          </w:p>
        </w:tc>
        <w:tc>
          <w:tcPr>
            <w:tcW w:w="1035" w:type="dxa"/>
            <w:vMerge w:val="continue"/>
            <w:tcBorders>
              <w:tl2br w:val="nil"/>
              <w:tr2bl w:val="nil"/>
            </w:tcBorders>
            <w:vAlign w:val="center"/>
          </w:tcPr>
          <w:p>
            <w:pPr>
              <w:spacing w:line="280" w:lineRule="exact"/>
              <w:rPr>
                <w:rFonts w:hint="eastAsia" w:ascii="宋体" w:hAnsi="宋体" w:eastAsia="宋体" w:cs="宋体"/>
                <w:color w:val="auto"/>
                <w:kern w:val="0"/>
                <w:sz w:val="22"/>
                <w:szCs w:val="22"/>
                <w:highlight w:val="none"/>
              </w:rPr>
            </w:pPr>
          </w:p>
        </w:tc>
        <w:tc>
          <w:tcPr>
            <w:tcW w:w="6069" w:type="dxa"/>
            <w:tcBorders>
              <w:tl2br w:val="nil"/>
              <w:tr2bl w:val="nil"/>
            </w:tcBorders>
            <w:vAlign w:val="center"/>
          </w:tcPr>
          <w:p>
            <w:pPr>
              <w:spacing w:line="280" w:lineRule="exact"/>
              <w:rPr>
                <w:rFonts w:hint="default"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eastAsia="zh-CN"/>
              </w:rPr>
              <w:t>投标人</w:t>
            </w:r>
            <w:r>
              <w:rPr>
                <w:rFonts w:hint="eastAsia" w:ascii="宋体" w:hAnsi="宋体" w:eastAsia="宋体" w:cs="宋体"/>
                <w:color w:val="auto"/>
                <w:kern w:val="0"/>
                <w:sz w:val="22"/>
                <w:szCs w:val="22"/>
                <w:highlight w:val="none"/>
              </w:rPr>
              <w:t>提供的售后服务方案中计划</w:t>
            </w:r>
            <w:r>
              <w:rPr>
                <w:rFonts w:hint="eastAsia" w:ascii="宋体" w:hAnsi="宋体" w:eastAsia="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小时内到达现场对故障进行处理的得3分，</w:t>
            </w:r>
            <w:r>
              <w:rPr>
                <w:rFonts w:hint="eastAsia" w:ascii="宋体" w:hAnsi="宋体" w:eastAsia="宋体" w:cs="宋体"/>
                <w:color w:val="auto"/>
                <w:kern w:val="0"/>
                <w:sz w:val="22"/>
                <w:szCs w:val="22"/>
                <w:highlight w:val="none"/>
                <w:lang w:val="en-US" w:eastAsia="zh-CN"/>
              </w:rPr>
              <w:t>2.5</w:t>
            </w:r>
            <w:r>
              <w:rPr>
                <w:rFonts w:hint="eastAsia" w:ascii="宋体" w:hAnsi="宋体" w:eastAsia="宋体" w:cs="宋体"/>
                <w:color w:val="auto"/>
                <w:kern w:val="0"/>
                <w:sz w:val="22"/>
                <w:szCs w:val="22"/>
                <w:highlight w:val="none"/>
              </w:rPr>
              <w:t>小时内到达现场对故障进行处理的得2分，</w:t>
            </w:r>
            <w:r>
              <w:rPr>
                <w:rFonts w:hint="eastAsia" w:ascii="宋体" w:hAnsi="宋体" w:eastAsia="宋体" w:cs="宋体"/>
                <w:color w:val="auto"/>
                <w:kern w:val="0"/>
                <w:sz w:val="22"/>
                <w:szCs w:val="22"/>
                <w:highlight w:val="none"/>
                <w:lang w:val="en-US" w:eastAsia="zh-CN"/>
              </w:rPr>
              <w:t>3</w:t>
            </w:r>
            <w:r>
              <w:rPr>
                <w:rFonts w:hint="eastAsia" w:ascii="宋体" w:hAnsi="宋体" w:eastAsia="宋体" w:cs="宋体"/>
                <w:color w:val="auto"/>
                <w:kern w:val="0"/>
                <w:sz w:val="22"/>
                <w:szCs w:val="22"/>
                <w:highlight w:val="none"/>
              </w:rPr>
              <w:t>小时内到达现场对故障进行处理的得1分</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lang w:val="en-US" w:eastAsia="zh-CN"/>
              </w:rPr>
              <w:t>超过3小时不得分。</w:t>
            </w:r>
          </w:p>
        </w:tc>
        <w:tc>
          <w:tcPr>
            <w:tcW w:w="924" w:type="dxa"/>
            <w:tcBorders>
              <w:tl2br w:val="nil"/>
              <w:tr2bl w:val="nil"/>
            </w:tcBorders>
            <w:vAlign w:val="center"/>
          </w:tcPr>
          <w:p>
            <w:pPr>
              <w:spacing w:line="280" w:lineRule="exact"/>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0或1或2或3分</w:t>
            </w:r>
          </w:p>
        </w:tc>
      </w:tr>
    </w:tbl>
    <w:p>
      <w:pPr>
        <w:pStyle w:val="5"/>
        <w:spacing w:line="480" w:lineRule="exact"/>
        <w:ind w:left="0" w:firstLine="0"/>
        <w:rPr>
          <w:rFonts w:hint="eastAsia"/>
          <w:sz w:val="24"/>
          <w:szCs w:val="24"/>
          <w:highlight w:val="none"/>
        </w:rPr>
      </w:pPr>
      <w:r>
        <w:rPr>
          <w:rFonts w:hint="eastAsia"/>
          <w:sz w:val="24"/>
          <w:szCs w:val="24"/>
          <w:highlight w:val="none"/>
        </w:rPr>
        <w:t>注：以上项目若缺项，则该项得0分。</w:t>
      </w:r>
    </w:p>
    <w:p>
      <w:pPr>
        <w:rPr>
          <w:highlight w:val="none"/>
        </w:rPr>
      </w:pPr>
    </w:p>
    <w:p>
      <w:pPr>
        <w:pStyle w:val="5"/>
        <w:spacing w:line="480" w:lineRule="exact"/>
        <w:ind w:left="0" w:firstLine="0"/>
        <w:rPr>
          <w:sz w:val="24"/>
          <w:szCs w:val="24"/>
          <w:highlight w:val="none"/>
        </w:rPr>
      </w:pPr>
    </w:p>
    <w:p>
      <w:pPr>
        <w:spacing w:before="120" w:beforeLines="50" w:line="360" w:lineRule="auto"/>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center"/>
        <w:rPr>
          <w:rFonts w:ascii="仿宋" w:hAnsi="仿宋" w:eastAsia="仿宋" w:cs="仿宋_GB2312"/>
          <w:b/>
          <w:sz w:val="36"/>
          <w:szCs w:val="36"/>
          <w:highlight w:val="none"/>
        </w:rPr>
      </w:pPr>
    </w:p>
    <w:p>
      <w:pPr>
        <w:spacing w:before="120" w:beforeLines="50" w:line="360" w:lineRule="auto"/>
        <w:jc w:val="both"/>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rFonts w:hint="eastAsia" w:ascii="仿宋" w:hAnsi="仿宋" w:eastAsia="仿宋" w:cs="仿宋_GB2312"/>
          <w:b/>
          <w:sz w:val="36"/>
          <w:szCs w:val="36"/>
          <w:highlight w:val="none"/>
        </w:rPr>
      </w:pPr>
    </w:p>
    <w:p>
      <w:pPr>
        <w:spacing w:before="120" w:beforeLines="50" w:line="360" w:lineRule="auto"/>
        <w:jc w:val="center"/>
        <w:rPr>
          <w:highlight w:val="none"/>
        </w:rPr>
      </w:pPr>
      <w:r>
        <w:rPr>
          <w:rFonts w:hint="eastAsia" w:ascii="仿宋" w:hAnsi="仿宋" w:eastAsia="仿宋" w:cs="仿宋_GB2312"/>
          <w:b/>
          <w:sz w:val="36"/>
          <w:szCs w:val="36"/>
          <w:highlight w:val="none"/>
        </w:rPr>
        <w:t>第五章  嘉善县政府采购合同（指引）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8"/>
          <w:szCs w:val="28"/>
          <w:highlight w:val="none"/>
        </w:rPr>
      </w:pPr>
      <w:r>
        <w:rPr>
          <w:rFonts w:hint="eastAsia" w:ascii="宋体" w:hAnsi="宋体" w:cs="宋体"/>
          <w:kern w:val="0"/>
          <w:sz w:val="28"/>
          <w:szCs w:val="28"/>
          <w:highlight w:val="none"/>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政府采购计划（预算）确认书编号：</w:t>
      </w:r>
      <w:r>
        <w:rPr>
          <w:rFonts w:hint="eastAsia" w:ascii="宋体" w:hAnsi="宋体" w:cs="Arial"/>
          <w:kern w:val="0"/>
          <w:sz w:val="24"/>
          <w:highlight w:val="none"/>
        </w:rPr>
        <w:t>善财采确临[2022]5609号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预算金额：245.4121</w:t>
      </w:r>
      <w:r>
        <w:rPr>
          <w:rFonts w:hint="eastAsia" w:ascii="宋体" w:hAnsi="宋体" w:cs="Arial"/>
          <w:kern w:val="0"/>
          <w:sz w:val="24"/>
          <w:highlight w:val="none"/>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采购人（以下称甲方）：嘉兴市农业科学研究院嘉善农业科学研究所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采购代理机构：嘉兴市银建工程咨询评估有限公司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采购方式：</w:t>
      </w:r>
      <w:r>
        <w:rPr>
          <w:rFonts w:hint="eastAsia" w:ascii="宋体" w:hAnsi="宋体" w:cs="Arial"/>
          <w:kern w:val="0"/>
          <w:sz w:val="24"/>
          <w:highlight w:val="none"/>
        </w:rPr>
        <w:t>公开招标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采购文件编号：</w:t>
      </w:r>
      <w:r>
        <w:rPr>
          <w:rFonts w:hint="eastAsia" w:ascii="宋体" w:hAnsi="宋体" w:cs="宋体"/>
          <w:kern w:val="0"/>
          <w:sz w:val="24"/>
          <w:highlight w:val="none"/>
          <w:lang w:eastAsia="zh-CN"/>
        </w:rPr>
        <w:t>JXYJ2022049</w:t>
      </w:r>
      <w:r>
        <w:rPr>
          <w:rFonts w:hint="eastAsia" w:ascii="宋体" w:hAnsi="宋体" w:cs="宋体"/>
          <w:kern w:val="0"/>
          <w:sz w:val="24"/>
          <w:highlight w:val="none"/>
        </w:rPr>
        <w:t>（G）</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根据《中华人民共和国政府采购法》、《中华人民共和国民法典》等法律法规的规定，甲乙双方按照</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eastAsia="zh-CN"/>
        </w:rPr>
        <w:t>嘉善农科所长秀基地生态智慧提升单体大棚采购项目（第三次）</w:t>
      </w:r>
      <w:r>
        <w:rPr>
          <w:rFonts w:hint="eastAsia" w:ascii="宋体" w:hAnsi="宋体" w:cs="宋体"/>
          <w:kern w:val="0"/>
          <w:sz w:val="24"/>
          <w:highlight w:val="none"/>
          <w:u w:val="single"/>
        </w:rPr>
        <w:t xml:space="preserve"> </w:t>
      </w:r>
      <w:r>
        <w:rPr>
          <w:rFonts w:hint="eastAsia" w:ascii="宋体" w:hAnsi="宋体" w:cs="宋体"/>
          <w:kern w:val="0"/>
          <w:sz w:val="24"/>
          <w:highlight w:val="none"/>
        </w:rPr>
        <w:t>项目采购结果签订本合同。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（2）采购文件与投标文件（或采购响应文件）；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（3）中标或成交通知书；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组成本合同的所有文件必须为书面形式。政府采购合同备案时，须提供以上（1）、（3）两项，如由社会中介机构代理，须提供代理协议，合同如有变更的，须提供变更协议。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s="宋体"/>
          <w:kern w:val="0"/>
          <w:sz w:val="24"/>
          <w:highlight w:val="none"/>
        </w:rPr>
      </w:pPr>
      <w:r>
        <w:rPr>
          <w:rFonts w:hint="eastAsia" w:ascii="宋体" w:hAnsi="宋体" w:cs="宋体"/>
          <w:kern w:val="0"/>
          <w:sz w:val="24"/>
          <w:highlight w:val="none"/>
        </w:rPr>
        <w:t>1、本次采购的是</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lang w:eastAsia="zh-CN"/>
        </w:rPr>
        <w:t>嘉善农科所长秀基地生态智慧提升单体大棚采购项目（第三次）</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第三条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1、本合同项下总价款为人民币（大写）</w:t>
      </w:r>
      <w:r>
        <w:rPr>
          <w:rFonts w:hint="eastAsia" w:ascii="宋体" w:hAnsi="宋体" w:cs="宋体"/>
          <w:kern w:val="0"/>
          <w:sz w:val="24"/>
          <w:highlight w:val="none"/>
          <w:u w:val="single"/>
        </w:rPr>
        <w:t xml:space="preserve">                                 </w:t>
      </w:r>
      <w:r>
        <w:rPr>
          <w:rFonts w:hint="eastAsia" w:ascii="宋体" w:hAnsi="宋体" w:cs="宋体"/>
          <w:kern w:val="0"/>
          <w:sz w:val="24"/>
          <w:highlight w:val="none"/>
        </w:rPr>
        <w:t>，分项价款见“投标报价明细表”（如有）”。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Arial"/>
          <w:kern w:val="0"/>
          <w:sz w:val="24"/>
          <w:highlight w:val="none"/>
        </w:rPr>
      </w:pPr>
      <w:r>
        <w:rPr>
          <w:rFonts w:hint="eastAsia" w:ascii="宋体" w:hAnsi="宋体" w:cs="宋体"/>
          <w:kern w:val="0"/>
          <w:sz w:val="24"/>
          <w:highlight w:val="none"/>
        </w:rPr>
        <w:t>2、本合同总价款含所有税费（</w:t>
      </w:r>
      <w:r>
        <w:rPr>
          <w:rFonts w:hint="eastAsia" w:ascii="宋体" w:hAnsi="宋体" w:cs="宋体"/>
          <w:sz w:val="24"/>
          <w:highlight w:val="none"/>
        </w:rPr>
        <w:t>设计、生产、供货、运输、装卸、安装调试、税金、保险、备品备件、配件、附件、培训、验收、辅助工作及售后服务等完成本项目的所有费用）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3、本项目资金来源性质为以下第</w:t>
      </w:r>
      <w:r>
        <w:rPr>
          <w:rFonts w:hint="eastAsia" w:ascii="宋体" w:hAnsi="宋体" w:cs="宋体"/>
          <w:kern w:val="0"/>
          <w:sz w:val="24"/>
          <w:highlight w:val="none"/>
          <w:u w:val="single"/>
        </w:rPr>
        <w:t xml:space="preserve">     （1）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（1）一般公共预算；（2）政府基金；（3）专户核拨的预算外资金；（4）其他财政资金；（5）其他资金。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4、本合同付款方式为以下第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（1）本合同项下的采购资金系甲方自行支付，付款程序为</w:t>
      </w:r>
      <w:r>
        <w:rPr>
          <w:rFonts w:hint="eastAsia" w:ascii="宋体" w:hAnsi="宋体" w:cs="Arial"/>
          <w:kern w:val="0"/>
          <w:sz w:val="24"/>
          <w:highlight w:val="none"/>
          <w:u w:val="single"/>
        </w:rPr>
        <w:t xml:space="preserve">             </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（2）本合同项下的采购资金采用财政授权支付，付款程序为</w:t>
      </w:r>
      <w:r>
        <w:rPr>
          <w:rFonts w:hint="eastAsia" w:ascii="宋体" w:hAnsi="宋体" w:cs="宋体"/>
          <w:kern w:val="0"/>
          <w:sz w:val="24"/>
          <w:highlight w:val="none"/>
          <w:u w:val="single"/>
        </w:rPr>
        <w:t>甲方根据年初预算申请生成用款计划，再在支付管理系统中发起支付申请</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（3）其他方式。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5、本合同项下的采购资金付款进度按采购文件与投标文件（或采购响应文件）规定，未规定时按以下第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 xml:space="preserve"> 项支付：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（1）一次性付款：乙方合同履行达到</w:t>
      </w:r>
      <w:r>
        <w:rPr>
          <w:rFonts w:hint="eastAsia" w:ascii="宋体" w:hAnsi="宋体" w:cs="宋体"/>
          <w:kern w:val="0"/>
          <w:sz w:val="24"/>
          <w:highlight w:val="none"/>
          <w:u w:val="single"/>
        </w:rPr>
        <w:t xml:space="preserve">         </w:t>
      </w:r>
      <w:r>
        <w:rPr>
          <w:rFonts w:hint="eastAsia" w:ascii="宋体" w:hAnsi="宋体" w:cs="宋体"/>
          <w:kern w:val="0"/>
          <w:sz w:val="24"/>
          <w:highlight w:val="none"/>
        </w:rPr>
        <w:t>（条件）时，一次性付款；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（2）分期付款：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sz w:val="24"/>
          <w:highlight w:val="none"/>
        </w:rPr>
        <w:t>采购单位在合同签订后7个工作日内支付合同金额的40%；单体大棚安装调试工作量完成至80%时支付合同金额的30%，全部安装调试完毕，项目验收合格</w:t>
      </w:r>
      <w:r>
        <w:rPr>
          <w:rFonts w:hint="eastAsia" w:ascii="宋体" w:hAnsi="宋体" w:cs="宋体"/>
          <w:sz w:val="24"/>
          <w:highlight w:val="none"/>
          <w:lang w:eastAsia="zh-CN"/>
        </w:rPr>
        <w:t>并经审价</w:t>
      </w:r>
      <w:r>
        <w:rPr>
          <w:rFonts w:hint="eastAsia" w:ascii="宋体" w:hAnsi="宋体" w:cs="宋体"/>
          <w:sz w:val="24"/>
          <w:highlight w:val="none"/>
        </w:rPr>
        <w:t>后7个工作日内</w:t>
      </w:r>
      <w:r>
        <w:rPr>
          <w:rFonts w:hint="eastAsia" w:ascii="宋体" w:hAnsi="宋体" w:cs="宋体"/>
          <w:sz w:val="24"/>
          <w:highlight w:val="none"/>
          <w:lang w:eastAsia="zh-CN"/>
        </w:rPr>
        <w:t>按照审定价格付清尾款</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注：付款前中标单位应按规定向采购人开具正规发票。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按以下第</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w:t>
      </w:r>
      <w:r>
        <w:rPr>
          <w:rFonts w:hint="eastAsia" w:ascii="宋体" w:hAnsi="宋体" w:cs="宋体"/>
          <w:kern w:val="0"/>
          <w:sz w:val="24"/>
          <w:highlight w:val="none"/>
          <w:u w:val="single"/>
        </w:rPr>
        <w:t xml:space="preserve">     </w:t>
      </w:r>
      <w:r>
        <w:rPr>
          <w:rFonts w:hint="eastAsia" w:ascii="宋体" w:hAnsi="宋体" w:cs="宋体"/>
          <w:kern w:val="0"/>
          <w:sz w:val="24"/>
          <w:highlight w:val="none"/>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1、本项目设置履约保证金,</w:t>
      </w:r>
      <w:r>
        <w:rPr>
          <w:rFonts w:hint="eastAsia" w:ascii="宋体" w:hAnsi="宋体" w:cs="宋体"/>
          <w:sz w:val="24"/>
          <w:highlight w:val="none"/>
        </w:rPr>
        <w:t>签订合同前中标人应向采购人交纳合同金额的1%作为履约保证金，履约保证金在合同履行完毕后一个月内无息退还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b/>
          <w:kern w:val="0"/>
          <w:sz w:val="24"/>
          <w:highlight w:val="none"/>
        </w:rPr>
      </w:pPr>
      <w:r>
        <w:rPr>
          <w:rFonts w:hint="eastAsia" w:ascii="宋体" w:hAnsi="宋体" w:cs="宋体"/>
          <w:kern w:val="0"/>
          <w:sz w:val="24"/>
          <w:highlight w:val="none"/>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第五条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第六条 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本项目不允许转包和分包</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第七条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因履行本合同引起的或与本合同有关的争议，甲、乙双方应首先通过友好协商解决，如果协商不能解决争议，则采取以下第</w:t>
      </w:r>
      <w:r>
        <w:rPr>
          <w:rFonts w:hint="eastAsia" w:ascii="宋体" w:hAnsi="宋体" w:cs="宋体"/>
          <w:kern w:val="0"/>
          <w:sz w:val="24"/>
          <w:highlight w:val="none"/>
          <w:u w:val="single"/>
        </w:rPr>
        <w:t xml:space="preserve">   （2）    </w:t>
      </w:r>
      <w:r>
        <w:rPr>
          <w:rFonts w:hint="eastAsia" w:ascii="宋体" w:hAnsi="宋体" w:cs="宋体"/>
          <w:kern w:val="0"/>
          <w:sz w:val="24"/>
          <w:highlight w:val="none"/>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（2）向</w:t>
      </w:r>
      <w:r>
        <w:rPr>
          <w:rFonts w:hint="eastAsia" w:ascii="宋体" w:hAnsi="宋体" w:cs="宋体"/>
          <w:kern w:val="0"/>
          <w:sz w:val="24"/>
          <w:highlight w:val="none"/>
          <w:u w:val="single"/>
        </w:rPr>
        <w:t xml:space="preserve">   </w:t>
      </w:r>
      <w:r>
        <w:rPr>
          <w:rFonts w:hint="eastAsia" w:ascii="宋体" w:hAnsi="宋体" w:cs="Arial"/>
          <w:kern w:val="0"/>
          <w:sz w:val="24"/>
          <w:highlight w:val="none"/>
          <w:u w:val="single"/>
          <w:lang w:eastAsia="zh-CN"/>
        </w:rPr>
        <w:t>项目所在地</w:t>
      </w:r>
      <w:r>
        <w:rPr>
          <w:rFonts w:hint="eastAsia" w:ascii="宋体" w:hAnsi="宋体" w:cs="宋体"/>
          <w:kern w:val="0"/>
          <w:sz w:val="24"/>
          <w:highlight w:val="none"/>
          <w:u w:val="single"/>
        </w:rPr>
        <w:t xml:space="preserve">    </w:t>
      </w:r>
      <w:r>
        <w:rPr>
          <w:rFonts w:hint="eastAsia" w:ascii="宋体" w:hAnsi="宋体" w:cs="宋体"/>
          <w:kern w:val="0"/>
          <w:sz w:val="24"/>
          <w:highlight w:val="none"/>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2" w:firstLineChars="200"/>
        <w:jc w:val="left"/>
        <w:rPr>
          <w:rFonts w:ascii="宋体" w:hAnsi="宋体" w:cs="宋体"/>
          <w:b/>
          <w:kern w:val="0"/>
          <w:sz w:val="24"/>
          <w:highlight w:val="none"/>
        </w:rPr>
      </w:pPr>
      <w:r>
        <w:rPr>
          <w:rFonts w:hint="eastAsia" w:ascii="宋体" w:hAnsi="宋体" w:cs="宋体"/>
          <w:b/>
          <w:kern w:val="0"/>
          <w:sz w:val="24"/>
          <w:highlight w:val="none"/>
        </w:rPr>
        <w:t>第八条 合同备案及其他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Arial"/>
          <w:kern w:val="0"/>
          <w:sz w:val="24"/>
          <w:highlight w:val="none"/>
        </w:rPr>
        <w:t>本合同一式五份，甲乙双方各</w:t>
      </w:r>
      <w:bookmarkStart w:id="36" w:name="_GoBack"/>
      <w:bookmarkEnd w:id="36"/>
      <w:r>
        <w:rPr>
          <w:rFonts w:hint="eastAsia" w:ascii="宋体" w:hAnsi="宋体" w:cs="Arial"/>
          <w:kern w:val="0"/>
          <w:sz w:val="24"/>
          <w:highlight w:val="none"/>
        </w:rPr>
        <w:t>2份，招标代理机构各持一份</w:t>
      </w:r>
      <w:r>
        <w:rPr>
          <w:rFonts w:hint="eastAsia" w:ascii="宋体" w:hAnsi="宋体" w:cs="宋体"/>
          <w:kern w:val="0"/>
          <w:sz w:val="24"/>
          <w:highlight w:val="non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s="宋体"/>
          <w:kern w:val="0"/>
          <w:sz w:val="24"/>
          <w:highlight w:val="none"/>
        </w:rPr>
      </w:pPr>
      <w:r>
        <w:rPr>
          <w:rFonts w:hint="eastAsia" w:ascii="宋体" w:hAnsi="宋体" w:cs="宋体"/>
          <w:kern w:val="0"/>
          <w:sz w:val="24"/>
          <w:highlight w:val="non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r>
        <w:rPr>
          <w:rFonts w:hint="eastAsia" w:ascii="宋体" w:hAnsi="宋体" w:cs="宋体"/>
          <w:kern w:val="0"/>
          <w:sz w:val="24"/>
          <w:highlight w:val="none"/>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宋体" w:hAnsi="宋体" w:cs="宋体"/>
          <w:kern w:val="0"/>
          <w:sz w:val="24"/>
          <w:highlight w:val="none"/>
        </w:rPr>
      </w:pPr>
    </w:p>
    <w:p>
      <w:pPr>
        <w:spacing w:line="480" w:lineRule="exact"/>
        <w:rPr>
          <w:rFonts w:ascii="宋体" w:hAnsi="宋体" w:cs="宋体"/>
          <w:b/>
          <w:sz w:val="24"/>
          <w:highlight w:val="none"/>
        </w:rPr>
      </w:pPr>
      <w:r>
        <w:rPr>
          <w:rFonts w:hint="eastAsia" w:ascii="宋体" w:hAnsi="宋体" w:cs="宋体"/>
          <w:b/>
          <w:sz w:val="24"/>
          <w:highlight w:val="none"/>
        </w:rPr>
        <w:t>采购人（甲方公章）                    供应商（乙方公章）：</w:t>
      </w:r>
    </w:p>
    <w:p>
      <w:pPr>
        <w:spacing w:line="480" w:lineRule="exact"/>
        <w:rPr>
          <w:rFonts w:ascii="宋体" w:hAnsi="宋体" w:cs="宋体"/>
          <w:b/>
          <w:sz w:val="24"/>
          <w:highlight w:val="none"/>
        </w:rPr>
      </w:pPr>
      <w:r>
        <w:rPr>
          <w:rFonts w:hint="eastAsia" w:ascii="宋体" w:hAnsi="宋体" w:cs="宋体"/>
          <w:b/>
          <w:sz w:val="24"/>
          <w:highlight w:val="none"/>
        </w:rPr>
        <w:t>法定代表人                            法定代表人</w:t>
      </w:r>
    </w:p>
    <w:p>
      <w:pPr>
        <w:spacing w:line="480" w:lineRule="exact"/>
        <w:rPr>
          <w:rFonts w:ascii="宋体" w:hAnsi="宋体" w:cs="宋体"/>
          <w:b/>
          <w:sz w:val="24"/>
          <w:highlight w:val="none"/>
        </w:rPr>
      </w:pPr>
      <w:r>
        <w:rPr>
          <w:rFonts w:hint="eastAsia" w:ascii="宋体" w:hAnsi="宋体" w:cs="宋体"/>
          <w:b/>
          <w:sz w:val="24"/>
          <w:highlight w:val="none"/>
        </w:rPr>
        <w:t xml:space="preserve">或被授权人（签字）：                   或被授权人（签字）：     </w:t>
      </w:r>
    </w:p>
    <w:p>
      <w:pPr>
        <w:spacing w:line="480" w:lineRule="exact"/>
        <w:rPr>
          <w:rFonts w:ascii="宋体" w:hAnsi="宋体" w:cs="宋体"/>
          <w:b/>
          <w:sz w:val="24"/>
          <w:highlight w:val="none"/>
        </w:rPr>
      </w:pPr>
      <w:r>
        <w:rPr>
          <w:rFonts w:hint="eastAsia" w:ascii="宋体" w:hAnsi="宋体" w:cs="宋体"/>
          <w:b/>
          <w:sz w:val="24"/>
          <w:highlight w:val="none"/>
        </w:rPr>
        <w:t xml:space="preserve">电话：                                电话：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w:t>
      </w:r>
    </w:p>
    <w:p>
      <w:pPr>
        <w:spacing w:line="480" w:lineRule="exact"/>
        <w:ind w:right="480" w:firstLine="2160" w:firstLineChars="900"/>
        <w:jc w:val="center"/>
        <w:rPr>
          <w:rFonts w:ascii="宋体" w:hAnsi="宋体" w:cs="宋体"/>
          <w:sz w:val="24"/>
          <w:highlight w:val="none"/>
        </w:rPr>
      </w:pPr>
      <w:r>
        <w:rPr>
          <w:rFonts w:hint="eastAsia" w:ascii="宋体" w:hAnsi="宋体" w:cs="宋体"/>
          <w:sz w:val="24"/>
          <w:highlight w:val="none"/>
        </w:rPr>
        <w:t xml:space="preserve">       合同签订日期：     年    月   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sz w:val="24"/>
          <w:highlight w:val="none"/>
        </w:rPr>
        <w:sectPr>
          <w:footerReference r:id="rId7" w:type="default"/>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sz w:val="24"/>
          <w:highlight w:val="none"/>
        </w:rPr>
        <w:t>签约地点：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3480" w:firstLineChars="1450"/>
        <w:rPr>
          <w:rFonts w:ascii="宋体" w:hAnsi="宋体" w:cs="宋体"/>
          <w:kern w:val="0"/>
          <w:sz w:val="24"/>
          <w:highlight w:val="none"/>
        </w:rPr>
      </w:pPr>
      <w:r>
        <w:rPr>
          <w:rFonts w:hint="eastAsia" w:ascii="宋体" w:hAnsi="宋体" w:cs="宋体"/>
          <w:sz w:val="24"/>
          <w:highlight w:val="none"/>
        </w:rPr>
        <w:t xml:space="preserve">               </w:t>
      </w:r>
    </w:p>
    <w:tbl>
      <w:tblPr>
        <w:tblStyle w:val="63"/>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jc w:val="center"/>
              <w:rPr>
                <w:rFonts w:ascii="宋体" w:hAnsi="宋体" w:cs="宋体"/>
                <w:b/>
                <w:bCs/>
                <w:kern w:val="0"/>
                <w:sz w:val="36"/>
                <w:szCs w:val="36"/>
                <w:highlight w:val="none"/>
              </w:rPr>
            </w:pPr>
            <w:r>
              <w:rPr>
                <w:rFonts w:hint="eastAsia" w:ascii="宋体" w:hAnsi="宋体" w:cs="宋体"/>
                <w:b/>
                <w:bCs/>
                <w:kern w:val="0"/>
                <w:sz w:val="36"/>
                <w:szCs w:val="36"/>
                <w:highlight w:val="none"/>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p>
        </w:tc>
        <w:tc>
          <w:tcPr>
            <w:tcW w:w="2081" w:type="dxa"/>
            <w:tcBorders>
              <w:top w:val="nil"/>
              <w:left w:val="nil"/>
              <w:bottom w:val="nil"/>
              <w:right w:val="nil"/>
            </w:tcBorders>
            <w:vAlign w:val="bottom"/>
          </w:tcPr>
          <w:p>
            <w:pPr>
              <w:widowControl/>
              <w:jc w:val="left"/>
              <w:rPr>
                <w:rFonts w:ascii="宋体" w:hAnsi="宋体" w:cs="宋体"/>
                <w:kern w:val="0"/>
                <w:sz w:val="24"/>
                <w:highlight w:val="none"/>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采购申请编号:</w:t>
            </w:r>
          </w:p>
        </w:tc>
        <w:tc>
          <w:tcPr>
            <w:tcW w:w="3021" w:type="dxa"/>
            <w:tcBorders>
              <w:top w:val="nil"/>
              <w:left w:val="nil"/>
              <w:bottom w:val="nil"/>
              <w:right w:val="nil"/>
            </w:tcBorders>
            <w:vAlign w:val="bottom"/>
          </w:tcPr>
          <w:p>
            <w:pPr>
              <w:widowControl/>
              <w:jc w:val="left"/>
              <w:rPr>
                <w:rFonts w:ascii="宋体" w:hAnsi="宋体" w:cs="宋体"/>
                <w:kern w:val="0"/>
                <w:sz w:val="24"/>
                <w:highlight w:val="none"/>
              </w:rPr>
            </w:pPr>
          </w:p>
        </w:tc>
        <w:tc>
          <w:tcPr>
            <w:tcW w:w="1855" w:type="dxa"/>
            <w:tcBorders>
              <w:top w:val="nil"/>
              <w:left w:val="nil"/>
              <w:bottom w:val="nil"/>
              <w:right w:val="nil"/>
            </w:tcBorders>
            <w:vAlign w:val="bottom"/>
          </w:tcPr>
          <w:p>
            <w:pPr>
              <w:widowControl/>
              <w:jc w:val="left"/>
              <w:rPr>
                <w:rFonts w:ascii="宋体" w:hAnsi="宋体" w:cs="宋体"/>
                <w:kern w:val="0"/>
                <w:sz w:val="24"/>
                <w:highlight w:val="none"/>
              </w:rPr>
            </w:pP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p>
        </w:tc>
        <w:tc>
          <w:tcPr>
            <w:tcW w:w="2080"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合同编号:</w:t>
            </w:r>
          </w:p>
        </w:tc>
        <w:tc>
          <w:tcPr>
            <w:tcW w:w="2081"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采购单位（需方）</w:t>
            </w:r>
          </w:p>
        </w:tc>
        <w:tc>
          <w:tcPr>
            <w:tcW w:w="30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供应商（供方）</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联系人</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联系电话</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商品名称</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规格型号及要求</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计量单位</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数     量</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单价(元)</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合   计</w:t>
            </w:r>
          </w:p>
        </w:tc>
        <w:tc>
          <w:tcPr>
            <w:tcW w:w="302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85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174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208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jc w:val="left"/>
              <w:rPr>
                <w:rFonts w:ascii="宋体" w:hAnsi="宋体" w:cs="宋体"/>
                <w:kern w:val="0"/>
                <w:sz w:val="24"/>
                <w:highlight w:val="none"/>
              </w:rPr>
            </w:pPr>
            <w:r>
              <w:rPr>
                <w:rFonts w:hint="eastAsia" w:ascii="宋体" w:hAnsi="宋体" w:cs="宋体"/>
                <w:kern w:val="0"/>
                <w:sz w:val="24"/>
                <w:highlight w:val="none"/>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3021" w:type="dxa"/>
            <w:tcBorders>
              <w:top w:val="nil"/>
              <w:left w:val="nil"/>
              <w:bottom w:val="single" w:color="auto" w:sz="4" w:space="0"/>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验收人（签字）:</w:t>
            </w:r>
          </w:p>
        </w:tc>
        <w:tc>
          <w:tcPr>
            <w:tcW w:w="1855" w:type="dxa"/>
            <w:tcBorders>
              <w:top w:val="nil"/>
              <w:left w:val="nil"/>
              <w:bottom w:val="single" w:color="auto" w:sz="4" w:space="0"/>
              <w:right w:val="nil"/>
            </w:tcBorders>
            <w:vAlign w:val="bottom"/>
          </w:tcPr>
          <w:p>
            <w:pPr>
              <w:widowControl/>
              <w:jc w:val="center"/>
              <w:rPr>
                <w:rFonts w:ascii="宋体" w:hAnsi="宋体" w:cs="宋体"/>
                <w:kern w:val="0"/>
                <w:sz w:val="24"/>
                <w:highlight w:val="none"/>
              </w:rPr>
            </w:pPr>
            <w:r>
              <w:rPr>
                <w:rFonts w:hint="eastAsia" w:ascii="宋体" w:hAnsi="宋体" w:cs="宋体"/>
                <w:kern w:val="0"/>
                <w:sz w:val="24"/>
                <w:highlight w:val="none"/>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供应商(盖章)</w:t>
            </w:r>
          </w:p>
        </w:tc>
        <w:tc>
          <w:tcPr>
            <w:tcW w:w="5906" w:type="dxa"/>
            <w:gridSpan w:val="3"/>
            <w:tcBorders>
              <w:top w:val="single" w:color="auto" w:sz="4" w:space="0"/>
              <w:left w:val="nil"/>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经办人（签字）:</w:t>
            </w:r>
          </w:p>
        </w:tc>
        <w:tc>
          <w:tcPr>
            <w:tcW w:w="1745" w:type="dxa"/>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c>
          <w:tcPr>
            <w:tcW w:w="2080" w:type="dxa"/>
            <w:tcBorders>
              <w:top w:val="nil"/>
              <w:left w:val="nil"/>
              <w:bottom w:val="nil"/>
              <w:right w:val="nil"/>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(盖章)</w:t>
            </w:r>
          </w:p>
        </w:tc>
        <w:tc>
          <w:tcPr>
            <w:tcW w:w="2081" w:type="dxa"/>
            <w:tcBorders>
              <w:top w:val="nil"/>
              <w:left w:val="nil"/>
              <w:bottom w:val="nil"/>
              <w:right w:val="single" w:color="auto" w:sz="4" w:space="0"/>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验收日期:20     年    月    日</w:t>
            </w:r>
          </w:p>
        </w:tc>
        <w:tc>
          <w:tcPr>
            <w:tcW w:w="5906" w:type="dxa"/>
            <w:gridSpan w:val="3"/>
            <w:tcBorders>
              <w:top w:val="nil"/>
              <w:left w:val="nil"/>
              <w:bottom w:val="single" w:color="auto" w:sz="4" w:space="0"/>
              <w:right w:val="single" w:color="000000" w:sz="4" w:space="0"/>
            </w:tcBorders>
            <w:vAlign w:val="bottom"/>
          </w:tcPr>
          <w:p>
            <w:pPr>
              <w:widowControl/>
              <w:jc w:val="right"/>
              <w:rPr>
                <w:rFonts w:ascii="宋体" w:hAnsi="宋体" w:cs="宋体"/>
                <w:kern w:val="0"/>
                <w:sz w:val="24"/>
                <w:highlight w:val="none"/>
              </w:rPr>
            </w:pPr>
            <w:r>
              <w:rPr>
                <w:rFonts w:hint="eastAsia" w:ascii="宋体" w:hAnsi="宋体" w:cs="宋体"/>
                <w:kern w:val="0"/>
                <w:sz w:val="24"/>
                <w:highlight w:val="none"/>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jc w:val="left"/>
              <w:rPr>
                <w:rFonts w:ascii="宋体" w:hAnsi="宋体" w:cs="宋体"/>
                <w:kern w:val="0"/>
                <w:sz w:val="24"/>
                <w:highlight w:val="none"/>
              </w:rPr>
            </w:pPr>
            <w:r>
              <w:rPr>
                <w:rFonts w:hint="eastAsia" w:ascii="宋体" w:hAnsi="宋体" w:cs="宋体"/>
                <w:kern w:val="0"/>
                <w:sz w:val="24"/>
                <w:highlight w:val="none"/>
              </w:rPr>
              <w:t xml:space="preserve">    2、本表一式五份，经供需双方签字盖章后由采购单位、供应商、财政支付（核算）中心、财政局、公共资源交易中心各自留存。</w:t>
            </w:r>
          </w:p>
        </w:tc>
      </w:tr>
    </w:tbl>
    <w:p>
      <w:pPr>
        <w:pStyle w:val="34"/>
        <w:spacing w:before="120" w:after="120" w:line="420" w:lineRule="exact"/>
        <w:rPr>
          <w:rFonts w:hAnsi="宋体"/>
          <w:bCs/>
          <w:highlight w:val="none"/>
        </w:rPr>
        <w:sectPr>
          <w:pgSz w:w="16838" w:h="11906" w:orient="landscape"/>
          <w:pgMar w:top="1134" w:right="1134" w:bottom="1134" w:left="1417" w:header="851" w:footer="851" w:gutter="0"/>
          <w:pgBorders>
            <w:top w:val="none" w:sz="0" w:space="0"/>
            <w:left w:val="none" w:sz="0" w:space="0"/>
            <w:bottom w:val="none" w:sz="0" w:space="0"/>
            <w:right w:val="none" w:sz="0" w:space="0"/>
          </w:pgBorders>
          <w:cols w:space="720" w:num="1"/>
          <w:docGrid w:linePitch="312" w:charSpace="0"/>
        </w:sectPr>
      </w:pPr>
    </w:p>
    <w:p>
      <w:pPr>
        <w:jc w:val="center"/>
        <w:rPr>
          <w:rFonts w:ascii="宋体" w:hAnsi="宋体" w:cs="宋体"/>
          <w:sz w:val="28"/>
          <w:szCs w:val="28"/>
          <w:highlight w:val="none"/>
        </w:rPr>
      </w:pPr>
      <w:r>
        <w:rPr>
          <w:rFonts w:hint="eastAsia" w:ascii="宋体" w:hAnsi="宋体" w:cs="宋体"/>
          <w:sz w:val="28"/>
          <w:szCs w:val="28"/>
          <w:highlight w:val="none"/>
          <w:lang w:eastAsia="zh-CN"/>
        </w:rPr>
        <w:t>嘉善农科所长秀基地生态智慧提升单体大棚采购项目（第三次）</w:t>
      </w:r>
      <w:r>
        <w:rPr>
          <w:rFonts w:hint="eastAsia" w:ascii="宋体" w:hAnsi="宋体" w:cs="宋体"/>
          <w:sz w:val="28"/>
          <w:szCs w:val="28"/>
          <w:highlight w:val="none"/>
        </w:rPr>
        <w:t xml:space="preserve"> 验收报告</w:t>
      </w:r>
    </w:p>
    <w:p>
      <w:pPr>
        <w:jc w:val="center"/>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r>
        <w:rPr>
          <w:rFonts w:hint="eastAsia" w:ascii="宋体" w:hAnsi="宋体" w:cs="宋体"/>
          <w:sz w:val="28"/>
          <w:szCs w:val="28"/>
          <w:highlight w:val="none"/>
        </w:rPr>
        <w:t>项目验收情况说明（由双方按验收情况填写）：</w:t>
      </w: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jc w:val="left"/>
        <w:rPr>
          <w:rFonts w:ascii="宋体" w:hAnsi="宋体" w:cs="宋体"/>
          <w:sz w:val="28"/>
          <w:szCs w:val="28"/>
          <w:highlight w:val="none"/>
        </w:rPr>
      </w:pPr>
    </w:p>
    <w:p>
      <w:pPr>
        <w:rPr>
          <w:highlight w:val="none"/>
        </w:rPr>
        <w:sectPr>
          <w:pgSz w:w="11906" w:h="16838"/>
          <w:pgMar w:top="1440" w:right="1797" w:bottom="1440" w:left="1797" w:header="851" w:footer="851" w:gutter="0"/>
          <w:pgBorders>
            <w:top w:val="none" w:sz="0" w:space="0"/>
            <w:left w:val="none" w:sz="0" w:space="0"/>
            <w:bottom w:val="none" w:sz="0" w:space="0"/>
            <w:right w:val="none" w:sz="0" w:space="0"/>
          </w:pgBorders>
          <w:cols w:space="720" w:num="1"/>
          <w:docGrid w:linePitch="312" w:charSpace="0"/>
        </w:sectPr>
      </w:pPr>
      <w:r>
        <w:rPr>
          <w:rFonts w:hint="eastAsia" w:ascii="宋体" w:hAnsi="宋体" w:cs="宋体"/>
          <w:sz w:val="28"/>
          <w:szCs w:val="28"/>
          <w:highlight w:val="none"/>
        </w:rPr>
        <w:t>验收小组签字：（3人以上）</w:t>
      </w:r>
    </w:p>
    <w:p>
      <w:pPr>
        <w:pStyle w:val="4"/>
        <w:numPr>
          <w:ilvl w:val="0"/>
          <w:numId w:val="5"/>
        </w:numPr>
        <w:spacing w:before="0" w:after="0" w:line="240" w:lineRule="auto"/>
        <w:ind w:left="0" w:firstLine="0"/>
        <w:jc w:val="center"/>
        <w:rPr>
          <w:rFonts w:ascii="仿宋" w:hAnsi="仿宋" w:eastAsia="仿宋" w:cs="仿宋_GB2312"/>
          <w:bCs w:val="0"/>
          <w:kern w:val="2"/>
          <w:sz w:val="36"/>
          <w:szCs w:val="36"/>
          <w:highlight w:val="none"/>
        </w:rPr>
      </w:pPr>
      <w:r>
        <w:rPr>
          <w:rFonts w:hint="eastAsia" w:ascii="仿宋" w:hAnsi="仿宋" w:eastAsia="仿宋" w:cs="仿宋_GB2312"/>
          <w:bCs w:val="0"/>
          <w:kern w:val="2"/>
          <w:sz w:val="36"/>
          <w:szCs w:val="36"/>
          <w:highlight w:val="none"/>
        </w:rPr>
        <w:t>投标文件格式</w:t>
      </w:r>
      <w:bookmarkEnd w:id="34"/>
    </w:p>
    <w:p>
      <w:pPr>
        <w:spacing w:line="300" w:lineRule="auto"/>
        <w:ind w:firstLine="205" w:firstLineChars="98"/>
        <w:jc w:val="center"/>
        <w:rPr>
          <w:rFonts w:hAnsi="宋体" w:cs="宋体"/>
          <w:color w:val="000000"/>
          <w:highlight w:val="none"/>
        </w:rPr>
      </w:pPr>
      <w:r>
        <w:rPr>
          <w:rFonts w:hint="eastAsia" w:hAnsi="宋体" w:cs="宋体"/>
          <w:color w:val="000000"/>
          <w:highlight w:val="none"/>
        </w:rPr>
        <w:t xml:space="preserve"> </w:t>
      </w:r>
    </w:p>
    <w:p>
      <w:pPr>
        <w:snapToGrid w:val="0"/>
        <w:spacing w:line="360" w:lineRule="auto"/>
        <w:ind w:right="480"/>
        <w:jc w:val="center"/>
        <w:rPr>
          <w:rFonts w:ascii="仿宋_GB2312" w:hAnsi="仿宋" w:eastAsia="仿宋_GB2312" w:cs="仿宋_GB2312"/>
          <w:b/>
          <w:kern w:val="0"/>
          <w:sz w:val="32"/>
          <w:szCs w:val="32"/>
          <w:highlight w:val="none"/>
        </w:rPr>
      </w:pPr>
      <w:r>
        <w:rPr>
          <w:rFonts w:ascii="仿宋_GB2312" w:hAnsi="仿宋" w:eastAsia="仿宋_GB2312" w:cs="仿宋_GB2312"/>
          <w:b/>
          <w:kern w:val="0"/>
          <w:sz w:val="32"/>
          <w:szCs w:val="32"/>
          <w:highlight w:val="none"/>
        </w:rPr>
        <w:t>符合参加政府采购活动应当具备的一般条件的承诺函</w:t>
      </w:r>
    </w:p>
    <w:p>
      <w:pPr>
        <w:snapToGrid w:val="0"/>
        <w:spacing w:line="360" w:lineRule="auto"/>
        <w:rPr>
          <w:rFonts w:ascii="仿宋_GB2312" w:hAnsi="仿宋" w:eastAsia="仿宋_GB2312" w:cs="仿宋_GB2312"/>
          <w:sz w:val="24"/>
          <w:highlight w:val="none"/>
        </w:rPr>
      </w:pPr>
      <w:r>
        <w:rPr>
          <w:rFonts w:hint="eastAsia" w:ascii="仿宋_GB2312" w:hAnsi="仿宋" w:eastAsia="仿宋_GB2312" w:cs="仿宋_GB2312"/>
          <w:sz w:val="24"/>
          <w:highlight w:val="none"/>
        </w:rPr>
        <w:t>（采购人）、（采购代理机构）：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我方参与（项目名称）【招标编号：</w:t>
      </w:r>
      <w:r>
        <w:rPr>
          <w:rFonts w:hint="eastAsia" w:ascii="仿宋_GB2312" w:hAnsi="仿宋" w:eastAsia="仿宋_GB2312"/>
          <w:sz w:val="24"/>
          <w:highlight w:val="none"/>
        </w:rPr>
        <w:t>（采购编号）</w:t>
      </w:r>
      <w:r>
        <w:rPr>
          <w:rFonts w:hint="eastAsia" w:ascii="仿宋_GB2312" w:hAnsi="仿宋" w:eastAsia="仿宋_GB2312" w:cs="仿宋_GB2312"/>
          <w:sz w:val="24"/>
          <w:highlight w:val="none"/>
        </w:rPr>
        <w:t>】政府采购活动，郑重承诺：</w:t>
      </w:r>
    </w:p>
    <w:p>
      <w:pPr>
        <w:snapToGrid w:val="0"/>
        <w:spacing w:line="360" w:lineRule="auto"/>
        <w:ind w:firstLine="360" w:firstLineChars="150"/>
        <w:rPr>
          <w:rFonts w:ascii="仿宋_GB2312" w:hAnsi="仿宋" w:eastAsia="仿宋_GB2312" w:cs="仿宋_GB2312"/>
          <w:sz w:val="24"/>
          <w:highlight w:val="none"/>
        </w:rPr>
      </w:pPr>
      <w:r>
        <w:rPr>
          <w:rFonts w:hint="eastAsia" w:ascii="仿宋_GB2312" w:hAnsi="仿宋" w:eastAsia="仿宋_GB2312" w:cs="仿宋_GB2312"/>
          <w:sz w:val="24"/>
          <w:highlight w:val="none"/>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具有独立承担民事责任的能力；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w:t>
      </w:r>
      <w:r>
        <w:rPr>
          <w:rFonts w:ascii="仿宋_GB2312" w:hAnsi="仿宋" w:eastAsia="仿宋_GB2312"/>
          <w:sz w:val="24"/>
          <w:highlight w:val="none"/>
        </w:rPr>
        <w:t xml:space="preserve">具有良好的商业信誉和健全的财务会计制度； </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w:t>
      </w:r>
      <w:r>
        <w:rPr>
          <w:rFonts w:ascii="仿宋_GB2312" w:hAnsi="仿宋" w:eastAsia="仿宋_GB2312"/>
          <w:sz w:val="24"/>
          <w:highlight w:val="none"/>
        </w:rPr>
        <w:t>具有履行合同所必需的设备和专业技术能力；</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w:t>
      </w:r>
      <w:r>
        <w:rPr>
          <w:rFonts w:ascii="仿宋_GB2312" w:hAnsi="仿宋" w:eastAsia="仿宋_GB2312"/>
          <w:sz w:val="24"/>
          <w:highlight w:val="none"/>
        </w:rPr>
        <w:t>有依法缴纳税收和社会保障资金的良好记录；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w:t>
      </w:r>
      <w:r>
        <w:rPr>
          <w:rFonts w:ascii="仿宋_GB2312" w:hAnsi="仿宋" w:eastAsia="仿宋_GB2312"/>
          <w:sz w:val="24"/>
          <w:highlight w:val="none"/>
        </w:rPr>
        <w:t>参加政府采购活动前三年内，在经营活动中没有重大违法记录；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w:t>
      </w:r>
      <w:r>
        <w:rPr>
          <w:rFonts w:ascii="仿宋_GB2312" w:hAnsi="仿宋" w:eastAsia="仿宋_GB2312"/>
          <w:sz w:val="24"/>
          <w:highlight w:val="none"/>
        </w:rPr>
        <w:t>具有法律、行政法规规定的其他条件。</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（二）未被信用中国（</w:t>
      </w:r>
      <w:r>
        <w:rPr>
          <w:rFonts w:ascii="仿宋_GB2312" w:hAnsi="仿宋" w:eastAsia="仿宋_GB2312"/>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（三）不存在以下情况：</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1、</w:t>
      </w:r>
      <w:r>
        <w:rPr>
          <w:rFonts w:ascii="仿宋_GB2312" w:hAnsi="仿宋" w:eastAsia="仿宋_GB2312" w:cs="仿宋_GB2312"/>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highlight w:val="none"/>
        </w:rPr>
      </w:pPr>
      <w:r>
        <w:rPr>
          <w:rFonts w:hint="eastAsia" w:ascii="仿宋_GB2312" w:hAnsi="仿宋" w:eastAsia="仿宋_GB2312" w:cs="仿宋_GB2312"/>
          <w:sz w:val="24"/>
          <w:highlight w:val="none"/>
        </w:rPr>
        <w:t>2、</w:t>
      </w:r>
      <w:r>
        <w:rPr>
          <w:rFonts w:ascii="仿宋_GB2312" w:hAnsi="仿宋" w:eastAsia="仿宋_GB2312" w:cs="仿宋_GB2312"/>
          <w:sz w:val="24"/>
          <w:highlight w:val="none"/>
        </w:rPr>
        <w:t>为采购项目提供整体设计、规范编制或者项目管理、监理、检测等服务后再参加该采购项目的其他采购活动的。</w:t>
      </w:r>
    </w:p>
    <w:p>
      <w:pPr>
        <w:snapToGrid w:val="0"/>
        <w:spacing w:line="360" w:lineRule="auto"/>
        <w:rPr>
          <w:rFonts w:ascii="仿宋_GB2312" w:hAnsi="仿宋" w:eastAsia="仿宋_GB2312" w:cs="仿宋_GB2312"/>
          <w:kern w:val="0"/>
          <w:sz w:val="24"/>
          <w:highlight w:val="none"/>
          <w:lang w:val="zh-CN"/>
        </w:rPr>
      </w:pP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投标人名称（盖章）</w:t>
      </w:r>
      <w:r>
        <w:rPr>
          <w:rFonts w:ascii="仿宋_GB2312" w:hAnsi="仿宋" w:eastAsia="仿宋_GB2312" w:cs="仿宋_GB2312"/>
          <w:kern w:val="0"/>
          <w:sz w:val="24"/>
          <w:highlight w:val="none"/>
          <w:lang w:val="zh-CN"/>
        </w:rPr>
        <w:t>：</w:t>
      </w:r>
    </w:p>
    <w:p>
      <w:pPr>
        <w:snapToGrid w:val="0"/>
        <w:spacing w:line="360" w:lineRule="auto"/>
        <w:rPr>
          <w:rFonts w:ascii="仿宋_GB2312" w:hAnsi="仿宋" w:eastAsia="仿宋_GB2312" w:cs="仿宋_GB2312"/>
          <w:kern w:val="0"/>
          <w:sz w:val="24"/>
          <w:highlight w:val="none"/>
        </w:rPr>
      </w:pPr>
      <w:r>
        <w:rPr>
          <w:rFonts w:hint="eastAsia" w:ascii="仿宋_GB2312" w:hAnsi="仿宋" w:eastAsia="仿宋_GB2312" w:cs="仿宋_GB2312"/>
          <w:kern w:val="0"/>
          <w:sz w:val="24"/>
          <w:highlight w:val="none"/>
          <w:lang w:val="zh-CN"/>
        </w:rPr>
        <w:t>日期</w:t>
      </w:r>
      <w:r>
        <w:rPr>
          <w:rFonts w:hint="eastAsia" w:ascii="仿宋_GB2312" w:hAnsi="仿宋" w:eastAsia="仿宋_GB2312" w:cs="仿宋_GB2312"/>
          <w:kern w:val="0"/>
          <w:sz w:val="24"/>
          <w:highlight w:val="none"/>
        </w:rPr>
        <w:t>：</w:t>
      </w:r>
      <w:r>
        <w:rPr>
          <w:rFonts w:ascii="仿宋_GB2312" w:hAnsi="仿宋" w:eastAsia="仿宋_GB2312" w:cs="仿宋_GB2312"/>
          <w:kern w:val="0"/>
          <w:sz w:val="24"/>
          <w:highlight w:val="none"/>
        </w:rPr>
        <w:t xml:space="preserve">  年  </w:t>
      </w:r>
      <w:r>
        <w:rPr>
          <w:rFonts w:hint="eastAsia" w:ascii="仿宋_GB2312" w:hAnsi="仿宋" w:eastAsia="仿宋_GB2312" w:cs="仿宋_GB2312"/>
          <w:kern w:val="0"/>
          <w:sz w:val="24"/>
          <w:highlight w:val="none"/>
          <w:lang w:val="zh-CN"/>
        </w:rPr>
        <w:t>月</w:t>
      </w:r>
      <w:r>
        <w:rPr>
          <w:rFonts w:hint="eastAsia" w:ascii="仿宋_GB2312" w:hAnsi="仿宋" w:eastAsia="仿宋_GB2312" w:cs="仿宋_GB2312"/>
          <w:kern w:val="0"/>
          <w:sz w:val="24"/>
          <w:highlight w:val="none"/>
        </w:rPr>
        <w:t xml:space="preserve">  </w:t>
      </w:r>
      <w:r>
        <w:rPr>
          <w:rFonts w:hint="eastAsia" w:ascii="仿宋_GB2312" w:hAnsi="仿宋" w:eastAsia="仿宋_GB2312" w:cs="仿宋_GB2312"/>
          <w:kern w:val="0"/>
          <w:sz w:val="24"/>
          <w:highlight w:val="none"/>
          <w:lang w:val="zh-CN"/>
        </w:rPr>
        <w:t>日</w:t>
      </w: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pacing w:line="360" w:lineRule="auto"/>
        <w:ind w:firstLine="275" w:firstLineChars="98"/>
        <w:jc w:val="center"/>
        <w:rPr>
          <w:rFonts w:ascii="宋体" w:hAnsi="宋体" w:cs="宋体"/>
          <w:b/>
          <w:bCs/>
          <w:sz w:val="28"/>
          <w:szCs w:val="28"/>
          <w:highlight w:val="none"/>
        </w:rPr>
      </w:pPr>
    </w:p>
    <w:p>
      <w:pPr>
        <w:snapToGrid w:val="0"/>
        <w:spacing w:before="120" w:beforeLines="50" w:after="50"/>
        <w:rPr>
          <w:b/>
          <w:sz w:val="24"/>
          <w:highlight w:val="none"/>
        </w:rPr>
      </w:pPr>
    </w:p>
    <w:p>
      <w:pPr>
        <w:snapToGrid w:val="0"/>
        <w:jc w:val="center"/>
        <w:rPr>
          <w:rFonts w:hint="eastAsia" w:ascii="宋体" w:hAnsi="宋体"/>
          <w:b/>
          <w:sz w:val="32"/>
          <w:szCs w:val="32"/>
          <w:highlight w:val="none"/>
        </w:rPr>
      </w:pPr>
    </w:p>
    <w:p>
      <w:pPr>
        <w:snapToGrid w:val="0"/>
        <w:jc w:val="center"/>
        <w:rPr>
          <w:rFonts w:ascii="宋体" w:hAnsi="宋体"/>
          <w:b/>
          <w:sz w:val="32"/>
          <w:szCs w:val="32"/>
          <w:highlight w:val="none"/>
        </w:rPr>
      </w:pPr>
      <w:r>
        <w:rPr>
          <w:rFonts w:hint="eastAsia" w:ascii="宋体" w:hAnsi="宋体"/>
          <w:b/>
          <w:sz w:val="32"/>
          <w:szCs w:val="32"/>
          <w:highlight w:val="none"/>
        </w:rPr>
        <w:t>中小企业声明函（货物）</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Cs/>
          <w:sz w:val="24"/>
          <w:szCs w:val="24"/>
          <w:highlight w:val="none"/>
        </w:rPr>
        <w:t>本公司（联合体）郑重声明，根据《政府采购促进中小企业发展管理办法》（财库﹝2020﹞46 号）的</w:t>
      </w:r>
      <w:r>
        <w:rPr>
          <w:rFonts w:hint="eastAsia" w:ascii="宋体" w:eastAsia="宋体"/>
          <w:bCs/>
          <w:color w:val="auto"/>
          <w:sz w:val="24"/>
          <w:szCs w:val="24"/>
          <w:highlight w:val="none"/>
        </w:rPr>
        <w:t>规</w:t>
      </w:r>
      <w:r>
        <w:rPr>
          <w:rFonts w:hint="eastAsia" w:ascii="宋体" w:eastAsia="宋体"/>
          <w:b w:val="0"/>
          <w:bCs/>
          <w:color w:val="auto"/>
          <w:sz w:val="24"/>
          <w:szCs w:val="24"/>
          <w:highlight w:val="none"/>
        </w:rPr>
        <w:t>定，本公司（联合体）参加</w:t>
      </w:r>
      <w:r>
        <w:rPr>
          <w:rFonts w:hint="eastAsia" w:ascii="宋体" w:eastAsia="宋体"/>
          <w:b w:val="0"/>
          <w:bCs/>
          <w:color w:val="auto"/>
          <w:sz w:val="24"/>
          <w:szCs w:val="24"/>
          <w:highlight w:val="none"/>
          <w:u w:val="single"/>
        </w:rPr>
        <w:t xml:space="preserve">  （单位名称）  </w:t>
      </w:r>
      <w:r>
        <w:rPr>
          <w:rFonts w:hint="eastAsia" w:ascii="宋体" w:eastAsia="宋体"/>
          <w:b w:val="0"/>
          <w:bCs/>
          <w:color w:val="auto"/>
          <w:sz w:val="24"/>
          <w:szCs w:val="24"/>
          <w:highlight w:val="none"/>
        </w:rPr>
        <w:t>的</w:t>
      </w:r>
      <w:r>
        <w:rPr>
          <w:rFonts w:hint="eastAsia" w:ascii="宋体" w:eastAsia="宋体"/>
          <w:b w:val="0"/>
          <w:bCs/>
          <w:color w:val="auto"/>
          <w:sz w:val="24"/>
          <w:szCs w:val="24"/>
          <w:highlight w:val="none"/>
          <w:u w:val="single"/>
        </w:rPr>
        <w:t xml:space="preserve">  （项目名称） </w:t>
      </w:r>
      <w:r>
        <w:rPr>
          <w:rFonts w:hint="eastAsia" w:ascii="宋体" w:eastAsia="宋体"/>
          <w:b w:val="0"/>
          <w:bCs/>
          <w:color w:val="auto"/>
          <w:sz w:val="24"/>
          <w:szCs w:val="24"/>
          <w:highlight w:val="none"/>
        </w:rPr>
        <w:t>采购活动，提供的货物全部由符合政策要求的中小企业制造。相关企业（含联合体中的中小企业、签订分包意向协议的中小企业）的具体情况如下：</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 xml:space="preserve">1. </w:t>
      </w:r>
      <w:r>
        <w:rPr>
          <w:rFonts w:hint="eastAsia" w:ascii="宋体" w:eastAsia="宋体"/>
          <w:b w:val="0"/>
          <w:bCs/>
          <w:color w:val="auto"/>
          <w:sz w:val="24"/>
          <w:szCs w:val="24"/>
          <w:highlight w:val="none"/>
          <w:u w:val="single"/>
        </w:rPr>
        <w:t>（标的名称）</w:t>
      </w:r>
      <w:r>
        <w:rPr>
          <w:rFonts w:hint="eastAsia" w:ascii="宋体" w:eastAsia="宋体"/>
          <w:b w:val="0"/>
          <w:bCs/>
          <w:color w:val="auto"/>
          <w:sz w:val="24"/>
          <w:szCs w:val="24"/>
          <w:highlight w:val="none"/>
        </w:rPr>
        <w:t xml:space="preserve"> ，属于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（企业名称）</w:t>
      </w:r>
      <w:r>
        <w:rPr>
          <w:rFonts w:hint="eastAsia" w:ascii="宋体" w:eastAsia="宋体"/>
          <w:b w:val="0"/>
          <w:bCs/>
          <w:color w:val="auto"/>
          <w:sz w:val="24"/>
          <w:szCs w:val="24"/>
          <w:highlight w:val="none"/>
        </w:rPr>
        <w:t xml:space="preserve"> ，从业人员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 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 xml:space="preserve">万元，属于 </w:t>
      </w:r>
      <w:r>
        <w:rPr>
          <w:rFonts w:hint="eastAsia" w:ascii="宋体" w:eastAsia="宋体"/>
          <w:b w:val="0"/>
          <w:bCs/>
          <w:color w:val="auto"/>
          <w:sz w:val="24"/>
          <w:szCs w:val="24"/>
          <w:highlight w:val="none"/>
          <w:u w:val="single"/>
        </w:rPr>
        <w:t>（中型企业、小型企业、微型企业）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u w:val="single"/>
        </w:rPr>
      </w:pPr>
      <w:r>
        <w:rPr>
          <w:rFonts w:hint="eastAsia" w:ascii="宋体" w:eastAsia="宋体"/>
          <w:b w:val="0"/>
          <w:bCs/>
          <w:color w:val="auto"/>
          <w:sz w:val="24"/>
          <w:szCs w:val="24"/>
          <w:highlight w:val="none"/>
        </w:rPr>
        <w:t xml:space="preserve">2. </w:t>
      </w:r>
      <w:r>
        <w:rPr>
          <w:rFonts w:hint="eastAsia" w:ascii="宋体" w:eastAsia="宋体"/>
          <w:b w:val="0"/>
          <w:bCs/>
          <w:color w:val="auto"/>
          <w:sz w:val="24"/>
          <w:szCs w:val="24"/>
          <w:highlight w:val="none"/>
          <w:u w:val="single"/>
        </w:rPr>
        <w:t xml:space="preserve">（标的名称） </w:t>
      </w:r>
      <w:r>
        <w:rPr>
          <w:rFonts w:hint="eastAsia" w:ascii="宋体" w:eastAsia="宋体"/>
          <w:b w:val="0"/>
          <w:bCs/>
          <w:color w:val="auto"/>
          <w:sz w:val="24"/>
          <w:szCs w:val="24"/>
          <w:highlight w:val="none"/>
        </w:rPr>
        <w:t>，属于</w:t>
      </w:r>
      <w:r>
        <w:rPr>
          <w:rFonts w:hint="eastAsia" w:ascii="宋体" w:eastAsia="宋体"/>
          <w:b w:val="0"/>
          <w:bCs/>
          <w:color w:val="auto"/>
          <w:sz w:val="24"/>
          <w:szCs w:val="24"/>
          <w:highlight w:val="none"/>
          <w:u w:val="single"/>
        </w:rPr>
        <w:t xml:space="preserve"> （采购文件中明确的所属行业）</w:t>
      </w:r>
      <w:r>
        <w:rPr>
          <w:rFonts w:hint="eastAsia" w:ascii="宋体" w:eastAsia="宋体"/>
          <w:b w:val="0"/>
          <w:bCs/>
          <w:color w:val="auto"/>
          <w:sz w:val="24"/>
          <w:szCs w:val="24"/>
          <w:highlight w:val="none"/>
        </w:rPr>
        <w:t xml:space="preserve">行业 ；制造商为 </w:t>
      </w:r>
      <w:r>
        <w:rPr>
          <w:rFonts w:hint="eastAsia" w:ascii="宋体" w:eastAsia="宋体"/>
          <w:b w:val="0"/>
          <w:bCs/>
          <w:color w:val="auto"/>
          <w:sz w:val="24"/>
          <w:szCs w:val="24"/>
          <w:highlight w:val="none"/>
          <w:u w:val="single"/>
        </w:rPr>
        <w:t xml:space="preserve">（企业名称） </w:t>
      </w:r>
      <w:r>
        <w:rPr>
          <w:rFonts w:hint="eastAsia" w:ascii="宋体" w:eastAsia="宋体"/>
          <w:b w:val="0"/>
          <w:bCs/>
          <w:color w:val="auto"/>
          <w:sz w:val="24"/>
          <w:szCs w:val="24"/>
          <w:highlight w:val="none"/>
        </w:rPr>
        <w:t>，从业人员</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人，营业收入为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万元，资产总额为</w:t>
      </w:r>
      <w:r>
        <w:rPr>
          <w:rFonts w:hint="eastAsia" w:ascii="宋体" w:eastAsia="宋体"/>
          <w:b w:val="0"/>
          <w:bCs/>
          <w:color w:val="auto"/>
          <w:sz w:val="24"/>
          <w:szCs w:val="24"/>
          <w:highlight w:val="none"/>
          <w:u w:val="single"/>
        </w:rPr>
        <w:t xml:space="preserve">          </w:t>
      </w:r>
      <w:r>
        <w:rPr>
          <w:rFonts w:hint="eastAsia" w:ascii="宋体" w:eastAsia="宋体"/>
          <w:b w:val="0"/>
          <w:bCs/>
          <w:color w:val="auto"/>
          <w:sz w:val="24"/>
          <w:szCs w:val="24"/>
          <w:highlight w:val="none"/>
        </w:rPr>
        <w:t>万元，属于</w:t>
      </w:r>
      <w:r>
        <w:rPr>
          <w:rFonts w:hint="eastAsia" w:ascii="宋体" w:eastAsia="宋体"/>
          <w:b w:val="0"/>
          <w:bCs/>
          <w:color w:val="auto"/>
          <w:sz w:val="24"/>
          <w:szCs w:val="24"/>
          <w:highlight w:val="none"/>
          <w:u w:val="single"/>
        </w:rPr>
        <w:t xml:space="preserve"> （中型企业、小型企业、微型企业）</w:t>
      </w:r>
      <w:r>
        <w:rPr>
          <w:rFonts w:hint="eastAsia" w:ascii="宋体" w:eastAsia="宋体"/>
          <w:b w:val="0"/>
          <w:bCs/>
          <w:color w:val="auto"/>
          <w:sz w:val="24"/>
          <w:szCs w:val="24"/>
          <w:highlight w:val="none"/>
        </w:rPr>
        <w:t xml:space="preserve"> ；</w:t>
      </w:r>
    </w:p>
    <w:p>
      <w:pPr>
        <w:pStyle w:val="967"/>
        <w:snapToGrid w:val="0"/>
        <w:spacing w:line="480" w:lineRule="exact"/>
        <w:ind w:firstLine="494"/>
        <w:rPr>
          <w:rFonts w:ascii="宋体" w:eastAsia="宋体"/>
          <w:b w:val="0"/>
          <w:bCs/>
          <w:color w:val="auto"/>
          <w:sz w:val="24"/>
          <w:szCs w:val="24"/>
          <w:highlight w:val="none"/>
        </w:rPr>
      </w:pPr>
      <w:r>
        <w:rPr>
          <w:rFonts w:hint="eastAsia" w:ascii="宋体" w:eastAsia="宋体"/>
          <w:b w:val="0"/>
          <w:bCs/>
          <w:color w:val="auto"/>
          <w:sz w:val="24"/>
          <w:szCs w:val="24"/>
          <w:highlight w:val="none"/>
        </w:rPr>
        <w:t>……</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以上企业，不属于大企业的分支机构，不存在控股股东为大企业的情形，也不存在与大企业的负责人为同一人的情形。</w:t>
      </w:r>
    </w:p>
    <w:p>
      <w:pPr>
        <w:pStyle w:val="967"/>
        <w:snapToGrid w:val="0"/>
        <w:spacing w:line="480" w:lineRule="exact"/>
        <w:ind w:firstLine="494"/>
        <w:rPr>
          <w:rFonts w:ascii="宋体" w:eastAsia="宋体"/>
          <w:bCs/>
          <w:color w:val="auto"/>
          <w:sz w:val="24"/>
          <w:szCs w:val="24"/>
          <w:highlight w:val="none"/>
        </w:rPr>
      </w:pPr>
      <w:r>
        <w:rPr>
          <w:rFonts w:hint="eastAsia" w:ascii="宋体" w:eastAsia="宋体"/>
          <w:bCs/>
          <w:color w:val="auto"/>
          <w:sz w:val="24"/>
          <w:szCs w:val="24"/>
          <w:highlight w:val="none"/>
        </w:rPr>
        <w:t>本企业对上述声明内容的真实性负责。如有虚假，将依法承担相应责任。</w:t>
      </w:r>
    </w:p>
    <w:p>
      <w:pPr>
        <w:pStyle w:val="967"/>
        <w:snapToGrid w:val="0"/>
        <w:ind w:firstLine="494"/>
        <w:rPr>
          <w:rFonts w:ascii="宋体" w:eastAsia="宋体"/>
          <w:bCs/>
          <w:color w:val="auto"/>
          <w:sz w:val="24"/>
          <w:szCs w:val="24"/>
          <w:highlight w:val="none"/>
        </w:rPr>
      </w:pP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投标人名称（盖章）：</w:t>
      </w:r>
    </w:p>
    <w:p>
      <w:pPr>
        <w:pStyle w:val="967"/>
        <w:snapToGrid w:val="0"/>
        <w:ind w:firstLine="4809" w:firstLineChars="2004"/>
        <w:rPr>
          <w:rFonts w:ascii="宋体" w:eastAsia="宋体"/>
          <w:bCs/>
          <w:color w:val="auto"/>
          <w:sz w:val="24"/>
          <w:szCs w:val="24"/>
          <w:highlight w:val="none"/>
        </w:rPr>
      </w:pPr>
      <w:r>
        <w:rPr>
          <w:rFonts w:hint="eastAsia" w:ascii="宋体" w:eastAsia="宋体"/>
          <w:bCs/>
          <w:color w:val="auto"/>
          <w:sz w:val="24"/>
          <w:szCs w:val="24"/>
          <w:highlight w:val="none"/>
        </w:rPr>
        <w:t>日 期：</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年</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月</w:t>
      </w:r>
      <w:r>
        <w:rPr>
          <w:rFonts w:hint="eastAsia" w:ascii="宋体" w:eastAsia="宋体"/>
          <w:color w:val="auto"/>
          <w:sz w:val="24"/>
          <w:szCs w:val="24"/>
          <w:highlight w:val="none"/>
          <w:u w:val="single"/>
        </w:rPr>
        <w:t xml:space="preserve">   </w:t>
      </w:r>
      <w:r>
        <w:rPr>
          <w:rFonts w:hint="eastAsia" w:ascii="宋体" w:eastAsia="宋体"/>
          <w:color w:val="auto"/>
          <w:sz w:val="24"/>
          <w:szCs w:val="24"/>
          <w:highlight w:val="none"/>
        </w:rPr>
        <w:t>日</w:t>
      </w:r>
    </w:p>
    <w:p>
      <w:pPr>
        <w:pStyle w:val="967"/>
        <w:snapToGrid w:val="0"/>
        <w:spacing w:line="240" w:lineRule="auto"/>
        <w:ind w:firstLine="0" w:firstLineChars="0"/>
        <w:rPr>
          <w:rFonts w:ascii="宋体" w:eastAsia="宋体"/>
          <w:bCs/>
          <w:color w:val="auto"/>
          <w:sz w:val="24"/>
          <w:szCs w:val="24"/>
          <w:highlight w:val="none"/>
        </w:rPr>
      </w:pP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注：</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1.从业人员、营业收入、资产总额填报上一年度数据，无上一年度数据的新成立企业可不填报；</w:t>
      </w:r>
    </w:p>
    <w:p>
      <w:pPr>
        <w:pStyle w:val="967"/>
        <w:snapToGrid w:val="0"/>
        <w:spacing w:line="240" w:lineRule="auto"/>
        <w:ind w:firstLine="0" w:firstLineChars="0"/>
        <w:rPr>
          <w:rFonts w:ascii="宋体" w:eastAsia="宋体"/>
          <w:bCs/>
          <w:color w:val="auto"/>
          <w:sz w:val="24"/>
          <w:szCs w:val="24"/>
          <w:highlight w:val="none"/>
        </w:rPr>
      </w:pPr>
      <w:r>
        <w:rPr>
          <w:rFonts w:hint="eastAsia" w:ascii="宋体" w:eastAsia="宋体"/>
          <w:bCs/>
          <w:color w:val="auto"/>
          <w:sz w:val="24"/>
          <w:szCs w:val="24"/>
          <w:highlight w:val="none"/>
        </w:rPr>
        <w:t>2.本项目中小企业政策所属行业为</w:t>
      </w:r>
      <w:r>
        <w:rPr>
          <w:rFonts w:hint="eastAsia" w:ascii="宋体" w:eastAsia="宋体"/>
          <w:b/>
          <w:color w:val="auto"/>
          <w:sz w:val="24"/>
          <w:szCs w:val="24"/>
          <w:highlight w:val="none"/>
        </w:rPr>
        <w:t>工业（制造业）</w:t>
      </w:r>
      <w:r>
        <w:rPr>
          <w:rFonts w:hint="eastAsia" w:ascii="宋体" w:eastAsia="宋体"/>
          <w:bCs/>
          <w:color w:val="auto"/>
          <w:sz w:val="24"/>
          <w:szCs w:val="24"/>
          <w:highlight w:val="none"/>
        </w:rPr>
        <w:t>；</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z w:val="24"/>
          <w:szCs w:val="24"/>
          <w:highlight w:val="none"/>
        </w:rPr>
        <w:t>3.符合《关于促进残疾人就业政府采购政策的通知》（财库〔2017〕141号）规定的条件并提供《残疾人福利性单位声明函》的残疾人福利性单位视同小型、微型企业；</w:t>
      </w:r>
    </w:p>
    <w:p>
      <w:pPr>
        <w:pStyle w:val="967"/>
        <w:snapToGrid w:val="0"/>
        <w:spacing w:line="240" w:lineRule="auto"/>
        <w:ind w:firstLine="0" w:firstLineChars="0"/>
        <w:rPr>
          <w:rFonts w:ascii="宋体" w:eastAsia="宋体"/>
          <w:bCs/>
          <w:sz w:val="24"/>
          <w:szCs w:val="24"/>
          <w:highlight w:val="none"/>
        </w:rPr>
      </w:pPr>
      <w:r>
        <w:rPr>
          <w:rFonts w:hint="eastAsia" w:ascii="宋体" w:eastAsia="宋体"/>
          <w:bCs/>
          <w:sz w:val="24"/>
          <w:szCs w:val="24"/>
          <w:highlight w:val="none"/>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p>
    <w:p>
      <w:pPr>
        <w:snapToGrid w:val="0"/>
        <w:jc w:val="center"/>
        <w:rPr>
          <w:rFonts w:ascii="宋体" w:hAnsi="宋体"/>
          <w:b/>
          <w:bCs/>
          <w:sz w:val="24"/>
          <w:highlight w:val="none"/>
        </w:rPr>
      </w:pPr>
      <w:r>
        <w:rPr>
          <w:rFonts w:hint="eastAsia" w:ascii="宋体" w:hAnsi="宋体"/>
          <w:b/>
          <w:bCs/>
          <w:sz w:val="24"/>
          <w:highlight w:val="none"/>
        </w:rPr>
        <w:t>监狱和戒毒企业证明材料</w:t>
      </w:r>
    </w:p>
    <w:p>
      <w:pPr>
        <w:pStyle w:val="968"/>
        <w:snapToGrid w:val="0"/>
        <w:jc w:val="center"/>
        <w:rPr>
          <w:rFonts w:ascii="宋体" w:hAnsi="宋体"/>
          <w:b/>
          <w:sz w:val="24"/>
          <w:highlight w:val="none"/>
          <w:lang w:val="en-GB"/>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监狱和戒毒企业参加投标时应提供由省级以上监狱管理局、戒毒管理局（含新疆生产建设兵团）出具的属于监狱企业的证明文件。</w:t>
      </w:r>
    </w:p>
    <w:p>
      <w:pPr>
        <w:snapToGrid w:val="0"/>
        <w:spacing w:line="480" w:lineRule="exact"/>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ind w:firstLine="480" w:firstLineChars="200"/>
        <w:rPr>
          <w:rFonts w:ascii="宋体" w:hAnsi="宋体"/>
          <w:sz w:val="24"/>
          <w:highlight w:val="none"/>
        </w:rPr>
      </w:pPr>
    </w:p>
    <w:p>
      <w:pPr>
        <w:snapToGrid w:val="0"/>
        <w:jc w:val="center"/>
        <w:rPr>
          <w:rFonts w:ascii="宋体" w:hAnsi="宋体"/>
          <w:b/>
          <w:spacing w:val="6"/>
          <w:sz w:val="24"/>
          <w:highlight w:val="none"/>
        </w:rPr>
      </w:pPr>
    </w:p>
    <w:p>
      <w:pPr>
        <w:snapToGrid w:val="0"/>
        <w:jc w:val="center"/>
        <w:rPr>
          <w:rFonts w:ascii="宋体" w:hAnsi="宋体"/>
          <w:b/>
          <w:bCs/>
          <w:sz w:val="24"/>
          <w:highlight w:val="none"/>
        </w:rPr>
      </w:pPr>
      <w:r>
        <w:rPr>
          <w:rFonts w:hint="eastAsia" w:ascii="宋体" w:hAnsi="宋体"/>
          <w:b/>
          <w:bCs/>
          <w:sz w:val="24"/>
          <w:highlight w:val="none"/>
        </w:rPr>
        <w:t>残疾人福利性单位声明函</w:t>
      </w:r>
    </w:p>
    <w:p>
      <w:pPr>
        <w:snapToGrid w:val="0"/>
        <w:rPr>
          <w:rFonts w:ascii="宋体" w:hAnsi="宋体"/>
          <w:b/>
          <w:spacing w:val="6"/>
          <w:sz w:val="24"/>
          <w:highlight w:val="none"/>
        </w:rPr>
      </w:pP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480" w:lineRule="exact"/>
        <w:ind w:firstLine="480" w:firstLineChars="200"/>
        <w:rPr>
          <w:rFonts w:ascii="宋体" w:hAnsi="宋体"/>
          <w:sz w:val="24"/>
          <w:highlight w:val="none"/>
        </w:rPr>
      </w:pPr>
      <w:r>
        <w:rPr>
          <w:rFonts w:hint="eastAsia" w:ascii="宋体" w:hAnsi="宋体"/>
          <w:sz w:val="24"/>
          <w:highlight w:val="none"/>
        </w:rPr>
        <w:t>本单位对上述声明的真实性负责。如有虚假，将依法承担相应责任。</w:t>
      </w:r>
    </w:p>
    <w:p>
      <w:pPr>
        <w:snapToGrid w:val="0"/>
        <w:spacing w:line="480" w:lineRule="exact"/>
        <w:rPr>
          <w:rFonts w:ascii="宋体" w:hAnsi="宋体"/>
          <w:sz w:val="24"/>
          <w:highlight w:val="none"/>
        </w:rPr>
      </w:pPr>
    </w:p>
    <w:p>
      <w:pPr>
        <w:snapToGrid w:val="0"/>
        <w:rPr>
          <w:rFonts w:ascii="宋体" w:hAnsi="宋体"/>
          <w:sz w:val="24"/>
          <w:highlight w:val="none"/>
        </w:rPr>
      </w:pPr>
    </w:p>
    <w:p>
      <w:pPr>
        <w:snapToGrid w:val="0"/>
        <w:ind w:firstLine="5520" w:firstLineChars="2300"/>
        <w:rPr>
          <w:rFonts w:ascii="宋体" w:hAnsi="宋体"/>
          <w:sz w:val="24"/>
          <w:highlight w:val="none"/>
        </w:rPr>
      </w:pPr>
      <w:r>
        <w:rPr>
          <w:rFonts w:hint="eastAsia" w:ascii="宋体" w:hAnsi="宋体"/>
          <w:sz w:val="24"/>
          <w:highlight w:val="none"/>
        </w:rPr>
        <w:t>投标人（盖章）：</w:t>
      </w:r>
    </w:p>
    <w:p>
      <w:pPr>
        <w:snapToGrid w:val="0"/>
        <w:rPr>
          <w:rFonts w:ascii="宋体" w:hAnsi="宋体"/>
          <w:sz w:val="24"/>
          <w:highlight w:val="none"/>
        </w:rPr>
      </w:pPr>
      <w:r>
        <w:rPr>
          <w:rFonts w:hint="eastAsia" w:ascii="宋体" w:hAnsi="宋体"/>
          <w:sz w:val="24"/>
          <w:highlight w:val="none"/>
        </w:rPr>
        <w:t xml:space="preserve">   </w:t>
      </w:r>
    </w:p>
    <w:p>
      <w:pPr>
        <w:snapToGrid w:val="0"/>
        <w:rPr>
          <w:rFonts w:ascii="宋体" w:hAnsi="宋体"/>
          <w:sz w:val="24"/>
          <w:highlight w:val="none"/>
        </w:rPr>
      </w:pPr>
    </w:p>
    <w:p>
      <w:pPr>
        <w:jc w:val="center"/>
        <w:rPr>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Style w:val="17"/>
        <w:rPr>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rFonts w:hint="eastAsia"/>
          <w:b/>
          <w:sz w:val="24"/>
          <w:highlight w:val="none"/>
        </w:rPr>
      </w:pPr>
    </w:p>
    <w:p>
      <w:pPr>
        <w:snapToGrid w:val="0"/>
        <w:spacing w:before="120" w:beforeLines="50" w:after="50"/>
        <w:rPr>
          <w:b/>
          <w:bCs/>
          <w:sz w:val="32"/>
          <w:szCs w:val="20"/>
          <w:highlight w:val="none"/>
        </w:rPr>
      </w:pPr>
      <w:r>
        <w:rPr>
          <w:rFonts w:hint="eastAsia"/>
          <w:b/>
          <w:sz w:val="24"/>
          <w:highlight w:val="none"/>
        </w:rPr>
        <w:t>商务技术响应文件封面格式：</w:t>
      </w:r>
      <w:r>
        <w:rPr>
          <w:sz w:val="24"/>
          <w:highlight w:val="none"/>
        </w:rPr>
        <w:t xml:space="preserve">                                               </w:t>
      </w: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p>
    <w:p>
      <w:pPr>
        <w:snapToGrid w:val="0"/>
        <w:spacing w:before="120" w:beforeLines="50" w:after="50"/>
        <w:jc w:val="center"/>
        <w:rPr>
          <w:b/>
          <w:bCs/>
          <w:sz w:val="32"/>
          <w:szCs w:val="32"/>
          <w:highlight w:val="none"/>
        </w:rPr>
      </w:pPr>
      <w:r>
        <w:rPr>
          <w:rFonts w:hint="eastAsia"/>
          <w:b/>
          <w:bCs/>
          <w:sz w:val="32"/>
          <w:szCs w:val="32"/>
          <w:highlight w:val="none"/>
        </w:rPr>
        <w:t>商务技术文件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17"/>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7"/>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napToGrid w:val="0"/>
        <w:spacing w:before="120" w:beforeLines="50" w:after="50" w:line="360" w:lineRule="auto"/>
        <w:ind w:firstLine="645"/>
        <w:jc w:val="center"/>
        <w:rPr>
          <w:sz w:val="24"/>
          <w:szCs w:val="20"/>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napToGrid w:val="0"/>
        <w:spacing w:before="120" w:beforeLines="50" w:after="50"/>
        <w:jc w:val="center"/>
        <w:rPr>
          <w:rFonts w:ascii="宋体" w:hAnsi="宋体" w:cs="宋体"/>
          <w:b/>
          <w:sz w:val="32"/>
          <w:szCs w:val="32"/>
          <w:highlight w:val="none"/>
        </w:rPr>
      </w:pPr>
    </w:p>
    <w:p>
      <w:pPr>
        <w:pStyle w:val="4"/>
        <w:rPr>
          <w:rFonts w:ascii="宋体" w:hAnsi="宋体" w:cs="宋体"/>
          <w:b w:val="0"/>
          <w:szCs w:val="32"/>
          <w:highlight w:val="none"/>
        </w:rPr>
      </w:pPr>
    </w:p>
    <w:p>
      <w:pPr>
        <w:rPr>
          <w:highlight w:val="none"/>
        </w:rPr>
      </w:pPr>
    </w:p>
    <w:p>
      <w:pPr>
        <w:rPr>
          <w:highlight w:val="none"/>
        </w:rPr>
      </w:pPr>
    </w:p>
    <w:p>
      <w:pPr>
        <w:snapToGrid w:val="0"/>
        <w:spacing w:before="120" w:beforeLines="50" w:after="50"/>
        <w:rPr>
          <w:sz w:val="24"/>
          <w:szCs w:val="20"/>
          <w:highlight w:val="none"/>
        </w:rPr>
      </w:pPr>
      <w:r>
        <w:rPr>
          <w:rFonts w:hint="eastAsia"/>
          <w:b/>
          <w:sz w:val="24"/>
          <w:highlight w:val="none"/>
        </w:rPr>
        <w:t>报价文件响应封面格式：</w:t>
      </w:r>
      <w:r>
        <w:rPr>
          <w:b/>
          <w:sz w:val="24"/>
          <w:highlight w:val="none"/>
        </w:rPr>
        <w:t xml:space="preserve"> </w:t>
      </w:r>
    </w:p>
    <w:p>
      <w:pPr>
        <w:snapToGrid w:val="0"/>
        <w:spacing w:before="120" w:beforeLines="50" w:after="50"/>
        <w:rPr>
          <w:b/>
          <w:bCs/>
          <w:sz w:val="32"/>
          <w:szCs w:val="20"/>
          <w:highlight w:val="none"/>
        </w:rPr>
      </w:pPr>
      <w:r>
        <w:rPr>
          <w:sz w:val="24"/>
          <w:highlight w:val="none"/>
        </w:rPr>
        <w:t xml:space="preserve">                                                    </w:t>
      </w:r>
    </w:p>
    <w:p>
      <w:pPr>
        <w:snapToGrid w:val="0"/>
        <w:spacing w:before="120" w:beforeLines="50" w:after="50"/>
        <w:jc w:val="center"/>
        <w:rPr>
          <w:b/>
          <w:bCs/>
          <w:sz w:val="32"/>
          <w:szCs w:val="32"/>
          <w:highlight w:val="none"/>
        </w:rPr>
      </w:pPr>
      <w:r>
        <w:rPr>
          <w:rFonts w:hint="eastAsia"/>
          <w:b/>
          <w:bCs/>
          <w:sz w:val="32"/>
          <w:szCs w:val="32"/>
          <w:highlight w:val="none"/>
        </w:rPr>
        <w:t>报  价</w:t>
      </w:r>
      <w:r>
        <w:rPr>
          <w:b/>
          <w:bCs/>
          <w:sz w:val="32"/>
          <w:szCs w:val="32"/>
          <w:highlight w:val="none"/>
        </w:rPr>
        <w:t xml:space="preserve"> </w:t>
      </w:r>
      <w:r>
        <w:rPr>
          <w:rFonts w:hint="eastAsia"/>
          <w:b/>
          <w:bCs/>
          <w:sz w:val="32"/>
          <w:szCs w:val="32"/>
          <w:highlight w:val="none"/>
        </w:rPr>
        <w:t>文</w:t>
      </w:r>
      <w:r>
        <w:rPr>
          <w:b/>
          <w:bCs/>
          <w:sz w:val="32"/>
          <w:szCs w:val="32"/>
          <w:highlight w:val="none"/>
        </w:rPr>
        <w:t xml:space="preserve"> </w:t>
      </w:r>
      <w:r>
        <w:rPr>
          <w:rFonts w:hint="eastAsia"/>
          <w:b/>
          <w:bCs/>
          <w:sz w:val="32"/>
          <w:szCs w:val="32"/>
          <w:highlight w:val="none"/>
        </w:rPr>
        <w:t>件</w:t>
      </w:r>
    </w:p>
    <w:p>
      <w:pPr>
        <w:snapToGrid w:val="0"/>
        <w:spacing w:before="120" w:beforeLines="50" w:after="50" w:line="320" w:lineRule="exact"/>
        <w:ind w:firstLine="1068" w:firstLineChars="445"/>
        <w:rPr>
          <w:bCs/>
          <w:sz w:val="24"/>
          <w:szCs w:val="20"/>
          <w:highlight w:val="none"/>
        </w:rPr>
      </w:pPr>
      <w:r>
        <w:rPr>
          <w:rFonts w:hint="eastAsia"/>
          <w:bCs/>
          <w:sz w:val="24"/>
          <w:highlight w:val="none"/>
        </w:rPr>
        <w:t>项目名称：</w:t>
      </w:r>
    </w:p>
    <w:p>
      <w:pPr>
        <w:snapToGrid w:val="0"/>
        <w:spacing w:before="120" w:beforeLines="50" w:after="50" w:line="320" w:lineRule="exact"/>
        <w:ind w:firstLine="1068" w:firstLineChars="445"/>
        <w:rPr>
          <w:bCs/>
          <w:sz w:val="24"/>
          <w:highlight w:val="none"/>
        </w:rPr>
      </w:pPr>
      <w:r>
        <w:rPr>
          <w:rFonts w:hint="eastAsia"/>
          <w:bCs/>
          <w:sz w:val="24"/>
          <w:highlight w:val="none"/>
        </w:rPr>
        <w:t>项目编号：</w:t>
      </w:r>
      <w:r>
        <w:rPr>
          <w:bCs/>
          <w:sz w:val="24"/>
          <w:highlight w:val="none"/>
        </w:rPr>
        <w:t xml:space="preserve"> </w:t>
      </w:r>
    </w:p>
    <w:p>
      <w:pPr>
        <w:pStyle w:val="17"/>
        <w:spacing w:before="50" w:after="50" w:line="320" w:lineRule="exact"/>
        <w:ind w:firstLine="1068" w:firstLineChars="445"/>
        <w:rPr>
          <w:bCs/>
          <w:color w:val="auto"/>
          <w:sz w:val="24"/>
          <w:highlight w:val="none"/>
        </w:rPr>
      </w:pPr>
      <w:r>
        <w:rPr>
          <w:rFonts w:hint="eastAsia"/>
          <w:bCs/>
          <w:color w:val="auto"/>
          <w:sz w:val="24"/>
          <w:highlight w:val="none"/>
        </w:rPr>
        <w:t xml:space="preserve">投标人名称：   </w:t>
      </w:r>
      <w:r>
        <w:rPr>
          <w:rFonts w:hint="eastAsia" w:hAnsi="宋体"/>
          <w:bCs/>
          <w:color w:val="auto"/>
          <w:sz w:val="24"/>
          <w:highlight w:val="none"/>
        </w:rPr>
        <w:t>（加盖公章）</w:t>
      </w:r>
    </w:p>
    <w:p>
      <w:pPr>
        <w:pStyle w:val="17"/>
        <w:spacing w:before="50" w:after="50" w:line="320" w:lineRule="exact"/>
        <w:ind w:firstLine="1068" w:firstLineChars="445"/>
        <w:rPr>
          <w:bCs/>
          <w:color w:val="auto"/>
          <w:sz w:val="24"/>
          <w:highlight w:val="none"/>
        </w:rPr>
      </w:pPr>
      <w:r>
        <w:rPr>
          <w:rFonts w:hint="eastAsia"/>
          <w:bCs/>
          <w:color w:val="auto"/>
          <w:sz w:val="24"/>
          <w:highlight w:val="none"/>
        </w:rPr>
        <w:t>投标人地址：</w:t>
      </w:r>
    </w:p>
    <w:p>
      <w:pPr>
        <w:spacing w:line="360" w:lineRule="auto"/>
        <w:ind w:right="420"/>
        <w:rPr>
          <w:highlight w:val="none"/>
        </w:rPr>
      </w:pPr>
      <w:r>
        <w:rPr>
          <w:sz w:val="24"/>
          <w:highlight w:val="none"/>
        </w:rPr>
        <w:t xml:space="preserve">                        </w:t>
      </w:r>
      <w:r>
        <w:rPr>
          <w:rFonts w:hint="eastAsia"/>
          <w:sz w:val="24"/>
          <w:highlight w:val="none"/>
        </w:rPr>
        <w:t xml:space="preserve">                       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p>
      <w:pPr>
        <w:spacing w:line="360" w:lineRule="auto"/>
        <w:rPr>
          <w:rFonts w:ascii="仿宋" w:hAnsi="仿宋" w:eastAsia="仿宋"/>
          <w:bCs/>
          <w:sz w:val="24"/>
          <w:highlight w:val="none"/>
        </w:rPr>
      </w:pPr>
    </w:p>
    <w:p>
      <w:pPr>
        <w:spacing w:line="360" w:lineRule="auto"/>
        <w:jc w:val="center"/>
        <w:rPr>
          <w:rFonts w:ascii="宋体" w:hAnsi="宋体" w:cs="宋体"/>
          <w:b/>
          <w:sz w:val="24"/>
          <w:highlight w:val="none"/>
        </w:rPr>
      </w:pPr>
      <w:bookmarkStart w:id="35" w:name="_Toc219619166"/>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center"/>
        <w:rPr>
          <w:rFonts w:hint="eastAsia" w:ascii="宋体" w:hAnsi="宋体" w:cs="宋体"/>
          <w:b/>
          <w:sz w:val="24"/>
          <w:highlight w:val="none"/>
        </w:rPr>
      </w:pPr>
    </w:p>
    <w:p>
      <w:pPr>
        <w:spacing w:line="360" w:lineRule="auto"/>
        <w:jc w:val="center"/>
        <w:rPr>
          <w:rFonts w:ascii="宋体" w:hAnsi="宋体" w:cs="宋体"/>
          <w:b/>
          <w:bCs/>
          <w:sz w:val="24"/>
          <w:highlight w:val="none"/>
        </w:rPr>
      </w:pPr>
      <w:r>
        <w:rPr>
          <w:rFonts w:hint="eastAsia" w:ascii="宋体" w:hAnsi="宋体" w:cs="宋体"/>
          <w:b/>
          <w:sz w:val="24"/>
          <w:highlight w:val="none"/>
        </w:rPr>
        <w:t>自评表</w:t>
      </w:r>
    </w:p>
    <w:tbl>
      <w:tblPr>
        <w:tblStyle w:val="6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0"/>
        <w:gridCol w:w="3300"/>
        <w:gridCol w:w="2145"/>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评标内容及分值</w:t>
            </w:r>
          </w:p>
        </w:tc>
        <w:tc>
          <w:tcPr>
            <w:tcW w:w="4254" w:type="dxa"/>
            <w:gridSpan w:val="2"/>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供应商自评栏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4510" w:type="dxa"/>
            <w:gridSpan w:val="2"/>
            <w:vMerge w:val="continue"/>
            <w:vAlign w:val="center"/>
          </w:tcPr>
          <w:p>
            <w:pPr>
              <w:spacing w:line="360" w:lineRule="auto"/>
              <w:jc w:val="center"/>
              <w:rPr>
                <w:rFonts w:ascii="宋体" w:hAnsi="宋体" w:cs="宋体"/>
                <w:b/>
                <w:bCs/>
                <w:sz w:val="24"/>
                <w:highlight w:val="none"/>
              </w:rPr>
            </w:pPr>
          </w:p>
        </w:tc>
        <w:tc>
          <w:tcPr>
            <w:tcW w:w="2145"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自评分</w:t>
            </w:r>
          </w:p>
        </w:tc>
        <w:tc>
          <w:tcPr>
            <w:tcW w:w="2109" w:type="dxa"/>
            <w:vAlign w:val="center"/>
          </w:tcPr>
          <w:p>
            <w:pPr>
              <w:spacing w:line="360" w:lineRule="auto"/>
              <w:jc w:val="center"/>
              <w:rPr>
                <w:rFonts w:ascii="宋体" w:hAnsi="宋体" w:cs="宋体"/>
                <w:b/>
                <w:bCs/>
                <w:sz w:val="24"/>
                <w:highlight w:val="none"/>
              </w:rPr>
            </w:pPr>
            <w:r>
              <w:rPr>
                <w:rFonts w:hint="eastAsia" w:ascii="宋体" w:hAnsi="宋体" w:cs="宋体"/>
                <w:b/>
                <w:bCs/>
                <w:sz w:val="24"/>
                <w:highlight w:val="none"/>
              </w:rPr>
              <w:t>自评依据及标书页码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1210" w:type="dxa"/>
            <w:vMerge w:val="restart"/>
            <w:vAlign w:val="center"/>
          </w:tcPr>
          <w:p>
            <w:pPr>
              <w:spacing w:line="360" w:lineRule="auto"/>
              <w:jc w:val="center"/>
              <w:rPr>
                <w:rFonts w:ascii="宋体" w:hAnsi="宋体" w:cs="宋体"/>
                <w:b/>
                <w:bCs/>
                <w:sz w:val="24"/>
                <w:highlight w:val="none"/>
              </w:rPr>
            </w:pPr>
            <w:r>
              <w:rPr>
                <w:rFonts w:hint="eastAsia" w:ascii="宋体" w:hAnsi="宋体" w:cs="宋体"/>
                <w:b/>
                <w:bCs/>
                <w:sz w:val="28"/>
                <w:szCs w:val="28"/>
                <w:highlight w:val="none"/>
              </w:rPr>
              <w:t>商务资信分（X分）</w:t>
            </w:r>
          </w:p>
        </w:tc>
        <w:tc>
          <w:tcPr>
            <w:tcW w:w="3300" w:type="dxa"/>
            <w:tcBorders>
              <w:bottom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bottom w:val="single" w:color="auto" w:sz="4" w:space="0"/>
            </w:tcBorders>
            <w:vAlign w:val="center"/>
          </w:tcPr>
          <w:p>
            <w:pPr>
              <w:spacing w:line="360" w:lineRule="auto"/>
              <w:jc w:val="left"/>
              <w:rPr>
                <w:rFonts w:ascii="宋体" w:hAnsi="宋体" w:cs="宋体"/>
                <w:szCs w:val="21"/>
                <w:highlight w:val="none"/>
              </w:rPr>
            </w:pPr>
          </w:p>
        </w:tc>
        <w:tc>
          <w:tcPr>
            <w:tcW w:w="2109" w:type="dxa"/>
            <w:tcBorders>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auto"/>
              <w:jc w:val="center"/>
              <w:rPr>
                <w:rFonts w:ascii="宋体" w:hAnsi="宋体" w:cs="宋体"/>
                <w:b/>
                <w:bCs/>
                <w:sz w:val="24"/>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 w:hRule="atLeast"/>
          <w:jc w:val="center"/>
        </w:trPr>
        <w:tc>
          <w:tcPr>
            <w:tcW w:w="1210" w:type="dxa"/>
            <w:vMerge w:val="continue"/>
            <w:vAlign w:val="center"/>
          </w:tcPr>
          <w:p>
            <w:pPr>
              <w:spacing w:line="360" w:lineRule="exact"/>
              <w:jc w:val="center"/>
              <w:rPr>
                <w:rFonts w:ascii="宋体" w:hAnsi="宋体" w:cs="宋体"/>
                <w:b/>
                <w:bCs/>
                <w:sz w:val="28"/>
                <w:szCs w:val="28"/>
                <w:highlight w:val="none"/>
              </w:rPr>
            </w:pPr>
          </w:p>
        </w:tc>
        <w:tc>
          <w:tcPr>
            <w:tcW w:w="3300" w:type="dxa"/>
            <w:tcBorders>
              <w:top w:val="single" w:color="auto" w:sz="4" w:space="0"/>
            </w:tcBorders>
            <w:vAlign w:val="center"/>
          </w:tcPr>
          <w:p>
            <w:pPr>
              <w:widowControl/>
              <w:spacing w:line="360" w:lineRule="auto"/>
              <w:jc w:val="center"/>
              <w:rPr>
                <w:rFonts w:ascii="宋体" w:hAnsi="宋体" w:cs="宋体"/>
                <w:kern w:val="0"/>
                <w:szCs w:val="21"/>
                <w:highlight w:val="none"/>
              </w:rPr>
            </w:pPr>
          </w:p>
        </w:tc>
        <w:tc>
          <w:tcPr>
            <w:tcW w:w="2145" w:type="dxa"/>
            <w:tcBorders>
              <w:top w:val="single" w:color="auto" w:sz="4" w:space="0"/>
              <w:bottom w:val="single" w:color="auto" w:sz="4" w:space="0"/>
            </w:tcBorders>
            <w:vAlign w:val="center"/>
          </w:tcPr>
          <w:p>
            <w:pPr>
              <w:spacing w:line="360" w:lineRule="auto"/>
              <w:jc w:val="left"/>
              <w:rPr>
                <w:rFonts w:ascii="宋体" w:hAnsi="宋体" w:cs="宋体"/>
                <w:szCs w:val="21"/>
                <w:highlight w:val="none"/>
              </w:rPr>
            </w:pPr>
          </w:p>
        </w:tc>
        <w:tc>
          <w:tcPr>
            <w:tcW w:w="2109" w:type="dxa"/>
            <w:tcBorders>
              <w:top w:val="single" w:color="auto" w:sz="4" w:space="0"/>
              <w:bottom w:val="single" w:color="auto" w:sz="4" w:space="0"/>
            </w:tcBorders>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1210" w:type="dxa"/>
            <w:vMerge w:val="restart"/>
            <w:vAlign w:val="center"/>
          </w:tcPr>
          <w:p>
            <w:pPr>
              <w:spacing w:line="360" w:lineRule="auto"/>
              <w:jc w:val="center"/>
              <w:rPr>
                <w:rFonts w:ascii="宋体" w:hAnsi="宋体" w:cs="宋体"/>
                <w:b/>
                <w:bCs/>
                <w:sz w:val="28"/>
                <w:szCs w:val="28"/>
                <w:highlight w:val="none"/>
              </w:rPr>
            </w:pPr>
            <w:r>
              <w:rPr>
                <w:rFonts w:hint="eastAsia" w:ascii="宋体" w:hAnsi="宋体" w:cs="宋体"/>
                <w:b/>
                <w:bCs/>
                <w:sz w:val="28"/>
                <w:szCs w:val="28"/>
                <w:highlight w:val="none"/>
              </w:rPr>
              <w:t>技术分（X分）</w:t>
            </w: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210" w:type="dxa"/>
            <w:vMerge w:val="continue"/>
            <w:vAlign w:val="center"/>
          </w:tcPr>
          <w:p>
            <w:pPr>
              <w:spacing w:line="360" w:lineRule="auto"/>
              <w:rPr>
                <w:rFonts w:ascii="宋体" w:hAnsi="宋体" w:cs="宋体"/>
                <w:szCs w:val="21"/>
                <w:highlight w:val="none"/>
              </w:rPr>
            </w:pPr>
          </w:p>
        </w:tc>
        <w:tc>
          <w:tcPr>
            <w:tcW w:w="3300" w:type="dxa"/>
            <w:vAlign w:val="center"/>
          </w:tcPr>
          <w:p>
            <w:pPr>
              <w:widowControl/>
              <w:spacing w:line="360" w:lineRule="auto"/>
              <w:jc w:val="center"/>
              <w:rPr>
                <w:rFonts w:ascii="宋体" w:hAnsi="宋体" w:cs="宋体"/>
                <w:kern w:val="0"/>
                <w:szCs w:val="21"/>
                <w:highlight w:val="none"/>
              </w:rPr>
            </w:pPr>
          </w:p>
        </w:tc>
        <w:tc>
          <w:tcPr>
            <w:tcW w:w="2145" w:type="dxa"/>
            <w:vAlign w:val="center"/>
          </w:tcPr>
          <w:p>
            <w:pPr>
              <w:spacing w:line="360" w:lineRule="auto"/>
              <w:jc w:val="left"/>
              <w:rPr>
                <w:rFonts w:ascii="宋体" w:hAnsi="宋体" w:cs="宋体"/>
                <w:szCs w:val="21"/>
                <w:highlight w:val="none"/>
              </w:rPr>
            </w:pPr>
          </w:p>
        </w:tc>
        <w:tc>
          <w:tcPr>
            <w:tcW w:w="2109" w:type="dxa"/>
            <w:vAlign w:val="center"/>
          </w:tcPr>
          <w:p>
            <w:pPr>
              <w:spacing w:line="360" w:lineRule="auto"/>
              <w:jc w:val="center"/>
              <w:rPr>
                <w:rFonts w:ascii="宋体" w:hAnsi="宋体" w:cs="宋体"/>
                <w:b/>
                <w:bCs/>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510" w:type="dxa"/>
            <w:gridSpan w:val="2"/>
            <w:vAlign w:val="center"/>
          </w:tcPr>
          <w:p>
            <w:pPr>
              <w:spacing w:line="380" w:lineRule="exact"/>
              <w:jc w:val="center"/>
              <w:rPr>
                <w:rFonts w:ascii="宋体" w:hAnsi="宋体" w:cs="宋体"/>
                <w:sz w:val="24"/>
                <w:highlight w:val="none"/>
              </w:rPr>
            </w:pPr>
            <w:r>
              <w:rPr>
                <w:rFonts w:hint="eastAsia" w:ascii="宋体" w:hAnsi="宋体" w:cs="宋体"/>
                <w:bCs/>
                <w:sz w:val="24"/>
                <w:highlight w:val="none"/>
              </w:rPr>
              <w:t>合计（满分X分）</w:t>
            </w:r>
          </w:p>
        </w:tc>
        <w:tc>
          <w:tcPr>
            <w:tcW w:w="4254" w:type="dxa"/>
            <w:gridSpan w:val="2"/>
            <w:vAlign w:val="center"/>
          </w:tcPr>
          <w:p>
            <w:pPr>
              <w:spacing w:line="360" w:lineRule="auto"/>
              <w:jc w:val="center"/>
              <w:rPr>
                <w:rFonts w:ascii="宋体" w:hAnsi="宋体" w:cs="宋体"/>
                <w:b/>
                <w:bCs/>
                <w:sz w:val="24"/>
                <w:highlight w:val="none"/>
              </w:rPr>
            </w:pPr>
          </w:p>
        </w:tc>
      </w:tr>
    </w:tbl>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rPr>
          <w:rFonts w:ascii="宋体" w:hAnsi="宋体" w:cs="宋体"/>
          <w:b/>
          <w:sz w:val="32"/>
          <w:szCs w:val="32"/>
          <w:highlight w:val="none"/>
        </w:rPr>
      </w:pPr>
    </w:p>
    <w:p>
      <w:pPr>
        <w:snapToGrid w:val="0"/>
        <w:spacing w:before="120" w:beforeLines="50" w:after="50"/>
        <w:jc w:val="center"/>
        <w:rPr>
          <w:rFonts w:hint="eastAsia"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投标声明书</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致 </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u w:val="single"/>
        </w:rPr>
        <w:t xml:space="preserve">               </w:t>
      </w:r>
      <w:r>
        <w:rPr>
          <w:rFonts w:hint="eastAsia" w:ascii="宋体" w:hAnsi="宋体" w:cs="宋体"/>
          <w:sz w:val="24"/>
          <w:highlight w:val="none"/>
        </w:rPr>
        <w:t>（投标人名称）系中华人民共和国合法企业，经营地址</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after="50" w:line="360" w:lineRule="auto"/>
        <w:ind w:firstLine="645"/>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（投标人名称）的法定代表人，我方愿意参加贵方组织的</w:t>
      </w:r>
      <w:r>
        <w:rPr>
          <w:rFonts w:hint="eastAsia" w:ascii="宋体" w:hAnsi="宋体" w:cs="宋体"/>
          <w:sz w:val="24"/>
          <w:highlight w:val="none"/>
          <w:u w:val="single"/>
        </w:rPr>
        <w:t xml:space="preserve">                    </w:t>
      </w:r>
      <w:r>
        <w:rPr>
          <w:rFonts w:hint="eastAsia" w:ascii="宋体" w:hAnsi="宋体" w:cs="宋体"/>
          <w:sz w:val="24"/>
          <w:highlight w:val="none"/>
        </w:rPr>
        <w:t>采购项目的投标，为便于贵方公正、择优地确定中标人及其投标产品和服务，我方就本次投标有关事项郑重声明如下：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1.我方向贵方提交的所有投标文件、资料都是准确的和真实的。</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3、我方此次向贵方提供的服务名称为：</w:t>
      </w:r>
      <w:r>
        <w:rPr>
          <w:rFonts w:hint="eastAsia" w:ascii="宋体" w:hAnsi="宋体" w:cs="宋体"/>
          <w:sz w:val="24"/>
          <w:highlight w:val="none"/>
          <w:u w:val="single"/>
        </w:rPr>
        <w:t xml:space="preserve">                              </w:t>
      </w:r>
      <w:r>
        <w:rPr>
          <w:rFonts w:hint="eastAsia" w:ascii="宋体" w:hAnsi="宋体" w:cs="宋体"/>
          <w:sz w:val="24"/>
          <w:highlight w:val="none"/>
        </w:rPr>
        <w:t>。</w:t>
      </w:r>
    </w:p>
    <w:p>
      <w:pPr>
        <w:snapToGrid w:val="0"/>
        <w:spacing w:before="120" w:beforeLines="50" w:line="360" w:lineRule="auto"/>
        <w:ind w:firstLine="480" w:firstLineChars="200"/>
        <w:rPr>
          <w:rFonts w:ascii="宋体" w:hAnsi="宋体" w:cs="宋体"/>
          <w:sz w:val="24"/>
          <w:szCs w:val="20"/>
          <w:highlight w:val="none"/>
        </w:rPr>
      </w:pPr>
      <w:r>
        <w:rPr>
          <w:rFonts w:hint="eastAsia" w:ascii="宋体" w:hAnsi="宋体" w:cs="宋体"/>
          <w:sz w:val="24"/>
          <w:highlight w:val="none"/>
        </w:rPr>
        <w:t>4.我方诚意提请贵方关注：有关该项目的重大决策和事项有：</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pStyle w:val="25"/>
        <w:snapToGrid w:val="0"/>
        <w:spacing w:line="360" w:lineRule="auto"/>
        <w:rPr>
          <w:rFonts w:cs="宋体"/>
          <w:highlight w:val="none"/>
        </w:rPr>
      </w:pPr>
      <w:r>
        <w:rPr>
          <w:rFonts w:hint="eastAsia" w:cs="宋体"/>
          <w:highlight w:val="none"/>
        </w:rPr>
        <w:t>5.我方及由本人担任法定代表人的其他机构最近三年内被通报或者被处罚的违法行为有：（若有，请如实填写；若无，请作出“参加政府采购活动前三年内，在经营活动中没有重大违法记录”的承诺）</w:t>
      </w:r>
    </w:p>
    <w:p>
      <w:pPr>
        <w:snapToGrid w:val="0"/>
        <w:spacing w:before="120" w:beforeLines="50" w:line="360" w:lineRule="auto"/>
        <w:ind w:firstLine="480" w:firstLineChars="200"/>
        <w:rPr>
          <w:rFonts w:ascii="宋体" w:hAnsi="宋体" w:cs="宋体"/>
          <w:sz w:val="24"/>
          <w:szCs w:val="20"/>
          <w:highlight w:val="none"/>
          <w:u w:val="single"/>
        </w:rPr>
      </w:pPr>
      <w:r>
        <w:rPr>
          <w:rFonts w:hint="eastAsia" w:ascii="宋体" w:hAnsi="宋体" w:cs="宋体"/>
          <w:sz w:val="24"/>
          <w:highlight w:val="none"/>
          <w:u w:val="single"/>
        </w:rPr>
        <w:t>　　　　　　　　　　　　　　　　　　　　　　　　　　　</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6.以上事项如有虚假或隐瞒，我方愿意承担一切后果，并不再寻求任何旨在减轻或免除法律责任的辩解。</w:t>
      </w:r>
    </w:p>
    <w:p>
      <w:pPr>
        <w:pStyle w:val="28"/>
        <w:tabs>
          <w:tab w:val="left" w:pos="939"/>
        </w:tabs>
        <w:snapToGrid w:val="0"/>
        <w:spacing w:line="400" w:lineRule="exact"/>
        <w:ind w:left="773" w:leftChars="150" w:hanging="458" w:hangingChars="191"/>
        <w:rPr>
          <w:rFonts w:ascii="宋体" w:hAnsi="宋体" w:cs="宋体"/>
          <w:sz w:val="24"/>
          <w:highlight w:val="none"/>
        </w:rPr>
      </w:pPr>
    </w:p>
    <w:p>
      <w:pPr>
        <w:snapToGrid w:val="0"/>
        <w:spacing w:before="120" w:beforeLines="50" w:line="400" w:lineRule="exact"/>
        <w:ind w:firstLine="200"/>
        <w:rPr>
          <w:rFonts w:ascii="宋体" w:hAnsi="宋体" w:cs="宋体"/>
          <w:sz w:val="24"/>
          <w:szCs w:val="20"/>
          <w:highlight w:val="none"/>
          <w:u w:val="single"/>
        </w:rPr>
      </w:pPr>
      <w:r>
        <w:rPr>
          <w:rFonts w:hint="eastAsia" w:ascii="宋体" w:hAnsi="宋体"/>
          <w:sz w:val="24"/>
          <w:highlight w:val="none"/>
        </w:rPr>
        <w:t>法定代表人签字（或盖章）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snapToGrid w:val="0"/>
        <w:spacing w:before="120" w:beforeLines="50" w:after="50" w:line="400" w:lineRule="exact"/>
        <w:ind w:firstLine="240" w:firstLineChars="1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before="120" w:beforeLines="50" w:after="50" w:line="400" w:lineRule="exact"/>
        <w:ind w:firstLine="240" w:firstLineChars="100"/>
        <w:rPr>
          <w:rFonts w:ascii="宋体" w:hAnsi="宋体" w:cs="宋体"/>
          <w:b/>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r>
        <w:rPr>
          <w:rFonts w:ascii="宋体" w:hAnsi="宋体" w:cs="宋体"/>
          <w:b/>
          <w:sz w:val="24"/>
          <w:highlight w:val="none"/>
        </w:rPr>
        <w:br w:type="page"/>
      </w:r>
    </w:p>
    <w:p>
      <w:pPr>
        <w:snapToGrid w:val="0"/>
        <w:spacing w:before="120" w:beforeLines="50" w:after="50" w:line="360" w:lineRule="auto"/>
        <w:jc w:val="center"/>
        <w:rPr>
          <w:rFonts w:ascii="宋体" w:hAnsi="宋体" w:cs="宋体"/>
          <w:b/>
          <w:sz w:val="32"/>
          <w:szCs w:val="32"/>
          <w:highlight w:val="none"/>
        </w:rPr>
      </w:pPr>
      <w:r>
        <w:rPr>
          <w:rFonts w:hint="eastAsia" w:ascii="宋体" w:hAnsi="宋体" w:cs="宋体"/>
          <w:b/>
          <w:sz w:val="32"/>
          <w:szCs w:val="32"/>
          <w:highlight w:val="none"/>
        </w:rPr>
        <w:t>法定代表人授权委托书</w:t>
      </w:r>
    </w:p>
    <w:p>
      <w:pPr>
        <w:snapToGrid w:val="0"/>
        <w:spacing w:before="120" w:beforeLines="50" w:after="50" w:line="360" w:lineRule="auto"/>
        <w:rPr>
          <w:rFonts w:ascii="宋体" w:hAnsi="宋体" w:cs="宋体"/>
          <w:b/>
          <w:bCs/>
          <w:sz w:val="24"/>
          <w:szCs w:val="20"/>
          <w:highlight w:val="none"/>
        </w:rPr>
      </w:pPr>
      <w:r>
        <w:rPr>
          <w:rFonts w:hint="eastAsia" w:ascii="宋体" w:hAnsi="宋体" w:cs="宋体"/>
          <w:bCs/>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（采购人）：</w:t>
      </w:r>
    </w:p>
    <w:p>
      <w:pPr>
        <w:snapToGrid w:val="0"/>
        <w:spacing w:before="120" w:beforeLines="50" w:after="50" w:line="360" w:lineRule="auto"/>
        <w:ind w:firstLine="720" w:firstLineChars="300"/>
        <w:rPr>
          <w:rFonts w:ascii="宋体" w:hAnsi="宋体" w:cs="宋体"/>
          <w:sz w:val="24"/>
          <w:szCs w:val="20"/>
          <w:highlight w:val="none"/>
        </w:rPr>
      </w:pPr>
      <w:r>
        <w:rPr>
          <w:rFonts w:hint="eastAsia" w:ascii="宋体" w:hAnsi="宋体" w:cs="宋体"/>
          <w:sz w:val="24"/>
          <w:highlight w:val="none"/>
        </w:rPr>
        <w:t>我</w:t>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 xml:space="preserve">                </w:t>
      </w:r>
      <w:r>
        <w:rPr>
          <w:rFonts w:hint="eastAsia" w:ascii="宋体" w:hAnsi="宋体" w:cs="宋体"/>
          <w:sz w:val="24"/>
          <w:highlight w:val="none"/>
        </w:rPr>
        <w:t>（投标人名称）的法定代表人，现授权委托</w:t>
      </w:r>
      <w:r>
        <w:rPr>
          <w:rFonts w:hint="eastAsia" w:ascii="宋体" w:hAnsi="宋体" w:cs="宋体"/>
          <w:sz w:val="24"/>
          <w:highlight w:val="none"/>
          <w:u w:val="single"/>
        </w:rPr>
        <w:t xml:space="preserve">             </w:t>
      </w:r>
      <w:r>
        <w:rPr>
          <w:rFonts w:hint="eastAsia" w:ascii="宋体" w:hAnsi="宋体" w:cs="宋体"/>
          <w:sz w:val="24"/>
          <w:highlight w:val="none"/>
        </w:rPr>
        <w:t>（姓名）以我方的名义参加</w:t>
      </w:r>
      <w:r>
        <w:rPr>
          <w:rFonts w:hint="eastAsia" w:ascii="宋体" w:hAnsi="宋体" w:cs="宋体"/>
          <w:sz w:val="24"/>
          <w:highlight w:val="none"/>
          <w:u w:val="single"/>
        </w:rPr>
        <w:t xml:space="preserve">              政府采购项目</w:t>
      </w:r>
      <w:r>
        <w:rPr>
          <w:rFonts w:hint="eastAsia" w:ascii="宋体" w:hAnsi="宋体" w:cs="宋体"/>
          <w:sz w:val="24"/>
          <w:highlight w:val="none"/>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sz w:val="24"/>
          <w:szCs w:val="20"/>
          <w:highlight w:val="none"/>
        </w:rPr>
      </w:pPr>
      <w:r>
        <w:rPr>
          <w:rFonts w:hint="eastAsia" w:ascii="宋体" w:hAnsi="宋体" w:cs="宋体"/>
          <w:sz w:val="24"/>
          <w:highlight w:val="none"/>
        </w:rPr>
        <w:t xml:space="preserve">    我方对被授权人的签字事项负全部责任。</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u w:val="single"/>
        </w:rPr>
        <w:t>在撤销授权的书面通知以前，本授权书一直有效。</w:t>
      </w:r>
      <w:r>
        <w:rPr>
          <w:rFonts w:hint="eastAsia" w:ascii="宋体" w:hAnsi="宋体" w:cs="宋体"/>
          <w:sz w:val="24"/>
          <w:highlight w:val="none"/>
        </w:rPr>
        <w:t>被授权人在授权书有效期内签署的所有文件不因授权的撤销而失效。</w:t>
      </w:r>
    </w:p>
    <w:p>
      <w:pPr>
        <w:snapToGrid w:val="0"/>
        <w:spacing w:before="120" w:beforeLines="50" w:after="50" w:line="360" w:lineRule="auto"/>
        <w:ind w:firstLine="480"/>
        <w:rPr>
          <w:rFonts w:ascii="宋体" w:hAnsi="宋体" w:cs="宋体"/>
          <w:sz w:val="24"/>
          <w:szCs w:val="20"/>
          <w:highlight w:val="none"/>
        </w:rPr>
      </w:pPr>
      <w:r>
        <w:rPr>
          <w:rFonts w:hint="eastAsia" w:ascii="宋体" w:hAnsi="宋体" w:cs="宋体"/>
          <w:sz w:val="24"/>
          <w:highlight w:val="none"/>
        </w:rPr>
        <w:t>被授权人无转委托权，特此委托。</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u w:val="single"/>
        </w:rPr>
      </w:pPr>
      <w:r>
        <w:rPr>
          <w:rFonts w:hint="eastAsia" w:ascii="宋体" w:hAnsi="宋体" w:cs="宋体"/>
          <w:sz w:val="24"/>
          <w:highlight w:val="none"/>
        </w:rPr>
        <w:t>法定代表人签字（或盖章）：</w:t>
      </w:r>
      <w:r>
        <w:rPr>
          <w:rFonts w:hint="eastAsia" w:ascii="宋体" w:hAnsi="宋体" w:cs="宋体"/>
          <w:sz w:val="24"/>
          <w:highlight w:val="none"/>
          <w:u w:val="single"/>
        </w:rPr>
        <w:t xml:space="preserve">          </w:t>
      </w:r>
      <w:r>
        <w:rPr>
          <w:rFonts w:hint="eastAsia" w:ascii="宋体" w:hAnsi="宋体" w:cs="宋体"/>
          <w:sz w:val="24"/>
          <w:highlight w:val="none"/>
        </w:rPr>
        <w:t xml:space="preserve">  被授权人签字（或盖章）：</w:t>
      </w:r>
      <w:r>
        <w:rPr>
          <w:rFonts w:hint="eastAsia" w:ascii="宋体" w:hAnsi="宋体" w:cs="宋体"/>
          <w:sz w:val="24"/>
          <w:highlight w:val="none"/>
          <w:u w:val="single"/>
        </w:rPr>
        <w:t xml:space="preserve">          </w:t>
      </w:r>
    </w:p>
    <w:p>
      <w:pPr>
        <w:snapToGrid w:val="0"/>
        <w:spacing w:before="120" w:beforeLines="50" w:after="50" w:line="360" w:lineRule="auto"/>
        <w:ind w:firstLine="960" w:firstLineChars="400"/>
        <w:rPr>
          <w:rFonts w:ascii="宋体" w:hAnsi="宋体" w:cs="宋体"/>
          <w:sz w:val="24"/>
          <w:highlight w:val="none"/>
          <w:u w:val="single"/>
        </w:rPr>
      </w:pPr>
      <w:r>
        <w:rPr>
          <w:rFonts w:hint="eastAsia" w:ascii="宋体" w:hAnsi="宋体" w:cs="宋体"/>
          <w:sz w:val="24"/>
          <w:highlight w:val="none"/>
        </w:rPr>
        <w:t>职务：</w:t>
      </w:r>
      <w:r>
        <w:rPr>
          <w:rFonts w:hint="eastAsia" w:ascii="宋体" w:hAnsi="宋体" w:cs="宋体"/>
          <w:sz w:val="24"/>
          <w:highlight w:val="none"/>
          <w:u w:val="single"/>
        </w:rPr>
        <w:t xml:space="preserve">           </w:t>
      </w:r>
      <w:r>
        <w:rPr>
          <w:rFonts w:hint="eastAsia" w:ascii="宋体" w:hAnsi="宋体" w:cs="宋体"/>
          <w:sz w:val="24"/>
          <w:highlight w:val="none"/>
        </w:rPr>
        <w:t xml:space="preserve">                          职务：</w:t>
      </w:r>
      <w:r>
        <w:rPr>
          <w:rFonts w:hint="eastAsia" w:ascii="宋体" w:hAnsi="宋体" w:cs="宋体"/>
          <w:sz w:val="24"/>
          <w:highlight w:val="none"/>
          <w:u w:val="single"/>
        </w:rPr>
        <w:t xml:space="preserve">           </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法定代表人身份证粘贴处（正反面）       被授权人身份证粘贴处（正反面）</w:t>
      </w: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sz w:val="24"/>
          <w:highlight w:val="none"/>
        </w:rPr>
        <w:t>投标人公章：</w:t>
      </w:r>
    </w:p>
    <w:p>
      <w:pPr>
        <w:snapToGrid w:val="0"/>
        <w:spacing w:before="120" w:beforeLines="50" w:after="50" w:line="360" w:lineRule="auto"/>
        <w:rPr>
          <w:rFonts w:ascii="宋体" w:hAnsi="宋体" w:cs="宋体"/>
          <w:sz w:val="24"/>
          <w:szCs w:val="20"/>
          <w:highlight w:val="none"/>
        </w:rPr>
      </w:pPr>
    </w:p>
    <w:p>
      <w:pPr>
        <w:snapToGrid w:val="0"/>
        <w:spacing w:before="120" w:beforeLines="50" w:after="50" w:line="360" w:lineRule="auto"/>
        <w:rPr>
          <w:rFonts w:ascii="宋体" w:hAnsi="宋体" w:cs="宋体"/>
          <w:sz w:val="24"/>
          <w:szCs w:val="20"/>
          <w:highlight w:val="none"/>
        </w:rPr>
      </w:pPr>
    </w:p>
    <w:p>
      <w:pPr>
        <w:snapToGrid w:val="0"/>
        <w:spacing w:before="120" w:beforeLines="50" w:after="50"/>
        <w:jc w:val="right"/>
        <w:rPr>
          <w:rFonts w:ascii="宋体" w:hAnsi="宋体" w:cs="宋体"/>
          <w:sz w:val="24"/>
          <w:highlight w:val="none"/>
        </w:rPr>
      </w:pPr>
      <w:r>
        <w:rPr>
          <w:rFonts w:hint="eastAsia" w:ascii="宋体" w:hAnsi="宋体" w:cs="宋体"/>
          <w:sz w:val="24"/>
          <w:highlight w:val="none"/>
        </w:rPr>
        <w:t xml:space="preserve">                                        年    月    日</w:t>
      </w:r>
    </w:p>
    <w:p>
      <w:pPr>
        <w:pStyle w:val="966"/>
        <w:spacing w:line="360" w:lineRule="auto"/>
        <w:rPr>
          <w:rFonts w:hAnsi="宋体" w:eastAsia="宋体" w:cs="宋体"/>
          <w:sz w:val="24"/>
          <w:highlight w:val="none"/>
        </w:rPr>
      </w:pPr>
    </w:p>
    <w:p>
      <w:pPr>
        <w:snapToGrid w:val="0"/>
        <w:spacing w:before="120" w:beforeLines="50" w:after="50" w:line="360" w:lineRule="auto"/>
        <w:rPr>
          <w:rFonts w:ascii="宋体" w:hAnsi="宋体" w:cs="宋体"/>
          <w:sz w:val="24"/>
          <w:highlight w:val="none"/>
        </w:rPr>
      </w:pPr>
      <w:r>
        <w:rPr>
          <w:rFonts w:hint="eastAsia" w:ascii="宋体" w:hAnsi="宋体" w:cs="宋体"/>
          <w:b/>
          <w:sz w:val="28"/>
          <w:szCs w:val="28"/>
          <w:highlight w:val="none"/>
        </w:rPr>
        <w:t>注：此表请放一页，如要放2页及以上请在每页上都加盖公章。</w:t>
      </w:r>
    </w:p>
    <w:p>
      <w:pPr>
        <w:spacing w:line="360" w:lineRule="auto"/>
        <w:jc w:val="left"/>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诚信承诺书</w:t>
      </w:r>
    </w:p>
    <w:p>
      <w:pPr>
        <w:spacing w:line="360" w:lineRule="auto"/>
        <w:rPr>
          <w:rFonts w:ascii="宋体" w:hAnsi="宋体" w:cs="宋体"/>
          <w:sz w:val="24"/>
          <w:highlight w:val="none"/>
        </w:rPr>
      </w:pPr>
      <w:r>
        <w:rPr>
          <w:rFonts w:hint="eastAsia" w:ascii="宋体" w:hAnsi="宋体" w:cs="宋体"/>
          <w:sz w:val="24"/>
          <w:highlight w:val="none"/>
          <w:u w:val="single"/>
        </w:rPr>
        <w:t xml:space="preserve">（采购人或招标组织机构）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我方在参加贵单位的</w:t>
      </w:r>
      <w:r>
        <w:rPr>
          <w:rFonts w:hint="eastAsia" w:ascii="宋体" w:hAnsi="宋体" w:cs="宋体"/>
          <w:sz w:val="24"/>
          <w:highlight w:val="none"/>
          <w:u w:val="single"/>
        </w:rPr>
        <w:t xml:space="preserve">                   </w:t>
      </w:r>
      <w:r>
        <w:rPr>
          <w:rFonts w:hint="eastAsia" w:ascii="宋体" w:hAnsi="宋体" w:cs="宋体"/>
          <w:sz w:val="24"/>
          <w:highlight w:val="none"/>
        </w:rPr>
        <w:t>政府采购项目的招投标活动中，郑重承诺如下：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1、我方申报的所有资料都是真实、准确、完整的；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2、我方无资质挂靠情形，保证不参与串标、围标及抬标；</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3、我方未处于被各级行政主管部门做出停止市场行为处罚的期限内；</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4、我方参加本项目政府采购活动前3年内在经营活动中没有重大违法记录；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5、若我方中标，将严格按照规定及时与采购人签订合同；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6、若我方中标，将严格按照招标文件要求及投标文件承诺的报价、质量、工期、投标方案、项目负责人等内容组织实施；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sz w:val="24"/>
          <w:highlight w:val="none"/>
        </w:rPr>
      </w:pPr>
    </w:p>
    <w:p>
      <w:pPr>
        <w:pStyle w:val="966"/>
        <w:spacing w:line="360" w:lineRule="auto"/>
        <w:rPr>
          <w:rFonts w:hAnsi="宋体" w:eastAsia="宋体" w:cs="宋体"/>
          <w:b/>
          <w:sz w:val="24"/>
          <w:szCs w:val="24"/>
          <w:highlight w:val="none"/>
        </w:rPr>
      </w:pPr>
    </w:p>
    <w:p>
      <w:pPr>
        <w:wordWrap w:val="0"/>
        <w:spacing w:before="120" w:beforeLines="50" w:line="360" w:lineRule="auto"/>
        <w:ind w:firstLine="562"/>
        <w:jc w:val="center"/>
        <w:rPr>
          <w:rFonts w:ascii="宋体" w:hAnsi="宋体" w:cs="宋体"/>
          <w:b/>
          <w:sz w:val="28"/>
          <w:szCs w:val="30"/>
          <w:highlight w:val="none"/>
        </w:rPr>
      </w:pPr>
      <w:r>
        <w:rPr>
          <w:rFonts w:hint="eastAsia" w:ascii="宋体" w:hAnsi="宋体" w:cs="宋体"/>
          <w:b/>
          <w:sz w:val="28"/>
          <w:szCs w:val="30"/>
          <w:highlight w:val="none"/>
        </w:rPr>
        <w:t>投标人基本情况表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投标人名称</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地址</w:t>
            </w:r>
          </w:p>
        </w:tc>
        <w:tc>
          <w:tcPr>
            <w:tcW w:w="6339" w:type="dxa"/>
            <w:gridSpan w:val="3"/>
            <w:vAlign w:val="center"/>
          </w:tcPr>
          <w:p>
            <w:pPr>
              <w:ind w:firstLine="480"/>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业务（经营）范围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机构类型</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成立时间</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法定代表人</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联系电话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注册资本</w:t>
            </w:r>
          </w:p>
        </w:tc>
        <w:tc>
          <w:tcPr>
            <w:tcW w:w="2118" w:type="dxa"/>
            <w:vAlign w:val="center"/>
          </w:tcPr>
          <w:p>
            <w:pPr>
              <w:rPr>
                <w:rFonts w:ascii="宋体" w:hAnsi="宋体" w:cs="宋体"/>
                <w:color w:val="000000"/>
                <w:sz w:val="22"/>
                <w:szCs w:val="28"/>
                <w:highlight w:val="none"/>
              </w:rPr>
            </w:pPr>
          </w:p>
        </w:tc>
        <w:tc>
          <w:tcPr>
            <w:tcW w:w="1980"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技术人员数</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是否依法纳税</w:t>
            </w:r>
          </w:p>
        </w:tc>
        <w:tc>
          <w:tcPr>
            <w:tcW w:w="2118" w:type="dxa"/>
            <w:vAlign w:val="center"/>
          </w:tcPr>
          <w:p>
            <w:pPr>
              <w:rPr>
                <w:rFonts w:ascii="宋体" w:hAnsi="宋体" w:cs="宋体"/>
                <w:color w:val="000000"/>
                <w:sz w:val="22"/>
                <w:szCs w:val="28"/>
                <w:highlight w:val="none"/>
              </w:rPr>
            </w:pPr>
          </w:p>
        </w:tc>
        <w:tc>
          <w:tcPr>
            <w:tcW w:w="1980" w:type="dxa"/>
            <w:vAlign w:val="center"/>
          </w:tcPr>
          <w:p>
            <w:pPr>
              <w:jc w:val="center"/>
              <w:rPr>
                <w:rFonts w:ascii="宋体" w:hAnsi="宋体" w:cs="宋体"/>
                <w:color w:val="000000"/>
                <w:sz w:val="22"/>
                <w:szCs w:val="28"/>
                <w:highlight w:val="none"/>
              </w:rPr>
            </w:pPr>
            <w:r>
              <w:rPr>
                <w:rFonts w:hint="eastAsia" w:ascii="宋体" w:hAnsi="宋体" w:cs="宋体"/>
                <w:color w:val="000000"/>
                <w:sz w:val="22"/>
                <w:szCs w:val="28"/>
                <w:highlight w:val="none"/>
              </w:rPr>
              <w:t>是否参加社保</w:t>
            </w:r>
          </w:p>
        </w:tc>
        <w:tc>
          <w:tcPr>
            <w:tcW w:w="2241" w:type="dxa"/>
            <w:vAlign w:val="center"/>
          </w:tcPr>
          <w:p>
            <w:pPr>
              <w:rPr>
                <w:rFonts w:ascii="宋体" w:hAnsi="宋体" w:cs="宋体"/>
                <w:color w:val="000000"/>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rPr>
                <w:rFonts w:ascii="宋体" w:hAnsi="宋体" w:cs="宋体"/>
                <w:color w:val="000000"/>
                <w:sz w:val="22"/>
                <w:szCs w:val="28"/>
                <w:highlight w:val="none"/>
              </w:rPr>
            </w:pPr>
            <w:r>
              <w:rPr>
                <w:rFonts w:hint="eastAsia" w:ascii="宋体" w:hAnsi="宋体" w:cs="宋体"/>
                <w:color w:val="000000"/>
                <w:sz w:val="22"/>
                <w:szCs w:val="28"/>
                <w:highlight w:val="none"/>
              </w:rPr>
              <w:t>服务机构情况</w:t>
            </w:r>
          </w:p>
        </w:tc>
        <w:tc>
          <w:tcPr>
            <w:tcW w:w="6339" w:type="dxa"/>
            <w:gridSpan w:val="3"/>
            <w:vAlign w:val="center"/>
          </w:tcPr>
          <w:p>
            <w:pPr>
              <w:jc w:val="left"/>
              <w:rPr>
                <w:rFonts w:ascii="宋体" w:hAnsi="宋体" w:cs="宋体"/>
                <w:color w:val="000000"/>
                <w:sz w:val="22"/>
                <w:szCs w:val="28"/>
                <w:highlight w:val="none"/>
              </w:rPr>
            </w:pPr>
            <w:r>
              <w:rPr>
                <w:rFonts w:hint="eastAsia" w:ascii="宋体" w:hAnsi="宋体" w:cs="宋体"/>
                <w:color w:val="000000"/>
                <w:sz w:val="22"/>
                <w:szCs w:val="28"/>
                <w:highlight w:val="none"/>
              </w:rPr>
              <w:t>服务机构名称：</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地址：</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人员状况：</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联系方式：</w:t>
            </w:r>
          </w:p>
          <w:p>
            <w:pPr>
              <w:jc w:val="left"/>
              <w:rPr>
                <w:rFonts w:ascii="宋体" w:hAnsi="宋体" w:cs="宋体"/>
                <w:color w:val="000000"/>
                <w:sz w:val="22"/>
                <w:szCs w:val="28"/>
                <w:highlight w:val="none"/>
              </w:rPr>
            </w:pPr>
            <w:r>
              <w:rPr>
                <w:rFonts w:hint="eastAsia" w:ascii="宋体" w:hAnsi="宋体" w:cs="宋体"/>
                <w:color w:val="000000"/>
                <w:sz w:val="22"/>
                <w:szCs w:val="28"/>
                <w:highlight w:val="none"/>
              </w:rPr>
              <w:t>（可另附纸说明）</w:t>
            </w:r>
          </w:p>
        </w:tc>
      </w:tr>
    </w:tbl>
    <w:p>
      <w:pPr>
        <w:wordWrap w:val="0"/>
        <w:spacing w:before="120" w:beforeLines="50"/>
        <w:rPr>
          <w:rFonts w:ascii="宋体" w:hAnsi="宋体" w:cs="宋体"/>
          <w:b/>
          <w:bCs/>
          <w:sz w:val="24"/>
          <w:highlight w:val="none"/>
          <w:lang w:bidi="ar"/>
        </w:rPr>
      </w:pPr>
    </w:p>
    <w:p>
      <w:pPr>
        <w:wordWrap w:val="0"/>
        <w:spacing w:line="360" w:lineRule="auto"/>
        <w:ind w:firstLine="480"/>
        <w:jc w:val="right"/>
        <w:rPr>
          <w:rFonts w:ascii="宋体" w:hAnsi="宋体" w:cs="宋体"/>
          <w:sz w:val="24"/>
          <w:highlight w:val="none"/>
          <w:lang w:bidi="ar"/>
        </w:rPr>
      </w:pPr>
    </w:p>
    <w:p>
      <w:pPr>
        <w:spacing w:line="360" w:lineRule="auto"/>
        <w:jc w:val="left"/>
        <w:rPr>
          <w:rFonts w:ascii="宋体" w:hAnsi="宋体" w:cs="宋体"/>
          <w:sz w:val="24"/>
          <w:highlight w:val="none"/>
          <w:u w:val="single"/>
          <w:lang w:bidi="ar"/>
        </w:rPr>
      </w:pPr>
      <w:r>
        <w:rPr>
          <w:rFonts w:hint="eastAsia" w:ascii="宋体" w:hAnsi="宋体" w:cs="宋体"/>
          <w:sz w:val="24"/>
          <w:highlight w:val="none"/>
          <w:lang w:bidi="ar"/>
        </w:rPr>
        <w:t>投标人名称（加盖公章）：</w:t>
      </w:r>
      <w:r>
        <w:rPr>
          <w:rFonts w:hint="eastAsia" w:ascii="宋体" w:hAnsi="宋体" w:cs="宋体"/>
          <w:sz w:val="24"/>
          <w:highlight w:val="none"/>
          <w:u w:val="single"/>
          <w:lang w:bidi="ar"/>
        </w:rPr>
        <w:t xml:space="preserve">                  </w:t>
      </w:r>
    </w:p>
    <w:p>
      <w:pPr>
        <w:spacing w:line="360" w:lineRule="auto"/>
        <w:jc w:val="left"/>
        <w:rPr>
          <w:rFonts w:ascii="宋体" w:hAnsi="宋体" w:cs="宋体"/>
          <w:sz w:val="24"/>
          <w:highlight w:val="none"/>
          <w:u w:val="single"/>
          <w:lang w:bidi="ar"/>
        </w:rPr>
      </w:pPr>
      <w:r>
        <w:rPr>
          <w:rFonts w:hint="eastAsia" w:ascii="宋体" w:hAnsi="宋体"/>
          <w:sz w:val="24"/>
          <w:highlight w:val="none"/>
        </w:rPr>
        <w:t>法定代表人或被授权人（签字或盖章）</w:t>
      </w:r>
      <w:r>
        <w:rPr>
          <w:rFonts w:hint="eastAsia" w:ascii="宋体" w:hAnsi="宋体" w:cs="宋体"/>
          <w:sz w:val="24"/>
          <w:highlight w:val="none"/>
        </w:rPr>
        <w:t>：</w:t>
      </w:r>
      <w:r>
        <w:rPr>
          <w:rFonts w:hint="eastAsia" w:ascii="宋体" w:hAnsi="宋体" w:cs="宋体"/>
          <w:sz w:val="24"/>
          <w:highlight w:val="none"/>
          <w:u w:val="single"/>
        </w:rPr>
        <w:t xml:space="preserve">                  </w:t>
      </w:r>
    </w:p>
    <w:p>
      <w:pPr>
        <w:pStyle w:val="966"/>
        <w:spacing w:line="360" w:lineRule="auto"/>
        <w:jc w:val="left"/>
        <w:rPr>
          <w:rFonts w:hAnsi="宋体" w:eastAsia="宋体" w:cs="宋体"/>
          <w:sz w:val="24"/>
          <w:szCs w:val="24"/>
          <w:highlight w:val="none"/>
          <w:lang w:bidi="ar"/>
        </w:rPr>
      </w:pPr>
      <w:r>
        <w:rPr>
          <w:rFonts w:hint="eastAsia" w:hAnsi="宋体" w:eastAsia="宋体" w:cs="宋体"/>
          <w:sz w:val="24"/>
          <w:szCs w:val="24"/>
          <w:highlight w:val="none"/>
          <w:lang w:bidi="ar"/>
        </w:rPr>
        <w:t>日期：_____年____月____日</w:t>
      </w: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p>
    <w:p>
      <w:pPr>
        <w:pStyle w:val="966"/>
        <w:spacing w:line="360" w:lineRule="auto"/>
        <w:rPr>
          <w:rFonts w:hAnsi="宋体" w:eastAsia="宋体" w:cs="宋体"/>
          <w:b/>
          <w:sz w:val="24"/>
          <w:szCs w:val="24"/>
          <w:highlight w:val="none"/>
        </w:rPr>
      </w:pPr>
    </w:p>
    <w:p>
      <w:pPr>
        <w:pStyle w:val="966"/>
        <w:spacing w:line="360" w:lineRule="auto"/>
        <w:jc w:val="center"/>
        <w:rPr>
          <w:rFonts w:hAnsi="宋体" w:eastAsia="宋体" w:cs="宋体"/>
          <w:b/>
          <w:sz w:val="24"/>
          <w:szCs w:val="24"/>
          <w:highlight w:val="none"/>
        </w:rPr>
      </w:pPr>
      <w:r>
        <w:rPr>
          <w:rFonts w:hint="eastAsia" w:hAnsi="宋体" w:eastAsia="宋体" w:cs="宋体"/>
          <w:b/>
          <w:sz w:val="24"/>
          <w:szCs w:val="24"/>
          <w:highlight w:val="none"/>
        </w:rPr>
        <w:t>类似业绩一览表</w:t>
      </w:r>
    </w:p>
    <w:tbl>
      <w:tblPr>
        <w:tblStyle w:val="63"/>
        <w:tblW w:w="10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43"/>
        <w:gridCol w:w="2565"/>
        <w:gridCol w:w="1311"/>
        <w:gridCol w:w="131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序号</w:t>
            </w:r>
          </w:p>
        </w:tc>
        <w:tc>
          <w:tcPr>
            <w:tcW w:w="2943" w:type="dxa"/>
            <w:vAlign w:val="center"/>
          </w:tcPr>
          <w:p>
            <w:pPr>
              <w:jc w:val="center"/>
              <w:rPr>
                <w:rFonts w:ascii="宋体" w:hAnsi="宋体"/>
                <w:bCs/>
                <w:szCs w:val="21"/>
                <w:highlight w:val="none"/>
              </w:rPr>
            </w:pPr>
            <w:r>
              <w:rPr>
                <w:rFonts w:hint="eastAsia" w:ascii="宋体" w:hAnsi="宋体"/>
                <w:bCs/>
                <w:szCs w:val="21"/>
                <w:highlight w:val="none"/>
              </w:rPr>
              <w:t>采购人名称</w:t>
            </w:r>
          </w:p>
        </w:tc>
        <w:tc>
          <w:tcPr>
            <w:tcW w:w="2565"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项目名称</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服务内容</w:t>
            </w:r>
          </w:p>
        </w:tc>
        <w:tc>
          <w:tcPr>
            <w:tcW w:w="1311" w:type="dxa"/>
            <w:vAlign w:val="center"/>
          </w:tcPr>
          <w:p>
            <w:pPr>
              <w:tabs>
                <w:tab w:val="left" w:pos="6252"/>
              </w:tabs>
              <w:jc w:val="center"/>
              <w:rPr>
                <w:rFonts w:ascii="宋体" w:hAnsi="宋体"/>
                <w:bCs/>
                <w:szCs w:val="21"/>
                <w:highlight w:val="none"/>
              </w:rPr>
            </w:pPr>
            <w:r>
              <w:rPr>
                <w:rFonts w:hint="eastAsia" w:ascii="宋体" w:hAnsi="宋体"/>
                <w:bCs/>
                <w:szCs w:val="21"/>
                <w:highlight w:val="none"/>
              </w:rPr>
              <w:t>服务期限</w:t>
            </w:r>
          </w:p>
        </w:tc>
        <w:tc>
          <w:tcPr>
            <w:tcW w:w="1298" w:type="dxa"/>
            <w:vAlign w:val="center"/>
          </w:tcPr>
          <w:p>
            <w:pPr>
              <w:tabs>
                <w:tab w:val="left" w:pos="6252"/>
              </w:tabs>
              <w:jc w:val="center"/>
              <w:rPr>
                <w:rFonts w:ascii="宋体" w:hAnsi="宋体"/>
                <w:bCs/>
                <w:szCs w:val="21"/>
                <w:highlight w:val="none"/>
              </w:rPr>
            </w:pPr>
            <w:r>
              <w:rPr>
                <w:rFonts w:hint="eastAsia"/>
                <w:bCs/>
                <w:highlight w:val="none"/>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1</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2</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3</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4</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bCs/>
                <w:szCs w:val="21"/>
                <w:highlight w:val="none"/>
              </w:rPr>
            </w:pPr>
            <w:r>
              <w:rPr>
                <w:rFonts w:hint="eastAsia" w:ascii="宋体" w:hAnsi="宋体"/>
                <w:bCs/>
                <w:szCs w:val="21"/>
                <w:highlight w:val="none"/>
              </w:rPr>
              <w:t>5</w:t>
            </w:r>
          </w:p>
        </w:tc>
        <w:tc>
          <w:tcPr>
            <w:tcW w:w="2943" w:type="dxa"/>
            <w:vAlign w:val="center"/>
          </w:tcPr>
          <w:p>
            <w:pPr>
              <w:jc w:val="center"/>
              <w:rPr>
                <w:rFonts w:ascii="宋体" w:hAnsi="宋体"/>
                <w:bCs/>
                <w:szCs w:val="21"/>
                <w:highlight w:val="none"/>
              </w:rPr>
            </w:pPr>
          </w:p>
        </w:tc>
        <w:tc>
          <w:tcPr>
            <w:tcW w:w="2565" w:type="dxa"/>
          </w:tcPr>
          <w:p>
            <w:pPr>
              <w:jc w:val="center"/>
              <w:rPr>
                <w:rFonts w:ascii="宋体" w:hAnsi="宋体"/>
                <w:bCs/>
                <w:szCs w:val="21"/>
                <w:highlight w:val="none"/>
              </w:rPr>
            </w:pPr>
          </w:p>
        </w:tc>
        <w:tc>
          <w:tcPr>
            <w:tcW w:w="1311" w:type="dxa"/>
          </w:tcPr>
          <w:p>
            <w:pPr>
              <w:jc w:val="center"/>
              <w:rPr>
                <w:rFonts w:ascii="宋体" w:hAnsi="宋体"/>
                <w:bCs/>
                <w:szCs w:val="21"/>
                <w:highlight w:val="none"/>
              </w:rPr>
            </w:pPr>
          </w:p>
        </w:tc>
        <w:tc>
          <w:tcPr>
            <w:tcW w:w="1311" w:type="dxa"/>
            <w:vAlign w:val="center"/>
          </w:tcPr>
          <w:p>
            <w:pPr>
              <w:jc w:val="center"/>
              <w:rPr>
                <w:rFonts w:ascii="宋体" w:hAnsi="宋体"/>
                <w:bCs/>
                <w:szCs w:val="21"/>
                <w:highlight w:val="none"/>
              </w:rPr>
            </w:pPr>
          </w:p>
        </w:tc>
        <w:tc>
          <w:tcPr>
            <w:tcW w:w="1298" w:type="dxa"/>
            <w:vAlign w:val="center"/>
          </w:tcPr>
          <w:p>
            <w:pPr>
              <w:jc w:val="center"/>
              <w:rPr>
                <w:rFonts w:ascii="宋体" w:hAnsi="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6</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631" w:type="dxa"/>
            <w:vAlign w:val="center"/>
          </w:tcPr>
          <w:p>
            <w:pPr>
              <w:jc w:val="center"/>
              <w:rPr>
                <w:rFonts w:ascii="宋体" w:hAnsi="宋体"/>
                <w:szCs w:val="21"/>
                <w:highlight w:val="none"/>
              </w:rPr>
            </w:pPr>
            <w:r>
              <w:rPr>
                <w:rFonts w:hint="eastAsia" w:ascii="宋体" w:hAnsi="宋体"/>
                <w:szCs w:val="21"/>
                <w:highlight w:val="none"/>
              </w:rPr>
              <w:t>…</w:t>
            </w:r>
          </w:p>
        </w:tc>
        <w:tc>
          <w:tcPr>
            <w:tcW w:w="2943" w:type="dxa"/>
            <w:vAlign w:val="center"/>
          </w:tcPr>
          <w:p>
            <w:pPr>
              <w:jc w:val="center"/>
              <w:rPr>
                <w:rFonts w:ascii="宋体" w:hAnsi="宋体"/>
                <w:szCs w:val="21"/>
                <w:highlight w:val="none"/>
              </w:rPr>
            </w:pPr>
          </w:p>
        </w:tc>
        <w:tc>
          <w:tcPr>
            <w:tcW w:w="2565" w:type="dxa"/>
          </w:tcPr>
          <w:p>
            <w:pPr>
              <w:jc w:val="center"/>
              <w:rPr>
                <w:rFonts w:ascii="宋体" w:hAnsi="宋体"/>
                <w:szCs w:val="21"/>
                <w:highlight w:val="none"/>
              </w:rPr>
            </w:pPr>
          </w:p>
        </w:tc>
        <w:tc>
          <w:tcPr>
            <w:tcW w:w="1311" w:type="dxa"/>
          </w:tcPr>
          <w:p>
            <w:pPr>
              <w:jc w:val="center"/>
              <w:rPr>
                <w:rFonts w:ascii="宋体" w:hAnsi="宋体"/>
                <w:szCs w:val="21"/>
                <w:highlight w:val="none"/>
              </w:rPr>
            </w:pPr>
          </w:p>
        </w:tc>
        <w:tc>
          <w:tcPr>
            <w:tcW w:w="1311" w:type="dxa"/>
            <w:vAlign w:val="center"/>
          </w:tcPr>
          <w:p>
            <w:pPr>
              <w:jc w:val="center"/>
              <w:rPr>
                <w:rFonts w:ascii="宋体" w:hAnsi="宋体"/>
                <w:szCs w:val="21"/>
                <w:highlight w:val="none"/>
              </w:rPr>
            </w:pPr>
          </w:p>
        </w:tc>
        <w:tc>
          <w:tcPr>
            <w:tcW w:w="1298" w:type="dxa"/>
            <w:vAlign w:val="center"/>
          </w:tcPr>
          <w:p>
            <w:pPr>
              <w:jc w:val="center"/>
              <w:rPr>
                <w:rFonts w:ascii="宋体" w:hAnsi="宋体"/>
                <w:szCs w:val="21"/>
                <w:highlight w:val="none"/>
              </w:rPr>
            </w:pPr>
          </w:p>
        </w:tc>
      </w:tr>
    </w:tbl>
    <w:p>
      <w:pPr>
        <w:pStyle w:val="966"/>
        <w:spacing w:line="360" w:lineRule="auto"/>
        <w:rPr>
          <w:rFonts w:hAnsi="宋体" w:eastAsia="宋体"/>
          <w:b/>
          <w:sz w:val="21"/>
          <w:szCs w:val="21"/>
          <w:highlight w:val="none"/>
        </w:rPr>
      </w:pPr>
      <w:r>
        <w:rPr>
          <w:rFonts w:hint="eastAsia" w:hAnsi="宋体" w:eastAsia="宋体"/>
          <w:b/>
          <w:sz w:val="21"/>
          <w:szCs w:val="21"/>
          <w:highlight w:val="none"/>
        </w:rPr>
        <w:t>注：投标人同类项目得分以本表为准，后附相关证明材料，所需的证明材料要求详见评标办法。</w:t>
      </w:r>
    </w:p>
    <w:p>
      <w:pPr>
        <w:pStyle w:val="966"/>
        <w:spacing w:line="360" w:lineRule="auto"/>
        <w:rPr>
          <w:rFonts w:hAnsi="宋体" w:eastAsia="宋体"/>
          <w:b/>
          <w:sz w:val="24"/>
          <w:szCs w:val="24"/>
          <w:highlight w:val="none"/>
        </w:rPr>
      </w:pPr>
    </w:p>
    <w:p>
      <w:pPr>
        <w:pStyle w:val="966"/>
        <w:spacing w:line="360" w:lineRule="auto"/>
        <w:rPr>
          <w:rFonts w:hAnsi="宋体" w:eastAsia="宋体"/>
          <w:b/>
          <w:sz w:val="24"/>
          <w:szCs w:val="24"/>
          <w:highlight w:val="none"/>
        </w:rPr>
      </w:pPr>
    </w:p>
    <w:p>
      <w:pPr>
        <w:snapToGrid w:val="0"/>
        <w:spacing w:before="120" w:beforeLines="50" w:line="400" w:lineRule="exact"/>
        <w:rPr>
          <w:rFonts w:ascii="宋体" w:hAnsi="宋体" w:cs="宋体"/>
          <w:sz w:val="24"/>
          <w:szCs w:val="20"/>
          <w:highlight w:val="none"/>
          <w:u w:val="single"/>
        </w:rPr>
      </w:pPr>
      <w:r>
        <w:rPr>
          <w:rFonts w:hint="eastAsia" w:ascii="宋体" w:hAnsi="宋体" w:cs="宋体"/>
          <w:sz w:val="24"/>
          <w:highlight w:val="none"/>
        </w:rPr>
        <w:t>法定代表人或被授权人签字（或盖章）：</w:t>
      </w:r>
      <w:r>
        <w:rPr>
          <w:rFonts w:hint="eastAsia" w:ascii="宋体" w:hAnsi="宋体" w:cs="宋体"/>
          <w:sz w:val="24"/>
          <w:highlight w:val="none"/>
          <w:u w:val="single"/>
        </w:rPr>
        <w:t xml:space="preserve">             </w:t>
      </w:r>
    </w:p>
    <w:p>
      <w:pPr>
        <w:snapToGrid w:val="0"/>
        <w:spacing w:before="120" w:beforeLines="50" w:after="50" w:line="400" w:lineRule="exact"/>
        <w:rPr>
          <w:rFonts w:ascii="宋体" w:hAnsi="宋体" w:cs="宋体"/>
          <w:sz w:val="24"/>
          <w:highlight w:val="none"/>
        </w:rPr>
      </w:pPr>
      <w:r>
        <w:rPr>
          <w:rFonts w:hint="eastAsia" w:ascii="宋体" w:hAnsi="宋体" w:cs="宋体"/>
          <w:sz w:val="24"/>
          <w:highlight w:val="none"/>
        </w:rPr>
        <w:t>投标人名称（加盖公章）：</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pacing w:line="480" w:lineRule="exact"/>
        <w:rPr>
          <w:rFonts w:ascii="宋体" w:hAnsi="宋体"/>
          <w:b/>
          <w:color w:val="000000"/>
          <w:sz w:val="22"/>
          <w:szCs w:val="22"/>
          <w:highlight w:val="none"/>
        </w:rPr>
      </w:pPr>
      <w:r>
        <w:rPr>
          <w:rFonts w:hint="eastAsia" w:ascii="宋体" w:hAnsi="宋体" w:cs="宋体"/>
          <w:sz w:val="24"/>
          <w:highlight w:val="none"/>
        </w:rPr>
        <w:t>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spacing w:line="360" w:lineRule="auto"/>
        <w:rPr>
          <w:rFonts w:ascii="宋体" w:hAnsi="宋体" w:cs="宋体"/>
          <w:sz w:val="24"/>
          <w:highlight w:val="none"/>
        </w:rPr>
      </w:pPr>
    </w:p>
    <w:p>
      <w:pPr>
        <w:pStyle w:val="5"/>
        <w:rPr>
          <w:rFonts w:ascii="宋体" w:hAnsi="宋体" w:cs="宋体"/>
          <w:sz w:val="24"/>
          <w:highlight w:val="none"/>
        </w:rPr>
      </w:pPr>
    </w:p>
    <w:p>
      <w:pPr>
        <w:rPr>
          <w:highlight w:val="none"/>
        </w:rPr>
      </w:pPr>
    </w:p>
    <w:p>
      <w:pPr>
        <w:pStyle w:val="83"/>
        <w:ind w:left="420" w:firstLine="480"/>
        <w:rPr>
          <w:highlight w:val="none"/>
        </w:rPr>
      </w:pPr>
    </w:p>
    <w:p>
      <w:pPr>
        <w:pStyle w:val="966"/>
        <w:spacing w:line="360" w:lineRule="auto"/>
        <w:jc w:val="center"/>
        <w:rPr>
          <w:rFonts w:hAnsi="宋体" w:eastAsia="宋体"/>
          <w:b/>
          <w:sz w:val="28"/>
          <w:szCs w:val="28"/>
          <w:highlight w:val="none"/>
        </w:rPr>
      </w:pPr>
    </w:p>
    <w:p>
      <w:pPr>
        <w:pStyle w:val="34"/>
        <w:spacing w:before="120" w:after="120" w:line="360" w:lineRule="auto"/>
        <w:jc w:val="center"/>
        <w:textAlignment w:val="baseline"/>
        <w:rPr>
          <w:rFonts w:hAnsi="宋体"/>
          <w:b/>
          <w:sz w:val="28"/>
          <w:szCs w:val="28"/>
          <w:highlight w:val="none"/>
        </w:rPr>
      </w:pPr>
    </w:p>
    <w:p>
      <w:pPr>
        <w:pStyle w:val="34"/>
        <w:spacing w:before="120" w:after="120" w:line="360" w:lineRule="auto"/>
        <w:jc w:val="center"/>
        <w:textAlignment w:val="baseline"/>
        <w:rPr>
          <w:rFonts w:hAnsi="宋体"/>
          <w:sz w:val="28"/>
          <w:szCs w:val="28"/>
          <w:highlight w:val="none"/>
        </w:rPr>
      </w:pPr>
      <w:r>
        <w:rPr>
          <w:rFonts w:hint="eastAsia" w:hAnsi="宋体"/>
          <w:b/>
          <w:sz w:val="28"/>
          <w:szCs w:val="28"/>
          <w:highlight w:val="none"/>
        </w:rPr>
        <w:t>项目实施人员表</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7"/>
        <w:gridCol w:w="1016"/>
        <w:gridCol w:w="1625"/>
        <w:gridCol w:w="1800"/>
        <w:gridCol w:w="1787"/>
        <w:gridCol w:w="23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序号</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姓名</w:t>
            </w: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年龄</w:t>
            </w: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学历及专业</w:t>
            </w: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证书</w:t>
            </w:r>
          </w:p>
        </w:tc>
        <w:tc>
          <w:tcPr>
            <w:tcW w:w="23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项目组所任职务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1</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2</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3</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4</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r>
              <w:rPr>
                <w:rFonts w:hint="eastAsia" w:ascii="宋体" w:hAnsi="宋体"/>
                <w:sz w:val="21"/>
                <w:szCs w:val="21"/>
                <w:highlight w:val="none"/>
              </w:rPr>
              <w:t>5</w:t>
            </w:r>
          </w:p>
        </w:tc>
        <w:tc>
          <w:tcPr>
            <w:tcW w:w="1016"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pStyle w:val="40"/>
              <w:jc w:val="center"/>
              <w:rPr>
                <w:rFonts w:ascii="宋体" w:hAnsi="宋体"/>
                <w:sz w:val="21"/>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pStyle w:val="40"/>
              <w:jc w:val="center"/>
              <w:rPr>
                <w:rFonts w:ascii="宋体" w:hAnsi="宋体"/>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4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w:t>
            </w:r>
          </w:p>
        </w:tc>
        <w:tc>
          <w:tcPr>
            <w:tcW w:w="10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p>
        </w:tc>
        <w:tc>
          <w:tcPr>
            <w:tcW w:w="2325" w:type="dxa"/>
            <w:tcBorders>
              <w:top w:val="single" w:color="auto" w:sz="4" w:space="0"/>
              <w:left w:val="single" w:color="auto" w:sz="4" w:space="0"/>
              <w:bottom w:val="single" w:color="auto" w:sz="4" w:space="0"/>
              <w:right w:val="single" w:color="auto" w:sz="4" w:space="0"/>
            </w:tcBorders>
          </w:tcPr>
          <w:p>
            <w:pPr>
              <w:rPr>
                <w:rFonts w:ascii="宋体" w:hAnsi="宋体"/>
                <w:szCs w:val="21"/>
                <w:highlight w:val="none"/>
              </w:rPr>
            </w:pPr>
          </w:p>
        </w:tc>
      </w:tr>
    </w:tbl>
    <w:p>
      <w:pPr>
        <w:spacing w:line="360" w:lineRule="auto"/>
        <w:ind w:firstLine="422" w:firstLineChars="200"/>
        <w:rPr>
          <w:rFonts w:ascii="宋体" w:hAnsi="宋体"/>
          <w:b/>
          <w:szCs w:val="21"/>
          <w:highlight w:val="none"/>
        </w:rPr>
      </w:pPr>
    </w:p>
    <w:p>
      <w:pPr>
        <w:spacing w:line="360" w:lineRule="auto"/>
        <w:ind w:firstLine="422" w:firstLineChars="200"/>
        <w:rPr>
          <w:rFonts w:ascii="宋体" w:hAnsi="宋体"/>
          <w:b/>
          <w:szCs w:val="21"/>
          <w:highlight w:val="none"/>
        </w:rPr>
      </w:pPr>
      <w:r>
        <w:rPr>
          <w:rFonts w:hint="eastAsia" w:ascii="宋体" w:hAnsi="宋体"/>
          <w:b/>
          <w:szCs w:val="21"/>
          <w:highlight w:val="none"/>
        </w:rPr>
        <w:t>注：1、相关证明材料附后，所需的证明材料要求详见评标办法。</w:t>
      </w:r>
    </w:p>
    <w:p>
      <w:pPr>
        <w:spacing w:line="360" w:lineRule="auto"/>
        <w:ind w:firstLine="422" w:firstLineChars="200"/>
        <w:rPr>
          <w:rFonts w:ascii="宋体" w:hAnsi="宋体"/>
          <w:b/>
          <w:szCs w:val="21"/>
          <w:highlight w:val="none"/>
        </w:rPr>
      </w:pPr>
      <w:r>
        <w:rPr>
          <w:rFonts w:hint="eastAsia" w:ascii="宋体" w:hAnsi="宋体"/>
          <w:b/>
          <w:szCs w:val="21"/>
          <w:highlight w:val="none"/>
        </w:rPr>
        <w:t>2、表格不够填写可添加。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83"/>
        <w:ind w:left="0" w:leftChars="0" w:firstLine="0" w:firstLineChars="0"/>
        <w:rPr>
          <w:rFonts w:hAnsi="宋体"/>
          <w:highlight w:val="none"/>
        </w:rPr>
      </w:pPr>
      <w:r>
        <w:rPr>
          <w:rFonts w:hint="eastAsia" w:ascii="宋体" w:hAnsi="宋体" w:cs="宋体"/>
          <w:highlight w:val="none"/>
        </w:rPr>
        <w:t>投标人名称（加盖公章）</w:t>
      </w:r>
      <w:r>
        <w:rPr>
          <w:rFonts w:hint="eastAsia" w:hAnsi="宋体"/>
          <w:highlight w:val="none"/>
          <w:u w:val="single"/>
        </w:rPr>
        <w:t>：</w:t>
      </w:r>
      <w:r>
        <w:rPr>
          <w:rFonts w:hAnsi="宋体"/>
          <w:highlight w:val="none"/>
          <w:u w:val="single"/>
        </w:rPr>
        <w:t xml:space="preserve">                  </w:t>
      </w:r>
      <w:r>
        <w:rPr>
          <w:rFonts w:hAnsi="宋体"/>
          <w:highlight w:val="none"/>
        </w:rPr>
        <w:t xml:space="preserve">        </w:t>
      </w:r>
      <w:r>
        <w:rPr>
          <w:rFonts w:hint="eastAsia" w:hAnsi="宋体"/>
          <w:highlight w:val="none"/>
        </w:rPr>
        <w:t xml:space="preserve">    </w:t>
      </w:r>
    </w:p>
    <w:p>
      <w:pPr>
        <w:pStyle w:val="83"/>
        <w:ind w:left="0" w:leftChars="0" w:firstLine="0" w:firstLineChars="0"/>
        <w:rPr>
          <w:rFonts w:ascii="宋体" w:hAnsi="宋体"/>
          <w:b/>
          <w:sz w:val="28"/>
          <w:szCs w:val="28"/>
          <w:highlight w:val="none"/>
        </w:rPr>
      </w:pPr>
      <w:r>
        <w:rPr>
          <w:rFonts w:hint="eastAsia" w:hAnsi="宋体" w:cs="宋体"/>
          <w:highlight w:val="none"/>
        </w:rPr>
        <w:t>日期：_____年____月____日</w:t>
      </w:r>
    </w:p>
    <w:p>
      <w:pPr>
        <w:pStyle w:val="83"/>
        <w:ind w:left="420" w:firstLine="0" w:firstLineChars="0"/>
        <w:rPr>
          <w:rFonts w:ascii="宋体" w:hAnsi="宋体"/>
          <w:b/>
          <w:sz w:val="28"/>
          <w:szCs w:val="28"/>
          <w:highlight w:val="none"/>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widowControl/>
        <w:jc w:val="center"/>
        <w:rPr>
          <w:rFonts w:ascii="宋体" w:hAnsi="宋体" w:cs="宋体"/>
          <w:b/>
          <w:color w:val="000000"/>
          <w:kern w:val="0"/>
          <w:sz w:val="24"/>
          <w:highlight w:val="none"/>
          <w:lang w:bidi="ar"/>
        </w:rPr>
      </w:pPr>
    </w:p>
    <w:p>
      <w:pPr>
        <w:spacing w:line="360" w:lineRule="auto"/>
        <w:rPr>
          <w:b/>
          <w:sz w:val="24"/>
          <w:highlight w:val="none"/>
        </w:rPr>
      </w:pPr>
    </w:p>
    <w:p>
      <w:pPr>
        <w:pStyle w:val="966"/>
        <w:spacing w:line="360" w:lineRule="auto"/>
        <w:rPr>
          <w:rFonts w:hAnsi="宋体" w:eastAsia="宋体"/>
          <w:b/>
          <w:sz w:val="24"/>
          <w:szCs w:val="24"/>
          <w:highlight w:val="none"/>
        </w:rPr>
      </w:pPr>
    </w:p>
    <w:p>
      <w:pPr>
        <w:pStyle w:val="974"/>
        <w:spacing w:line="276" w:lineRule="auto"/>
        <w:jc w:val="center"/>
        <w:rPr>
          <w:rFonts w:hAnsi="宋体" w:eastAsia="宋体" w:cs="宋体"/>
          <w:b/>
          <w:sz w:val="28"/>
          <w:szCs w:val="28"/>
          <w:highlight w:val="none"/>
        </w:rPr>
      </w:pPr>
    </w:p>
    <w:p>
      <w:pPr>
        <w:pStyle w:val="974"/>
        <w:spacing w:line="276" w:lineRule="auto"/>
        <w:jc w:val="center"/>
        <w:rPr>
          <w:rFonts w:hAnsi="宋体" w:eastAsia="宋体" w:cs="宋体"/>
          <w:b/>
          <w:sz w:val="28"/>
          <w:szCs w:val="28"/>
          <w:highlight w:val="none"/>
        </w:rPr>
      </w:pPr>
      <w:r>
        <w:rPr>
          <w:rFonts w:hint="eastAsia" w:hAnsi="宋体" w:eastAsia="宋体" w:cs="宋体"/>
          <w:b/>
          <w:sz w:val="28"/>
          <w:szCs w:val="28"/>
          <w:highlight w:val="none"/>
        </w:rPr>
        <w:t>商务响应（偏离）表</w:t>
      </w:r>
    </w:p>
    <w:tbl>
      <w:tblPr>
        <w:tblStyle w:val="63"/>
        <w:tblpPr w:leftFromText="180" w:rightFromText="180" w:vertAnchor="text" w:horzAnchor="page" w:tblpX="1587" w:tblpY="32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0"/>
        <w:gridCol w:w="3086"/>
        <w:gridCol w:w="3086"/>
        <w:gridCol w:w="21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6" w:hRule="atLeast"/>
        </w:trPr>
        <w:tc>
          <w:tcPr>
            <w:tcW w:w="910" w:type="dxa"/>
            <w:tcBorders>
              <w:tl2br w:val="nil"/>
              <w:tr2bl w:val="nil"/>
            </w:tcBorders>
          </w:tcPr>
          <w:p>
            <w:pPr>
              <w:spacing w:before="240" w:after="240"/>
              <w:rPr>
                <w:rFonts w:ascii="宋体" w:hAnsi="宋体" w:cs="宋体"/>
                <w:b/>
                <w:bCs/>
                <w:sz w:val="24"/>
                <w:highlight w:val="none"/>
              </w:rPr>
            </w:pPr>
            <w:r>
              <w:rPr>
                <w:rFonts w:hint="eastAsia" w:ascii="宋体" w:hAnsi="宋体" w:cs="宋体"/>
                <w:b/>
                <w:bCs/>
                <w:sz w:val="24"/>
                <w:highlight w:val="none"/>
              </w:rPr>
              <w:t>序号</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采购文件的规定</w:t>
            </w:r>
          </w:p>
        </w:tc>
        <w:tc>
          <w:tcPr>
            <w:tcW w:w="3086"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投标文件的响应</w:t>
            </w:r>
          </w:p>
        </w:tc>
        <w:tc>
          <w:tcPr>
            <w:tcW w:w="2107" w:type="dxa"/>
            <w:tcBorders>
              <w:tl2br w:val="nil"/>
              <w:tr2bl w:val="nil"/>
            </w:tcBorders>
          </w:tcPr>
          <w:p>
            <w:pPr>
              <w:spacing w:before="240" w:after="240"/>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1</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0" w:hRule="atLeast"/>
        </w:trPr>
        <w:tc>
          <w:tcPr>
            <w:tcW w:w="910" w:type="dxa"/>
            <w:tcBorders>
              <w:tl2br w:val="nil"/>
              <w:tr2bl w:val="nil"/>
            </w:tcBorders>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2</w:t>
            </w:r>
          </w:p>
        </w:tc>
        <w:tc>
          <w:tcPr>
            <w:tcW w:w="3086" w:type="dxa"/>
            <w:tcBorders>
              <w:tl2br w:val="nil"/>
              <w:tr2bl w:val="nil"/>
            </w:tcBorders>
            <w:vAlign w:val="center"/>
          </w:tcPr>
          <w:p>
            <w:pPr>
              <w:spacing w:before="120" w:beforeLines="50" w:after="120" w:afterLines="50" w:line="300" w:lineRule="auto"/>
              <w:jc w:val="center"/>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3086" w:type="dxa"/>
            <w:tcBorders>
              <w:tl2br w:val="nil"/>
              <w:tr2bl w:val="nil"/>
            </w:tcBorders>
          </w:tcPr>
          <w:p>
            <w:pPr>
              <w:spacing w:before="120" w:beforeLines="50" w:after="120" w:afterLines="50" w:line="276" w:lineRule="auto"/>
              <w:ind w:firstLine="480"/>
              <w:rPr>
                <w:rFonts w:ascii="宋体" w:hAnsi="宋体" w:cs="宋体"/>
                <w:sz w:val="24"/>
                <w:highlight w:val="none"/>
              </w:rPr>
            </w:pPr>
          </w:p>
        </w:tc>
        <w:tc>
          <w:tcPr>
            <w:tcW w:w="2107" w:type="dxa"/>
            <w:tcBorders>
              <w:tl2br w:val="nil"/>
              <w:tr2bl w:val="nil"/>
            </w:tcBorders>
          </w:tcPr>
          <w:p>
            <w:pPr>
              <w:spacing w:before="120" w:beforeLines="50" w:after="120" w:afterLines="50" w:line="276" w:lineRule="auto"/>
              <w:ind w:firstLine="480"/>
              <w:rPr>
                <w:rFonts w:ascii="宋体" w:hAnsi="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910" w:type="dxa"/>
            <w:tcBorders>
              <w:tl2br w:val="nil"/>
              <w:tr2bl w:val="nil"/>
            </w:tcBorders>
            <w:vAlign w:val="center"/>
          </w:tcPr>
          <w:p>
            <w:pPr>
              <w:spacing w:before="120" w:beforeLines="50" w:after="120" w:afterLines="50" w:line="276" w:lineRule="auto"/>
              <w:jc w:val="center"/>
              <w:rPr>
                <w:rFonts w:ascii="宋体" w:hAnsi="宋体" w:cs="宋体"/>
                <w:sz w:val="24"/>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3086"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c>
          <w:tcPr>
            <w:tcW w:w="2107" w:type="dxa"/>
            <w:tcBorders>
              <w:tl2br w:val="nil"/>
              <w:tr2bl w:val="nil"/>
            </w:tcBorders>
            <w:vAlign w:val="center"/>
          </w:tcPr>
          <w:p>
            <w:pPr>
              <w:spacing w:before="120" w:beforeLines="50" w:after="120" w:afterLines="50"/>
              <w:jc w:val="center"/>
              <w:rPr>
                <w:rFonts w:ascii="宋体" w:hAnsi="宋体" w:cs="宋体"/>
                <w:highlight w:val="none"/>
              </w:rPr>
            </w:pPr>
            <w:r>
              <w:rPr>
                <w:rFonts w:hint="eastAsia" w:ascii="宋体" w:hAnsi="宋体" w:cs="宋体"/>
                <w:sz w:val="24"/>
                <w:highlight w:val="none"/>
              </w:rPr>
              <w:t>…</w:t>
            </w:r>
          </w:p>
        </w:tc>
      </w:tr>
    </w:tbl>
    <w:p>
      <w:pPr>
        <w:spacing w:line="360" w:lineRule="auto"/>
        <w:ind w:firstLine="482"/>
        <w:rPr>
          <w:rFonts w:ascii="宋体" w:hAnsi="宋体" w:cs="宋体"/>
          <w:b/>
          <w:sz w:val="24"/>
          <w:highlight w:val="none"/>
        </w:rPr>
      </w:pPr>
      <w:r>
        <w:rPr>
          <w:rFonts w:hint="eastAsia" w:ascii="宋体" w:hAnsi="宋体" w:cs="宋体"/>
          <w:b/>
          <w:sz w:val="24"/>
          <w:highlight w:val="none"/>
        </w:rPr>
        <w:t>注：1、供应商的响应文件（除技术规格部分）与采购文件之规定存在偏离的，应在此表中如实说明。未在上表中说明的，将被认为完全响应采购文件的规定。</w:t>
      </w:r>
    </w:p>
    <w:p>
      <w:pPr>
        <w:numPr>
          <w:ilvl w:val="0"/>
          <w:numId w:val="6"/>
        </w:numPr>
        <w:snapToGrid w:val="0"/>
        <w:spacing w:before="120" w:beforeLines="50" w:after="50" w:line="360" w:lineRule="auto"/>
        <w:rPr>
          <w:rFonts w:ascii="宋体" w:hAnsi="宋体" w:cs="宋体"/>
          <w:b/>
          <w:sz w:val="24"/>
          <w:highlight w:val="none"/>
        </w:rPr>
      </w:pPr>
      <w:r>
        <w:rPr>
          <w:rFonts w:hint="eastAsia" w:ascii="宋体" w:hAnsi="宋体" w:cs="宋体"/>
          <w:b/>
          <w:sz w:val="24"/>
          <w:highlight w:val="none"/>
        </w:rPr>
        <w:t>上表中行数不够可自行添加</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74"/>
        <w:spacing w:line="360" w:lineRule="auto"/>
        <w:ind w:right="480"/>
        <w:rPr>
          <w:rFonts w:hAnsi="宋体" w:eastAsia="宋体"/>
          <w:sz w:val="24"/>
          <w:szCs w:val="24"/>
          <w:highlight w:val="none"/>
        </w:rPr>
      </w:pPr>
      <w:r>
        <w:rPr>
          <w:rFonts w:hint="eastAsia" w:hAnsi="宋体" w:eastAsia="宋体"/>
          <w:sz w:val="24"/>
          <w:szCs w:val="24"/>
          <w:highlight w:val="none"/>
        </w:rPr>
        <w:t>投标人名称(公章)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snapToGrid w:val="0"/>
        <w:spacing w:before="120" w:beforeLines="50" w:after="50"/>
        <w:jc w:val="left"/>
        <w:rPr>
          <w:rFonts w:ascii="宋体" w:hAnsi="宋体" w:cs="宋体"/>
          <w:b/>
          <w:sz w:val="32"/>
          <w:szCs w:val="32"/>
          <w:highlight w:val="none"/>
        </w:rPr>
      </w:pPr>
      <w:r>
        <w:rPr>
          <w:rFonts w:hint="eastAsia" w:ascii="宋体" w:hAnsi="宋体"/>
          <w:sz w:val="24"/>
          <w:highlight w:val="none"/>
        </w:rPr>
        <w:t>日期：_____年____月____日</w:t>
      </w:r>
    </w:p>
    <w:p>
      <w:pPr>
        <w:pStyle w:val="966"/>
        <w:spacing w:line="360" w:lineRule="auto"/>
        <w:ind w:right="480"/>
        <w:rPr>
          <w:rFonts w:hAnsi="宋体" w:eastAsia="宋体" w:cs="宋体"/>
          <w:sz w:val="24"/>
          <w:szCs w:val="24"/>
          <w:highlight w:val="none"/>
        </w:rPr>
      </w:pPr>
    </w:p>
    <w:p>
      <w:pPr>
        <w:pStyle w:val="966"/>
        <w:spacing w:line="360" w:lineRule="auto"/>
        <w:ind w:right="480"/>
        <w:rPr>
          <w:rFonts w:hAnsi="宋体" w:eastAsia="宋体" w:cs="宋体"/>
          <w:sz w:val="24"/>
          <w:szCs w:val="24"/>
          <w:highlight w:val="none"/>
        </w:rPr>
      </w:pPr>
    </w:p>
    <w:p>
      <w:pPr>
        <w:pStyle w:val="966"/>
        <w:spacing w:line="360" w:lineRule="auto"/>
        <w:ind w:right="480"/>
        <w:rPr>
          <w:rFonts w:hAnsi="宋体" w:eastAsia="宋体" w:cs="宋体"/>
          <w:sz w:val="24"/>
          <w:szCs w:val="24"/>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p>
    <w:p>
      <w:pPr>
        <w:snapToGrid w:val="0"/>
        <w:spacing w:before="120" w:beforeLines="50" w:after="50"/>
        <w:jc w:val="center"/>
        <w:rPr>
          <w:rFonts w:ascii="宋体" w:hAnsi="宋体" w:cs="宋体"/>
          <w:b/>
          <w:sz w:val="32"/>
          <w:szCs w:val="32"/>
          <w:highlight w:val="none"/>
        </w:rPr>
      </w:pPr>
      <w:r>
        <w:rPr>
          <w:rFonts w:hint="eastAsia" w:ascii="宋体" w:hAnsi="宋体" w:cs="宋体"/>
          <w:b/>
          <w:sz w:val="32"/>
          <w:szCs w:val="32"/>
          <w:highlight w:val="none"/>
        </w:rPr>
        <w:t>投标函</w:t>
      </w:r>
    </w:p>
    <w:p>
      <w:pPr>
        <w:snapToGrid w:val="0"/>
        <w:spacing w:line="360" w:lineRule="auto"/>
        <w:rPr>
          <w:rFonts w:ascii="宋体" w:hAnsi="宋体" w:cs="宋体"/>
          <w:sz w:val="24"/>
          <w:szCs w:val="20"/>
          <w:highlight w:val="none"/>
        </w:rPr>
      </w:pPr>
      <w:r>
        <w:rPr>
          <w:rFonts w:hint="eastAsia" w:ascii="宋体" w:hAnsi="宋体" w:cs="宋体"/>
          <w:sz w:val="24"/>
          <w:highlight w:val="none"/>
        </w:rPr>
        <w:t>致</w:t>
      </w:r>
      <w:r>
        <w:rPr>
          <w:rFonts w:hint="eastAsia" w:ascii="宋体" w:hAnsi="宋体" w:cs="宋体"/>
          <w:sz w:val="24"/>
          <w:highlight w:val="none"/>
          <w:u w:val="single"/>
        </w:rPr>
        <w:t xml:space="preserve">               </w:t>
      </w:r>
      <w:r>
        <w:rPr>
          <w:rFonts w:hint="eastAsia" w:ascii="宋体" w:hAnsi="宋体" w:cs="宋体"/>
          <w:sz w:val="24"/>
          <w:highlight w:val="none"/>
        </w:rPr>
        <w:t xml:space="preserve">（采购人）：  </w:t>
      </w:r>
    </w:p>
    <w:p>
      <w:pPr>
        <w:snapToGrid w:val="0"/>
        <w:spacing w:before="120" w:beforeLines="50" w:after="50" w:line="360" w:lineRule="auto"/>
        <w:ind w:firstLine="480" w:firstLineChars="200"/>
        <w:rPr>
          <w:rFonts w:ascii="宋体" w:hAnsi="宋体" w:cs="宋体"/>
          <w:bCs/>
          <w:sz w:val="24"/>
          <w:szCs w:val="20"/>
          <w:highlight w:val="none"/>
        </w:rPr>
      </w:pPr>
      <w:r>
        <w:rPr>
          <w:rFonts w:hint="eastAsia" w:ascii="宋体" w:hAnsi="宋体" w:cs="宋体"/>
          <w:sz w:val="24"/>
          <w:highlight w:val="none"/>
        </w:rPr>
        <w:t>根据贵方为</w:t>
      </w:r>
      <w:r>
        <w:rPr>
          <w:rFonts w:hint="eastAsia" w:ascii="宋体" w:hAnsi="宋体" w:cs="宋体"/>
          <w:bCs/>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rPr>
        <w:t>的招标公告（项目编号：</w:t>
      </w:r>
      <w:r>
        <w:rPr>
          <w:rFonts w:hint="eastAsia" w:ascii="宋体" w:hAnsi="宋体" w:cs="宋体"/>
          <w:sz w:val="24"/>
          <w:highlight w:val="none"/>
          <w:u w:val="single"/>
        </w:rPr>
        <w:t xml:space="preserve">               </w:t>
      </w:r>
      <w:r>
        <w:rPr>
          <w:rFonts w:hint="eastAsia" w:ascii="宋体" w:hAnsi="宋体" w:cs="宋体"/>
          <w:sz w:val="24"/>
          <w:highlight w:val="none"/>
        </w:rPr>
        <w:t>），签字代表</w:t>
      </w:r>
      <w:r>
        <w:rPr>
          <w:rFonts w:hint="eastAsia" w:ascii="宋体" w:hAnsi="宋体" w:cs="宋体"/>
          <w:sz w:val="24"/>
          <w:highlight w:val="none"/>
          <w:u w:val="single"/>
        </w:rPr>
        <w:t xml:space="preserve">               </w:t>
      </w:r>
      <w:r>
        <w:rPr>
          <w:rFonts w:hint="eastAsia" w:ascii="宋体" w:hAnsi="宋体" w:cs="宋体"/>
          <w:sz w:val="24"/>
          <w:highlight w:val="none"/>
        </w:rPr>
        <w:t>（全名）经正式授权并代表投标人_</w:t>
      </w:r>
      <w:r>
        <w:rPr>
          <w:rFonts w:hint="eastAsia" w:ascii="宋体" w:hAnsi="宋体" w:cs="宋体"/>
          <w:sz w:val="24"/>
          <w:highlight w:val="none"/>
          <w:u w:val="single"/>
        </w:rPr>
        <w:t xml:space="preserve">                      </w:t>
      </w:r>
      <w:r>
        <w:rPr>
          <w:rFonts w:hint="eastAsia" w:ascii="宋体" w:hAnsi="宋体" w:cs="宋体"/>
          <w:sz w:val="24"/>
          <w:highlight w:val="none"/>
        </w:rPr>
        <w:t>（投标人名称）提交电子版投标文件（资格响应文件、商务技术响应文件、报价响应文件）。</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据此函，签字代表宣布同意如下：</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3.本投标有效期自开标日起 ______个日。</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5.投标人同意按照贵方要求提供与投标有关的一切数据或资料。</w:t>
      </w:r>
    </w:p>
    <w:p>
      <w:pPr>
        <w:snapToGrid w:val="0"/>
        <w:spacing w:line="360" w:lineRule="auto"/>
        <w:ind w:firstLine="480" w:firstLineChars="200"/>
        <w:rPr>
          <w:rFonts w:ascii="宋体" w:hAnsi="宋体" w:cs="宋体"/>
          <w:sz w:val="24"/>
          <w:szCs w:val="20"/>
          <w:highlight w:val="none"/>
        </w:rPr>
      </w:pPr>
      <w:r>
        <w:rPr>
          <w:rFonts w:hint="eastAsia" w:ascii="宋体" w:hAnsi="宋体" w:cs="宋体"/>
          <w:sz w:val="24"/>
          <w:highlight w:val="none"/>
        </w:rPr>
        <w:t>6.与本投标有关的一切正式往来信函请寄：</w:t>
      </w:r>
    </w:p>
    <w:p>
      <w:pPr>
        <w:snapToGrid w:val="0"/>
        <w:spacing w:line="360" w:lineRule="auto"/>
        <w:rPr>
          <w:rFonts w:ascii="宋体" w:hAnsi="宋体" w:cs="宋体"/>
          <w:sz w:val="24"/>
          <w:szCs w:val="20"/>
          <w:highlight w:val="none"/>
        </w:rPr>
      </w:pPr>
      <w:r>
        <w:rPr>
          <w:rFonts w:hint="eastAsia" w:ascii="宋体" w:hAnsi="宋体" w:cs="宋体"/>
          <w:sz w:val="24"/>
          <w:highlight w:val="none"/>
        </w:rPr>
        <w:t>地址：</w:t>
      </w:r>
      <w:r>
        <w:rPr>
          <w:rFonts w:hint="eastAsia" w:ascii="宋体" w:hAnsi="宋体" w:cs="宋体"/>
          <w:sz w:val="24"/>
          <w:highlight w:val="none"/>
          <w:u w:val="single"/>
        </w:rPr>
        <w:t xml:space="preserve">                            </w:t>
      </w:r>
      <w:r>
        <w:rPr>
          <w:rFonts w:hint="eastAsia" w:ascii="宋体" w:hAnsi="宋体" w:cs="宋体"/>
          <w:sz w:val="24"/>
          <w:highlight w:val="none"/>
        </w:rPr>
        <w:t>邮编：__________  电话：_____________</w:t>
      </w:r>
    </w:p>
    <w:p>
      <w:pPr>
        <w:snapToGrid w:val="0"/>
        <w:spacing w:line="360" w:lineRule="auto"/>
        <w:rPr>
          <w:rFonts w:ascii="宋体" w:hAnsi="宋体" w:cs="宋体"/>
          <w:sz w:val="24"/>
          <w:highlight w:val="none"/>
          <w:u w:val="single"/>
        </w:rPr>
      </w:pPr>
      <w:r>
        <w:rPr>
          <w:rFonts w:hint="eastAsia" w:ascii="宋体" w:hAnsi="宋体" w:cs="宋体"/>
          <w:sz w:val="24"/>
          <w:highlight w:val="none"/>
        </w:rPr>
        <w:t>传真：______________投标人代表姓名：__________  职务：</w:t>
      </w:r>
      <w:r>
        <w:rPr>
          <w:rFonts w:hint="eastAsia" w:ascii="宋体" w:hAnsi="宋体" w:cs="宋体"/>
          <w:sz w:val="24"/>
          <w:highlight w:val="none"/>
          <w:u w:val="single"/>
        </w:rPr>
        <w:t xml:space="preserve">               </w:t>
      </w:r>
    </w:p>
    <w:p>
      <w:pPr>
        <w:snapToGrid w:val="0"/>
        <w:spacing w:line="360" w:lineRule="auto"/>
        <w:rPr>
          <w:rFonts w:ascii="宋体" w:hAnsi="宋体" w:cs="宋体"/>
          <w:sz w:val="24"/>
          <w:szCs w:val="20"/>
          <w:highlight w:val="none"/>
        </w:rPr>
      </w:pPr>
      <w:r>
        <w:rPr>
          <w:rFonts w:hint="eastAsia" w:ascii="宋体" w:hAnsi="宋体" w:cs="宋体"/>
          <w:sz w:val="24"/>
          <w:highlight w:val="none"/>
        </w:rPr>
        <w:t>投标人名称(公章):___________________</w:t>
      </w:r>
    </w:p>
    <w:p>
      <w:pPr>
        <w:snapToGrid w:val="0"/>
        <w:spacing w:line="360" w:lineRule="auto"/>
        <w:rPr>
          <w:rFonts w:ascii="宋体" w:hAnsi="宋体" w:cs="宋体"/>
          <w:sz w:val="24"/>
          <w:szCs w:val="20"/>
          <w:highlight w:val="none"/>
        </w:rPr>
      </w:pPr>
      <w:r>
        <w:rPr>
          <w:rFonts w:hint="eastAsia" w:ascii="宋体" w:hAnsi="宋体" w:cs="宋体"/>
          <w:sz w:val="24"/>
          <w:highlight w:val="none"/>
        </w:rPr>
        <w:t>开户银行：</w:t>
      </w:r>
      <w:r>
        <w:rPr>
          <w:rFonts w:hint="eastAsia" w:ascii="宋体" w:hAnsi="宋体" w:cs="宋体"/>
          <w:sz w:val="24"/>
          <w:highlight w:val="none"/>
          <w:u w:val="single"/>
        </w:rPr>
        <w:t xml:space="preserve">                      </w:t>
      </w:r>
      <w:r>
        <w:rPr>
          <w:rFonts w:hint="eastAsia" w:ascii="宋体" w:hAnsi="宋体" w:cs="宋体"/>
          <w:sz w:val="24"/>
          <w:highlight w:val="none"/>
        </w:rPr>
        <w:t xml:space="preserve">   银行帐号：</w:t>
      </w:r>
      <w:r>
        <w:rPr>
          <w:rFonts w:hint="eastAsia" w:ascii="宋体" w:hAnsi="宋体" w:cs="宋体"/>
          <w:sz w:val="24"/>
          <w:highlight w:val="none"/>
          <w:u w:val="single"/>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法定代表人或授权委托人（签名）：            投标人名称（加盖公章）：          </w:t>
      </w:r>
    </w:p>
    <w:p>
      <w:pPr>
        <w:snapToGrid w:val="0"/>
        <w:spacing w:line="360" w:lineRule="auto"/>
        <w:ind w:firstLine="5040" w:firstLineChars="2100"/>
        <w:rPr>
          <w:rFonts w:ascii="宋体" w:hAnsi="宋体" w:cs="宋体"/>
          <w:sz w:val="24"/>
          <w:highlight w:val="none"/>
        </w:rPr>
      </w:pPr>
    </w:p>
    <w:p>
      <w:pPr>
        <w:snapToGrid w:val="0"/>
        <w:spacing w:line="360" w:lineRule="auto"/>
        <w:ind w:firstLine="5040" w:firstLineChars="2100"/>
        <w:rPr>
          <w:rFonts w:ascii="宋体" w:hAnsi="宋体" w:cs="宋体"/>
          <w:sz w:val="24"/>
          <w:highlight w:val="none"/>
        </w:rPr>
      </w:pPr>
      <w:r>
        <w:rPr>
          <w:rFonts w:hint="eastAsia" w:ascii="宋体" w:hAnsi="宋体" w:cs="宋体"/>
          <w:sz w:val="24"/>
          <w:highlight w:val="none"/>
        </w:rPr>
        <w:t>日期:_____年___月___日</w:t>
      </w: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snapToGrid w:val="0"/>
        <w:spacing w:before="50" w:after="50"/>
        <w:rPr>
          <w:rFonts w:ascii="宋体" w:hAnsi="宋体" w:cs="宋体"/>
          <w:highlight w:val="none"/>
        </w:rPr>
      </w:pPr>
    </w:p>
    <w:p>
      <w:pPr>
        <w:pStyle w:val="2"/>
        <w:rPr>
          <w:rFonts w:hAnsi="宋体" w:cs="宋体"/>
          <w:highlight w:val="none"/>
        </w:rPr>
      </w:pPr>
    </w:p>
    <w:p>
      <w:pPr>
        <w:pStyle w:val="2"/>
        <w:rPr>
          <w:rFonts w:hAnsi="宋体" w:cs="宋体"/>
          <w:highlight w:val="none"/>
        </w:rPr>
      </w:pPr>
    </w:p>
    <w:bookmarkEnd w:id="35"/>
    <w:p>
      <w:pPr>
        <w:snapToGrid w:val="0"/>
        <w:spacing w:before="50" w:after="50"/>
        <w:jc w:val="center"/>
        <w:rPr>
          <w:rFonts w:ascii="宋体" w:hAnsi="宋体" w:cs="宋体"/>
          <w:b/>
          <w:sz w:val="24"/>
          <w:highlight w:val="none"/>
        </w:rPr>
      </w:pPr>
    </w:p>
    <w:p>
      <w:pPr>
        <w:snapToGrid w:val="0"/>
        <w:spacing w:before="50" w:after="50"/>
        <w:jc w:val="center"/>
        <w:rPr>
          <w:rFonts w:ascii="宋体" w:hAnsi="宋体" w:cs="宋体"/>
          <w:b/>
          <w:sz w:val="24"/>
          <w:highlight w:val="none"/>
        </w:rPr>
      </w:pPr>
    </w:p>
    <w:p>
      <w:pPr>
        <w:snapToGrid w:val="0"/>
        <w:spacing w:before="50" w:after="50"/>
        <w:jc w:val="center"/>
        <w:rPr>
          <w:rFonts w:ascii="宋体" w:hAnsi="宋体" w:cs="宋体"/>
          <w:b/>
          <w:sz w:val="24"/>
          <w:highlight w:val="none"/>
        </w:rPr>
      </w:pPr>
    </w:p>
    <w:p>
      <w:pPr>
        <w:snapToGrid w:val="0"/>
        <w:spacing w:before="50" w:after="50"/>
        <w:jc w:val="center"/>
        <w:rPr>
          <w:rFonts w:ascii="宋体" w:hAnsi="宋体" w:cs="宋体"/>
          <w:b/>
          <w:sz w:val="24"/>
          <w:highlight w:val="none"/>
        </w:rPr>
      </w:pPr>
      <w:r>
        <w:rPr>
          <w:rFonts w:hint="eastAsia" w:ascii="宋体" w:hAnsi="宋体" w:cs="宋体"/>
          <w:b/>
          <w:sz w:val="24"/>
          <w:highlight w:val="none"/>
        </w:rPr>
        <w:t>开标一览表</w:t>
      </w:r>
    </w:p>
    <w:p>
      <w:pPr>
        <w:snapToGrid w:val="0"/>
        <w:spacing w:before="50" w:after="50"/>
        <w:jc w:val="center"/>
        <w:rPr>
          <w:rFonts w:ascii="宋体" w:hAnsi="宋体" w:cs="宋体"/>
          <w:b/>
          <w:sz w:val="24"/>
          <w:szCs w:val="20"/>
          <w:highlight w:val="none"/>
        </w:rPr>
      </w:pPr>
    </w:p>
    <w:p>
      <w:pPr>
        <w:snapToGrid w:val="0"/>
        <w:spacing w:before="50" w:after="50"/>
        <w:ind w:right="480"/>
        <w:rPr>
          <w:rFonts w:ascii="宋体" w:hAnsi="宋体" w:cs="宋体"/>
          <w:sz w:val="24"/>
          <w:highlight w:val="none"/>
          <w:u w:val="single"/>
        </w:rPr>
      </w:pPr>
      <w:r>
        <w:rPr>
          <w:rFonts w:hint="eastAsia" w:ascii="宋体" w:hAnsi="宋体" w:cs="宋体"/>
          <w:sz w:val="24"/>
          <w:highlight w:val="none"/>
        </w:rPr>
        <w:t>项目编号：</w:t>
      </w:r>
      <w:r>
        <w:rPr>
          <w:rFonts w:hint="eastAsia" w:ascii="宋体" w:hAnsi="宋体" w:cs="宋体"/>
          <w:sz w:val="24"/>
          <w:highlight w:val="none"/>
          <w:u w:val="single"/>
        </w:rPr>
        <w:t xml:space="preserve">                    </w:t>
      </w:r>
      <w:r>
        <w:rPr>
          <w:rFonts w:hint="eastAsia" w:ascii="宋体" w:hAnsi="宋体" w:cs="宋体"/>
          <w:sz w:val="24"/>
          <w:highlight w:val="none"/>
        </w:rPr>
        <w:t xml:space="preserve">                      单位：</w:t>
      </w:r>
      <w:r>
        <w:rPr>
          <w:rFonts w:hint="eastAsia" w:ascii="宋体" w:hAnsi="宋体"/>
          <w:sz w:val="24"/>
          <w:highlight w:val="none"/>
        </w:rPr>
        <w:t>人民币</w:t>
      </w:r>
      <w:r>
        <w:rPr>
          <w:rFonts w:hint="eastAsia" w:ascii="宋体" w:hAnsi="宋体" w:cs="宋体"/>
          <w:sz w:val="24"/>
          <w:highlight w:val="none"/>
        </w:rPr>
        <w:t>元</w:t>
      </w:r>
    </w:p>
    <w:p>
      <w:pPr>
        <w:snapToGrid w:val="0"/>
        <w:spacing w:before="50" w:after="50"/>
        <w:ind w:right="480"/>
        <w:jc w:val="right"/>
        <w:rPr>
          <w:rFonts w:ascii="宋体" w:hAnsi="宋体" w:cs="宋体"/>
          <w:sz w:val="24"/>
          <w:highlight w:val="none"/>
        </w:rPr>
      </w:pPr>
      <w:r>
        <w:rPr>
          <w:rFonts w:hint="eastAsia" w:ascii="宋体" w:hAnsi="宋体" w:cs="宋体"/>
          <w:sz w:val="24"/>
          <w:highlight w:val="none"/>
        </w:rPr>
        <w:t xml:space="preserve">            </w:t>
      </w:r>
    </w:p>
    <w:tbl>
      <w:tblPr>
        <w:tblStyle w:val="6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6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2088"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rFonts w:eastAsia="仿宋_GB2312"/>
                <w:b/>
                <w:szCs w:val="21"/>
                <w:highlight w:val="none"/>
              </w:rPr>
            </w:pPr>
            <w:r>
              <w:rPr>
                <w:rFonts w:hint="eastAsia"/>
                <w:b/>
                <w:szCs w:val="21"/>
                <w:highlight w:val="none"/>
              </w:rPr>
              <w:t>项目名称</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b/>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atLeast"/>
        </w:trPr>
        <w:tc>
          <w:tcPr>
            <w:tcW w:w="2088"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r>
              <w:rPr>
                <w:rFonts w:hint="eastAsia"/>
                <w:b/>
                <w:szCs w:val="21"/>
                <w:highlight w:val="none"/>
              </w:rPr>
              <w:t xml:space="preserve">总报价 </w:t>
            </w: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4" w:hRule="atLeast"/>
        </w:trPr>
        <w:tc>
          <w:tcPr>
            <w:tcW w:w="2088"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jc w:val="center"/>
              <w:rPr>
                <w:b/>
                <w:szCs w:val="21"/>
                <w:highlight w:val="none"/>
              </w:rPr>
            </w:pPr>
          </w:p>
        </w:tc>
        <w:tc>
          <w:tcPr>
            <w:tcW w:w="644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76" w:lineRule="auto"/>
              <w:rPr>
                <w:rFonts w:eastAsia="仿宋_GB2312"/>
                <w:szCs w:val="21"/>
                <w:highlight w:val="none"/>
              </w:rPr>
            </w:pPr>
            <w:r>
              <w:rPr>
                <w:rFonts w:hint="eastAsia" w:eastAsia="仿宋_GB2312"/>
                <w:szCs w:val="21"/>
                <w:highlight w:val="none"/>
              </w:rPr>
              <w:t>小写</w:t>
            </w:r>
          </w:p>
        </w:tc>
      </w:tr>
    </w:tbl>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注: 1、报价一经涂改，应在涂改处加盖单位公章或者由法定代表人或被授权人签字或盖章，</w:t>
      </w:r>
    </w:p>
    <w:p>
      <w:pPr>
        <w:snapToGrid w:val="0"/>
        <w:spacing w:line="480" w:lineRule="exact"/>
        <w:jc w:val="left"/>
        <w:rPr>
          <w:rFonts w:ascii="宋体" w:hAnsi="宋体" w:cs="宋体"/>
          <w:sz w:val="22"/>
          <w:szCs w:val="22"/>
          <w:highlight w:val="none"/>
        </w:rPr>
      </w:pPr>
      <w:r>
        <w:rPr>
          <w:rFonts w:hint="eastAsia" w:ascii="宋体" w:hAnsi="宋体" w:cs="宋体"/>
          <w:sz w:val="22"/>
          <w:szCs w:val="22"/>
          <w:highlight w:val="none"/>
        </w:rPr>
        <w:t>否则其投标将作投标无效处理。</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2、本页后附投标报价明细表。</w:t>
      </w:r>
    </w:p>
    <w:p>
      <w:pPr>
        <w:snapToGrid w:val="0"/>
        <w:spacing w:line="480" w:lineRule="exact"/>
        <w:ind w:firstLine="440" w:firstLineChars="200"/>
        <w:jc w:val="left"/>
        <w:rPr>
          <w:rFonts w:ascii="宋体" w:hAnsi="宋体" w:cs="宋体"/>
          <w:sz w:val="22"/>
          <w:szCs w:val="22"/>
          <w:highlight w:val="none"/>
        </w:rPr>
      </w:pPr>
      <w:r>
        <w:rPr>
          <w:rFonts w:hint="eastAsia" w:ascii="宋体" w:hAnsi="宋体" w:cs="宋体"/>
          <w:sz w:val="22"/>
          <w:szCs w:val="22"/>
          <w:highlight w:val="none"/>
        </w:rPr>
        <w:t>3、以上报价应与“投标报价明细表”中的“投标总价”数相一致。</w:t>
      </w:r>
    </w:p>
    <w:p>
      <w:pPr>
        <w:snapToGrid w:val="0"/>
        <w:spacing w:line="480" w:lineRule="exact"/>
        <w:ind w:firstLine="440" w:firstLineChars="200"/>
        <w:jc w:val="left"/>
        <w:rPr>
          <w:rFonts w:ascii="宋体" w:hAnsi="宋体" w:cs="宋体"/>
          <w:sz w:val="22"/>
          <w:szCs w:val="22"/>
          <w:highlight w:val="none"/>
        </w:rPr>
      </w:pPr>
    </w:p>
    <w:p>
      <w:pPr>
        <w:snapToGrid w:val="0"/>
        <w:spacing w:line="480" w:lineRule="exact"/>
        <w:ind w:left="-3" w:leftChars="-72" w:right="-817" w:rightChars="-389" w:hanging="148" w:hangingChars="62"/>
        <w:rPr>
          <w:rFonts w:ascii="宋体" w:hAnsi="宋体" w:cs="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pStyle w:val="4"/>
        <w:rPr>
          <w:rFonts w:hAnsi="宋体" w:cs="宋体"/>
          <w:sz w:val="24"/>
          <w:szCs w:val="24"/>
          <w:highlight w:val="none"/>
        </w:rPr>
      </w:pPr>
    </w:p>
    <w:p>
      <w:pPr>
        <w:rPr>
          <w:rFonts w:hAnsi="宋体" w:cs="宋体"/>
          <w:sz w:val="24"/>
          <w:highlight w:val="none"/>
        </w:rPr>
      </w:pPr>
    </w:p>
    <w:p>
      <w:pPr>
        <w:widowControl/>
        <w:spacing w:line="360" w:lineRule="auto"/>
        <w:rPr>
          <w:rFonts w:ascii="宋体" w:hAnsi="宋体"/>
          <w:b/>
          <w:sz w:val="28"/>
          <w:szCs w:val="28"/>
          <w:highlight w:val="none"/>
        </w:rPr>
      </w:pPr>
    </w:p>
    <w:p>
      <w:pPr>
        <w:widowControl/>
        <w:spacing w:line="360" w:lineRule="auto"/>
        <w:rPr>
          <w:rFonts w:ascii="宋体" w:hAnsi="宋体"/>
          <w:b/>
          <w:sz w:val="28"/>
          <w:szCs w:val="28"/>
          <w:highlight w:val="none"/>
        </w:rPr>
      </w:pPr>
    </w:p>
    <w:p>
      <w:pPr>
        <w:widowControl/>
        <w:spacing w:line="360" w:lineRule="auto"/>
        <w:jc w:val="center"/>
        <w:rPr>
          <w:rFonts w:ascii="宋体" w:hAnsi="宋体"/>
          <w:b/>
          <w:sz w:val="28"/>
          <w:szCs w:val="28"/>
          <w:highlight w:val="none"/>
        </w:rPr>
      </w:pPr>
    </w:p>
    <w:p>
      <w:pPr>
        <w:pStyle w:val="62"/>
        <w:ind w:firstLine="420"/>
        <w:rPr>
          <w:highlight w:val="none"/>
        </w:rPr>
      </w:pPr>
    </w:p>
    <w:p>
      <w:pPr>
        <w:widowControl/>
        <w:spacing w:line="360" w:lineRule="auto"/>
        <w:jc w:val="center"/>
        <w:rPr>
          <w:rFonts w:ascii="宋体" w:hAnsi="宋体"/>
          <w:b/>
          <w:sz w:val="28"/>
          <w:szCs w:val="28"/>
          <w:highlight w:val="none"/>
        </w:rPr>
      </w:pPr>
      <w:r>
        <w:rPr>
          <w:rFonts w:hint="eastAsia" w:ascii="宋体" w:hAnsi="宋体"/>
          <w:b/>
          <w:sz w:val="28"/>
          <w:szCs w:val="28"/>
          <w:highlight w:val="none"/>
        </w:rPr>
        <w:t>投标报价明细表</w:t>
      </w:r>
    </w:p>
    <w:p>
      <w:pPr>
        <w:snapToGrid w:val="0"/>
        <w:spacing w:before="120" w:after="120"/>
        <w:rPr>
          <w:rFonts w:ascii="宋体" w:hAnsi="宋体"/>
          <w:sz w:val="24"/>
          <w:highlight w:val="none"/>
        </w:rPr>
      </w:pPr>
    </w:p>
    <w:p>
      <w:pPr>
        <w:snapToGrid w:val="0"/>
        <w:spacing w:before="120" w:after="120"/>
        <w:rPr>
          <w:rFonts w:ascii="宋体" w:hAnsi="宋体"/>
          <w:bCs/>
          <w:sz w:val="24"/>
          <w:highlight w:val="none"/>
        </w:rPr>
      </w:pPr>
      <w:r>
        <w:rPr>
          <w:rFonts w:hint="eastAsia" w:ascii="宋体" w:hAnsi="宋体"/>
          <w:sz w:val="24"/>
          <w:highlight w:val="none"/>
        </w:rPr>
        <w:t>项目名称：</w:t>
      </w:r>
      <w:r>
        <w:rPr>
          <w:rFonts w:hint="eastAsia" w:ascii="宋体" w:hAnsi="宋体"/>
          <w:sz w:val="24"/>
          <w:highlight w:val="none"/>
          <w:u w:val="single"/>
        </w:rPr>
        <w:t xml:space="preserve">                 </w:t>
      </w:r>
      <w:r>
        <w:rPr>
          <w:rFonts w:hint="eastAsia" w:ascii="宋体" w:hAnsi="宋体"/>
          <w:bCs/>
          <w:sz w:val="24"/>
          <w:highlight w:val="none"/>
        </w:rPr>
        <w:t xml:space="preserve">                                  单位：人民币元</w:t>
      </w:r>
    </w:p>
    <w:tbl>
      <w:tblPr>
        <w:tblStyle w:val="63"/>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3430"/>
        <w:gridCol w:w="894"/>
        <w:gridCol w:w="992"/>
        <w:gridCol w:w="1276"/>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序号</w:t>
            </w:r>
          </w:p>
        </w:tc>
        <w:tc>
          <w:tcPr>
            <w:tcW w:w="343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项目内容</w:t>
            </w:r>
          </w:p>
        </w:tc>
        <w:tc>
          <w:tcPr>
            <w:tcW w:w="894"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单位</w:t>
            </w:r>
          </w:p>
        </w:tc>
        <w:tc>
          <w:tcPr>
            <w:tcW w:w="992"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数量</w:t>
            </w:r>
          </w:p>
        </w:tc>
        <w:tc>
          <w:tcPr>
            <w:tcW w:w="1276"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单价（元）</w:t>
            </w:r>
          </w:p>
        </w:tc>
        <w:tc>
          <w:tcPr>
            <w:tcW w:w="1370" w:type="dxa"/>
            <w:vAlign w:val="center"/>
          </w:tcPr>
          <w:p>
            <w:pPr>
              <w:jc w:val="center"/>
              <w:rPr>
                <w:rFonts w:ascii="宋体" w:hAnsi="宋体" w:cs="宋体"/>
                <w:b/>
                <w:sz w:val="22"/>
                <w:szCs w:val="22"/>
                <w:highlight w:val="none"/>
              </w:rPr>
            </w:pPr>
            <w:r>
              <w:rPr>
                <w:rFonts w:hint="eastAsia" w:ascii="宋体" w:hAnsi="宋体" w:cs="宋体"/>
                <w:b/>
                <w:sz w:val="22"/>
                <w:szCs w:val="22"/>
                <w:highlight w:val="none"/>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b/>
                <w:sz w:val="22"/>
                <w:szCs w:val="22"/>
                <w:highlight w:val="none"/>
              </w:rPr>
            </w:pPr>
          </w:p>
        </w:tc>
        <w:tc>
          <w:tcPr>
            <w:tcW w:w="3430" w:type="dxa"/>
            <w:vAlign w:val="center"/>
          </w:tcPr>
          <w:p>
            <w:pPr>
              <w:jc w:val="left"/>
              <w:rPr>
                <w:rFonts w:ascii="宋体" w:hAnsi="宋体" w:cs="宋体"/>
                <w:b/>
                <w:sz w:val="22"/>
                <w:szCs w:val="22"/>
                <w:highlight w:val="none"/>
              </w:rPr>
            </w:pPr>
          </w:p>
        </w:tc>
        <w:tc>
          <w:tcPr>
            <w:tcW w:w="894" w:type="dxa"/>
            <w:vAlign w:val="center"/>
          </w:tcPr>
          <w:p>
            <w:pPr>
              <w:jc w:val="center"/>
              <w:rPr>
                <w:rFonts w:ascii="宋体" w:hAnsi="宋体" w:cs="宋体"/>
                <w:b/>
                <w:sz w:val="22"/>
                <w:szCs w:val="22"/>
                <w:highlight w:val="none"/>
              </w:rPr>
            </w:pPr>
          </w:p>
        </w:tc>
        <w:tc>
          <w:tcPr>
            <w:tcW w:w="992" w:type="dxa"/>
            <w:vAlign w:val="center"/>
          </w:tcPr>
          <w:p>
            <w:pPr>
              <w:jc w:val="center"/>
              <w:rPr>
                <w:rFonts w:ascii="宋体" w:hAnsi="宋体" w:cs="宋体"/>
                <w:b/>
                <w:sz w:val="22"/>
                <w:szCs w:val="22"/>
                <w:highlight w:val="none"/>
              </w:rPr>
            </w:pPr>
          </w:p>
        </w:tc>
        <w:tc>
          <w:tcPr>
            <w:tcW w:w="1276" w:type="dxa"/>
            <w:vAlign w:val="center"/>
          </w:tcPr>
          <w:p>
            <w:pPr>
              <w:jc w:val="center"/>
              <w:rPr>
                <w:rFonts w:ascii="宋体" w:hAnsi="宋体" w:cs="宋体"/>
                <w:b/>
                <w:sz w:val="22"/>
                <w:szCs w:val="22"/>
                <w:highlight w:val="none"/>
              </w:rPr>
            </w:pPr>
          </w:p>
        </w:tc>
        <w:tc>
          <w:tcPr>
            <w:tcW w:w="1370" w:type="dxa"/>
          </w:tcPr>
          <w:p>
            <w:pPr>
              <w:rPr>
                <w:rFonts w:ascii="宋体" w:hAnsi="宋体" w:cs="宋体"/>
                <w:b/>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1" w:type="dxa"/>
            <w:vAlign w:val="center"/>
          </w:tcPr>
          <w:p>
            <w:pPr>
              <w:jc w:val="center"/>
              <w:rPr>
                <w:rFonts w:ascii="宋体" w:hAnsi="宋体" w:cs="宋体"/>
                <w:sz w:val="22"/>
                <w:szCs w:val="22"/>
                <w:highlight w:val="none"/>
              </w:rPr>
            </w:pPr>
          </w:p>
        </w:tc>
        <w:tc>
          <w:tcPr>
            <w:tcW w:w="3430" w:type="dxa"/>
            <w:vAlign w:val="center"/>
          </w:tcPr>
          <w:p>
            <w:pPr>
              <w:jc w:val="left"/>
              <w:rPr>
                <w:rFonts w:ascii="宋体" w:hAnsi="宋体" w:cs="宋体"/>
                <w:sz w:val="22"/>
                <w:szCs w:val="22"/>
                <w:highlight w:val="none"/>
              </w:rPr>
            </w:pPr>
          </w:p>
        </w:tc>
        <w:tc>
          <w:tcPr>
            <w:tcW w:w="894" w:type="dxa"/>
            <w:vAlign w:val="center"/>
          </w:tcPr>
          <w:p>
            <w:pPr>
              <w:jc w:val="center"/>
              <w:rPr>
                <w:rFonts w:ascii="宋体" w:hAnsi="宋体" w:cs="宋体"/>
                <w:sz w:val="22"/>
                <w:szCs w:val="22"/>
                <w:highlight w:val="none"/>
              </w:rPr>
            </w:pPr>
          </w:p>
        </w:tc>
        <w:tc>
          <w:tcPr>
            <w:tcW w:w="992" w:type="dxa"/>
            <w:vAlign w:val="center"/>
          </w:tcPr>
          <w:p>
            <w:pPr>
              <w:jc w:val="center"/>
              <w:rPr>
                <w:rFonts w:ascii="宋体" w:hAnsi="宋体" w:cs="宋体"/>
                <w:sz w:val="22"/>
                <w:szCs w:val="22"/>
                <w:highlight w:val="none"/>
              </w:rPr>
            </w:pPr>
          </w:p>
        </w:tc>
        <w:tc>
          <w:tcPr>
            <w:tcW w:w="1276" w:type="dxa"/>
            <w:vAlign w:val="center"/>
          </w:tcPr>
          <w:p>
            <w:pPr>
              <w:jc w:val="center"/>
              <w:rPr>
                <w:rFonts w:ascii="宋体" w:hAnsi="宋体" w:cs="宋体"/>
                <w:sz w:val="22"/>
                <w:szCs w:val="22"/>
                <w:highlight w:val="none"/>
              </w:rPr>
            </w:pPr>
          </w:p>
        </w:tc>
        <w:tc>
          <w:tcPr>
            <w:tcW w:w="1370" w:type="dxa"/>
          </w:tcPr>
          <w:p>
            <w:pPr>
              <w:rPr>
                <w:rFonts w:ascii="宋体" w:hAnsi="宋体" w:cs="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3" w:type="dxa"/>
            <w:gridSpan w:val="6"/>
            <w:vAlign w:val="center"/>
          </w:tcPr>
          <w:p>
            <w:pPr>
              <w:rPr>
                <w:rFonts w:ascii="宋体" w:hAnsi="宋体" w:cs="宋体"/>
                <w:sz w:val="22"/>
                <w:szCs w:val="22"/>
                <w:highlight w:val="none"/>
              </w:rPr>
            </w:pPr>
            <w:r>
              <w:rPr>
                <w:rFonts w:hint="eastAsia" w:ascii="宋体" w:hAnsi="宋体" w:cs="宋体"/>
                <w:kern w:val="0"/>
                <w:sz w:val="24"/>
                <w:highlight w:val="none"/>
              </w:rPr>
              <w:t>投标总价：    （大写），    （小写）</w:t>
            </w:r>
          </w:p>
        </w:tc>
      </w:tr>
    </w:tbl>
    <w:p>
      <w:pPr>
        <w:pStyle w:val="5"/>
        <w:spacing w:line="240" w:lineRule="auto"/>
        <w:ind w:left="0" w:firstLine="0"/>
        <w:rPr>
          <w:sz w:val="24"/>
          <w:szCs w:val="24"/>
          <w:highlight w:val="none"/>
          <w:lang w:val="en-US"/>
        </w:rPr>
      </w:pPr>
    </w:p>
    <w:p>
      <w:pPr>
        <w:rPr>
          <w:rFonts w:hint="eastAsia" w:ascii="宋体" w:hAnsi="宋体" w:cs="宋体"/>
          <w:kern w:val="0"/>
          <w:sz w:val="24"/>
          <w:highlight w:val="none"/>
        </w:rPr>
      </w:pPr>
      <w:r>
        <w:rPr>
          <w:rFonts w:hint="eastAsia" w:ascii="宋体" w:hAnsi="宋体" w:cs="宋体"/>
          <w:kern w:val="0"/>
          <w:sz w:val="24"/>
          <w:highlight w:val="none"/>
        </w:rPr>
        <w:t>注：</w:t>
      </w:r>
      <w:r>
        <w:rPr>
          <w:rFonts w:hint="eastAsia" w:ascii="宋体" w:hAnsi="宋体" w:cs="宋体"/>
          <w:kern w:val="0"/>
          <w:sz w:val="24"/>
          <w:highlight w:val="none"/>
          <w:lang w:val="en-US" w:eastAsia="zh-CN"/>
        </w:rPr>
        <w:t>1.</w:t>
      </w:r>
      <w:r>
        <w:rPr>
          <w:rFonts w:hint="eastAsia" w:ascii="宋体" w:hAnsi="宋体" w:cs="宋体"/>
          <w:kern w:val="0"/>
          <w:sz w:val="24"/>
          <w:highlight w:val="none"/>
        </w:rPr>
        <w:t>上表中行数不够可自行添加</w:t>
      </w:r>
    </w:p>
    <w:p>
      <w:pPr>
        <w:pStyle w:val="80"/>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2.根据</w:t>
      </w:r>
      <w:r>
        <w:rPr>
          <w:rFonts w:hint="default" w:ascii="宋体" w:hAnsi="宋体" w:eastAsia="宋体" w:cs="宋体"/>
          <w:kern w:val="0"/>
          <w:sz w:val="24"/>
          <w:szCs w:val="24"/>
          <w:highlight w:val="none"/>
          <w:lang w:val="en-US" w:eastAsia="zh-CN" w:bidi="ar-SA"/>
        </w:rPr>
        <w:t>第二章招标需求技术要求及采购清单</w:t>
      </w:r>
      <w:r>
        <w:rPr>
          <w:rFonts w:hint="eastAsia" w:ascii="宋体" w:hAnsi="宋体" w:eastAsia="宋体" w:cs="宋体"/>
          <w:kern w:val="0"/>
          <w:sz w:val="24"/>
          <w:szCs w:val="24"/>
          <w:highlight w:val="none"/>
          <w:lang w:val="en-US" w:eastAsia="zh-CN" w:bidi="ar-SA"/>
        </w:rPr>
        <w:t>编制</w:t>
      </w:r>
    </w:p>
    <w:p>
      <w:pPr>
        <w:snapToGrid w:val="0"/>
        <w:spacing w:before="50" w:after="50" w:line="360" w:lineRule="auto"/>
        <w:rPr>
          <w:rFonts w:ascii="宋体" w:hAnsi="宋体"/>
          <w:sz w:val="24"/>
          <w:highlight w:val="none"/>
        </w:rPr>
      </w:pPr>
    </w:p>
    <w:p>
      <w:pPr>
        <w:snapToGrid w:val="0"/>
        <w:spacing w:before="50" w:after="50" w:line="360" w:lineRule="auto"/>
        <w:rPr>
          <w:rFonts w:ascii="宋体" w:hAnsi="宋体"/>
          <w:spacing w:val="20"/>
          <w:sz w:val="24"/>
          <w:szCs w:val="20"/>
          <w:highlight w:val="none"/>
          <w:u w:val="single"/>
        </w:rPr>
      </w:pPr>
      <w:r>
        <w:rPr>
          <w:rFonts w:hint="eastAsia" w:ascii="宋体" w:hAnsi="宋体"/>
          <w:sz w:val="24"/>
          <w:highlight w:val="none"/>
        </w:rPr>
        <w:t>法定代表人或被授权人（签字或盖章）</w:t>
      </w:r>
      <w:r>
        <w:rPr>
          <w:rFonts w:hint="eastAsia" w:ascii="宋体" w:hAnsi="宋体"/>
          <w:spacing w:val="20"/>
          <w:sz w:val="24"/>
          <w:highlight w:val="none"/>
        </w:rPr>
        <w:t>：</w:t>
      </w:r>
      <w:r>
        <w:rPr>
          <w:rFonts w:ascii="宋体" w:hAnsi="宋体"/>
          <w:spacing w:val="20"/>
          <w:sz w:val="24"/>
          <w:highlight w:val="none"/>
          <w:u w:val="single"/>
        </w:rPr>
        <w:t xml:space="preserve">     </w:t>
      </w:r>
      <w:r>
        <w:rPr>
          <w:rFonts w:hint="eastAsia" w:ascii="宋体" w:hAnsi="宋体"/>
          <w:spacing w:val="20"/>
          <w:sz w:val="24"/>
          <w:highlight w:val="none"/>
          <w:u w:val="single"/>
        </w:rPr>
        <w:t xml:space="preserve">         </w:t>
      </w:r>
      <w:r>
        <w:rPr>
          <w:rFonts w:ascii="宋体" w:hAnsi="宋体"/>
          <w:spacing w:val="20"/>
          <w:sz w:val="24"/>
          <w:highlight w:val="none"/>
          <w:u w:val="single"/>
        </w:rPr>
        <w:t xml:space="preserve">   </w:t>
      </w:r>
    </w:p>
    <w:p>
      <w:pPr>
        <w:pStyle w:val="966"/>
        <w:spacing w:line="360" w:lineRule="auto"/>
        <w:ind w:right="480"/>
        <w:rPr>
          <w:rFonts w:hAnsi="宋体" w:eastAsia="宋体"/>
          <w:sz w:val="24"/>
          <w:szCs w:val="24"/>
          <w:highlight w:val="none"/>
        </w:rPr>
      </w:pPr>
      <w:r>
        <w:rPr>
          <w:rFonts w:hint="eastAsia" w:hAnsi="宋体" w:eastAsia="宋体"/>
          <w:sz w:val="24"/>
          <w:szCs w:val="24"/>
          <w:highlight w:val="none"/>
        </w:rPr>
        <w:t>投标人名称（加盖公章）</w:t>
      </w:r>
      <w:r>
        <w:rPr>
          <w:rFonts w:hint="eastAsia" w:hAnsi="宋体" w:eastAsia="宋体"/>
          <w:sz w:val="24"/>
          <w:szCs w:val="24"/>
          <w:highlight w:val="none"/>
          <w:u w:val="single"/>
        </w:rPr>
        <w:t>：</w:t>
      </w:r>
      <w:r>
        <w:rPr>
          <w:rFonts w:hAnsi="宋体" w:eastAsia="宋体"/>
          <w:sz w:val="24"/>
          <w:szCs w:val="24"/>
          <w:highlight w:val="none"/>
          <w:u w:val="single"/>
        </w:rPr>
        <w:t xml:space="preserve">                  </w:t>
      </w:r>
      <w:r>
        <w:rPr>
          <w:rFonts w:hAnsi="宋体" w:eastAsia="宋体"/>
          <w:sz w:val="24"/>
          <w:szCs w:val="24"/>
          <w:highlight w:val="none"/>
        </w:rPr>
        <w:t xml:space="preserve">        </w:t>
      </w:r>
      <w:r>
        <w:rPr>
          <w:rFonts w:hint="eastAsia" w:hAnsi="宋体" w:eastAsia="宋体"/>
          <w:sz w:val="24"/>
          <w:szCs w:val="24"/>
          <w:highlight w:val="none"/>
        </w:rPr>
        <w:t xml:space="preserve">    </w:t>
      </w:r>
    </w:p>
    <w:p>
      <w:pPr>
        <w:rPr>
          <w:rFonts w:hAnsi="宋体" w:cs="宋体"/>
          <w:sz w:val="24"/>
          <w:highlight w:val="none"/>
        </w:rPr>
      </w:pPr>
      <w:r>
        <w:rPr>
          <w:rFonts w:hint="eastAsia" w:hAnsi="宋体" w:cs="宋体"/>
          <w:sz w:val="24"/>
          <w:highlight w:val="none"/>
        </w:rPr>
        <w:t>日期：_____年____月____日</w:t>
      </w:r>
    </w:p>
    <w:p>
      <w:pPr>
        <w:rPr>
          <w:rFonts w:hAnsi="宋体" w:cs="宋体"/>
          <w:sz w:val="24"/>
          <w:highlight w:val="none"/>
        </w:rPr>
      </w:pPr>
    </w:p>
    <w:p>
      <w:pPr>
        <w:pStyle w:val="17"/>
        <w:rPr>
          <w:rFonts w:hAnsi="宋体" w:cs="宋体"/>
          <w:sz w:val="24"/>
          <w:szCs w:val="24"/>
          <w:highlight w:val="none"/>
        </w:rPr>
      </w:pPr>
    </w:p>
    <w:p>
      <w:pPr>
        <w:rPr>
          <w:rFonts w:hAnsi="宋体" w:cs="宋体"/>
          <w:sz w:val="24"/>
          <w:highlight w:val="none"/>
        </w:rPr>
      </w:pPr>
    </w:p>
    <w:p>
      <w:pPr>
        <w:pStyle w:val="17"/>
        <w:rPr>
          <w:rFonts w:hAnsi="宋体" w:cs="宋体"/>
          <w:sz w:val="24"/>
          <w:szCs w:val="24"/>
          <w:highlight w:val="none"/>
        </w:rPr>
      </w:pPr>
    </w:p>
    <w:p>
      <w:pPr>
        <w:rPr>
          <w:rFonts w:hAnsi="宋体" w:cs="宋体"/>
          <w:sz w:val="24"/>
          <w:highlight w:val="none"/>
        </w:rPr>
      </w:pPr>
    </w:p>
    <w:p>
      <w:pPr>
        <w:pStyle w:val="17"/>
        <w:rPr>
          <w:rFonts w:hAnsi="宋体" w:cs="宋体"/>
          <w:sz w:val="24"/>
          <w:szCs w:val="24"/>
          <w:highlight w:val="none"/>
        </w:rPr>
      </w:pPr>
    </w:p>
    <w:p>
      <w:pPr>
        <w:spacing w:line="360" w:lineRule="auto"/>
        <w:ind w:firstLine="275" w:firstLineChars="98"/>
        <w:jc w:val="center"/>
        <w:rPr>
          <w:rFonts w:ascii="宋体" w:hAnsi="宋体" w:cs="宋体"/>
          <w:b/>
          <w:bCs/>
          <w:sz w:val="28"/>
          <w:szCs w:val="28"/>
          <w:highlight w:val="none"/>
        </w:rPr>
      </w:pPr>
    </w:p>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altName w:val="AmdtSymbols"/>
    <w:panose1 w:val="020B0502020202020204"/>
    <w:charset w:val="00"/>
    <w:family w:val="swiss"/>
    <w:pitch w:val="default"/>
    <w:sig w:usb0="00000000" w:usb1="00000000" w:usb2="00000000" w:usb3="00000000" w:csb0="2000009F" w:csb1="DFD70000"/>
  </w:font>
  <w:font w:name="AmdtSymbols">
    <w:panose1 w:val="02000500000000020004"/>
    <w:charset w:val="00"/>
    <w:family w:val="auto"/>
    <w:pitch w:val="default"/>
    <w:sig w:usb0="00000001" w:usb1="00000000" w:usb2="00000000" w:usb3="00000000" w:csb0="00000001"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p>
    <w:pPr>
      <w:pStyle w:val="4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clear" w:pos="4153"/>
        <w:tab w:val="clear" w:pos="8306"/>
      </w:tabs>
      <w:jc w:val="both"/>
      <w:rPr>
        <w:rFonts w:ascii="仿宋_GB2312" w:eastAsia="仿宋_GB2312"/>
        <w:b/>
        <w:i/>
        <w:iCs/>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left" w:pos="5675"/>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A3B46"/>
    <w:multiLevelType w:val="singleLevel"/>
    <w:tmpl w:val="B5CA3B46"/>
    <w:lvl w:ilvl="0" w:tentative="0">
      <w:start w:val="6"/>
      <w:numFmt w:val="chineseCounting"/>
      <w:suff w:val="nothing"/>
      <w:lvlText w:val="第%1章　"/>
      <w:lvlJc w:val="left"/>
      <w:rPr>
        <w:rFonts w:hint="eastAsia"/>
      </w:rPr>
    </w:lvl>
  </w:abstractNum>
  <w:abstractNum w:abstractNumId="1">
    <w:nsid w:val="BC792504"/>
    <w:multiLevelType w:val="singleLevel"/>
    <w:tmpl w:val="BC792504"/>
    <w:lvl w:ilvl="0" w:tentative="0">
      <w:start w:val="2"/>
      <w:numFmt w:val="chineseCounting"/>
      <w:suff w:val="space"/>
      <w:lvlText w:val="第%1章"/>
      <w:lvlJc w:val="left"/>
      <w:rPr>
        <w:rFonts w:hint="eastAsia"/>
      </w:rPr>
    </w:lvl>
  </w:abstractNum>
  <w:abstractNum w:abstractNumId="2">
    <w:nsid w:val="D09ECA7D"/>
    <w:multiLevelType w:val="singleLevel"/>
    <w:tmpl w:val="D09ECA7D"/>
    <w:lvl w:ilvl="0" w:tentative="0">
      <w:start w:val="2"/>
      <w:numFmt w:val="decimal"/>
      <w:suff w:val="nothing"/>
      <w:lvlText w:val="%1、"/>
      <w:lvlJc w:val="left"/>
    </w:lvl>
  </w:abstractNum>
  <w:abstractNum w:abstractNumId="3">
    <w:nsid w:val="10EDBD7B"/>
    <w:multiLevelType w:val="singleLevel"/>
    <w:tmpl w:val="10EDBD7B"/>
    <w:lvl w:ilvl="0" w:tentative="0">
      <w:start w:val="2"/>
      <w:numFmt w:val="chineseCounting"/>
      <w:suff w:val="nothing"/>
      <w:lvlText w:val="%1、"/>
      <w:lvlJc w:val="left"/>
      <w:rPr>
        <w:rFonts w:hint="eastAsia"/>
      </w:rPr>
    </w:lvl>
  </w:abstractNum>
  <w:abstractNum w:abstractNumId="4">
    <w:nsid w:val="5D804704"/>
    <w:multiLevelType w:val="singleLevel"/>
    <w:tmpl w:val="5D804704"/>
    <w:lvl w:ilvl="0" w:tentative="0">
      <w:start w:val="1"/>
      <w:numFmt w:val="chineseCounting"/>
      <w:suff w:val="nothing"/>
      <w:lvlText w:val="%1、"/>
      <w:lvlJc w:val="left"/>
    </w:lvl>
  </w:abstractNum>
  <w:abstractNum w:abstractNumId="5">
    <w:nsid w:val="5D804826"/>
    <w:multiLevelType w:val="singleLevel"/>
    <w:tmpl w:val="5D804826"/>
    <w:lvl w:ilvl="0" w:tentative="0">
      <w:start w:val="1"/>
      <w:numFmt w:val="decimal"/>
      <w:suff w:val="nothing"/>
      <w:lvlText w:val="%1."/>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isplayBackgroundShape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MTVmNWQ0ZWUwMDFhMGMxMjI0ODY0ODBlMmFiN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489"/>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5FA"/>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4DC2"/>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7E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381"/>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98"/>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8A"/>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D7FC2"/>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3C4"/>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DB0"/>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CFE"/>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9F8"/>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2D5"/>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BA7"/>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42C"/>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D1A7E"/>
    <w:rsid w:val="0155173E"/>
    <w:rsid w:val="019F7441"/>
    <w:rsid w:val="01A319FB"/>
    <w:rsid w:val="01B37585"/>
    <w:rsid w:val="01D55165"/>
    <w:rsid w:val="01DF6BF8"/>
    <w:rsid w:val="01EC2C57"/>
    <w:rsid w:val="02151639"/>
    <w:rsid w:val="026B2E25"/>
    <w:rsid w:val="02734700"/>
    <w:rsid w:val="02824D4D"/>
    <w:rsid w:val="028E5F70"/>
    <w:rsid w:val="02C46BBB"/>
    <w:rsid w:val="02DC4B10"/>
    <w:rsid w:val="02DD76CE"/>
    <w:rsid w:val="02F36323"/>
    <w:rsid w:val="02F5619C"/>
    <w:rsid w:val="031C24F2"/>
    <w:rsid w:val="0326446A"/>
    <w:rsid w:val="032D5555"/>
    <w:rsid w:val="036634D2"/>
    <w:rsid w:val="036C5532"/>
    <w:rsid w:val="037B371D"/>
    <w:rsid w:val="03B77F2C"/>
    <w:rsid w:val="03DD35E4"/>
    <w:rsid w:val="04076900"/>
    <w:rsid w:val="041A5A3B"/>
    <w:rsid w:val="042311BA"/>
    <w:rsid w:val="042B157A"/>
    <w:rsid w:val="04352F11"/>
    <w:rsid w:val="048F763B"/>
    <w:rsid w:val="049F330E"/>
    <w:rsid w:val="04AA775C"/>
    <w:rsid w:val="04AF1889"/>
    <w:rsid w:val="04CA06D2"/>
    <w:rsid w:val="04F66F48"/>
    <w:rsid w:val="05251E14"/>
    <w:rsid w:val="0533087A"/>
    <w:rsid w:val="054B2EBB"/>
    <w:rsid w:val="05541A7D"/>
    <w:rsid w:val="05A16594"/>
    <w:rsid w:val="05A7762D"/>
    <w:rsid w:val="06011897"/>
    <w:rsid w:val="060E5941"/>
    <w:rsid w:val="06110FAF"/>
    <w:rsid w:val="06493CA7"/>
    <w:rsid w:val="065A6178"/>
    <w:rsid w:val="066F1CF3"/>
    <w:rsid w:val="06930BB8"/>
    <w:rsid w:val="06DC1F3F"/>
    <w:rsid w:val="07245D42"/>
    <w:rsid w:val="07264C62"/>
    <w:rsid w:val="075D5951"/>
    <w:rsid w:val="077855B9"/>
    <w:rsid w:val="0779354C"/>
    <w:rsid w:val="079F6195"/>
    <w:rsid w:val="07C17D1A"/>
    <w:rsid w:val="07D15156"/>
    <w:rsid w:val="08061376"/>
    <w:rsid w:val="080D354F"/>
    <w:rsid w:val="082A6473"/>
    <w:rsid w:val="08452D77"/>
    <w:rsid w:val="086401F8"/>
    <w:rsid w:val="08751CAA"/>
    <w:rsid w:val="087E4C40"/>
    <w:rsid w:val="08AA4CC9"/>
    <w:rsid w:val="08D66AD6"/>
    <w:rsid w:val="08DA33A3"/>
    <w:rsid w:val="08E80F13"/>
    <w:rsid w:val="092B34F0"/>
    <w:rsid w:val="09335624"/>
    <w:rsid w:val="093D097C"/>
    <w:rsid w:val="0944690F"/>
    <w:rsid w:val="09535675"/>
    <w:rsid w:val="095F057D"/>
    <w:rsid w:val="09642282"/>
    <w:rsid w:val="09733572"/>
    <w:rsid w:val="09772C16"/>
    <w:rsid w:val="098353B5"/>
    <w:rsid w:val="09A92330"/>
    <w:rsid w:val="09B06B87"/>
    <w:rsid w:val="09C13146"/>
    <w:rsid w:val="09E04166"/>
    <w:rsid w:val="0A1C0718"/>
    <w:rsid w:val="0A2E2D1E"/>
    <w:rsid w:val="0A3E7710"/>
    <w:rsid w:val="0A5B7E63"/>
    <w:rsid w:val="0A5C3149"/>
    <w:rsid w:val="0A826F07"/>
    <w:rsid w:val="0A8729A8"/>
    <w:rsid w:val="0A8A7C8B"/>
    <w:rsid w:val="0AA374A5"/>
    <w:rsid w:val="0AA51080"/>
    <w:rsid w:val="0AAB7649"/>
    <w:rsid w:val="0ABC5606"/>
    <w:rsid w:val="0AE012BD"/>
    <w:rsid w:val="0B012ED1"/>
    <w:rsid w:val="0B2E376B"/>
    <w:rsid w:val="0B30404E"/>
    <w:rsid w:val="0B4A3D8A"/>
    <w:rsid w:val="0B4C6C14"/>
    <w:rsid w:val="0B631A88"/>
    <w:rsid w:val="0B683D45"/>
    <w:rsid w:val="0B7F3F11"/>
    <w:rsid w:val="0B7F3FC7"/>
    <w:rsid w:val="0B884417"/>
    <w:rsid w:val="0B973B9D"/>
    <w:rsid w:val="0BDE0321"/>
    <w:rsid w:val="0BF6188C"/>
    <w:rsid w:val="0BF64210"/>
    <w:rsid w:val="0BF73C91"/>
    <w:rsid w:val="0C020E7E"/>
    <w:rsid w:val="0C0E5D5C"/>
    <w:rsid w:val="0C170175"/>
    <w:rsid w:val="0C480CD6"/>
    <w:rsid w:val="0C571A41"/>
    <w:rsid w:val="0C5C1171"/>
    <w:rsid w:val="0C5E1CBC"/>
    <w:rsid w:val="0C615B50"/>
    <w:rsid w:val="0C8445DA"/>
    <w:rsid w:val="0C87121B"/>
    <w:rsid w:val="0CBA4FBD"/>
    <w:rsid w:val="0CC007F7"/>
    <w:rsid w:val="0CD60B29"/>
    <w:rsid w:val="0CDB1229"/>
    <w:rsid w:val="0CFE707A"/>
    <w:rsid w:val="0D063BDA"/>
    <w:rsid w:val="0D08375F"/>
    <w:rsid w:val="0D184CFB"/>
    <w:rsid w:val="0D1E7791"/>
    <w:rsid w:val="0D4A7419"/>
    <w:rsid w:val="0D827401"/>
    <w:rsid w:val="0D84094E"/>
    <w:rsid w:val="0D8A00E9"/>
    <w:rsid w:val="0D8D589E"/>
    <w:rsid w:val="0DA01C73"/>
    <w:rsid w:val="0DD63300"/>
    <w:rsid w:val="0DF50604"/>
    <w:rsid w:val="0DF702FE"/>
    <w:rsid w:val="0E060E51"/>
    <w:rsid w:val="0E550E35"/>
    <w:rsid w:val="0E5604B2"/>
    <w:rsid w:val="0E5E6115"/>
    <w:rsid w:val="0E6D5D79"/>
    <w:rsid w:val="0E9D0089"/>
    <w:rsid w:val="0EB803EE"/>
    <w:rsid w:val="0EE926B8"/>
    <w:rsid w:val="0EF94D4B"/>
    <w:rsid w:val="0EFD4EA0"/>
    <w:rsid w:val="0F285729"/>
    <w:rsid w:val="0F4958DC"/>
    <w:rsid w:val="0F4B0B32"/>
    <w:rsid w:val="0F515DF7"/>
    <w:rsid w:val="0F596BA8"/>
    <w:rsid w:val="0F6248D2"/>
    <w:rsid w:val="0F693536"/>
    <w:rsid w:val="0F7554C5"/>
    <w:rsid w:val="0F7B0511"/>
    <w:rsid w:val="0F7B76D9"/>
    <w:rsid w:val="0F816ACD"/>
    <w:rsid w:val="0F9832DB"/>
    <w:rsid w:val="0FBF3FD2"/>
    <w:rsid w:val="0FBF7FF3"/>
    <w:rsid w:val="0FE73EE9"/>
    <w:rsid w:val="10043AE6"/>
    <w:rsid w:val="10505D41"/>
    <w:rsid w:val="10646583"/>
    <w:rsid w:val="107D4B15"/>
    <w:rsid w:val="107D65A4"/>
    <w:rsid w:val="108A3C80"/>
    <w:rsid w:val="10AA73F0"/>
    <w:rsid w:val="10C26171"/>
    <w:rsid w:val="10F33360"/>
    <w:rsid w:val="10FC16EA"/>
    <w:rsid w:val="110F1D40"/>
    <w:rsid w:val="11266F33"/>
    <w:rsid w:val="11507B96"/>
    <w:rsid w:val="11525A28"/>
    <w:rsid w:val="115343AE"/>
    <w:rsid w:val="118963A1"/>
    <w:rsid w:val="11C6522A"/>
    <w:rsid w:val="11DC71F8"/>
    <w:rsid w:val="11E104CC"/>
    <w:rsid w:val="11E20309"/>
    <w:rsid w:val="12255233"/>
    <w:rsid w:val="122816D4"/>
    <w:rsid w:val="12530213"/>
    <w:rsid w:val="127723A9"/>
    <w:rsid w:val="12862074"/>
    <w:rsid w:val="12883966"/>
    <w:rsid w:val="129E45B4"/>
    <w:rsid w:val="12AA761C"/>
    <w:rsid w:val="12D81596"/>
    <w:rsid w:val="13072A44"/>
    <w:rsid w:val="131B2827"/>
    <w:rsid w:val="135F4BE2"/>
    <w:rsid w:val="139B1A0A"/>
    <w:rsid w:val="139D25C7"/>
    <w:rsid w:val="13BF3CE4"/>
    <w:rsid w:val="13C42FAC"/>
    <w:rsid w:val="13E23345"/>
    <w:rsid w:val="13E34051"/>
    <w:rsid w:val="14043309"/>
    <w:rsid w:val="141008D8"/>
    <w:rsid w:val="14125FE6"/>
    <w:rsid w:val="14165B51"/>
    <w:rsid w:val="146D271E"/>
    <w:rsid w:val="14982588"/>
    <w:rsid w:val="14991C55"/>
    <w:rsid w:val="149A5AD9"/>
    <w:rsid w:val="14A03F0D"/>
    <w:rsid w:val="14A7619D"/>
    <w:rsid w:val="14BE3364"/>
    <w:rsid w:val="14C8320F"/>
    <w:rsid w:val="14EA71B5"/>
    <w:rsid w:val="14F06FC3"/>
    <w:rsid w:val="150536C3"/>
    <w:rsid w:val="150C1963"/>
    <w:rsid w:val="151447A0"/>
    <w:rsid w:val="154A6454"/>
    <w:rsid w:val="15613E68"/>
    <w:rsid w:val="15762120"/>
    <w:rsid w:val="15D77B9E"/>
    <w:rsid w:val="163E55E1"/>
    <w:rsid w:val="166A18FC"/>
    <w:rsid w:val="169F2681"/>
    <w:rsid w:val="16A8729C"/>
    <w:rsid w:val="16B33777"/>
    <w:rsid w:val="16BC70A7"/>
    <w:rsid w:val="16C6339E"/>
    <w:rsid w:val="172F2D79"/>
    <w:rsid w:val="17557BEF"/>
    <w:rsid w:val="17670CB1"/>
    <w:rsid w:val="17984446"/>
    <w:rsid w:val="179E6FD7"/>
    <w:rsid w:val="17A7720B"/>
    <w:rsid w:val="17D349C1"/>
    <w:rsid w:val="17EC68F0"/>
    <w:rsid w:val="1830729E"/>
    <w:rsid w:val="186E4F56"/>
    <w:rsid w:val="1870062C"/>
    <w:rsid w:val="187F5606"/>
    <w:rsid w:val="18817102"/>
    <w:rsid w:val="18830A15"/>
    <w:rsid w:val="18852B28"/>
    <w:rsid w:val="188B5321"/>
    <w:rsid w:val="18A94431"/>
    <w:rsid w:val="18AD308A"/>
    <w:rsid w:val="18DF7E53"/>
    <w:rsid w:val="18F15F4A"/>
    <w:rsid w:val="19137AFC"/>
    <w:rsid w:val="19932372"/>
    <w:rsid w:val="199B1288"/>
    <w:rsid w:val="19A20DD5"/>
    <w:rsid w:val="19AE03F1"/>
    <w:rsid w:val="19BE1321"/>
    <w:rsid w:val="19C914F1"/>
    <w:rsid w:val="1A071A03"/>
    <w:rsid w:val="1A1F16AE"/>
    <w:rsid w:val="1A3B5C77"/>
    <w:rsid w:val="1A4062D0"/>
    <w:rsid w:val="1A8E207F"/>
    <w:rsid w:val="1A984BAD"/>
    <w:rsid w:val="1AAC1FB7"/>
    <w:rsid w:val="1AB8220E"/>
    <w:rsid w:val="1ADC0F2F"/>
    <w:rsid w:val="1AE4166C"/>
    <w:rsid w:val="1AF06CFB"/>
    <w:rsid w:val="1AF11B8D"/>
    <w:rsid w:val="1B11359C"/>
    <w:rsid w:val="1B2A271F"/>
    <w:rsid w:val="1B530544"/>
    <w:rsid w:val="1B591FEF"/>
    <w:rsid w:val="1B713184"/>
    <w:rsid w:val="1BA209CF"/>
    <w:rsid w:val="1BB20793"/>
    <w:rsid w:val="1BB4777D"/>
    <w:rsid w:val="1BD75AB8"/>
    <w:rsid w:val="1C0459C2"/>
    <w:rsid w:val="1C1B3B4A"/>
    <w:rsid w:val="1C88086E"/>
    <w:rsid w:val="1D266CE1"/>
    <w:rsid w:val="1D3963AF"/>
    <w:rsid w:val="1D6A673C"/>
    <w:rsid w:val="1D9247AE"/>
    <w:rsid w:val="1DAE4D97"/>
    <w:rsid w:val="1DB567EC"/>
    <w:rsid w:val="1DC57B03"/>
    <w:rsid w:val="1DF51A98"/>
    <w:rsid w:val="1DFE0D7B"/>
    <w:rsid w:val="1E3D060F"/>
    <w:rsid w:val="1E3F7D2E"/>
    <w:rsid w:val="1E4134E4"/>
    <w:rsid w:val="1E5062B3"/>
    <w:rsid w:val="1E523514"/>
    <w:rsid w:val="1E593358"/>
    <w:rsid w:val="1E686B46"/>
    <w:rsid w:val="1E714A66"/>
    <w:rsid w:val="1E802593"/>
    <w:rsid w:val="1EA703CC"/>
    <w:rsid w:val="1EB7330C"/>
    <w:rsid w:val="1EF93289"/>
    <w:rsid w:val="1F0A0FF3"/>
    <w:rsid w:val="1F5771FF"/>
    <w:rsid w:val="1F745498"/>
    <w:rsid w:val="1FDF32F5"/>
    <w:rsid w:val="1FE868A9"/>
    <w:rsid w:val="20034907"/>
    <w:rsid w:val="20173E4B"/>
    <w:rsid w:val="20181590"/>
    <w:rsid w:val="20380D25"/>
    <w:rsid w:val="204E48BC"/>
    <w:rsid w:val="20631369"/>
    <w:rsid w:val="206801ED"/>
    <w:rsid w:val="207B66B3"/>
    <w:rsid w:val="207E2E19"/>
    <w:rsid w:val="208921B3"/>
    <w:rsid w:val="20973DEB"/>
    <w:rsid w:val="20AC592F"/>
    <w:rsid w:val="20B26522"/>
    <w:rsid w:val="20B44310"/>
    <w:rsid w:val="20CE7626"/>
    <w:rsid w:val="20DB5D96"/>
    <w:rsid w:val="211116EB"/>
    <w:rsid w:val="21431023"/>
    <w:rsid w:val="216133FC"/>
    <w:rsid w:val="2161415A"/>
    <w:rsid w:val="21B27333"/>
    <w:rsid w:val="21BC2207"/>
    <w:rsid w:val="21D56769"/>
    <w:rsid w:val="21E52EF3"/>
    <w:rsid w:val="21FB5D7B"/>
    <w:rsid w:val="220B1C3D"/>
    <w:rsid w:val="221D1D20"/>
    <w:rsid w:val="22334A87"/>
    <w:rsid w:val="224654C1"/>
    <w:rsid w:val="22BE6801"/>
    <w:rsid w:val="22C26C62"/>
    <w:rsid w:val="233500BF"/>
    <w:rsid w:val="23377FF7"/>
    <w:rsid w:val="236B425F"/>
    <w:rsid w:val="23836192"/>
    <w:rsid w:val="23901F29"/>
    <w:rsid w:val="239C0061"/>
    <w:rsid w:val="23A91BB2"/>
    <w:rsid w:val="23B908A4"/>
    <w:rsid w:val="23E95BEF"/>
    <w:rsid w:val="23FD0064"/>
    <w:rsid w:val="24285E12"/>
    <w:rsid w:val="245375B0"/>
    <w:rsid w:val="24642C0A"/>
    <w:rsid w:val="246D0A09"/>
    <w:rsid w:val="24B22173"/>
    <w:rsid w:val="24B95AD9"/>
    <w:rsid w:val="24BE0639"/>
    <w:rsid w:val="24BE24DA"/>
    <w:rsid w:val="24CC579A"/>
    <w:rsid w:val="24CF5825"/>
    <w:rsid w:val="24D32AD5"/>
    <w:rsid w:val="24D34D10"/>
    <w:rsid w:val="24D663E6"/>
    <w:rsid w:val="24D77F2B"/>
    <w:rsid w:val="24DE5462"/>
    <w:rsid w:val="25530F16"/>
    <w:rsid w:val="258B00E2"/>
    <w:rsid w:val="25A917A6"/>
    <w:rsid w:val="25BE27CC"/>
    <w:rsid w:val="25C7193F"/>
    <w:rsid w:val="25F74A5C"/>
    <w:rsid w:val="261C6242"/>
    <w:rsid w:val="2628662C"/>
    <w:rsid w:val="262D45DE"/>
    <w:rsid w:val="264A0EBF"/>
    <w:rsid w:val="264A61BF"/>
    <w:rsid w:val="2662090A"/>
    <w:rsid w:val="26A53EF9"/>
    <w:rsid w:val="26A94201"/>
    <w:rsid w:val="26AC274F"/>
    <w:rsid w:val="27044A29"/>
    <w:rsid w:val="27056071"/>
    <w:rsid w:val="271D34C8"/>
    <w:rsid w:val="276142BF"/>
    <w:rsid w:val="27783712"/>
    <w:rsid w:val="27907362"/>
    <w:rsid w:val="27E965F8"/>
    <w:rsid w:val="27EE00B2"/>
    <w:rsid w:val="28333E1D"/>
    <w:rsid w:val="283C6C0F"/>
    <w:rsid w:val="28454BD6"/>
    <w:rsid w:val="28455253"/>
    <w:rsid w:val="28551971"/>
    <w:rsid w:val="285B1C53"/>
    <w:rsid w:val="2895356C"/>
    <w:rsid w:val="289F7086"/>
    <w:rsid w:val="28C32028"/>
    <w:rsid w:val="28CC490F"/>
    <w:rsid w:val="28DE40AA"/>
    <w:rsid w:val="29345E77"/>
    <w:rsid w:val="294B0DAC"/>
    <w:rsid w:val="294C65AD"/>
    <w:rsid w:val="29806583"/>
    <w:rsid w:val="298B3C4C"/>
    <w:rsid w:val="29D54D29"/>
    <w:rsid w:val="29E90B31"/>
    <w:rsid w:val="29F26D24"/>
    <w:rsid w:val="2A1170FC"/>
    <w:rsid w:val="2A15033F"/>
    <w:rsid w:val="2A155109"/>
    <w:rsid w:val="2A1662C1"/>
    <w:rsid w:val="2A1C7367"/>
    <w:rsid w:val="2A2815FA"/>
    <w:rsid w:val="2A6D6092"/>
    <w:rsid w:val="2A7204D1"/>
    <w:rsid w:val="2A7D76B4"/>
    <w:rsid w:val="2AC70EDC"/>
    <w:rsid w:val="2B373B1E"/>
    <w:rsid w:val="2B437463"/>
    <w:rsid w:val="2B7807EE"/>
    <w:rsid w:val="2B945009"/>
    <w:rsid w:val="2BBF00EC"/>
    <w:rsid w:val="2BC37CFD"/>
    <w:rsid w:val="2BD5237F"/>
    <w:rsid w:val="2BE536CE"/>
    <w:rsid w:val="2BE758D9"/>
    <w:rsid w:val="2BE772F2"/>
    <w:rsid w:val="2C09049E"/>
    <w:rsid w:val="2C0A653C"/>
    <w:rsid w:val="2C191F85"/>
    <w:rsid w:val="2C4712C3"/>
    <w:rsid w:val="2C6000DA"/>
    <w:rsid w:val="2C874F6F"/>
    <w:rsid w:val="2CA32A1F"/>
    <w:rsid w:val="2CE82D6F"/>
    <w:rsid w:val="2D343236"/>
    <w:rsid w:val="2D5C086B"/>
    <w:rsid w:val="2D823314"/>
    <w:rsid w:val="2D9078D1"/>
    <w:rsid w:val="2D9214E0"/>
    <w:rsid w:val="2DD1025A"/>
    <w:rsid w:val="2DD15014"/>
    <w:rsid w:val="2DF51922"/>
    <w:rsid w:val="2DF72DE4"/>
    <w:rsid w:val="2E0220AF"/>
    <w:rsid w:val="2E07472B"/>
    <w:rsid w:val="2E0E6DB8"/>
    <w:rsid w:val="2E455766"/>
    <w:rsid w:val="2E4B082A"/>
    <w:rsid w:val="2E5D4E86"/>
    <w:rsid w:val="2E5D790B"/>
    <w:rsid w:val="2E753370"/>
    <w:rsid w:val="2E9A3C18"/>
    <w:rsid w:val="2EBB0FEE"/>
    <w:rsid w:val="2EC22DD3"/>
    <w:rsid w:val="2EC63002"/>
    <w:rsid w:val="2EE364E6"/>
    <w:rsid w:val="2EFD2AE1"/>
    <w:rsid w:val="2F0A6B38"/>
    <w:rsid w:val="2F3B2DD2"/>
    <w:rsid w:val="2F6F7335"/>
    <w:rsid w:val="2F93773A"/>
    <w:rsid w:val="2F946CCB"/>
    <w:rsid w:val="2FAC6889"/>
    <w:rsid w:val="2FD25781"/>
    <w:rsid w:val="2FDB0057"/>
    <w:rsid w:val="2FFD5044"/>
    <w:rsid w:val="2FFD7934"/>
    <w:rsid w:val="30733ACD"/>
    <w:rsid w:val="3075311F"/>
    <w:rsid w:val="308C3862"/>
    <w:rsid w:val="309379D8"/>
    <w:rsid w:val="30A270F7"/>
    <w:rsid w:val="30DF1478"/>
    <w:rsid w:val="30EC586F"/>
    <w:rsid w:val="311213ED"/>
    <w:rsid w:val="31294542"/>
    <w:rsid w:val="319C6071"/>
    <w:rsid w:val="31A863E0"/>
    <w:rsid w:val="31AC537E"/>
    <w:rsid w:val="31E3679B"/>
    <w:rsid w:val="31E732FD"/>
    <w:rsid w:val="32517576"/>
    <w:rsid w:val="3264180F"/>
    <w:rsid w:val="32897A7B"/>
    <w:rsid w:val="32BE5C2C"/>
    <w:rsid w:val="32ED07A3"/>
    <w:rsid w:val="32FB6478"/>
    <w:rsid w:val="330709B5"/>
    <w:rsid w:val="330E2F43"/>
    <w:rsid w:val="330E6900"/>
    <w:rsid w:val="33263B3F"/>
    <w:rsid w:val="334A12E1"/>
    <w:rsid w:val="336963EB"/>
    <w:rsid w:val="33816EEB"/>
    <w:rsid w:val="338F52EF"/>
    <w:rsid w:val="33EB55CD"/>
    <w:rsid w:val="33EC4C02"/>
    <w:rsid w:val="340D2360"/>
    <w:rsid w:val="3410665D"/>
    <w:rsid w:val="34211214"/>
    <w:rsid w:val="342E63AB"/>
    <w:rsid w:val="34711E4F"/>
    <w:rsid w:val="34915D87"/>
    <w:rsid w:val="34950E68"/>
    <w:rsid w:val="34986E94"/>
    <w:rsid w:val="34AF62C9"/>
    <w:rsid w:val="34CB4388"/>
    <w:rsid w:val="34FA6E12"/>
    <w:rsid w:val="358D5588"/>
    <w:rsid w:val="35C05806"/>
    <w:rsid w:val="35C42453"/>
    <w:rsid w:val="361B3215"/>
    <w:rsid w:val="363A3B40"/>
    <w:rsid w:val="365302AE"/>
    <w:rsid w:val="36607A0A"/>
    <w:rsid w:val="366529DF"/>
    <w:rsid w:val="366E227C"/>
    <w:rsid w:val="366F2E0D"/>
    <w:rsid w:val="36735F09"/>
    <w:rsid w:val="367B6A5C"/>
    <w:rsid w:val="36981C79"/>
    <w:rsid w:val="36A52284"/>
    <w:rsid w:val="36A74ADA"/>
    <w:rsid w:val="36AD60D5"/>
    <w:rsid w:val="36B224F9"/>
    <w:rsid w:val="36BE005A"/>
    <w:rsid w:val="36EC0CC9"/>
    <w:rsid w:val="37090039"/>
    <w:rsid w:val="37363295"/>
    <w:rsid w:val="373F410B"/>
    <w:rsid w:val="37EE7094"/>
    <w:rsid w:val="38296C89"/>
    <w:rsid w:val="383002EB"/>
    <w:rsid w:val="38586797"/>
    <w:rsid w:val="38797966"/>
    <w:rsid w:val="388243AC"/>
    <w:rsid w:val="38855EC9"/>
    <w:rsid w:val="388801F5"/>
    <w:rsid w:val="388F32BA"/>
    <w:rsid w:val="3894610C"/>
    <w:rsid w:val="38B113F5"/>
    <w:rsid w:val="38BC0149"/>
    <w:rsid w:val="38D87D1C"/>
    <w:rsid w:val="38E22CFA"/>
    <w:rsid w:val="391A199A"/>
    <w:rsid w:val="39636459"/>
    <w:rsid w:val="396B7F6C"/>
    <w:rsid w:val="39B417A9"/>
    <w:rsid w:val="39BB2205"/>
    <w:rsid w:val="39F94929"/>
    <w:rsid w:val="39FC5695"/>
    <w:rsid w:val="3A006D8E"/>
    <w:rsid w:val="3A3651E5"/>
    <w:rsid w:val="3A6B67E3"/>
    <w:rsid w:val="3A744481"/>
    <w:rsid w:val="3A8C7BEF"/>
    <w:rsid w:val="3A906246"/>
    <w:rsid w:val="3AE004A0"/>
    <w:rsid w:val="3B2349B7"/>
    <w:rsid w:val="3B3C7E67"/>
    <w:rsid w:val="3B3FC59C"/>
    <w:rsid w:val="3B616CFF"/>
    <w:rsid w:val="3B6259F6"/>
    <w:rsid w:val="3B720C0D"/>
    <w:rsid w:val="3B976654"/>
    <w:rsid w:val="3BAF42E8"/>
    <w:rsid w:val="3BB6355F"/>
    <w:rsid w:val="3BC01EFC"/>
    <w:rsid w:val="3BCA786A"/>
    <w:rsid w:val="3BD31E2F"/>
    <w:rsid w:val="3BF15831"/>
    <w:rsid w:val="3C105946"/>
    <w:rsid w:val="3C471448"/>
    <w:rsid w:val="3C5F759A"/>
    <w:rsid w:val="3C6C525A"/>
    <w:rsid w:val="3CAD649B"/>
    <w:rsid w:val="3CC33275"/>
    <w:rsid w:val="3CC34D87"/>
    <w:rsid w:val="3CCB4B5A"/>
    <w:rsid w:val="3CCE23CB"/>
    <w:rsid w:val="3CD17D17"/>
    <w:rsid w:val="3D095B46"/>
    <w:rsid w:val="3D3C7F39"/>
    <w:rsid w:val="3D4015F2"/>
    <w:rsid w:val="3D440F09"/>
    <w:rsid w:val="3D4504A0"/>
    <w:rsid w:val="3D6F6425"/>
    <w:rsid w:val="3D8734BB"/>
    <w:rsid w:val="3D9A11D4"/>
    <w:rsid w:val="3DA16D89"/>
    <w:rsid w:val="3DA364BE"/>
    <w:rsid w:val="3DE041CB"/>
    <w:rsid w:val="3E0D48F6"/>
    <w:rsid w:val="3E185305"/>
    <w:rsid w:val="3E1868B4"/>
    <w:rsid w:val="3E377251"/>
    <w:rsid w:val="3E42664B"/>
    <w:rsid w:val="3E4A4A56"/>
    <w:rsid w:val="3E4B4F87"/>
    <w:rsid w:val="3E5661DC"/>
    <w:rsid w:val="3E5A7334"/>
    <w:rsid w:val="3E7B5D6B"/>
    <w:rsid w:val="3E843E66"/>
    <w:rsid w:val="3E8F51FE"/>
    <w:rsid w:val="3E926F87"/>
    <w:rsid w:val="3E9A59DE"/>
    <w:rsid w:val="3EAF4836"/>
    <w:rsid w:val="3EC33DFA"/>
    <w:rsid w:val="3EC84D62"/>
    <w:rsid w:val="3EE85404"/>
    <w:rsid w:val="3F060E16"/>
    <w:rsid w:val="3F173D18"/>
    <w:rsid w:val="3F1C4A39"/>
    <w:rsid w:val="3F1D1096"/>
    <w:rsid w:val="3F2F0234"/>
    <w:rsid w:val="3F485DF7"/>
    <w:rsid w:val="3F6363FE"/>
    <w:rsid w:val="3F756B8F"/>
    <w:rsid w:val="3F8F60F8"/>
    <w:rsid w:val="3F95482B"/>
    <w:rsid w:val="3FA57E6B"/>
    <w:rsid w:val="3FC17BDF"/>
    <w:rsid w:val="4019356B"/>
    <w:rsid w:val="40275AB8"/>
    <w:rsid w:val="4046605F"/>
    <w:rsid w:val="40592157"/>
    <w:rsid w:val="40674A44"/>
    <w:rsid w:val="406E1CAE"/>
    <w:rsid w:val="4070076D"/>
    <w:rsid w:val="407A39D5"/>
    <w:rsid w:val="40817E61"/>
    <w:rsid w:val="40A0133A"/>
    <w:rsid w:val="40C11463"/>
    <w:rsid w:val="40C31A53"/>
    <w:rsid w:val="40FF545D"/>
    <w:rsid w:val="410067C8"/>
    <w:rsid w:val="41193901"/>
    <w:rsid w:val="418F0D2A"/>
    <w:rsid w:val="419929E5"/>
    <w:rsid w:val="41A22999"/>
    <w:rsid w:val="41D01505"/>
    <w:rsid w:val="41E9396D"/>
    <w:rsid w:val="421079C8"/>
    <w:rsid w:val="421E7984"/>
    <w:rsid w:val="42474939"/>
    <w:rsid w:val="424C3C57"/>
    <w:rsid w:val="42613FF3"/>
    <w:rsid w:val="42654F91"/>
    <w:rsid w:val="42660D96"/>
    <w:rsid w:val="428667D2"/>
    <w:rsid w:val="429A368A"/>
    <w:rsid w:val="42CD1CE0"/>
    <w:rsid w:val="42E1381E"/>
    <w:rsid w:val="42ED6459"/>
    <w:rsid w:val="42F16C31"/>
    <w:rsid w:val="42FE58DD"/>
    <w:rsid w:val="43132477"/>
    <w:rsid w:val="43144544"/>
    <w:rsid w:val="43174B3D"/>
    <w:rsid w:val="431C3DDE"/>
    <w:rsid w:val="43354997"/>
    <w:rsid w:val="434B790E"/>
    <w:rsid w:val="4360274F"/>
    <w:rsid w:val="43977AB6"/>
    <w:rsid w:val="43A07FF2"/>
    <w:rsid w:val="43A24A91"/>
    <w:rsid w:val="43A3342B"/>
    <w:rsid w:val="43C77C27"/>
    <w:rsid w:val="43DE09EE"/>
    <w:rsid w:val="44002FAD"/>
    <w:rsid w:val="4415542B"/>
    <w:rsid w:val="44657104"/>
    <w:rsid w:val="449101DD"/>
    <w:rsid w:val="44BA722D"/>
    <w:rsid w:val="44DE1391"/>
    <w:rsid w:val="44F96CD2"/>
    <w:rsid w:val="45106B70"/>
    <w:rsid w:val="451B225C"/>
    <w:rsid w:val="452410C9"/>
    <w:rsid w:val="45317DFB"/>
    <w:rsid w:val="456D3CE4"/>
    <w:rsid w:val="4579042C"/>
    <w:rsid w:val="457F0571"/>
    <w:rsid w:val="45851176"/>
    <w:rsid w:val="45883496"/>
    <w:rsid w:val="45B10806"/>
    <w:rsid w:val="45C63B94"/>
    <w:rsid w:val="45C7395E"/>
    <w:rsid w:val="45FF50F7"/>
    <w:rsid w:val="460A332B"/>
    <w:rsid w:val="460E7DA5"/>
    <w:rsid w:val="46402205"/>
    <w:rsid w:val="46422483"/>
    <w:rsid w:val="4659254A"/>
    <w:rsid w:val="465B0637"/>
    <w:rsid w:val="465E3F0D"/>
    <w:rsid w:val="466A16E6"/>
    <w:rsid w:val="466A3861"/>
    <w:rsid w:val="467B69ED"/>
    <w:rsid w:val="46893F2B"/>
    <w:rsid w:val="46C4686E"/>
    <w:rsid w:val="4715601C"/>
    <w:rsid w:val="476C6937"/>
    <w:rsid w:val="477B778F"/>
    <w:rsid w:val="477F61D9"/>
    <w:rsid w:val="478203EC"/>
    <w:rsid w:val="478661AE"/>
    <w:rsid w:val="47B025FA"/>
    <w:rsid w:val="47FE483C"/>
    <w:rsid w:val="4809698F"/>
    <w:rsid w:val="4811697D"/>
    <w:rsid w:val="487A3E25"/>
    <w:rsid w:val="488169AC"/>
    <w:rsid w:val="488B5503"/>
    <w:rsid w:val="48937E21"/>
    <w:rsid w:val="489A0361"/>
    <w:rsid w:val="48AD6A8D"/>
    <w:rsid w:val="48B94FF3"/>
    <w:rsid w:val="48E37AAB"/>
    <w:rsid w:val="48FD4B4C"/>
    <w:rsid w:val="49061243"/>
    <w:rsid w:val="490A68E0"/>
    <w:rsid w:val="491055FE"/>
    <w:rsid w:val="495A44E3"/>
    <w:rsid w:val="495F5B3E"/>
    <w:rsid w:val="496F77D7"/>
    <w:rsid w:val="497654FD"/>
    <w:rsid w:val="497E2BEC"/>
    <w:rsid w:val="49B64211"/>
    <w:rsid w:val="49F6167F"/>
    <w:rsid w:val="4A064FA0"/>
    <w:rsid w:val="4A0909A1"/>
    <w:rsid w:val="4A16615C"/>
    <w:rsid w:val="4A4424D7"/>
    <w:rsid w:val="4AB82D0F"/>
    <w:rsid w:val="4ABB17CB"/>
    <w:rsid w:val="4ABE526B"/>
    <w:rsid w:val="4AEB7664"/>
    <w:rsid w:val="4AFD7C19"/>
    <w:rsid w:val="4B0567D1"/>
    <w:rsid w:val="4B1C363A"/>
    <w:rsid w:val="4B236AAE"/>
    <w:rsid w:val="4B707271"/>
    <w:rsid w:val="4B9739F7"/>
    <w:rsid w:val="4BEE2503"/>
    <w:rsid w:val="4BEF5BF8"/>
    <w:rsid w:val="4BFC7C94"/>
    <w:rsid w:val="4C245A30"/>
    <w:rsid w:val="4C4F7F6B"/>
    <w:rsid w:val="4C503B9A"/>
    <w:rsid w:val="4C736329"/>
    <w:rsid w:val="4C7C718B"/>
    <w:rsid w:val="4C9A4AA6"/>
    <w:rsid w:val="4CB6685F"/>
    <w:rsid w:val="4CC367FE"/>
    <w:rsid w:val="4CD670E4"/>
    <w:rsid w:val="4D077F3C"/>
    <w:rsid w:val="4D123355"/>
    <w:rsid w:val="4D2A3B31"/>
    <w:rsid w:val="4D312C52"/>
    <w:rsid w:val="4D73233C"/>
    <w:rsid w:val="4D844549"/>
    <w:rsid w:val="4D905305"/>
    <w:rsid w:val="4D964A72"/>
    <w:rsid w:val="4D9B759A"/>
    <w:rsid w:val="4D9C1254"/>
    <w:rsid w:val="4DC36632"/>
    <w:rsid w:val="4DF55F07"/>
    <w:rsid w:val="4DFC0584"/>
    <w:rsid w:val="4E6544E7"/>
    <w:rsid w:val="4E793892"/>
    <w:rsid w:val="4E800872"/>
    <w:rsid w:val="4EB63AF8"/>
    <w:rsid w:val="4EC569ED"/>
    <w:rsid w:val="4ED50EA1"/>
    <w:rsid w:val="4EDF24BE"/>
    <w:rsid w:val="4EEC050C"/>
    <w:rsid w:val="4F104EC3"/>
    <w:rsid w:val="4F2C625F"/>
    <w:rsid w:val="4F47354A"/>
    <w:rsid w:val="4F710CA8"/>
    <w:rsid w:val="4F911C54"/>
    <w:rsid w:val="4FE625E0"/>
    <w:rsid w:val="4FE94F10"/>
    <w:rsid w:val="5021480F"/>
    <w:rsid w:val="506932DB"/>
    <w:rsid w:val="50962ECB"/>
    <w:rsid w:val="50A42E38"/>
    <w:rsid w:val="50A4577F"/>
    <w:rsid w:val="50B73D1F"/>
    <w:rsid w:val="50BD5BC9"/>
    <w:rsid w:val="50C11EEE"/>
    <w:rsid w:val="50E97CFC"/>
    <w:rsid w:val="50FA4028"/>
    <w:rsid w:val="510D65B7"/>
    <w:rsid w:val="511157AB"/>
    <w:rsid w:val="51363DAD"/>
    <w:rsid w:val="5142540C"/>
    <w:rsid w:val="515B7CB7"/>
    <w:rsid w:val="517A1653"/>
    <w:rsid w:val="518832C8"/>
    <w:rsid w:val="51A0432A"/>
    <w:rsid w:val="51A86090"/>
    <w:rsid w:val="51AC406F"/>
    <w:rsid w:val="51B278FC"/>
    <w:rsid w:val="51B7396D"/>
    <w:rsid w:val="522E4CC3"/>
    <w:rsid w:val="5244713B"/>
    <w:rsid w:val="525860A8"/>
    <w:rsid w:val="52615633"/>
    <w:rsid w:val="52977FD4"/>
    <w:rsid w:val="52A25790"/>
    <w:rsid w:val="52A96B6F"/>
    <w:rsid w:val="52B45975"/>
    <w:rsid w:val="52D94AA4"/>
    <w:rsid w:val="52EA3A62"/>
    <w:rsid w:val="52F50BB8"/>
    <w:rsid w:val="53097272"/>
    <w:rsid w:val="53513CED"/>
    <w:rsid w:val="53544462"/>
    <w:rsid w:val="535A1773"/>
    <w:rsid w:val="53946913"/>
    <w:rsid w:val="5397158E"/>
    <w:rsid w:val="54013861"/>
    <w:rsid w:val="54487265"/>
    <w:rsid w:val="544D6070"/>
    <w:rsid w:val="54593DEF"/>
    <w:rsid w:val="54605E1E"/>
    <w:rsid w:val="54B3506A"/>
    <w:rsid w:val="54CA0D16"/>
    <w:rsid w:val="54D934E7"/>
    <w:rsid w:val="54DD4057"/>
    <w:rsid w:val="54E7490F"/>
    <w:rsid w:val="54FA328F"/>
    <w:rsid w:val="550764A4"/>
    <w:rsid w:val="550B2BF6"/>
    <w:rsid w:val="55214EB5"/>
    <w:rsid w:val="55364EFD"/>
    <w:rsid w:val="555D4828"/>
    <w:rsid w:val="557A4C8B"/>
    <w:rsid w:val="558931E1"/>
    <w:rsid w:val="55902A27"/>
    <w:rsid w:val="55923347"/>
    <w:rsid w:val="55925180"/>
    <w:rsid w:val="55983B1B"/>
    <w:rsid w:val="55A8376B"/>
    <w:rsid w:val="55D50903"/>
    <w:rsid w:val="55DC29B6"/>
    <w:rsid w:val="55DD4241"/>
    <w:rsid w:val="561926D0"/>
    <w:rsid w:val="566B6D1E"/>
    <w:rsid w:val="569F6AC7"/>
    <w:rsid w:val="56AA6827"/>
    <w:rsid w:val="57032A2C"/>
    <w:rsid w:val="570F5219"/>
    <w:rsid w:val="575D12B5"/>
    <w:rsid w:val="57610A87"/>
    <w:rsid w:val="5772374D"/>
    <w:rsid w:val="577B1140"/>
    <w:rsid w:val="577B7F21"/>
    <w:rsid w:val="577F181B"/>
    <w:rsid w:val="578C50A7"/>
    <w:rsid w:val="57921984"/>
    <w:rsid w:val="579737F0"/>
    <w:rsid w:val="57AB7B30"/>
    <w:rsid w:val="57AF5251"/>
    <w:rsid w:val="57B26373"/>
    <w:rsid w:val="57B63F04"/>
    <w:rsid w:val="57CD20C2"/>
    <w:rsid w:val="57D675AB"/>
    <w:rsid w:val="57D95FDD"/>
    <w:rsid w:val="57EA58F1"/>
    <w:rsid w:val="58142FFC"/>
    <w:rsid w:val="58917D2F"/>
    <w:rsid w:val="5894085C"/>
    <w:rsid w:val="58AE4F0C"/>
    <w:rsid w:val="58B85899"/>
    <w:rsid w:val="58E363A9"/>
    <w:rsid w:val="590E29AC"/>
    <w:rsid w:val="595E1678"/>
    <w:rsid w:val="596D5BD4"/>
    <w:rsid w:val="59782F99"/>
    <w:rsid w:val="597E3DD8"/>
    <w:rsid w:val="59D634DF"/>
    <w:rsid w:val="59F80043"/>
    <w:rsid w:val="5A09252F"/>
    <w:rsid w:val="5A0B2778"/>
    <w:rsid w:val="5A133E67"/>
    <w:rsid w:val="5A2A7C7B"/>
    <w:rsid w:val="5A3E2560"/>
    <w:rsid w:val="5A5D3B6E"/>
    <w:rsid w:val="5A637A76"/>
    <w:rsid w:val="5A6D33BA"/>
    <w:rsid w:val="5A792B1F"/>
    <w:rsid w:val="5A7D5519"/>
    <w:rsid w:val="5A874767"/>
    <w:rsid w:val="5A8C7BCC"/>
    <w:rsid w:val="5A8D7133"/>
    <w:rsid w:val="5A944CE3"/>
    <w:rsid w:val="5AAD6F28"/>
    <w:rsid w:val="5AD63A24"/>
    <w:rsid w:val="5AEA5EB6"/>
    <w:rsid w:val="5AEA62E5"/>
    <w:rsid w:val="5AFF3461"/>
    <w:rsid w:val="5B1511F3"/>
    <w:rsid w:val="5B167F88"/>
    <w:rsid w:val="5B2E1A1D"/>
    <w:rsid w:val="5B317CC1"/>
    <w:rsid w:val="5B6B0A58"/>
    <w:rsid w:val="5B843A1C"/>
    <w:rsid w:val="5B873E3F"/>
    <w:rsid w:val="5B897053"/>
    <w:rsid w:val="5BA83A02"/>
    <w:rsid w:val="5C02690E"/>
    <w:rsid w:val="5C196DA7"/>
    <w:rsid w:val="5C1D0043"/>
    <w:rsid w:val="5C2A048C"/>
    <w:rsid w:val="5C80234E"/>
    <w:rsid w:val="5C8A680C"/>
    <w:rsid w:val="5CA644DC"/>
    <w:rsid w:val="5CE01922"/>
    <w:rsid w:val="5CEC7655"/>
    <w:rsid w:val="5D0C4701"/>
    <w:rsid w:val="5D0F0395"/>
    <w:rsid w:val="5D221076"/>
    <w:rsid w:val="5D397964"/>
    <w:rsid w:val="5D5A391C"/>
    <w:rsid w:val="5D5F10C0"/>
    <w:rsid w:val="5D891B7B"/>
    <w:rsid w:val="5DA35AD2"/>
    <w:rsid w:val="5DAA5DD8"/>
    <w:rsid w:val="5DAD38EE"/>
    <w:rsid w:val="5DCE5EE9"/>
    <w:rsid w:val="5E006862"/>
    <w:rsid w:val="5E0207B9"/>
    <w:rsid w:val="5E0B0AD6"/>
    <w:rsid w:val="5E1834A1"/>
    <w:rsid w:val="5E261785"/>
    <w:rsid w:val="5E4A7017"/>
    <w:rsid w:val="5E4F2952"/>
    <w:rsid w:val="5E552BBA"/>
    <w:rsid w:val="5E610D01"/>
    <w:rsid w:val="5E611C10"/>
    <w:rsid w:val="5E655CD1"/>
    <w:rsid w:val="5E766130"/>
    <w:rsid w:val="5EA31D4C"/>
    <w:rsid w:val="5EFC7377"/>
    <w:rsid w:val="5F06174D"/>
    <w:rsid w:val="5F3A3602"/>
    <w:rsid w:val="5F6277C6"/>
    <w:rsid w:val="5F6D0B1D"/>
    <w:rsid w:val="5F6FF5AD"/>
    <w:rsid w:val="5F8D0B82"/>
    <w:rsid w:val="5FCC5339"/>
    <w:rsid w:val="5FE34A5B"/>
    <w:rsid w:val="5FFE1E36"/>
    <w:rsid w:val="600502B2"/>
    <w:rsid w:val="60232584"/>
    <w:rsid w:val="602C4E9D"/>
    <w:rsid w:val="6060009F"/>
    <w:rsid w:val="607330CE"/>
    <w:rsid w:val="60825176"/>
    <w:rsid w:val="609F2AC4"/>
    <w:rsid w:val="60FA2EE8"/>
    <w:rsid w:val="61054A27"/>
    <w:rsid w:val="610A52BC"/>
    <w:rsid w:val="611D2366"/>
    <w:rsid w:val="61401BAF"/>
    <w:rsid w:val="61421856"/>
    <w:rsid w:val="615227C4"/>
    <w:rsid w:val="6153074E"/>
    <w:rsid w:val="61654E3F"/>
    <w:rsid w:val="61721216"/>
    <w:rsid w:val="6182292A"/>
    <w:rsid w:val="618D5C6B"/>
    <w:rsid w:val="619F7F92"/>
    <w:rsid w:val="61B60EF8"/>
    <w:rsid w:val="61F94C26"/>
    <w:rsid w:val="62000E56"/>
    <w:rsid w:val="620A1913"/>
    <w:rsid w:val="620E01E9"/>
    <w:rsid w:val="620F44F5"/>
    <w:rsid w:val="62330149"/>
    <w:rsid w:val="624E346D"/>
    <w:rsid w:val="624F3E49"/>
    <w:rsid w:val="62632286"/>
    <w:rsid w:val="62885958"/>
    <w:rsid w:val="62B674A5"/>
    <w:rsid w:val="62F40B65"/>
    <w:rsid w:val="62FC2CFE"/>
    <w:rsid w:val="63024505"/>
    <w:rsid w:val="632C6FB1"/>
    <w:rsid w:val="633D721D"/>
    <w:rsid w:val="635B1DB5"/>
    <w:rsid w:val="636B0439"/>
    <w:rsid w:val="63711FED"/>
    <w:rsid w:val="63880DDC"/>
    <w:rsid w:val="638D750D"/>
    <w:rsid w:val="63A36518"/>
    <w:rsid w:val="63AC6CC0"/>
    <w:rsid w:val="63D066D2"/>
    <w:rsid w:val="64055776"/>
    <w:rsid w:val="640C0875"/>
    <w:rsid w:val="640E127D"/>
    <w:rsid w:val="64240056"/>
    <w:rsid w:val="643E143A"/>
    <w:rsid w:val="645A71B2"/>
    <w:rsid w:val="648B6EEF"/>
    <w:rsid w:val="648C1B70"/>
    <w:rsid w:val="64C158BF"/>
    <w:rsid w:val="64C27B00"/>
    <w:rsid w:val="64CE2EAA"/>
    <w:rsid w:val="64D66A7C"/>
    <w:rsid w:val="653C3090"/>
    <w:rsid w:val="65405CCA"/>
    <w:rsid w:val="655A3BEA"/>
    <w:rsid w:val="65854376"/>
    <w:rsid w:val="658767BE"/>
    <w:rsid w:val="65892531"/>
    <w:rsid w:val="65BA52F7"/>
    <w:rsid w:val="66065A48"/>
    <w:rsid w:val="66195831"/>
    <w:rsid w:val="662B5A52"/>
    <w:rsid w:val="662D6DA8"/>
    <w:rsid w:val="662E75B1"/>
    <w:rsid w:val="66342C2E"/>
    <w:rsid w:val="663E784C"/>
    <w:rsid w:val="66594935"/>
    <w:rsid w:val="667A09B7"/>
    <w:rsid w:val="668B6A45"/>
    <w:rsid w:val="66A45BDC"/>
    <w:rsid w:val="66C74351"/>
    <w:rsid w:val="671B2C97"/>
    <w:rsid w:val="672F3F24"/>
    <w:rsid w:val="673E055F"/>
    <w:rsid w:val="67551CE3"/>
    <w:rsid w:val="675B1A5F"/>
    <w:rsid w:val="67762F9E"/>
    <w:rsid w:val="679413D5"/>
    <w:rsid w:val="679B2025"/>
    <w:rsid w:val="67A22552"/>
    <w:rsid w:val="67B22DCC"/>
    <w:rsid w:val="67BE71AA"/>
    <w:rsid w:val="67D90273"/>
    <w:rsid w:val="67DE5875"/>
    <w:rsid w:val="67E55852"/>
    <w:rsid w:val="67EB1AB4"/>
    <w:rsid w:val="67FA1285"/>
    <w:rsid w:val="68551F4F"/>
    <w:rsid w:val="685847A6"/>
    <w:rsid w:val="687C10C9"/>
    <w:rsid w:val="68840C16"/>
    <w:rsid w:val="68876EFB"/>
    <w:rsid w:val="68884654"/>
    <w:rsid w:val="689F444F"/>
    <w:rsid w:val="68B96DBB"/>
    <w:rsid w:val="68BB37A7"/>
    <w:rsid w:val="68CA2805"/>
    <w:rsid w:val="68E937A3"/>
    <w:rsid w:val="69196B57"/>
    <w:rsid w:val="691C4BA2"/>
    <w:rsid w:val="693E15D3"/>
    <w:rsid w:val="694E7060"/>
    <w:rsid w:val="69627681"/>
    <w:rsid w:val="69701FBE"/>
    <w:rsid w:val="6977531D"/>
    <w:rsid w:val="697B1F3A"/>
    <w:rsid w:val="69A53598"/>
    <w:rsid w:val="69C85FF1"/>
    <w:rsid w:val="69CC2BFF"/>
    <w:rsid w:val="69FD55B8"/>
    <w:rsid w:val="6A0B1C62"/>
    <w:rsid w:val="6A2406C8"/>
    <w:rsid w:val="6A2C3AC3"/>
    <w:rsid w:val="6A4B7311"/>
    <w:rsid w:val="6A834F5B"/>
    <w:rsid w:val="6A8453C5"/>
    <w:rsid w:val="6A9A6657"/>
    <w:rsid w:val="6ADE0BD1"/>
    <w:rsid w:val="6AE96859"/>
    <w:rsid w:val="6B147746"/>
    <w:rsid w:val="6B24787C"/>
    <w:rsid w:val="6B26761E"/>
    <w:rsid w:val="6B346F2B"/>
    <w:rsid w:val="6B380B3D"/>
    <w:rsid w:val="6B426AD4"/>
    <w:rsid w:val="6B573233"/>
    <w:rsid w:val="6B5B6274"/>
    <w:rsid w:val="6B935D53"/>
    <w:rsid w:val="6BDA1BDD"/>
    <w:rsid w:val="6BDC30C6"/>
    <w:rsid w:val="6C133194"/>
    <w:rsid w:val="6C196F71"/>
    <w:rsid w:val="6C1A6BD0"/>
    <w:rsid w:val="6C226FCB"/>
    <w:rsid w:val="6C31226F"/>
    <w:rsid w:val="6C514E57"/>
    <w:rsid w:val="6C552F0B"/>
    <w:rsid w:val="6C8B51FB"/>
    <w:rsid w:val="6C8C67B7"/>
    <w:rsid w:val="6C9D744C"/>
    <w:rsid w:val="6CC55D31"/>
    <w:rsid w:val="6D167928"/>
    <w:rsid w:val="6D26299B"/>
    <w:rsid w:val="6D4772EC"/>
    <w:rsid w:val="6D9078AF"/>
    <w:rsid w:val="6DAA3FEF"/>
    <w:rsid w:val="6DBF2DB2"/>
    <w:rsid w:val="6DC0172B"/>
    <w:rsid w:val="6DCB690C"/>
    <w:rsid w:val="6DD41A5B"/>
    <w:rsid w:val="6DF43C2E"/>
    <w:rsid w:val="6DF51CA3"/>
    <w:rsid w:val="6E0863D3"/>
    <w:rsid w:val="6E8335BD"/>
    <w:rsid w:val="6E8E12EF"/>
    <w:rsid w:val="6E972936"/>
    <w:rsid w:val="6EBF1DC3"/>
    <w:rsid w:val="6ED446C5"/>
    <w:rsid w:val="6F2A7D94"/>
    <w:rsid w:val="6F665B7C"/>
    <w:rsid w:val="6F730377"/>
    <w:rsid w:val="6F8331F1"/>
    <w:rsid w:val="6F8A0F8C"/>
    <w:rsid w:val="6FAE1A09"/>
    <w:rsid w:val="6FD44A65"/>
    <w:rsid w:val="6FD75BF8"/>
    <w:rsid w:val="70206492"/>
    <w:rsid w:val="707723D0"/>
    <w:rsid w:val="70BF3010"/>
    <w:rsid w:val="70E5507E"/>
    <w:rsid w:val="70F5661B"/>
    <w:rsid w:val="71084023"/>
    <w:rsid w:val="710E183A"/>
    <w:rsid w:val="711B4915"/>
    <w:rsid w:val="71360107"/>
    <w:rsid w:val="713B688E"/>
    <w:rsid w:val="7151750C"/>
    <w:rsid w:val="71A265F4"/>
    <w:rsid w:val="71D43752"/>
    <w:rsid w:val="71F1796A"/>
    <w:rsid w:val="72093BA6"/>
    <w:rsid w:val="720C45CB"/>
    <w:rsid w:val="72132D4D"/>
    <w:rsid w:val="72154626"/>
    <w:rsid w:val="72262B5D"/>
    <w:rsid w:val="72283FF7"/>
    <w:rsid w:val="722E7212"/>
    <w:rsid w:val="723A0474"/>
    <w:rsid w:val="724F4877"/>
    <w:rsid w:val="725923E4"/>
    <w:rsid w:val="727163BD"/>
    <w:rsid w:val="72777EDD"/>
    <w:rsid w:val="72864BF7"/>
    <w:rsid w:val="729023FC"/>
    <w:rsid w:val="72B62B48"/>
    <w:rsid w:val="72CE1FD6"/>
    <w:rsid w:val="7328339C"/>
    <w:rsid w:val="73286404"/>
    <w:rsid w:val="73460898"/>
    <w:rsid w:val="73B95C72"/>
    <w:rsid w:val="73C0646E"/>
    <w:rsid w:val="73D239B1"/>
    <w:rsid w:val="73D96AEE"/>
    <w:rsid w:val="73E6120B"/>
    <w:rsid w:val="742222F5"/>
    <w:rsid w:val="74476126"/>
    <w:rsid w:val="7463243A"/>
    <w:rsid w:val="74706664"/>
    <w:rsid w:val="747F3682"/>
    <w:rsid w:val="749C4185"/>
    <w:rsid w:val="74BC6A08"/>
    <w:rsid w:val="75067759"/>
    <w:rsid w:val="752E6DCD"/>
    <w:rsid w:val="754405BD"/>
    <w:rsid w:val="754F2B6C"/>
    <w:rsid w:val="7551380D"/>
    <w:rsid w:val="75600BE5"/>
    <w:rsid w:val="7564475C"/>
    <w:rsid w:val="7583797F"/>
    <w:rsid w:val="75D20F1D"/>
    <w:rsid w:val="75DA2C18"/>
    <w:rsid w:val="75F54412"/>
    <w:rsid w:val="761D08E0"/>
    <w:rsid w:val="763A5CD8"/>
    <w:rsid w:val="765D347C"/>
    <w:rsid w:val="76826699"/>
    <w:rsid w:val="76B800A3"/>
    <w:rsid w:val="76C87133"/>
    <w:rsid w:val="76CD08D5"/>
    <w:rsid w:val="76DB4B92"/>
    <w:rsid w:val="77052AA4"/>
    <w:rsid w:val="77136511"/>
    <w:rsid w:val="77315B09"/>
    <w:rsid w:val="77340A39"/>
    <w:rsid w:val="77351FD0"/>
    <w:rsid w:val="77472422"/>
    <w:rsid w:val="777F31F2"/>
    <w:rsid w:val="779C6247"/>
    <w:rsid w:val="77D1700D"/>
    <w:rsid w:val="77DF044B"/>
    <w:rsid w:val="77E12CB2"/>
    <w:rsid w:val="77EC04CC"/>
    <w:rsid w:val="77ED2B68"/>
    <w:rsid w:val="77FDDB5F"/>
    <w:rsid w:val="78063EE4"/>
    <w:rsid w:val="781A0520"/>
    <w:rsid w:val="78602ACB"/>
    <w:rsid w:val="78664675"/>
    <w:rsid w:val="78775729"/>
    <w:rsid w:val="789324D6"/>
    <w:rsid w:val="78A42DB0"/>
    <w:rsid w:val="78A656AB"/>
    <w:rsid w:val="78B2245C"/>
    <w:rsid w:val="78CC2A74"/>
    <w:rsid w:val="78E172CC"/>
    <w:rsid w:val="78E201F2"/>
    <w:rsid w:val="78EA1D1F"/>
    <w:rsid w:val="7904172F"/>
    <w:rsid w:val="790F7E27"/>
    <w:rsid w:val="792A231A"/>
    <w:rsid w:val="79316829"/>
    <w:rsid w:val="79475498"/>
    <w:rsid w:val="797E66A9"/>
    <w:rsid w:val="799632CD"/>
    <w:rsid w:val="79A97383"/>
    <w:rsid w:val="79B7342D"/>
    <w:rsid w:val="79D35D8D"/>
    <w:rsid w:val="79E27E8B"/>
    <w:rsid w:val="79F850CE"/>
    <w:rsid w:val="79FD443C"/>
    <w:rsid w:val="7A1D1975"/>
    <w:rsid w:val="7A307068"/>
    <w:rsid w:val="7A3E5150"/>
    <w:rsid w:val="7A4670D6"/>
    <w:rsid w:val="7A534B63"/>
    <w:rsid w:val="7A5C16D2"/>
    <w:rsid w:val="7A615382"/>
    <w:rsid w:val="7A67303B"/>
    <w:rsid w:val="7AAB1D04"/>
    <w:rsid w:val="7ABA4368"/>
    <w:rsid w:val="7ACD1C1E"/>
    <w:rsid w:val="7AD05746"/>
    <w:rsid w:val="7B2173E8"/>
    <w:rsid w:val="7B257FFD"/>
    <w:rsid w:val="7B343476"/>
    <w:rsid w:val="7B5A2978"/>
    <w:rsid w:val="7B5A7E4C"/>
    <w:rsid w:val="7B667AF9"/>
    <w:rsid w:val="7B6B7668"/>
    <w:rsid w:val="7B7468F8"/>
    <w:rsid w:val="7B7C1ABA"/>
    <w:rsid w:val="7BC30888"/>
    <w:rsid w:val="7BEE0103"/>
    <w:rsid w:val="7BF56183"/>
    <w:rsid w:val="7C0A0FE4"/>
    <w:rsid w:val="7C1A1F01"/>
    <w:rsid w:val="7C254906"/>
    <w:rsid w:val="7C30396B"/>
    <w:rsid w:val="7C590818"/>
    <w:rsid w:val="7C6FCA9D"/>
    <w:rsid w:val="7C7C10F6"/>
    <w:rsid w:val="7C853BEA"/>
    <w:rsid w:val="7C881368"/>
    <w:rsid w:val="7CD60A03"/>
    <w:rsid w:val="7CE27788"/>
    <w:rsid w:val="7D0C32F1"/>
    <w:rsid w:val="7D0F408D"/>
    <w:rsid w:val="7D491C6C"/>
    <w:rsid w:val="7D5429C0"/>
    <w:rsid w:val="7D6E6D43"/>
    <w:rsid w:val="7D7E1AD8"/>
    <w:rsid w:val="7DB57A34"/>
    <w:rsid w:val="7DE60973"/>
    <w:rsid w:val="7DEF0916"/>
    <w:rsid w:val="7DF74B1D"/>
    <w:rsid w:val="7E1E5218"/>
    <w:rsid w:val="7E290672"/>
    <w:rsid w:val="7E8D00FD"/>
    <w:rsid w:val="7E924985"/>
    <w:rsid w:val="7E9A4E1F"/>
    <w:rsid w:val="7EA7723A"/>
    <w:rsid w:val="7ED02A96"/>
    <w:rsid w:val="7EF56FBB"/>
    <w:rsid w:val="7F0768EB"/>
    <w:rsid w:val="7F143BEC"/>
    <w:rsid w:val="7F28097A"/>
    <w:rsid w:val="7F715AF2"/>
    <w:rsid w:val="7F886E69"/>
    <w:rsid w:val="7FFA4FF3"/>
    <w:rsid w:val="BB7FA927"/>
    <w:rsid w:val="DEFFAD92"/>
    <w:rsid w:val="F5FFD31F"/>
    <w:rsid w:val="FA47BF2E"/>
    <w:rsid w:val="FA7DB66F"/>
    <w:rsid w:val="FEEF3596"/>
    <w:rsid w:val="FFF7D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3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6"/>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0"/>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6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3"/>
    <w:qFormat/>
    <w:uiPriority w:val="0"/>
    <w:pPr>
      <w:autoSpaceDE w:val="0"/>
      <w:autoSpaceDN w:val="0"/>
      <w:spacing w:line="360" w:lineRule="auto"/>
    </w:pPr>
    <w:rPr>
      <w:rFonts w:ascii="宋体" w:hAnsi="Arial" w:cs="Arial"/>
      <w:snapToGrid w:val="0"/>
      <w:sz w:val="24"/>
      <w:szCs w:val="21"/>
      <w:lang w:val="zh-CN"/>
    </w:rPr>
  </w:style>
  <w:style w:type="paragraph" w:styleId="3">
    <w:name w:val="Body Text 2"/>
    <w:basedOn w:val="1"/>
    <w:next w:val="1"/>
    <w:link w:val="305"/>
    <w:qFormat/>
    <w:uiPriority w:val="0"/>
    <w:pPr>
      <w:spacing w:after="120" w:line="480" w:lineRule="auto"/>
    </w:p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next w:val="1"/>
    <w:link w:val="195"/>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3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4"/>
    <w:qFormat/>
    <w:uiPriority w:val="0"/>
    <w:pPr>
      <w:shd w:val="clear" w:color="auto" w:fill="000080"/>
    </w:pPr>
  </w:style>
  <w:style w:type="paragraph" w:styleId="21">
    <w:name w:val="annotation text"/>
    <w:basedOn w:val="1"/>
    <w:link w:val="347"/>
    <w:qFormat/>
    <w:uiPriority w:val="99"/>
    <w:pPr>
      <w:jc w:val="left"/>
    </w:pPr>
  </w:style>
  <w:style w:type="paragraph" w:styleId="22">
    <w:name w:val="Salutation"/>
    <w:basedOn w:val="1"/>
    <w:next w:val="1"/>
    <w:link w:val="301"/>
    <w:qFormat/>
    <w:uiPriority w:val="0"/>
    <w:rPr>
      <w:rFonts w:ascii="仿宋_GB2312" w:eastAsia="仿宋_GB2312"/>
      <w:sz w:val="28"/>
      <w:szCs w:val="20"/>
    </w:rPr>
  </w:style>
  <w:style w:type="paragraph" w:styleId="23">
    <w:name w:val="Body Text 3"/>
    <w:basedOn w:val="1"/>
    <w:link w:val="333"/>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Indent"/>
    <w:basedOn w:val="1"/>
    <w:next w:val="26"/>
    <w:link w:val="268"/>
    <w:qFormat/>
    <w:uiPriority w:val="0"/>
    <w:pPr>
      <w:spacing w:line="480" w:lineRule="exact"/>
      <w:ind w:firstLine="480" w:firstLineChars="200"/>
    </w:pPr>
    <w:rPr>
      <w:rFonts w:ascii="宋体" w:hAnsi="宋体"/>
      <w:sz w:val="24"/>
    </w:rPr>
  </w:style>
  <w:style w:type="paragraph" w:styleId="26">
    <w:name w:val="envelope return"/>
    <w:basedOn w:val="1"/>
    <w:qFormat/>
    <w:uiPriority w:val="0"/>
    <w:pPr>
      <w:snapToGrid w:val="0"/>
    </w:pPr>
    <w:rPr>
      <w:rFonts w:ascii="Arial" w:hAnsi="Arial" w:cs="Arial"/>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12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3"/>
    <w:qFormat/>
    <w:uiPriority w:val="0"/>
    <w:pPr>
      <w:ind w:left="100" w:leftChars="2500"/>
    </w:pPr>
    <w:rPr>
      <w:rFonts w:ascii="宋体"/>
      <w:sz w:val="24"/>
      <w:szCs w:val="21"/>
      <w:lang w:val="zh-CN"/>
    </w:rPr>
  </w:style>
  <w:style w:type="paragraph" w:styleId="38">
    <w:name w:val="Body Text Indent 2"/>
    <w:basedOn w:val="1"/>
    <w:next w:val="1"/>
    <w:link w:val="311"/>
    <w:qFormat/>
    <w:uiPriority w:val="0"/>
    <w:pPr>
      <w:spacing w:line="360" w:lineRule="auto"/>
      <w:ind w:firstLine="601"/>
      <w:textAlignment w:val="baseline"/>
    </w:pPr>
    <w:rPr>
      <w:rFonts w:ascii="宋体"/>
      <w:kern w:val="0"/>
      <w:sz w:val="28"/>
      <w:szCs w:val="20"/>
    </w:rPr>
  </w:style>
  <w:style w:type="paragraph" w:styleId="39">
    <w:name w:val="endnote text"/>
    <w:basedOn w:val="1"/>
    <w:link w:val="933"/>
    <w:qFormat/>
    <w:uiPriority w:val="0"/>
    <w:rPr>
      <w:lang w:val="zh-CN"/>
    </w:rPr>
  </w:style>
  <w:style w:type="paragraph" w:styleId="40">
    <w:name w:val="Balloon Text"/>
    <w:basedOn w:val="1"/>
    <w:link w:val="190"/>
    <w:qFormat/>
    <w:uiPriority w:val="0"/>
    <w:rPr>
      <w:sz w:val="18"/>
      <w:szCs w:val="18"/>
    </w:rPr>
  </w:style>
  <w:style w:type="paragraph" w:styleId="41">
    <w:name w:val="footer"/>
    <w:basedOn w:val="1"/>
    <w:link w:val="386"/>
    <w:qFormat/>
    <w:uiPriority w:val="99"/>
    <w:pPr>
      <w:tabs>
        <w:tab w:val="center" w:pos="4153"/>
        <w:tab w:val="right" w:pos="8306"/>
      </w:tabs>
      <w:snapToGrid w:val="0"/>
      <w:jc w:val="left"/>
    </w:pPr>
    <w:rPr>
      <w:sz w:val="18"/>
      <w:szCs w:val="18"/>
    </w:rPr>
  </w:style>
  <w:style w:type="paragraph" w:styleId="42">
    <w:name w:val="header"/>
    <w:basedOn w:val="1"/>
    <w:link w:val="395"/>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8"/>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1"/>
    <w:link w:val="313"/>
    <w:qFormat/>
    <w:uiPriority w:val="0"/>
    <w:pPr>
      <w:adjustRightInd/>
      <w:spacing w:before="60" w:after="60" w:line="300" w:lineRule="exact"/>
    </w:pPr>
    <w:rPr>
      <w:rFonts w:ascii="Calibri"/>
      <w:color w:val="0000FF"/>
      <w:kern w:val="0"/>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8"/>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HTML Preformatted"/>
    <w:basedOn w:val="1"/>
    <w:link w:val="3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next w:val="1"/>
    <w:link w:val="289"/>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8"/>
    <w:qFormat/>
    <w:uiPriority w:val="0"/>
    <w:rPr>
      <w:b/>
      <w:bCs/>
    </w:rPr>
  </w:style>
  <w:style w:type="paragraph" w:styleId="61">
    <w:name w:val="Body Text First Indent"/>
    <w:basedOn w:val="2"/>
    <w:next w:val="52"/>
    <w:link w:val="324"/>
    <w:qFormat/>
    <w:uiPriority w:val="0"/>
    <w:pPr>
      <w:ind w:firstLine="420"/>
    </w:pPr>
    <w:rPr>
      <w:rFonts w:hAnsi="Calibri" w:cs="Times New Roman"/>
      <w:snapToGrid/>
      <w:szCs w:val="20"/>
    </w:rPr>
  </w:style>
  <w:style w:type="paragraph" w:styleId="62">
    <w:name w:val="Body Text First Indent 2"/>
    <w:basedOn w:val="25"/>
    <w:next w:val="1"/>
    <w:link w:val="123"/>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basedOn w:val="70"/>
    <w:qFormat/>
    <w:uiPriority w:val="99"/>
    <w:rPr>
      <w:rFonts w:ascii="Times New Roman" w:hAnsi="Times New Roman" w:eastAsia="宋体" w:cs="Times New Roman"/>
      <w:kern w:val="2"/>
      <w:sz w:val="21"/>
      <w:szCs w:val="24"/>
      <w:lang w:val="en-US" w:eastAsia="zh-CN" w:bidi="ar-SA"/>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1">
    <w:name w:val="文章正文"/>
    <w:basedOn w:val="1"/>
    <w:qFormat/>
    <w:uiPriority w:val="0"/>
    <w:pPr>
      <w:spacing w:line="360" w:lineRule="auto"/>
      <w:ind w:firstLine="200" w:firstLineChars="200"/>
    </w:pPr>
    <w:rPr>
      <w:rFonts w:ascii="Calibri" w:hAnsi="Calibri"/>
      <w:sz w:val="24"/>
    </w:rPr>
  </w:style>
  <w:style w:type="paragraph" w:customStyle="1" w:styleId="82">
    <w:name w:val="_Style 2"/>
    <w:basedOn w:val="1"/>
    <w:qFormat/>
    <w:uiPriority w:val="0"/>
    <w:pPr>
      <w:ind w:firstLine="200" w:firstLineChars="200"/>
    </w:pPr>
    <w:rPr>
      <w:rFonts w:ascii="Calibri" w:hAnsi="Calibri"/>
      <w:sz w:val="28"/>
    </w:rPr>
  </w:style>
  <w:style w:type="paragraph" w:customStyle="1" w:styleId="83">
    <w:name w:val="标准正文"/>
    <w:basedOn w:val="1"/>
    <w:qFormat/>
    <w:uiPriority w:val="0"/>
    <w:pPr>
      <w:tabs>
        <w:tab w:val="left" w:pos="780"/>
      </w:tabs>
      <w:adjustRightInd/>
      <w:spacing w:line="360" w:lineRule="auto"/>
      <w:ind w:left="200" w:leftChars="200" w:firstLine="200" w:firstLineChars="200"/>
    </w:pPr>
    <w:rPr>
      <w:sz w:val="24"/>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字符"/>
    <w:link w:val="60"/>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2"/>
    <w:qFormat/>
    <w:uiPriority w:val="0"/>
    <w:rPr>
      <w:rFonts w:ascii="宋体" w:hAnsi="宋体"/>
      <w:kern w:val="2"/>
      <w:sz w:val="21"/>
      <w:szCs w:val="24"/>
    </w:rPr>
  </w:style>
  <w:style w:type="character" w:customStyle="1" w:styleId="124">
    <w:name w:val="font11"/>
    <w:basedOn w:val="70"/>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0"/>
    <w:qFormat/>
    <w:uiPriority w:val="0"/>
    <w:rPr>
      <w:rFonts w:ascii="Arial" w:hAnsi="Arial" w:eastAsia="黑体" w:cs="Arial"/>
      <w:snapToGrid w:val="0"/>
      <w:kern w:val="0"/>
      <w:szCs w:val="21"/>
    </w:rPr>
  </w:style>
  <w:style w:type="character" w:customStyle="1" w:styleId="127">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字符"/>
    <w:link w:val="48"/>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字符"/>
    <w:link w:val="9"/>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5"/>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37"/>
    <w:qFormat/>
    <w:uiPriority w:val="0"/>
    <w:rPr>
      <w:rFonts w:ascii="宋体"/>
      <w:kern w:val="2"/>
      <w:sz w:val="24"/>
      <w:szCs w:val="21"/>
      <w:lang w:val="zh-CN"/>
    </w:rPr>
  </w:style>
  <w:style w:type="character" w:customStyle="1" w:styleId="184">
    <w:name w:val="标题 9 字符"/>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字符1"/>
    <w:link w:val="40"/>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17"/>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20"/>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0"/>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字符"/>
    <w:link w:val="31"/>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字符"/>
    <w:link w:val="18"/>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next w:val="238"/>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9">
    <w:name w:val="style91"/>
    <w:qFormat/>
    <w:uiPriority w:val="0"/>
    <w:rPr>
      <w:color w:val="333333"/>
    </w:rPr>
  </w:style>
  <w:style w:type="character" w:customStyle="1" w:styleId="240">
    <w:name w:val="列出段落 Char2"/>
    <w:qFormat/>
    <w:uiPriority w:val="34"/>
    <w:rPr>
      <w:rFonts w:ascii="Calibri" w:hAnsi="Calibri"/>
      <w:kern w:val="2"/>
      <w:sz w:val="28"/>
    </w:rPr>
  </w:style>
  <w:style w:type="character" w:customStyle="1" w:styleId="241">
    <w:name w:val="mdeck"/>
    <w:qFormat/>
    <w:uiPriority w:val="0"/>
    <w:rPr>
      <w:rFonts w:ascii="仿宋_GB2312" w:eastAsia="微软雅黑"/>
      <w:b/>
      <w:kern w:val="2"/>
      <w:sz w:val="32"/>
      <w:szCs w:val="32"/>
      <w:lang w:val="en-US" w:eastAsia="zh-CN" w:bidi="ar-SA"/>
    </w:rPr>
  </w:style>
  <w:style w:type="character" w:customStyle="1" w:styleId="242">
    <w:name w:val="unnamed11"/>
    <w:qFormat/>
    <w:uiPriority w:val="0"/>
    <w:rPr>
      <w:sz w:val="20"/>
      <w:szCs w:val="20"/>
    </w:rPr>
  </w:style>
  <w:style w:type="character" w:customStyle="1" w:styleId="243">
    <w:name w:val="正文文本 Char2"/>
    <w:semiHidden/>
    <w:qFormat/>
    <w:uiPriority w:val="99"/>
    <w:rPr>
      <w:rFonts w:ascii="Times New Roman" w:hAnsi="Times New Roman" w:eastAsia="宋体" w:cs="Times New Roman"/>
      <w:snapToGrid w:val="0"/>
      <w:kern w:val="0"/>
      <w:szCs w:val="24"/>
    </w:rPr>
  </w:style>
  <w:style w:type="character" w:customStyle="1" w:styleId="244">
    <w:name w:val="标书正文格式 Char"/>
    <w:qFormat/>
    <w:uiPriority w:val="0"/>
    <w:rPr>
      <w:rFonts w:eastAsia="楷体_GB2312"/>
      <w:kern w:val="2"/>
      <w:sz w:val="24"/>
      <w:szCs w:val="24"/>
      <w:lang w:bidi="ar-SA"/>
    </w:rPr>
  </w:style>
  <w:style w:type="character" w:customStyle="1" w:styleId="245">
    <w:name w:val="Char Char11"/>
    <w:qFormat/>
    <w:locked/>
    <w:uiPriority w:val="0"/>
    <w:rPr>
      <w:rFonts w:ascii="宋体" w:hAnsi="宋体" w:eastAsia="宋体"/>
      <w:b/>
      <w:kern w:val="2"/>
      <w:sz w:val="24"/>
      <w:szCs w:val="24"/>
      <w:lang w:val="en-US" w:eastAsia="zh-CN" w:bidi="ar-SA"/>
    </w:rPr>
  </w:style>
  <w:style w:type="character" w:customStyle="1" w:styleId="246">
    <w:name w:val="ca-131"/>
    <w:qFormat/>
    <w:uiPriority w:val="0"/>
    <w:rPr>
      <w:rFonts w:hint="eastAsia" w:ascii="仿宋_GB2312" w:eastAsia="仿宋_GB2312"/>
      <w:b/>
      <w:bCs/>
      <w:color w:val="000000"/>
      <w:spacing w:val="-20"/>
      <w:sz w:val="24"/>
      <w:szCs w:val="24"/>
    </w:rPr>
  </w:style>
  <w:style w:type="character" w:customStyle="1" w:styleId="247">
    <w:name w:val="tw4winMark"/>
    <w:qFormat/>
    <w:uiPriority w:val="0"/>
    <w:rPr>
      <w:rFonts w:ascii="Courier New" w:hAnsi="Courier New" w:cs="Courier New"/>
      <w:vanish/>
      <w:color w:val="800080"/>
      <w:sz w:val="24"/>
      <w:szCs w:val="24"/>
      <w:vertAlign w:val="subscript"/>
    </w:rPr>
  </w:style>
  <w:style w:type="character" w:customStyle="1" w:styleId="248">
    <w:name w:val="正文样式 Char"/>
    <w:link w:val="249"/>
    <w:qFormat/>
    <w:uiPriority w:val="0"/>
    <w:rPr>
      <w:rFonts w:ascii="Calibri" w:hAnsi="Calibri"/>
      <w:sz w:val="24"/>
      <w:szCs w:val="24"/>
    </w:rPr>
  </w:style>
  <w:style w:type="paragraph" w:customStyle="1" w:styleId="249">
    <w:name w:val="正文样式"/>
    <w:basedOn w:val="1"/>
    <w:link w:val="248"/>
    <w:qFormat/>
    <w:uiPriority w:val="0"/>
    <w:pPr>
      <w:adjustRightInd/>
      <w:spacing w:line="360" w:lineRule="auto"/>
      <w:ind w:firstLine="480" w:firstLineChars="200"/>
    </w:pPr>
    <w:rPr>
      <w:kern w:val="0"/>
      <w:sz w:val="24"/>
    </w:rPr>
  </w:style>
  <w:style w:type="character" w:customStyle="1" w:styleId="250">
    <w:name w:val="表正文 Char3"/>
    <w:qFormat/>
    <w:uiPriority w:val="0"/>
    <w:rPr>
      <w:rFonts w:eastAsia="宋体"/>
    </w:rPr>
  </w:style>
  <w:style w:type="character" w:customStyle="1" w:styleId="251">
    <w:name w:val="H5 Char"/>
    <w:qFormat/>
    <w:uiPriority w:val="0"/>
    <w:rPr>
      <w:b/>
      <w:bCs/>
      <w:kern w:val="2"/>
      <w:sz w:val="28"/>
      <w:szCs w:val="28"/>
    </w:rPr>
  </w:style>
  <w:style w:type="character" w:customStyle="1" w:styleId="252">
    <w:name w:val="Char Char3"/>
    <w:qFormat/>
    <w:uiPriority w:val="0"/>
    <w:rPr>
      <w:rFonts w:eastAsia="宋体"/>
      <w:kern w:val="2"/>
      <w:sz w:val="21"/>
      <w:szCs w:val="24"/>
      <w:lang w:val="en-US" w:eastAsia="zh-CN" w:bidi="ar-SA"/>
    </w:rPr>
  </w:style>
  <w:style w:type="character" w:customStyle="1" w:styleId="253">
    <w:name w:val="正文 编号 Char"/>
    <w:qFormat/>
    <w:uiPriority w:val="0"/>
    <w:rPr>
      <w:rFonts w:ascii="仿宋_GB2312" w:hAnsi="仿宋_GB2312" w:eastAsia="仿宋_GB2312"/>
      <w:kern w:val="2"/>
      <w:sz w:val="24"/>
      <w:lang w:bidi="ar-SA"/>
    </w:rPr>
  </w:style>
  <w:style w:type="character" w:customStyle="1" w:styleId="254">
    <w:name w:val="question-title2"/>
    <w:qFormat/>
    <w:uiPriority w:val="6"/>
    <w:rPr>
      <w:rFonts w:ascii="Arial" w:hAnsi="Arial" w:eastAsia="黑体" w:cs="Arial"/>
      <w:snapToGrid w:val="0"/>
      <w:kern w:val="0"/>
      <w:szCs w:val="21"/>
    </w:rPr>
  </w:style>
  <w:style w:type="character" w:customStyle="1" w:styleId="255">
    <w:name w:val="gf正文1 Char Char"/>
    <w:link w:val="256"/>
    <w:qFormat/>
    <w:uiPriority w:val="0"/>
    <w:rPr>
      <w:rFonts w:ascii="宋体" w:hAnsi="宋体" w:cs="宋体"/>
      <w:kern w:val="2"/>
      <w:sz w:val="24"/>
      <w:szCs w:val="24"/>
    </w:rPr>
  </w:style>
  <w:style w:type="paragraph" w:customStyle="1" w:styleId="256">
    <w:name w:val="gf正文1"/>
    <w:basedOn w:val="1"/>
    <w:link w:val="255"/>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qFormat/>
    <w:uiPriority w:val="6"/>
    <w:rPr>
      <w:rFonts w:ascii="宋体" w:hAnsi="宋体"/>
      <w:kern w:val="1"/>
      <w:sz w:val="21"/>
    </w:rPr>
  </w:style>
  <w:style w:type="character" w:customStyle="1" w:styleId="258">
    <w:name w:val="正文缩进 Char3"/>
    <w:qFormat/>
    <w:uiPriority w:val="0"/>
    <w:rPr>
      <w:rFonts w:ascii="宋体" w:eastAsia="宋体"/>
      <w:snapToGrid w:val="0"/>
      <w:color w:val="000000"/>
      <w:kern w:val="28"/>
      <w:sz w:val="28"/>
      <w:lang w:val="en-US" w:eastAsia="zh-CN" w:bidi="ar-SA"/>
    </w:rPr>
  </w:style>
  <w:style w:type="character" w:customStyle="1" w:styleId="259">
    <w:name w:val="列出段落 Char1"/>
    <w:link w:val="260"/>
    <w:qFormat/>
    <w:uiPriority w:val="0"/>
    <w:rPr>
      <w:rFonts w:ascii="Calibri" w:hAnsi="Calibri"/>
      <w:sz w:val="24"/>
      <w:lang w:eastAsia="en-US"/>
    </w:rPr>
  </w:style>
  <w:style w:type="paragraph" w:customStyle="1" w:styleId="260">
    <w:name w:val="列表1"/>
    <w:basedOn w:val="1"/>
    <w:next w:val="261"/>
    <w:link w:val="259"/>
    <w:qFormat/>
    <w:uiPriority w:val="0"/>
    <w:pPr>
      <w:widowControl/>
      <w:adjustRightInd/>
      <w:spacing w:after="200" w:line="360" w:lineRule="auto"/>
      <w:ind w:left="720" w:firstLine="200" w:firstLineChars="200"/>
      <w:jc w:val="left"/>
    </w:pPr>
    <w:rPr>
      <w:kern w:val="0"/>
      <w:sz w:val="24"/>
      <w:szCs w:val="20"/>
      <w:lang w:eastAsia="en-US"/>
    </w:rPr>
  </w:style>
  <w:style w:type="paragraph" w:styleId="261">
    <w:name w:val="List Paragraph"/>
    <w:basedOn w:val="1"/>
    <w:qFormat/>
    <w:uiPriority w:val="34"/>
    <w:pPr>
      <w:spacing w:line="360" w:lineRule="auto"/>
      <w:ind w:firstLine="200" w:firstLineChars="200"/>
    </w:pPr>
    <w:rPr>
      <w:rFonts w:eastAsia="楷体_GB2312" w:cs="Lucida Sans"/>
      <w:sz w:val="24"/>
    </w:rPr>
  </w:style>
  <w:style w:type="character" w:customStyle="1" w:styleId="262">
    <w:name w:val="Char Char8"/>
    <w:qFormat/>
    <w:uiPriority w:val="0"/>
    <w:rPr>
      <w:rFonts w:eastAsia="宋体"/>
      <w:b/>
      <w:sz w:val="24"/>
      <w:lang w:val="en-GB" w:eastAsia="zh-CN"/>
    </w:rPr>
  </w:style>
  <w:style w:type="character" w:customStyle="1" w:styleId="263">
    <w:name w:val="Normal Indent Char Char"/>
    <w:qFormat/>
    <w:uiPriority w:val="0"/>
    <w:rPr>
      <w:rFonts w:eastAsia="宋体"/>
      <w:kern w:val="2"/>
      <w:sz w:val="21"/>
      <w:lang w:val="en-US" w:eastAsia="zh-CN" w:bidi="ar-SA"/>
    </w:rPr>
  </w:style>
  <w:style w:type="character" w:customStyle="1" w:styleId="264">
    <w:name w:val="列表段落 字符"/>
    <w:qFormat/>
    <w:uiPriority w:val="99"/>
  </w:style>
  <w:style w:type="character" w:customStyle="1" w:styleId="265">
    <w:name w:val="Ò³Ã¼ Char Char1"/>
    <w:qFormat/>
    <w:uiPriority w:val="0"/>
    <w:rPr>
      <w:rFonts w:eastAsia="宋体"/>
      <w:kern w:val="2"/>
      <w:sz w:val="18"/>
      <w:szCs w:val="18"/>
      <w:lang w:val="en-US" w:eastAsia="zh-CN" w:bidi="ar-SA"/>
    </w:rPr>
  </w:style>
  <w:style w:type="character" w:customStyle="1" w:styleId="266">
    <w:name w:val="方案正文 Char"/>
    <w:qFormat/>
    <w:uiPriority w:val="0"/>
    <w:rPr>
      <w:rFonts w:ascii="仿宋_GB2312" w:eastAsia="仿宋_GB2312"/>
      <w:b/>
      <w:color w:val="000000"/>
      <w:kern w:val="2"/>
      <w:sz w:val="24"/>
      <w:lang w:val="en-US" w:eastAsia="zh-CN" w:bidi="ar-SA"/>
    </w:rPr>
  </w:style>
  <w:style w:type="character" w:customStyle="1" w:styleId="267">
    <w:name w:val="Char Char30"/>
    <w:qFormat/>
    <w:uiPriority w:val="6"/>
    <w:rPr>
      <w:rFonts w:ascii="Arial" w:hAnsi="Arial" w:eastAsia="黑体"/>
      <w:kern w:val="1"/>
      <w:sz w:val="21"/>
      <w:szCs w:val="21"/>
    </w:rPr>
  </w:style>
  <w:style w:type="character" w:customStyle="1" w:styleId="268">
    <w:name w:val="正文文本缩进 字符1"/>
    <w:link w:val="25"/>
    <w:qFormat/>
    <w:uiPriority w:val="0"/>
    <w:rPr>
      <w:rFonts w:ascii="宋体" w:hAnsi="宋体"/>
      <w:kern w:val="2"/>
      <w:sz w:val="24"/>
      <w:szCs w:val="24"/>
    </w:rPr>
  </w:style>
  <w:style w:type="character" w:customStyle="1" w:styleId="269">
    <w:name w:val="font01"/>
    <w:basedOn w:val="70"/>
    <w:qFormat/>
    <w:uiPriority w:val="0"/>
    <w:rPr>
      <w:rFonts w:hint="eastAsia" w:ascii="微软雅黑" w:hAnsi="微软雅黑" w:eastAsia="微软雅黑" w:cs="微软雅黑"/>
      <w:color w:val="000000"/>
      <w:sz w:val="20"/>
      <w:szCs w:val="20"/>
      <w:u w:val="none"/>
    </w:rPr>
  </w:style>
  <w:style w:type="character" w:customStyle="1" w:styleId="270">
    <w:name w:val="Char Char20"/>
    <w:qFormat/>
    <w:uiPriority w:val="6"/>
    <w:rPr>
      <w:kern w:val="1"/>
      <w:sz w:val="24"/>
    </w:rPr>
  </w:style>
  <w:style w:type="character" w:customStyle="1" w:styleId="271">
    <w:name w:val="tw4winExternal"/>
    <w:qFormat/>
    <w:uiPriority w:val="0"/>
    <w:rPr>
      <w:rFonts w:ascii="Courier New" w:hAnsi="Courier New" w:cs="Courier New"/>
      <w:color w:val="808080"/>
      <w:lang w:val="en-US" w:eastAsia="zh-CN"/>
    </w:rPr>
  </w:style>
  <w:style w:type="character" w:customStyle="1" w:styleId="272">
    <w:name w:val="标题 4 Char1"/>
    <w:qFormat/>
    <w:uiPriority w:val="9"/>
    <w:rPr>
      <w:rFonts w:ascii="Cambria" w:hAnsi="Cambria" w:eastAsia="宋体" w:cs="Times New Roman"/>
      <w:b/>
      <w:bCs/>
      <w:kern w:val="2"/>
      <w:sz w:val="28"/>
      <w:szCs w:val="28"/>
    </w:rPr>
  </w:style>
  <w:style w:type="character" w:customStyle="1" w:styleId="273">
    <w:name w:val="批注文字 Char2"/>
    <w:qFormat/>
    <w:uiPriority w:val="99"/>
    <w:rPr>
      <w:rFonts w:ascii="Times New Roman" w:hAnsi="Times New Roman" w:eastAsia="宋体" w:cs="Times New Roman"/>
      <w:snapToGrid w:val="0"/>
      <w:kern w:val="0"/>
      <w:szCs w:val="24"/>
    </w:rPr>
  </w:style>
  <w:style w:type="character" w:customStyle="1" w:styleId="274">
    <w:name w:val="正文文本 2 Char"/>
    <w:qFormat/>
    <w:uiPriority w:val="0"/>
    <w:rPr>
      <w:rFonts w:eastAsia="宋体"/>
      <w:kern w:val="2"/>
      <w:sz w:val="21"/>
      <w:szCs w:val="24"/>
      <w:lang w:val="en-US" w:eastAsia="zh-CN" w:bidi="ar-SA"/>
    </w:rPr>
  </w:style>
  <w:style w:type="character" w:customStyle="1" w:styleId="275">
    <w:name w:val="Ò³Ã¼ Char Char"/>
    <w:qFormat/>
    <w:uiPriority w:val="0"/>
    <w:rPr>
      <w:rFonts w:eastAsia="宋体"/>
      <w:kern w:val="2"/>
      <w:sz w:val="18"/>
      <w:lang w:val="en-US" w:eastAsia="zh-CN" w:bidi="ar-SA"/>
    </w:rPr>
  </w:style>
  <w:style w:type="character" w:customStyle="1" w:styleId="276">
    <w:name w:val="message1"/>
    <w:qFormat/>
    <w:uiPriority w:val="0"/>
    <w:rPr>
      <w:rFonts w:hint="default" w:ascii="Tahoma" w:hAnsi="Tahoma" w:cs="Tahoma"/>
      <w:sz w:val="18"/>
      <w:szCs w:val="18"/>
    </w:rPr>
  </w:style>
  <w:style w:type="character" w:customStyle="1" w:styleId="277">
    <w:name w:val="Char Char23"/>
    <w:qFormat/>
    <w:uiPriority w:val="6"/>
    <w:rPr>
      <w:color w:val="0000FF"/>
      <w:sz w:val="21"/>
    </w:rPr>
  </w:style>
  <w:style w:type="character" w:customStyle="1" w:styleId="278">
    <w:name w:val="批注框文本 字符"/>
    <w:qFormat/>
    <w:uiPriority w:val="0"/>
    <w:rPr>
      <w:rFonts w:ascii="Arial" w:hAnsi="Arial" w:eastAsia="黑体" w:cs="Arial"/>
      <w:snapToGrid w:val="0"/>
      <w:kern w:val="0"/>
      <w:sz w:val="18"/>
      <w:szCs w:val="18"/>
    </w:rPr>
  </w:style>
  <w:style w:type="character" w:customStyle="1" w:styleId="279">
    <w:name w:val="纯文本 Char2"/>
    <w:semiHidden/>
    <w:qFormat/>
    <w:uiPriority w:val="99"/>
    <w:rPr>
      <w:rFonts w:ascii="宋体" w:hAnsi="Courier New" w:eastAsia="宋体" w:cs="Courier New"/>
    </w:rPr>
  </w:style>
  <w:style w:type="character" w:customStyle="1" w:styleId="280">
    <w:name w:val="Char Char25"/>
    <w:qFormat/>
    <w:uiPriority w:val="6"/>
    <w:rPr>
      <w:rFonts w:ascii="宋体" w:hAnsi="宋体"/>
      <w:kern w:val="1"/>
      <w:sz w:val="24"/>
      <w:lang w:val="zh-CN"/>
    </w:rPr>
  </w:style>
  <w:style w:type="character" w:customStyle="1" w:styleId="281">
    <w:name w:val="Char Char411"/>
    <w:qFormat/>
    <w:uiPriority w:val="0"/>
    <w:rPr>
      <w:rFonts w:eastAsia="宋体"/>
      <w:b/>
      <w:sz w:val="24"/>
      <w:lang w:val="en-GB" w:eastAsia="zh-CN" w:bidi="ar-SA"/>
    </w:rPr>
  </w:style>
  <w:style w:type="character" w:customStyle="1" w:styleId="282">
    <w:name w:val="Heading 7 Char"/>
    <w:qFormat/>
    <w:locked/>
    <w:uiPriority w:val="0"/>
    <w:rPr>
      <w:rFonts w:ascii="宋体" w:hAnsi="宋体" w:eastAsia="宋体"/>
      <w:b/>
      <w:bCs/>
      <w:kern w:val="2"/>
      <w:sz w:val="24"/>
      <w:szCs w:val="24"/>
      <w:lang w:val="en-US" w:eastAsia="zh-CN" w:bidi="ar-SA"/>
    </w:rPr>
  </w:style>
  <w:style w:type="character" w:customStyle="1" w:styleId="283">
    <w:name w:val="此正文 Char"/>
    <w:link w:val="284"/>
    <w:qFormat/>
    <w:uiPriority w:val="0"/>
    <w:rPr>
      <w:kern w:val="2"/>
      <w:sz w:val="24"/>
      <w:szCs w:val="24"/>
    </w:rPr>
  </w:style>
  <w:style w:type="paragraph" w:customStyle="1" w:styleId="284">
    <w:name w:val="此正文"/>
    <w:basedOn w:val="1"/>
    <w:link w:val="283"/>
    <w:qFormat/>
    <w:uiPriority w:val="0"/>
    <w:pPr>
      <w:adjustRightInd/>
      <w:spacing w:line="360" w:lineRule="auto"/>
      <w:ind w:firstLine="200" w:firstLineChars="200"/>
    </w:pPr>
    <w:rPr>
      <w:sz w:val="24"/>
    </w:rPr>
  </w:style>
  <w:style w:type="character" w:customStyle="1" w:styleId="285">
    <w:name w:val="Char Char2"/>
    <w:qFormat/>
    <w:uiPriority w:val="0"/>
    <w:rPr>
      <w:rFonts w:eastAsia="宋体"/>
      <w:b/>
      <w:bCs/>
      <w:kern w:val="2"/>
      <w:sz w:val="21"/>
      <w:szCs w:val="24"/>
      <w:lang w:val="en-US" w:eastAsia="zh-CN" w:bidi="ar-SA"/>
    </w:rPr>
  </w:style>
  <w:style w:type="character" w:customStyle="1" w:styleId="286">
    <w:name w:val="标题 1 字符1"/>
    <w:link w:val="4"/>
    <w:qFormat/>
    <w:uiPriority w:val="9"/>
    <w:rPr>
      <w:b/>
      <w:bCs/>
      <w:kern w:val="44"/>
      <w:sz w:val="44"/>
      <w:szCs w:val="44"/>
    </w:rPr>
  </w:style>
  <w:style w:type="character" w:customStyle="1" w:styleId="287">
    <w:name w:val="Footer-Even Char1"/>
    <w:qFormat/>
    <w:uiPriority w:val="0"/>
    <w:rPr>
      <w:rFonts w:eastAsia="宋体"/>
      <w:kern w:val="2"/>
      <w:sz w:val="18"/>
      <w:szCs w:val="18"/>
      <w:lang w:val="en-US" w:eastAsia="zh-CN" w:bidi="ar-SA"/>
    </w:rPr>
  </w:style>
  <w:style w:type="character" w:customStyle="1" w:styleId="288">
    <w:name w:val="Char Char29"/>
    <w:qFormat/>
    <w:uiPriority w:val="6"/>
    <w:rPr>
      <w:rFonts w:ascii="Arial" w:hAnsi="Arial" w:eastAsia="微软雅黑"/>
      <w:b/>
      <w:kern w:val="1"/>
      <w:sz w:val="44"/>
      <w:szCs w:val="32"/>
      <w:lang w:val="en-US" w:eastAsia="zh-CN" w:bidi="ar-SA"/>
    </w:rPr>
  </w:style>
  <w:style w:type="character" w:customStyle="1" w:styleId="289">
    <w:name w:val="标题 字符"/>
    <w:link w:val="59"/>
    <w:qFormat/>
    <w:uiPriority w:val="10"/>
    <w:rPr>
      <w:b/>
      <w:sz w:val="24"/>
      <w:lang w:val="en-GB"/>
    </w:rPr>
  </w:style>
  <w:style w:type="character" w:customStyle="1" w:styleId="290">
    <w:name w:val="font81"/>
    <w:qFormat/>
    <w:uiPriority w:val="0"/>
    <w:rPr>
      <w:rFonts w:ascii="微软雅黑" w:hAnsi="微软雅黑" w:eastAsia="微软雅黑" w:cs="微软雅黑"/>
      <w:color w:val="000000"/>
      <w:sz w:val="20"/>
      <w:szCs w:val="20"/>
      <w:u w:val="none"/>
    </w:rPr>
  </w:style>
  <w:style w:type="character" w:customStyle="1" w:styleId="291">
    <w:name w:val="Char Char312"/>
    <w:qFormat/>
    <w:uiPriority w:val="0"/>
    <w:rPr>
      <w:rFonts w:ascii="Times New Roman" w:hAnsi="Times New Roman" w:eastAsia="宋体" w:cs="Times New Roman"/>
      <w:b/>
      <w:kern w:val="2"/>
      <w:sz w:val="32"/>
      <w:szCs w:val="24"/>
      <w:lang w:val="en-US" w:eastAsia="zh-CN" w:bidi="ar-SA"/>
    </w:rPr>
  </w:style>
  <w:style w:type="character" w:customStyle="1" w:styleId="292">
    <w:name w:val="t21"/>
    <w:qFormat/>
    <w:uiPriority w:val="0"/>
    <w:rPr>
      <w:rFonts w:ascii="仿宋_GB2312" w:eastAsia="微软雅黑"/>
      <w:b/>
      <w:kern w:val="2"/>
      <w:sz w:val="23"/>
      <w:szCs w:val="23"/>
      <w:lang w:val="en-US" w:eastAsia="zh-CN" w:bidi="ar-SA"/>
    </w:rPr>
  </w:style>
  <w:style w:type="character" w:customStyle="1" w:styleId="293">
    <w:name w:val="样式8 Char"/>
    <w:qFormat/>
    <w:uiPriority w:val="0"/>
    <w:rPr>
      <w:rFonts w:ascii="仿宋_GB2312" w:hAnsi="宋体" w:eastAsia="仿宋_GB2312"/>
      <w:b/>
      <w:bCs/>
      <w:kern w:val="2"/>
      <w:sz w:val="24"/>
      <w:szCs w:val="24"/>
    </w:rPr>
  </w:style>
  <w:style w:type="character" w:customStyle="1" w:styleId="294">
    <w:name w:val="表格 Char Char"/>
    <w:qFormat/>
    <w:uiPriority w:val="0"/>
    <w:rPr>
      <w:rFonts w:ascii="宋体" w:hAnsi="宋体" w:eastAsia="宋体"/>
      <w:lang w:bidi="ar-SA"/>
    </w:rPr>
  </w:style>
  <w:style w:type="character" w:customStyle="1" w:styleId="295">
    <w:name w:val="正文文本 字符1"/>
    <w:qFormat/>
    <w:uiPriority w:val="0"/>
    <w:rPr>
      <w:rFonts w:ascii="Calibri" w:hAnsi="Calibri" w:eastAsia="黑体" w:cs="Arial"/>
      <w:snapToGrid w:val="0"/>
      <w:kern w:val="2"/>
      <w:sz w:val="28"/>
      <w:szCs w:val="21"/>
    </w:rPr>
  </w:style>
  <w:style w:type="character" w:customStyle="1" w:styleId="296">
    <w:name w:val="标题 5 字符"/>
    <w:link w:val="8"/>
    <w:qFormat/>
    <w:uiPriority w:val="9"/>
    <w:rPr>
      <w:b/>
      <w:bCs/>
      <w:kern w:val="2"/>
      <w:sz w:val="28"/>
      <w:szCs w:val="28"/>
    </w:rPr>
  </w:style>
  <w:style w:type="character" w:customStyle="1" w:styleId="297">
    <w:name w:val="标题 6 Char1"/>
    <w:qFormat/>
    <w:uiPriority w:val="0"/>
    <w:rPr>
      <w:rFonts w:ascii="Arial" w:hAnsi="Arial" w:eastAsia="黑体" w:cs="Times New Roman"/>
      <w:b/>
      <w:sz w:val="24"/>
      <w:szCs w:val="20"/>
      <w:lang w:bidi="ar-SA"/>
    </w:rPr>
  </w:style>
  <w:style w:type="character" w:customStyle="1" w:styleId="298">
    <w:name w:val="带编号样式 Char"/>
    <w:qFormat/>
    <w:uiPriority w:val="0"/>
    <w:rPr>
      <w:rFonts w:ascii="仿宋_GB2312" w:eastAsia="仿宋_GB2312"/>
      <w:color w:val="000000"/>
      <w:sz w:val="24"/>
      <w:lang w:bidi="ar-SA"/>
    </w:rPr>
  </w:style>
  <w:style w:type="character" w:customStyle="1" w:styleId="299">
    <w:name w:val="unnamed31"/>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qFormat/>
    <w:uiPriority w:val="0"/>
    <w:rPr>
      <w:rFonts w:ascii="宋体" w:eastAsia="宋体"/>
      <w:kern w:val="2"/>
      <w:sz w:val="24"/>
      <w:szCs w:val="24"/>
      <w:lang w:val="zh-CN" w:bidi="ar-SA"/>
    </w:rPr>
  </w:style>
  <w:style w:type="character" w:customStyle="1" w:styleId="301">
    <w:name w:val="称呼 字符"/>
    <w:link w:val="22"/>
    <w:qFormat/>
    <w:uiPriority w:val="0"/>
    <w:rPr>
      <w:rFonts w:ascii="仿宋_GB2312" w:eastAsia="仿宋_GB2312"/>
      <w:kern w:val="2"/>
      <w:sz w:val="28"/>
    </w:rPr>
  </w:style>
  <w:style w:type="character" w:customStyle="1" w:styleId="302">
    <w:name w:val="文本正文 Char Char"/>
    <w:qFormat/>
    <w:locked/>
    <w:uiPriority w:val="0"/>
    <w:rPr>
      <w:sz w:val="24"/>
      <w:lang w:bidi="ar-SA"/>
    </w:rPr>
  </w:style>
  <w:style w:type="character" w:customStyle="1" w:styleId="303">
    <w:name w:val="正文缩进 字符"/>
    <w:qFormat/>
    <w:uiPriority w:val="0"/>
    <w:rPr>
      <w:rFonts w:ascii="宋体" w:eastAsia="宋体"/>
      <w:snapToGrid w:val="0"/>
      <w:color w:val="000000"/>
      <w:kern w:val="28"/>
      <w:sz w:val="28"/>
      <w:lang w:val="en-US" w:eastAsia="zh-CN" w:bidi="ar-SA"/>
    </w:rPr>
  </w:style>
  <w:style w:type="character" w:customStyle="1" w:styleId="304">
    <w:name w:val="HTML 预设格式 字符"/>
    <w:link w:val="57"/>
    <w:qFormat/>
    <w:uiPriority w:val="0"/>
    <w:rPr>
      <w:rFonts w:ascii="黑体" w:hAnsi="Courier New" w:eastAsia="黑体"/>
    </w:rPr>
  </w:style>
  <w:style w:type="character" w:customStyle="1" w:styleId="305">
    <w:name w:val="正文文本 2 字符1"/>
    <w:link w:val="3"/>
    <w:qFormat/>
    <w:uiPriority w:val="0"/>
    <w:rPr>
      <w:kern w:val="2"/>
      <w:sz w:val="21"/>
      <w:szCs w:val="24"/>
    </w:rPr>
  </w:style>
  <w:style w:type="character" w:customStyle="1" w:styleId="306">
    <w:name w:val="样式 样式 标题 4h4H4Fab-4T5Ref Heading 1rh1Heading sqlsect 1.2.3.... +... Char"/>
    <w:link w:val="307"/>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qFormat/>
    <w:uiPriority w:val="0"/>
    <w:pPr>
      <w:tabs>
        <w:tab w:val="left" w:pos="2356"/>
      </w:tabs>
    </w:pPr>
  </w:style>
  <w:style w:type="paragraph" w:customStyle="1" w:styleId="308">
    <w:name w:val="样式 标题 4h4H4Fab-4T5Ref Heading 1rh1Heading sqlsect 1.2.3...."/>
    <w:basedOn w:val="7"/>
    <w:link w:val="41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qFormat/>
    <w:uiPriority w:val="0"/>
    <w:rPr>
      <w:rFonts w:ascii="宋体" w:eastAsia="宋体"/>
      <w:snapToGrid w:val="0"/>
      <w:color w:val="000000"/>
      <w:kern w:val="28"/>
      <w:sz w:val="28"/>
      <w:lang w:val="en-US" w:eastAsia="zh-CN" w:bidi="ar-SA"/>
    </w:rPr>
  </w:style>
  <w:style w:type="character" w:customStyle="1" w:styleId="310">
    <w:name w:val="标题 7 字符"/>
    <w:link w:val="10"/>
    <w:qFormat/>
    <w:uiPriority w:val="0"/>
    <w:rPr>
      <w:b/>
      <w:bCs/>
      <w:kern w:val="2"/>
      <w:sz w:val="24"/>
      <w:szCs w:val="24"/>
    </w:rPr>
  </w:style>
  <w:style w:type="character" w:customStyle="1" w:styleId="311">
    <w:name w:val="正文文本缩进 2 字符"/>
    <w:link w:val="38"/>
    <w:qFormat/>
    <w:uiPriority w:val="0"/>
    <w:rPr>
      <w:rFonts w:ascii="宋体"/>
      <w:sz w:val="28"/>
    </w:rPr>
  </w:style>
  <w:style w:type="character" w:customStyle="1" w:styleId="312">
    <w:name w:val="Char Char5"/>
    <w:qFormat/>
    <w:uiPriority w:val="0"/>
    <w:rPr>
      <w:rFonts w:ascii="宋体" w:hAnsi="Courier New" w:eastAsia="宋体"/>
      <w:kern w:val="2"/>
      <w:sz w:val="21"/>
      <w:lang w:val="en-US" w:eastAsia="zh-CN"/>
    </w:rPr>
  </w:style>
  <w:style w:type="character" w:customStyle="1" w:styleId="313">
    <w:name w:val="脚注文本 字符"/>
    <w:link w:val="51"/>
    <w:qFormat/>
    <w:uiPriority w:val="0"/>
    <w:rPr>
      <w:color w:val="0000FF"/>
      <w:sz w:val="21"/>
    </w:rPr>
  </w:style>
  <w:style w:type="character" w:customStyle="1" w:styleId="314">
    <w:name w:val="称呼 Char1"/>
    <w:qFormat/>
    <w:uiPriority w:val="0"/>
    <w:rPr>
      <w:rFonts w:ascii="Times New Roman" w:hAnsi="Times New Roman" w:eastAsia="宋体" w:cs="Times New Roman"/>
      <w:szCs w:val="24"/>
    </w:rPr>
  </w:style>
  <w:style w:type="character" w:customStyle="1" w:styleId="315">
    <w:name w:val="正文1 Char"/>
    <w:qFormat/>
    <w:uiPriority w:val="0"/>
    <w:rPr>
      <w:rFonts w:ascii="宋体" w:eastAsia="宋体"/>
      <w:snapToGrid w:val="0"/>
      <w:color w:val="000000"/>
      <w:kern w:val="28"/>
      <w:sz w:val="28"/>
      <w:lang w:val="en-US" w:eastAsia="zh-CN" w:bidi="ar-SA"/>
    </w:rPr>
  </w:style>
  <w:style w:type="character" w:customStyle="1" w:styleId="316">
    <w:name w:val="正文缩进 Char1"/>
    <w:qFormat/>
    <w:uiPriority w:val="0"/>
    <w:rPr>
      <w:rFonts w:ascii="宋体" w:eastAsia="宋体"/>
      <w:snapToGrid w:val="0"/>
      <w:color w:val="000000"/>
      <w:kern w:val="28"/>
      <w:sz w:val="28"/>
      <w:lang w:val="en-US" w:eastAsia="zh-CN" w:bidi="ar-SA"/>
    </w:rPr>
  </w:style>
  <w:style w:type="character" w:customStyle="1" w:styleId="317">
    <w:name w:val="font21"/>
    <w:qFormat/>
    <w:uiPriority w:val="0"/>
    <w:rPr>
      <w:rFonts w:hint="eastAsia" w:ascii="宋体" w:hAnsi="宋体" w:eastAsia="宋体"/>
      <w:kern w:val="2"/>
      <w:sz w:val="28"/>
      <w:szCs w:val="28"/>
      <w:lang w:val="en-US" w:eastAsia="zh-CN" w:bidi="ar-SA"/>
    </w:rPr>
  </w:style>
  <w:style w:type="character" w:customStyle="1" w:styleId="318">
    <w:name w:val="Char Char26"/>
    <w:qFormat/>
    <w:uiPriority w:val="6"/>
    <w:rPr>
      <w:kern w:val="1"/>
      <w:sz w:val="21"/>
      <w:szCs w:val="24"/>
    </w:rPr>
  </w:style>
  <w:style w:type="character" w:customStyle="1" w:styleId="319">
    <w:name w:val="Item List Char"/>
    <w:link w:val="320"/>
    <w:qFormat/>
    <w:uiPriority w:val="0"/>
    <w:rPr>
      <w:rFonts w:ascii="Arial"/>
      <w:bCs/>
      <w:sz w:val="21"/>
      <w:szCs w:val="21"/>
      <w:lang w:val="en-US" w:eastAsia="zh-CN" w:bidi="ar-SA"/>
    </w:rPr>
  </w:style>
  <w:style w:type="paragraph" w:customStyle="1" w:styleId="320">
    <w:name w:val="Item List"/>
    <w:link w:val="31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qFormat/>
    <w:uiPriority w:val="0"/>
    <w:rPr>
      <w:rFonts w:ascii="Times New Roman" w:hAnsi="Times New Roman" w:eastAsia="宋体" w:cs="Times New Roman"/>
      <w:sz w:val="18"/>
      <w:szCs w:val="18"/>
    </w:rPr>
  </w:style>
  <w:style w:type="character" w:customStyle="1" w:styleId="322">
    <w:name w:val="纯文本 Char1"/>
    <w:link w:val="323"/>
    <w:qFormat/>
    <w:uiPriority w:val="0"/>
    <w:rPr>
      <w:rFonts w:ascii="宋体" w:hAnsi="Courier New"/>
    </w:rPr>
  </w:style>
  <w:style w:type="paragraph" w:customStyle="1" w:styleId="323">
    <w:name w:val="纯文本1"/>
    <w:basedOn w:val="1"/>
    <w:link w:val="322"/>
    <w:qFormat/>
    <w:uiPriority w:val="0"/>
    <w:pPr>
      <w:adjustRightInd/>
    </w:pPr>
    <w:rPr>
      <w:rFonts w:ascii="宋体" w:hAnsi="Courier New"/>
      <w:kern w:val="0"/>
      <w:sz w:val="20"/>
      <w:szCs w:val="20"/>
    </w:rPr>
  </w:style>
  <w:style w:type="character" w:customStyle="1" w:styleId="324">
    <w:name w:val="正文文本首行缩进 字符"/>
    <w:link w:val="61"/>
    <w:qFormat/>
    <w:uiPriority w:val="0"/>
    <w:rPr>
      <w:rFonts w:ascii="宋体"/>
      <w:kern w:val="2"/>
      <w:sz w:val="24"/>
      <w:lang w:val="zh-CN"/>
    </w:rPr>
  </w:style>
  <w:style w:type="character" w:customStyle="1" w:styleId="325">
    <w:name w:val="h3 Char"/>
    <w:qFormat/>
    <w:uiPriority w:val="0"/>
    <w:rPr>
      <w:rFonts w:eastAsia="宋体"/>
      <w:b/>
      <w:kern w:val="2"/>
      <w:sz w:val="32"/>
      <w:lang w:val="en-US" w:eastAsia="zh-CN" w:bidi="ar-SA"/>
    </w:rPr>
  </w:style>
  <w:style w:type="character" w:customStyle="1" w:styleId="326">
    <w:name w:val="dandyren_title1"/>
    <w:qFormat/>
    <w:uiPriority w:val="0"/>
    <w:rPr>
      <w:b/>
      <w:bCs/>
      <w:color w:val="FF6633"/>
      <w:sz w:val="18"/>
      <w:szCs w:val="18"/>
    </w:rPr>
  </w:style>
  <w:style w:type="character" w:customStyle="1" w:styleId="327">
    <w:name w:val="Char Char31"/>
    <w:qFormat/>
    <w:uiPriority w:val="6"/>
    <w:rPr>
      <w:rFonts w:ascii="Arial" w:hAnsi="Arial" w:eastAsia="黑体"/>
      <w:kern w:val="1"/>
      <w:sz w:val="24"/>
      <w:szCs w:val="24"/>
    </w:rPr>
  </w:style>
  <w:style w:type="character" w:customStyle="1" w:styleId="328">
    <w:name w:val="h Char1"/>
    <w:qFormat/>
    <w:uiPriority w:val="0"/>
    <w:rPr>
      <w:sz w:val="18"/>
      <w:szCs w:val="18"/>
    </w:rPr>
  </w:style>
  <w:style w:type="character" w:customStyle="1" w:styleId="329">
    <w:name w:val="solutionfonts"/>
    <w:qFormat/>
    <w:uiPriority w:val="0"/>
  </w:style>
  <w:style w:type="character" w:customStyle="1" w:styleId="330">
    <w:name w:val="标题 4 字符1"/>
    <w:link w:val="7"/>
    <w:qFormat/>
    <w:uiPriority w:val="9"/>
    <w:rPr>
      <w:rFonts w:ascii="Arial" w:hAnsi="Arial" w:eastAsia="黑体"/>
      <w:b/>
      <w:bCs/>
      <w:kern w:val="2"/>
      <w:sz w:val="28"/>
      <w:szCs w:val="28"/>
      <w:lang w:val="zh-CN"/>
    </w:rPr>
  </w:style>
  <w:style w:type="character" w:customStyle="1" w:styleId="331">
    <w:name w:val="首行缩进 Char"/>
    <w:qFormat/>
    <w:uiPriority w:val="0"/>
    <w:rPr>
      <w:rFonts w:ascii="宋体" w:eastAsia="宋体"/>
      <w:kern w:val="2"/>
      <w:sz w:val="24"/>
      <w:lang w:val="en-US" w:eastAsia="zh-CN" w:bidi="ar-SA"/>
    </w:rPr>
  </w:style>
  <w:style w:type="character" w:customStyle="1" w:styleId="332">
    <w:name w:val="Char Char52"/>
    <w:qFormat/>
    <w:uiPriority w:val="0"/>
    <w:rPr>
      <w:rFonts w:ascii="宋体" w:hAnsi="Courier New" w:eastAsia="宋体"/>
      <w:kern w:val="2"/>
      <w:sz w:val="21"/>
      <w:lang w:val="en-US" w:eastAsia="zh-CN"/>
    </w:rPr>
  </w:style>
  <w:style w:type="character" w:customStyle="1" w:styleId="333">
    <w:name w:val="正文文本 3 字符"/>
    <w:link w:val="23"/>
    <w:qFormat/>
    <w:uiPriority w:val="0"/>
    <w:rPr>
      <w:kern w:val="2"/>
      <w:sz w:val="21"/>
    </w:rPr>
  </w:style>
  <w:style w:type="character" w:customStyle="1" w:styleId="334">
    <w:name w:val="font31"/>
    <w:qFormat/>
    <w:uiPriority w:val="0"/>
    <w:rPr>
      <w:rFonts w:hint="eastAsia" w:ascii="仿宋" w:hAnsi="仿宋" w:eastAsia="仿宋" w:cs="仿宋"/>
      <w:color w:val="000000"/>
      <w:sz w:val="20"/>
      <w:szCs w:val="20"/>
      <w:u w:val="none"/>
    </w:rPr>
  </w:style>
  <w:style w:type="character" w:customStyle="1" w:styleId="335">
    <w:name w:val="正文说明 Char"/>
    <w:link w:val="336"/>
    <w:qFormat/>
    <w:uiPriority w:val="0"/>
    <w:rPr>
      <w:sz w:val="24"/>
      <w:szCs w:val="24"/>
    </w:rPr>
  </w:style>
  <w:style w:type="paragraph" w:customStyle="1" w:styleId="336">
    <w:name w:val="正文说明"/>
    <w:basedOn w:val="1"/>
    <w:link w:val="335"/>
    <w:qFormat/>
    <w:uiPriority w:val="0"/>
    <w:pPr>
      <w:adjustRightInd/>
      <w:spacing w:line="360" w:lineRule="auto"/>
    </w:pPr>
    <w:rPr>
      <w:kern w:val="0"/>
      <w:sz w:val="24"/>
    </w:rPr>
  </w:style>
  <w:style w:type="character" w:customStyle="1" w:styleId="337">
    <w:name w:val="脚注文本 Char1"/>
    <w:qFormat/>
    <w:uiPriority w:val="0"/>
    <w:rPr>
      <w:rFonts w:ascii="Times New Roman" w:hAnsi="Times New Roman" w:eastAsia="宋体" w:cs="Times New Roman"/>
      <w:sz w:val="18"/>
      <w:szCs w:val="18"/>
    </w:rPr>
  </w:style>
  <w:style w:type="character" w:customStyle="1" w:styleId="338">
    <w:name w:val="Char Char1211"/>
    <w:qFormat/>
    <w:uiPriority w:val="0"/>
    <w:rPr>
      <w:rFonts w:ascii="仿宋_GB2312" w:eastAsia="仿宋_GB2312"/>
      <w:b/>
      <w:bCs/>
      <w:kern w:val="2"/>
      <w:sz w:val="24"/>
      <w:szCs w:val="24"/>
      <w:lang w:val="zh-CN" w:eastAsia="zh-CN" w:bidi="ar-SA"/>
    </w:rPr>
  </w:style>
  <w:style w:type="character" w:customStyle="1" w:styleId="339">
    <w:name w:val="标题 Char"/>
    <w:qFormat/>
    <w:uiPriority w:val="0"/>
    <w:rPr>
      <w:rFonts w:eastAsia="宋体"/>
      <w:b/>
      <w:sz w:val="24"/>
      <w:lang w:val="en-GB" w:eastAsia="zh-CN" w:bidi="ar-SA"/>
    </w:rPr>
  </w:style>
  <w:style w:type="character" w:customStyle="1" w:styleId="340">
    <w:name w:val="Char Char35"/>
    <w:qFormat/>
    <w:uiPriority w:val="6"/>
    <w:rPr>
      <w:rFonts w:ascii="Arial" w:hAnsi="Arial" w:eastAsia="黑体"/>
      <w:b/>
      <w:kern w:val="1"/>
      <w:sz w:val="28"/>
      <w:szCs w:val="28"/>
      <w:lang w:val="zh-CN"/>
    </w:rPr>
  </w:style>
  <w:style w:type="character" w:customStyle="1" w:styleId="341">
    <w:name w:val="纯文本 Char Char Char"/>
    <w:qFormat/>
    <w:uiPriority w:val="0"/>
    <w:rPr>
      <w:rFonts w:ascii="宋体" w:hAnsi="Courier New" w:eastAsia="宋体"/>
      <w:kern w:val="2"/>
      <w:sz w:val="21"/>
      <w:lang w:val="en-US" w:eastAsia="zh-CN" w:bidi="ar-SA"/>
    </w:rPr>
  </w:style>
  <w:style w:type="character" w:customStyle="1" w:styleId="342">
    <w:name w:val="Table Text Char"/>
    <w:link w:val="343"/>
    <w:qFormat/>
    <w:uiPriority w:val="0"/>
    <w:rPr>
      <w:sz w:val="24"/>
      <w:szCs w:val="24"/>
    </w:rPr>
  </w:style>
  <w:style w:type="paragraph" w:customStyle="1" w:styleId="343">
    <w:name w:val="Table Text"/>
    <w:basedOn w:val="1"/>
    <w:link w:val="342"/>
    <w:qFormat/>
    <w:uiPriority w:val="0"/>
    <w:pPr>
      <w:widowControl/>
      <w:spacing w:before="60" w:after="60"/>
      <w:jc w:val="left"/>
    </w:pPr>
    <w:rPr>
      <w:kern w:val="0"/>
      <w:sz w:val="24"/>
    </w:rPr>
  </w:style>
  <w:style w:type="character" w:customStyle="1" w:styleId="344">
    <w:name w:val="正文1 Char1"/>
    <w:qFormat/>
    <w:uiPriority w:val="0"/>
    <w:rPr>
      <w:rFonts w:ascii="仿宋_GB2312" w:hAnsi="Courier New" w:eastAsia="仿宋_GB2312"/>
      <w:kern w:val="28"/>
      <w:sz w:val="24"/>
      <w:szCs w:val="24"/>
      <w:lang w:val="en-US" w:eastAsia="zh-CN"/>
    </w:rPr>
  </w:style>
  <w:style w:type="character" w:customStyle="1" w:styleId="345">
    <w:name w:val="页脚 Char1"/>
    <w:qFormat/>
    <w:uiPriority w:val="0"/>
    <w:rPr>
      <w:rFonts w:eastAsia="宋体"/>
      <w:kern w:val="2"/>
      <w:sz w:val="18"/>
      <w:szCs w:val="18"/>
      <w:lang w:val="en-US" w:eastAsia="zh-CN" w:bidi="ar-SA"/>
    </w:rPr>
  </w:style>
  <w:style w:type="character" w:customStyle="1" w:styleId="346">
    <w:name w:val="Bold"/>
    <w:qFormat/>
    <w:uiPriority w:val="0"/>
    <w:rPr>
      <w:rFonts w:ascii="Arial" w:hAnsi="Arial" w:eastAsia="黑体" w:cs="Times New Roman"/>
      <w:b/>
      <w:kern w:val="2"/>
      <w:sz w:val="32"/>
      <w:szCs w:val="32"/>
      <w:lang w:val="en-US" w:eastAsia="zh-CN" w:bidi="ar-SA"/>
    </w:rPr>
  </w:style>
  <w:style w:type="character" w:customStyle="1" w:styleId="347">
    <w:name w:val="批注文字 字符1"/>
    <w:link w:val="21"/>
    <w:qFormat/>
    <w:uiPriority w:val="0"/>
    <w:rPr>
      <w:kern w:val="2"/>
      <w:sz w:val="21"/>
      <w:szCs w:val="24"/>
    </w:rPr>
  </w:style>
  <w:style w:type="character" w:customStyle="1" w:styleId="348">
    <w:name w:val="签名 字符"/>
    <w:link w:val="43"/>
    <w:qFormat/>
    <w:uiPriority w:val="0"/>
    <w:rPr>
      <w:rFonts w:eastAsia="仿宋_GB2312"/>
      <w:sz w:val="24"/>
    </w:rPr>
  </w:style>
  <w:style w:type="character" w:customStyle="1" w:styleId="349">
    <w:name w:val="hui3"/>
    <w:qFormat/>
    <w:uiPriority w:val="0"/>
    <w:rPr>
      <w:color w:val="333333"/>
    </w:rPr>
  </w:style>
  <w:style w:type="character" w:customStyle="1" w:styleId="350">
    <w:name w:val="Char Char17"/>
    <w:qFormat/>
    <w:uiPriority w:val="6"/>
    <w:rPr>
      <w:rFonts w:eastAsia="仿宋_GB2312"/>
      <w:sz w:val="24"/>
    </w:rPr>
  </w:style>
  <w:style w:type="character" w:customStyle="1" w:styleId="351">
    <w:name w:val="标题 4 字符"/>
    <w:qFormat/>
    <w:uiPriority w:val="9"/>
    <w:rPr>
      <w:rFonts w:ascii="等线 Light" w:hAnsi="等线 Light" w:eastAsia="等线 Light" w:cs="Times New Roman"/>
      <w:b/>
      <w:bCs/>
      <w:snapToGrid w:val="0"/>
      <w:kern w:val="0"/>
      <w:sz w:val="28"/>
      <w:szCs w:val="28"/>
    </w:rPr>
  </w:style>
  <w:style w:type="character" w:customStyle="1" w:styleId="352">
    <w:name w:val="Char Char37"/>
    <w:qFormat/>
    <w:uiPriority w:val="6"/>
    <w:rPr>
      <w:b/>
      <w:kern w:val="1"/>
      <w:sz w:val="44"/>
      <w:szCs w:val="44"/>
    </w:rPr>
  </w:style>
  <w:style w:type="character" w:customStyle="1" w:styleId="353">
    <w:name w:val="列出段落 Char"/>
    <w:qFormat/>
    <w:uiPriority w:val="0"/>
    <w:rPr>
      <w:rFonts w:eastAsia="楷体_GB2312" w:cs="Lucida Sans"/>
      <w:kern w:val="2"/>
      <w:sz w:val="24"/>
      <w:szCs w:val="24"/>
      <w:lang w:val="en-US" w:eastAsia="zh-CN" w:bidi="ar-SA"/>
    </w:rPr>
  </w:style>
  <w:style w:type="character" w:customStyle="1" w:styleId="354">
    <w:name w:val="正文文本缩进 3 Char1"/>
    <w:semiHidden/>
    <w:qFormat/>
    <w:uiPriority w:val="99"/>
    <w:rPr>
      <w:rFonts w:ascii="Times New Roman" w:hAnsi="Times New Roman" w:eastAsia="宋体" w:cs="Times New Roman"/>
      <w:sz w:val="16"/>
      <w:szCs w:val="16"/>
    </w:rPr>
  </w:style>
  <w:style w:type="character" w:customStyle="1" w:styleId="355">
    <w:name w:val="公文正文 Char Char"/>
    <w:link w:val="356"/>
    <w:qFormat/>
    <w:uiPriority w:val="0"/>
    <w:rPr>
      <w:rFonts w:ascii="仿宋_GB2312" w:eastAsia="仿宋_GB2312"/>
      <w:kern w:val="2"/>
      <w:sz w:val="24"/>
      <w:szCs w:val="24"/>
    </w:rPr>
  </w:style>
  <w:style w:type="paragraph" w:customStyle="1" w:styleId="356">
    <w:name w:val="公文正文"/>
    <w:basedOn w:val="1"/>
    <w:link w:val="355"/>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qFormat/>
    <w:uiPriority w:val="0"/>
    <w:rPr>
      <w:rFonts w:eastAsia="宋体"/>
      <w:sz w:val="24"/>
      <w:szCs w:val="24"/>
      <w:lang w:val="en-US" w:eastAsia="zh-CN" w:bidi="ar-SA"/>
    </w:rPr>
  </w:style>
  <w:style w:type="character" w:customStyle="1" w:styleId="358">
    <w:name w:val="标题 1 Char Char"/>
    <w:qFormat/>
    <w:uiPriority w:val="0"/>
    <w:rPr>
      <w:rFonts w:hint="eastAsia" w:ascii="宋体" w:hAnsi="宋体" w:eastAsia="宋体"/>
      <w:b/>
      <w:spacing w:val="-2"/>
      <w:sz w:val="24"/>
      <w:lang w:val="en-US" w:eastAsia="zh-CN" w:bidi="ar-SA"/>
    </w:rPr>
  </w:style>
  <w:style w:type="character" w:customStyle="1" w:styleId="359">
    <w:name w:val="正文（缩进2汉字） Char"/>
    <w:link w:val="360"/>
    <w:qFormat/>
    <w:uiPriority w:val="0"/>
    <w:rPr>
      <w:rFonts w:ascii="宋体"/>
    </w:rPr>
  </w:style>
  <w:style w:type="paragraph" w:customStyle="1" w:styleId="360">
    <w:name w:val="正文（缩进2汉字）"/>
    <w:basedOn w:val="1"/>
    <w:link w:val="359"/>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字符"/>
    <w:link w:val="11"/>
    <w:qFormat/>
    <w:uiPriority w:val="0"/>
    <w:rPr>
      <w:rFonts w:ascii="Arial" w:hAnsi="Arial" w:eastAsia="黑体"/>
      <w:kern w:val="2"/>
      <w:sz w:val="24"/>
      <w:szCs w:val="24"/>
    </w:rPr>
  </w:style>
  <w:style w:type="character" w:customStyle="1" w:styleId="362">
    <w:name w:val="标书表格字体格式 Char"/>
    <w:qFormat/>
    <w:uiPriority w:val="0"/>
    <w:rPr>
      <w:kern w:val="2"/>
      <w:sz w:val="21"/>
      <w:szCs w:val="24"/>
      <w:lang w:bidi="ar-SA"/>
    </w:rPr>
  </w:style>
  <w:style w:type="character" w:customStyle="1" w:styleId="363">
    <w:name w:val="tw4winError"/>
    <w:qFormat/>
    <w:uiPriority w:val="0"/>
    <w:rPr>
      <w:rFonts w:ascii="Courier New" w:hAnsi="Courier New" w:cs="Courier New"/>
      <w:color w:val="00FF00"/>
      <w:sz w:val="40"/>
      <w:szCs w:val="40"/>
    </w:rPr>
  </w:style>
  <w:style w:type="character" w:customStyle="1" w:styleId="364">
    <w:name w:val="Body Text(ch) Char Char"/>
    <w:qFormat/>
    <w:uiPriority w:val="0"/>
    <w:rPr>
      <w:rFonts w:ascii="宋体"/>
      <w:kern w:val="2"/>
      <w:sz w:val="24"/>
      <w:szCs w:val="21"/>
      <w:lang w:val="zh-CN"/>
    </w:rPr>
  </w:style>
  <w:style w:type="character" w:customStyle="1" w:styleId="365">
    <w:name w:val="正文首行缩进两字 Char"/>
    <w:qFormat/>
    <w:uiPriority w:val="0"/>
    <w:rPr>
      <w:sz w:val="24"/>
      <w:szCs w:val="24"/>
      <w:lang w:val="en-US" w:eastAsia="zh-CN" w:bidi="ar-SA"/>
    </w:rPr>
  </w:style>
  <w:style w:type="character" w:customStyle="1" w:styleId="366">
    <w:name w:val="正文文本 Char"/>
    <w:qFormat/>
    <w:uiPriority w:val="0"/>
    <w:rPr>
      <w:rFonts w:eastAsia="宋体"/>
      <w:kern w:val="2"/>
      <w:sz w:val="24"/>
      <w:szCs w:val="24"/>
      <w:lang w:val="en-US" w:eastAsia="zh-CN" w:bidi="ar-SA"/>
    </w:rPr>
  </w:style>
  <w:style w:type="character" w:customStyle="1" w:styleId="367">
    <w:name w:val="文档结构图 字符1"/>
    <w:qFormat/>
    <w:uiPriority w:val="0"/>
    <w:rPr>
      <w:rFonts w:ascii="宋体" w:hAnsi="Calibri" w:eastAsia="黑体" w:cs="Arial"/>
      <w:snapToGrid w:val="0"/>
      <w:kern w:val="2"/>
      <w:sz w:val="18"/>
      <w:szCs w:val="18"/>
    </w:rPr>
  </w:style>
  <w:style w:type="character" w:customStyle="1" w:styleId="368">
    <w:name w:val="content"/>
    <w:qFormat/>
    <w:uiPriority w:val="0"/>
  </w:style>
  <w:style w:type="character" w:customStyle="1" w:styleId="369">
    <w:name w:val="tw4winPopup"/>
    <w:qFormat/>
    <w:uiPriority w:val="0"/>
    <w:rPr>
      <w:rFonts w:ascii="Courier New" w:hAnsi="Courier New" w:cs="Courier New"/>
      <w:color w:val="008000"/>
      <w:lang w:val="en-US" w:eastAsia="zh-CN"/>
    </w:rPr>
  </w:style>
  <w:style w:type="character" w:customStyle="1" w:styleId="370">
    <w:name w:val="param-name"/>
    <w:qFormat/>
    <w:uiPriority w:val="99"/>
    <w:rPr>
      <w:rFonts w:ascii="Arial" w:hAnsi="Arial" w:eastAsia="黑体" w:cs="Arial"/>
      <w:snapToGrid w:val="0"/>
      <w:kern w:val="0"/>
      <w:szCs w:val="21"/>
    </w:rPr>
  </w:style>
  <w:style w:type="character" w:customStyle="1" w:styleId="371">
    <w:name w:val="标准正文格式 Char"/>
    <w:qFormat/>
    <w:uiPriority w:val="0"/>
    <w:rPr>
      <w:rFonts w:ascii="宋体" w:eastAsia="仿宋_GB2312" w:cs="宋体"/>
      <w:color w:val="000000"/>
      <w:sz w:val="24"/>
      <w:lang w:val="en-US" w:eastAsia="zh-CN" w:bidi="ar-SA"/>
    </w:rPr>
  </w:style>
  <w:style w:type="character" w:customStyle="1" w:styleId="372">
    <w:name w:val="Char Char212"/>
    <w:qFormat/>
    <w:uiPriority w:val="0"/>
    <w:rPr>
      <w:rFonts w:eastAsia="宋体"/>
      <w:b/>
      <w:bCs/>
      <w:kern w:val="2"/>
      <w:sz w:val="21"/>
      <w:szCs w:val="24"/>
      <w:lang w:val="en-US" w:eastAsia="zh-CN" w:bidi="ar-SA"/>
    </w:rPr>
  </w:style>
  <w:style w:type="character" w:customStyle="1" w:styleId="373">
    <w:name w:val="文档结构图 Char"/>
    <w:qFormat/>
    <w:uiPriority w:val="0"/>
    <w:rPr>
      <w:rFonts w:eastAsia="宋体"/>
      <w:kern w:val="2"/>
      <w:sz w:val="21"/>
      <w:szCs w:val="24"/>
      <w:lang w:val="en-US" w:eastAsia="zh-CN" w:bidi="ar-SA"/>
    </w:rPr>
  </w:style>
  <w:style w:type="character" w:customStyle="1" w:styleId="374">
    <w:name w:val="zbggmain style9"/>
    <w:qFormat/>
    <w:uiPriority w:val="0"/>
  </w:style>
  <w:style w:type="character" w:customStyle="1" w:styleId="375">
    <w:name w:val="Char Char16"/>
    <w:qFormat/>
    <w:uiPriority w:val="6"/>
    <w:rPr>
      <w:kern w:val="1"/>
      <w:sz w:val="18"/>
      <w:szCs w:val="18"/>
    </w:rPr>
  </w:style>
  <w:style w:type="character" w:customStyle="1" w:styleId="376">
    <w:name w:val="font51"/>
    <w:qFormat/>
    <w:uiPriority w:val="0"/>
    <w:rPr>
      <w:rFonts w:hint="eastAsia" w:ascii="仿宋" w:hAnsi="仿宋" w:eastAsia="仿宋" w:cs="仿宋"/>
      <w:color w:val="000000"/>
      <w:sz w:val="20"/>
      <w:szCs w:val="20"/>
      <w:u w:val="none"/>
    </w:rPr>
  </w:style>
  <w:style w:type="character" w:customStyle="1" w:styleId="377">
    <w:name w:val="Char Char82"/>
    <w:qFormat/>
    <w:uiPriority w:val="0"/>
    <w:rPr>
      <w:rFonts w:eastAsia="宋体"/>
      <w:b/>
      <w:sz w:val="24"/>
      <w:lang w:val="en-GB" w:eastAsia="zh-CN"/>
    </w:rPr>
  </w:style>
  <w:style w:type="character" w:customStyle="1" w:styleId="378">
    <w:name w:val="正文文本缩进 3 字符"/>
    <w:link w:val="54"/>
    <w:qFormat/>
    <w:uiPriority w:val="0"/>
    <w:rPr>
      <w:kern w:val="2"/>
      <w:sz w:val="24"/>
    </w:rPr>
  </w:style>
  <w:style w:type="character" w:customStyle="1" w:styleId="379">
    <w:name w:val="日期 Char1"/>
    <w:semiHidden/>
    <w:qFormat/>
    <w:uiPriority w:val="99"/>
    <w:rPr>
      <w:rFonts w:ascii="Times New Roman" w:hAnsi="Times New Roman" w:eastAsia="宋体" w:cs="Times New Roman"/>
      <w:szCs w:val="24"/>
    </w:rPr>
  </w:style>
  <w:style w:type="character" w:customStyle="1" w:styleId="380">
    <w:name w:val="页眉 字符"/>
    <w:qFormat/>
    <w:uiPriority w:val="99"/>
    <w:rPr>
      <w:kern w:val="2"/>
      <w:sz w:val="18"/>
      <w:szCs w:val="18"/>
    </w:rPr>
  </w:style>
  <w:style w:type="character" w:customStyle="1" w:styleId="381">
    <w:name w:val="Char Char33"/>
    <w:qFormat/>
    <w:uiPriority w:val="6"/>
    <w:rPr>
      <w:rFonts w:ascii="Arial" w:hAnsi="Arial" w:eastAsia="黑体"/>
      <w:b/>
      <w:kern w:val="1"/>
      <w:sz w:val="24"/>
      <w:szCs w:val="24"/>
    </w:rPr>
  </w:style>
  <w:style w:type="character" w:customStyle="1" w:styleId="382">
    <w:name w:val="b11_01b Char"/>
    <w:link w:val="383"/>
    <w:qFormat/>
    <w:uiPriority w:val="0"/>
    <w:rPr>
      <w:rFonts w:ascii="Verdana" w:hAnsi="Verdana"/>
      <w:b/>
      <w:bCs/>
      <w:color w:val="4A82CA"/>
      <w:sz w:val="17"/>
      <w:szCs w:val="17"/>
    </w:rPr>
  </w:style>
  <w:style w:type="paragraph" w:customStyle="1" w:styleId="383">
    <w:name w:val="b11_01b"/>
    <w:basedOn w:val="1"/>
    <w:next w:val="1"/>
    <w:link w:val="382"/>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qFormat/>
    <w:uiPriority w:val="6"/>
    <w:rPr>
      <w:rFonts w:ascii="仿宋_GB2312" w:eastAsia="仿宋_GB2312"/>
      <w:b/>
      <w:bCs/>
      <w:kern w:val="2"/>
      <w:sz w:val="24"/>
      <w:szCs w:val="24"/>
      <w:lang w:val="zh-CN" w:eastAsia="zh-CN" w:bidi="ar-SA"/>
    </w:rPr>
  </w:style>
  <w:style w:type="character" w:customStyle="1" w:styleId="385">
    <w:name w:val="Footer-Even Char"/>
    <w:qFormat/>
    <w:uiPriority w:val="0"/>
    <w:rPr>
      <w:rFonts w:eastAsia="宋体"/>
      <w:kern w:val="2"/>
      <w:sz w:val="18"/>
      <w:lang w:val="en-US" w:eastAsia="zh-CN" w:bidi="ar-SA"/>
    </w:rPr>
  </w:style>
  <w:style w:type="character" w:customStyle="1" w:styleId="386">
    <w:name w:val="页脚 字符2"/>
    <w:link w:val="41"/>
    <w:qFormat/>
    <w:locked/>
    <w:uiPriority w:val="99"/>
    <w:rPr>
      <w:kern w:val="2"/>
      <w:sz w:val="18"/>
      <w:szCs w:val="18"/>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页眉 字符2"/>
    <w:link w:val="42"/>
    <w:qFormat/>
    <w:uiPriority w:val="99"/>
    <w:rPr>
      <w:kern w:val="2"/>
      <w:sz w:val="18"/>
      <w:szCs w:val="18"/>
    </w:rPr>
  </w:style>
  <w:style w:type="character" w:customStyle="1" w:styleId="396">
    <w:name w:val="Char Char9"/>
    <w:qFormat/>
    <w:uiPriority w:val="0"/>
    <w:rPr>
      <w:rFonts w:eastAsia="宋体"/>
      <w:kern w:val="2"/>
      <w:sz w:val="18"/>
      <w:szCs w:val="18"/>
      <w:lang w:val="en-US" w:eastAsia="zh-CN" w:bidi="ar-SA"/>
    </w:rPr>
  </w:style>
  <w:style w:type="character" w:customStyle="1" w:styleId="397">
    <w:name w:val="Char Char41"/>
    <w:qFormat/>
    <w:uiPriority w:val="0"/>
    <w:rPr>
      <w:rFonts w:eastAsia="宋体"/>
      <w:b/>
      <w:sz w:val="24"/>
      <w:lang w:val="en-GB" w:eastAsia="zh-CN" w:bidi="ar-SA"/>
    </w:rPr>
  </w:style>
  <w:style w:type="character" w:customStyle="1" w:styleId="398">
    <w:name w:val="large1"/>
    <w:qFormat/>
    <w:uiPriority w:val="0"/>
    <w:rPr>
      <w:rFonts w:hint="eastAsia" w:ascii="宋体" w:hAnsi="宋体" w:eastAsia="宋体"/>
      <w:sz w:val="21"/>
      <w:szCs w:val="21"/>
    </w:rPr>
  </w:style>
  <w:style w:type="character" w:customStyle="1" w:styleId="399">
    <w:name w:val="正文段 Char"/>
    <w:link w:val="400"/>
    <w:qFormat/>
    <w:uiPriority w:val="0"/>
    <w:rPr>
      <w:sz w:val="24"/>
    </w:rPr>
  </w:style>
  <w:style w:type="paragraph" w:customStyle="1" w:styleId="400">
    <w:name w:val="正文段"/>
    <w:basedOn w:val="1"/>
    <w:link w:val="399"/>
    <w:qFormat/>
    <w:uiPriority w:val="0"/>
    <w:pPr>
      <w:widowControl/>
      <w:snapToGrid w:val="0"/>
      <w:spacing w:after="156" w:afterLines="50"/>
      <w:ind w:firstLine="200" w:firstLineChars="200"/>
    </w:pPr>
    <w:rPr>
      <w:kern w:val="0"/>
      <w:sz w:val="24"/>
      <w:szCs w:val="20"/>
    </w:rPr>
  </w:style>
  <w:style w:type="character" w:customStyle="1" w:styleId="401">
    <w:name w:val="Char Char13"/>
    <w:qFormat/>
    <w:uiPriority w:val="6"/>
    <w:rPr>
      <w:rFonts w:ascii="宋体" w:hAnsi="宋体"/>
      <w:kern w:val="1"/>
      <w:sz w:val="21"/>
      <w:szCs w:val="24"/>
    </w:rPr>
  </w:style>
  <w:style w:type="character" w:customStyle="1" w:styleId="4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qFormat/>
    <w:uiPriority w:val="0"/>
    <w:rPr>
      <w:rFonts w:ascii="宋体" w:hAnsi="宋体"/>
      <w:kern w:val="2"/>
      <w:sz w:val="24"/>
      <w:szCs w:val="22"/>
    </w:rPr>
  </w:style>
  <w:style w:type="paragraph" w:customStyle="1" w:styleId="404">
    <w:name w:val="冯广丽"/>
    <w:basedOn w:val="1"/>
    <w:link w:val="403"/>
    <w:qFormat/>
    <w:uiPriority w:val="0"/>
    <w:pPr>
      <w:adjustRightInd/>
      <w:spacing w:line="360" w:lineRule="auto"/>
      <w:ind w:firstLine="480" w:firstLineChars="200"/>
    </w:pPr>
    <w:rPr>
      <w:rFonts w:ascii="宋体" w:hAnsi="宋体"/>
      <w:sz w:val="24"/>
      <w:szCs w:val="22"/>
    </w:rPr>
  </w:style>
  <w:style w:type="character" w:customStyle="1" w:styleId="405">
    <w:name w:val="批注文字 字符"/>
    <w:qFormat/>
    <w:uiPriority w:val="0"/>
    <w:rPr>
      <w:rFonts w:ascii="Arial" w:hAnsi="Arial" w:eastAsia="黑体" w:cs="Arial"/>
      <w:snapToGrid w:val="0"/>
      <w:kern w:val="0"/>
      <w:szCs w:val="21"/>
    </w:rPr>
  </w:style>
  <w:style w:type="character" w:customStyle="1" w:styleId="406">
    <w:name w:val="Char Char161"/>
    <w:qFormat/>
    <w:uiPriority w:val="0"/>
    <w:rPr>
      <w:rFonts w:eastAsia="宋体"/>
      <w:b/>
      <w:kern w:val="2"/>
      <w:sz w:val="32"/>
      <w:lang w:val="en-US" w:eastAsia="zh-CN"/>
    </w:rPr>
  </w:style>
  <w:style w:type="character" w:customStyle="1" w:styleId="407">
    <w:name w:val="javascript"/>
    <w:qFormat/>
    <w:uiPriority w:val="0"/>
  </w:style>
  <w:style w:type="character" w:customStyle="1" w:styleId="408">
    <w:name w:val="图名 Char"/>
    <w:qFormat/>
    <w:uiPriority w:val="0"/>
    <w:rPr>
      <w:rFonts w:ascii="Arial" w:hAnsi="Arial" w:eastAsia="黑体"/>
      <w:kern w:val="2"/>
      <w:sz w:val="24"/>
      <w:szCs w:val="24"/>
      <w:lang w:val="en-US" w:eastAsia="zh-CN" w:bidi="ar-SA"/>
    </w:rPr>
  </w:style>
  <w:style w:type="character" w:customStyle="1" w:styleId="409">
    <w:name w:val="Used by Word for text of Help footnotes Char Char"/>
    <w:qFormat/>
    <w:uiPriority w:val="0"/>
    <w:rPr>
      <w:rFonts w:ascii="Times New Roman" w:hAnsi="Times New Roman" w:eastAsia="宋体" w:cs="Times New Roman"/>
      <w:sz w:val="20"/>
      <w:szCs w:val="20"/>
    </w:rPr>
  </w:style>
  <w:style w:type="character" w:customStyle="1" w:styleId="410">
    <w:name w:val="编号，小四 Char"/>
    <w:link w:val="411"/>
    <w:qFormat/>
    <w:uiPriority w:val="0"/>
    <w:rPr>
      <w:rFonts w:ascii="Arial" w:hAnsi="Arial"/>
      <w:sz w:val="24"/>
    </w:rPr>
  </w:style>
  <w:style w:type="paragraph" w:customStyle="1" w:styleId="411">
    <w:name w:val="编号，小四"/>
    <w:basedOn w:val="1"/>
    <w:link w:val="410"/>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qFormat/>
    <w:uiPriority w:val="99"/>
    <w:rPr>
      <w:rFonts w:ascii="宋体" w:eastAsia="宋体" w:cs="宋体"/>
      <w:color w:val="000000"/>
      <w:sz w:val="14"/>
      <w:szCs w:val="14"/>
    </w:rPr>
  </w:style>
  <w:style w:type="character" w:customStyle="1" w:styleId="413">
    <w:name w:val="标题 2 Char Char"/>
    <w:qFormat/>
    <w:uiPriority w:val="0"/>
    <w:rPr>
      <w:rFonts w:ascii="楷体_GB2312" w:hAnsi="Arial" w:eastAsia="楷体_GB2312"/>
      <w:b/>
      <w:bCs/>
      <w:kern w:val="2"/>
      <w:sz w:val="24"/>
      <w:szCs w:val="32"/>
      <w:lang w:val="en-US" w:eastAsia="zh-CN" w:bidi="ar-SA"/>
    </w:rPr>
  </w:style>
  <w:style w:type="character" w:customStyle="1" w:styleId="414">
    <w:name w:val="未用 Char"/>
    <w:qFormat/>
    <w:uiPriority w:val="0"/>
    <w:rPr>
      <w:rFonts w:ascii="Arial" w:hAnsi="Arial" w:eastAsia="黑体"/>
      <w:kern w:val="2"/>
      <w:sz w:val="21"/>
      <w:szCs w:val="21"/>
      <w:lang w:val="en-US" w:eastAsia="zh-CN" w:bidi="ar-SA"/>
    </w:rPr>
  </w:style>
  <w:style w:type="character" w:customStyle="1" w:styleId="415">
    <w:name w:val="myp1111"/>
    <w:qFormat/>
    <w:uiPriority w:val="0"/>
    <w:rPr>
      <w:rFonts w:hint="default" w:ascii="ˎ̥" w:hAnsi="ˎ̥"/>
      <w:color w:val="000000"/>
      <w:sz w:val="20"/>
      <w:szCs w:val="20"/>
      <w:u w:val="none"/>
    </w:rPr>
  </w:style>
  <w:style w:type="character" w:customStyle="1" w:styleId="416">
    <w:name w:val="样式 标题 4h4H4Fab-4T5Ref Heading 1rh1Heading sqlsect 1.2.3.... Char"/>
    <w:link w:val="308"/>
    <w:qFormat/>
    <w:uiPriority w:val="0"/>
    <w:rPr>
      <w:rFonts w:ascii="微软雅黑" w:hAnsi="微软雅黑" w:eastAsia="微软雅黑"/>
      <w:b/>
      <w:bCs/>
      <w:kern w:val="2"/>
      <w:sz w:val="24"/>
      <w:szCs w:val="28"/>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0"/>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17"/>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434">
    <w:name w:val="gray6"/>
    <w:basedOn w:val="70"/>
    <w:qFormat/>
    <w:uiPriority w:val="0"/>
    <w:rPr>
      <w:rFonts w:ascii="Arial" w:hAnsi="Arial" w:eastAsia="黑体" w:cs="Arial"/>
      <w:snapToGrid w:val="0"/>
      <w:kern w:val="0"/>
      <w:szCs w:val="21"/>
    </w:rPr>
  </w:style>
  <w:style w:type="character" w:customStyle="1" w:styleId="435">
    <w:name w:val="hui"/>
    <w:basedOn w:val="70"/>
    <w:qFormat/>
    <w:uiPriority w:val="0"/>
    <w:rPr>
      <w:rFonts w:ascii="Arial" w:hAnsi="Arial" w:eastAsia="黑体" w:cs="Arial"/>
      <w:snapToGrid w:val="0"/>
      <w:kern w:val="0"/>
      <w:szCs w:val="21"/>
    </w:rPr>
  </w:style>
  <w:style w:type="character" w:customStyle="1" w:styleId="436">
    <w:name w:val="哈哈正文 Char Char"/>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7"/>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0"/>
    <w:pPr>
      <w:spacing w:before="120" w:line="360" w:lineRule="auto"/>
      <w:ind w:firstLine="567"/>
    </w:pPr>
    <w:rPr>
      <w:rFonts w:ascii="Arial" w:hAnsi="Arial"/>
      <w:sz w:val="20"/>
      <w:szCs w:val="20"/>
    </w:rPr>
  </w:style>
  <w:style w:type="paragraph" w:customStyle="1" w:styleId="44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4">
    <w:name w:val="封面公司名"/>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qFormat/>
    <w:uiPriority w:val="0"/>
    <w:pPr>
      <w:adjustRightInd/>
      <w:ind w:firstLine="200" w:firstLineChars="200"/>
    </w:pPr>
    <w:rPr>
      <w:rFonts w:ascii="Tahoma" w:hAnsi="Tahoma"/>
      <w:sz w:val="24"/>
      <w:szCs w:val="20"/>
    </w:rPr>
  </w:style>
  <w:style w:type="paragraph" w:customStyle="1" w:styleId="45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0"/>
    <w:pPr>
      <w:tabs>
        <w:tab w:val="left" w:pos="360"/>
      </w:tabs>
    </w:pPr>
    <w:rPr>
      <w:sz w:val="24"/>
      <w:szCs w:val="20"/>
    </w:rPr>
  </w:style>
  <w:style w:type="paragraph" w:customStyle="1" w:styleId="459">
    <w:name w:val="Char Char11 Char Char Char"/>
    <w:basedOn w:val="1"/>
    <w:qFormat/>
    <w:uiPriority w:val="0"/>
    <w:pPr>
      <w:spacing w:line="360" w:lineRule="auto"/>
    </w:pPr>
    <w:rPr>
      <w:szCs w:val="20"/>
    </w:rPr>
  </w:style>
  <w:style w:type="paragraph" w:customStyle="1" w:styleId="46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qFormat/>
    <w:uiPriority w:val="0"/>
    <w:pPr>
      <w:tabs>
        <w:tab w:val="left" w:pos="2790"/>
        <w:tab w:val="left" w:pos="4230"/>
      </w:tabs>
      <w:spacing w:before="312" w:beforeLines="100"/>
      <w:jc w:val="left"/>
    </w:pPr>
  </w:style>
  <w:style w:type="paragraph" w:customStyle="1" w:styleId="46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0"/>
    <w:pPr>
      <w:tabs>
        <w:tab w:val="left" w:pos="840"/>
      </w:tabs>
      <w:ind w:left="840" w:hanging="420"/>
    </w:pPr>
    <w:rPr>
      <w:rFonts w:ascii="Tahoma" w:hAnsi="Tahoma"/>
      <w:sz w:val="24"/>
    </w:rPr>
  </w:style>
  <w:style w:type="paragraph" w:customStyle="1" w:styleId="46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0"/>
    <w:pPr>
      <w:adjustRightInd/>
      <w:spacing w:before="156" w:line="360" w:lineRule="auto"/>
      <w:ind w:firstLine="510" w:firstLineChars="200"/>
    </w:pPr>
    <w:rPr>
      <w:sz w:val="24"/>
      <w:szCs w:val="20"/>
    </w:rPr>
  </w:style>
  <w:style w:type="paragraph" w:customStyle="1" w:styleId="469">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0"/>
    <w:rPr>
      <w:rFonts w:ascii="仿宋_GB2312" w:eastAsia="仿宋_GB2312"/>
      <w:b/>
      <w:sz w:val="32"/>
      <w:szCs w:val="32"/>
    </w:rPr>
  </w:style>
  <w:style w:type="paragraph" w:customStyle="1" w:styleId="47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4">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5">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0"/>
    <w:pPr>
      <w:keepNext/>
      <w:tabs>
        <w:tab w:val="left" w:pos="360"/>
      </w:tabs>
      <w:spacing w:before="0" w:after="0"/>
      <w:outlineLvl w:val="5"/>
    </w:pPr>
  </w:style>
  <w:style w:type="paragraph" w:customStyle="1" w:styleId="477">
    <w:name w:val="5级标题"/>
    <w:basedOn w:val="478"/>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8">
    <w:name w:val="4级标题"/>
    <w:basedOn w:val="26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qFormat/>
    <w:uiPriority w:val="0"/>
    <w:pPr>
      <w:adjustRightInd/>
      <w:ind w:left="420" w:leftChars="200"/>
      <w:jc w:val="left"/>
    </w:pPr>
    <w:rPr>
      <w:sz w:val="28"/>
      <w:szCs w:val="20"/>
      <w:lang w:eastAsia="zh-TW"/>
    </w:rPr>
  </w:style>
  <w:style w:type="paragraph" w:customStyle="1" w:styleId="480">
    <w:name w:val="Char2 Char Char"/>
    <w:basedOn w:val="1"/>
    <w:qFormat/>
    <w:uiPriority w:val="0"/>
    <w:pPr>
      <w:adjustRightInd/>
    </w:pPr>
    <w:rPr>
      <w:rFonts w:ascii="Tahoma" w:hAnsi="Tahoma"/>
      <w:sz w:val="24"/>
      <w:szCs w:val="20"/>
    </w:rPr>
  </w:style>
  <w:style w:type="paragraph" w:customStyle="1" w:styleId="481">
    <w:name w:val="_Style 11"/>
    <w:basedOn w:val="1"/>
    <w:qFormat/>
    <w:uiPriority w:val="34"/>
    <w:pPr>
      <w:adjustRightInd/>
      <w:ind w:firstLine="420" w:firstLineChars="200"/>
    </w:pPr>
    <w:rPr>
      <w:rFonts w:eastAsia="仿宋_GB2312"/>
      <w:sz w:val="28"/>
    </w:rPr>
  </w:style>
  <w:style w:type="paragraph" w:customStyle="1" w:styleId="482">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0"/>
    <w:rPr>
      <w:rFonts w:ascii="Tahoma" w:hAnsi="Tahoma"/>
      <w:sz w:val="24"/>
      <w:szCs w:val="20"/>
    </w:rPr>
  </w:style>
  <w:style w:type="paragraph" w:customStyle="1" w:styleId="484">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5">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4"/>
    <w:qFormat/>
    <w:uiPriority w:val="99"/>
    <w:rPr>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5"/>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6"/>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8"/>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6"/>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7"/>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7"/>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7"/>
    <w:next w:val="237"/>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7"/>
    <w:next w:val="237"/>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 w:val="24"/>
      <w:szCs w:val="20"/>
    </w:rPr>
  </w:style>
  <w:style w:type="paragraph" w:customStyle="1" w:styleId="587">
    <w:name w:val="标题五"/>
    <w:basedOn w:val="1"/>
    <w:qFormat/>
    <w:uiPriority w:val="0"/>
    <w:pPr>
      <w:adjustRightInd/>
      <w:spacing w:before="156" w:beforeLines="50" w:line="360" w:lineRule="auto"/>
    </w:pPr>
    <w:rPr>
      <w:b/>
      <w:sz w:val="24"/>
    </w:rPr>
  </w:style>
  <w:style w:type="paragraph" w:customStyle="1" w:styleId="588">
    <w:name w:val="Char Char1101"/>
    <w:basedOn w:val="1"/>
    <w:qFormat/>
    <w:uiPriority w:val="0"/>
    <w:pPr>
      <w:spacing w:line="360" w:lineRule="auto"/>
    </w:pPr>
    <w:rPr>
      <w:rFonts w:ascii="Tahoma" w:hAnsi="Tahoma"/>
      <w:sz w:val="24"/>
      <w:szCs w:val="20"/>
    </w:rPr>
  </w:style>
  <w:style w:type="paragraph" w:customStyle="1" w:styleId="589">
    <w:name w:val="Char Char Char Char Char Char Char Char1"/>
    <w:basedOn w:val="1"/>
    <w:qFormat/>
    <w:uiPriority w:val="0"/>
    <w:pPr>
      <w:tabs>
        <w:tab w:val="left" w:pos="360"/>
      </w:tabs>
    </w:pPr>
    <w:rPr>
      <w:sz w:val="24"/>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 w:val="24"/>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3"/>
    <w:qFormat/>
    <w:uiPriority w:val="0"/>
    <w:pPr>
      <w:snapToGrid w:val="0"/>
      <w:spacing w:line="360" w:lineRule="auto"/>
    </w:pPr>
    <w:rPr>
      <w:rFonts w:ascii="宋体"/>
      <w:b/>
      <w:sz w:val="24"/>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4"/>
    <w:qFormat/>
    <w:uiPriority w:val="0"/>
    <w:pPr>
      <w:tabs>
        <w:tab w:val="left" w:pos="840"/>
      </w:tabs>
      <w:adjustRightInd/>
      <w:ind w:left="840" w:hanging="420"/>
    </w:pPr>
  </w:style>
  <w:style w:type="paragraph" w:customStyle="1" w:styleId="629">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 w:val="24"/>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qFormat/>
    <w:uiPriority w:val="0"/>
    <w:pPr>
      <w:adjustRightInd/>
      <w:ind w:firstLine="200" w:firstLineChars="200"/>
    </w:pPr>
    <w:rPr>
      <w:rFonts w:ascii="Tahoma" w:hAnsi="Tahoma"/>
      <w:sz w:val="24"/>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 w:val="24"/>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qFormat/>
    <w:uiPriority w:val="6"/>
    <w:pPr>
      <w:widowControl/>
      <w:adjustRightInd/>
      <w:ind w:left="720" w:hanging="720"/>
    </w:pPr>
    <w:rPr>
      <w:color w:val="000000"/>
      <w:kern w:val="0"/>
      <w:sz w:val="24"/>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7"/>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rPr>
      <w:sz w:val="24"/>
    </w:r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rPr>
      <w:sz w:val="24"/>
    </w:r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1">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5">
    <w:name w:val="4"/>
    <w:basedOn w:val="1"/>
    <w:next w:val="38"/>
    <w:qFormat/>
    <w:uiPriority w:val="0"/>
    <w:pPr>
      <w:spacing w:after="120" w:line="480" w:lineRule="auto"/>
      <w:ind w:left="420" w:leftChars="200"/>
    </w:pPr>
    <w:rPr>
      <w:sz w:val="24"/>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8">
    <w:name w:val="样式 标题 3H3 + 两端对齐"/>
    <w:basedOn w:val="6"/>
    <w:qFormat/>
    <w:uiPriority w:val="0"/>
    <w:pPr>
      <w:keepLines w:val="0"/>
      <w:spacing w:before="0" w:after="0"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 w:val="24"/>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rPr>
      <w:sz w:val="24"/>
    </w:r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 w:val="24"/>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6">
    <w:name w:val="Char Char Char Char Char Char Char Char Char Char Char1 Char"/>
    <w:basedOn w:val="1"/>
    <w:qFormat/>
    <w:uiPriority w:val="0"/>
    <w:pPr>
      <w:adjustRightInd/>
    </w:pPr>
    <w:rPr>
      <w:rFonts w:ascii="Tahoma" w:hAnsi="Tahoma"/>
      <w:sz w:val="24"/>
    </w:rPr>
  </w:style>
  <w:style w:type="paragraph" w:customStyle="1" w:styleId="757">
    <w:name w:val="Char Char Char Char11"/>
    <w:basedOn w:val="1"/>
    <w:qFormat/>
    <w:uiPriority w:val="0"/>
    <w:rPr>
      <w:rFonts w:ascii="Tahoma" w:hAnsi="Tahoma"/>
      <w:sz w:val="24"/>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 w:val="24"/>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 w:val="24"/>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1">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 w:val="24"/>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5">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6">
    <w:name w:val="Char Char1 Char Char Char Char Char Char"/>
    <w:basedOn w:val="1"/>
    <w:qFormat/>
    <w:uiPriority w:val="0"/>
    <w:rPr>
      <w:rFonts w:ascii="仿宋_GB2312" w:eastAsia="仿宋_GB2312"/>
      <w:b/>
      <w:sz w:val="32"/>
      <w:szCs w:val="20"/>
    </w:rPr>
  </w:style>
  <w:style w:type="paragraph" w:customStyle="1" w:styleId="84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0"/>
    <w:rPr>
      <w:rFonts w:ascii="仿宋_GB2312" w:eastAsia="仿宋_GB2312"/>
      <w:b/>
      <w:sz w:val="32"/>
      <w:szCs w:val="20"/>
    </w:rPr>
  </w:style>
  <w:style w:type="paragraph" w:customStyle="1" w:styleId="84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0"/>
    <w:pPr>
      <w:adjustRightInd/>
    </w:pPr>
    <w:rPr>
      <w:rFonts w:ascii="仿宋_GB2312" w:eastAsia="仿宋_GB2312"/>
      <w:b/>
      <w:sz w:val="32"/>
      <w:szCs w:val="32"/>
    </w:rPr>
  </w:style>
  <w:style w:type="paragraph" w:customStyle="1" w:styleId="85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6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0"/>
    <w:pPr>
      <w:widowControl/>
      <w:spacing w:after="160" w:line="240" w:lineRule="exact"/>
      <w:jc w:val="left"/>
    </w:pPr>
    <w:rPr>
      <w:rFonts w:eastAsia="仿宋_GB2312"/>
      <w:sz w:val="28"/>
    </w:rPr>
  </w:style>
  <w:style w:type="paragraph" w:customStyle="1" w:styleId="863">
    <w:name w:val="Char21"/>
    <w:basedOn w:val="1"/>
    <w:qFormat/>
    <w:uiPriority w:val="0"/>
    <w:pPr>
      <w:adjustRightInd/>
      <w:ind w:firstLine="200" w:firstLineChars="200"/>
    </w:pPr>
    <w:rPr>
      <w:rFonts w:ascii="仿宋_GB2312" w:eastAsia="仿宋_GB2312"/>
      <w:b/>
      <w:sz w:val="32"/>
      <w:szCs w:val="32"/>
    </w:rPr>
  </w:style>
  <w:style w:type="paragraph" w:customStyle="1" w:styleId="864">
    <w:name w:val="列表段落1"/>
    <w:basedOn w:val="1"/>
    <w:qFormat/>
    <w:uiPriority w:val="34"/>
    <w:pPr>
      <w:adjustRightInd/>
      <w:ind w:right="238" w:firstLine="420"/>
    </w:pPr>
    <w:rPr>
      <w:rFonts w:ascii="Calibri" w:hAnsi="Calibri"/>
      <w:sz w:val="24"/>
    </w:rPr>
  </w:style>
  <w:style w:type="paragraph" w:customStyle="1" w:styleId="865">
    <w:name w:val="Char Char110"/>
    <w:basedOn w:val="1"/>
    <w:qFormat/>
    <w:uiPriority w:val="6"/>
    <w:pPr>
      <w:spacing w:line="360" w:lineRule="auto"/>
    </w:pPr>
    <w:rPr>
      <w:rFonts w:ascii="Tahoma" w:hAnsi="Tahoma"/>
      <w:sz w:val="24"/>
      <w:szCs w:val="20"/>
    </w:rPr>
  </w:style>
  <w:style w:type="paragraph" w:customStyle="1" w:styleId="86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0"/>
    <w:rPr>
      <w:rFonts w:ascii="Tahoma" w:hAnsi="Tahoma" w:cs="仿宋_GB2312"/>
      <w:sz w:val="24"/>
      <w:szCs w:val="20"/>
    </w:rPr>
  </w:style>
  <w:style w:type="paragraph" w:customStyle="1" w:styleId="87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3">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5">
    <w:name w:val="_Style 12"/>
    <w:basedOn w:val="20"/>
    <w:qFormat/>
    <w:uiPriority w:val="0"/>
    <w:pPr>
      <w:snapToGrid w:val="0"/>
      <w:spacing w:line="360" w:lineRule="auto"/>
    </w:pPr>
  </w:style>
  <w:style w:type="paragraph" w:customStyle="1" w:styleId="87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61"/>
    <w:qFormat/>
    <w:uiPriority w:val="34"/>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5"/>
    <w:qFormat/>
    <w:uiPriority w:val="0"/>
    <w:pPr>
      <w:outlineLvl w:val="2"/>
    </w:pPr>
  </w:style>
  <w:style w:type="paragraph" w:customStyle="1" w:styleId="88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0"/>
    <w:pPr>
      <w:adjustRightInd/>
      <w:ind w:firstLine="200" w:firstLineChars="200"/>
    </w:pPr>
    <w:rPr>
      <w:rFonts w:ascii="Tahoma" w:hAnsi="Tahoma"/>
      <w:sz w:val="24"/>
      <w:szCs w:val="20"/>
    </w:rPr>
  </w:style>
  <w:style w:type="paragraph" w:customStyle="1" w:styleId="88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6">
    <w:name w:val="MM Empty"/>
    <w:basedOn w:val="1"/>
    <w:qFormat/>
    <w:uiPriority w:val="0"/>
    <w:pPr>
      <w:adjustRightInd/>
    </w:pPr>
  </w:style>
  <w:style w:type="paragraph" w:customStyle="1" w:styleId="887">
    <w:name w:val="Char24"/>
    <w:basedOn w:val="1"/>
    <w:qFormat/>
    <w:uiPriority w:val="0"/>
    <w:rPr>
      <w:rFonts w:ascii="仿宋_GB2312" w:eastAsia="仿宋_GB2312"/>
      <w:b/>
      <w:sz w:val="32"/>
      <w:szCs w:val="32"/>
    </w:rPr>
  </w:style>
  <w:style w:type="paragraph" w:customStyle="1" w:styleId="888">
    <w:name w:val="正文箭头"/>
    <w:basedOn w:val="541"/>
    <w:qFormat/>
    <w:uiPriority w:val="0"/>
  </w:style>
  <w:style w:type="paragraph" w:customStyle="1" w:styleId="889">
    <w:name w:val="U_编号2"/>
    <w:basedOn w:val="1"/>
    <w:qFormat/>
    <w:uiPriority w:val="0"/>
    <w:pPr>
      <w:tabs>
        <w:tab w:val="left" w:pos="785"/>
      </w:tabs>
      <w:adjustRightInd/>
      <w:spacing w:beforeLines="10" w:afterLines="10" w:line="300" w:lineRule="auto"/>
    </w:pPr>
    <w:rPr>
      <w:sz w:val="24"/>
    </w:rPr>
  </w:style>
  <w:style w:type="paragraph" w:customStyle="1" w:styleId="89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34"/>
    <w:pPr>
      <w:adjustRightInd/>
      <w:ind w:firstLine="420" w:firstLineChars="200"/>
    </w:pPr>
    <w:rPr>
      <w:rFonts w:eastAsia="仿宋_GB2312"/>
      <w:sz w:val="28"/>
    </w:rPr>
  </w:style>
  <w:style w:type="paragraph" w:customStyle="1" w:styleId="895">
    <w:name w:val="表格 内容"/>
    <w:basedOn w:val="732"/>
    <w:qFormat/>
    <w:uiPriority w:val="0"/>
    <w:rPr>
      <w:b w:val="0"/>
      <w:sz w:val="20"/>
    </w:rPr>
  </w:style>
  <w:style w:type="paragraph" w:customStyle="1" w:styleId="896">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数字标题5"/>
    <w:basedOn w:val="8"/>
    <w:next w:val="1"/>
    <w:qFormat/>
    <w:uiPriority w:val="0"/>
    <w:pPr>
      <w:tabs>
        <w:tab w:val="left" w:pos="1080"/>
      </w:tabs>
      <w:ind w:left="1080" w:hanging="1080"/>
    </w:pPr>
  </w:style>
  <w:style w:type="paragraph" w:customStyle="1" w:styleId="898">
    <w:name w:val="数字标题1"/>
    <w:basedOn w:val="4"/>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6"/>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5"/>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39"/>
    <w:qFormat/>
    <w:uiPriority w:val="0"/>
    <w:rPr>
      <w:kern w:val="2"/>
      <w:sz w:val="21"/>
      <w:szCs w:val="24"/>
      <w:lang w:val="zh-CN"/>
    </w:rPr>
  </w:style>
  <w:style w:type="character" w:customStyle="1" w:styleId="934">
    <w:name w:val="无间隔 字符"/>
    <w:link w:val="486"/>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1"/>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6">
    <w:name w:val="纯文本3"/>
    <w:basedOn w:val="1"/>
    <w:qFormat/>
    <w:uiPriority w:val="0"/>
    <w:pPr>
      <w:textAlignment w:val="baseline"/>
    </w:pPr>
    <w:rPr>
      <w:rFonts w:ascii="宋体" w:hAnsi="Courier New" w:eastAsia="楷体_GB2312"/>
      <w:sz w:val="26"/>
      <w:szCs w:val="20"/>
    </w:rPr>
  </w:style>
  <w:style w:type="paragraph" w:customStyle="1" w:styleId="967">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6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Heading1"/>
    <w:basedOn w:val="1"/>
    <w:next w:val="1"/>
    <w:qFormat/>
    <w:uiPriority w:val="0"/>
    <w:pPr>
      <w:keepNext/>
      <w:keepLines/>
      <w:spacing w:before="340" w:after="330" w:line="578" w:lineRule="auto"/>
      <w:textAlignment w:val="baseline"/>
    </w:pPr>
    <w:rPr>
      <w:b/>
      <w:bCs/>
      <w:kern w:val="44"/>
      <w:sz w:val="44"/>
      <w:szCs w:val="44"/>
    </w:rPr>
  </w:style>
  <w:style w:type="character" w:customStyle="1" w:styleId="970">
    <w:name w:val="NormalCharacter"/>
    <w:qFormat/>
    <w:uiPriority w:val="0"/>
    <w:rPr>
      <w:kern w:val="2"/>
      <w:sz w:val="21"/>
      <w:szCs w:val="24"/>
      <w:lang w:val="en-US" w:eastAsia="zh-CN" w:bidi="ar-SA"/>
    </w:rPr>
  </w:style>
  <w:style w:type="character" w:customStyle="1" w:styleId="971">
    <w:name w:val="UserStyle_12"/>
    <w:qFormat/>
    <w:uiPriority w:val="0"/>
    <w:rPr>
      <w:kern w:val="2"/>
      <w:sz w:val="21"/>
      <w:szCs w:val="24"/>
      <w:lang w:val="en-US" w:eastAsia="zh-CN" w:bidi="ar-SA"/>
    </w:rPr>
  </w:style>
  <w:style w:type="paragraph" w:customStyle="1" w:styleId="972">
    <w:name w:val="BodyText"/>
    <w:basedOn w:val="1"/>
    <w:next w:val="973"/>
    <w:qFormat/>
    <w:uiPriority w:val="0"/>
    <w:pPr>
      <w:spacing w:after="120"/>
      <w:textAlignment w:val="baseline"/>
    </w:pPr>
    <w:rPr>
      <w:rFonts w:ascii="Calibri" w:hAnsi="Calibri"/>
    </w:rPr>
  </w:style>
  <w:style w:type="paragraph" w:customStyle="1" w:styleId="973">
    <w:name w:val="BodyText2"/>
    <w:basedOn w:val="1"/>
    <w:next w:val="1"/>
    <w:qFormat/>
    <w:uiPriority w:val="0"/>
    <w:pPr>
      <w:widowControl/>
      <w:snapToGrid w:val="0"/>
      <w:spacing w:before="50" w:after="156" w:line="400" w:lineRule="exact"/>
      <w:jc w:val="left"/>
      <w:textAlignment w:val="baseline"/>
    </w:pPr>
    <w:rPr>
      <w:rFonts w:ascii="宋体" w:hAnsi="宋体"/>
      <w:color w:val="000000"/>
      <w:sz w:val="24"/>
    </w:rPr>
  </w:style>
  <w:style w:type="paragraph" w:customStyle="1" w:styleId="974">
    <w:name w:val="纯文本4"/>
    <w:basedOn w:val="1"/>
    <w:qFormat/>
    <w:uiPriority w:val="0"/>
    <w:pPr>
      <w:textAlignment w:val="baseline"/>
    </w:pPr>
    <w:rPr>
      <w:rFonts w:ascii="宋体" w:hAnsi="Courier New" w:eastAsia="楷体_GB2312"/>
      <w:sz w:val="2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53</Pages>
  <Words>28264</Words>
  <Characters>31042</Characters>
  <Lines>627</Lines>
  <Paragraphs>176</Paragraphs>
  <TotalTime>10</TotalTime>
  <ScaleCrop>false</ScaleCrop>
  <LinksUpToDate>false</LinksUpToDate>
  <CharactersWithSpaces>33645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9</cp:lastModifiedBy>
  <cp:lastPrinted>2022-04-02T14:08:00Z</cp:lastPrinted>
  <dcterms:modified xsi:type="dcterms:W3CDTF">2022-12-09T08:01:24Z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y fmtid="{D5CDD505-2E9C-101B-9397-08002B2CF9AE}" pid="5" name="commondata">
    <vt:lpwstr>eyJoZGlkIjoiMGMzMTVmNWQ0ZWUwMDFhMGMxMjI0ODY0ODBlMmFiN2UifQ==</vt:lpwstr>
  </property>
</Properties>
</file>