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ascii="仿宋" w:hAnsi="仿宋" w:eastAsia="仿宋" w:cs="仿宋_GB2312"/>
          <w:b/>
          <w:color w:val="auto"/>
          <w:sz w:val="24"/>
          <w:highlight w:val="none"/>
        </w:rPr>
      </w:pPr>
    </w:p>
    <w:p>
      <w:pPr>
        <w:pStyle w:val="23"/>
        <w:rPr>
          <w:color w:val="auto"/>
          <w:highlight w:val="none"/>
        </w:rPr>
      </w:pPr>
    </w:p>
    <w:p>
      <w:pPr>
        <w:spacing w:line="1160" w:lineRule="exact"/>
        <w:jc w:val="center"/>
        <w:rPr>
          <w:rFonts w:hint="eastAsia" w:ascii="宋体" w:hAnsi="宋体"/>
          <w:b/>
          <w:color w:val="auto"/>
          <w:sz w:val="56"/>
          <w:szCs w:val="56"/>
          <w:highlight w:val="none"/>
          <w:lang w:eastAsia="zh-CN"/>
        </w:rPr>
      </w:pPr>
      <w:bookmarkStart w:id="0" w:name="_Hlt67893495"/>
      <w:bookmarkEnd w:id="0"/>
      <w:r>
        <w:rPr>
          <w:rFonts w:hint="eastAsia" w:ascii="宋体" w:hAnsi="宋体"/>
          <w:b/>
          <w:color w:val="auto"/>
          <w:sz w:val="56"/>
          <w:szCs w:val="56"/>
          <w:highlight w:val="none"/>
          <w:lang w:eastAsia="zh-CN"/>
        </w:rPr>
        <w:t>嘉善县图书馆第二次普通图书采购项目</w:t>
      </w:r>
    </w:p>
    <w:p>
      <w:pPr>
        <w:spacing w:before="120" w:beforeLines="50"/>
        <w:rPr>
          <w:rFonts w:hint="eastAsia" w:ascii="宋体" w:hAnsi="宋体"/>
          <w:color w:val="auto"/>
          <w:sz w:val="72"/>
          <w:szCs w:val="72"/>
          <w:highlight w:val="none"/>
        </w:rPr>
      </w:pPr>
    </w:p>
    <w:p>
      <w:pPr>
        <w:spacing w:before="120" w:beforeLines="50"/>
        <w:jc w:val="center"/>
        <w:rPr>
          <w:rFonts w:hint="eastAsia" w:ascii="宋体" w:hAnsi="宋体"/>
          <w:color w:val="auto"/>
          <w:sz w:val="72"/>
          <w:szCs w:val="72"/>
          <w:highlight w:val="none"/>
          <w:lang w:eastAsia="zh-CN"/>
        </w:rPr>
      </w:pPr>
    </w:p>
    <w:p>
      <w:pPr>
        <w:spacing w:before="120" w:beforeLines="50"/>
        <w:jc w:val="center"/>
        <w:rPr>
          <w:rFonts w:hint="eastAsia" w:ascii="宋体" w:hAnsi="宋体"/>
          <w:color w:val="auto"/>
          <w:sz w:val="72"/>
          <w:szCs w:val="72"/>
          <w:highlight w:val="none"/>
          <w:lang w:eastAsia="zh-CN"/>
        </w:rPr>
      </w:pPr>
    </w:p>
    <w:p>
      <w:pPr>
        <w:spacing w:before="120" w:beforeLines="50"/>
        <w:jc w:val="center"/>
        <w:rPr>
          <w:rFonts w:hint="eastAsia" w:ascii="宋体" w:hAnsi="宋体"/>
          <w:color w:val="auto"/>
          <w:sz w:val="72"/>
          <w:szCs w:val="72"/>
          <w:highlight w:val="none"/>
          <w:lang w:eastAsia="zh-CN"/>
        </w:rPr>
      </w:pPr>
    </w:p>
    <w:p>
      <w:pPr>
        <w:spacing w:before="120" w:beforeLines="50"/>
        <w:jc w:val="center"/>
        <w:rPr>
          <w:rFonts w:hint="eastAsia" w:ascii="宋体" w:hAnsi="宋体"/>
          <w:color w:val="auto"/>
          <w:sz w:val="72"/>
          <w:szCs w:val="72"/>
          <w:highlight w:val="none"/>
        </w:rPr>
      </w:pPr>
      <w:r>
        <w:rPr>
          <w:rFonts w:hint="eastAsia" w:ascii="宋体" w:hAnsi="宋体"/>
          <w:color w:val="auto"/>
          <w:sz w:val="72"/>
          <w:szCs w:val="72"/>
          <w:highlight w:val="none"/>
          <w:lang w:eastAsia="zh-CN"/>
        </w:rPr>
        <w:t>公开</w:t>
      </w:r>
      <w:r>
        <w:rPr>
          <w:rFonts w:hint="eastAsia" w:ascii="宋体" w:hAnsi="宋体"/>
          <w:color w:val="auto"/>
          <w:sz w:val="72"/>
          <w:szCs w:val="72"/>
          <w:highlight w:val="none"/>
        </w:rPr>
        <w:t>招标文件</w:t>
      </w:r>
    </w:p>
    <w:p>
      <w:pPr>
        <w:pStyle w:val="61"/>
        <w:rPr>
          <w:rFonts w:hint="eastAsia"/>
          <w:color w:val="auto"/>
          <w:highlight w:val="none"/>
        </w:rPr>
      </w:pPr>
    </w:p>
    <w:p>
      <w:pPr>
        <w:snapToGrid w:val="0"/>
        <w:spacing w:before="120" w:beforeLines="50" w:line="360" w:lineRule="auto"/>
        <w:jc w:val="center"/>
        <w:rPr>
          <w:rFonts w:hint="eastAsia" w:ascii="宋体" w:hAnsi="宋体" w:eastAsia="宋体"/>
          <w:color w:val="auto"/>
          <w:sz w:val="30"/>
          <w:szCs w:val="72"/>
          <w:highlight w:val="none"/>
          <w:lang w:eastAsia="zh-CN"/>
        </w:rPr>
      </w:pPr>
    </w:p>
    <w:p>
      <w:pPr>
        <w:snapToGrid w:val="0"/>
        <w:spacing w:before="120" w:beforeLines="50" w:line="360" w:lineRule="auto"/>
        <w:rPr>
          <w:rFonts w:hint="eastAsia" w:ascii="宋体" w:hAnsi="宋体"/>
          <w:color w:val="auto"/>
          <w:sz w:val="30"/>
          <w:szCs w:val="72"/>
          <w:highlight w:val="none"/>
        </w:rPr>
      </w:pPr>
    </w:p>
    <w:p>
      <w:pPr>
        <w:pStyle w:val="33"/>
        <w:snapToGrid w:val="0"/>
        <w:spacing w:before="120" w:beforeLines="0" w:after="120" w:afterLines="0" w:line="360" w:lineRule="auto"/>
        <w:rPr>
          <w:b/>
          <w:color w:val="auto"/>
          <w:sz w:val="30"/>
          <w:szCs w:val="30"/>
          <w:highlight w:val="none"/>
        </w:rPr>
      </w:pPr>
    </w:p>
    <w:p>
      <w:pPr>
        <w:pStyle w:val="33"/>
        <w:snapToGrid w:val="0"/>
        <w:spacing w:before="120" w:beforeLines="0" w:after="120" w:afterLines="0" w:line="360" w:lineRule="auto"/>
        <w:jc w:val="left"/>
        <w:rPr>
          <w:rFonts w:hint="eastAsia"/>
          <w:b/>
          <w:color w:val="auto"/>
          <w:sz w:val="30"/>
          <w:szCs w:val="30"/>
          <w:highlight w:val="none"/>
        </w:rPr>
      </w:pPr>
      <w:r>
        <w:rPr>
          <w:b/>
          <w:color w:val="auto"/>
          <w:sz w:val="30"/>
          <w:szCs w:val="30"/>
          <w:highlight w:val="none"/>
        </w:rPr>
        <w:t>项目编号：</w:t>
      </w:r>
      <w:r>
        <w:rPr>
          <w:rFonts w:hint="eastAsia" w:hAnsi="宋体"/>
          <w:b/>
          <w:color w:val="auto"/>
          <w:sz w:val="30"/>
          <w:szCs w:val="48"/>
          <w:highlight w:val="none"/>
          <w:lang w:eastAsia="zh-CN"/>
        </w:rPr>
        <w:t>JXYJ2022038</w:t>
      </w:r>
      <w:r>
        <w:rPr>
          <w:rFonts w:hint="eastAsia" w:hAnsi="宋体"/>
          <w:b/>
          <w:color w:val="auto"/>
          <w:sz w:val="30"/>
          <w:szCs w:val="48"/>
          <w:highlight w:val="none"/>
        </w:rPr>
        <w:t>(G)</w:t>
      </w:r>
    </w:p>
    <w:p>
      <w:pPr>
        <w:pStyle w:val="33"/>
        <w:snapToGrid w:val="0"/>
        <w:spacing w:before="120" w:beforeLines="0" w:after="120" w:afterLines="0" w:line="360" w:lineRule="auto"/>
        <w:jc w:val="left"/>
        <w:rPr>
          <w:rFonts w:hint="eastAsia" w:eastAsia="宋体"/>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嘉善县图书馆第二次普通图书采购项目</w:t>
      </w:r>
    </w:p>
    <w:p>
      <w:pPr>
        <w:pStyle w:val="33"/>
        <w:snapToGrid w:val="0"/>
        <w:spacing w:before="120" w:beforeLines="0" w:after="120" w:afterLines="0" w:line="360" w:lineRule="auto"/>
        <w:jc w:val="left"/>
        <w:rPr>
          <w:rFonts w:hint="eastAsia" w:hAnsi="宋体" w:eastAsia="宋体" w:cs="Arial"/>
          <w:b/>
          <w:color w:val="auto"/>
          <w:sz w:val="30"/>
          <w:szCs w:val="30"/>
          <w:highlight w:val="none"/>
          <w:lang w:eastAsia="zh-CN"/>
        </w:rPr>
      </w:pPr>
      <w:r>
        <w:rPr>
          <w:b/>
          <w:color w:val="auto"/>
          <w:sz w:val="30"/>
          <w:szCs w:val="30"/>
          <w:highlight w:val="none"/>
        </w:rPr>
        <w:t>采购</w:t>
      </w:r>
      <w:r>
        <w:rPr>
          <w:rFonts w:hint="eastAsia"/>
          <w:b/>
          <w:color w:val="auto"/>
          <w:sz w:val="30"/>
          <w:szCs w:val="30"/>
          <w:highlight w:val="none"/>
          <w:lang w:val="en-US" w:eastAsia="zh-CN"/>
        </w:rPr>
        <w:t>单位</w:t>
      </w:r>
      <w:r>
        <w:rPr>
          <w:b/>
          <w:color w:val="auto"/>
          <w:sz w:val="30"/>
          <w:szCs w:val="30"/>
          <w:highlight w:val="none"/>
        </w:rPr>
        <w:t>：</w:t>
      </w:r>
      <w:r>
        <w:rPr>
          <w:rFonts w:hint="eastAsia"/>
          <w:b/>
          <w:color w:val="auto"/>
          <w:sz w:val="30"/>
          <w:szCs w:val="30"/>
          <w:highlight w:val="none"/>
          <w:lang w:eastAsia="zh-CN"/>
        </w:rPr>
        <w:t>嘉善县图书馆</w:t>
      </w:r>
    </w:p>
    <w:p>
      <w:pPr>
        <w:pStyle w:val="33"/>
        <w:snapToGrid w:val="0"/>
        <w:spacing w:before="120" w:beforeLines="0" w:after="120" w:afterLines="0" w:line="360" w:lineRule="auto"/>
        <w:jc w:val="left"/>
        <w:rPr>
          <w:rFonts w:hint="eastAsia" w:hAnsi="宋体"/>
          <w:b/>
          <w:bCs/>
          <w:color w:val="auto"/>
          <w:sz w:val="30"/>
          <w:szCs w:val="30"/>
          <w:highlight w:val="none"/>
        </w:rPr>
      </w:pPr>
      <w:r>
        <w:rPr>
          <w:rFonts w:hint="eastAsia"/>
          <w:b/>
          <w:color w:val="auto"/>
          <w:sz w:val="30"/>
          <w:szCs w:val="30"/>
          <w:highlight w:val="none"/>
        </w:rPr>
        <w:t>采购代理机构</w:t>
      </w:r>
      <w:r>
        <w:rPr>
          <w:b/>
          <w:color w:val="auto"/>
          <w:sz w:val="30"/>
          <w:szCs w:val="30"/>
          <w:highlight w:val="none"/>
        </w:rPr>
        <w:t>：</w:t>
      </w:r>
      <w:r>
        <w:rPr>
          <w:rFonts w:hint="eastAsia"/>
          <w:b/>
          <w:color w:val="auto"/>
          <w:sz w:val="30"/>
          <w:szCs w:val="30"/>
          <w:highlight w:val="none"/>
        </w:rPr>
        <w:t>嘉兴市银建工程咨询评估有限公司</w:t>
      </w:r>
    </w:p>
    <w:p>
      <w:pPr>
        <w:spacing w:line="360" w:lineRule="auto"/>
        <w:jc w:val="center"/>
        <w:rPr>
          <w:rFonts w:ascii="仿宋" w:hAnsi="仿宋" w:eastAsia="仿宋" w:cs="仿宋_GB2312"/>
          <w:color w:val="auto"/>
          <w:sz w:val="24"/>
          <w:highlight w:val="none"/>
        </w:rPr>
      </w:pPr>
      <w:r>
        <w:rPr>
          <w:rFonts w:hint="eastAsia" w:ascii="宋体" w:hAnsi="宋体"/>
          <w:b/>
          <w:bCs/>
          <w:color w:val="auto"/>
          <w:w w:val="95"/>
          <w:sz w:val="30"/>
          <w:szCs w:val="30"/>
          <w:highlight w:val="none"/>
          <w:lang w:eastAsia="zh-CN"/>
        </w:rPr>
        <w:t>202</w:t>
      </w:r>
      <w:r>
        <w:rPr>
          <w:rFonts w:hint="eastAsia" w:ascii="宋体" w:hAnsi="宋体"/>
          <w:b/>
          <w:bCs/>
          <w:color w:val="auto"/>
          <w:w w:val="95"/>
          <w:sz w:val="30"/>
          <w:szCs w:val="30"/>
          <w:highlight w:val="none"/>
          <w:lang w:val="en-US" w:eastAsia="zh-CN"/>
        </w:rPr>
        <w:t>2</w:t>
      </w:r>
      <w:r>
        <w:rPr>
          <w:rFonts w:hint="eastAsia" w:ascii="宋体" w:hAnsi="宋体"/>
          <w:b/>
          <w:bCs/>
          <w:color w:val="auto"/>
          <w:w w:val="95"/>
          <w:sz w:val="30"/>
          <w:szCs w:val="30"/>
          <w:highlight w:val="none"/>
        </w:rPr>
        <w:t>年</w:t>
      </w:r>
      <w:r>
        <w:rPr>
          <w:rFonts w:hint="eastAsia" w:ascii="宋体" w:hAnsi="宋体"/>
          <w:b/>
          <w:bCs/>
          <w:color w:val="auto"/>
          <w:w w:val="95"/>
          <w:sz w:val="30"/>
          <w:szCs w:val="30"/>
          <w:highlight w:val="none"/>
          <w:lang w:val="en-US" w:eastAsia="zh-CN"/>
        </w:rPr>
        <w:t>10</w:t>
      </w:r>
      <w:r>
        <w:rPr>
          <w:rFonts w:hint="eastAsia" w:ascii="宋体" w:hAnsi="宋体"/>
          <w:b/>
          <w:bCs/>
          <w:color w:val="auto"/>
          <w:w w:val="95"/>
          <w:sz w:val="30"/>
          <w:szCs w:val="30"/>
          <w:highlight w:val="none"/>
        </w:rPr>
        <w:t>月</w:t>
      </w:r>
    </w:p>
    <w:p>
      <w:pPr>
        <w:spacing w:line="360" w:lineRule="auto"/>
        <w:jc w:val="center"/>
        <w:rPr>
          <w:rFonts w:ascii="仿宋" w:hAnsi="仿宋" w:eastAsia="仿宋" w:cs="仿宋_GB2312"/>
          <w:color w:val="auto"/>
          <w:sz w:val="24"/>
          <w:highlight w:val="none"/>
        </w:rPr>
      </w:pPr>
    </w:p>
    <w:p>
      <w:pPr>
        <w:pStyle w:val="61"/>
        <w:rPr>
          <w:rFonts w:ascii="仿宋" w:hAnsi="仿宋" w:eastAsia="仿宋" w:cs="仿宋_GB2312"/>
          <w:color w:val="auto"/>
          <w:sz w:val="24"/>
          <w:highlight w:val="none"/>
        </w:rPr>
      </w:pPr>
    </w:p>
    <w:p>
      <w:pPr>
        <w:rPr>
          <w:rFonts w:ascii="仿宋" w:hAnsi="仿宋" w:eastAsia="仿宋" w:cs="仿宋_GB2312"/>
          <w:color w:val="auto"/>
          <w:sz w:val="24"/>
          <w:highlight w:val="none"/>
        </w:rPr>
        <w:sectPr>
          <w:headerReference r:id="rId3" w:type="default"/>
          <w:footerReference r:id="rId4" w:type="even"/>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4"/>
        <w:rPr>
          <w:color w:val="auto"/>
          <w:highlight w:val="none"/>
        </w:rPr>
      </w:pPr>
    </w:p>
    <w:p>
      <w:pPr>
        <w:pStyle w:val="61"/>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pStyle w:val="33"/>
        <w:spacing w:before="120" w:beforeLines="0" w:after="120" w:afterLines="0" w:line="600" w:lineRule="exact"/>
        <w:jc w:val="both"/>
        <w:rPr>
          <w:rFonts w:hint="eastAsia" w:ascii="创艺简标宋" w:hAnsi="宋体" w:eastAsia="创艺简标宋"/>
          <w:b/>
          <w:color w:val="auto"/>
          <w:sz w:val="44"/>
          <w:szCs w:val="44"/>
          <w:highlight w:val="none"/>
        </w:rPr>
      </w:pPr>
      <w:bookmarkStart w:id="1" w:name="_Hlt91233176"/>
      <w:bookmarkEnd w:id="1"/>
      <w:bookmarkStart w:id="2" w:name="_Toc91899869"/>
    </w:p>
    <w:p>
      <w:pPr>
        <w:pStyle w:val="33"/>
        <w:spacing w:before="120" w:beforeLines="0" w:after="120" w:afterLines="0" w:line="600" w:lineRule="exact"/>
        <w:jc w:val="center"/>
        <w:rPr>
          <w:rFonts w:hint="eastAsia" w:ascii="创艺简标宋" w:hAnsi="宋体" w:eastAsia="创艺简标宋"/>
          <w:b/>
          <w:color w:val="auto"/>
          <w:sz w:val="44"/>
          <w:szCs w:val="44"/>
          <w:highlight w:val="none"/>
        </w:rPr>
      </w:pPr>
      <w:r>
        <w:rPr>
          <w:rFonts w:hint="eastAsia" w:ascii="创艺简标宋" w:hAnsi="宋体" w:eastAsia="创艺简标宋"/>
          <w:b/>
          <w:color w:val="auto"/>
          <w:sz w:val="44"/>
          <w:szCs w:val="44"/>
          <w:highlight w:val="none"/>
        </w:rPr>
        <w:t>目    录</w:t>
      </w:r>
    </w:p>
    <w:p>
      <w:pPr>
        <w:pStyle w:val="33"/>
        <w:tabs>
          <w:tab w:val="left" w:pos="6645"/>
        </w:tabs>
        <w:spacing w:before="120" w:beforeLines="0" w:after="120" w:afterLines="0" w:line="600" w:lineRule="exact"/>
        <w:jc w:val="left"/>
        <w:rPr>
          <w:rFonts w:hint="eastAsia" w:ascii="创艺简标宋" w:hAnsi="宋体" w:eastAsia="创艺简标宋"/>
          <w:b/>
          <w:color w:val="auto"/>
          <w:sz w:val="44"/>
          <w:szCs w:val="44"/>
          <w:highlight w:val="none"/>
        </w:rPr>
      </w:pPr>
      <w:r>
        <w:rPr>
          <w:rFonts w:ascii="创艺简标宋" w:hAnsi="宋体" w:eastAsia="创艺简标宋"/>
          <w:b/>
          <w:color w:val="auto"/>
          <w:sz w:val="44"/>
          <w:szCs w:val="44"/>
          <w:highlight w:val="none"/>
        </w:rPr>
        <w:tab/>
      </w:r>
    </w:p>
    <w:p>
      <w:pPr>
        <w:pStyle w:val="44"/>
        <w:tabs>
          <w:tab w:val="right" w:leader="dot" w:pos="8834"/>
        </w:tabs>
        <w:spacing w:line="480" w:lineRule="auto"/>
        <w:rPr>
          <w:b/>
          <w:color w:val="auto"/>
          <w:sz w:val="32"/>
          <w:szCs w:val="32"/>
          <w:highlight w:val="none"/>
        </w:rPr>
      </w:pPr>
      <w:r>
        <w:rPr>
          <w:b/>
          <w:color w:val="auto"/>
          <w:sz w:val="32"/>
          <w:szCs w:val="32"/>
          <w:highlight w:val="none"/>
        </w:rPr>
        <w:fldChar w:fldCharType="begin"/>
      </w:r>
      <w:r>
        <w:rPr>
          <w:b/>
          <w:color w:val="auto"/>
          <w:sz w:val="32"/>
          <w:szCs w:val="32"/>
          <w:highlight w:val="none"/>
        </w:rPr>
        <w:instrText xml:space="preserve"> TOC \o "1-1" \h \z \u </w:instrText>
      </w:r>
      <w:r>
        <w:rPr>
          <w:b/>
          <w:color w:val="auto"/>
          <w:sz w:val="32"/>
          <w:szCs w:val="32"/>
          <w:highlight w:val="none"/>
        </w:rPr>
        <w:fldChar w:fldCharType="separate"/>
      </w: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"_Toc406402981"</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第一章</w:t>
      </w:r>
      <w:r>
        <w:rPr>
          <w:rStyle w:val="77"/>
          <w:b/>
          <w:color w:val="auto"/>
          <w:sz w:val="32"/>
          <w:szCs w:val="32"/>
          <w:highlight w:val="none"/>
        </w:rPr>
        <w:t xml:space="preserve">  </w:t>
      </w:r>
      <w:r>
        <w:rPr>
          <w:rStyle w:val="77"/>
          <w:rFonts w:hint="eastAsia"/>
          <w:b/>
          <w:color w:val="auto"/>
          <w:sz w:val="32"/>
          <w:szCs w:val="32"/>
          <w:highlight w:val="none"/>
        </w:rPr>
        <w:t>公开招标采购公告</w:t>
      </w:r>
      <w:r>
        <w:rPr>
          <w:b/>
          <w:color w:val="auto"/>
          <w:sz w:val="32"/>
          <w:szCs w:val="32"/>
          <w:highlight w:val="none"/>
        </w:rPr>
        <w:tab/>
      </w:r>
      <w:r>
        <w:rPr>
          <w:rFonts w:hint="eastAsia"/>
          <w:b/>
          <w:color w:val="auto"/>
          <w:sz w:val="32"/>
          <w:szCs w:val="32"/>
          <w:highlight w:val="none"/>
          <w:lang w:val="en-US" w:eastAsia="zh-CN"/>
        </w:rPr>
        <w:t>3</w:t>
      </w:r>
      <w:r>
        <w:rPr>
          <w:b/>
          <w:color w:val="auto"/>
          <w:sz w:val="32"/>
          <w:szCs w:val="32"/>
          <w:highlight w:val="none"/>
        </w:rPr>
        <w:fldChar w:fldCharType="end"/>
      </w:r>
    </w:p>
    <w:p>
      <w:pPr>
        <w:pStyle w:val="44"/>
        <w:tabs>
          <w:tab w:val="right" w:leader="dot" w:pos="8834"/>
        </w:tabs>
        <w:spacing w:line="480" w:lineRule="auto"/>
        <w:rPr>
          <w:b/>
          <w:color w:val="auto"/>
          <w:sz w:val="32"/>
          <w:szCs w:val="32"/>
          <w:highlight w:val="none"/>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"_Toc406402982"</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第二章</w:t>
      </w:r>
      <w:r>
        <w:rPr>
          <w:rStyle w:val="77"/>
          <w:b/>
          <w:color w:val="auto"/>
          <w:sz w:val="32"/>
          <w:szCs w:val="32"/>
          <w:highlight w:val="none"/>
        </w:rPr>
        <w:t xml:space="preserve">  </w:t>
      </w:r>
      <w:r>
        <w:rPr>
          <w:rStyle w:val="77"/>
          <w:rFonts w:hint="eastAsia"/>
          <w:b/>
          <w:color w:val="auto"/>
          <w:sz w:val="32"/>
          <w:szCs w:val="32"/>
          <w:highlight w:val="none"/>
        </w:rPr>
        <w:t>招标需求</w:t>
      </w:r>
      <w:r>
        <w:rPr>
          <w:b/>
          <w:color w:val="auto"/>
          <w:sz w:val="32"/>
          <w:szCs w:val="32"/>
          <w:highlight w:val="none"/>
        </w:rPr>
        <w:tab/>
      </w:r>
      <w:r>
        <w:rPr>
          <w:rFonts w:hint="eastAsia"/>
          <w:b/>
          <w:color w:val="auto"/>
          <w:sz w:val="32"/>
          <w:szCs w:val="32"/>
          <w:highlight w:val="none"/>
          <w:lang w:val="en-US" w:eastAsia="zh-CN"/>
        </w:rPr>
        <w:t>8</w:t>
      </w:r>
      <w:r>
        <w:rPr>
          <w:b/>
          <w:color w:val="auto"/>
          <w:sz w:val="32"/>
          <w:szCs w:val="32"/>
          <w:highlight w:val="none"/>
        </w:rPr>
        <w:fldChar w:fldCharType="end"/>
      </w:r>
    </w:p>
    <w:p>
      <w:pPr>
        <w:pStyle w:val="44"/>
        <w:tabs>
          <w:tab w:val="right" w:leader="dot" w:pos="8834"/>
        </w:tabs>
        <w:spacing w:line="480" w:lineRule="auto"/>
        <w:rPr>
          <w:rFonts w:hint="eastAsia" w:eastAsia="宋体"/>
          <w:b/>
          <w:color w:val="auto"/>
          <w:sz w:val="32"/>
          <w:szCs w:val="32"/>
          <w:highlight w:val="none"/>
          <w:lang w:val="en-US" w:eastAsia="zh-CN"/>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"_Toc406402986"</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第三章</w:t>
      </w:r>
      <w:r>
        <w:rPr>
          <w:rStyle w:val="77"/>
          <w:b/>
          <w:color w:val="auto"/>
          <w:sz w:val="32"/>
          <w:szCs w:val="32"/>
          <w:highlight w:val="none"/>
        </w:rPr>
        <w:t xml:space="preserve">  </w:t>
      </w:r>
      <w:r>
        <w:rPr>
          <w:rStyle w:val="77"/>
          <w:rFonts w:hint="eastAsia"/>
          <w:b/>
          <w:color w:val="auto"/>
          <w:sz w:val="32"/>
          <w:szCs w:val="32"/>
          <w:highlight w:val="none"/>
        </w:rPr>
        <w:t>投标人须知</w:t>
      </w:r>
      <w:r>
        <w:rPr>
          <w:b/>
          <w:color w:val="auto"/>
          <w:sz w:val="32"/>
          <w:szCs w:val="32"/>
          <w:highlight w:val="none"/>
        </w:rPr>
        <w:tab/>
      </w:r>
      <w:r>
        <w:rPr>
          <w:rFonts w:hint="eastAsia"/>
          <w:b/>
          <w:color w:val="auto"/>
          <w:sz w:val="32"/>
          <w:szCs w:val="32"/>
          <w:highlight w:val="none"/>
          <w:lang w:val="en-US" w:eastAsia="zh-CN"/>
        </w:rPr>
        <w:t>1</w:t>
      </w:r>
      <w:r>
        <w:rPr>
          <w:b/>
          <w:color w:val="auto"/>
          <w:sz w:val="32"/>
          <w:szCs w:val="32"/>
          <w:highlight w:val="none"/>
        </w:rPr>
        <w:fldChar w:fldCharType="end"/>
      </w:r>
      <w:r>
        <w:rPr>
          <w:rFonts w:hint="eastAsia"/>
          <w:b/>
          <w:color w:val="auto"/>
          <w:sz w:val="32"/>
          <w:szCs w:val="32"/>
          <w:highlight w:val="none"/>
          <w:lang w:val="en-US" w:eastAsia="zh-CN"/>
        </w:rPr>
        <w:t>3</w:t>
      </w:r>
    </w:p>
    <w:p>
      <w:pPr>
        <w:pStyle w:val="44"/>
        <w:tabs>
          <w:tab w:val="right" w:leader="dot" w:pos="8834"/>
        </w:tabs>
        <w:spacing w:line="480" w:lineRule="auto"/>
        <w:rPr>
          <w:rFonts w:hint="eastAsia" w:eastAsia="宋体"/>
          <w:b/>
          <w:color w:val="auto"/>
          <w:sz w:val="32"/>
          <w:szCs w:val="32"/>
          <w:highlight w:val="none"/>
          <w:lang w:val="en-US" w:eastAsia="zh-CN"/>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"_Toc406402996"</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 xml:space="preserve">第四章 </w:t>
      </w:r>
      <w:r>
        <w:rPr>
          <w:rStyle w:val="77"/>
          <w:b/>
          <w:color w:val="auto"/>
          <w:sz w:val="32"/>
          <w:szCs w:val="32"/>
          <w:highlight w:val="none"/>
        </w:rPr>
        <w:t xml:space="preserve"> </w:t>
      </w:r>
      <w:r>
        <w:rPr>
          <w:rStyle w:val="77"/>
          <w:rFonts w:hint="eastAsia"/>
          <w:b/>
          <w:color w:val="auto"/>
          <w:sz w:val="32"/>
          <w:szCs w:val="32"/>
          <w:highlight w:val="none"/>
        </w:rPr>
        <w:t>评标办法及评分标准</w:t>
      </w:r>
      <w:r>
        <w:rPr>
          <w:b/>
          <w:color w:val="auto"/>
          <w:sz w:val="32"/>
          <w:szCs w:val="32"/>
          <w:highlight w:val="none"/>
        </w:rPr>
        <w:tab/>
      </w:r>
      <w:r>
        <w:rPr>
          <w:rFonts w:hint="eastAsia"/>
          <w:b/>
          <w:color w:val="auto"/>
          <w:sz w:val="32"/>
          <w:szCs w:val="32"/>
          <w:highlight w:val="none"/>
          <w:lang w:val="en-US" w:eastAsia="zh-CN"/>
        </w:rPr>
        <w:t>3</w:t>
      </w:r>
      <w:r>
        <w:rPr>
          <w:b/>
          <w:color w:val="auto"/>
          <w:sz w:val="32"/>
          <w:szCs w:val="32"/>
          <w:highlight w:val="none"/>
        </w:rPr>
        <w:fldChar w:fldCharType="end"/>
      </w:r>
      <w:r>
        <w:rPr>
          <w:rFonts w:hint="eastAsia"/>
          <w:b/>
          <w:color w:val="auto"/>
          <w:sz w:val="32"/>
          <w:szCs w:val="32"/>
          <w:highlight w:val="none"/>
          <w:lang w:val="en-US" w:eastAsia="zh-CN"/>
        </w:rPr>
        <w:t>0</w:t>
      </w:r>
    </w:p>
    <w:p>
      <w:pPr>
        <w:pStyle w:val="44"/>
        <w:tabs>
          <w:tab w:val="right" w:leader="dot" w:pos="8834"/>
        </w:tabs>
        <w:spacing w:line="480" w:lineRule="auto"/>
        <w:rPr>
          <w:rFonts w:hint="eastAsia" w:eastAsia="宋体"/>
          <w:b/>
          <w:color w:val="auto"/>
          <w:sz w:val="32"/>
          <w:szCs w:val="32"/>
          <w:highlight w:val="none"/>
          <w:lang w:val="en-US" w:eastAsia="zh-CN"/>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"_Toc406402998"</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第五章</w:t>
      </w:r>
      <w:r>
        <w:rPr>
          <w:rStyle w:val="77"/>
          <w:b/>
          <w:color w:val="auto"/>
          <w:sz w:val="32"/>
          <w:szCs w:val="32"/>
          <w:highlight w:val="none"/>
        </w:rPr>
        <w:t xml:space="preserve">  </w:t>
      </w:r>
      <w:r>
        <w:rPr>
          <w:rStyle w:val="77"/>
          <w:rFonts w:hint="eastAsia"/>
          <w:b/>
          <w:color w:val="auto"/>
          <w:sz w:val="32"/>
          <w:szCs w:val="32"/>
          <w:highlight w:val="none"/>
        </w:rPr>
        <w:t>嘉善县政府采购合同（</w:t>
      </w:r>
      <w:bookmarkStart w:id="3" w:name="_Hlt497308216"/>
      <w:r>
        <w:rPr>
          <w:rStyle w:val="77"/>
          <w:rFonts w:hint="eastAsia"/>
          <w:b/>
          <w:color w:val="auto"/>
          <w:sz w:val="32"/>
          <w:szCs w:val="32"/>
          <w:highlight w:val="none"/>
        </w:rPr>
        <w:t>指</w:t>
      </w:r>
      <w:bookmarkEnd w:id="3"/>
      <w:bookmarkStart w:id="4" w:name="_Hlt497308220"/>
      <w:r>
        <w:rPr>
          <w:rStyle w:val="77"/>
          <w:rFonts w:hint="eastAsia"/>
          <w:b/>
          <w:color w:val="auto"/>
          <w:sz w:val="32"/>
          <w:szCs w:val="32"/>
          <w:highlight w:val="none"/>
        </w:rPr>
        <w:t>引</w:t>
      </w:r>
      <w:bookmarkEnd w:id="4"/>
      <w:bookmarkStart w:id="37" w:name="_GoBack"/>
      <w:bookmarkEnd w:id="37"/>
      <w:r>
        <w:rPr>
          <w:rStyle w:val="77"/>
          <w:rFonts w:hint="eastAsia"/>
          <w:b/>
          <w:color w:val="auto"/>
          <w:sz w:val="32"/>
          <w:szCs w:val="32"/>
          <w:highlight w:val="none"/>
        </w:rPr>
        <w:t>）</w:t>
      </w:r>
      <w:bookmarkStart w:id="5" w:name="_Hlt497308213"/>
      <w:bookmarkStart w:id="6" w:name="_Hlt497308212"/>
      <w:r>
        <w:rPr>
          <w:b/>
          <w:color w:val="auto"/>
          <w:sz w:val="32"/>
          <w:szCs w:val="32"/>
          <w:highlight w:val="none"/>
        </w:rPr>
        <w:tab/>
      </w:r>
      <w:bookmarkEnd w:id="5"/>
      <w:bookmarkEnd w:id="6"/>
      <w:r>
        <w:rPr>
          <w:rFonts w:hint="eastAsia"/>
          <w:b/>
          <w:color w:val="auto"/>
          <w:sz w:val="32"/>
          <w:szCs w:val="32"/>
          <w:highlight w:val="none"/>
          <w:lang w:val="en-US" w:eastAsia="zh-CN"/>
        </w:rPr>
        <w:t>3</w:t>
      </w:r>
      <w:r>
        <w:rPr>
          <w:b/>
          <w:color w:val="auto"/>
          <w:sz w:val="32"/>
          <w:szCs w:val="32"/>
          <w:highlight w:val="none"/>
        </w:rPr>
        <w:fldChar w:fldCharType="end"/>
      </w:r>
      <w:r>
        <w:rPr>
          <w:rFonts w:hint="eastAsia"/>
          <w:b/>
          <w:color w:val="auto"/>
          <w:sz w:val="32"/>
          <w:szCs w:val="32"/>
          <w:highlight w:val="none"/>
          <w:lang w:val="en-US" w:eastAsia="zh-CN"/>
        </w:rPr>
        <w:t>5</w:t>
      </w:r>
    </w:p>
    <w:p>
      <w:pPr>
        <w:pStyle w:val="44"/>
        <w:tabs>
          <w:tab w:val="right" w:leader="dot" w:pos="8834"/>
        </w:tabs>
        <w:spacing w:line="480" w:lineRule="auto"/>
        <w:rPr>
          <w:rFonts w:hint="default" w:eastAsia="宋体"/>
          <w:b/>
          <w:color w:val="auto"/>
          <w:sz w:val="32"/>
          <w:szCs w:val="32"/>
          <w:highlight w:val="none"/>
          <w:lang w:val="en-US" w:eastAsia="zh-CN"/>
        </w:rPr>
      </w:pPr>
      <w:r>
        <w:rPr>
          <w:b/>
          <w:color w:val="auto"/>
          <w:sz w:val="32"/>
          <w:szCs w:val="32"/>
          <w:highlight w:val="none"/>
        </w:rPr>
        <w:fldChar w:fldCharType="begin"/>
      </w:r>
      <w:r>
        <w:rPr>
          <w:rStyle w:val="77"/>
          <w:b/>
          <w:color w:val="auto"/>
          <w:sz w:val="32"/>
          <w:szCs w:val="32"/>
          <w:highlight w:val="none"/>
        </w:rPr>
        <w:instrText xml:space="preserve"> </w:instrText>
      </w:r>
      <w:r>
        <w:rPr>
          <w:b/>
          <w:color w:val="auto"/>
          <w:sz w:val="32"/>
          <w:szCs w:val="32"/>
          <w:highlight w:val="none"/>
        </w:rPr>
        <w:instrText xml:space="preserve">HYPERLINK \l "_Toc406403000"</w:instrText>
      </w:r>
      <w:r>
        <w:rPr>
          <w:rStyle w:val="77"/>
          <w:b/>
          <w:color w:val="auto"/>
          <w:sz w:val="32"/>
          <w:szCs w:val="32"/>
          <w:highlight w:val="none"/>
        </w:rPr>
        <w:instrText xml:space="preserve"> </w:instrText>
      </w:r>
      <w:r>
        <w:rPr>
          <w:b/>
          <w:color w:val="auto"/>
          <w:sz w:val="32"/>
          <w:szCs w:val="32"/>
          <w:highlight w:val="none"/>
        </w:rPr>
        <w:fldChar w:fldCharType="separate"/>
      </w:r>
      <w:r>
        <w:rPr>
          <w:rStyle w:val="77"/>
          <w:rFonts w:hint="eastAsia"/>
          <w:b/>
          <w:color w:val="auto"/>
          <w:sz w:val="32"/>
          <w:szCs w:val="32"/>
          <w:highlight w:val="none"/>
        </w:rPr>
        <w:t>第六章　投标文件格式</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40</w:t>
      </w:r>
    </w:p>
    <w:p>
      <w:pPr>
        <w:pStyle w:val="44"/>
        <w:tabs>
          <w:tab w:val="right" w:leader="dot" w:pos="8834"/>
        </w:tabs>
        <w:spacing w:line="480" w:lineRule="auto"/>
        <w:rPr>
          <w:rFonts w:hint="default" w:eastAsia="宋体"/>
          <w:b/>
          <w:color w:val="auto"/>
          <w:sz w:val="32"/>
          <w:szCs w:val="32"/>
          <w:highlight w:val="none"/>
          <w:lang w:val="en-US" w:eastAsia="zh-CN"/>
        </w:rPr>
      </w:pPr>
    </w:p>
    <w:p>
      <w:pPr>
        <w:pStyle w:val="44"/>
        <w:tabs>
          <w:tab w:val="right" w:leader="dot" w:pos="8834"/>
        </w:tabs>
        <w:spacing w:line="480" w:lineRule="auto"/>
        <w:rPr>
          <w:rFonts w:hint="default" w:eastAsia="宋体"/>
          <w:b/>
          <w:color w:val="auto"/>
          <w:sz w:val="32"/>
          <w:szCs w:val="32"/>
          <w:highlight w:val="none"/>
          <w:lang w:val="en-US" w:eastAsia="zh-CN"/>
        </w:rPr>
      </w:pPr>
    </w:p>
    <w:p>
      <w:pPr>
        <w:pStyle w:val="44"/>
        <w:tabs>
          <w:tab w:val="right" w:leader="dot" w:pos="8834"/>
        </w:tabs>
        <w:spacing w:line="480" w:lineRule="auto"/>
        <w:rPr>
          <w:b/>
          <w:color w:val="auto"/>
          <w:sz w:val="32"/>
          <w:szCs w:val="32"/>
          <w:highlight w:val="none"/>
        </w:rPr>
      </w:pPr>
    </w:p>
    <w:p>
      <w:pPr>
        <w:spacing w:line="360" w:lineRule="auto"/>
        <w:ind w:firstLine="480" w:firstLineChars="229"/>
        <w:rPr>
          <w:rFonts w:ascii="仿宋" w:hAnsi="仿宋" w:eastAsia="仿宋" w:cs="仿宋_GB2312"/>
          <w:color w:val="auto"/>
          <w:sz w:val="24"/>
          <w:highlight w:val="none"/>
        </w:rPr>
      </w:pPr>
      <w:r>
        <w:rPr>
          <w:color w:val="auto"/>
          <w:szCs w:val="32"/>
          <w:highlight w:val="none"/>
        </w:rPr>
        <w:fldChar w:fldCharType="end"/>
      </w: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bookmarkEnd w:id="2"/>
    <w:p>
      <w:pPr>
        <w:adjustRightInd/>
        <w:spacing w:line="360" w:lineRule="auto"/>
        <w:jc w:val="center"/>
        <w:outlineLvl w:val="0"/>
        <w:rPr>
          <w:rFonts w:ascii="仿宋_GB2312" w:hAnsi="仿宋" w:eastAsia="仿宋_GB2312" w:cs="仿宋_GB2312"/>
          <w:b/>
          <w:color w:val="auto"/>
          <w:sz w:val="36"/>
          <w:szCs w:val="20"/>
          <w:highlight w:val="none"/>
        </w:rPr>
      </w:pPr>
      <w:bookmarkStart w:id="7" w:name="_Hlt74649545"/>
      <w:bookmarkEnd w:id="7"/>
      <w:bookmarkStart w:id="8" w:name="_Hlt74729822"/>
      <w:bookmarkEnd w:id="8"/>
      <w:bookmarkStart w:id="9" w:name="_Hlt74707423"/>
      <w:bookmarkEnd w:id="9"/>
      <w:bookmarkStart w:id="10" w:name="_Hlt74728647"/>
      <w:bookmarkEnd w:id="10"/>
      <w:bookmarkStart w:id="11" w:name="第二部分"/>
      <w:bookmarkStart w:id="12" w:name="_Toc91899870"/>
      <w:bookmarkStart w:id="13" w:name="_Toc91899871"/>
      <w:r>
        <w:rPr>
          <w:rFonts w:hint="eastAsia" w:ascii="仿宋" w:hAnsi="仿宋" w:eastAsia="仿宋" w:cs="仿宋_GB2312"/>
          <w:b/>
          <w:color w:val="auto"/>
          <w:sz w:val="36"/>
          <w:szCs w:val="20"/>
          <w:highlight w:val="none"/>
        </w:rPr>
        <w:t>第一</w:t>
      </w:r>
      <w:r>
        <w:rPr>
          <w:rFonts w:hint="eastAsia" w:ascii="仿宋" w:hAnsi="仿宋" w:eastAsia="仿宋" w:cs="仿宋_GB2312"/>
          <w:b/>
          <w:color w:val="auto"/>
          <w:sz w:val="36"/>
          <w:szCs w:val="20"/>
          <w:highlight w:val="none"/>
          <w:lang w:eastAsia="zh-CN"/>
        </w:rPr>
        <w:t>章</w:t>
      </w:r>
      <w:r>
        <w:rPr>
          <w:rFonts w:ascii="仿宋" w:hAnsi="仿宋" w:eastAsia="仿宋" w:cs="仿宋_GB2312"/>
          <w:b/>
          <w:color w:val="auto"/>
          <w:sz w:val="36"/>
          <w:szCs w:val="20"/>
          <w:highlight w:val="none"/>
        </w:rPr>
        <w:t xml:space="preserve"> </w:t>
      </w:r>
      <w:r>
        <w:rPr>
          <w:rFonts w:hint="eastAsia" w:ascii="仿宋" w:hAnsi="仿宋" w:eastAsia="仿宋" w:cs="仿宋_GB2312"/>
          <w:b/>
          <w:color w:val="auto"/>
          <w:sz w:val="36"/>
          <w:szCs w:val="20"/>
          <w:highlight w:val="none"/>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u w:val="single"/>
          <w:lang w:eastAsia="zh-CN"/>
        </w:rPr>
        <w:t>嘉善县图书馆第二次普通图书采购项目</w:t>
      </w:r>
      <w:r>
        <w:rPr>
          <w:rFonts w:hint="eastAsia" w:ascii="仿宋_GB2312" w:hAnsi="仿宋" w:eastAsia="仿宋_GB2312" w:cs="仿宋_GB2312"/>
          <w:color w:val="auto"/>
          <w:sz w:val="24"/>
          <w:highlight w:val="none"/>
          <w:u w:val="single"/>
        </w:rPr>
        <w:t>）</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lang w:eastAsia="zh-CN"/>
        </w:rPr>
        <w:t>点30分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JXYJ2022038</w:t>
      </w:r>
      <w:r>
        <w:rPr>
          <w:rFonts w:hint="eastAsia" w:ascii="仿宋_GB2312" w:hAnsi="仿宋" w:eastAsia="仿宋_GB2312"/>
          <w:b/>
          <w:color w:val="auto"/>
          <w:sz w:val="24"/>
          <w:highlight w:val="none"/>
        </w:rPr>
        <w:t>(G)</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项目名称：</w:t>
      </w:r>
      <w:r>
        <w:rPr>
          <w:rFonts w:hint="eastAsia" w:ascii="仿宋_GB2312" w:hAnsi="仿宋" w:eastAsia="仿宋_GB2312"/>
          <w:b/>
          <w:color w:val="auto"/>
          <w:sz w:val="24"/>
          <w:highlight w:val="none"/>
          <w:lang w:eastAsia="zh-CN"/>
        </w:rPr>
        <w:t>嘉善县图书馆第二次普通图书采购项目</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w:t>
      </w:r>
      <w:r>
        <w:rPr>
          <w:rFonts w:hint="eastAsia" w:ascii="仿宋_GB2312" w:hAnsi="仿宋" w:eastAsia="仿宋_GB2312"/>
          <w:b/>
          <w:color w:val="auto"/>
          <w:sz w:val="24"/>
          <w:highlight w:val="none"/>
        </w:rPr>
        <w:t>：</w:t>
      </w:r>
      <w:r>
        <w:rPr>
          <w:rFonts w:hint="eastAsia" w:ascii="仿宋_GB2312" w:hAnsi="仿宋" w:eastAsia="仿宋_GB2312"/>
          <w:b/>
          <w:color w:val="auto"/>
          <w:sz w:val="24"/>
          <w:highlight w:val="none"/>
          <w:lang w:val="en-US" w:eastAsia="zh-CN"/>
        </w:rPr>
        <w:t>36</w:t>
      </w:r>
      <w:r>
        <w:rPr>
          <w:rFonts w:hint="eastAsia" w:ascii="仿宋_GB2312" w:hAnsi="仿宋" w:eastAsia="仿宋_GB2312"/>
          <w:b/>
          <w:color w:val="auto"/>
          <w:sz w:val="24"/>
          <w:highlight w:val="none"/>
        </w:rPr>
        <w:t>.</w:t>
      </w:r>
      <w:r>
        <w:rPr>
          <w:rFonts w:hint="eastAsia" w:ascii="仿宋_GB2312" w:hAnsi="仿宋" w:eastAsia="仿宋_GB2312"/>
          <w:b/>
          <w:color w:val="auto"/>
          <w:sz w:val="24"/>
          <w:highlight w:val="none"/>
          <w:lang w:val="en-US" w:eastAsia="zh-CN"/>
        </w:rPr>
        <w:t>00</w:t>
      </w:r>
      <w:r>
        <w:rPr>
          <w:rFonts w:hint="eastAsia" w:ascii="仿宋_GB2312" w:hAnsi="仿宋" w:eastAsia="仿宋_GB2312"/>
          <w:b/>
          <w:color w:val="auto"/>
          <w:sz w:val="24"/>
          <w:highlight w:val="none"/>
        </w:rPr>
        <w:t>万元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w:t>
      </w:r>
      <w:r>
        <w:rPr>
          <w:rFonts w:hint="eastAsia" w:ascii="仿宋_GB2312" w:hAnsi="仿宋" w:eastAsia="仿宋_GB2312"/>
          <w:b/>
          <w:color w:val="auto"/>
          <w:sz w:val="24"/>
          <w:highlight w:val="none"/>
          <w:lang w:val="en-US" w:eastAsia="zh-CN"/>
        </w:rPr>
        <w:t>不高于</w:t>
      </w:r>
      <w:r>
        <w:rPr>
          <w:rFonts w:hint="eastAsia" w:ascii="仿宋_GB2312" w:hAnsi="仿宋" w:eastAsia="仿宋_GB2312"/>
          <w:b/>
          <w:color w:val="auto"/>
          <w:sz w:val="24"/>
          <w:highlight w:val="none"/>
          <w:lang w:eastAsia="zh-CN"/>
        </w:rPr>
        <w:t>图书码洋</w:t>
      </w:r>
      <w:r>
        <w:rPr>
          <w:rFonts w:hint="eastAsia" w:ascii="仿宋_GB2312" w:hAnsi="仿宋" w:eastAsia="仿宋_GB2312"/>
          <w:b/>
          <w:color w:val="auto"/>
          <w:sz w:val="24"/>
          <w:highlight w:val="none"/>
          <w:lang w:val="en-US" w:eastAsia="zh-CN"/>
        </w:rPr>
        <w:t>的71%（即图书码洋的7.1折），图书(含RFID)加工费不高于每册2.70元</w:t>
      </w:r>
      <w:r>
        <w:rPr>
          <w:rFonts w:hint="eastAsia" w:ascii="仿宋_GB2312" w:hAnsi="仿宋" w:eastAsia="仿宋_GB2312"/>
          <w:color w:val="auto"/>
          <w:sz w:val="24"/>
          <w:highlight w:val="none"/>
        </w:rPr>
        <w:t xml:space="preserve"> </w:t>
      </w:r>
    </w:p>
    <w:p>
      <w:pPr>
        <w:pStyle w:val="2"/>
        <w:spacing w:line="360" w:lineRule="auto"/>
        <w:ind w:firstLine="480"/>
        <w:rPr>
          <w:rFonts w:hint="default" w:ascii="仿宋_GB2312" w:hAnsi="仿宋" w:eastAsia="仿宋_GB2312"/>
          <w:b/>
          <w:color w:val="auto"/>
          <w:sz w:val="24"/>
          <w:highlight w:val="none"/>
          <w:lang w:val="en-US" w:eastAsia="zh-CN"/>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w:t>
      </w:r>
      <w:r>
        <w:rPr>
          <w:rFonts w:hint="eastAsia" w:ascii="仿宋_GB2312" w:hAnsi="仿宋" w:eastAsia="仿宋_GB2312"/>
          <w:bCs/>
          <w:snapToGrid/>
          <w:color w:val="auto"/>
          <w:kern w:val="2"/>
          <w:sz w:val="24"/>
          <w:szCs w:val="24"/>
          <w:highlight w:val="none"/>
          <w:lang w:eastAsia="zh-CN"/>
        </w:rPr>
        <w:t>二章招标</w:t>
      </w:r>
      <w:r>
        <w:rPr>
          <w:rFonts w:hint="eastAsia" w:ascii="仿宋_GB2312" w:hAnsi="仿宋" w:eastAsia="仿宋_GB2312"/>
          <w:bCs/>
          <w:snapToGrid/>
          <w:color w:val="auto"/>
          <w:kern w:val="2"/>
          <w:sz w:val="24"/>
          <w:szCs w:val="24"/>
          <w:highlight w:val="none"/>
        </w:rPr>
        <w:t>需求。</w:t>
      </w:r>
      <w:r>
        <w:rPr>
          <w:rFonts w:hint="eastAsia" w:ascii="仿宋_GB2312" w:hAnsi="仿宋" w:eastAsia="仿宋_GB2312"/>
          <w:b/>
          <w:color w:val="auto"/>
          <w:sz w:val="24"/>
          <w:highlight w:val="none"/>
          <w:lang w:val="en-US" w:eastAsia="zh-CN"/>
        </w:rPr>
        <w:t xml:space="preserve">  </w:t>
      </w:r>
    </w:p>
    <w:p>
      <w:pPr>
        <w:pStyle w:val="2"/>
        <w:spacing w:line="360" w:lineRule="auto"/>
        <w:rPr>
          <w:rFonts w:hint="default" w:ascii="仿宋_GB2312" w:hAnsi="仿宋" w:eastAsia="仿宋_GB2312"/>
          <w:b/>
          <w:color w:val="auto"/>
          <w:sz w:val="24"/>
          <w:highlight w:val="none"/>
          <w:lang w:val="en-US" w:eastAsia="zh-CN"/>
        </w:rPr>
      </w:pPr>
      <w:r>
        <w:rPr>
          <w:rFonts w:hint="eastAsia" w:ascii="仿宋_GB2312" w:hAnsi="仿宋" w:eastAsia="仿宋_GB2312"/>
          <w:b/>
          <w:color w:val="auto"/>
          <w:sz w:val="24"/>
          <w:highlight w:val="none"/>
        </w:rPr>
        <w:t>合同履约期限</w:t>
      </w:r>
      <w:r>
        <w:rPr>
          <w:rFonts w:hint="eastAsia" w:ascii="仿宋_GB2312" w:hAnsi="仿宋" w:eastAsia="仿宋_GB2312"/>
          <w:b/>
          <w:color w:val="auto"/>
          <w:sz w:val="24"/>
          <w:highlight w:val="none"/>
          <w:lang w:eastAsia="zh-CN"/>
        </w:rPr>
        <w:t>：</w:t>
      </w:r>
      <w:r>
        <w:rPr>
          <w:rFonts w:hint="eastAsia" w:ascii="仿宋_GB2312" w:hAnsi="仿宋" w:eastAsia="仿宋_GB2312"/>
          <w:b w:val="0"/>
          <w:bCs/>
          <w:color w:val="auto"/>
          <w:sz w:val="24"/>
          <w:highlight w:val="none"/>
          <w:lang w:eastAsia="zh-CN"/>
        </w:rPr>
        <w:t>签订合同后</w:t>
      </w:r>
      <w:r>
        <w:rPr>
          <w:rFonts w:hint="eastAsia" w:ascii="仿宋_GB2312" w:hAnsi="仿宋" w:eastAsia="仿宋_GB2312"/>
          <w:b w:val="0"/>
          <w:bCs/>
          <w:color w:val="auto"/>
          <w:sz w:val="24"/>
          <w:highlight w:val="none"/>
          <w:lang w:val="en-US" w:eastAsia="zh-CN"/>
        </w:rPr>
        <w:t>60</w:t>
      </w:r>
      <w:r>
        <w:rPr>
          <w:rFonts w:hint="eastAsia" w:ascii="仿宋_GB2312" w:hAnsi="仿宋" w:eastAsia="仿宋_GB2312"/>
          <w:b w:val="0"/>
          <w:bCs/>
          <w:color w:val="auto"/>
          <w:sz w:val="24"/>
          <w:highlight w:val="none"/>
          <w:lang w:eastAsia="zh-CN"/>
        </w:rPr>
        <w:t>天内完成图书配送、加工、编目、上架等全部工作，交付采购单位验收</w:t>
      </w:r>
      <w:r>
        <w:rPr>
          <w:rFonts w:hint="eastAsia" w:ascii="仿宋_GB2312" w:hAnsi="仿宋" w:eastAsia="仿宋_GB2312"/>
          <w:b w:val="0"/>
          <w:bCs/>
          <w:color w:val="auto"/>
          <w:sz w:val="24"/>
          <w:highlight w:val="none"/>
          <w:lang w:eastAsia="zh-CN"/>
        </w:rPr>
        <w:t>。</w:t>
      </w:r>
    </w:p>
    <w:p>
      <w:pPr>
        <w:pStyle w:val="2"/>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928616923"/>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szCs w:val="24"/>
              <w:highlight w:val="none"/>
              <w:lang w:val="en-US" w:eastAsia="zh-CN" w:bidi="ar-SA"/>
            </w:rPr>
            <w:t>þ</w:t>
          </w:r>
        </w:sdtContent>
      </w:sdt>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Arial"/>
          <w:color w:val="auto"/>
          <w:kern w:val="0"/>
          <w:sz w:val="24"/>
          <w:highlight w:val="none"/>
          <w:lang w:val="en-US" w:eastAsia="zh-CN"/>
        </w:rPr>
        <w:t xml:space="preserve"> </w:t>
      </w:r>
      <w:sdt>
        <w:sdtPr>
          <w:rPr>
            <w:rFonts w:hint="eastAsia" w:ascii="仿宋_GB2312" w:hAnsi="仿宋" w:eastAsia="仿宋_GB2312" w:cs="Arial"/>
            <w:color w:val="auto"/>
            <w:kern w:val="0"/>
            <w:sz w:val="24"/>
            <w:highlight w:val="none"/>
          </w:rPr>
          <w:id w:val="-102470430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sdt>
        <w:sdtPr>
          <w:rPr>
            <w:rFonts w:hint="eastAsia" w:ascii="仿宋_GB2312" w:hAnsi="仿宋" w:eastAsia="仿宋_GB2312" w:cs="Arial"/>
            <w:color w:val="auto"/>
            <w:kern w:val="0"/>
            <w:sz w:val="24"/>
            <w:highlight w:val="none"/>
          </w:rPr>
          <w:id w:val="-9247305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szCs w:val="24"/>
              <w:highlight w:val="none"/>
              <w:lang w:val="en-US" w:eastAsia="zh-CN" w:bidi="ar-SA"/>
            </w:rPr>
            <w:t>☐</w:t>
          </w:r>
        </w:sdtContent>
      </w:sdt>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color w:val="auto"/>
          <w:highlight w:val="none"/>
        </w:rPr>
      </w:pPr>
      <w:sdt>
        <w:sdtPr>
          <w:rPr>
            <w:rFonts w:hint="eastAsia" w:ascii="仿宋_GB2312" w:hAnsi="仿宋" w:eastAsia="仿宋_GB2312" w:cs="Arial"/>
            <w:color w:val="auto"/>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3.本项目的特定资格要求：</w:t>
      </w:r>
      <w:r>
        <w:rPr>
          <w:rFonts w:hint="eastAsia" w:ascii="仿宋_GB2312" w:hAnsi="仿宋" w:eastAsia="仿宋_GB2312"/>
          <w:color w:val="auto"/>
          <w:sz w:val="24"/>
          <w:highlight w:val="none"/>
        </w:rPr>
        <w:t>具有中华人民共和国</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出版物经营许可证</w:t>
      </w:r>
      <w:r>
        <w:rPr>
          <w:rFonts w:hint="eastAsia" w:ascii="仿宋_GB2312" w:hAnsi="仿宋" w:eastAsia="仿宋_GB2312"/>
          <w:color w:val="auto"/>
          <w:sz w:val="24"/>
          <w:highlight w:val="none"/>
          <w:lang w:eastAsia="zh-CN"/>
        </w:rPr>
        <w:t>》</w:t>
      </w:r>
      <w:r>
        <w:rPr>
          <w:rFonts w:ascii="仿宋_GB2312" w:hAnsi="仿宋" w:eastAsia="仿宋_GB2312" w:cs="仿宋_GB2312"/>
          <w:color w:val="auto"/>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lang w:eastAsia="zh-CN"/>
        </w:rPr>
        <w:t>点30分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lang w:eastAsia="zh-CN"/>
        </w:rPr>
        <w:t>点30分</w:t>
      </w:r>
      <w:r>
        <w:rPr>
          <w:rFonts w:hint="eastAsia" w:ascii="仿宋_GB2312" w:hAnsi="仿宋" w:eastAsia="仿宋_GB2312"/>
          <w:bCs/>
          <w:color w:val="auto"/>
          <w:sz w:val="24"/>
          <w:highlight w:val="none"/>
          <w:u w:val="singl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w:t>
      </w:r>
      <w:r>
        <w:rPr>
          <w:rFonts w:hint="eastAsia" w:ascii="仿宋_GB2312" w:hAnsi="仿宋" w:eastAsia="仿宋_GB2312"/>
          <w:color w:val="auto"/>
          <w:sz w:val="24"/>
          <w:highlight w:val="none"/>
          <w:lang w:val="en-US" w:eastAsia="zh-CN"/>
        </w:rPr>
        <w:t>.</w:t>
      </w:r>
      <w:r>
        <w:rPr>
          <w:rFonts w:hint="eastAsia" w:ascii="仿宋_GB2312" w:hAnsi="仿宋" w:eastAsia="仿宋_GB2312"/>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_GB2312" w:hAnsi="仿宋" w:eastAsia="仿宋_GB2312"/>
          <w:color w:val="auto"/>
          <w:sz w:val="24"/>
          <w:highlight w:val="none"/>
          <w:lang w:val="en-US" w:eastAsia="zh-CN"/>
        </w:rPr>
      </w:pPr>
      <w:r>
        <w:rPr>
          <w:rFonts w:hint="eastAsia" w:ascii="仿宋_GB2312" w:hAnsi="仿宋" w:eastAsia="仿宋_GB2312"/>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_GB2312" w:hAnsi="仿宋" w:eastAsia="仿宋_GB2312"/>
          <w:color w:val="auto"/>
          <w:sz w:val="24"/>
          <w:highlight w:val="none"/>
          <w:lang w:val="en-US" w:eastAsia="zh-CN"/>
        </w:rPr>
        <w:t xml:space="preserve">    </w:t>
      </w:r>
    </w:p>
    <w:p>
      <w:pPr>
        <w:spacing w:line="360" w:lineRule="auto"/>
        <w:ind w:firstLine="480" w:firstLineChars="200"/>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_GB2312" w:hAnsi="仿宋" w:eastAsia="仿宋_GB2312"/>
          <w:color w:val="auto"/>
          <w:sz w:val="24"/>
          <w:highlight w:val="none"/>
          <w:lang w:eastAsia="zh-CN"/>
        </w:rPr>
        <w:t>。</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.其他事项：</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color w:val="auto"/>
          <w:sz w:val="24"/>
          <w:highlight w:val="none"/>
        </w:rPr>
        <w:t>【地址：</w:t>
      </w:r>
      <w:r>
        <w:rPr>
          <w:rFonts w:hint="eastAsia" w:ascii="仿宋_GB2312" w:hAnsi="仿宋" w:eastAsia="仿宋_GB2312"/>
          <w:color w:val="auto"/>
          <w:sz w:val="24"/>
          <w:highlight w:val="none"/>
          <w:lang w:eastAsia="zh-CN"/>
        </w:rPr>
        <w:t>嘉善县阳光东路185号善商大厦1号（东）楼21层嘉兴市银建工程咨询评估有限公司招标代理部</w:t>
      </w:r>
      <w:r>
        <w:rPr>
          <w:rFonts w:hint="eastAsia" w:ascii="仿宋_GB2312" w:hAnsi="仿宋" w:eastAsia="仿宋_GB2312" w:cs="仿宋_GB2312"/>
          <w:color w:val="auto"/>
          <w:sz w:val="24"/>
          <w:highlight w:val="none"/>
        </w:rPr>
        <w:t>；收件人：</w:t>
      </w:r>
      <w:r>
        <w:rPr>
          <w:rFonts w:hint="eastAsia" w:ascii="仿宋_GB2312" w:hAnsi="仿宋" w:eastAsia="仿宋_GB2312" w:cs="仿宋_GB2312"/>
          <w:color w:val="auto"/>
          <w:sz w:val="24"/>
          <w:highlight w:val="none"/>
          <w:lang w:val="en-US" w:eastAsia="zh-CN"/>
        </w:rPr>
        <w:t>王佳浩</w:t>
      </w:r>
      <w:r>
        <w:rPr>
          <w:rFonts w:hint="eastAsia" w:ascii="仿宋_GB2312" w:hAnsi="仿宋" w:eastAsia="仿宋_GB2312" w:cs="仿宋_GB2312"/>
          <w:color w:val="auto"/>
          <w:sz w:val="24"/>
          <w:highlight w:val="none"/>
        </w:rPr>
        <w:t>；电话：</w:t>
      </w:r>
      <w:r>
        <w:rPr>
          <w:rFonts w:hint="eastAsia" w:ascii="仿宋_GB2312" w:hAnsi="仿宋" w:eastAsia="仿宋_GB2312" w:cs="仿宋_GB2312"/>
          <w:color w:val="auto"/>
          <w:sz w:val="24"/>
          <w:highlight w:val="none"/>
          <w:lang w:eastAsia="zh-CN"/>
        </w:rPr>
        <w:t>0573-84211066</w:t>
      </w:r>
      <w:r>
        <w:rPr>
          <w:rFonts w:hint="eastAsia" w:ascii="仿宋_GB2312" w:hAnsi="仿宋" w:eastAsia="仿宋_GB2312" w:cs="仿宋_GB2312"/>
          <w:color w:val="auto"/>
          <w:sz w:val="24"/>
          <w:highlight w:val="none"/>
        </w:rPr>
        <w:t>；快递寄出同时，项目被授权代表须以邮件方式将快递单号、项目名称、公司名称、被授权代表姓名及联系方式等内容（邮件格式为：项目编号+快递单号+公司名称+被授权代表姓名及联系方式）发送至</w:t>
      </w:r>
      <w:r>
        <w:rPr>
          <w:rFonts w:hint="eastAsia" w:ascii="仿宋_GB2312" w:hAnsi="仿宋" w:eastAsia="仿宋_GB2312" w:cs="仿宋_GB2312"/>
          <w:color w:val="auto"/>
          <w:sz w:val="24"/>
          <w:highlight w:val="none"/>
          <w:lang w:eastAsia="zh-CN"/>
        </w:rPr>
        <w:t>采购代理机构</w:t>
      </w:r>
      <w:r>
        <w:rPr>
          <w:rFonts w:hint="eastAsia" w:ascii="仿宋_GB2312" w:hAnsi="仿宋" w:eastAsia="仿宋_GB2312" w:cs="仿宋_GB2312"/>
          <w:color w:val="auto"/>
          <w:sz w:val="24"/>
          <w:highlight w:val="none"/>
        </w:rPr>
        <w:t>联系人邮箱(</w:t>
      </w:r>
      <w:r>
        <w:rPr>
          <w:rFonts w:hint="eastAsia" w:ascii="仿宋_GB2312" w:hAnsi="仿宋" w:eastAsia="仿宋_GB2312" w:cs="仿宋_GB2312"/>
          <w:color w:val="auto"/>
          <w:sz w:val="24"/>
          <w:highlight w:val="none"/>
          <w:lang w:val="en-US" w:eastAsia="zh-CN"/>
        </w:rPr>
        <w:t>735621524</w:t>
      </w:r>
      <w:r>
        <w:rPr>
          <w:rFonts w:hint="eastAsia" w:ascii="仿宋_GB2312" w:hAnsi="仿宋" w:eastAsia="仿宋_GB2312" w:cs="仿宋_GB2312"/>
          <w:color w:val="auto"/>
          <w:sz w:val="24"/>
          <w:highlight w:val="none"/>
        </w:rPr>
        <w:t>@qq.com)。如供应商选择快递费到付，</w:t>
      </w:r>
      <w:r>
        <w:rPr>
          <w:rFonts w:hint="eastAsia" w:ascii="仿宋_GB2312" w:hAnsi="仿宋" w:eastAsia="仿宋_GB2312" w:cs="仿宋_GB2312"/>
          <w:color w:val="auto"/>
          <w:sz w:val="24"/>
          <w:highlight w:val="none"/>
          <w:lang w:eastAsia="zh-CN"/>
        </w:rPr>
        <w:t>采购代理机构</w:t>
      </w:r>
      <w:r>
        <w:rPr>
          <w:rFonts w:hint="eastAsia" w:ascii="仿宋_GB2312" w:hAnsi="仿宋" w:eastAsia="仿宋_GB2312" w:cs="仿宋_GB2312"/>
          <w:color w:val="auto"/>
          <w:sz w:val="24"/>
          <w:highlight w:val="none"/>
        </w:rPr>
        <w:t>将拒签。】</w:t>
      </w:r>
      <w:r>
        <w:rPr>
          <w:rFonts w:ascii="仿宋_GB2312" w:hAnsi="仿宋" w:eastAsia="仿宋_GB2312" w:cs="仿宋_GB2312"/>
          <w:color w:val="auto"/>
          <w:sz w:val="24"/>
          <w:highlight w:val="none"/>
        </w:rPr>
        <w:t>备份投标文件的制作、存储、密封详见招标文件第</w:t>
      </w:r>
      <w:r>
        <w:rPr>
          <w:rFonts w:hint="eastAsia" w:ascii="仿宋_GB2312" w:hAnsi="仿宋" w:eastAsia="仿宋_GB2312" w:cs="仿宋_GB2312"/>
          <w:color w:val="auto"/>
          <w:sz w:val="24"/>
          <w:highlight w:val="none"/>
          <w:lang w:val="en-US" w:eastAsia="zh-CN"/>
        </w:rPr>
        <w:t>三章</w:t>
      </w:r>
      <w:r>
        <w:rPr>
          <w:rFonts w:ascii="仿宋_GB2312" w:hAnsi="仿宋" w:eastAsia="仿宋_GB2312" w:cs="仿宋_GB2312"/>
          <w:color w:val="auto"/>
          <w:sz w:val="24"/>
          <w:highlight w:val="none"/>
        </w:rPr>
        <w:t>—“备份投标文件”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w:t>
      </w:r>
      <w:r>
        <w:rPr>
          <w:rFonts w:hint="eastAsia" w:ascii="仿宋_GB2312" w:hAnsi="仿宋" w:eastAsia="仿宋_GB2312"/>
          <w:b/>
          <w:color w:val="auto"/>
          <w:sz w:val="24"/>
          <w:highlight w:val="none"/>
          <w:lang w:eastAsia="zh-CN"/>
        </w:rPr>
        <w:t>招标</w:t>
      </w:r>
      <w:r>
        <w:rPr>
          <w:rFonts w:hint="eastAsia" w:ascii="仿宋_GB2312" w:hAnsi="仿宋" w:eastAsia="仿宋_GB2312"/>
          <w:b/>
          <w:color w:val="auto"/>
          <w:sz w:val="24"/>
          <w:highlight w:val="none"/>
        </w:rPr>
        <w:t>提出询问，请按以下方式联系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嘉善县图书馆</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嘉善县嘉善大道388号</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项目联系人（询问）：金女士</w:t>
      </w:r>
      <w:r>
        <w:rPr>
          <w:rFonts w:ascii="仿宋_GB2312" w:hAnsi="仿宋" w:eastAsia="仿宋_GB2312"/>
          <w:color w:val="auto"/>
          <w:sz w:val="24"/>
          <w:highlight w:val="none"/>
        </w:rPr>
        <w:t xml:space="preserve"> </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0573-84606096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eastAsia="zh-CN"/>
        </w:rPr>
        <w:t>胡女士</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 xml:space="preserve">0573-84606098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称：嘉兴市银建工程咨询评估有限公司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址：嘉善县阳光东路185号善商大厦1号（东）楼21层</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0573-84971199</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王佳浩</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lang w:eastAsia="zh-CN"/>
        </w:rPr>
        <w:t>0573-84211066</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eastAsia="zh-CN"/>
        </w:rPr>
        <w:t>俞鸿婷</w:t>
      </w:r>
      <w:r>
        <w:rPr>
          <w:rFonts w:hint="eastAsia" w:ascii="仿宋" w:hAnsi="仿宋" w:eastAsia="仿宋"/>
          <w:color w:val="auto"/>
          <w:sz w:val="24"/>
          <w:highlight w:val="none"/>
        </w:rPr>
        <w:t xml:space="preserve"> </w:t>
      </w:r>
      <w:r>
        <w:rPr>
          <w:rFonts w:ascii="仿宋_GB2312" w:hAnsi="仿宋" w:eastAsia="仿宋_GB2312"/>
          <w:color w:val="auto"/>
          <w:sz w:val="24"/>
          <w:highlight w:val="none"/>
        </w:rPr>
        <w:t xml:space="preserve">            </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eastAsia="zh-CN"/>
        </w:rPr>
        <w:t>0573-842110</w:t>
      </w:r>
      <w:r>
        <w:rPr>
          <w:rFonts w:hint="eastAsia" w:ascii="仿宋_GB2312" w:hAnsi="仿宋" w:eastAsia="仿宋_GB2312"/>
          <w:color w:val="auto"/>
          <w:sz w:val="24"/>
          <w:highlight w:val="none"/>
          <w:lang w:val="en-US" w:eastAsia="zh-CN"/>
        </w:rPr>
        <w:t>99</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rPr>
        <w:t>嘉善县财政局</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嘉善县解放东路318号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0573-84122</w:t>
      </w:r>
      <w:r>
        <w:rPr>
          <w:rFonts w:hint="eastAsia" w:ascii="仿宋_GB2312" w:hAnsi="仿宋" w:eastAsia="仿宋_GB2312"/>
          <w:color w:val="auto"/>
          <w:sz w:val="24"/>
          <w:highlight w:val="none"/>
          <w:lang w:val="en-US" w:eastAsia="zh-CN"/>
        </w:rPr>
        <w:t>528</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刘先生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rPr>
        <w:t xml:space="preserve">0573-84122310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sectPr>
          <w:footerReference r:id="rId6" w:type="first"/>
          <w:footerReference r:id="rId5" w:type="default"/>
          <w:pgSz w:w="11906" w:h="16838"/>
          <w:pgMar w:top="680" w:right="1418" w:bottom="468" w:left="1418" w:header="851" w:footer="992" w:gutter="0"/>
          <w:pgBorders>
            <w:top w:val="none" w:sz="0" w:space="0"/>
            <w:left w:val="none" w:sz="0" w:space="0"/>
            <w:bottom w:val="none" w:sz="0" w:space="0"/>
            <w:right w:val="none" w:sz="0" w:space="0"/>
          </w:pgBorders>
          <w:pgNumType w:fmt="decimal" w:start="2"/>
          <w:cols w:space="720" w:num="1"/>
          <w:titlePg/>
          <w:docGrid w:linePitch="312" w:charSpace="0"/>
        </w:sect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numPr>
          <w:ilvl w:val="0"/>
          <w:numId w:val="1"/>
        </w:numPr>
        <w:adjustRightInd/>
        <w:spacing w:line="360" w:lineRule="auto"/>
        <w:jc w:val="center"/>
        <w:outlineLvl w:val="0"/>
        <w:rPr>
          <w:rFonts w:hint="eastAsia" w:ascii="仿宋" w:hAnsi="仿宋" w:eastAsia="仿宋" w:cs="仿宋_GB2312"/>
          <w:b/>
          <w:color w:val="auto"/>
          <w:sz w:val="36"/>
          <w:szCs w:val="20"/>
          <w:highlight w:val="none"/>
          <w:lang w:eastAsia="zh-CN"/>
        </w:rPr>
      </w:pPr>
      <w:r>
        <w:rPr>
          <w:rFonts w:hint="eastAsia" w:ascii="仿宋" w:hAnsi="仿宋" w:eastAsia="仿宋" w:cs="仿宋_GB2312"/>
          <w:b/>
          <w:color w:val="auto"/>
          <w:sz w:val="36"/>
          <w:szCs w:val="20"/>
          <w:highlight w:val="none"/>
          <w:lang w:eastAsia="zh-CN"/>
        </w:rPr>
        <w:t>招标需求</w:t>
      </w:r>
    </w:p>
    <w:p>
      <w:pPr>
        <w:spacing w:line="360" w:lineRule="auto"/>
        <w:ind w:left="420"/>
        <w:rPr>
          <w:color w:val="auto"/>
          <w:sz w:val="20"/>
          <w:szCs w:val="20"/>
          <w:highlight w:val="none"/>
        </w:rPr>
      </w:pPr>
      <w:r>
        <w:rPr>
          <w:rFonts w:ascii="宋体" w:hAnsi="宋体" w:cs="宋体"/>
          <w:color w:val="auto"/>
          <w:sz w:val="21"/>
          <w:szCs w:val="21"/>
          <w:highlight w:val="none"/>
        </w:rPr>
        <w:t>1、图书采访</w:t>
      </w:r>
    </w:p>
    <w:p>
      <w:pPr>
        <w:spacing w:line="360" w:lineRule="auto"/>
        <w:ind w:right="100" w:firstLine="420"/>
        <w:jc w:val="both"/>
        <w:rPr>
          <w:color w:val="auto"/>
          <w:sz w:val="20"/>
          <w:szCs w:val="20"/>
          <w:highlight w:val="none"/>
        </w:rPr>
      </w:pPr>
      <w:r>
        <w:rPr>
          <w:rFonts w:ascii="宋体" w:hAnsi="宋体" w:cs="宋体"/>
          <w:color w:val="auto"/>
          <w:sz w:val="21"/>
          <w:szCs w:val="21"/>
          <w:highlight w:val="none"/>
        </w:rPr>
        <w:t>（1）订单采购：图书供应商应在最大范围内为图书馆征集新书出版、发行信息，并提供采访书目，其中当年新书占全国当年出版新书的 95%以上，且每次订单采购到货率需达到 90%以上。</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（2）专题采购：根据图书馆要求提供各类专题书目数据，做好专题书目的采购，以满足馆藏的特殊需要。</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（3）现场采购：全省、全国大型书展或图书馆指定的现场采购。图书供应商原则上每年安排现场采购 2 次，图书馆采购人数每次不超过 3 人。</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（4）特殊采购：根据图书馆要求做好特殊书目（读者点书）的采购，以满足读者特殊需求。</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（5）采访书目数据：图书供应商应提供符合我馆藏书特点和读者层次的书目数据，并及时提供符合我馆需求的图书信息，内容包括书名、著者、出版社、单价和 ISBN 号、内容提要等。提供的各类征订数据应相互查重，各类书目数据必须提供 Marc、Excel 格式。书目数据内容完整。数据能为我馆图书馆集成管理系统（图星管理系统）接受。</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（6）网上采购：</w:t>
      </w:r>
      <w:r>
        <w:rPr>
          <w:rFonts w:ascii="宋体" w:hAnsi="宋体" w:cs="宋体"/>
          <w:color w:val="auto"/>
          <w:sz w:val="21"/>
          <w:szCs w:val="21"/>
          <w:highlight w:val="none"/>
        </w:rPr>
        <w:t>图书供应商</w:t>
      </w:r>
      <w:r>
        <w:rPr>
          <w:rFonts w:hint="eastAsia" w:ascii="宋体" w:hAnsi="宋体" w:cs="宋体"/>
          <w:color w:val="auto"/>
          <w:sz w:val="21"/>
          <w:szCs w:val="21"/>
          <w:highlight w:val="none"/>
        </w:rPr>
        <w:t>需提供网上图书采购业务。供应商应建有功能较完善，性能稳定的专业化图书电子商务网站，便于供需双方高效开展业务工作。</w:t>
      </w:r>
      <w:r>
        <w:rPr>
          <w:rFonts w:ascii="宋体" w:hAnsi="宋体" w:cs="宋体"/>
          <w:color w:val="auto"/>
          <w:sz w:val="21"/>
          <w:szCs w:val="21"/>
          <w:highlight w:val="none"/>
        </w:rPr>
        <w:t>图书馆的电话订购与网上订购，图书供应商应视同现采对待。</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2、编目数据</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图书供应商对图书馆选购的图书均免费提供 MARC（CALIS）、Excel 两种格式的编目数据，数据详实，准确无误，并符合图书馆的图书管理系统的技术要求。编目数据应比同批次送达的图书提前一周到馆，并达到 100%的覆盖率。</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3、图书质量</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图书供应商提供的所有图书均应是未经使用的国家正版合格图书，附件齐全，图书不得有错页、缺页、漏页、倒装、污损、受潮、错误等情况。图书到货验收时，如有缺页、污损等情况，应予无条件调换。盗版图书、图书与订购不符，无论加工与否一律退回，费用由供应商自行负责。</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4、供书时间</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收到图书馆确认的书目订单后，图书供应商</w:t>
      </w:r>
      <w:r>
        <w:rPr>
          <w:rFonts w:hint="eastAsia" w:ascii="宋体" w:hAnsi="宋体" w:cs="宋体"/>
          <w:color w:val="auto"/>
          <w:sz w:val="21"/>
          <w:szCs w:val="21"/>
          <w:highlight w:val="none"/>
        </w:rPr>
        <w:t>在收到采购人的图书订单后应在五个工作日内予以确认。同时</w:t>
      </w:r>
      <w:r>
        <w:rPr>
          <w:rFonts w:ascii="宋体" w:hAnsi="宋体" w:cs="宋体"/>
          <w:color w:val="auto"/>
          <w:sz w:val="21"/>
          <w:szCs w:val="21"/>
          <w:highlight w:val="none"/>
        </w:rPr>
        <w:t>应及时查重，并在 1 个工作日内反馈重复订购的图书信息。</w:t>
      </w:r>
      <w:r>
        <w:rPr>
          <w:rFonts w:hint="eastAsia" w:ascii="宋体" w:hAnsi="宋体" w:cs="宋体"/>
          <w:color w:val="auto"/>
          <w:sz w:val="21"/>
          <w:szCs w:val="21"/>
          <w:highlight w:val="none"/>
        </w:rPr>
        <w:t>经供应商确认的订单，应按采购人提出的书目及包装加工要求，在订单确认后15日内送书到采购人指定地点并完成加工，为此所发生的费用由供应商承担。</w:t>
      </w:r>
      <w:r>
        <w:rPr>
          <w:rFonts w:ascii="宋体" w:hAnsi="宋体" w:cs="宋体"/>
          <w:color w:val="auto"/>
          <w:sz w:val="21"/>
          <w:szCs w:val="21"/>
          <w:highlight w:val="none"/>
        </w:rPr>
        <w:t xml:space="preserve">其中现货图书满足率不低于 75%，且现货图书采购需在 </w:t>
      </w:r>
      <w:r>
        <w:rPr>
          <w:rFonts w:hint="eastAsia" w:ascii="宋体" w:hAnsi="宋体" w:cs="宋体"/>
          <w:color w:val="auto"/>
          <w:sz w:val="21"/>
          <w:szCs w:val="21"/>
          <w:highlight w:val="none"/>
        </w:rPr>
        <w:t>5</w:t>
      </w:r>
      <w:r>
        <w:rPr>
          <w:rFonts w:ascii="宋体" w:hAnsi="宋体" w:cs="宋体"/>
          <w:color w:val="auto"/>
          <w:sz w:val="21"/>
          <w:szCs w:val="21"/>
          <w:highlight w:val="none"/>
        </w:rPr>
        <w:t xml:space="preserve"> 个工作日内送货到馆并加工完成。书名、价格等变更的图书及时反馈图书馆，新书发货差错率应低于 3‰。</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供应商接到订购单后能及时处理并反馈订单处理信息。在未征得采购人同意情况下，不得更换采购人正式订单。收到订单二周之内向采购人反馈订单执行信息。</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5、图书交付</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（1）图书馆已订书单因情况变化，要求减少订数或取消订购的，图书供应商应及时予以更改或取消。图书馆可以退还由于采访数据不完整而造成错订的图书。对不符合本图书馆馆藏需求的订购图书,允许退货。</w:t>
      </w:r>
    </w:p>
    <w:p>
      <w:pPr>
        <w:spacing w:line="360" w:lineRule="auto"/>
        <w:ind w:right="100"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2）图书供应商按图书馆要求对图书打包发订，推荐图书按要求单独打包。免费按规定送达指定地点整齐摆放，由此所发生的费用全部由供应商承担。在到达图书馆指定地点前发生的不可预见的风险均由图书供应商负责。</w:t>
      </w:r>
    </w:p>
    <w:p>
      <w:pPr>
        <w:spacing w:line="360" w:lineRule="auto"/>
        <w:ind w:right="100"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供应商在递交每一批图书的同时，应供应图书清单及盖章（一式二份）。一批图书提供两份清单。一份是汇总清单，一份是每包内明细单。明细清单上注明每种图书册数、定价、码洋、折扣、实洋及包号。在外包装上标注包号，并在汇总清单中注明包号、每包码洋合计、册数合计、码洋合计。</w:t>
      </w:r>
      <w:r>
        <w:rPr>
          <w:rFonts w:ascii="宋体" w:hAnsi="宋体" w:cs="宋体"/>
          <w:color w:val="auto"/>
          <w:sz w:val="21"/>
          <w:szCs w:val="21"/>
          <w:highlight w:val="none"/>
        </w:rPr>
        <w:t>以本馆验收核对的图书清单为双方的结账依据。</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6、图书</w:t>
      </w:r>
      <w:r>
        <w:rPr>
          <w:rFonts w:hint="eastAsia" w:ascii="宋体" w:hAnsi="宋体" w:cs="宋体"/>
          <w:color w:val="auto"/>
          <w:sz w:val="21"/>
          <w:szCs w:val="21"/>
          <w:highlight w:val="none"/>
        </w:rPr>
        <w:t>配送服务</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（1）根据采购方要求，加工完成后的图书：</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要按采购方要求把本馆图书分为：I成人外借类、参考类、少儿类、低幼类四大类分开存放，其中成人外借类、参考类、少儿类都要按照中图法2</w:t>
      </w:r>
      <w:r>
        <w:rPr>
          <w:rFonts w:ascii="宋体" w:hAnsi="宋体" w:cs="宋体"/>
          <w:color w:val="auto"/>
          <w:sz w:val="21"/>
          <w:szCs w:val="21"/>
          <w:highlight w:val="none"/>
        </w:rPr>
        <w:t>2</w:t>
      </w:r>
      <w:r>
        <w:rPr>
          <w:rFonts w:hint="eastAsia" w:ascii="宋体" w:hAnsi="宋体" w:cs="宋体"/>
          <w:color w:val="auto"/>
          <w:sz w:val="21"/>
          <w:szCs w:val="21"/>
          <w:highlight w:val="none"/>
        </w:rPr>
        <w:t>大类细分存放，再以每类别20本一捆来打包清点后配送到各外指楼层定场地摆放。</w:t>
      </w:r>
      <w:r>
        <w:rPr>
          <w:rFonts w:hint="eastAsia" w:ascii="宋体" w:hAnsi="宋体" w:cs="宋体"/>
          <w:color w:val="auto"/>
          <w:sz w:val="21"/>
          <w:szCs w:val="21"/>
          <w:highlight w:val="none"/>
          <w:lang w:eastAsia="zh-CN"/>
        </w:rPr>
        <w:t>本</w:t>
      </w:r>
      <w:r>
        <w:rPr>
          <w:rFonts w:hint="eastAsia" w:ascii="宋体" w:hAnsi="宋体" w:cs="宋体"/>
          <w:color w:val="auto"/>
          <w:sz w:val="21"/>
          <w:szCs w:val="21"/>
          <w:highlight w:val="none"/>
        </w:rPr>
        <w:t>馆以外的图书要配合好馆方要求,分别在图书馆系统中每本导入分馆并以25本一捆打包清点，再配送至各</w:t>
      </w:r>
      <w:r>
        <w:rPr>
          <w:rFonts w:hint="eastAsia" w:ascii="宋体" w:hAnsi="宋体" w:cs="宋体"/>
          <w:color w:val="auto"/>
          <w:sz w:val="21"/>
          <w:szCs w:val="21"/>
          <w:highlight w:val="none"/>
          <w:lang w:eastAsia="zh-CN"/>
        </w:rPr>
        <w:t>配书点</w:t>
      </w:r>
      <w:r>
        <w:rPr>
          <w:rFonts w:hint="eastAsia" w:ascii="宋体" w:hAnsi="宋体" w:cs="宋体"/>
          <w:color w:val="auto"/>
          <w:sz w:val="21"/>
          <w:szCs w:val="21"/>
          <w:highlight w:val="none"/>
        </w:rPr>
        <w:t>。智慧书房和礼堂书屋图书需由图书供应商负责按馆方要求有序上架到指定地点。</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7、特色服务</w:t>
      </w:r>
    </w:p>
    <w:p>
      <w:pPr>
        <w:spacing w:line="360" w:lineRule="auto"/>
        <w:ind w:right="100" w:firstLine="420" w:firstLineChars="20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图书供应商能够配合馆方要求开展专题性图书的突击性采购任务（要求在一周以内完成）。开展专题性图书采购不少于</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次，并提供相应的宣传服务，能够配合馆方开展各类线上线下的阅读推广活动。</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8、付款方式</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图书到馆后，经图书馆验收合格，且完成加工的，图书价款按供应商的中标折扣*图书码洋=图书实洋，由图书馆向中标人支付。</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凡送交到采购人的图书，以图书定价及所定折扣作为计算书款的依据，经验收发现书款与发货单不相符的，采购人及时通知供应商派员到验收地核实，供应商接到通知之日起10个工作日内不能派员核实的，以采购人验收的实际数额计算书款金额。</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9、图书加工</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w:t>
      </w:r>
      <w:r>
        <w:rPr>
          <w:rFonts w:hint="eastAsia" w:ascii="宋体" w:hAnsi="宋体" w:cs="宋体"/>
          <w:color w:val="auto"/>
          <w:sz w:val="21"/>
          <w:szCs w:val="21"/>
          <w:highlight w:val="none"/>
          <w:lang w:val="en-US" w:eastAsia="zh-CN"/>
        </w:rPr>
        <w:t>1</w:t>
      </w:r>
      <w:r>
        <w:rPr>
          <w:rFonts w:ascii="宋体" w:hAnsi="宋体" w:cs="宋体"/>
          <w:color w:val="auto"/>
          <w:sz w:val="21"/>
          <w:szCs w:val="21"/>
          <w:highlight w:val="none"/>
        </w:rPr>
        <w:t>）图书供应商自备所有图书加工所需的硬件设备及图书后道加工涉及的所有材料（包括 RFID 芯片），根据图书馆要求完成加工，无偿提供不含 RFID 芯片的图书加工服务。</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w:t>
      </w:r>
      <w:r>
        <w:rPr>
          <w:rFonts w:hint="eastAsia" w:ascii="宋体" w:hAnsi="宋体" w:cs="宋体"/>
          <w:color w:val="auto"/>
          <w:sz w:val="21"/>
          <w:szCs w:val="21"/>
          <w:highlight w:val="none"/>
          <w:lang w:val="en-US" w:eastAsia="zh-CN"/>
        </w:rPr>
        <w:t>2</w:t>
      </w:r>
      <w:r>
        <w:rPr>
          <w:rFonts w:ascii="宋体" w:hAnsi="宋体" w:cs="宋体"/>
          <w:color w:val="auto"/>
          <w:sz w:val="21"/>
          <w:szCs w:val="21"/>
          <w:highlight w:val="none"/>
        </w:rPr>
        <w:t>）图书供应商需对订购图书进行验校与查重（单册码洋大于 100 元和总馆馆藏复本大于 2 的图书需二次确认）后，严格按照《</w:t>
      </w:r>
      <w:r>
        <w:rPr>
          <w:rFonts w:hint="eastAsia" w:ascii="宋体" w:hAnsi="宋体" w:cs="宋体"/>
          <w:color w:val="auto"/>
          <w:sz w:val="21"/>
          <w:szCs w:val="21"/>
          <w:highlight w:val="none"/>
        </w:rPr>
        <w:t>嘉善县</w:t>
      </w:r>
      <w:r>
        <w:rPr>
          <w:rFonts w:ascii="宋体" w:hAnsi="宋体" w:cs="宋体"/>
          <w:color w:val="auto"/>
          <w:sz w:val="21"/>
          <w:szCs w:val="21"/>
          <w:highlight w:val="none"/>
        </w:rPr>
        <w:t>图书馆图书文献编目细则》与进行编目，按照《</w:t>
      </w:r>
      <w:r>
        <w:rPr>
          <w:rFonts w:hint="eastAsia" w:ascii="宋体" w:hAnsi="宋体" w:cs="宋体"/>
          <w:color w:val="auto"/>
          <w:sz w:val="21"/>
          <w:szCs w:val="21"/>
          <w:highlight w:val="none"/>
        </w:rPr>
        <w:t>嘉善县</w:t>
      </w:r>
      <w:r>
        <w:rPr>
          <w:rFonts w:ascii="宋体" w:hAnsi="宋体" w:cs="宋体"/>
          <w:color w:val="auto"/>
          <w:sz w:val="21"/>
          <w:szCs w:val="21"/>
          <w:highlight w:val="none"/>
        </w:rPr>
        <w:t>图书馆文献加工细则》进行加工。</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ascii="宋体" w:hAnsi="宋体" w:cs="宋体"/>
          <w:color w:val="auto"/>
          <w:sz w:val="21"/>
          <w:szCs w:val="21"/>
          <w:highlight w:val="none"/>
        </w:rPr>
        <w:t>）为确保图书馆新书的定期上架，图书供应商必须定期按图书馆指定量的图书进行加工并交付至各借阅点进行确认。</w:t>
      </w:r>
    </w:p>
    <w:p>
      <w:pPr>
        <w:spacing w:line="360" w:lineRule="auto"/>
        <w:ind w:right="100"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ascii="宋体" w:hAnsi="宋体" w:cs="宋体"/>
          <w:color w:val="auto"/>
          <w:sz w:val="21"/>
          <w:szCs w:val="21"/>
          <w:highlight w:val="none"/>
        </w:rPr>
        <w:t>）</w:t>
      </w:r>
      <w:r>
        <w:rPr>
          <w:rFonts w:hint="eastAsia" w:ascii="宋体" w:hAnsi="宋体" w:cs="宋体"/>
          <w:color w:val="auto"/>
          <w:sz w:val="21"/>
          <w:szCs w:val="21"/>
          <w:highlight w:val="none"/>
        </w:rPr>
        <w:t>图书具体加工要求</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1.根据采购人要求，加盖3个馆藏章在指定位置，根据图书类别盖不同的章。</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由供应商按采购人要求在每本书上加贴条形码并贴上保护膜。</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2.每册图书在书脊下方的规定位置上贴上一张2cm×5cm不干胶的书标，并在书标上贴一条胶带纸，长度以覆盖书标及封面与封底各1cm为宜（不干胶书标由供应商提供）。</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3.色</w:t>
      </w:r>
      <w:r>
        <w:rPr>
          <w:rFonts w:hint="eastAsia" w:ascii="宋体" w:hAnsi="宋体" w:cs="宋体"/>
          <w:color w:val="auto"/>
          <w:sz w:val="21"/>
          <w:szCs w:val="21"/>
          <w:highlight w:val="none"/>
        </w:rPr>
        <w:t>标：根据馆方实时调整要求进行加工，</w:t>
      </w:r>
      <w:r>
        <w:rPr>
          <w:rFonts w:hint="eastAsia" w:ascii="宋体" w:hAnsi="宋体" w:cs="宋体"/>
          <w:color w:val="auto"/>
          <w:sz w:val="21"/>
          <w:szCs w:val="21"/>
          <w:highlight w:val="none"/>
          <w:lang w:eastAsia="zh-CN"/>
        </w:rPr>
        <w:t>目前暂时为</w:t>
      </w:r>
      <w:r>
        <w:rPr>
          <w:rFonts w:hint="eastAsia" w:ascii="宋体" w:hAnsi="宋体" w:cs="宋体"/>
          <w:color w:val="auto"/>
          <w:sz w:val="21"/>
          <w:szCs w:val="21"/>
          <w:highlight w:val="none"/>
        </w:rPr>
        <w:t>青少</w:t>
      </w:r>
      <w:r>
        <w:rPr>
          <w:rFonts w:hint="eastAsia" w:ascii="宋体" w:hAnsi="宋体" w:cs="宋体"/>
          <w:color w:val="auto"/>
          <w:sz w:val="21"/>
          <w:szCs w:val="21"/>
          <w:highlight w:val="none"/>
        </w:rPr>
        <w:t>年馆橙色</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绘本馆红色</w:t>
      </w:r>
      <w:r>
        <w:rPr>
          <w:rFonts w:hint="eastAsia" w:ascii="宋体" w:hAnsi="宋体" w:cs="宋体"/>
          <w:color w:val="auto"/>
          <w:sz w:val="21"/>
          <w:szCs w:val="21"/>
          <w:highlight w:val="none"/>
          <w:lang w:eastAsia="zh-CN"/>
        </w:rPr>
        <w:t>，其他色标暂停</w:t>
      </w:r>
      <w:r>
        <w:rPr>
          <w:rFonts w:hint="eastAsia" w:ascii="宋体" w:hAnsi="宋体" w:cs="宋体"/>
          <w:color w:val="auto"/>
          <w:sz w:val="21"/>
          <w:szCs w:val="21"/>
          <w:highlight w:val="none"/>
        </w:rPr>
        <w:t>。（色标位置：图书底部处往上粘贴，取中间位置粘贴）贴色标的图书统一在书标、色标上贴一条书标保护膜，长度以覆盖书标及封面与封底各1cm为宜。</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4.随书配送编目数据，编目数据依据中国机读目录格式标准著录。分类依据《中国图书馆分类法》（第四版），主题标引依据《汉语主题词表》（第二版）。</w:t>
      </w:r>
    </w:p>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5.嘉善县图书馆RFID标签加工要求</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嘉善县图书馆所采图书必须加贴RFID标签。RFID标签要求如下：</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2" w:type="dxa"/>
            <w:shd w:val="clear" w:color="auto" w:fill="E6E6E6"/>
            <w:vAlign w:val="center"/>
          </w:tcPr>
          <w:p>
            <w:pPr>
              <w:spacing w:line="360" w:lineRule="auto"/>
              <w:ind w:right="100"/>
              <w:jc w:val="both"/>
              <w:rPr>
                <w:rFonts w:ascii="宋体" w:hAnsi="宋体" w:cs="宋体"/>
                <w:color w:val="auto"/>
                <w:sz w:val="21"/>
                <w:szCs w:val="21"/>
                <w:highlight w:val="none"/>
              </w:rPr>
            </w:pPr>
            <w:r>
              <w:rPr>
                <w:rFonts w:ascii="宋体" w:hAnsi="宋体" w:cs="宋体"/>
                <w:color w:val="auto"/>
                <w:sz w:val="21"/>
                <w:szCs w:val="21"/>
                <w:highlight w:val="none"/>
              </w:rPr>
              <w:t>类别</w:t>
            </w:r>
          </w:p>
        </w:tc>
        <w:tc>
          <w:tcPr>
            <w:tcW w:w="7370" w:type="dxa"/>
            <w:shd w:val="clear" w:color="auto" w:fill="E6E6E6"/>
            <w:vAlign w:val="center"/>
          </w:tcPr>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2" w:type="dxa"/>
            <w:vAlign w:val="center"/>
          </w:tcPr>
          <w:p>
            <w:pPr>
              <w:spacing w:line="360" w:lineRule="auto"/>
              <w:ind w:right="100"/>
              <w:jc w:val="both"/>
              <w:rPr>
                <w:rFonts w:ascii="宋体" w:hAnsi="宋体" w:cs="宋体"/>
                <w:color w:val="auto"/>
                <w:sz w:val="21"/>
                <w:szCs w:val="21"/>
                <w:highlight w:val="none"/>
              </w:rPr>
            </w:pPr>
            <w:r>
              <w:rPr>
                <w:rFonts w:ascii="宋体" w:hAnsi="宋体" w:cs="宋体"/>
                <w:color w:val="auto"/>
                <w:sz w:val="21"/>
                <w:szCs w:val="21"/>
                <w:highlight w:val="none"/>
              </w:rPr>
              <w:t>功能</w:t>
            </w:r>
          </w:p>
          <w:p>
            <w:pPr>
              <w:spacing w:line="360" w:lineRule="auto"/>
              <w:ind w:right="100"/>
              <w:jc w:val="both"/>
              <w:rPr>
                <w:rFonts w:ascii="宋体" w:hAnsi="宋体" w:cs="宋体"/>
                <w:color w:val="auto"/>
                <w:sz w:val="21"/>
                <w:szCs w:val="21"/>
                <w:highlight w:val="none"/>
              </w:rPr>
            </w:pPr>
            <w:r>
              <w:rPr>
                <w:rFonts w:ascii="宋体" w:hAnsi="宋体" w:cs="宋体"/>
                <w:color w:val="auto"/>
                <w:sz w:val="21"/>
                <w:szCs w:val="21"/>
                <w:highlight w:val="none"/>
              </w:rPr>
              <w:t>要求</w:t>
            </w:r>
          </w:p>
        </w:tc>
        <w:tc>
          <w:tcPr>
            <w:tcW w:w="7370" w:type="dxa"/>
            <w:vAlign w:val="center"/>
          </w:tcPr>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w:t>
            </w:r>
            <w:r>
              <w:rPr>
                <w:rFonts w:ascii="宋体" w:hAnsi="宋体" w:cs="宋体"/>
                <w:color w:val="auto"/>
                <w:sz w:val="21"/>
                <w:szCs w:val="21"/>
                <w:highlight w:val="none"/>
              </w:rPr>
              <w:t>标签中有存储器，存储在其中的资料可重复读、写。</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ascii="宋体" w:hAnsi="宋体" w:cs="宋体"/>
                <w:color w:val="auto"/>
                <w:sz w:val="21"/>
                <w:szCs w:val="21"/>
                <w:highlight w:val="none"/>
              </w:rPr>
              <w:t>标签可以非接触式地读取和写入，加快文献流通的处理速度。</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3．</w:t>
            </w:r>
            <w:r>
              <w:rPr>
                <w:rFonts w:ascii="宋体" w:hAnsi="宋体" w:cs="宋体"/>
                <w:color w:val="auto"/>
                <w:sz w:val="21"/>
                <w:szCs w:val="21"/>
                <w:highlight w:val="none"/>
              </w:rPr>
              <w:t>标签具有一定的抗冲突性，能保证多个标签地同时可靠识别。</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4．</w:t>
            </w:r>
            <w:r>
              <w:rPr>
                <w:rFonts w:ascii="宋体" w:hAnsi="宋体" w:cs="宋体"/>
                <w:color w:val="auto"/>
                <w:sz w:val="21"/>
                <w:szCs w:val="21"/>
                <w:highlight w:val="none"/>
              </w:rPr>
              <w:t>标签具有较高的安全性，防止存储在其中的信息被随意读取或改写。</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5．</w:t>
            </w:r>
            <w:r>
              <w:rPr>
                <w:rFonts w:ascii="宋体" w:hAnsi="宋体" w:cs="宋体"/>
                <w:color w:val="auto"/>
                <w:sz w:val="21"/>
                <w:szCs w:val="21"/>
                <w:highlight w:val="none"/>
              </w:rPr>
              <w:t>标签为无源标签，须符合国际相关行业标准，如ISO15693标准、ISO 18000-3标准等。</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6．</w:t>
            </w:r>
            <w:r>
              <w:rPr>
                <w:rFonts w:ascii="宋体" w:hAnsi="宋体" w:cs="宋体"/>
                <w:color w:val="auto"/>
                <w:sz w:val="21"/>
                <w:szCs w:val="21"/>
                <w:highlight w:val="none"/>
              </w:rPr>
              <w:t>具有不可改写的唯一序列号（UID）。</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7．</w:t>
            </w:r>
            <w:r>
              <w:rPr>
                <w:rFonts w:ascii="宋体" w:hAnsi="宋体" w:cs="宋体"/>
                <w:color w:val="auto"/>
                <w:sz w:val="21"/>
                <w:szCs w:val="21"/>
                <w:highlight w:val="none"/>
              </w:rPr>
              <w:t>采用倒装法封装(Flip-Chip)。</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8．</w:t>
            </w:r>
            <w:r>
              <w:rPr>
                <w:rFonts w:ascii="宋体" w:hAnsi="宋体" w:cs="宋体"/>
                <w:color w:val="auto"/>
                <w:sz w:val="21"/>
                <w:szCs w:val="21"/>
                <w:highlight w:val="none"/>
              </w:rPr>
              <w:t>标签的天线为铝或铜质天线，采用蚀刻法工艺制造。</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9．</w:t>
            </w:r>
            <w:r>
              <w:rPr>
                <w:rFonts w:ascii="宋体" w:hAnsi="宋体" w:cs="宋体"/>
                <w:color w:val="auto"/>
                <w:sz w:val="21"/>
                <w:szCs w:val="21"/>
                <w:highlight w:val="none"/>
              </w:rPr>
              <w:t>用户可自定义数据格式和内容，具有良好的扩展性。</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10．</w:t>
            </w:r>
            <w:r>
              <w:rPr>
                <w:rFonts w:ascii="宋体" w:hAnsi="宋体" w:cs="宋体"/>
                <w:color w:val="auto"/>
                <w:sz w:val="21"/>
                <w:szCs w:val="21"/>
                <w:highlight w:val="none"/>
              </w:rPr>
              <w:t>图书、光盘用标签采用AFI位作为防盗的安全标志方法，且AFI标志位必须可以由用户自由修改。</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11．</w:t>
            </w:r>
            <w:r>
              <w:rPr>
                <w:rFonts w:ascii="宋体" w:hAnsi="宋体" w:cs="宋体"/>
                <w:color w:val="auto"/>
                <w:sz w:val="21"/>
                <w:szCs w:val="21"/>
                <w:highlight w:val="none"/>
              </w:rPr>
              <w:t>标签固有频率误差频率达到ISO标准的要求。</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12．</w:t>
            </w:r>
            <w:r>
              <w:rPr>
                <w:rFonts w:ascii="宋体" w:hAnsi="宋体" w:cs="宋体"/>
                <w:color w:val="auto"/>
                <w:sz w:val="21"/>
                <w:szCs w:val="21"/>
                <w:highlight w:val="none"/>
              </w:rPr>
              <w:t>相关的RFID阅读产品设备，可在非常短的时间内读取存储在标签中的资料（实际工作环境，若以标签容量</w:t>
            </w:r>
            <w:r>
              <w:rPr>
                <w:rFonts w:hint="eastAsia" w:ascii="宋体" w:hAnsi="宋体" w:cs="宋体"/>
                <w:color w:val="auto"/>
                <w:sz w:val="21"/>
                <w:szCs w:val="21"/>
                <w:highlight w:val="none"/>
              </w:rPr>
              <w:t>1024</w:t>
            </w:r>
            <w:r>
              <w:rPr>
                <w:rFonts w:ascii="宋体" w:hAnsi="宋体" w:cs="宋体"/>
                <w:color w:val="auto"/>
                <w:sz w:val="21"/>
                <w:szCs w:val="21"/>
                <w:highlight w:val="none"/>
              </w:rPr>
              <w:t>bits为标准计算，每种工序中标签的读取速度都能达到0.1s之内）。</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13．</w:t>
            </w:r>
            <w:r>
              <w:rPr>
                <w:rFonts w:ascii="宋体" w:hAnsi="宋体" w:cs="宋体"/>
                <w:color w:val="auto"/>
                <w:sz w:val="21"/>
                <w:szCs w:val="21"/>
                <w:highlight w:val="none"/>
              </w:rPr>
              <w:t>标签带不干胶的、单片的标签，在粘贴到书籍时不需要再刷胶或者配粘纸，并粘贴后不易撕毁脱落，芯片数据保存时间可以保证10年，同时应保证采用中性粘胶对图书及其它介质黏贴表面无损害。另外使用PH值为6-8之间的中性背胶。</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14．</w:t>
            </w:r>
            <w:r>
              <w:rPr>
                <w:rFonts w:ascii="宋体" w:hAnsi="宋体" w:cs="宋体"/>
                <w:color w:val="auto"/>
                <w:sz w:val="21"/>
                <w:szCs w:val="21"/>
                <w:highlight w:val="none"/>
              </w:rPr>
              <w:t>图书标签为卷状包装，可以在电动或手动标签分配器中方便分配抽取。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jc w:val="center"/>
        </w:trPr>
        <w:tc>
          <w:tcPr>
            <w:tcW w:w="1152" w:type="dxa"/>
            <w:vAlign w:val="center"/>
          </w:tcPr>
          <w:p>
            <w:pPr>
              <w:spacing w:line="360" w:lineRule="auto"/>
              <w:ind w:right="100"/>
              <w:jc w:val="both"/>
              <w:rPr>
                <w:rFonts w:ascii="宋体" w:hAnsi="宋体" w:cs="宋体"/>
                <w:color w:val="auto"/>
                <w:sz w:val="21"/>
                <w:szCs w:val="21"/>
                <w:highlight w:val="none"/>
              </w:rPr>
            </w:pPr>
            <w:r>
              <w:rPr>
                <w:rFonts w:ascii="宋体" w:hAnsi="宋体" w:cs="宋体"/>
                <w:color w:val="auto"/>
                <w:sz w:val="21"/>
                <w:szCs w:val="21"/>
                <w:highlight w:val="none"/>
              </w:rPr>
              <w:t>技术</w:t>
            </w:r>
          </w:p>
          <w:p>
            <w:pPr>
              <w:spacing w:line="360" w:lineRule="auto"/>
              <w:ind w:right="100"/>
              <w:jc w:val="both"/>
              <w:rPr>
                <w:rFonts w:ascii="宋体" w:hAnsi="宋体" w:cs="宋体"/>
                <w:color w:val="auto"/>
                <w:sz w:val="21"/>
                <w:szCs w:val="21"/>
                <w:highlight w:val="none"/>
              </w:rPr>
            </w:pPr>
            <w:r>
              <w:rPr>
                <w:rFonts w:ascii="宋体" w:hAnsi="宋体" w:cs="宋体"/>
                <w:color w:val="auto"/>
                <w:sz w:val="21"/>
                <w:szCs w:val="21"/>
                <w:highlight w:val="none"/>
              </w:rPr>
              <w:t>要求</w:t>
            </w:r>
          </w:p>
        </w:tc>
        <w:tc>
          <w:tcPr>
            <w:tcW w:w="7370" w:type="dxa"/>
            <w:vAlign w:val="center"/>
          </w:tcPr>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15．</w:t>
            </w:r>
            <w:r>
              <w:rPr>
                <w:rFonts w:ascii="宋体" w:hAnsi="宋体" w:cs="宋体"/>
                <w:color w:val="auto"/>
                <w:sz w:val="21"/>
                <w:szCs w:val="21"/>
                <w:highlight w:val="none"/>
              </w:rPr>
              <w:t xml:space="preserve">符合标准： 兼容RFID标准ISO 15693 、ISO 18000-3 </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16．</w:t>
            </w:r>
            <w:r>
              <w:rPr>
                <w:rFonts w:ascii="宋体" w:hAnsi="宋体" w:cs="宋体"/>
                <w:color w:val="auto"/>
                <w:sz w:val="21"/>
                <w:szCs w:val="21"/>
                <w:highlight w:val="none"/>
              </w:rPr>
              <w:t>工作频率：13.56 MHz</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17．</w:t>
            </w:r>
            <w:r>
              <w:rPr>
                <w:rFonts w:ascii="宋体" w:hAnsi="宋体" w:cs="宋体"/>
                <w:color w:val="auto"/>
                <w:sz w:val="21"/>
                <w:szCs w:val="21"/>
                <w:highlight w:val="none"/>
              </w:rPr>
              <w:t>有效使用寿命：≥10年</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18．</w:t>
            </w:r>
            <w:r>
              <w:rPr>
                <w:rFonts w:ascii="宋体" w:hAnsi="宋体" w:cs="宋体"/>
                <w:color w:val="auto"/>
                <w:sz w:val="21"/>
                <w:szCs w:val="21"/>
                <w:highlight w:val="none"/>
              </w:rPr>
              <w:t>内存容量： ≥</w:t>
            </w:r>
            <w:r>
              <w:rPr>
                <w:rFonts w:hint="eastAsia" w:ascii="宋体" w:hAnsi="宋体" w:cs="宋体"/>
                <w:color w:val="auto"/>
                <w:sz w:val="21"/>
                <w:szCs w:val="21"/>
                <w:highlight w:val="none"/>
              </w:rPr>
              <w:t>1024</w:t>
            </w:r>
            <w:r>
              <w:rPr>
                <w:rFonts w:ascii="宋体" w:hAnsi="宋体" w:cs="宋体"/>
                <w:color w:val="auto"/>
                <w:sz w:val="21"/>
                <w:szCs w:val="21"/>
                <w:highlight w:val="none"/>
              </w:rPr>
              <w:t>bits</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19．</w:t>
            </w:r>
            <w:r>
              <w:rPr>
                <w:rFonts w:ascii="宋体" w:hAnsi="宋体" w:cs="宋体"/>
                <w:color w:val="auto"/>
                <w:sz w:val="21"/>
                <w:szCs w:val="21"/>
                <w:highlight w:val="none"/>
              </w:rPr>
              <w:t>有效擦写次数：≥10万次</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20．</w:t>
            </w:r>
            <w:r>
              <w:rPr>
                <w:rFonts w:ascii="宋体" w:hAnsi="宋体" w:cs="宋体"/>
                <w:color w:val="auto"/>
                <w:sz w:val="21"/>
                <w:szCs w:val="21"/>
                <w:highlight w:val="none"/>
              </w:rPr>
              <w:t>环境温度范围：-20℃-75℃摄氏度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line="360" w:lineRule="auto"/>
              <w:ind w:right="100"/>
              <w:jc w:val="both"/>
              <w:rPr>
                <w:rFonts w:ascii="宋体" w:hAnsi="宋体" w:cs="宋体"/>
                <w:color w:val="auto"/>
                <w:sz w:val="21"/>
                <w:szCs w:val="21"/>
                <w:highlight w:val="none"/>
              </w:rPr>
            </w:pPr>
            <w:r>
              <w:rPr>
                <w:rFonts w:ascii="宋体" w:hAnsi="宋体" w:cs="宋体"/>
                <w:color w:val="auto"/>
                <w:sz w:val="21"/>
                <w:szCs w:val="21"/>
                <w:highlight w:val="none"/>
              </w:rPr>
              <w:t>服务</w:t>
            </w:r>
          </w:p>
          <w:p>
            <w:pPr>
              <w:spacing w:line="360" w:lineRule="auto"/>
              <w:ind w:right="100"/>
              <w:jc w:val="both"/>
              <w:rPr>
                <w:rFonts w:ascii="宋体" w:hAnsi="宋体" w:cs="宋体"/>
                <w:color w:val="auto"/>
                <w:sz w:val="21"/>
                <w:szCs w:val="21"/>
                <w:highlight w:val="none"/>
              </w:rPr>
            </w:pPr>
            <w:r>
              <w:rPr>
                <w:rFonts w:ascii="宋体" w:hAnsi="宋体" w:cs="宋体"/>
                <w:color w:val="auto"/>
                <w:sz w:val="21"/>
                <w:szCs w:val="21"/>
                <w:highlight w:val="none"/>
              </w:rPr>
              <w:t>要求</w:t>
            </w:r>
          </w:p>
        </w:tc>
        <w:tc>
          <w:tcPr>
            <w:tcW w:w="7370" w:type="dxa"/>
            <w:tcBorders>
              <w:top w:val="single" w:color="auto" w:sz="4" w:space="0"/>
              <w:left w:val="single" w:color="auto" w:sz="4" w:space="0"/>
              <w:bottom w:val="single" w:color="auto" w:sz="4" w:space="0"/>
              <w:right w:val="single" w:color="auto" w:sz="4" w:space="0"/>
            </w:tcBorders>
            <w:vAlign w:val="center"/>
          </w:tcPr>
          <w:p>
            <w:pPr>
              <w:spacing w:line="360" w:lineRule="auto"/>
              <w:ind w:right="100" w:firstLine="420"/>
              <w:jc w:val="both"/>
              <w:rPr>
                <w:rFonts w:ascii="宋体" w:hAnsi="宋体" w:cs="宋体"/>
                <w:color w:val="auto"/>
                <w:sz w:val="21"/>
                <w:szCs w:val="21"/>
                <w:highlight w:val="none"/>
              </w:rPr>
            </w:pPr>
            <w:r>
              <w:rPr>
                <w:rFonts w:ascii="宋体" w:hAnsi="宋体" w:cs="宋体"/>
                <w:color w:val="auto"/>
                <w:sz w:val="21"/>
                <w:szCs w:val="21"/>
                <w:highlight w:val="none"/>
              </w:rPr>
              <w:t>标签中可存储一些基本信息，投标人应优化读取速度，提高处理的效率。</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22．</w:t>
            </w:r>
            <w:r>
              <w:rPr>
                <w:rFonts w:ascii="宋体" w:hAnsi="宋体" w:cs="宋体"/>
                <w:color w:val="auto"/>
                <w:sz w:val="21"/>
                <w:szCs w:val="21"/>
                <w:highlight w:val="none"/>
              </w:rPr>
              <w:t>投标人须提供标签的监测控制方案，用于监控标签的状态，当标签被阅读或识别时，可判断出流通资料是否可以被带出馆外。</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23．</w:t>
            </w:r>
            <w:r>
              <w:rPr>
                <w:rFonts w:ascii="宋体" w:hAnsi="宋体" w:cs="宋体"/>
                <w:color w:val="auto"/>
                <w:sz w:val="21"/>
                <w:szCs w:val="21"/>
                <w:highlight w:val="none"/>
              </w:rPr>
              <w:t>投标人须提供日常的符合标准的该种标签的供应渠道，方便以后标签数量的扩充。</w:t>
            </w:r>
          </w:p>
          <w:p>
            <w:pPr>
              <w:spacing w:line="360" w:lineRule="auto"/>
              <w:ind w:right="100" w:firstLine="420"/>
              <w:jc w:val="both"/>
              <w:rPr>
                <w:rFonts w:ascii="宋体" w:hAnsi="宋体" w:cs="宋体"/>
                <w:color w:val="auto"/>
                <w:sz w:val="21"/>
                <w:szCs w:val="21"/>
                <w:highlight w:val="none"/>
              </w:rPr>
            </w:pPr>
            <w:r>
              <w:rPr>
                <w:rFonts w:hint="eastAsia" w:ascii="宋体" w:hAnsi="宋体" w:cs="宋体"/>
                <w:color w:val="auto"/>
                <w:sz w:val="21"/>
                <w:szCs w:val="21"/>
                <w:highlight w:val="none"/>
              </w:rPr>
              <w:t>24．</w:t>
            </w:r>
            <w:r>
              <w:rPr>
                <w:rFonts w:ascii="宋体" w:hAnsi="宋体" w:cs="宋体"/>
                <w:color w:val="auto"/>
                <w:sz w:val="21"/>
                <w:szCs w:val="21"/>
                <w:highlight w:val="none"/>
              </w:rPr>
              <w:t>投标人应负责在保用期内对因质量问题不能正常使用的RFID标签提供免费更换。</w:t>
            </w:r>
          </w:p>
        </w:tc>
      </w:tr>
    </w:tbl>
    <w:p>
      <w:pPr>
        <w:spacing w:line="360" w:lineRule="auto"/>
        <w:ind w:right="100" w:firstLine="420"/>
        <w:jc w:val="both"/>
        <w:rPr>
          <w:rFonts w:ascii="宋体" w:hAnsi="宋体" w:cs="宋体"/>
          <w:color w:val="auto"/>
          <w:sz w:val="21"/>
          <w:szCs w:val="21"/>
          <w:highlight w:val="none"/>
        </w:rPr>
      </w:pPr>
    </w:p>
    <w:p>
      <w:pPr>
        <w:keepNext w:val="0"/>
        <w:keepLines w:val="0"/>
        <w:pageBreakBefore w:val="0"/>
        <w:widowControl w:val="0"/>
        <w:kinsoku/>
        <w:wordWrap/>
        <w:overflowPunct/>
        <w:topLinePunct w:val="0"/>
        <w:bidi w:val="0"/>
        <w:adjustRightInd w:val="0"/>
        <w:snapToGrid/>
        <w:spacing w:line="360" w:lineRule="auto"/>
        <w:ind w:right="100" w:firstLine="420"/>
        <w:jc w:val="both"/>
        <w:textAlignment w:val="auto"/>
        <w:rPr>
          <w:rFonts w:ascii="宋体" w:hAnsi="宋体" w:cs="宋体"/>
          <w:color w:val="auto"/>
          <w:sz w:val="21"/>
          <w:szCs w:val="21"/>
          <w:highlight w:val="none"/>
        </w:rPr>
      </w:pPr>
      <w:r>
        <w:rPr>
          <w:rFonts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ascii="宋体" w:hAnsi="宋体" w:cs="宋体"/>
          <w:color w:val="auto"/>
          <w:sz w:val="21"/>
          <w:szCs w:val="21"/>
          <w:highlight w:val="none"/>
        </w:rPr>
        <w:t>）为保证加工质量，图书供应商派出的加工人员要求队伍稳定，负责分编等数据加工处理人员固定。如有人员变动，必须提前两个月告知图书馆，新编目员经过图书馆培训并取得认可后方可变动。工作人员应遵守图书馆的规章制度，在图书馆工作期间发生的人身、财产、安全等责任事故由图书供应商承担。</w:t>
      </w:r>
    </w:p>
    <w:p>
      <w:pPr>
        <w:keepNext w:val="0"/>
        <w:keepLines w:val="0"/>
        <w:pageBreakBefore w:val="0"/>
        <w:widowControl w:val="0"/>
        <w:kinsoku/>
        <w:wordWrap/>
        <w:overflowPunct/>
        <w:topLinePunct w:val="0"/>
        <w:bidi w:val="0"/>
        <w:adjustRightInd w:val="0"/>
        <w:snapToGrid/>
        <w:spacing w:line="360" w:lineRule="auto"/>
        <w:ind w:right="100" w:firstLine="420" w:firstLineChars="200"/>
        <w:jc w:val="both"/>
        <w:textAlignment w:val="auto"/>
        <w:rPr>
          <w:rFonts w:ascii="宋体" w:hAnsi="宋体" w:cs="宋体"/>
          <w:color w:val="auto"/>
          <w:sz w:val="21"/>
          <w:szCs w:val="21"/>
          <w:highlight w:val="none"/>
        </w:rPr>
      </w:pPr>
      <w:r>
        <w:rPr>
          <w:rFonts w:hint="eastAsia" w:ascii="宋体" w:hAnsi="宋体" w:cs="宋体"/>
          <w:color w:val="auto"/>
          <w:sz w:val="21"/>
          <w:szCs w:val="21"/>
          <w:highlight w:val="none"/>
        </w:rPr>
        <w:t>10.</w:t>
      </w:r>
      <w:r>
        <w:rPr>
          <w:rFonts w:ascii="宋体" w:hAnsi="宋体" w:cs="宋体"/>
          <w:color w:val="auto"/>
          <w:sz w:val="21"/>
          <w:szCs w:val="21"/>
          <w:highlight w:val="none"/>
        </w:rPr>
        <w:t>其它要求</w:t>
      </w:r>
    </w:p>
    <w:p>
      <w:pPr>
        <w:keepNext w:val="0"/>
        <w:keepLines w:val="0"/>
        <w:pageBreakBefore w:val="0"/>
        <w:widowControl w:val="0"/>
        <w:kinsoku/>
        <w:wordWrap/>
        <w:overflowPunct/>
        <w:topLinePunct w:val="0"/>
        <w:bidi w:val="0"/>
        <w:adjustRightInd w:val="0"/>
        <w:snapToGrid/>
        <w:spacing w:line="360" w:lineRule="auto"/>
        <w:ind w:firstLine="420" w:firstLineChars="200"/>
        <w:textAlignment w:val="auto"/>
        <w:rPr>
          <w:rFonts w:hint="eastAsia" w:ascii="宋体" w:hAnsi="宋体" w:cs="宋体"/>
          <w:b/>
          <w:bCs/>
          <w:color w:val="auto"/>
          <w:sz w:val="21"/>
          <w:szCs w:val="21"/>
          <w:highlight w:val="none"/>
          <w:lang w:eastAsia="zh-CN"/>
        </w:rPr>
      </w:pPr>
      <w:r>
        <w:rPr>
          <w:rFonts w:ascii="宋体" w:hAnsi="宋体" w:cs="宋体"/>
          <w:color w:val="auto"/>
          <w:sz w:val="21"/>
          <w:szCs w:val="21"/>
          <w:highlight w:val="none"/>
        </w:rPr>
        <w:t>本次招标要求各投标人提供明确的折扣和质量保证措施及服务承诺</w:t>
      </w:r>
      <w:r>
        <w:rPr>
          <w:rFonts w:hint="eastAsia" w:ascii="宋体" w:hAnsi="宋体" w:cs="宋体"/>
          <w:b/>
          <w:bCs/>
          <w:color w:val="auto"/>
          <w:sz w:val="21"/>
          <w:szCs w:val="21"/>
          <w:highlight w:val="none"/>
          <w:lang w:eastAsia="zh-CN"/>
        </w:rPr>
        <w:t>。</w:t>
      </w:r>
    </w:p>
    <w:p>
      <w:pPr>
        <w:pStyle w:val="23"/>
        <w:rPr>
          <w:rFonts w:hint="default" w:ascii="宋体" w:hAnsi="宋体" w:cs="宋体"/>
          <w:b/>
          <w:bCs/>
          <w:color w:val="auto"/>
          <w:sz w:val="21"/>
          <w:szCs w:val="21"/>
          <w:highlight w:val="none"/>
          <w:lang w:val="en-US" w:eastAsia="zh-CN"/>
        </w:rPr>
      </w:pPr>
      <w:r>
        <w:rPr>
          <w:rFonts w:hint="eastAsia" w:hAnsi="宋体" w:cs="宋体"/>
          <w:b/>
          <w:bCs/>
          <w:color w:val="auto"/>
          <w:sz w:val="21"/>
          <w:szCs w:val="21"/>
          <w:highlight w:val="none"/>
          <w:lang w:val="en-US" w:eastAsia="zh-CN"/>
        </w:rPr>
        <w:t>商务要求表：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7"/>
        <w:gridCol w:w="7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1627" w:type="dxa"/>
            <w:vAlign w:val="center"/>
          </w:tcPr>
          <w:p>
            <w:pPr>
              <w:pStyle w:val="61"/>
              <w:ind w:left="0" w:leftChars="0" w:firstLine="0" w:firstLineChars="0"/>
              <w:jc w:val="center"/>
              <w:rPr>
                <w:rFonts w:hint="default"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交货时间及地点</w:t>
            </w:r>
          </w:p>
        </w:tc>
        <w:tc>
          <w:tcPr>
            <w:tcW w:w="7659" w:type="dxa"/>
          </w:tcPr>
          <w:p>
            <w:pPr>
              <w:pStyle w:val="61"/>
              <w:ind w:left="0" w:leftChars="0" w:firstLine="0" w:firstLineChars="0"/>
              <w:jc w:val="left"/>
              <w:rPr>
                <w:rFonts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时间：签订合同后60天内完成图书配送、加工、编目、上架等全部工作，交付采购单位验收</w:t>
            </w:r>
          </w:p>
          <w:p>
            <w:pPr>
              <w:pStyle w:val="52"/>
              <w:ind w:left="0" w:leftChars="0" w:firstLine="0" w:firstLineChars="0"/>
              <w:jc w:val="left"/>
              <w:rPr>
                <w:rFonts w:hint="default"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627" w:type="dxa"/>
            <w:vAlign w:val="center"/>
          </w:tcPr>
          <w:p>
            <w:pPr>
              <w:pStyle w:val="61"/>
              <w:ind w:left="0" w:leftChars="0" w:firstLine="0" w:firstLineChars="0"/>
              <w:jc w:val="center"/>
              <w:rPr>
                <w:rFonts w:hint="default"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付款条件</w:t>
            </w:r>
          </w:p>
        </w:tc>
        <w:tc>
          <w:tcPr>
            <w:tcW w:w="7659" w:type="dxa"/>
          </w:tcPr>
          <w:p>
            <w:pPr>
              <w:pStyle w:val="61"/>
              <w:ind w:left="0" w:leftChars="0" w:firstLine="0" w:firstLineChars="0"/>
              <w:rPr>
                <w:rFonts w:hint="default" w:ascii="宋体" w:hAnsi="宋体" w:eastAsia="宋体" w:cs="宋体"/>
                <w:snapToGrid/>
                <w:color w:val="auto"/>
                <w:kern w:val="2"/>
                <w:sz w:val="21"/>
                <w:szCs w:val="21"/>
                <w:highlight w:val="none"/>
                <w:lang w:val="en-US" w:eastAsia="zh-CN" w:bidi="ar-SA"/>
              </w:rPr>
            </w:pPr>
            <w:r>
              <w:rPr>
                <w:rFonts w:hint="default" w:ascii="宋体" w:hAnsi="宋体" w:eastAsia="宋体" w:cs="宋体"/>
                <w:snapToGrid/>
                <w:color w:val="auto"/>
                <w:kern w:val="2"/>
                <w:sz w:val="21"/>
                <w:szCs w:val="21"/>
                <w:highlight w:val="none"/>
                <w:lang w:val="en-US" w:eastAsia="zh-CN" w:bidi="ar-SA"/>
              </w:rPr>
              <w:t>合同生效以及具备实施条件后7个工作日内支付合同金额的</w:t>
            </w:r>
            <w:r>
              <w:rPr>
                <w:rFonts w:hint="eastAsia" w:hAnsi="宋体" w:cs="宋体"/>
                <w:snapToGrid/>
                <w:color w:val="auto"/>
                <w:kern w:val="2"/>
                <w:sz w:val="21"/>
                <w:szCs w:val="21"/>
                <w:highlight w:val="none"/>
                <w:lang w:val="en-US" w:eastAsia="zh-CN" w:bidi="ar-SA"/>
              </w:rPr>
              <w:t>40</w:t>
            </w:r>
            <w:r>
              <w:rPr>
                <w:rFonts w:hint="default" w:ascii="宋体" w:hAnsi="宋体" w:eastAsia="宋体" w:cs="宋体"/>
                <w:snapToGrid/>
                <w:color w:val="auto"/>
                <w:kern w:val="2"/>
                <w:sz w:val="21"/>
                <w:szCs w:val="21"/>
                <w:highlight w:val="none"/>
                <w:lang w:val="en-US" w:eastAsia="zh-CN" w:bidi="ar-SA"/>
              </w:rPr>
              <w:t>%，验收合格且收到发票后7个工作日内支付至合同金额的100%</w:t>
            </w:r>
            <w:r>
              <w:rPr>
                <w:rFonts w:hint="eastAsia" w:hAnsi="宋体" w:cs="宋体"/>
                <w:snapToGrid/>
                <w:color w:val="auto"/>
                <w:kern w:val="2"/>
                <w:sz w:val="21"/>
                <w:szCs w:val="21"/>
                <w:highlight w:val="none"/>
                <w:lang w:val="en-US" w:eastAsia="zh-CN" w:bidi="ar-SA"/>
              </w:rPr>
              <w:t>。</w:t>
            </w:r>
          </w:p>
        </w:tc>
      </w:tr>
    </w:tbl>
    <w:p>
      <w:pPr>
        <w:pStyle w:val="61"/>
        <w:rPr>
          <w:rFonts w:hint="eastAsia"/>
          <w:color w:val="auto"/>
          <w:highlight w:val="none"/>
          <w:lang w:eastAsia="zh-CN"/>
        </w:rPr>
        <w:sectPr>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w:t>
      </w:r>
      <w:bookmarkEnd w:id="11"/>
      <w:r>
        <w:rPr>
          <w:rFonts w:hint="eastAsia" w:ascii="仿宋" w:hAnsi="仿宋" w:eastAsia="仿宋" w:cs="仿宋_GB2312"/>
          <w:b/>
          <w:color w:val="auto"/>
          <w:sz w:val="36"/>
          <w:szCs w:val="20"/>
          <w:highlight w:val="none"/>
          <w:lang w:eastAsia="zh-CN"/>
        </w:rPr>
        <w:t>三章</w:t>
      </w:r>
      <w:r>
        <w:rPr>
          <w:rFonts w:ascii="仿宋" w:hAnsi="仿宋" w:eastAsia="仿宋" w:cs="仿宋_GB2312"/>
          <w:b/>
          <w:color w:val="auto"/>
          <w:sz w:val="36"/>
          <w:szCs w:val="20"/>
          <w:highlight w:val="none"/>
        </w:rPr>
        <w:t xml:space="preserve"> 投标人须知</w:t>
      </w:r>
      <w:bookmarkEnd w:id="12"/>
    </w:p>
    <w:bookmarkEnd w:id="13"/>
    <w:p>
      <w:pPr>
        <w:keepNext w:val="0"/>
        <w:keepLines w:val="0"/>
        <w:pageBreakBefore w:val="0"/>
        <w:widowControl w:val="0"/>
        <w:kinsoku/>
        <w:wordWrap w:val="0"/>
        <w:overflowPunct w:val="0"/>
        <w:topLinePunct w:val="0"/>
        <w:autoSpaceDE w:val="0"/>
        <w:autoSpaceDN w:val="0"/>
        <w:bidi w:val="0"/>
        <w:adjustRightInd/>
        <w:snapToGrid/>
        <w:spacing w:before="313" w:beforeLines="100" w:after="313" w:afterLines="100" w:line="360" w:lineRule="atLeast"/>
        <w:ind w:left="0" w:leftChars="0" w:right="0" w:rightChars="0" w:firstLine="0" w:firstLineChars="0"/>
        <w:jc w:val="center"/>
        <w:textAlignment w:val="auto"/>
        <w:outlineLvl w:val="9"/>
        <w:rPr>
          <w:rFonts w:hint="eastAsia" w:ascii="宋体" w:hAnsi="宋体" w:eastAsia="宋体" w:cs="宋体"/>
          <w:b/>
          <w:bCs/>
          <w:color w:val="auto"/>
          <w:sz w:val="28"/>
          <w:szCs w:val="28"/>
          <w:highlight w:val="none"/>
        </w:rPr>
      </w:pPr>
      <w:bookmarkStart w:id="14" w:name="_Toc91899903"/>
      <w:bookmarkStart w:id="15" w:name="_Toc164416483"/>
      <w:bookmarkStart w:id="16" w:name="第三部分"/>
      <w:r>
        <w:rPr>
          <w:rFonts w:hint="eastAsia" w:ascii="宋体" w:hAnsi="宋体" w:eastAsia="宋体" w:cs="宋体"/>
          <w:b/>
          <w:bCs/>
          <w:color w:val="auto"/>
          <w:sz w:val="28"/>
          <w:szCs w:val="28"/>
          <w:highlight w:val="none"/>
        </w:rPr>
        <w:t>电子交易注意事项</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240" w:firstLineChars="100"/>
        <w:jc w:val="left"/>
        <w:textAlignment w:val="auto"/>
        <w:outlineLvl w:val="9"/>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政府采购项目电子交易活动适用《浙江省政府采购项目电子交易管理暂行办法》，现将相关注意事项告知如下：</w:t>
      </w:r>
    </w:p>
    <w:p>
      <w:pPr>
        <w:keepNext w:val="0"/>
        <w:keepLines w:val="0"/>
        <w:pageBreakBefore w:val="0"/>
        <w:widowControl w:val="0"/>
        <w:kinsoku/>
        <w:wordWrap w:val="0"/>
        <w:overflowPunct w:val="0"/>
        <w:topLinePunct w:val="0"/>
        <w:autoSpaceDE w:val="0"/>
        <w:autoSpaceDN w:val="0"/>
        <w:bidi w:val="0"/>
        <w:adjustRightInd/>
        <w:snapToGrid/>
        <w:spacing w:line="400" w:lineRule="exact"/>
        <w:ind w:left="0" w:leftChars="0" w:right="0" w:rightChars="0" w:firstLine="240" w:firstLineChars="1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按照招标文件规定的时间通过电子交易平台组织开标、开启投标文件，所有供应商均应当准时在线参加，直至评审结束。</w:t>
      </w:r>
    </w:p>
    <w:p>
      <w:pPr>
        <w:pStyle w:val="58"/>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240" w:firstLineChars="10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.采购过程中出现以下情形，导致电子交易平台无法正常运行，或者无法保证电子交易的公平、公正和安全时，</w:t>
      </w:r>
      <w:r>
        <w:rPr>
          <w:rFonts w:hint="eastAsia" w:cs="宋体"/>
          <w:color w:val="auto"/>
          <w:kern w:val="2"/>
          <w:sz w:val="24"/>
          <w:szCs w:val="24"/>
          <w:highlight w:val="none"/>
          <w:lang w:eastAsia="zh-CN"/>
        </w:rPr>
        <w:t>采购代理机构</w:t>
      </w:r>
      <w:r>
        <w:rPr>
          <w:rFonts w:hint="eastAsia" w:ascii="宋体" w:hAnsi="宋体" w:eastAsia="宋体" w:cs="宋体"/>
          <w:color w:val="auto"/>
          <w:kern w:val="2"/>
          <w:sz w:val="24"/>
          <w:szCs w:val="24"/>
          <w:highlight w:val="none"/>
        </w:rPr>
        <w:t>可中止电子交易活动：</w:t>
      </w:r>
    </w:p>
    <w:p>
      <w:pPr>
        <w:pStyle w:val="58"/>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（一）电子交易平台发生故障而无法登录访问的； </w:t>
      </w:r>
    </w:p>
    <w:p>
      <w:pPr>
        <w:pStyle w:val="58"/>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（二）电子交易平台应用或数据库出现错误，不能进行正常操作的；</w:t>
      </w:r>
    </w:p>
    <w:p>
      <w:pPr>
        <w:pStyle w:val="58"/>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（三）电子交易平台发现严重安全漏洞，有潜在泄密危险的；</w:t>
      </w:r>
    </w:p>
    <w:p>
      <w:pPr>
        <w:pStyle w:val="58"/>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（四）病毒发作导致不能进行正常操作的； </w:t>
      </w:r>
    </w:p>
    <w:p>
      <w:pPr>
        <w:pStyle w:val="58"/>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645"/>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（五）其他无法保证电子交易的公平、公正和安全的情况。</w:t>
      </w:r>
    </w:p>
    <w:p>
      <w:pPr>
        <w:pStyle w:val="58"/>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出现前款规定情形，不影响采购公平、公正性的，</w:t>
      </w:r>
      <w:r>
        <w:rPr>
          <w:rFonts w:hint="eastAsia" w:cs="宋体"/>
          <w:color w:val="auto"/>
          <w:kern w:val="2"/>
          <w:sz w:val="24"/>
          <w:szCs w:val="24"/>
          <w:highlight w:val="none"/>
          <w:lang w:eastAsia="zh-CN"/>
        </w:rPr>
        <w:t>采购代理机构</w:t>
      </w:r>
      <w:r>
        <w:rPr>
          <w:rFonts w:hint="eastAsia" w:ascii="宋体" w:hAnsi="宋体" w:eastAsia="宋体" w:cs="宋体"/>
          <w:color w:val="auto"/>
          <w:kern w:val="2"/>
          <w:sz w:val="24"/>
          <w:szCs w:val="24"/>
          <w:highlight w:val="none"/>
        </w:rPr>
        <w:t>可以待上述情形消除后继续组织电子交易活动，也可以决定某些环节以纸质形式进行；影响或可能影响采购公平、公正性的，应当重新采购。</w:t>
      </w:r>
    </w:p>
    <w:p>
      <w:pPr>
        <w:pStyle w:val="58"/>
        <w:keepNext w:val="0"/>
        <w:keepLines w:val="0"/>
        <w:pageBreakBefore w:val="0"/>
        <w:widowControl w:val="0"/>
        <w:kinsoku/>
        <w:wordWrap w:val="0"/>
        <w:overflowPunct w:val="0"/>
        <w:topLinePunct w:val="0"/>
        <w:autoSpaceDE w:val="0"/>
        <w:autoSpaceDN w:val="0"/>
        <w:bidi w:val="0"/>
        <w:adjustRightInd/>
        <w:snapToGrid/>
        <w:spacing w:before="0" w:beforeAutospacing="0" w:after="0" w:afterAutospacing="0" w:line="400" w:lineRule="exact"/>
        <w:ind w:left="0" w:leftChars="0" w:right="0" w:rightChars="0" w:firstLine="480"/>
        <w:textAlignment w:val="auto"/>
        <w:outlineLvl w:val="9"/>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61"/>
        <w:keepNext w:val="0"/>
        <w:keepLines w:val="0"/>
        <w:pageBreakBefore w:val="0"/>
        <w:widowControl w:val="0"/>
        <w:kinsoku/>
        <w:wordWrap w:val="0"/>
        <w:overflowPunct w:val="0"/>
        <w:topLinePunct w:val="0"/>
        <w:autoSpaceDE w:val="0"/>
        <w:autoSpaceDN w:val="0"/>
        <w:bidi w:val="0"/>
        <w:adjustRightInd/>
        <w:snapToGrid/>
        <w:spacing w:after="0" w:line="400" w:lineRule="exact"/>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r>
        <w:rPr>
          <w:rFonts w:hint="eastAsia" w:ascii="宋体" w:hAnsi="宋体" w:eastAsia="宋体" w:cs="宋体"/>
          <w:color w:val="auto"/>
          <w:kern w:val="0"/>
          <w:sz w:val="24"/>
          <w:szCs w:val="24"/>
          <w:highlight w:val="none"/>
          <w:shd w:val="clear" w:color="auto" w:fill="FFFFFF"/>
          <w:lang w:val="en-US" w:eastAsia="zh-CN"/>
        </w:rPr>
        <w:t>4</w:t>
      </w:r>
      <w:r>
        <w:rPr>
          <w:rFonts w:hint="eastAsia" w:ascii="宋体" w:hAnsi="宋体" w:eastAsia="宋体" w:cs="宋体"/>
          <w:color w:val="auto"/>
          <w:kern w:val="0"/>
          <w:sz w:val="24"/>
          <w:szCs w:val="24"/>
          <w:highlight w:val="none"/>
          <w:shd w:val="clear" w:color="auto" w:fill="FFFFFF"/>
        </w:rPr>
        <w:t>.供应商须在采购代理机构宣布评审结束、产生中标候选人</w:t>
      </w:r>
      <w:r>
        <w:rPr>
          <w:rFonts w:hint="eastAsia" w:ascii="宋体" w:hAnsi="宋体" w:eastAsia="宋体" w:cs="宋体"/>
          <w:color w:val="auto"/>
          <w:kern w:val="0"/>
          <w:sz w:val="24"/>
          <w:szCs w:val="24"/>
          <w:highlight w:val="none"/>
          <w:shd w:val="clear" w:color="auto" w:fill="FFFFFF"/>
          <w:lang w:eastAsia="zh-CN"/>
        </w:rPr>
        <w:t>前</w:t>
      </w:r>
      <w:r>
        <w:rPr>
          <w:rFonts w:hint="eastAsia" w:ascii="宋体" w:hAnsi="宋体" w:eastAsia="宋体" w:cs="宋体"/>
          <w:color w:val="auto"/>
          <w:kern w:val="0"/>
          <w:sz w:val="24"/>
          <w:szCs w:val="24"/>
          <w:highlight w:val="none"/>
          <w:shd w:val="clear" w:color="auto" w:fill="FFFFFF"/>
        </w:rPr>
        <w:t>时刻关注，配合专家组工作，如有询标（澄清、质疑），在约定时间内（具体时间以询标函上规定的时间为准备）通过</w:t>
      </w:r>
      <w:r>
        <w:rPr>
          <w:rFonts w:hint="eastAsia" w:ascii="宋体" w:hAnsi="宋体" w:eastAsia="宋体" w:cs="宋体"/>
          <w:color w:val="auto"/>
          <w:kern w:val="0"/>
          <w:sz w:val="24"/>
          <w:szCs w:val="24"/>
          <w:highlight w:val="none"/>
          <w:shd w:val="clear" w:color="auto" w:fill="FFFFFF"/>
          <w:lang w:val="en-US" w:eastAsia="zh-CN"/>
        </w:rPr>
        <w:t>CA</w:t>
      </w:r>
      <w:r>
        <w:rPr>
          <w:rFonts w:hint="eastAsia" w:ascii="宋体" w:hAnsi="宋体" w:eastAsia="宋体" w:cs="宋体"/>
          <w:color w:val="auto"/>
          <w:kern w:val="0"/>
          <w:sz w:val="24"/>
          <w:szCs w:val="24"/>
          <w:highlight w:val="none"/>
          <w:shd w:val="clear" w:color="auto" w:fill="FFFFFF"/>
        </w:rPr>
        <w:t>进行回复。未按要求回复的，视为放弃澄清。</w:t>
      </w:r>
      <w:r>
        <w:rPr>
          <w:rFonts w:hint="eastAsia" w:ascii="宋体" w:hAnsi="宋体" w:eastAsia="宋体" w:cs="宋体"/>
          <w:color w:val="auto"/>
          <w:kern w:val="0"/>
          <w:sz w:val="24"/>
          <w:highlight w:val="none"/>
          <w:shd w:val="clear" w:color="auto" w:fill="FFFFFF"/>
        </w:rPr>
        <w:br w:type="textWrapping"/>
      </w:r>
    </w:p>
    <w:p>
      <w:pPr>
        <w:pStyle w:val="61"/>
        <w:keepNext w:val="0"/>
        <w:keepLines w:val="0"/>
        <w:pageBreakBefore w:val="0"/>
        <w:widowControl w:val="0"/>
        <w:kinsoku/>
        <w:wordWrap w:val="0"/>
        <w:overflowPunct w:val="0"/>
        <w:topLinePunct w:val="0"/>
        <w:autoSpaceDE w:val="0"/>
        <w:autoSpaceDN w:val="0"/>
        <w:bidi w:val="0"/>
        <w:adjustRightInd/>
        <w:spacing w:before="24" w:beforeLines="10" w:after="0" w:line="360" w:lineRule="auto"/>
        <w:ind w:left="0" w:leftChars="0" w:right="0" w:rightChars="0" w:firstLine="487" w:firstLineChars="0"/>
        <w:textAlignment w:val="auto"/>
        <w:outlineLvl w:val="9"/>
        <w:rPr>
          <w:rFonts w:hint="eastAsia" w:ascii="宋体" w:hAnsi="宋体" w:eastAsia="宋体" w:cs="宋体"/>
          <w:color w:val="auto"/>
          <w:kern w:val="0"/>
          <w:sz w:val="24"/>
          <w:highlight w:val="none"/>
          <w:shd w:val="clear" w:color="auto" w:fill="FFFFFF"/>
        </w:rPr>
      </w:pPr>
    </w:p>
    <w:p>
      <w:pPr>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jc w:val="center"/>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前附表</w:t>
      </w:r>
    </w:p>
    <w:tbl>
      <w:tblPr>
        <w:tblStyle w:val="63"/>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399" w:type="dxa"/>
            <w:tcBorders>
              <w:top w:val="single" w:color="auto" w:sz="4" w:space="0"/>
              <w:left w:val="nil"/>
              <w:bottom w:val="single" w:color="auto" w:sz="4" w:space="0"/>
              <w:right w:val="single" w:color="auto" w:sz="4" w:space="0"/>
            </w:tcBorders>
            <w:noWrap w:val="0"/>
            <w:vAlign w:val="center"/>
          </w:tcPr>
          <w:p>
            <w:pPr>
              <w:pStyle w:val="33"/>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项目名称：</w:t>
            </w:r>
            <w:r>
              <w:rPr>
                <w:rFonts w:hint="eastAsia" w:hAnsi="宋体" w:cs="宋体"/>
                <w:color w:val="auto"/>
                <w:sz w:val="24"/>
                <w:szCs w:val="24"/>
                <w:highlight w:val="none"/>
                <w:lang w:eastAsia="zh-CN"/>
              </w:rPr>
              <w:t>嘉善县图书馆第二次普通图书采购项目</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内容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详见第二章</w:t>
            </w:r>
            <w:r>
              <w:rPr>
                <w:rFonts w:hint="eastAsia" w:ascii="宋体" w:hAnsi="宋体" w:eastAsia="宋体" w:cs="宋体"/>
                <w:color w:val="auto"/>
                <w:sz w:val="24"/>
                <w:szCs w:val="24"/>
                <w:highlight w:val="none"/>
              </w:rPr>
              <w:t>。</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399" w:type="dxa"/>
            <w:tcBorders>
              <w:top w:val="single" w:color="auto" w:sz="4" w:space="0"/>
              <w:left w:val="nil"/>
              <w:bottom w:val="single" w:color="auto" w:sz="4" w:space="0"/>
              <w:right w:val="single" w:color="auto" w:sz="4" w:space="0"/>
            </w:tcBorders>
            <w:noWrap w:val="0"/>
            <w:vAlign w:val="center"/>
          </w:tcPr>
          <w:p>
            <w:pPr>
              <w:pStyle w:val="58"/>
              <w:keepNext w:val="0"/>
              <w:keepLines w:val="0"/>
              <w:pageBreakBefore w:val="0"/>
              <w:widowControl w:val="0"/>
              <w:kinsoku/>
              <w:overflowPunct w:val="0"/>
              <w:topLinePunct/>
              <w:autoSpaceDE w:val="0"/>
              <w:autoSpaceDN w:val="0"/>
              <w:bidi w:val="0"/>
              <w:spacing w:before="32" w:beforeLines="10" w:beforeAutospacing="0" w:after="32" w:afterLines="10" w:afterAutospacing="0" w:line="400" w:lineRule="exact"/>
              <w:ind w:left="0" w:leftChars="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项目预算：</w:t>
            </w:r>
            <w:r>
              <w:rPr>
                <w:rFonts w:hint="eastAsia" w:ascii="仿宋_GB2312" w:hAnsi="仿宋" w:eastAsia="仿宋_GB2312"/>
                <w:b w:val="0"/>
                <w:bCs/>
                <w:color w:val="auto"/>
                <w:sz w:val="24"/>
                <w:highlight w:val="none"/>
                <w:lang w:val="en-US" w:eastAsia="zh-CN"/>
              </w:rPr>
              <w:t>36</w:t>
            </w:r>
            <w:r>
              <w:rPr>
                <w:rFonts w:hint="eastAsia" w:ascii="仿宋_GB2312" w:hAnsi="仿宋" w:eastAsia="仿宋_GB2312"/>
                <w:b w:val="0"/>
                <w:bCs/>
                <w:color w:val="auto"/>
                <w:sz w:val="24"/>
                <w:highlight w:val="none"/>
              </w:rPr>
              <w:t>.</w:t>
            </w:r>
            <w:r>
              <w:rPr>
                <w:rFonts w:hint="eastAsia" w:ascii="仿宋_GB2312" w:hAnsi="仿宋" w:eastAsia="仿宋_GB2312"/>
                <w:b w:val="0"/>
                <w:bCs/>
                <w:color w:val="auto"/>
                <w:sz w:val="24"/>
                <w:highlight w:val="none"/>
                <w:lang w:val="en-US" w:eastAsia="zh-CN"/>
              </w:rPr>
              <w:t>00</w:t>
            </w:r>
            <w:r>
              <w:rPr>
                <w:rFonts w:hint="eastAsia" w:ascii="仿宋_GB2312" w:hAnsi="仿宋" w:eastAsia="仿宋_GB2312"/>
                <w:b w:val="0"/>
                <w:bCs/>
                <w:color w:val="auto"/>
                <w:sz w:val="24"/>
                <w:highlight w:val="none"/>
              </w:rPr>
              <w:t>万元</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最高限价</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eastAsia="zh-CN"/>
              </w:rPr>
              <w:t>不高于图书码洋的71%（即图书码洋的7.1折），图书(含RFID)加工费不高于每册2.70元</w:t>
            </w:r>
            <w:r>
              <w:rPr>
                <w:rFonts w:hint="eastAsia" w:ascii="宋体" w:hAnsi="宋体" w:cs="宋体"/>
                <w:color w:val="auto"/>
                <w:sz w:val="24"/>
                <w:szCs w:val="24"/>
                <w:highlight w:val="none"/>
                <w:lang w:eastAsia="zh-CN"/>
              </w:rPr>
              <w:t>。</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投标报价及费用：</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1.本项目投标应以人民币报价；</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w:t>
            </w:r>
            <w:r>
              <w:rPr>
                <w:rFonts w:hint="eastAsia" w:ascii="宋体" w:hAnsi="宋体" w:eastAsia="宋体" w:cs="宋体"/>
                <w:color w:val="auto"/>
                <w:sz w:val="24"/>
                <w:szCs w:val="24"/>
                <w:highlight w:val="none"/>
                <w:lang w:eastAsia="zh-CN"/>
              </w:rPr>
              <w:t>https://zfcg.czt.zj.gov.cn/</w:t>
            </w:r>
            <w:r>
              <w:rPr>
                <w:rFonts w:hint="eastAsia" w:ascii="宋体" w:hAnsi="宋体" w:eastAsia="宋体" w:cs="宋体"/>
                <w:color w:val="auto"/>
                <w:sz w:val="24"/>
                <w:szCs w:val="24"/>
                <w:highlight w:val="none"/>
              </w:rPr>
              <w:t>)上发布更正公告，请投标人在投标截止前及时关注。招标文件的要澄清、答复、修改或补充，一经在上述媒体发布，即视所有投标人都已经收到相关文件。</w:t>
            </w:r>
          </w:p>
        </w:tc>
      </w:tr>
      <w:tr>
        <w:trPr>
          <w:trHeight w:val="586"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采购公告发布后，在政采云平台已完成注册的供应商</w:t>
            </w:r>
            <w:r>
              <w:rPr>
                <w:rFonts w:hint="eastAsia" w:ascii="宋体" w:hAnsi="宋体" w:eastAsia="宋体" w:cs="宋体"/>
                <w:bCs/>
                <w:color w:val="auto"/>
                <w:sz w:val="24"/>
                <w:szCs w:val="24"/>
                <w:highlight w:val="none"/>
                <w:lang w:eastAsia="zh-CN"/>
              </w:rPr>
              <w:t>登录</w:t>
            </w:r>
            <w:r>
              <w:rPr>
                <w:rFonts w:hint="eastAsia" w:ascii="宋体" w:hAnsi="宋体" w:eastAsia="宋体" w:cs="宋体"/>
                <w:bCs/>
                <w:color w:val="auto"/>
                <w:sz w:val="24"/>
                <w:szCs w:val="24"/>
                <w:highlight w:val="none"/>
              </w:rPr>
              <w:t>系统，申请获取采购文件，待审核通过后，可下载采购文件。如果“已申请”标签页显示状态为“审核通过”即为报名成功。</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路径：用户中心——项目采购——获取采购文件管理。</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在“已获取”的状态下，供应商可下载查看招标文件。</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获取采购文件网址：浙江政府采购网</w:t>
            </w:r>
            <w:r>
              <w:rPr>
                <w:rFonts w:hint="eastAsia" w:ascii="宋体" w:hAnsi="宋体" w:eastAsia="宋体" w:cs="宋体"/>
                <w:bCs/>
                <w:color w:val="auto"/>
                <w:sz w:val="24"/>
                <w:szCs w:val="24"/>
                <w:highlight w:val="none"/>
                <w:lang w:eastAsia="zh-CN"/>
              </w:rPr>
              <w:t>（https://zfcg.czt.zj.gov.cn/）</w:t>
            </w:r>
          </w:p>
        </w:tc>
      </w:tr>
      <w:tr>
        <w:trPr>
          <w:trHeight w:val="204"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投标文件形式、制作及组成：</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投标人应准备电子加密投标文件，按政采云平台供应商项目采购-电子招投标操作指南（网址：https://service.zcygov.cn/#/knowledges/CW1EtGwBFdiHxlNd6I3m/6IMVAG0BFdiHxlNdQ8Na?keyword）及本招标文件要求递交。</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投标文件均由资格文件、商务技术文件、报价文件组成。</w:t>
            </w:r>
          </w:p>
        </w:tc>
      </w:tr>
      <w:tr>
        <w:trPr>
          <w:trHeight w:val="346"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投标截止时间：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lang w:eastAsia="zh-CN"/>
              </w:rPr>
              <w:t>点30分</w:t>
            </w:r>
            <w:r>
              <w:rPr>
                <w:rFonts w:hint="eastAsia" w:ascii="仿宋_GB2312" w:hAnsi="仿宋" w:eastAsia="仿宋_GB2312"/>
                <w:bCs/>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投标地点：政采云平台（https://www.zcygov.cn/）</w:t>
            </w:r>
          </w:p>
        </w:tc>
      </w:tr>
      <w:tr>
        <w:trPr>
          <w:trHeight w:val="313"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电子加密投标文件的传输递交：</w:t>
            </w:r>
            <w:r>
              <w:rPr>
                <w:rFonts w:hint="eastAsia" w:ascii="宋体" w:hAnsi="宋体" w:eastAsia="宋体" w:cs="宋体"/>
                <w:color w:val="auto"/>
                <w:kern w:val="0"/>
                <w:sz w:val="24"/>
                <w:szCs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rPr>
          <w:trHeight w:val="598"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开标时间：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11</w:t>
            </w:r>
            <w:r>
              <w:rPr>
                <w:rFonts w:hint="eastAsia" w:ascii="仿宋_GB2312" w:hAnsi="仿宋" w:eastAsia="仿宋_GB2312"/>
                <w:color w:val="auto"/>
                <w:sz w:val="24"/>
                <w:highlight w:val="none"/>
                <w:u w:val="single"/>
                <w:lang w:eastAsia="zh-CN"/>
              </w:rPr>
              <w:t>月</w:t>
            </w:r>
            <w:r>
              <w:rPr>
                <w:rFonts w:hint="eastAsia" w:ascii="仿宋_GB2312" w:hAnsi="仿宋" w:eastAsia="仿宋_GB2312"/>
                <w:color w:val="auto"/>
                <w:sz w:val="24"/>
                <w:highlight w:val="none"/>
                <w:u w:val="single"/>
                <w:lang w:val="en-US" w:eastAsia="zh-CN"/>
              </w:rPr>
              <w:t>23</w:t>
            </w:r>
            <w:r>
              <w:rPr>
                <w:rFonts w:hint="eastAsia" w:ascii="仿宋_GB2312" w:hAnsi="仿宋" w:eastAsia="仿宋_GB2312"/>
                <w:color w:val="auto"/>
                <w:sz w:val="24"/>
                <w:highlight w:val="none"/>
                <w:u w:val="single"/>
                <w:lang w:eastAsia="zh-CN"/>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lang w:eastAsia="zh-CN"/>
              </w:rPr>
              <w:t>点30分</w:t>
            </w:r>
            <w:r>
              <w:rPr>
                <w:rFonts w:hint="eastAsia" w:ascii="仿宋_GB2312" w:hAnsi="仿宋" w:eastAsia="仿宋_GB2312"/>
                <w:bCs/>
                <w:color w:val="auto"/>
                <w:sz w:val="24"/>
                <w:highlight w:val="none"/>
                <w:u w:val="single"/>
              </w:rPr>
              <w:t xml:space="preserve"> </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开标地点：政采云平台（https://www.zcygov.cn/）</w:t>
            </w:r>
          </w:p>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 xml:space="preserve">    </w:t>
            </w:r>
            <w:r>
              <w:rPr>
                <w:rFonts w:hint="eastAsia" w:ascii="宋体" w:hAnsi="宋体" w:eastAsia="宋体" w:cs="宋体"/>
                <w:b/>
                <w:bCs/>
                <w:color w:val="auto"/>
                <w:sz w:val="24"/>
                <w:szCs w:val="24"/>
                <w:highlight w:val="none"/>
                <w:shd w:val="clear" w:color="auto" w:fill="FFFFFF"/>
                <w:lang w:eastAsia="zh-CN"/>
              </w:rPr>
              <w:t>供应商无需到</w:t>
            </w:r>
            <w:r>
              <w:rPr>
                <w:rFonts w:hint="eastAsia" w:ascii="宋体" w:hAnsi="宋体" w:eastAsia="宋体" w:cs="宋体"/>
                <w:b/>
                <w:bCs/>
                <w:color w:val="auto"/>
                <w:sz w:val="24"/>
                <w:szCs w:val="24"/>
                <w:highlight w:val="none"/>
                <w:shd w:val="clear" w:color="auto" w:fill="FFFFFF"/>
              </w:rPr>
              <w:t>开标现场，</w:t>
            </w:r>
            <w:r>
              <w:rPr>
                <w:rFonts w:hint="eastAsia" w:ascii="宋体" w:hAnsi="宋体" w:eastAsia="宋体" w:cs="宋体"/>
                <w:b/>
                <w:bCs/>
                <w:color w:val="auto"/>
                <w:sz w:val="24"/>
                <w:szCs w:val="24"/>
                <w:highlight w:val="none"/>
                <w:shd w:val="clear" w:color="auto" w:fill="FFFFFF"/>
                <w:lang w:eastAsia="zh-CN"/>
              </w:rPr>
              <w:t>但</w:t>
            </w:r>
            <w:r>
              <w:rPr>
                <w:rFonts w:hint="eastAsia" w:ascii="宋体" w:hAnsi="宋体" w:eastAsia="宋体" w:cs="宋体"/>
                <w:b/>
                <w:bCs/>
                <w:color w:val="auto"/>
                <w:sz w:val="24"/>
                <w:szCs w:val="24"/>
                <w:highlight w:val="none"/>
                <w:shd w:val="clear" w:color="auto" w:fill="FFFFFF"/>
              </w:rPr>
              <w:t>须准时在线参加，直至评审结束。</w:t>
            </w:r>
          </w:p>
        </w:tc>
      </w:tr>
      <w:tr>
        <w:trPr>
          <w:trHeight w:val="35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评标办法及评分标准：详见第四章。</w:t>
            </w:r>
          </w:p>
        </w:tc>
      </w:tr>
      <w:tr>
        <w:trPr>
          <w:trHeight w:val="9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13</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中标公告及中标通知书：中标、成交供应商确定之日起2个工作日内，中标公告发布于浙江省政府采购网(</w:t>
            </w:r>
            <w:r>
              <w:rPr>
                <w:rFonts w:hint="eastAsia" w:ascii="宋体" w:hAnsi="宋体" w:eastAsia="宋体" w:cs="宋体"/>
                <w:color w:val="auto"/>
                <w:sz w:val="24"/>
                <w:szCs w:val="24"/>
                <w:highlight w:val="none"/>
                <w:lang w:eastAsia="zh-CN"/>
              </w:rPr>
              <w:t>http://zfcg.czt.zj.gov.cn/</w:t>
            </w:r>
            <w:r>
              <w:rPr>
                <w:rFonts w:hint="eastAsia" w:ascii="宋体" w:hAnsi="宋体" w:eastAsia="宋体" w:cs="宋体"/>
                <w:color w:val="auto"/>
                <w:sz w:val="24"/>
                <w:szCs w:val="24"/>
                <w:highlight w:val="none"/>
              </w:rPr>
              <w:t>)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提出质疑。质疑供应商对采购人、</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的答复不满意或者采购人、</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未在规定的时间内作出答复的，可以再答复期满后十五个工作日内向同级政府采购监督管理部门投诉。质疑函范本、投诉书范本请到浙江政府采购网下载专区下载。</w:t>
            </w:r>
          </w:p>
        </w:tc>
      </w:tr>
      <w:tr>
        <w:trPr>
          <w:trHeight w:val="7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4</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textAlignment w:val="bottom"/>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履约保证金</w:t>
            </w:r>
            <w:r>
              <w:rPr>
                <w:rFonts w:hint="eastAsia" w:ascii="宋体" w:hAnsi="宋体" w:eastAsia="宋体" w:cs="宋体"/>
                <w:color w:val="auto"/>
                <w:sz w:val="24"/>
                <w:szCs w:val="24"/>
                <w:highlight w:val="none"/>
                <w:lang w:val="en-US" w:eastAsia="zh-CN"/>
              </w:rPr>
              <w:t>:签订合同前中标人应向采购人交纳合同金额</w:t>
            </w:r>
            <w:r>
              <w:rPr>
                <w:rFonts w:hint="eastAsia" w:ascii="宋体" w:hAnsi="宋体" w:eastAsia="宋体" w:cs="宋体"/>
                <w:color w:val="auto"/>
                <w:sz w:val="24"/>
                <w:szCs w:val="24"/>
                <w:highlight w:val="none"/>
                <w:lang w:val="en-US" w:eastAsia="zh-CN"/>
              </w:rPr>
              <w:t>的</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作</w:t>
            </w:r>
            <w:r>
              <w:rPr>
                <w:rFonts w:hint="eastAsia" w:ascii="宋体" w:hAnsi="宋体" w:eastAsia="宋体" w:cs="宋体"/>
                <w:color w:val="auto"/>
                <w:sz w:val="24"/>
                <w:szCs w:val="24"/>
                <w:highlight w:val="none"/>
                <w:lang w:val="en-US" w:eastAsia="zh-CN"/>
              </w:rPr>
              <w:t>为履约保证金，履约保证金在合同履行完毕后一个月内无息退还</w:t>
            </w:r>
            <w:r>
              <w:rPr>
                <w:rFonts w:hint="eastAsia" w:ascii="宋体" w:hAnsi="宋体" w:eastAsia="宋体" w:cs="宋体"/>
                <w:color w:val="auto"/>
                <w:sz w:val="24"/>
                <w:szCs w:val="24"/>
                <w:highlight w:val="none"/>
              </w:rPr>
              <w:t>。</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6</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投标文件有效期：</w:t>
            </w:r>
            <w:r>
              <w:rPr>
                <w:rFonts w:hint="eastAsia" w:ascii="宋体" w:hAnsi="宋体" w:eastAsia="宋体" w:cs="宋体"/>
                <w:color w:val="auto"/>
                <w:sz w:val="24"/>
                <w:szCs w:val="24"/>
                <w:highlight w:val="none"/>
                <w:u w:val="single"/>
              </w:rPr>
              <w:t xml:space="preserve"> 90 </w:t>
            </w:r>
            <w:r>
              <w:rPr>
                <w:rFonts w:hint="eastAsia" w:ascii="宋体" w:hAnsi="宋体" w:eastAsia="宋体" w:cs="宋体"/>
                <w:color w:val="auto"/>
                <w:sz w:val="24"/>
                <w:szCs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8399" w:type="dxa"/>
            <w:tcBorders>
              <w:top w:val="single" w:color="auto" w:sz="4" w:space="0"/>
              <w:left w:val="nil"/>
              <w:bottom w:val="single" w:color="auto" w:sz="4" w:space="0"/>
              <w:right w:val="single" w:color="auto" w:sz="4" w:space="0"/>
            </w:tcBorders>
            <w:noWrap w:val="0"/>
            <w:vAlign w:val="center"/>
          </w:tcPr>
          <w:p>
            <w:pPr>
              <w:pStyle w:val="33"/>
              <w:keepNext w:val="0"/>
              <w:keepLines w:val="0"/>
              <w:pageBreakBefore w:val="0"/>
              <w:widowControl w:val="0"/>
              <w:kinsoku/>
              <w:wordWrap w:val="0"/>
              <w:overflowPunct w:val="0"/>
              <w:topLinePunct w:val="0"/>
              <w:autoSpaceDE w:val="0"/>
              <w:autoSpaceDN w:val="0"/>
              <w:bidi w:val="0"/>
              <w:snapToGrid w:val="0"/>
              <w:spacing w:before="32" w:beforeLines="10" w:after="32" w:afterLines="10" w:line="400" w:lineRule="exact"/>
              <w:ind w:left="0" w:leftChars="0" w:right="0" w:rightChars="0" w:firstLine="0" w:firstLineChars="0"/>
              <w:jc w:val="both"/>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center"/>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83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val="0"/>
              <w:overflowPunct w:val="0"/>
              <w:topLinePunct w:val="0"/>
              <w:autoSpaceDE w:val="0"/>
              <w:autoSpaceDN w:val="0"/>
              <w:bidi w:val="0"/>
              <w:adjustRightInd/>
              <w:snapToGrid w:val="0"/>
              <w:spacing w:before="32" w:beforeLines="10" w:after="32" w:afterLines="10" w:line="4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解释：本招标文件的解释权属于采购单位</w:t>
            </w:r>
            <w:r>
              <w:rPr>
                <w:rFonts w:hint="eastAsia" w:ascii="宋体" w:hAnsi="宋体" w:eastAsia="宋体" w:cs="宋体"/>
                <w:color w:val="auto"/>
                <w:sz w:val="24"/>
                <w:szCs w:val="24"/>
                <w:highlight w:val="none"/>
                <w:lang w:val="en-US" w:eastAsia="zh-CN"/>
              </w:rPr>
              <w:t>和嘉兴市银建工程咨询评估有限公司</w:t>
            </w:r>
            <w:r>
              <w:rPr>
                <w:rFonts w:hint="eastAsia" w:ascii="宋体" w:hAnsi="宋体" w:eastAsia="宋体" w:cs="宋体"/>
                <w:color w:val="auto"/>
                <w:sz w:val="24"/>
                <w:szCs w:val="24"/>
                <w:highlight w:val="none"/>
              </w:rPr>
              <w:t>。</w:t>
            </w:r>
          </w:p>
        </w:tc>
      </w:tr>
    </w:tbl>
    <w:p>
      <w:pPr>
        <w:pStyle w:val="33"/>
        <w:keepNext w:val="0"/>
        <w:keepLines w:val="0"/>
        <w:pageBreakBefore w:val="0"/>
        <w:widowControl w:val="0"/>
        <w:numPr>
          <w:ilvl w:val="0"/>
          <w:numId w:val="0"/>
        </w:numPr>
        <w:kinsoku/>
        <w:wordWrap w:val="0"/>
        <w:overflowPunct w:val="0"/>
        <w:topLinePunct w:val="0"/>
        <w:autoSpaceDE w:val="0"/>
        <w:autoSpaceDN w:val="0"/>
        <w:bidi w:val="0"/>
        <w:snapToGrid w:val="0"/>
        <w:spacing w:before="0" w:beforeLines="0" w:after="0" w:afterLines="0" w:line="400" w:lineRule="exact"/>
        <w:ind w:right="0" w:rightChars="0"/>
        <w:textAlignment w:val="auto"/>
        <w:outlineLvl w:val="0"/>
        <w:rPr>
          <w:rFonts w:hint="eastAsia" w:ascii="宋体" w:hAnsi="宋体" w:eastAsia="宋体" w:cs="宋体"/>
          <w:b/>
          <w:color w:val="auto"/>
          <w:sz w:val="24"/>
          <w:szCs w:val="24"/>
          <w:highlight w:val="none"/>
        </w:rPr>
      </w:pPr>
    </w:p>
    <w:p>
      <w:pPr>
        <w:pStyle w:val="33"/>
        <w:keepNext w:val="0"/>
        <w:keepLines w:val="0"/>
        <w:pageBreakBefore w:val="0"/>
        <w:widowControl w:val="0"/>
        <w:numPr>
          <w:ilvl w:val="0"/>
          <w:numId w:val="2"/>
        </w:numPr>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总  则</w:t>
      </w:r>
    </w:p>
    <w:p>
      <w:pPr>
        <w:pStyle w:val="33"/>
        <w:keepNext w:val="0"/>
        <w:keepLines w:val="0"/>
        <w:pageBreakBefore w:val="0"/>
        <w:widowControl w:val="0"/>
        <w:numPr>
          <w:ilvl w:val="0"/>
          <w:numId w:val="0"/>
        </w:numPr>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（一）适用范围</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本招标文件适用于本项目的招标、投标、评标、定标、验收、合同履约、付款等行为（法律、法规另有规定的，从其规定）。</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（二）定义</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1.招标采购单位系指组织本次招标的代理机构（“招标人”）和采购单位。</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2.“投标人”系指向招标方提交投标文件的单位或个人。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3.“产品”系指供方按招标文件规定，须向采购人提供的一切设备、保险、税金、备品备件、工具、手册及其它有关技术资料和材料。</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4.“服务”系指招标文件规定投标人须承担的设计、安装、调试、技术协助、校准、培训、技术指导以及其他类似的义务。</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5.“项目”系指投标人按招标文件规定向采购人提供的产品和服务。</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6.“书面形式”包括信函、传真、电报等。</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7.“▲”系指实质性要求条款。不满足实质性要求条款的投标文件无效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8.“★”系指核心产品。</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（三）招标方式</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本次招标采用公开招标方式进行。</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（四）投标委托</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供应商无需到开标现场，但须准时在线参加，直至评审结束。</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（五）投标费用</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不论投标结果如何，投标人均应自行承担所有与投标有关的全部费用（招标文件有相反规定除外）。</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（六）联合体投标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本项目接受联合体投标。</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（七）转包与分包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1.本项目不允许转包。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2.本项目</w:t>
      </w:r>
      <w:r>
        <w:rPr>
          <w:rFonts w:hint="eastAsia" w:ascii="宋体" w:hAnsi="宋体" w:cs="宋体"/>
          <w:color w:val="auto"/>
          <w:kern w:val="0"/>
          <w:sz w:val="24"/>
          <w:szCs w:val="24"/>
          <w:highlight w:val="none"/>
          <w:lang w:eastAsia="zh-CN"/>
        </w:rPr>
        <w:t>可以分包</w:t>
      </w:r>
      <w:r>
        <w:rPr>
          <w:rFonts w:hint="eastAsia" w:ascii="宋体" w:hAnsi="宋体" w:eastAsia="宋体" w:cs="宋体"/>
          <w:color w:val="auto"/>
          <w:kern w:val="0"/>
          <w:sz w:val="24"/>
          <w:szCs w:val="24"/>
          <w:highlight w:val="none"/>
        </w:rPr>
        <w:t>。</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（八）是否允许采购进口产品</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b w:val="0"/>
          <w:bCs w:val="0"/>
          <w:color w:val="auto"/>
          <w:kern w:val="2"/>
          <w:sz w:val="24"/>
          <w:szCs w:val="24"/>
          <w:highlight w:val="none"/>
        </w:rPr>
        <w:t>不允</w:t>
      </w:r>
      <w:r>
        <w:rPr>
          <w:rFonts w:hint="eastAsia" w:ascii="宋体" w:hAnsi="宋体" w:eastAsia="宋体" w:cs="宋体"/>
          <w:b w:val="0"/>
          <w:bCs w:val="0"/>
          <w:color w:val="auto"/>
          <w:kern w:val="2"/>
          <w:sz w:val="24"/>
          <w:szCs w:val="24"/>
          <w:highlight w:val="none"/>
          <w:lang w:eastAsia="zh-CN"/>
        </w:rPr>
        <w:t>许</w:t>
      </w:r>
      <w:r>
        <w:rPr>
          <w:rFonts w:hint="eastAsia" w:ascii="宋体" w:hAnsi="宋体" w:eastAsia="宋体" w:cs="宋体"/>
          <w:b w:val="0"/>
          <w:bCs w:val="0"/>
          <w:color w:val="auto"/>
          <w:kern w:val="2"/>
          <w:sz w:val="24"/>
          <w:szCs w:val="24"/>
          <w:highlight w:val="none"/>
        </w:rPr>
        <w:t>采购进口产品。</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▲（九）特别说明：</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1.采用最低评标价法的采购项目，提供相同品牌产品的不同投标人参加同一合同项下投标的，以其中通过资格审查、符合性审查且报价最低的参加评标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报价相同的，由采购人或者采购人委托评标委员会按照招标文件规定的方式确定一个参加评标的投标人，招标文件未规定的采取随机抽取方式确定，其他投标无效。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2.投标人投标所使用的资格、信誉、荣誉、业绩与企业认证必须为本投标人所拥有。</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3.以联合体形式参加政府采购活动的，联合体各方不得再单独参加或者与其他投标人另外组成联合体参加同一合同项下的政府采购活动。</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4.单位负责人为同一人或者存在直接控股、管理关系的不同投标人，不得参加同一合同项下的政府采购活动。</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.投标人应仔细阅读招标文件的所有内容，按照招标文件的要求提交投标文件，并对所提供的全部资料的真实性承担法律责任。</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（十）质疑和投诉</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3.供应商须在法定质疑期内一次性提出针对同一采购程序环节的质疑。</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4.供应商认为</w:t>
      </w:r>
      <w:r>
        <w:rPr>
          <w:rFonts w:hint="eastAsia" w:ascii="宋体" w:hAnsi="宋体" w:cs="宋体"/>
          <w:color w:val="auto"/>
          <w:kern w:val="0"/>
          <w:sz w:val="24"/>
          <w:szCs w:val="24"/>
          <w:highlight w:val="none"/>
          <w:lang w:eastAsia="zh-CN"/>
        </w:rPr>
        <w:t>采购代理机构</w:t>
      </w:r>
      <w:r>
        <w:rPr>
          <w:rFonts w:hint="eastAsia" w:ascii="宋体" w:hAnsi="宋体" w:eastAsia="宋体" w:cs="宋体"/>
          <w:color w:val="auto"/>
          <w:kern w:val="0"/>
          <w:sz w:val="24"/>
          <w:szCs w:val="24"/>
          <w:highlight w:val="none"/>
        </w:rPr>
        <w:t>在质疑答复程序中启用的调查和复评等程序，在该程序操作过程未明显违反法律禁止性规定时，不得提出疑义。</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.质疑函须采用财政部发布的政府采购供应商质疑函范本（参考样式可从浙江政府采购网下载专区下载），否则采购代理机构有权要求质疑供应商改正后重新提出。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供应商明确表示需要邮寄的除外。</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8.以联合体形式参加政府采购活动的，其投诉应当由组成联合体的所有供应商共同提出。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.在线或者邮寄政府采购投诉材料当日下班时间点后收到的视为下一个工作日收到。</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二、招标文件</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（一）招标文件的构成。本招标文件由以下部份组成：</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2.招标需求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3.投标人须知</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4.评标办法及标准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5.合同主要条款</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6.投标文件格式</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7.本项目招标文件的澄清、答复、修改、补充的内容</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（二）投标人的风险</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投标人没有按照招标文件要求提供全部资料，或者投标人没有对招标文件在各方面作出实质性响应是投标人的风险，并可能导致其投标为无效标。</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（三）招标文件的澄清与修改 </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2.采购代理机构以公告形式答复投标人要求澄清的问题，但不包含问题来源；除上述媒体发布的答复以外的其他澄清方式及澄清内容均无效。</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3.招标文件澄清、答复、修改、补充的内容为招标文件的组成部分。当招标文件与招标文件的答复、澄清、修改、补充通知就同一内容的表述不一致时，以最后发出的文件为准。</w:t>
      </w:r>
    </w:p>
    <w:p>
      <w:pPr>
        <w:pStyle w:val="54"/>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4.招标文件的澄清、答复、修改或补充都应该通过本代理机构以法定形式发布，采购人非通过本机构，不得擅自澄清、答复、修改或补充招标文件。</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三、投标文件的编制</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(一)总体要求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2.投标文件及投标人与采购有关的来往通知，函件和文件均应使用中文。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3.投标文件的形式：投标文件为电子加密投标文件，按“政府采购项目电子交易管理操作指南-供应商”及本招标文件要求制作、加密并递交。</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（二）投标文件的组成</w:t>
      </w:r>
    </w:p>
    <w:p>
      <w:pPr>
        <w:pStyle w:val="33"/>
        <w:keepNext w:val="0"/>
        <w:keepLines w:val="0"/>
        <w:pageBreakBefore w:val="0"/>
        <w:widowControl w:val="0"/>
        <w:shd w:val="clear" w:color="auto" w:fill="auto"/>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本项目所涉投标文件格式请详见第六章，未给出的格式请自拟。资格文件及商务技术文件中不得出现报价，否则投标文件将被视为无效。</w:t>
      </w:r>
      <w:r>
        <w:rPr>
          <w:rFonts w:hint="eastAsia" w:ascii="宋体" w:hAnsi="宋体" w:eastAsia="宋体" w:cs="宋体"/>
          <w:b/>
          <w:color w:val="auto"/>
          <w:sz w:val="24"/>
          <w:szCs w:val="24"/>
          <w:highlight w:val="none"/>
          <w:lang w:eastAsia="zh-CN"/>
        </w:rPr>
        <w:t>投标</w:t>
      </w:r>
      <w:r>
        <w:rPr>
          <w:rFonts w:hint="eastAsia" w:ascii="宋体" w:hAnsi="宋体" w:eastAsia="宋体" w:cs="宋体"/>
          <w:b/>
          <w:color w:val="auto"/>
          <w:sz w:val="24"/>
          <w:szCs w:val="24"/>
          <w:highlight w:val="none"/>
        </w:rPr>
        <w:t>文件中所须加盖公章部分均采用CA签章。</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投标文件由资格文件、商务技术文件、报价文件三部分组成。</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1.资格文件</w:t>
      </w:r>
      <w:r>
        <w:rPr>
          <w:rFonts w:hint="eastAsia" w:hAnsi="宋体" w:cs="宋体"/>
          <w:b/>
          <w:bCs/>
          <w:color w:val="auto"/>
          <w:sz w:val="24"/>
          <w:szCs w:val="24"/>
          <w:highlight w:val="none"/>
          <w:lang w:eastAsia="zh-CN"/>
        </w:rPr>
        <w:t>（</w:t>
      </w:r>
      <w:r>
        <w:rPr>
          <w:rFonts w:hint="eastAsia" w:hAnsi="宋体" w:cs="宋体"/>
          <w:b/>
          <w:bCs/>
          <w:color w:val="auto"/>
          <w:sz w:val="24"/>
          <w:szCs w:val="24"/>
          <w:highlight w:val="none"/>
          <w:lang w:val="en-US" w:eastAsia="zh-CN"/>
        </w:rPr>
        <w:t>资格文件所需的证明材料</w:t>
      </w:r>
      <w:r>
        <w:rPr>
          <w:rFonts w:hint="eastAsia" w:hAnsi="宋体" w:cs="宋体"/>
          <w:b/>
          <w:bCs/>
          <w:color w:val="auto"/>
          <w:sz w:val="24"/>
          <w:szCs w:val="24"/>
          <w:highlight w:val="none"/>
          <w:lang w:eastAsia="zh-CN"/>
        </w:rPr>
        <w:t>均需加盖供应商公章</w:t>
      </w:r>
      <w:r>
        <w:rPr>
          <w:rFonts w:hint="eastAsia"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营业执照</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1.2</w:t>
      </w:r>
      <w:r>
        <w:rPr>
          <w:rFonts w:hint="eastAsia" w:cs="宋体"/>
          <w:color w:val="auto"/>
          <w:highlight w:val="none"/>
          <w:lang w:val="en-US" w:eastAsia="zh-CN"/>
        </w:rPr>
        <w:t>符合参加政府采购活动应当具备的一般条件的承诺函（格式见第六章）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cs="宋体"/>
          <w:color w:val="auto"/>
          <w:sz w:val="24"/>
          <w:highlight w:val="none"/>
          <w:lang w:val="en-US" w:eastAsia="zh-CN"/>
        </w:rPr>
      </w:pPr>
      <w:r>
        <w:rPr>
          <w:rFonts w:hint="eastAsia" w:cs="宋体"/>
          <w:color w:val="auto"/>
          <w:sz w:val="24"/>
          <w:highlight w:val="none"/>
          <w:lang w:val="en-US" w:eastAsia="zh-CN"/>
        </w:rPr>
        <w:t>1.3具有中华人民共和国《出版物经营许可证》</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cs="宋体"/>
          <w:color w:val="auto"/>
          <w:sz w:val="24"/>
          <w:highlight w:val="none"/>
          <w:lang w:val="en-US" w:eastAsia="zh-CN"/>
        </w:rPr>
      </w:pPr>
      <w:r>
        <w:rPr>
          <w:rFonts w:hint="eastAsia" w:cs="宋体"/>
          <w:color w:val="auto"/>
          <w:sz w:val="24"/>
          <w:highlight w:val="none"/>
          <w:lang w:val="en-US" w:eastAsia="zh-CN"/>
        </w:rPr>
        <w:t>1.4</w:t>
      </w:r>
      <w:r>
        <w:rPr>
          <w:rFonts w:hint="eastAsia" w:cs="宋体"/>
          <w:b w:val="0"/>
          <w:bCs w:val="0"/>
          <w:color w:val="auto"/>
          <w:sz w:val="24"/>
          <w:highlight w:val="none"/>
          <w:lang w:val="en-US" w:eastAsia="zh-CN"/>
        </w:rPr>
        <w:t>联合体投标的提供联合体各方上述1.1至1.3条内容及联合协议（</w:t>
      </w:r>
      <w:r>
        <w:rPr>
          <w:rFonts w:hint="eastAsia" w:ascii="宋体" w:hAnsi="宋体" w:eastAsia="宋体" w:cs="宋体"/>
          <w:b w:val="0"/>
          <w:bCs w:val="0"/>
          <w:color w:val="auto"/>
          <w:sz w:val="24"/>
          <w:highlight w:val="none"/>
        </w:rPr>
        <w:t>格式见第六章</w:t>
      </w:r>
      <w:r>
        <w:rPr>
          <w:rFonts w:hint="eastAsia" w:cs="宋体"/>
          <w:b w:val="0"/>
          <w:bCs w:val="0"/>
          <w:color w:val="auto"/>
          <w:sz w:val="24"/>
          <w:highlight w:val="none"/>
          <w:lang w:val="en-US" w:eastAsia="zh-CN"/>
        </w:rPr>
        <w:t>）</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商务技术文件</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自评表（格式见第六章）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投标声明书（格式见第六章）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法定代表人授权委托书（格式见第六章）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2.4联合投标授权委托书（联合体投标使用）</w:t>
      </w:r>
      <w:r>
        <w:rPr>
          <w:rFonts w:hint="eastAsia" w:ascii="宋体" w:hAnsi="宋体" w:eastAsia="宋体" w:cs="宋体"/>
          <w:color w:val="auto"/>
          <w:sz w:val="24"/>
          <w:highlight w:val="none"/>
        </w:rPr>
        <w:t>（格式见第六章）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cs="宋体"/>
          <w:color w:val="auto"/>
          <w:sz w:val="24"/>
          <w:highlight w:val="none"/>
          <w:lang w:val="en-US" w:eastAsia="zh-CN"/>
        </w:rPr>
        <w:t>5</w:t>
      </w:r>
      <w:r>
        <w:rPr>
          <w:rFonts w:hint="eastAsia" w:ascii="宋体" w:hAnsi="宋体" w:eastAsia="宋体" w:cs="宋体"/>
          <w:color w:val="auto"/>
          <w:sz w:val="24"/>
          <w:highlight w:val="none"/>
        </w:rPr>
        <w:t>诚信承诺书（格式见第六章）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cs="宋体"/>
          <w:color w:val="auto"/>
          <w:sz w:val="24"/>
          <w:highlight w:val="none"/>
          <w:lang w:val="en-US" w:eastAsia="zh-CN"/>
        </w:rPr>
        <w:t>6</w:t>
      </w:r>
      <w:r>
        <w:rPr>
          <w:rFonts w:hint="eastAsia" w:ascii="宋体" w:hAnsi="宋体" w:eastAsia="宋体" w:cs="宋体"/>
          <w:color w:val="auto"/>
          <w:sz w:val="24"/>
          <w:highlight w:val="none"/>
          <w:lang w:val="en-US" w:eastAsia="zh-CN"/>
        </w:rPr>
        <w:t>投标人基本情况表</w:t>
      </w:r>
      <w:r>
        <w:rPr>
          <w:rFonts w:hint="eastAsia" w:ascii="宋体" w:hAnsi="宋体" w:eastAsia="宋体" w:cs="宋体"/>
          <w:color w:val="auto"/>
          <w:sz w:val="24"/>
          <w:highlight w:val="none"/>
        </w:rPr>
        <w:t>（格式见第六章）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cs="宋体"/>
          <w:color w:val="auto"/>
          <w:sz w:val="24"/>
          <w:highlight w:val="none"/>
          <w:lang w:val="en-US" w:eastAsia="zh-CN"/>
        </w:rPr>
        <w:t>7</w:t>
      </w:r>
      <w:r>
        <w:rPr>
          <w:rFonts w:hint="eastAsia" w:ascii="宋体" w:hAnsi="宋体" w:eastAsia="宋体" w:cs="宋体"/>
          <w:color w:val="auto"/>
          <w:sz w:val="24"/>
          <w:highlight w:val="none"/>
          <w:lang w:val="en-US" w:eastAsia="zh-CN"/>
        </w:rPr>
        <w:t>商务响应（偏离）表</w:t>
      </w:r>
      <w:r>
        <w:rPr>
          <w:rFonts w:hint="eastAsia" w:ascii="宋体" w:hAnsi="宋体" w:eastAsia="宋体" w:cs="宋体"/>
          <w:color w:val="auto"/>
          <w:sz w:val="24"/>
          <w:highlight w:val="none"/>
        </w:rPr>
        <w:t>（格式见第六章）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eastAsia="宋体" w:cs="宋体"/>
          <w:color w:val="auto"/>
          <w:sz w:val="24"/>
          <w:highlight w:val="none"/>
          <w:lang w:val="en-US" w:eastAsia="zh-CN"/>
        </w:rPr>
      </w:pPr>
      <w:r>
        <w:rPr>
          <w:rFonts w:hint="eastAsia" w:eastAsia="宋体" w:cs="宋体"/>
          <w:color w:val="auto"/>
          <w:sz w:val="24"/>
          <w:highlight w:val="none"/>
          <w:lang w:val="en-US" w:eastAsia="zh-CN"/>
        </w:rPr>
        <w:t>2.</w:t>
      </w:r>
      <w:r>
        <w:rPr>
          <w:rFonts w:hint="eastAsia" w:cs="宋体"/>
          <w:color w:val="auto"/>
          <w:sz w:val="24"/>
          <w:highlight w:val="none"/>
          <w:lang w:val="en-US" w:eastAsia="zh-CN"/>
        </w:rPr>
        <w:t>8</w:t>
      </w:r>
      <w:r>
        <w:rPr>
          <w:rFonts w:hint="eastAsia" w:eastAsia="宋体" w:cs="宋体"/>
          <w:color w:val="auto"/>
          <w:sz w:val="24"/>
          <w:highlight w:val="none"/>
          <w:lang w:val="en-US" w:eastAsia="zh-CN"/>
        </w:rPr>
        <w:t>服务承诺</w:t>
      </w:r>
      <w:r>
        <w:rPr>
          <w:rFonts w:hint="eastAsia" w:ascii="宋体" w:hAnsi="宋体" w:eastAsia="宋体" w:cs="宋体"/>
          <w:color w:val="auto"/>
          <w:sz w:val="24"/>
          <w:highlight w:val="none"/>
        </w:rPr>
        <w:t>（格式见第六章）</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eastAsia="zh-CN"/>
        </w:rPr>
      </w:pPr>
      <w:r>
        <w:rPr>
          <w:rFonts w:hint="eastAsia" w:eastAsia="宋体" w:cs="宋体"/>
          <w:color w:val="auto"/>
          <w:sz w:val="24"/>
          <w:highlight w:val="none"/>
          <w:lang w:val="en-US" w:eastAsia="zh-CN"/>
        </w:rPr>
        <w:t>2.</w:t>
      </w:r>
      <w:r>
        <w:rPr>
          <w:rFonts w:hint="eastAsia" w:cs="宋体"/>
          <w:color w:val="auto"/>
          <w:sz w:val="24"/>
          <w:highlight w:val="none"/>
          <w:lang w:val="en-US" w:eastAsia="zh-CN"/>
        </w:rPr>
        <w:t>9</w:t>
      </w:r>
      <w:r>
        <w:rPr>
          <w:rFonts w:hint="eastAsia" w:eastAsia="宋体" w:cs="宋体"/>
          <w:color w:val="auto"/>
          <w:sz w:val="24"/>
          <w:highlight w:val="none"/>
          <w:lang w:val="en-US" w:eastAsia="zh-CN"/>
        </w:rPr>
        <w:t>诚信分</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cs="宋体"/>
          <w:color w:val="auto"/>
          <w:sz w:val="24"/>
          <w:highlight w:val="none"/>
          <w:lang w:val="en-US" w:eastAsia="zh-CN"/>
        </w:rPr>
        <w:t>10</w:t>
      </w:r>
      <w:r>
        <w:rPr>
          <w:rFonts w:hint="eastAsia" w:eastAsia="宋体" w:cs="宋体"/>
          <w:color w:val="auto"/>
          <w:sz w:val="24"/>
          <w:highlight w:val="none"/>
          <w:lang w:val="en-US" w:eastAsia="zh-CN"/>
        </w:rPr>
        <w:t>投标企业实力</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eastAsia="宋体" w:cs="宋体"/>
          <w:color w:val="auto"/>
          <w:sz w:val="24"/>
          <w:highlight w:val="none"/>
          <w:lang w:val="en-US" w:eastAsia="zh-CN"/>
        </w:rPr>
        <w:t>1</w:t>
      </w:r>
      <w:r>
        <w:rPr>
          <w:rFonts w:hint="eastAsia" w:cs="宋体"/>
          <w:color w:val="auto"/>
          <w:sz w:val="24"/>
          <w:highlight w:val="none"/>
          <w:lang w:val="en-US" w:eastAsia="zh-CN"/>
        </w:rPr>
        <w:t>1</w:t>
      </w:r>
      <w:r>
        <w:rPr>
          <w:rFonts w:hint="eastAsia" w:eastAsia="宋体" w:cs="宋体"/>
          <w:color w:val="auto"/>
          <w:sz w:val="24"/>
          <w:highlight w:val="none"/>
          <w:lang w:val="en-US" w:eastAsia="zh-CN"/>
        </w:rPr>
        <w:t>能力或业绩要求</w:t>
      </w:r>
      <w:r>
        <w:rPr>
          <w:rFonts w:hint="eastAsia" w:ascii="宋体" w:hAnsi="宋体" w:eastAsia="宋体" w:cs="宋体"/>
          <w:color w:val="auto"/>
          <w:sz w:val="24"/>
          <w:highlight w:val="none"/>
        </w:rPr>
        <w:t>（格式见第六章同类业绩一览表）</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eastAsia="宋体" w:cs="宋体"/>
          <w:color w:val="auto"/>
          <w:sz w:val="24"/>
          <w:highlight w:val="none"/>
          <w:lang w:val="en-US" w:eastAsia="zh-CN"/>
        </w:rPr>
        <w:t>1</w:t>
      </w:r>
      <w:r>
        <w:rPr>
          <w:rFonts w:hint="eastAsia" w:cs="宋体"/>
          <w:color w:val="auto"/>
          <w:sz w:val="24"/>
          <w:highlight w:val="none"/>
          <w:lang w:val="en-US" w:eastAsia="zh-CN"/>
        </w:rPr>
        <w:t>2</w:t>
      </w:r>
      <w:r>
        <w:rPr>
          <w:rFonts w:hint="eastAsia" w:eastAsia="宋体" w:cs="宋体"/>
          <w:color w:val="auto"/>
          <w:sz w:val="24"/>
          <w:highlight w:val="none"/>
          <w:lang w:val="en-US" w:eastAsia="zh-CN"/>
        </w:rPr>
        <w:t>优惠条件</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w:t>
      </w:r>
      <w:r>
        <w:rPr>
          <w:rFonts w:hint="eastAsia" w:cs="宋体"/>
          <w:color w:val="auto"/>
          <w:sz w:val="24"/>
          <w:highlight w:val="none"/>
          <w:lang w:val="en-US" w:eastAsia="zh-CN"/>
        </w:rPr>
        <w:t>3</w:t>
      </w:r>
      <w:r>
        <w:rPr>
          <w:rFonts w:hint="eastAsia" w:eastAsia="宋体" w:cs="宋体"/>
          <w:color w:val="auto"/>
          <w:sz w:val="24"/>
          <w:highlight w:val="none"/>
          <w:lang w:val="en-US" w:eastAsia="zh-CN"/>
        </w:rPr>
        <w:t>合理化建议</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w:t>
      </w:r>
      <w:r>
        <w:rPr>
          <w:rFonts w:hint="eastAsia" w:cs="宋体"/>
          <w:color w:val="auto"/>
          <w:sz w:val="24"/>
          <w:highlight w:val="none"/>
          <w:lang w:val="en-US" w:eastAsia="zh-CN"/>
        </w:rPr>
        <w:t>4</w:t>
      </w:r>
      <w:r>
        <w:rPr>
          <w:rFonts w:hint="eastAsia" w:eastAsia="宋体" w:cs="宋体"/>
          <w:color w:val="auto"/>
          <w:sz w:val="24"/>
          <w:highlight w:val="none"/>
          <w:lang w:val="en-US" w:eastAsia="zh-CN"/>
        </w:rPr>
        <w:t>项目实施方案</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w:t>
      </w:r>
      <w:r>
        <w:rPr>
          <w:rFonts w:hint="eastAsia" w:cs="宋体"/>
          <w:color w:val="auto"/>
          <w:sz w:val="24"/>
          <w:highlight w:val="none"/>
          <w:lang w:val="en-US" w:eastAsia="zh-CN"/>
        </w:rPr>
        <w:t>5</w:t>
      </w:r>
      <w:r>
        <w:rPr>
          <w:rFonts w:hint="eastAsia" w:eastAsia="宋体" w:cs="宋体"/>
          <w:color w:val="auto"/>
          <w:sz w:val="24"/>
          <w:highlight w:val="none"/>
          <w:lang w:val="en-US" w:eastAsia="zh-CN"/>
        </w:rPr>
        <w:t>进书渠道</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2.1</w:t>
      </w:r>
      <w:r>
        <w:rPr>
          <w:rFonts w:hint="eastAsia" w:cs="宋体"/>
          <w:color w:val="auto"/>
          <w:sz w:val="24"/>
          <w:highlight w:val="none"/>
          <w:lang w:val="en-US" w:eastAsia="zh-CN"/>
        </w:rPr>
        <w:t>6</w:t>
      </w:r>
      <w:r>
        <w:rPr>
          <w:rFonts w:hint="eastAsia" w:eastAsia="宋体" w:cs="宋体"/>
          <w:color w:val="auto"/>
          <w:sz w:val="24"/>
          <w:highlight w:val="none"/>
          <w:lang w:val="en-US" w:eastAsia="zh-CN"/>
        </w:rPr>
        <w:t>现采服务</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2.17到书率</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2.18电子服务网站</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2.19编目数据</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2.20对图书订单的处理能力</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2.21图书包装质量</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2.22图书加工服务</w:t>
      </w:r>
      <w:r>
        <w:rPr>
          <w:rFonts w:hint="eastAsia" w:ascii="宋体" w:hAnsi="宋体" w:eastAsia="宋体" w:cs="宋体"/>
          <w:color w:val="auto"/>
          <w:sz w:val="24"/>
          <w:highlight w:val="none"/>
        </w:rPr>
        <w:t>（格式见第六章项目实施人员表）</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cs="宋体"/>
          <w:color w:val="auto"/>
          <w:sz w:val="24"/>
          <w:highlight w:val="none"/>
          <w:lang w:val="en-US" w:eastAsia="zh-CN"/>
        </w:rPr>
      </w:pPr>
      <w:r>
        <w:rPr>
          <w:rFonts w:hint="eastAsia" w:cs="宋体"/>
          <w:color w:val="auto"/>
          <w:sz w:val="24"/>
          <w:highlight w:val="none"/>
          <w:lang w:val="en-US" w:eastAsia="zh-CN"/>
        </w:rPr>
        <w:t>2.23本地化服务</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cs="宋体"/>
          <w:color w:val="auto"/>
          <w:sz w:val="24"/>
          <w:highlight w:val="none"/>
          <w:lang w:val="en-US" w:eastAsia="zh-CN"/>
        </w:rPr>
      </w:pPr>
      <w:r>
        <w:rPr>
          <w:rFonts w:hint="eastAsia" w:cs="宋体"/>
          <w:color w:val="auto"/>
          <w:sz w:val="24"/>
          <w:highlight w:val="none"/>
          <w:lang w:val="en-US" w:eastAsia="zh-CN"/>
        </w:rPr>
        <w:t>2.24特色服务</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cs="宋体"/>
          <w:color w:val="auto"/>
          <w:sz w:val="24"/>
          <w:highlight w:val="none"/>
          <w:lang w:val="en-US" w:eastAsia="zh-CN"/>
        </w:rPr>
      </w:pPr>
      <w:r>
        <w:rPr>
          <w:rFonts w:hint="eastAsia" w:cs="宋体"/>
          <w:color w:val="auto"/>
          <w:sz w:val="24"/>
          <w:highlight w:val="none"/>
          <w:lang w:val="en-US" w:eastAsia="zh-CN"/>
        </w:rPr>
        <w:t>2.25售后服务</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cs="宋体"/>
          <w:color w:val="auto"/>
          <w:sz w:val="24"/>
          <w:highlight w:val="none"/>
          <w:lang w:val="en-US" w:eastAsia="zh-CN"/>
        </w:rPr>
      </w:pPr>
      <w:r>
        <w:rPr>
          <w:rFonts w:hint="eastAsia" w:cs="宋体"/>
          <w:color w:val="auto"/>
          <w:sz w:val="24"/>
          <w:highlight w:val="none"/>
          <w:lang w:val="en-US" w:eastAsia="zh-CN"/>
        </w:rPr>
        <w:t>2.26增值服务</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eastAsia" w:cs="宋体"/>
          <w:color w:val="auto"/>
          <w:sz w:val="24"/>
          <w:highlight w:val="none"/>
          <w:lang w:val="en-US" w:eastAsia="zh-CN"/>
        </w:rPr>
      </w:pPr>
      <w:r>
        <w:rPr>
          <w:rFonts w:hint="eastAsia" w:ascii="宋体" w:hAnsi="宋体" w:eastAsia="宋体" w:cs="宋体"/>
          <w:color w:val="auto"/>
          <w:kern w:val="0"/>
          <w:sz w:val="24"/>
          <w:szCs w:val="24"/>
          <w:highlight w:val="none"/>
          <w:lang w:val="en-US" w:eastAsia="zh-CN" w:bidi="ar-SA"/>
        </w:rPr>
        <w:t>2.2</w:t>
      </w:r>
      <w:r>
        <w:rPr>
          <w:rFonts w:hint="eastAsia" w:ascii="宋体" w:hAnsi="宋体" w:cs="宋体"/>
          <w:color w:val="auto"/>
          <w:kern w:val="0"/>
          <w:sz w:val="24"/>
          <w:szCs w:val="24"/>
          <w:highlight w:val="none"/>
          <w:lang w:val="en-US" w:eastAsia="zh-CN" w:bidi="ar-SA"/>
        </w:rPr>
        <w:t>7</w:t>
      </w:r>
      <w:r>
        <w:rPr>
          <w:rFonts w:hint="eastAsia" w:ascii="宋体" w:hAnsi="宋体" w:eastAsia="宋体" w:cs="宋体"/>
          <w:color w:val="auto"/>
          <w:kern w:val="0"/>
          <w:sz w:val="24"/>
          <w:szCs w:val="24"/>
          <w:highlight w:val="none"/>
          <w:lang w:val="en-US" w:eastAsia="zh-CN" w:bidi="ar-SA"/>
        </w:rPr>
        <w:t>投标人根据评标办法及采购需求需要提供的其他资料（如有</w:t>
      </w:r>
      <w:r>
        <w:rPr>
          <w:rFonts w:hint="eastAsia" w:cs="宋体"/>
          <w:color w:val="auto"/>
          <w:sz w:val="24"/>
          <w:highlight w:val="none"/>
          <w:lang w:val="en-US" w:eastAsia="zh-CN"/>
        </w:rPr>
        <w:t>）</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3.报价文件：</w:t>
      </w:r>
    </w:p>
    <w:p>
      <w:pPr>
        <w:pStyle w:val="33"/>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3.1投标函（格式见第六章）</w:t>
      </w:r>
    </w:p>
    <w:p>
      <w:pPr>
        <w:pStyle w:val="33"/>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3.2开标一览表（格式见第六章）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中小企业声明函（格式见第六章）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监狱和戒毒企业证明材料（如有，格式见第六章）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残疾人福利性单位声明函（如有，格式见第六章）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分包意向协议（如有</w:t>
      </w:r>
      <w:r>
        <w:rPr>
          <w:rFonts w:hint="eastAsia" w:ascii="宋体" w:hAnsi="宋体" w:cs="宋体"/>
          <w:color w:val="auto"/>
          <w:sz w:val="24"/>
          <w:highlight w:val="none"/>
          <w:lang w:val="en-US" w:eastAsia="zh-CN"/>
        </w:rPr>
        <w:t>,格式见第六章</w:t>
      </w:r>
      <w:r>
        <w:rPr>
          <w:rFonts w:hint="eastAsia" w:ascii="宋体" w:hAnsi="宋体" w:cs="宋体"/>
          <w:color w:val="auto"/>
          <w:sz w:val="24"/>
          <w:highlight w:val="none"/>
        </w:rPr>
        <w:t>）</w:t>
      </w:r>
    </w:p>
    <w:p>
      <w:pPr>
        <w:pStyle w:val="58"/>
        <w:keepNext w:val="0"/>
        <w:keepLines w:val="0"/>
        <w:pageBreakBefore w:val="0"/>
        <w:widowControl w:val="0"/>
        <w:numPr>
          <w:ilvl w:val="0"/>
          <w:numId w:val="0"/>
        </w:numPr>
        <w:shd w:val="clear" w:color="auto" w:fill="auto"/>
        <w:kinsoku/>
        <w:wordWrap/>
        <w:overflowPunct w:val="0"/>
        <w:topLinePunct/>
        <w:autoSpaceDE w:val="0"/>
        <w:autoSpaceDN w:val="0"/>
        <w:bidi w:val="0"/>
        <w:adjustRightInd/>
        <w:snapToGrid/>
        <w:spacing w:before="0" w:beforeLines="0" w:beforeAutospacing="0" w:after="0" w:afterLines="0" w:afterAutospacing="0" w:line="360" w:lineRule="auto"/>
        <w:ind w:right="0" w:rightChars="0" w:firstLine="481"/>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3.</w:t>
      </w:r>
      <w:r>
        <w:rPr>
          <w:rFonts w:hint="eastAsia" w:cs="宋体"/>
          <w:color w:val="auto"/>
          <w:sz w:val="24"/>
          <w:highlight w:val="none"/>
          <w:lang w:val="en-US" w:eastAsia="zh-CN"/>
        </w:rPr>
        <w:t>7</w:t>
      </w:r>
      <w:r>
        <w:rPr>
          <w:rFonts w:hint="eastAsia" w:ascii="宋体" w:hAnsi="宋体" w:cs="宋体"/>
          <w:color w:val="auto"/>
          <w:sz w:val="24"/>
          <w:highlight w:val="none"/>
        </w:rPr>
        <w:t>投标人针对报价需要说明的其他文件和说明（如有</w:t>
      </w:r>
      <w:r>
        <w:rPr>
          <w:rFonts w:hint="eastAsia" w:ascii="宋体" w:hAnsi="宋体" w:eastAsia="宋体" w:cs="宋体"/>
          <w:color w:val="auto"/>
          <w:sz w:val="24"/>
          <w:highlight w:val="none"/>
          <w:lang w:val="en-US" w:eastAsia="zh-CN"/>
        </w:rPr>
        <w:t>）</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 xml:space="preserve">  </w:t>
      </w:r>
      <w:r>
        <w:rPr>
          <w:rFonts w:hint="eastAsia" w:ascii="宋体" w:hAnsi="宋体" w:eastAsia="宋体" w:cs="宋体"/>
          <w:color w:val="auto"/>
          <w:sz w:val="24"/>
          <w:szCs w:val="24"/>
          <w:highlight w:val="none"/>
        </w:rPr>
        <w:t xml:space="preserve">  </w:t>
      </w:r>
      <w:r>
        <w:rPr>
          <w:rFonts w:hint="eastAsia" w:ascii="宋体" w:hAnsi="宋体" w:cs="宋体"/>
          <w:b/>
          <w:bCs/>
          <w:color w:val="auto"/>
          <w:sz w:val="24"/>
          <w:szCs w:val="24"/>
          <w:highlight w:val="none"/>
          <w:lang w:val="en-US" w:eastAsia="zh-CN"/>
        </w:rPr>
        <w:t>注：除联合协议必须由联合体成员共同盖章的，其余均由联合体牵头人按规定签字、盖章即可。招标文件中如有与本规定相冲突的，以本条规定为准</w:t>
      </w:r>
      <w:r>
        <w:rPr>
          <w:rFonts w:hint="eastAsia" w:ascii="宋体" w:hAnsi="宋体" w:cs="宋体"/>
          <w:b/>
          <w:bCs/>
          <w:color w:val="auto"/>
          <w:sz w:val="24"/>
          <w:szCs w:val="24"/>
          <w:highlight w:val="none"/>
          <w:lang w:val="en-US" w:eastAsia="zh-CN"/>
        </w:rPr>
        <w:t>。</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4.投标文件内容填写说明 </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jc w:val="lef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eastAsia="宋体" w:cs="宋体"/>
          <w:bCs/>
          <w:color w:val="auto"/>
          <w:sz w:val="24"/>
          <w:szCs w:val="24"/>
          <w:highlight w:val="none"/>
        </w:rPr>
        <w:t>电子投标文件按政采云平台供应商项目采购-电子招投标操作指南（网址：https://service.zcygov.cn/#/knowledges/CW1EtGwBFdiHxlNd6I3m/6IMVAG0BFdiHxlNdQ8Na?keyword）及本招标文件要求制作、加密。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（2）招标文件对投标文件格式有要求的应按格式逐项填写内容，不准有空项；无相应内容可填的项应填写“无”、“未测试”、“没有相应指标”等明确的回答文字。</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（3）投标人必须保证投标文件所提供的全部资料真实可靠，并接受招标人对其中任何资料进一步审查的要求。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（4）《开标一览表》为在开标仪式上唱标的内容，要求按格式填写、统一规范，不得自行增减内容。</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（7）投标响应文件不得涂改和增删，如有错漏必须修改。</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 xml:space="preserve">    （8）由于字迹模糊或表达不清引起的后果由供应商负责。</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（三）投标文件的语言及计量</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▲2投标计量单位，招标文件已有明确规定的，使用招标文件规定的计量单位；招标文件没有规定的，应采用中华人民共和国法定计量单位（货币单位：人民币元），否则视同未响应。</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（四）投标报价</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1.投标报价应按招标文件中相关附表格式填写。</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▲2.投标报价是履行合同的最终价格，应包括货款、包装、运输、装卸、保险、税金、货到就位、招投标等一切税金和费用</w:t>
      </w:r>
      <w:r>
        <w:rPr>
          <w:rFonts w:hint="eastAsia" w:ascii="宋体" w:hAnsi="宋体" w:cs="宋体"/>
          <w:color w:val="auto"/>
          <w:sz w:val="24"/>
          <w:szCs w:val="24"/>
          <w:highlight w:val="none"/>
          <w:lang w:eastAsia="zh-CN"/>
        </w:rPr>
        <w:t>。</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▲3.投标文件只允许有一个报价，有选择的或有条件的报价将不予接受。</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（五）投标文件的有效期</w:t>
      </w:r>
    </w:p>
    <w:p>
      <w:pPr>
        <w:pStyle w:val="15"/>
        <w:keepNext w:val="0"/>
        <w:keepLines w:val="0"/>
        <w:pageBreakBefore w:val="0"/>
        <w:widowControl w:val="0"/>
        <w:tabs>
          <w:tab w:val="left" w:pos="720"/>
          <w:tab w:val="clear" w:pos="390"/>
        </w:tabs>
        <w:kinsoku/>
        <w:wordWrap w:val="0"/>
        <w:overflowPunct w:val="0"/>
        <w:topLinePunct w:val="0"/>
        <w:autoSpaceDE w:val="0"/>
        <w:autoSpaceDN w:val="0"/>
        <w:bidi w:val="0"/>
        <w:snapToGrid w:val="0"/>
        <w:spacing w:after="0" w:afterLines="0"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▲1.自投标截止日起</w:t>
      </w:r>
      <w:r>
        <w:rPr>
          <w:rFonts w:hint="eastAsia" w:ascii="宋体" w:hAnsi="宋体" w:eastAsia="宋体" w:cs="宋体"/>
          <w:color w:val="auto"/>
          <w:sz w:val="24"/>
          <w:szCs w:val="24"/>
          <w:highlight w:val="none"/>
          <w:u w:val="single"/>
        </w:rPr>
        <w:t xml:space="preserve"> 90</w:t>
      </w:r>
      <w:r>
        <w:rPr>
          <w:rFonts w:hint="eastAsia" w:ascii="宋体" w:hAnsi="宋体" w:eastAsia="宋体" w:cs="宋体"/>
          <w:color w:val="auto"/>
          <w:sz w:val="24"/>
          <w:szCs w:val="24"/>
          <w:highlight w:val="none"/>
        </w:rPr>
        <w:t>天投标文件应保持有效。有效期不足的投标文件将被拒绝。</w:t>
      </w:r>
    </w:p>
    <w:p>
      <w:pPr>
        <w:pStyle w:val="15"/>
        <w:keepNext w:val="0"/>
        <w:keepLines w:val="0"/>
        <w:pageBreakBefore w:val="0"/>
        <w:widowControl w:val="0"/>
        <w:tabs>
          <w:tab w:val="left" w:pos="720"/>
          <w:tab w:val="clear" w:pos="390"/>
        </w:tabs>
        <w:kinsoku/>
        <w:wordWrap w:val="0"/>
        <w:overflowPunct w:val="0"/>
        <w:topLinePunct w:val="0"/>
        <w:autoSpaceDE w:val="0"/>
        <w:autoSpaceDN w:val="0"/>
        <w:bidi w:val="0"/>
        <w:snapToGrid w:val="0"/>
        <w:spacing w:after="0" w:afterLines="0"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2.在特殊情况下，招标人可与投标人协商延长投标书的有效期，这种要求和答复均以书面形式进行。</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3.中标人的投标文件自开标之日起至合同履行完毕止均应保持有效。</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（六）投标保证金：</w:t>
      </w:r>
      <w:r>
        <w:rPr>
          <w:rFonts w:hint="eastAsia" w:ascii="宋体" w:hAnsi="宋体" w:eastAsia="宋体" w:cs="宋体"/>
          <w:b/>
          <w:color w:val="auto"/>
          <w:sz w:val="24"/>
          <w:szCs w:val="24"/>
          <w:highlight w:val="none"/>
          <w:lang w:val="en-US" w:eastAsia="zh-CN"/>
        </w:rPr>
        <w:t>无</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bookmarkStart w:id="17" w:name="_Toc359856802"/>
      <w:r>
        <w:rPr>
          <w:rFonts w:hint="eastAsia" w:ascii="宋体" w:hAnsi="宋体" w:eastAsia="宋体" w:cs="宋体"/>
          <w:b/>
          <w:color w:val="auto"/>
          <w:sz w:val="24"/>
          <w:szCs w:val="24"/>
          <w:highlight w:val="none"/>
        </w:rPr>
        <w:t>（七）投标文件的签署及规定</w:t>
      </w:r>
      <w:bookmarkEnd w:id="17"/>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outlineLvl w:val="1"/>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电子投标文件按政采云平台供应商项目采购-电子招投标操作指南（网址：</w:t>
      </w:r>
      <w:r>
        <w:rPr>
          <w:rFonts w:hint="eastAsia" w:ascii="宋体" w:hAnsi="宋体" w:eastAsia="宋体" w:cs="宋体"/>
          <w:bCs/>
          <w:color w:val="auto"/>
          <w:sz w:val="24"/>
          <w:szCs w:val="24"/>
          <w:highlight w:val="none"/>
        </w:rPr>
        <w:fldChar w:fldCharType="begin"/>
      </w:r>
      <w:r>
        <w:rPr>
          <w:rFonts w:hint="eastAsia" w:ascii="宋体" w:hAnsi="宋体" w:eastAsia="宋体" w:cs="宋体"/>
          <w:bCs/>
          <w:color w:val="auto"/>
          <w:sz w:val="24"/>
          <w:szCs w:val="24"/>
          <w:highlight w:val="none"/>
        </w:rPr>
        <w:instrText xml:space="preserve"> HYPERLINK "https://help.zcy.gov.cn/web/site_2/2018/12-28/2573.html）及本招标文件规定的格式和顺序编制电子投标文件并进行关联定位。" </w:instrText>
      </w:r>
      <w:r>
        <w:rPr>
          <w:rFonts w:hint="eastAsia" w:ascii="宋体" w:hAnsi="宋体" w:eastAsia="宋体" w:cs="宋体"/>
          <w:bCs/>
          <w:color w:val="auto"/>
          <w:sz w:val="24"/>
          <w:szCs w:val="24"/>
          <w:highlight w:val="none"/>
        </w:rPr>
        <w:fldChar w:fldCharType="separate"/>
      </w:r>
      <w:r>
        <w:rPr>
          <w:rFonts w:hint="eastAsia" w:ascii="宋体" w:hAnsi="宋体" w:eastAsia="宋体" w:cs="宋体"/>
          <w:bCs/>
          <w:color w:val="auto"/>
          <w:sz w:val="24"/>
          <w:szCs w:val="24"/>
          <w:highlight w:val="none"/>
        </w:rPr>
        <w:t>https://service.zcygov.cn/#/knowledges/CW1EtGwBFdiHxlNd6I3m/6IMVAG0BFdiHxlNdQ8Na?keyword</w:t>
      </w:r>
      <w:r>
        <w:rPr>
          <w:rStyle w:val="77"/>
          <w:rFonts w:hint="eastAsia" w:ascii="宋体" w:hAnsi="宋体" w:eastAsia="宋体" w:cs="宋体"/>
          <w:bCs/>
          <w:color w:val="auto"/>
          <w:sz w:val="24"/>
          <w:szCs w:val="24"/>
          <w:highlight w:val="none"/>
        </w:rPr>
        <w:t>）及本招标文件规定的格式和顺序编制电子投标文件并进行关联定位。</w:t>
      </w:r>
      <w:r>
        <w:rPr>
          <w:rFonts w:hint="eastAsia" w:ascii="宋体" w:hAnsi="宋体" w:eastAsia="宋体" w:cs="宋体"/>
          <w:bCs/>
          <w:color w:val="auto"/>
          <w:sz w:val="24"/>
          <w:szCs w:val="24"/>
          <w:highlight w:val="none"/>
        </w:rPr>
        <w:fldChar w:fldCharType="end"/>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bookmarkStart w:id="18" w:name="_Toc359856803"/>
      <w:bookmarkStart w:id="19" w:name="_Toc356371437"/>
      <w:r>
        <w:rPr>
          <w:rFonts w:hint="eastAsia" w:ascii="宋体" w:hAnsi="宋体" w:eastAsia="宋体" w:cs="宋体"/>
          <w:b/>
          <w:color w:val="auto"/>
          <w:sz w:val="24"/>
          <w:szCs w:val="24"/>
          <w:highlight w:val="none"/>
        </w:rPr>
        <w:t>（八）投标文件的递交</w:t>
      </w:r>
      <w:bookmarkEnd w:id="18"/>
      <w:bookmarkEnd w:id="19"/>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1.递交投标文件截止期</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2.投标文件的修改和撤销</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（1）投标人在递交投标文件后，可以修改或撤回其投标文件：递交投标文件截止时间之前补充或者修改电子投标文件的，应当先行撤回原文件，补充、修改后重新传输递交。</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（2）投标人修改后的投标文件应按原来的规定编制、密封、标记和递交。</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（3）在递交投标文件截止期之后，投标人不得对其投标文件做任何修改。</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（4）递交投标文件截止期后，投标人不得撤回其投标文件。</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（5）实质上没有响应本文件要求的投标文件将被拒绝。投标人不得通过修正或撤销不合要求的偏离或保留从而使其投标文件成为实质上响应的文件。</w:t>
      </w:r>
    </w:p>
    <w:p>
      <w:pPr>
        <w:keepNext w:val="0"/>
        <w:keepLines w:val="0"/>
        <w:pageBreakBefore w:val="0"/>
        <w:widowControl w:val="0"/>
        <w:kinsoku/>
        <w:wordWrap w:val="0"/>
        <w:overflowPunct w:val="0"/>
        <w:topLinePunct w:val="0"/>
        <w:autoSpaceDE w:val="0"/>
        <w:autoSpaceDN w:val="0"/>
        <w:bidi w:val="0"/>
        <w:snapToGrid w:val="0"/>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.备份投标文件</w:t>
      </w:r>
    </w:p>
    <w:p>
      <w:pPr>
        <w:keepNext w:val="0"/>
        <w:keepLines w:val="0"/>
        <w:pageBreakBefore w:val="0"/>
        <w:widowControl w:val="0"/>
        <w:kinsoku/>
        <w:wordWrap w:val="0"/>
        <w:overflowPunct w:val="0"/>
        <w:topLinePunct w:val="0"/>
        <w:autoSpaceDE w:val="0"/>
        <w:autoSpaceDN w:val="0"/>
        <w:bidi w:val="0"/>
        <w:snapToGrid w:val="0"/>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备份投标文件须在“政采云投标客户端”制作生成，并储存在</w:t>
      </w:r>
      <w:r>
        <w:rPr>
          <w:rFonts w:hint="eastAsia" w:ascii="宋体" w:hAnsi="宋体" w:eastAsia="宋体" w:cs="宋体"/>
          <w:b/>
          <w:bCs/>
          <w:color w:val="auto"/>
          <w:sz w:val="24"/>
          <w:szCs w:val="24"/>
          <w:highlight w:val="none"/>
        </w:rPr>
        <w:t>（U盘）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val="0"/>
        <w:kinsoku/>
        <w:wordWrap w:val="0"/>
        <w:overflowPunct w:val="0"/>
        <w:topLinePunct w:val="0"/>
        <w:autoSpaceDE w:val="0"/>
        <w:autoSpaceDN w:val="0"/>
        <w:bidi w:val="0"/>
        <w:snapToGrid w:val="0"/>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color w:val="auto"/>
          <w:sz w:val="24"/>
          <w:szCs w:val="24"/>
          <w:highlight w:val="none"/>
        </w:rPr>
        <w:t>以邮政快递方式递交备份投标文件的，投标人应先将备份投标文件按要求密封和标记，再进行邮政快递包装后邮寄。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投标人仅提交备份投标文件，没有在电子交易平台传输递交投标文件的，投标无效。</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（九）投标无效的情形</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根据《政府采购货物和服务招标投标管理办法》有下列情形之一的，视为投标人串通投标，其投标无效：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(一)不同投标人的投标文件由同一单位或者个人编制；</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(二)不同投标人委托同一单位或者个人办理投标事宜；</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(三)不同投标人的投标文件载明的项目管理成员或者联系人员为同一人；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(四)不同投标人的投标文件异常一致或者投标报价呈规律性差异；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(五)不同投标人的投标文件相互混装；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(六)不同投标人的投标保证金从同一单位或者个人的账户转出。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keepNext w:val="0"/>
        <w:keepLines w:val="0"/>
        <w:pageBreakBefore w:val="0"/>
        <w:widowControl w:val="0"/>
        <w:numPr>
          <w:ilvl w:val="0"/>
          <w:numId w:val="3"/>
        </w:numPr>
        <w:kinsoku/>
        <w:wordWrap w:val="0"/>
        <w:overflowPunct w:val="0"/>
        <w:topLinePunct w:val="0"/>
        <w:autoSpaceDE w:val="0"/>
        <w:autoSpaceDN w:val="0"/>
        <w:bidi w:val="0"/>
        <w:snapToGrid w:val="0"/>
        <w:spacing w:line="360" w:lineRule="auto"/>
        <w:ind w:left="0" w:leftChars="0" w:right="0" w:rightChars="0" w:firstLine="466"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4"/>
          <w:sz w:val="24"/>
          <w:szCs w:val="24"/>
          <w:highlight w:val="none"/>
        </w:rPr>
        <w:t>电</w:t>
      </w:r>
      <w:r>
        <w:rPr>
          <w:rFonts w:hint="eastAsia" w:ascii="宋体" w:hAnsi="宋体" w:eastAsia="宋体" w:cs="宋体"/>
          <w:b/>
          <w:bCs/>
          <w:color w:val="auto"/>
          <w:sz w:val="24"/>
          <w:szCs w:val="24"/>
          <w:highlight w:val="none"/>
        </w:rPr>
        <w:t xml:space="preserve">子加密投标文件解密失败的；   </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2.没有通过资格审查的，投标文件将被视为无效。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3.在符合性审查和资信商务评审时，如发现下列情形之一的，投标文件将被视为无效：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（1）电子投标文件未按规定要求提供电子签章的。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（2）在资格文件或商务技术文件中出现报价的；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（3）资格证明文件不全的，或者不符合招标文件标明的资格要求的；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（4）投标文件无法定代表人签字（或盖章）</w:t>
      </w:r>
      <w:r>
        <w:rPr>
          <w:rFonts w:hint="eastAsia" w:ascii="宋体" w:hAnsi="宋体"/>
          <w:color w:val="auto"/>
          <w:sz w:val="24"/>
          <w:highlight w:val="none"/>
        </w:rPr>
        <w:t>或被授权人（签字或盖章）</w:t>
      </w:r>
      <w:r>
        <w:rPr>
          <w:rFonts w:hint="eastAsia" w:ascii="宋体" w:hAnsi="宋体" w:eastAsia="宋体" w:cs="宋体"/>
          <w:color w:val="auto"/>
          <w:sz w:val="24"/>
          <w:szCs w:val="24"/>
          <w:highlight w:val="none"/>
        </w:rPr>
        <w:t>,或未</w:t>
      </w:r>
      <w:r>
        <w:rPr>
          <w:rFonts w:hint="eastAsia" w:ascii="宋体" w:hAnsi="宋体" w:eastAsia="宋体" w:cs="宋体"/>
          <w:bCs/>
          <w:color w:val="auto"/>
          <w:kern w:val="0"/>
          <w:sz w:val="24"/>
          <w:szCs w:val="24"/>
          <w:highlight w:val="none"/>
        </w:rPr>
        <w:t>提供法定代表人授权委托书、投标声明书或者填写项目不齐全的；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（5）投标代表人未能出具身份证明或与法定代表人授权委托人身份不符的；</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（6）投标文件项目不齐全或者内容虚假的；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7）</w:t>
      </w:r>
      <w:r>
        <w:rPr>
          <w:rFonts w:hint="eastAsia" w:ascii="宋体" w:hAnsi="宋体" w:eastAsia="宋体" w:cs="宋体"/>
          <w:color w:val="auto"/>
          <w:sz w:val="24"/>
          <w:szCs w:val="24"/>
          <w:highlight w:val="none"/>
        </w:rPr>
        <w:t>投标文件的实质性内容未使用中文表述、意思表述不明确、前后矛盾或者使用计量单位不符合招标文件要求的（经评标委员会认定并允许其当场更正的笔误除外）；</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snapToGrid w:val="0"/>
          <w:color w:val="auto"/>
          <w:sz w:val="24"/>
          <w:szCs w:val="24"/>
          <w:highlight w:val="none"/>
        </w:rPr>
        <w:t>投标有效期、服务期等商务条款不能满足招标文件要求的；</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9）</w:t>
      </w:r>
      <w:r>
        <w:rPr>
          <w:rFonts w:hint="eastAsia" w:ascii="宋体" w:hAnsi="宋体" w:eastAsia="宋体" w:cs="宋体"/>
          <w:color w:val="auto"/>
          <w:sz w:val="24"/>
          <w:szCs w:val="24"/>
          <w:highlight w:val="none"/>
        </w:rPr>
        <w:t>未实质性响应招标文件要求或者投标文件有招标方不能接受的附加条件的</w:t>
      </w:r>
      <w:r>
        <w:rPr>
          <w:rFonts w:hint="eastAsia" w:ascii="宋体" w:hAnsi="宋体" w:eastAsia="宋体" w:cs="宋体"/>
          <w:snapToGrid w:val="0"/>
          <w:color w:val="auto"/>
          <w:sz w:val="24"/>
          <w:szCs w:val="24"/>
          <w:highlight w:val="none"/>
        </w:rPr>
        <w:t>；</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（10）不符合本采购文件中的实质性要求条款</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4.在技术评审时，如发现下列情形之一的，投标文件将被视为无效：</w:t>
      </w:r>
    </w:p>
    <w:p>
      <w:pPr>
        <w:pStyle w:val="25"/>
        <w:keepNext w:val="0"/>
        <w:keepLines w:val="0"/>
        <w:pageBreakBefore w:val="0"/>
        <w:widowControl w:val="0"/>
        <w:kinsoku/>
        <w:topLinePunct w:val="0"/>
        <w:bidi w:val="0"/>
        <w:adjustRightInd w:val="0"/>
        <w:snapToGrid w:val="0"/>
        <w:spacing w:line="360" w:lineRule="auto"/>
        <w:ind w:firstLine="470" w:firstLineChars="196"/>
        <w:textAlignment w:val="auto"/>
        <w:rPr>
          <w:rFonts w:hint="eastAsia" w:hAnsi="宋体" w:cs="宋体"/>
          <w:color w:val="auto"/>
          <w:sz w:val="24"/>
          <w:szCs w:val="24"/>
          <w:highlight w:val="none"/>
        </w:rPr>
      </w:pPr>
      <w:r>
        <w:rPr>
          <w:rFonts w:hint="eastAsia" w:hAnsi="宋体" w:cs="宋体"/>
          <w:color w:val="auto"/>
          <w:sz w:val="24"/>
          <w:szCs w:val="24"/>
          <w:highlight w:val="none"/>
        </w:rPr>
        <w:t>（1）投标文件标明的响应或偏离与事实不符或虚假投标的；</w:t>
      </w:r>
    </w:p>
    <w:p>
      <w:pPr>
        <w:pStyle w:val="25"/>
        <w:keepNext w:val="0"/>
        <w:keepLines w:val="0"/>
        <w:pageBreakBefore w:val="0"/>
        <w:widowControl w:val="0"/>
        <w:kinsoku/>
        <w:topLinePunct w:val="0"/>
        <w:bidi w:val="0"/>
        <w:adjustRightInd w:val="0"/>
        <w:snapToGrid w:val="0"/>
        <w:spacing w:line="360" w:lineRule="auto"/>
        <w:ind w:firstLine="470" w:firstLineChars="196"/>
        <w:textAlignment w:val="auto"/>
        <w:rPr>
          <w:rFonts w:hint="eastAsia" w:hAnsi="宋体" w:cs="宋体"/>
          <w:color w:val="auto"/>
          <w:sz w:val="24"/>
          <w:szCs w:val="24"/>
          <w:highlight w:val="none"/>
        </w:rPr>
      </w:pPr>
      <w:r>
        <w:rPr>
          <w:rFonts w:hint="eastAsia" w:hAnsi="宋体" w:cs="宋体"/>
          <w:color w:val="auto"/>
          <w:sz w:val="24"/>
          <w:szCs w:val="24"/>
          <w:highlight w:val="none"/>
        </w:rPr>
        <w:t>（2）明显不符合采购文件要求的服务内容，或者与采购文件中标“▲”的服务需求、主要功能项目发生实质性偏离的；</w:t>
      </w:r>
    </w:p>
    <w:p>
      <w:pPr>
        <w:pStyle w:val="25"/>
        <w:keepNext w:val="0"/>
        <w:keepLines w:val="0"/>
        <w:pageBreakBefore w:val="0"/>
        <w:widowControl w:val="0"/>
        <w:kinsoku/>
        <w:topLinePunct w:val="0"/>
        <w:bidi w:val="0"/>
        <w:adjustRightInd w:val="0"/>
        <w:snapToGrid w:val="0"/>
        <w:spacing w:line="360" w:lineRule="auto"/>
        <w:ind w:firstLine="470" w:firstLineChars="196"/>
        <w:textAlignment w:val="auto"/>
        <w:rPr>
          <w:rFonts w:hint="eastAsia" w:hAnsi="宋体" w:cs="宋体"/>
          <w:color w:val="auto"/>
          <w:sz w:val="24"/>
          <w:szCs w:val="24"/>
          <w:highlight w:val="none"/>
        </w:rPr>
      </w:pPr>
      <w:r>
        <w:rPr>
          <w:rFonts w:hint="eastAsia" w:hAnsi="宋体" w:cs="宋体"/>
          <w:color w:val="auto"/>
          <w:sz w:val="24"/>
          <w:szCs w:val="24"/>
          <w:highlight w:val="none"/>
        </w:rPr>
        <w:t>（3）投标技术方案不明确，存在一个或一个以上备选（替代）投标方案的；</w:t>
      </w:r>
    </w:p>
    <w:p>
      <w:pPr>
        <w:pStyle w:val="25"/>
        <w:keepNext w:val="0"/>
        <w:keepLines w:val="0"/>
        <w:pageBreakBefore w:val="0"/>
        <w:widowControl w:val="0"/>
        <w:kinsoku/>
        <w:topLinePunct w:val="0"/>
        <w:bidi w:val="0"/>
        <w:adjustRightInd w:val="0"/>
        <w:snapToGrid w:val="0"/>
        <w:spacing w:line="360" w:lineRule="auto"/>
        <w:ind w:firstLine="470" w:firstLineChars="196"/>
        <w:textAlignment w:val="auto"/>
        <w:rPr>
          <w:rFonts w:hint="eastAsia" w:hAnsi="宋体"/>
          <w:color w:val="auto"/>
          <w:sz w:val="24"/>
          <w:szCs w:val="24"/>
          <w:highlight w:val="none"/>
        </w:rPr>
      </w:pPr>
      <w:r>
        <w:rPr>
          <w:rFonts w:hint="eastAsia" w:hAnsi="宋体" w:cs="宋体"/>
          <w:color w:val="auto"/>
          <w:sz w:val="24"/>
          <w:szCs w:val="24"/>
          <w:highlight w:val="none"/>
        </w:rPr>
        <w:t>（4）与其他参加本次投标供应商的投标文件（技术文件）的文字表述内容相同连续20行以上或者差错相同2处以上的</w:t>
      </w:r>
      <w:r>
        <w:rPr>
          <w:rFonts w:hint="eastAsia" w:hAnsi="宋体"/>
          <w:color w:val="auto"/>
          <w:sz w:val="24"/>
          <w:szCs w:val="24"/>
          <w:highlight w:val="none"/>
        </w:rPr>
        <w:t>。</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hAnsi="宋体"/>
          <w:color w:val="auto"/>
          <w:sz w:val="24"/>
          <w:szCs w:val="24"/>
          <w:highlight w:val="none"/>
        </w:rPr>
        <w:t>（5）不符合本采购文件中的实质性要求条款</w:t>
      </w:r>
      <w:r>
        <w:rPr>
          <w:rFonts w:hint="eastAsia" w:ascii="宋体" w:hAnsi="宋体" w:eastAsia="宋体" w:cs="宋体"/>
          <w:color w:val="auto"/>
          <w:sz w:val="24"/>
          <w:szCs w:val="24"/>
          <w:highlight w:val="none"/>
        </w:rPr>
        <w:t>；</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5.在报价评审时，如发现下列情形之一的，投标文件将被视为无效：</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（1）未采用人民币报价或者未按照采购文件标明的币种报价的；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（2）投标报价具有选择性，或者开标价格与投标文件承诺的优惠（折扣）价格不一致的；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（3）报价文件内容与商务、技术文件内容严重不一致，评标委员会无法评审的；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（4）评标委员会认定属投标人自身原因有重大漏项的。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（6）报价超过采购文件中规定的预算金额或者最高限价的。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（7）报价文件无法定代表人或授权代表签字（或盖章）的；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（8）报价文件格式不规范、项目不齐全或者内容虚假的；</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（9）报价文件的实质性内容未使用中文表述、意思表述不明确、前后矛盾或者使用计量单位不符合招标文件要求的（经评标委员会认定并允许其当场更正的笔误除外）；</w:t>
      </w:r>
    </w:p>
    <w:p>
      <w:pPr>
        <w:pStyle w:val="25"/>
        <w:keepNext w:val="0"/>
        <w:keepLines w:val="0"/>
        <w:pageBreakBefore w:val="0"/>
        <w:widowControl w:val="0"/>
        <w:kinsoku/>
        <w:bidi w:val="0"/>
        <w:snapToGrid w:val="0"/>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（10）未实质性响应采购文件要求或者投标文件有采购方不能接受的附加条件的。</w:t>
      </w:r>
    </w:p>
    <w:p>
      <w:pPr>
        <w:pStyle w:val="25"/>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hAnsi="宋体"/>
          <w:color w:val="auto"/>
          <w:sz w:val="24"/>
          <w:szCs w:val="24"/>
          <w:highlight w:val="none"/>
        </w:rPr>
        <w:t>（11）不符合本采购文件中的实质性要求条款</w:t>
      </w:r>
      <w:r>
        <w:rPr>
          <w:rFonts w:hint="eastAsia" w:ascii="宋体" w:hAnsi="宋体" w:eastAsia="宋体" w:cs="宋体"/>
          <w:color w:val="auto"/>
          <w:sz w:val="24"/>
          <w:szCs w:val="24"/>
          <w:highlight w:val="none"/>
        </w:rPr>
        <w:t>；</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6.被拒绝的投标文件为无效；</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7.存在带“▲”条款的负偏离的；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8.本招标文件其他部分已规定为无效标的情形；</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9.评标专家认定的其他必须按无效标处理的。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（十）</w:t>
      </w:r>
      <w:r>
        <w:rPr>
          <w:rFonts w:hint="eastAsia" w:ascii="宋体" w:hAnsi="宋体" w:eastAsia="宋体" w:cs="宋体"/>
          <w:b/>
          <w:bCs/>
          <w:color w:val="auto"/>
          <w:sz w:val="24"/>
          <w:szCs w:val="24"/>
          <w:highlight w:val="none"/>
        </w:rPr>
        <w:t>出现以下情形，导致电子交易平台无法正常运行，或者无法保证电子交易的公平、公正和安全时，中止电子交易活动：</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1.电子交易平台发生</w:t>
      </w:r>
      <w:r>
        <w:rPr>
          <w:rFonts w:hint="eastAsia" w:ascii="宋体" w:hAnsi="宋体" w:eastAsia="宋体" w:cs="宋体"/>
          <w:color w:val="auto"/>
          <w:sz w:val="24"/>
          <w:szCs w:val="24"/>
          <w:highlight w:val="none"/>
        </w:rPr>
        <w:t>故障而无法登录访问的；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2.电子交易平台应用或数据库出现错误，不能进行正常操作的；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3.电子交易平台发现严重安全漏洞，有潜在泄密危险的；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4.病毒发作导致不能进行正常操作的；</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5.其他无法保证电子交易的公平、公正和安全的情况。</w:t>
      </w:r>
    </w:p>
    <w:p>
      <w:pPr>
        <w:pStyle w:val="25"/>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四、开标</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（一）开标准备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jc w:val="left"/>
        <w:textAlignment w:val="auto"/>
        <w:rPr>
          <w:rFonts w:hint="eastAsia" w:ascii="宋体" w:hAnsi="宋体" w:eastAsia="宋体" w:cs="宋体"/>
          <w:b/>
          <w:color w:val="auto"/>
          <w:kern w:val="0"/>
          <w:sz w:val="24"/>
          <w:szCs w:val="24"/>
          <w:highlight w:val="none"/>
        </w:rPr>
      </w:pPr>
      <w:r>
        <w:rPr>
          <w:rFonts w:hint="eastAsia" w:ascii="宋体" w:hAnsi="宋体" w:cs="宋体"/>
          <w:b/>
          <w:color w:val="auto"/>
          <w:sz w:val="24"/>
          <w:szCs w:val="24"/>
          <w:highlight w:val="none"/>
          <w:lang w:val="en-US" w:eastAsia="zh-CN"/>
        </w:rPr>
        <w:t>采购代理机构</w:t>
      </w:r>
      <w:r>
        <w:rPr>
          <w:rFonts w:hint="eastAsia" w:ascii="宋体" w:hAnsi="宋体" w:eastAsia="宋体" w:cs="宋体"/>
          <w:b/>
          <w:color w:val="auto"/>
          <w:sz w:val="24"/>
          <w:szCs w:val="24"/>
          <w:highlight w:val="none"/>
        </w:rPr>
        <w:t>原则上采用电子评标，按照招标文件规定的时间通过“政府采购云平台”组织开标、开启投标文件，所有供应商可以派授权代表参加或准时在线参加。</w:t>
      </w:r>
      <w:r>
        <w:rPr>
          <w:rFonts w:hint="eastAsia" w:ascii="宋体" w:hAnsi="宋体" w:eastAsia="宋体" w:cs="宋体"/>
          <w:b/>
          <w:color w:val="auto"/>
          <w:kern w:val="0"/>
          <w:sz w:val="24"/>
          <w:szCs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(二) 采购人或者</w:t>
      </w:r>
      <w:r>
        <w:rPr>
          <w:rFonts w:hint="eastAsia" w:hAnsi="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职责</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采购人或者</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负责组织评标工作，并履行下列职责：</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1.核对评审专家身份和采购人代表授权函，对评审专家在政府采购活动中的职责履行情况予以记录，并及时将有关违法违规行为向财政部门报告；</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2.宣布评标纪律；</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3.公布投标人名单，告知评审专家应当回避的情形；</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4.组织评标委员会推选评标组长，采购人代表不得担任组长；</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5.在评标期间采取必要的通讯管理措施，保证评标活动不受外界干扰；</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6.根据评标委员会的要求介绍政府采购相关政策法规、招标文件；</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7.维护评标秩序，监督评标委员会依照招标文件规定的评标程序、方法和标准进行独立评审，及时制止和纠正采购人代表、评审专家的倾向性言论或者违法违规行为；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8.核对评标结果，有本办法第六十四条规定情形的，要求评标委员会复核或者书面说明理由，评标委员会拒绝的，应予记录并向本级财政部门报告；</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9.评审工作完成后，按照规定向评审专家支付劳务报酬和异地评审差旅费，不得向评审专家以外的其他人员支付评审劳务报酬；</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10.处理与评标有关的其他事项。</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（三）开标程序</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本项目原则上采用政采云电子招投标开标及评审程序，但有下情形之一的，按以下情况处理：</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1.开标会由采购代理机构主持，主持人宣布开标会议开始；</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2.主持人介绍参加开标会的人员名单； </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3.主持人宣布评标期间的有关事项；告知应当回避的情形,提请有关人员回避；</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4.电子投标文件开标: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（1）投标截止时间后，投标人登录政采云平台，用“项目采购-开标评标”功能对电子投标文件进行在线解密。在线解密电子投标文件时间为开标时间起半个小时内。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（2）由采购人代表对资格审查文件进行评审，评标委员会对技术商务文件进行评审。</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（3）在系统上公开资格审查和技术商务评审结果；</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（4）在系统上公开报价开标情况；</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（5）评标委员会对报价情况进行评审；</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（6）在系统上公布评审结果。</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特别说明：政采云公司如对电子化开标及评审程序有调整的，按调整后的程序操作。</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五、评标</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b/>
          <w:bCs/>
          <w:color w:val="auto"/>
          <w:kern w:val="2"/>
          <w:sz w:val="24"/>
          <w:szCs w:val="24"/>
          <w:highlight w:val="none"/>
          <w:lang w:val="en-US" w:eastAsia="zh-CN" w:bidi="ar-SA"/>
        </w:rPr>
        <w:t>组建评标委员会</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本项目评标委员会由采购人代表和</w:t>
      </w:r>
      <w:r>
        <w:rPr>
          <w:rFonts w:hint="eastAsia" w:ascii="宋体" w:hAnsi="宋体" w:cs="宋体"/>
          <w:color w:val="auto"/>
          <w:sz w:val="24"/>
          <w:szCs w:val="24"/>
          <w:highlight w:val="none"/>
          <w:lang w:eastAsia="zh-CN"/>
        </w:rPr>
        <w:t>相关专业</w:t>
      </w:r>
      <w:r>
        <w:rPr>
          <w:rFonts w:hint="eastAsia" w:ascii="宋体" w:hAnsi="宋体" w:eastAsia="宋体" w:cs="宋体"/>
          <w:color w:val="auto"/>
          <w:sz w:val="24"/>
          <w:szCs w:val="24"/>
          <w:highlight w:val="none"/>
        </w:rPr>
        <w:t>专家组成。评标委员会负责具体评标事务，并独立履行下列职责：</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1.审查、评价投标文件是否符合招标文件的商务、技术等实质性要求；</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2.要求投标人对投标文件有关事项作出澄清或者说明；</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3.对投标文件进行比较和评价；</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4.确定中标候选人名单，以及根据采购人委托直接确定中标人；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5.向采购人、</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或者有关部门报告评标中发现的违法行为。</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2" w:firstLineChars="200"/>
        <w:textAlignment w:val="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u w:val="single"/>
        </w:rPr>
        <w:t>除采购人代表、评标现场组织人员外，采购人的其他工作人员以及与评标工作无关的人员不得进入评标现场。</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color w:val="auto"/>
          <w:sz w:val="24"/>
          <w:szCs w:val="24"/>
          <w:highlight w:val="none"/>
        </w:rPr>
        <w:t>（二）</w:t>
      </w:r>
      <w:r>
        <w:rPr>
          <w:rFonts w:hint="eastAsia" w:ascii="宋体" w:hAnsi="宋体" w:eastAsia="宋体" w:cs="宋体"/>
          <w:b/>
          <w:bCs/>
          <w:color w:val="auto"/>
          <w:kern w:val="2"/>
          <w:sz w:val="24"/>
          <w:szCs w:val="24"/>
          <w:highlight w:val="none"/>
          <w:lang w:val="en-US" w:eastAsia="zh-CN" w:bidi="ar-SA"/>
        </w:rPr>
        <w:t>评标的方式</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2"/>
          <w:sz w:val="24"/>
          <w:szCs w:val="24"/>
          <w:highlight w:val="none"/>
          <w:lang w:val="en-US" w:eastAsia="zh-CN" w:bidi="ar-SA"/>
        </w:rPr>
        <w:t>本项目采用不公开方式评标，评标的依据为招标文件和投标文件</w:t>
      </w:r>
      <w:r>
        <w:rPr>
          <w:rFonts w:hint="eastAsia" w:ascii="宋体" w:hAnsi="宋体" w:eastAsia="宋体" w:cs="宋体"/>
          <w:color w:val="auto"/>
          <w:sz w:val="24"/>
          <w:szCs w:val="24"/>
          <w:highlight w:val="none"/>
        </w:rPr>
        <w:t>。</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（三）评标程序</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采购人可以在评标前说明项目背景和采购需求，说明内容不得含有歧视性、倾向性意见，不得超出招标文件所述范围。说明应当提交书面材料，并随采购文件一并存档。</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1.形式审查</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采购人代表和代理机构工作人员协助评标委员会对投标人的资格和投标文件的完整性、合法性等进行审查。</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2.实质审查与比较</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（1）评标委员会审查投标文件的实质性内容是否符合招标文件的实质性要求。</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（2）评标委员会将根据投标人的投标文件进行审查、核对,如有疑问,将对投标人进行询标,投标人要向评标委员会澄清有关问题,并最终以书面形式进行答复。</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投标人代表未到场、未在线或者拒绝澄清或者澄清的内容改变了投标文件的实质性内容的，评标委员会有权对该投标文件作出不利于投标人的评判。</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（3）各投标人的技术得分为所有评委的有效评分的算术平均数，由指定专人进行计算复核。</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（4）嘉兴市银建工程咨询评估有限公司工作人员协助评标委员会根据本项目的评分标准计算各投标人的商务报价得分。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（5）评标委员会完成评标后,评委对各部分得分汇总,计算出本项目最终得分、性价比、评标价等。评标委员会按评标原则推荐中标候选人同时起草评标报告。</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（四）澄清问题的形式</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对投标文件中含义不明确、同类问题表述不一致或者有明显文字和计算错误的内容，评标委员会可要求供应商作出必要的澄清、说明或者纠正。</w:t>
      </w:r>
    </w:p>
    <w:p>
      <w:pPr>
        <w:keepNext w:val="0"/>
        <w:keepLines w:val="0"/>
        <w:pageBreakBefore w:val="0"/>
        <w:widowControl w:val="0"/>
        <w:kinsoku/>
        <w:wordWrap w:val="0"/>
        <w:overflowPunct w:val="0"/>
        <w:topLinePunct w:val="0"/>
        <w:autoSpaceDE w:val="0"/>
        <w:autoSpaceDN w:val="0"/>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2.如果供应商代表拒绝或未按评标委员会要求在“政采云”平台作出在线回复且无其他有效回复方式的，评标委员会可以对其作出无效标处理。</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eastAsia="宋体" w:cs="宋体"/>
          <w:b/>
          <w:bCs/>
          <w:color w:val="auto"/>
          <w:kern w:val="2"/>
          <w:sz w:val="24"/>
          <w:szCs w:val="24"/>
          <w:highlight w:val="none"/>
          <w:lang w:val="en-US" w:eastAsia="zh-CN" w:bidi="ar-SA"/>
        </w:rPr>
        <w:t>错误修正</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投标文件报价出现前后不一致的，除招标文件另有规定外按照下列规定修正：</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1.投标文件中开标一览表（报价表）内容与投标文件中相应内容不一致的，以开标一览表（报价表）为准；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3.单价金额小数点或者百分比有明显错位的，以开标一览表的总价为准，并修改单价；</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5.电子投标流程中，客户端填写的报价与以pdf格式上传文件中的报价不一致的，应以Pdf格式上传文件中的报价为准。</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w:t>
      </w:r>
      <w:r>
        <w:rPr>
          <w:rFonts w:hint="eastAsia" w:ascii="宋体" w:hAnsi="宋体" w:eastAsia="宋体" w:cs="宋体"/>
          <w:b/>
          <w:bCs/>
          <w:color w:val="auto"/>
          <w:kern w:val="2"/>
          <w:sz w:val="24"/>
          <w:szCs w:val="24"/>
          <w:highlight w:val="none"/>
          <w:lang w:val="en-US" w:eastAsia="zh-CN" w:bidi="ar-SA"/>
        </w:rPr>
        <w:t>评标原则和评标办法</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2.评标办法。本项目评标办法是</w:t>
      </w:r>
      <w:r>
        <w:rPr>
          <w:rFonts w:hint="eastAsia" w:ascii="宋体" w:hAnsi="宋体" w:eastAsia="宋体" w:cs="宋体"/>
          <w:color w:val="auto"/>
          <w:sz w:val="24"/>
          <w:szCs w:val="24"/>
          <w:highlight w:val="none"/>
          <w:u w:val="single"/>
        </w:rPr>
        <w:t xml:space="preserve"> 综合评分法 </w:t>
      </w:r>
      <w:r>
        <w:rPr>
          <w:rFonts w:hint="eastAsia" w:ascii="宋体" w:hAnsi="宋体" w:eastAsia="宋体" w:cs="宋体"/>
          <w:color w:val="auto"/>
          <w:sz w:val="24"/>
          <w:szCs w:val="24"/>
          <w:highlight w:val="none"/>
        </w:rPr>
        <w:t>，具体评标内容及评分标准等详见《第四章：评标办法及评分标准》。</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w:t>
      </w:r>
      <w:r>
        <w:rPr>
          <w:rFonts w:hint="eastAsia" w:ascii="宋体" w:hAnsi="宋体" w:eastAsia="宋体" w:cs="宋体"/>
          <w:b/>
          <w:bCs/>
          <w:color w:val="auto"/>
          <w:kern w:val="2"/>
          <w:sz w:val="24"/>
          <w:szCs w:val="24"/>
          <w:highlight w:val="none"/>
          <w:lang w:val="en-US" w:eastAsia="zh-CN" w:bidi="ar-SA"/>
        </w:rPr>
        <w:t>评标过程的监控</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六、定标</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1.采购代理机构在评标结束后2个工作日内将评标报告交采购人确认，同时在发布招标公告的网站上对评标结果进行公示。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如有投标人对评标结果提出质疑的，采购人可在质疑处理完毕后确定中标人。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3.采购人依法确定中标人后2个工作日内，采购代理机构以书面形式发出《中标通知书》,并同时在相关网站上发布中标公告。</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七、合同授予</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（一）签订合同</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1.采购人与中标人应当在《中标通知书》发出之日起30日内签订政府采购合同。同时，</w:t>
      </w:r>
      <w:r>
        <w:rPr>
          <w:rFonts w:hint="eastAsia" w:ascii="宋体" w:hAnsi="宋体" w:cs="宋体"/>
          <w:color w:val="auto"/>
          <w:sz w:val="24"/>
          <w:szCs w:val="24"/>
          <w:highlight w:val="none"/>
          <w:lang w:eastAsia="zh-CN"/>
        </w:rPr>
        <w:t>采购代理机构</w:t>
      </w:r>
      <w:r>
        <w:rPr>
          <w:rFonts w:hint="eastAsia" w:ascii="宋体" w:hAnsi="宋体" w:eastAsia="宋体" w:cs="宋体"/>
          <w:color w:val="auto"/>
          <w:sz w:val="24"/>
          <w:szCs w:val="24"/>
          <w:highlight w:val="none"/>
        </w:rPr>
        <w:t>对合同内容进行审查，如发现与采购结果和投标承诺内容不一致的，将予以纠正。</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2.中标人拖延、拒签合同的,将被列入不良行为记录或黑名单，由此产生的一切不利后果由中标人自行承担。</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hAnsi="宋体" w:cs="宋体"/>
          <w:b w:val="0"/>
          <w:bCs/>
          <w:color w:val="auto"/>
          <w:sz w:val="24"/>
          <w:szCs w:val="24"/>
          <w:highlight w:val="none"/>
          <w:lang w:val="en-US" w:eastAsia="zh-CN"/>
        </w:rPr>
        <w:t>3.规定依据财库﹝2020﹞46 号享受扶持政策获得政府采购合同的，小微企业不得将合同分包给大中型企业，中型企业不得将合同分包给大型企业</w:t>
      </w:r>
      <w:r>
        <w:rPr>
          <w:rFonts w:hint="eastAsia" w:ascii="宋体" w:hAnsi="宋体" w:eastAsia="宋体" w:cs="宋体"/>
          <w:color w:val="auto"/>
          <w:sz w:val="24"/>
          <w:szCs w:val="24"/>
          <w:highlight w:val="none"/>
        </w:rPr>
        <w:t>。</w:t>
      </w:r>
    </w:p>
    <w:p>
      <w:pPr>
        <w:pStyle w:val="33"/>
        <w:keepNext w:val="0"/>
        <w:keepLines w:val="0"/>
        <w:pageBreakBefore w:val="0"/>
        <w:widowControl w:val="0"/>
        <w:kinsoku/>
        <w:wordWrap w:val="0"/>
        <w:overflowPunct w:val="0"/>
        <w:topLinePunct w:val="0"/>
        <w:autoSpaceDE w:val="0"/>
        <w:autoSpaceDN w:val="0"/>
        <w:bidi w:val="0"/>
        <w:snapToGrid w:val="0"/>
        <w:spacing w:before="0" w:beforeLines="0" w:after="0" w:afterLines="0" w:line="360" w:lineRule="auto"/>
        <w:ind w:left="0" w:leftChars="0"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（二）履约保证金</w:t>
      </w:r>
    </w:p>
    <w:p>
      <w:pPr>
        <w:keepNext w:val="0"/>
        <w:keepLines w:val="0"/>
        <w:pageBreakBefore w:val="0"/>
        <w:widowControl w:val="0"/>
        <w:kinsoku/>
        <w:wordWrap w:val="0"/>
        <w:overflowPunct w:val="0"/>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3"/>
        <w:keepNext w:val="0"/>
        <w:keepLines w:val="0"/>
        <w:pageBreakBefore w:val="0"/>
        <w:kinsoku/>
        <w:topLinePunct w:val="0"/>
        <w:bidi w:val="0"/>
        <w:adjustRightInd w:val="0"/>
        <w:snapToGrid w:val="0"/>
        <w:spacing w:before="0" w:beforeLines="0" w:after="0" w:afterLines="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2.签订合同后，如中标人不按双方合同约定履约，则没收其全部履约保证金，履约保证金不足以赔偿损失的，按实际损失赔偿。</w:t>
      </w:r>
    </w:p>
    <w:p>
      <w:pPr>
        <w:pStyle w:val="33"/>
        <w:keepNext w:val="0"/>
        <w:keepLines w:val="0"/>
        <w:pageBreakBefore w:val="0"/>
        <w:kinsoku/>
        <w:topLinePunct w:val="0"/>
        <w:bidi w:val="0"/>
        <w:adjustRightInd w:val="0"/>
        <w:snapToGrid w:val="0"/>
        <w:spacing w:before="0" w:beforeLines="0" w:after="0" w:afterLines="0" w:line="360" w:lineRule="auto"/>
        <w:rPr>
          <w:rFonts w:hint="eastAsia" w:hAnsi="宋体" w:cs="宋体"/>
          <w:b/>
          <w:color w:val="auto"/>
          <w:sz w:val="24"/>
          <w:szCs w:val="24"/>
          <w:highlight w:val="none"/>
        </w:rPr>
      </w:pPr>
      <w:r>
        <w:rPr>
          <w:rFonts w:hint="eastAsia" w:hAnsi="宋体" w:cs="宋体"/>
          <w:b/>
          <w:color w:val="auto"/>
          <w:sz w:val="24"/>
          <w:szCs w:val="24"/>
          <w:highlight w:val="none"/>
        </w:rPr>
        <w:t>八、终止招标</w:t>
      </w:r>
    </w:p>
    <w:p>
      <w:pPr>
        <w:pStyle w:val="33"/>
        <w:keepNext w:val="0"/>
        <w:keepLines w:val="0"/>
        <w:pageBreakBefore w:val="0"/>
        <w:kinsoku/>
        <w:topLinePunct w:val="0"/>
        <w:bidi w:val="0"/>
        <w:adjustRightInd w:val="0"/>
        <w:snapToGrid w:val="0"/>
        <w:spacing w:before="0" w:beforeLines="0" w:after="0" w:afterLines="0" w:line="360" w:lineRule="auto"/>
        <w:ind w:firstLine="480" w:firstLineChars="200"/>
        <w:rPr>
          <w:rFonts w:hint="eastAsia" w:hAnsi="宋体" w:cs="宋体"/>
          <w:b/>
          <w:color w:val="auto"/>
          <w:sz w:val="28"/>
          <w:szCs w:val="28"/>
          <w:highlight w:val="none"/>
        </w:rPr>
      </w:pPr>
      <w:r>
        <w:rPr>
          <w:rFonts w:hint="eastAsia" w:ascii="宋体" w:hAnsi="宋体" w:eastAsia="宋体" w:cs="宋体"/>
          <w:color w:val="auto"/>
          <w:sz w:val="24"/>
          <w:szCs w:val="24"/>
          <w:highlight w:val="none"/>
        </w:rPr>
        <w:t>终止招标的，采购人或者采购代理机构应当及时在原公告发布媒体上发布终止公告，并将项目实施情况和采购任务取消原因报告本级财政部门。</w:t>
      </w:r>
      <w:bookmarkStart w:id="20" w:name="_Toc2572"/>
    </w:p>
    <w:p>
      <w:pPr>
        <w:pStyle w:val="33"/>
        <w:keepNext w:val="0"/>
        <w:keepLines w:val="0"/>
        <w:pageBreakBefore w:val="0"/>
        <w:kinsoku/>
        <w:topLinePunct w:val="0"/>
        <w:bidi w:val="0"/>
        <w:adjustRightInd w:val="0"/>
        <w:snapToGrid w:val="0"/>
        <w:spacing w:before="0" w:beforeLines="0" w:after="0" w:afterLines="0" w:line="360" w:lineRule="auto"/>
        <w:rPr>
          <w:rFonts w:hint="eastAsia" w:hAnsi="宋体" w:cs="宋体"/>
          <w:b/>
          <w:color w:val="auto"/>
          <w:sz w:val="24"/>
          <w:szCs w:val="24"/>
          <w:highlight w:val="none"/>
        </w:rPr>
      </w:pPr>
      <w:r>
        <w:rPr>
          <w:rFonts w:hint="eastAsia" w:hAnsi="宋体" w:cs="宋体"/>
          <w:b/>
          <w:color w:val="auto"/>
          <w:sz w:val="24"/>
          <w:szCs w:val="24"/>
          <w:highlight w:val="none"/>
        </w:rPr>
        <w:t>九、招标代理费</w:t>
      </w:r>
      <w:bookmarkEnd w:id="20"/>
    </w:p>
    <w:p>
      <w:pPr>
        <w:keepNext w:val="0"/>
        <w:keepLines w:val="0"/>
        <w:pageBreakBefore w:val="0"/>
        <w:kinsoku/>
        <w:topLinePunct w:val="0"/>
        <w:bidi w:val="0"/>
        <w:adjustRightInd w:val="0"/>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1、根据“国家发展和改革委员会办公厅《关于招标代理服务收费有关问题的通知》（发改办价格【2003】857号）”规定，招标代理机构向中标人收取招标代理服务费。</w:t>
      </w:r>
    </w:p>
    <w:p>
      <w:pPr>
        <w:keepNext w:val="0"/>
        <w:keepLines w:val="0"/>
        <w:pageBreakBefore w:val="0"/>
        <w:kinsoku/>
        <w:topLinePunct w:val="0"/>
        <w:bidi w:val="0"/>
        <w:adjustRightInd w:val="0"/>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2、中标人应在收取《中标通知书》时向采购代理机构交纳招标代理服务费，服务费的收费标准按国家计委(计价格[2011]534号)文规定计算:</w:t>
      </w:r>
    </w:p>
    <w:tbl>
      <w:tblPr>
        <w:tblStyle w:val="6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noWrap w:val="0"/>
            <w:vAlign w:val="center"/>
          </w:tcPr>
          <w:p>
            <w:pPr>
              <w:keepNext w:val="0"/>
              <w:keepLines w:val="0"/>
              <w:pageBreakBefore w:val="0"/>
              <w:kinsoku/>
              <w:topLinePunct w:val="0"/>
              <w:bidi w:val="0"/>
              <w:adjustRightInd w:val="0"/>
              <w:spacing w:line="360" w:lineRule="auto"/>
              <w:jc w:val="center"/>
              <w:rPr>
                <w:rFonts w:ascii="宋体" w:hAnsi="宋体"/>
                <w:b/>
                <w:color w:val="auto"/>
                <w:sz w:val="24"/>
                <w:highlight w:val="none"/>
              </w:rPr>
            </w:pPr>
            <w:r>
              <w:rPr>
                <w:rFonts w:hint="eastAsia" w:ascii="宋体" w:hAnsi="宋体"/>
                <w:b/>
                <w:color w:val="auto"/>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noWrap w:val="0"/>
            <w:vAlign w:val="center"/>
          </w:tcPr>
          <w:p>
            <w:pPr>
              <w:keepNext w:val="0"/>
              <w:keepLines w:val="0"/>
              <w:pageBreakBefore w:val="0"/>
              <w:kinsoku/>
              <w:topLinePunct w:val="0"/>
              <w:bidi w:val="0"/>
              <w:adjustRightInd w:val="0"/>
              <w:spacing w:line="360" w:lineRule="auto"/>
              <w:jc w:val="center"/>
              <w:rPr>
                <w:rFonts w:hint="eastAsia" w:ascii="宋体" w:hAnsi="宋体"/>
                <w:b/>
                <w:color w:val="auto"/>
                <w:sz w:val="24"/>
                <w:highlight w:val="none"/>
              </w:rPr>
            </w:pPr>
            <w:r>
              <w:rPr>
                <w:rFonts w:hint="eastAsia" w:ascii="宋体" w:hAnsi="宋体"/>
                <w:b/>
                <w:color w:val="auto"/>
                <w:sz w:val="24"/>
                <w:highlight w:val="none"/>
                <w:lang w:eastAsia="zh-CN"/>
              </w:rPr>
              <w:t>货物</w:t>
            </w:r>
            <w:r>
              <w:rPr>
                <w:rFonts w:hint="eastAsia" w:ascii="宋体" w:hAnsi="宋体"/>
                <w:b/>
                <w:color w:val="auto"/>
                <w:sz w:val="24"/>
                <w:highlight w:val="none"/>
              </w:rPr>
              <w:t>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topLinePunct w:val="0"/>
              <w:bidi w:val="0"/>
              <w:adjustRightInd w:val="0"/>
              <w:spacing w:line="360" w:lineRule="auto"/>
              <w:jc w:val="center"/>
              <w:rPr>
                <w:rFonts w:ascii="宋体" w:hAnsi="宋体"/>
                <w:b/>
                <w:color w:val="auto"/>
                <w:sz w:val="24"/>
                <w:highlight w:val="none"/>
              </w:rPr>
            </w:pPr>
            <w:r>
              <w:rPr>
                <w:rFonts w:hint="eastAsia" w:ascii="宋体" w:hAnsi="宋体"/>
                <w:b/>
                <w:color w:val="auto"/>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topLinePunct w:val="0"/>
              <w:bidi w:val="0"/>
              <w:adjustRightInd w:val="0"/>
              <w:spacing w:line="360" w:lineRule="auto"/>
              <w:jc w:val="center"/>
              <w:rPr>
                <w:rFonts w:ascii="宋体" w:hAnsi="宋体"/>
                <w:b/>
                <w:color w:val="auto"/>
                <w:sz w:val="24"/>
                <w:highlight w:val="none"/>
              </w:rPr>
            </w:pPr>
            <w:r>
              <w:rPr>
                <w:rFonts w:hint="eastAsia" w:ascii="宋体" w:hAnsi="宋体"/>
                <w:b/>
                <w:color w:val="auto"/>
                <w:sz w:val="24"/>
                <w:highlight w:val="none"/>
              </w:rPr>
              <w:t>1.50%</w:t>
            </w:r>
          </w:p>
        </w:tc>
      </w:tr>
    </w:tbl>
    <w:p>
      <w:pPr>
        <w:keepNext w:val="0"/>
        <w:keepLines w:val="0"/>
        <w:pageBreakBefore w:val="0"/>
        <w:kinsoku/>
        <w:topLinePunct w:val="0"/>
        <w:bidi w:val="0"/>
        <w:adjustRightInd w:val="0"/>
        <w:snapToGrid w:val="0"/>
        <w:spacing w:line="360" w:lineRule="auto"/>
        <w:ind w:left="480" w:hanging="480" w:hangingChars="200"/>
        <w:jc w:val="left"/>
        <w:rPr>
          <w:rFonts w:hint="eastAsia" w:ascii="宋体" w:hAnsi="宋体"/>
          <w:color w:val="auto"/>
          <w:sz w:val="24"/>
          <w:highlight w:val="none"/>
          <w:lang w:val="en-US" w:eastAsia="zh-CN"/>
        </w:rPr>
      </w:pPr>
      <w:r>
        <w:rPr>
          <w:rFonts w:hint="eastAsia" w:ascii="宋体" w:hAnsi="宋体"/>
          <w:color w:val="auto"/>
          <w:sz w:val="24"/>
          <w:highlight w:val="none"/>
        </w:rPr>
        <w:t>例如：某项目</w:t>
      </w:r>
      <w:r>
        <w:rPr>
          <w:rFonts w:hint="eastAsia" w:ascii="宋体" w:hAnsi="宋体"/>
          <w:color w:val="auto"/>
          <w:sz w:val="24"/>
          <w:highlight w:val="none"/>
          <w:lang w:eastAsia="zh-CN"/>
        </w:rPr>
        <w:t>货物</w:t>
      </w:r>
      <w:r>
        <w:rPr>
          <w:rFonts w:hint="eastAsia" w:ascii="宋体" w:hAnsi="宋体"/>
          <w:color w:val="auto"/>
          <w:sz w:val="24"/>
          <w:highlight w:val="none"/>
        </w:rPr>
        <w:t>类招标代理业务中标金额为</w:t>
      </w:r>
      <w:r>
        <w:rPr>
          <w:rFonts w:hint="eastAsia" w:ascii="宋体" w:hAnsi="宋体"/>
          <w:color w:val="auto"/>
          <w:sz w:val="24"/>
          <w:highlight w:val="none"/>
          <w:lang w:val="en-US" w:eastAsia="zh-CN"/>
        </w:rPr>
        <w:t>50</w:t>
      </w:r>
      <w:r>
        <w:rPr>
          <w:rFonts w:hint="eastAsia" w:ascii="宋体" w:hAnsi="宋体"/>
          <w:color w:val="auto"/>
          <w:sz w:val="24"/>
          <w:highlight w:val="none"/>
        </w:rPr>
        <w:t>万元，计算中标服务费收费额如下：</w:t>
      </w:r>
      <w:r>
        <w:rPr>
          <w:rFonts w:hint="eastAsia" w:ascii="宋体" w:hAnsi="宋体"/>
          <w:color w:val="auto"/>
          <w:sz w:val="24"/>
          <w:highlight w:val="none"/>
          <w:lang w:val="en-US" w:eastAsia="zh-CN"/>
        </w:rPr>
        <w:t xml:space="preserve">  </w:t>
      </w:r>
    </w:p>
    <w:p>
      <w:pPr>
        <w:keepNext w:val="0"/>
        <w:keepLines w:val="0"/>
        <w:pageBreakBefore w:val="0"/>
        <w:kinsoku/>
        <w:topLinePunct w:val="0"/>
        <w:bidi w:val="0"/>
        <w:adjustRightInd w:val="0"/>
        <w:snapToGrid w:val="0"/>
        <w:spacing w:line="360" w:lineRule="auto"/>
        <w:ind w:left="479" w:leftChars="228" w:firstLine="720" w:firstLineChars="300"/>
        <w:jc w:val="left"/>
        <w:rPr>
          <w:rStyle w:val="970"/>
          <w:rFonts w:ascii="宋体" w:hAnsi="宋体" w:eastAsia="宋体"/>
          <w:b w:val="0"/>
          <w:i w:val="0"/>
          <w:caps w:val="0"/>
          <w:color w:val="auto"/>
          <w:spacing w:val="0"/>
          <w:w w:val="100"/>
          <w:kern w:val="2"/>
          <w:sz w:val="24"/>
          <w:szCs w:val="24"/>
          <w:highlight w:val="none"/>
          <w:lang w:val="en-US" w:eastAsia="zh-CN" w:bidi="ar-SA"/>
        </w:rPr>
      </w:pPr>
      <w:r>
        <w:rPr>
          <w:rStyle w:val="969"/>
          <w:rFonts w:hint="eastAsia" w:ascii="宋体" w:hAnsi="宋体"/>
          <w:b w:val="0"/>
          <w:i w:val="0"/>
          <w:caps w:val="0"/>
          <w:color w:val="auto"/>
          <w:spacing w:val="0"/>
          <w:w w:val="100"/>
          <w:kern w:val="2"/>
          <w:sz w:val="24"/>
          <w:szCs w:val="24"/>
          <w:highlight w:val="none"/>
          <w:lang w:val="en-US" w:eastAsia="zh-CN" w:bidi="ar-SA"/>
        </w:rPr>
        <w:t>50</w:t>
      </w:r>
      <w:r>
        <w:rPr>
          <w:rStyle w:val="969"/>
          <w:rFonts w:ascii="宋体" w:hAnsi="宋体"/>
          <w:b w:val="0"/>
          <w:i w:val="0"/>
          <w:caps w:val="0"/>
          <w:color w:val="auto"/>
          <w:spacing w:val="0"/>
          <w:w w:val="100"/>
          <w:kern w:val="2"/>
          <w:sz w:val="24"/>
          <w:szCs w:val="24"/>
          <w:highlight w:val="none"/>
          <w:lang w:val="en-US" w:eastAsia="zh-CN" w:bidi="ar-SA"/>
        </w:rPr>
        <w:t>万元×1.5%=</w:t>
      </w:r>
      <w:r>
        <w:rPr>
          <w:rStyle w:val="969"/>
          <w:rFonts w:hint="eastAsia" w:ascii="宋体" w:hAnsi="宋体"/>
          <w:b w:val="0"/>
          <w:i w:val="0"/>
          <w:caps w:val="0"/>
          <w:color w:val="auto"/>
          <w:spacing w:val="0"/>
          <w:w w:val="100"/>
          <w:kern w:val="2"/>
          <w:sz w:val="24"/>
          <w:szCs w:val="24"/>
          <w:highlight w:val="none"/>
          <w:lang w:val="en-US" w:eastAsia="zh-CN" w:bidi="ar-SA"/>
        </w:rPr>
        <w:t>7500</w:t>
      </w:r>
      <w:r>
        <w:rPr>
          <w:rStyle w:val="969"/>
          <w:rFonts w:ascii="宋体" w:hAnsi="宋体"/>
          <w:b w:val="0"/>
          <w:i w:val="0"/>
          <w:caps w:val="0"/>
          <w:color w:val="auto"/>
          <w:spacing w:val="0"/>
          <w:w w:val="100"/>
          <w:kern w:val="2"/>
          <w:sz w:val="24"/>
          <w:szCs w:val="24"/>
          <w:highlight w:val="none"/>
          <w:lang w:val="en-US" w:eastAsia="zh-CN" w:bidi="ar-SA"/>
        </w:rPr>
        <w:t>元</w:t>
      </w:r>
    </w:p>
    <w:p>
      <w:pPr>
        <w:keepNext w:val="0"/>
        <w:keepLines w:val="0"/>
        <w:pageBreakBefore w:val="0"/>
        <w:kinsoku/>
        <w:topLinePunct w:val="0"/>
        <w:bidi w:val="0"/>
        <w:adjustRightInd w:val="0"/>
        <w:snapToGrid w:val="0"/>
        <w:spacing w:line="360" w:lineRule="auto"/>
        <w:ind w:firstLine="600" w:firstLineChars="250"/>
        <w:jc w:val="left"/>
        <w:rPr>
          <w:rFonts w:hint="eastAsia" w:ascii="宋体" w:hAnsi="宋体"/>
          <w:bCs/>
          <w:color w:val="auto"/>
          <w:sz w:val="24"/>
          <w:highlight w:val="none"/>
          <w:lang w:val="zh-CN"/>
        </w:rPr>
      </w:pPr>
      <w:r>
        <w:rPr>
          <w:rFonts w:hint="eastAsia" w:ascii="宋体" w:hAnsi="宋体"/>
          <w:color w:val="auto"/>
          <w:sz w:val="24"/>
          <w:highlight w:val="none"/>
        </w:rPr>
        <w:t>3、本项目以</w:t>
      </w:r>
      <w:r>
        <w:rPr>
          <w:rFonts w:hint="eastAsia" w:ascii="宋体" w:hAnsi="宋体"/>
          <w:color w:val="auto"/>
          <w:sz w:val="24"/>
          <w:highlight w:val="none"/>
          <w:lang w:eastAsia="zh-CN"/>
        </w:rPr>
        <w:t>货物</w:t>
      </w:r>
      <w:r>
        <w:rPr>
          <w:rFonts w:hint="eastAsia" w:ascii="宋体" w:hAnsi="宋体"/>
          <w:color w:val="auto"/>
          <w:sz w:val="24"/>
          <w:highlight w:val="none"/>
        </w:rPr>
        <w:t>招标收费标准的</w:t>
      </w:r>
      <w:r>
        <w:rPr>
          <w:rFonts w:hint="eastAsia" w:ascii="宋体" w:hAnsi="宋体"/>
          <w:color w:val="auto"/>
          <w:sz w:val="24"/>
          <w:highlight w:val="none"/>
          <w:lang w:val="en-US" w:eastAsia="zh-CN"/>
        </w:rPr>
        <w:t>68</w:t>
      </w:r>
      <w:r>
        <w:rPr>
          <w:rFonts w:hint="eastAsia" w:ascii="宋体" w:hAnsi="宋体"/>
          <w:color w:val="auto"/>
          <w:sz w:val="24"/>
          <w:highlight w:val="none"/>
        </w:rPr>
        <w:t>%收取中标服务费</w:t>
      </w:r>
      <w:r>
        <w:rPr>
          <w:rFonts w:hint="eastAsia" w:ascii="宋体" w:hAnsi="宋体"/>
          <w:bCs/>
          <w:color w:val="auto"/>
          <w:sz w:val="24"/>
          <w:highlight w:val="none"/>
          <w:lang w:val="zh-CN"/>
        </w:rPr>
        <w:t>。</w:t>
      </w:r>
    </w:p>
    <w:p>
      <w:pPr>
        <w:keepNext w:val="0"/>
        <w:keepLines w:val="0"/>
        <w:pageBreakBefore w:val="0"/>
        <w:tabs>
          <w:tab w:val="left" w:pos="1862"/>
        </w:tabs>
        <w:kinsoku/>
        <w:topLinePunct w:val="0"/>
        <w:bidi w:val="0"/>
        <w:adjustRightInd w:val="0"/>
        <w:snapToGrid w:val="0"/>
        <w:spacing w:line="360" w:lineRule="auto"/>
        <w:ind w:firstLine="1080" w:firstLineChars="450"/>
        <w:jc w:val="left"/>
        <w:rPr>
          <w:rFonts w:hint="eastAsia" w:ascii="宋体" w:hAnsi="宋体"/>
          <w:color w:val="auto"/>
          <w:sz w:val="24"/>
          <w:highlight w:val="none"/>
        </w:rPr>
      </w:pPr>
      <w:r>
        <w:rPr>
          <w:rFonts w:hint="eastAsia" w:ascii="宋体" w:hAnsi="宋体"/>
          <w:color w:val="auto"/>
          <w:sz w:val="24"/>
          <w:highlight w:val="none"/>
        </w:rPr>
        <w:t xml:space="preserve">计收费 = </w:t>
      </w:r>
      <w:r>
        <w:rPr>
          <w:rFonts w:hint="eastAsia" w:ascii="宋体" w:hAnsi="宋体"/>
          <w:color w:val="auto"/>
          <w:sz w:val="24"/>
          <w:highlight w:val="none"/>
          <w:lang w:val="en-US" w:eastAsia="zh-CN"/>
        </w:rPr>
        <w:t>7500</w:t>
      </w:r>
      <w:r>
        <w:rPr>
          <w:rFonts w:hint="eastAsia" w:ascii="宋体" w:hAnsi="宋体"/>
          <w:color w:val="auto"/>
          <w:sz w:val="24"/>
          <w:highlight w:val="none"/>
        </w:rPr>
        <w:t>元×</w:t>
      </w:r>
      <w:r>
        <w:rPr>
          <w:rFonts w:hint="eastAsia" w:ascii="宋体" w:hAnsi="宋体"/>
          <w:color w:val="auto"/>
          <w:sz w:val="24"/>
          <w:highlight w:val="none"/>
          <w:lang w:val="en-US" w:eastAsia="zh-CN"/>
        </w:rPr>
        <w:t>68</w:t>
      </w:r>
      <w:r>
        <w:rPr>
          <w:rFonts w:hint="eastAsia" w:ascii="宋体" w:hAnsi="宋体"/>
          <w:color w:val="auto"/>
          <w:sz w:val="24"/>
          <w:highlight w:val="none"/>
        </w:rPr>
        <w:t>%=</w:t>
      </w:r>
      <w:r>
        <w:rPr>
          <w:rFonts w:hint="eastAsia" w:ascii="宋体" w:hAnsi="宋体"/>
          <w:color w:val="auto"/>
          <w:sz w:val="24"/>
          <w:highlight w:val="none"/>
          <w:lang w:val="en-US" w:eastAsia="zh-CN"/>
        </w:rPr>
        <w:t>5100</w:t>
      </w:r>
      <w:r>
        <w:rPr>
          <w:rFonts w:hint="eastAsia" w:ascii="宋体" w:hAnsi="宋体"/>
          <w:color w:val="auto"/>
          <w:sz w:val="24"/>
          <w:highlight w:val="none"/>
        </w:rPr>
        <w:t>元</w:t>
      </w:r>
    </w:p>
    <w:p>
      <w:pPr>
        <w:keepNext w:val="0"/>
        <w:keepLines w:val="0"/>
        <w:pageBreakBefore w:val="0"/>
        <w:kinsoku/>
        <w:topLinePunct w:val="0"/>
        <w:bidi w:val="0"/>
        <w:adjustRightInd w:val="0"/>
        <w:snapToGrid w:val="0"/>
        <w:spacing w:line="360" w:lineRule="auto"/>
        <w:ind w:firstLine="600" w:firstLineChars="250"/>
        <w:jc w:val="left"/>
        <w:rPr>
          <w:rFonts w:hint="eastAsia" w:ascii="宋体" w:hAnsi="宋体"/>
          <w:color w:val="auto"/>
          <w:sz w:val="24"/>
          <w:highlight w:val="none"/>
        </w:rPr>
      </w:pPr>
      <w:r>
        <w:rPr>
          <w:rFonts w:hint="eastAsia" w:ascii="宋体" w:hAnsi="宋体"/>
          <w:color w:val="auto"/>
          <w:sz w:val="24"/>
          <w:highlight w:val="none"/>
        </w:rPr>
        <w:t>4、服务费的货币为人民币。</w:t>
      </w:r>
    </w:p>
    <w:p>
      <w:pPr>
        <w:keepNext w:val="0"/>
        <w:keepLines w:val="0"/>
        <w:pageBreakBefore w:val="0"/>
        <w:kinsoku/>
        <w:topLinePunct w:val="0"/>
        <w:bidi w:val="0"/>
        <w:adjustRightInd w:val="0"/>
        <w:snapToGrid w:val="0"/>
        <w:spacing w:line="360" w:lineRule="auto"/>
        <w:ind w:firstLine="600" w:firstLineChars="250"/>
        <w:jc w:val="left"/>
        <w:rPr>
          <w:rFonts w:hint="eastAsia" w:ascii="宋体" w:hAnsi="宋体"/>
          <w:color w:val="auto"/>
          <w:sz w:val="24"/>
          <w:highlight w:val="none"/>
        </w:rPr>
      </w:pPr>
      <w:r>
        <w:rPr>
          <w:rFonts w:hint="eastAsia" w:ascii="宋体" w:hAnsi="宋体"/>
          <w:color w:val="auto"/>
          <w:sz w:val="24"/>
          <w:highlight w:val="none"/>
        </w:rPr>
        <w:t>5、服务费支付方式：一次性以银行划账、电汇、汇票或支票的形式支付。</w:t>
      </w:r>
    </w:p>
    <w:p>
      <w:pPr>
        <w:keepNext w:val="0"/>
        <w:keepLines w:val="0"/>
        <w:pageBreakBefore w:val="0"/>
        <w:kinsoku/>
        <w:topLinePunct w:val="0"/>
        <w:bidi w:val="0"/>
        <w:adjustRightInd w:val="0"/>
        <w:snapToGrid w:val="0"/>
        <w:spacing w:line="360" w:lineRule="auto"/>
        <w:ind w:firstLine="600" w:firstLineChars="250"/>
        <w:jc w:val="left"/>
        <w:rPr>
          <w:rFonts w:hint="eastAsia" w:ascii="宋体" w:hAnsi="宋体"/>
          <w:color w:val="auto"/>
          <w:sz w:val="24"/>
          <w:highlight w:val="none"/>
        </w:rPr>
      </w:pPr>
      <w:r>
        <w:rPr>
          <w:rFonts w:hint="eastAsia" w:ascii="宋体" w:hAnsi="宋体"/>
          <w:color w:val="auto"/>
          <w:sz w:val="24"/>
          <w:highlight w:val="none"/>
        </w:rPr>
        <w:t>6、服务费以银行划账方式按下列要求提交：</w:t>
      </w:r>
    </w:p>
    <w:p>
      <w:pPr>
        <w:keepNext w:val="0"/>
        <w:keepLines w:val="0"/>
        <w:pageBreakBefore w:val="0"/>
        <w:widowControl/>
        <w:kinsoku/>
        <w:topLinePunct w:val="0"/>
        <w:bidi w:val="0"/>
        <w:adjustRightInd w:val="0"/>
        <w:snapToGrid w:val="0"/>
        <w:spacing w:line="360" w:lineRule="auto"/>
        <w:ind w:firstLine="1080" w:firstLineChars="450"/>
        <w:jc w:val="left"/>
        <w:rPr>
          <w:rFonts w:hint="eastAsia" w:ascii="宋体" w:hAnsi="宋体"/>
          <w:color w:val="auto"/>
          <w:sz w:val="24"/>
          <w:highlight w:val="none"/>
        </w:rPr>
      </w:pPr>
      <w:r>
        <w:rPr>
          <w:rFonts w:hint="eastAsia" w:ascii="宋体" w:hAnsi="宋体"/>
          <w:color w:val="auto"/>
          <w:sz w:val="24"/>
          <w:highlight w:val="none"/>
        </w:rPr>
        <w:t>嘉兴市银建工程咨询评估有限公司嘉善魏塘分公司</w:t>
      </w:r>
    </w:p>
    <w:p>
      <w:pPr>
        <w:keepNext w:val="0"/>
        <w:keepLines w:val="0"/>
        <w:pageBreakBefore w:val="0"/>
        <w:widowControl/>
        <w:kinsoku/>
        <w:topLinePunct w:val="0"/>
        <w:bidi w:val="0"/>
        <w:adjustRightInd w:val="0"/>
        <w:snapToGrid w:val="0"/>
        <w:spacing w:line="360" w:lineRule="auto"/>
        <w:ind w:firstLine="1080" w:firstLineChars="450"/>
        <w:jc w:val="left"/>
        <w:rPr>
          <w:rFonts w:hint="eastAsia" w:ascii="宋体" w:hAnsi="宋体"/>
          <w:color w:val="auto"/>
          <w:sz w:val="24"/>
          <w:highlight w:val="none"/>
        </w:rPr>
      </w:pPr>
      <w:r>
        <w:rPr>
          <w:rFonts w:hint="eastAsia" w:ascii="宋体" w:hAnsi="宋体"/>
          <w:color w:val="auto"/>
          <w:sz w:val="24"/>
          <w:highlight w:val="none"/>
        </w:rPr>
        <w:t>开户行：嘉兴银行股份有限公司长三角一体化示范区(浙江嘉善)支行</w:t>
      </w:r>
    </w:p>
    <w:p>
      <w:pPr>
        <w:keepNext w:val="0"/>
        <w:keepLines w:val="0"/>
        <w:pageBreakBefore w:val="0"/>
        <w:widowControl w:val="0"/>
        <w:tabs>
          <w:tab w:val="left" w:pos="0"/>
        </w:tabs>
        <w:kinsoku/>
        <w:topLinePunct w:val="0"/>
        <w:bidi w:val="0"/>
        <w:adjustRightInd w:val="0"/>
        <w:spacing w:line="360" w:lineRule="auto"/>
        <w:ind w:firstLine="1024" w:firstLineChars="427"/>
        <w:textAlignment w:val="auto"/>
        <w:rPr>
          <w:rFonts w:ascii="仿宋_GB2312" w:hAnsi="仿宋" w:eastAsia="仿宋_GB2312" w:cs="仿宋_GB2312"/>
          <w:color w:val="auto"/>
          <w:sz w:val="18"/>
          <w:szCs w:val="18"/>
          <w:highlight w:val="none"/>
        </w:rPr>
      </w:pPr>
      <w:r>
        <w:rPr>
          <w:rFonts w:hint="eastAsia" w:ascii="宋体" w:hAnsi="宋体"/>
          <w:color w:val="auto"/>
          <w:sz w:val="24"/>
          <w:highlight w:val="none"/>
        </w:rPr>
        <w:t>账号：905101201900074615</w:t>
      </w:r>
    </w:p>
    <w:bookmarkEnd w:id="14"/>
    <w:p>
      <w:pPr>
        <w:tabs>
          <w:tab w:val="left" w:pos="0"/>
        </w:tabs>
        <w:spacing w:line="360" w:lineRule="auto"/>
        <w:ind w:firstLine="480"/>
        <w:rPr>
          <w:rFonts w:ascii="仿宋_GB2312" w:hAnsi="仿宋" w:eastAsia="仿宋_GB2312" w:cs="Helvetica"/>
          <w:color w:val="auto"/>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21" w:name="_Hlt68073093"/>
      <w:bookmarkEnd w:id="21"/>
      <w:bookmarkStart w:id="22" w:name="_Hlt74707468"/>
      <w:bookmarkEnd w:id="22"/>
      <w:bookmarkStart w:id="23" w:name="_Hlt74714665"/>
      <w:bookmarkEnd w:id="23"/>
      <w:bookmarkStart w:id="24" w:name="_Hlt75236101"/>
      <w:bookmarkEnd w:id="24"/>
      <w:bookmarkStart w:id="25" w:name="_Hlt74730295"/>
      <w:bookmarkEnd w:id="25"/>
      <w:bookmarkStart w:id="26" w:name="_Hlt74729768"/>
      <w:bookmarkEnd w:id="26"/>
      <w:bookmarkStart w:id="27" w:name="_Hlt68057669"/>
      <w:bookmarkEnd w:id="27"/>
      <w:bookmarkStart w:id="28" w:name="_Hlt75236011"/>
      <w:bookmarkEnd w:id="28"/>
      <w:bookmarkStart w:id="29" w:name="_Hlt68072998"/>
      <w:bookmarkEnd w:id="29"/>
      <w:bookmarkStart w:id="30" w:name="_Hlt68403820"/>
      <w:bookmarkEnd w:id="30"/>
      <w:bookmarkStart w:id="31" w:name="_Hlt68072990"/>
      <w:bookmarkEnd w:id="31"/>
      <w:bookmarkStart w:id="32" w:name="_Hlt75236290"/>
      <w:bookmarkEnd w:id="32"/>
    </w:p>
    <w:bookmarkEnd w:id="15"/>
    <w:bookmarkEnd w:id="16"/>
    <w:p>
      <w:pPr>
        <w:snapToGrid w:val="0"/>
        <w:spacing w:line="360" w:lineRule="auto"/>
        <w:jc w:val="center"/>
        <w:rPr>
          <w:rFonts w:ascii="仿宋" w:hAnsi="仿宋" w:eastAsia="仿宋" w:cs="仿宋_GB2312"/>
          <w:b/>
          <w:color w:val="auto"/>
          <w:sz w:val="36"/>
          <w:szCs w:val="36"/>
          <w:highlight w:val="none"/>
        </w:rPr>
      </w:pPr>
      <w:bookmarkStart w:id="33" w:name="第四部分"/>
      <w:r>
        <w:rPr>
          <w:rFonts w:hint="eastAsia" w:ascii="仿宋" w:hAnsi="仿宋" w:eastAsia="仿宋" w:cs="仿宋_GB2312"/>
          <w:b/>
          <w:color w:val="auto"/>
          <w:sz w:val="36"/>
          <w:szCs w:val="36"/>
          <w:highlight w:val="none"/>
        </w:rPr>
        <w:t>第四章 评标办法及评分标准</w:t>
      </w:r>
    </w:p>
    <w:bookmarkEnd w:id="33"/>
    <w:p>
      <w:pPr>
        <w:spacing w:line="480" w:lineRule="exact"/>
        <w:ind w:firstLine="420"/>
        <w:rPr>
          <w:rFonts w:hint="eastAsia" w:ascii="宋体" w:hAnsi="宋体" w:cs="宋体"/>
          <w:color w:val="auto"/>
          <w:sz w:val="24"/>
          <w:highlight w:val="none"/>
        </w:rPr>
      </w:pPr>
      <w:bookmarkStart w:id="34" w:name="_Toc406403000"/>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pStyle w:val="55"/>
        <w:spacing w:line="480" w:lineRule="exact"/>
        <w:rPr>
          <w:rFonts w:hint="eastAsia"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eastAsia="zh-CN"/>
        </w:rPr>
        <w:t>嘉善县图书馆第二次普通图书采购项目</w:t>
      </w:r>
      <w:r>
        <w:rPr>
          <w:rFonts w:hint="eastAsia" w:ascii="宋体" w:hAnsi="宋体" w:cs="宋体"/>
          <w:color w:val="auto"/>
          <w:sz w:val="24"/>
          <w:highlight w:val="none"/>
        </w:rPr>
        <w:t>的评标。</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一 、总则</w:t>
      </w: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本次评标采用综合评分法，总分为100分，其中价</w:t>
      </w:r>
      <w:r>
        <w:rPr>
          <w:rFonts w:hint="eastAsia" w:ascii="宋体" w:hAnsi="宋体"/>
          <w:color w:val="auto"/>
          <w:sz w:val="24"/>
          <w:highlight w:val="none"/>
        </w:rPr>
        <w:t>格分</w:t>
      </w:r>
      <w:r>
        <w:rPr>
          <w:rFonts w:hint="eastAsia" w:ascii="宋体" w:hAnsi="宋体"/>
          <w:color w:val="auto"/>
          <w:sz w:val="24"/>
          <w:highlight w:val="none"/>
          <w:lang w:val="en-US" w:eastAsia="zh-CN"/>
        </w:rPr>
        <w:t>30</w:t>
      </w:r>
      <w:r>
        <w:rPr>
          <w:rFonts w:hint="eastAsia" w:ascii="宋体" w:hAnsi="宋体"/>
          <w:color w:val="auto"/>
          <w:sz w:val="24"/>
          <w:highlight w:val="none"/>
        </w:rPr>
        <w:t>分、商务技术</w:t>
      </w:r>
      <w:r>
        <w:rPr>
          <w:rFonts w:hint="eastAsia" w:ascii="宋体" w:hAnsi="宋体"/>
          <w:color w:val="auto"/>
          <w:sz w:val="24"/>
          <w:highlight w:val="none"/>
          <w:lang w:val="en-US" w:eastAsia="zh-CN"/>
        </w:rPr>
        <w:t>70</w:t>
      </w:r>
      <w:r>
        <w:rPr>
          <w:rFonts w:hint="eastAsia" w:ascii="宋体" w:hAnsi="宋体"/>
          <w:color w:val="auto"/>
          <w:sz w:val="24"/>
          <w:highlight w:val="none"/>
        </w:rPr>
        <w:t>分（其中：商务资信分</w:t>
      </w:r>
      <w:r>
        <w:rPr>
          <w:rFonts w:hint="eastAsia" w:ascii="宋体" w:hAnsi="宋体"/>
          <w:color w:val="auto"/>
          <w:sz w:val="24"/>
          <w:highlight w:val="none"/>
          <w:lang w:val="en-US" w:eastAsia="zh-CN"/>
        </w:rPr>
        <w:t>11</w:t>
      </w:r>
      <w:r>
        <w:rPr>
          <w:rFonts w:hint="eastAsia" w:ascii="宋体" w:hAnsi="宋体"/>
          <w:color w:val="auto"/>
          <w:sz w:val="24"/>
          <w:highlight w:val="none"/>
        </w:rPr>
        <w:t>分，技术分</w:t>
      </w:r>
      <w:r>
        <w:rPr>
          <w:rFonts w:hint="eastAsia" w:ascii="宋体" w:hAnsi="宋体"/>
          <w:color w:val="auto"/>
          <w:sz w:val="24"/>
          <w:highlight w:val="none"/>
          <w:lang w:val="en-US" w:eastAsia="zh-CN"/>
        </w:rPr>
        <w:t>59</w:t>
      </w:r>
      <w:r>
        <w:rPr>
          <w:rFonts w:hint="eastAsia" w:ascii="宋体" w:hAnsi="宋体"/>
          <w:color w:val="auto"/>
          <w:sz w:val="24"/>
          <w:highlight w:val="none"/>
        </w:rPr>
        <w:t>分）</w:t>
      </w:r>
      <w:r>
        <w:rPr>
          <w:rFonts w:hint="eastAsia" w:ascii="宋体" w:hAnsi="宋体"/>
          <w:color w:val="auto"/>
          <w:sz w:val="24"/>
          <w:highlight w:val="none"/>
        </w:rPr>
        <w:t>。</w:t>
      </w:r>
      <w:r>
        <w:rPr>
          <w:rFonts w:hint="eastAsia" w:ascii="宋体" w:hAnsi="宋体"/>
          <w:color w:val="auto"/>
          <w:sz w:val="24"/>
          <w:highlight w:val="none"/>
        </w:rPr>
        <w:t>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r>
        <w:rPr>
          <w:rFonts w:hint="eastAsia" w:ascii="宋体" w:hAnsi="宋体"/>
          <w:color w:val="auto"/>
          <w:sz w:val="24"/>
          <w:highlight w:val="none"/>
        </w:rPr>
        <w:t>。</w:t>
      </w: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投标人评标综合得分=价格分+商务技术分</w:t>
      </w:r>
    </w:p>
    <w:p>
      <w:pPr>
        <w:spacing w:line="480" w:lineRule="exact"/>
        <w:rPr>
          <w:rFonts w:hint="eastAsia"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 xml:space="preserve"> </w:t>
      </w:r>
      <w:r>
        <w:rPr>
          <w:rFonts w:hint="eastAsia" w:ascii="宋体" w:hAnsi="宋体"/>
          <w:b/>
          <w:color w:val="auto"/>
          <w:sz w:val="24"/>
          <w:highlight w:val="none"/>
        </w:rPr>
        <w:t>、评标内容及标准</w:t>
      </w:r>
    </w:p>
    <w:p>
      <w:pPr>
        <w:pStyle w:val="25"/>
        <w:spacing w:line="480" w:lineRule="exact"/>
        <w:ind w:firstLine="0"/>
        <w:rPr>
          <w:rFonts w:hint="eastAsia" w:hAnsi="宋体"/>
          <w:b/>
          <w:bCs/>
          <w:color w:val="auto"/>
          <w:sz w:val="24"/>
          <w:szCs w:val="24"/>
          <w:highlight w:val="none"/>
        </w:rPr>
      </w:pPr>
      <w:r>
        <w:rPr>
          <w:rFonts w:hAnsi="宋体"/>
          <w:b/>
          <w:color w:val="auto"/>
          <w:sz w:val="24"/>
          <w:szCs w:val="24"/>
          <w:highlight w:val="none"/>
        </w:rPr>
        <w:t>（一）</w:t>
      </w:r>
      <w:r>
        <w:rPr>
          <w:rFonts w:hAnsi="宋体"/>
          <w:b/>
          <w:bCs/>
          <w:color w:val="auto"/>
          <w:sz w:val="24"/>
          <w:szCs w:val="24"/>
          <w:highlight w:val="none"/>
        </w:rPr>
        <w:t>价格分（</w:t>
      </w:r>
      <w:r>
        <w:rPr>
          <w:rFonts w:hint="eastAsia"/>
          <w:b/>
          <w:bCs/>
          <w:color w:val="auto"/>
          <w:sz w:val="24"/>
          <w:szCs w:val="24"/>
          <w:highlight w:val="none"/>
          <w:lang w:val="en-US" w:eastAsia="zh-CN"/>
        </w:rPr>
        <w:t>30</w:t>
      </w:r>
      <w:r>
        <w:rPr>
          <w:rFonts w:hint="eastAsia" w:hAnsi="宋体"/>
          <w:b/>
          <w:bCs/>
          <w:color w:val="auto"/>
          <w:sz w:val="24"/>
          <w:szCs w:val="24"/>
          <w:highlight w:val="none"/>
        </w:rPr>
        <w:t>分）其中图书码洋折扣报价得分28分，图书(含RFID)加工费报价得分2分</w:t>
      </w:r>
    </w:p>
    <w:p>
      <w:pPr>
        <w:pStyle w:val="25"/>
        <w:spacing w:line="480" w:lineRule="exact"/>
        <w:ind w:firstLine="480" w:firstLineChars="200"/>
        <w:rPr>
          <w:rFonts w:hAnsi="宋体"/>
          <w:color w:val="auto"/>
          <w:spacing w:val="0"/>
          <w:sz w:val="24"/>
          <w:szCs w:val="24"/>
          <w:highlight w:val="none"/>
        </w:rPr>
      </w:pPr>
      <w:r>
        <w:rPr>
          <w:rFonts w:hint="eastAsia" w:hAnsi="宋体"/>
          <w:color w:val="auto"/>
          <w:spacing w:val="0"/>
          <w:sz w:val="24"/>
          <w:szCs w:val="24"/>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价格分=图书码洋折扣报价得分+图书(含RFID)加工费报价得分</w:t>
      </w:r>
    </w:p>
    <w:p>
      <w:pPr>
        <w:spacing w:line="480" w:lineRule="exact"/>
        <w:ind w:firstLine="482" w:firstLineChars="200"/>
        <w:rPr>
          <w:rFonts w:hAnsi="宋体"/>
          <w:b/>
          <w:color w:val="auto"/>
          <w:sz w:val="24"/>
          <w:highlight w:val="none"/>
        </w:rPr>
      </w:pPr>
      <w:r>
        <w:rPr>
          <w:rFonts w:hint="eastAsia" w:hAnsi="宋体"/>
          <w:b/>
          <w:color w:val="auto"/>
          <w:sz w:val="24"/>
          <w:highlight w:val="none"/>
        </w:rPr>
        <w:t>图书码洋折扣报价得分=（评标基准价/</w:t>
      </w:r>
      <w:r>
        <w:rPr>
          <w:rFonts w:hint="eastAsia" w:hAnsi="宋体"/>
          <w:b/>
          <w:color w:val="auto"/>
          <w:sz w:val="24"/>
          <w:highlight w:val="none"/>
          <w:lang w:eastAsia="zh-CN"/>
        </w:rPr>
        <w:t>投标折扣率</w:t>
      </w:r>
      <w:r>
        <w:rPr>
          <w:rFonts w:hint="eastAsia" w:hAnsi="宋体"/>
          <w:b/>
          <w:color w:val="auto"/>
          <w:sz w:val="24"/>
          <w:highlight w:val="none"/>
        </w:rPr>
        <w:t>）×28%×100</w:t>
      </w:r>
    </w:p>
    <w:p>
      <w:pPr>
        <w:spacing w:line="480" w:lineRule="exact"/>
        <w:ind w:firstLine="482" w:firstLineChars="200"/>
        <w:rPr>
          <w:rFonts w:hint="eastAsia" w:hAnsi="宋体"/>
          <w:b/>
          <w:color w:val="auto"/>
          <w:sz w:val="24"/>
          <w:highlight w:val="none"/>
        </w:rPr>
      </w:pPr>
      <w:r>
        <w:rPr>
          <w:rFonts w:hint="eastAsia" w:hAnsi="宋体"/>
          <w:b/>
          <w:color w:val="auto"/>
          <w:sz w:val="24"/>
          <w:highlight w:val="none"/>
        </w:rPr>
        <w:t>图书(含RFID)加工费报价得分=（评标基准价/投标报价）×2%×100</w:t>
      </w:r>
    </w:p>
    <w:p>
      <w:pPr>
        <w:spacing w:line="480" w:lineRule="exact"/>
        <w:ind w:firstLine="480" w:firstLineChars="200"/>
        <w:rPr>
          <w:rFonts w:hint="eastAsia" w:hAnsi="宋体" w:eastAsia="宋体"/>
          <w:bCs/>
          <w:color w:val="auto"/>
          <w:sz w:val="24"/>
          <w:highlight w:val="none"/>
          <w:lang w:val="en-US" w:eastAsia="zh-CN"/>
        </w:rPr>
      </w:pPr>
      <w:r>
        <w:rPr>
          <w:rFonts w:hint="eastAsia" w:hAnsi="宋体"/>
          <w:bCs/>
          <w:color w:val="auto"/>
          <w:sz w:val="24"/>
          <w:highlight w:val="none"/>
          <w:lang w:val="en-US" w:eastAsia="zh-CN"/>
        </w:rPr>
        <w:t>2.</w:t>
      </w:r>
      <w:r>
        <w:rPr>
          <w:rFonts w:hint="eastAsia" w:ascii="宋体" w:hAnsi="宋体"/>
          <w:color w:val="auto"/>
          <w:sz w:val="24"/>
          <w:highlight w:val="none"/>
        </w:rPr>
        <w:t>本项目对于小型和微型企业（监狱和戒毒企业和残疾人福利性单位视同小微</w:t>
      </w:r>
      <w:r>
        <w:rPr>
          <w:rFonts w:hint="eastAsia" w:ascii="宋体" w:hAnsi="宋体"/>
          <w:color w:val="auto"/>
          <w:sz w:val="24"/>
          <w:highlight w:val="none"/>
          <w:lang w:eastAsia="zh-CN"/>
        </w:rPr>
        <w:t>，若为联合体投标的，联合体各方均为小微企业的，联合体视同小微企业</w:t>
      </w:r>
      <w:r>
        <w:rPr>
          <w:rFonts w:hint="eastAsia" w:ascii="宋体" w:hAnsi="宋体"/>
          <w:color w:val="auto"/>
          <w:sz w:val="24"/>
          <w:highlight w:val="none"/>
        </w:rPr>
        <w:t>）的报价给</w:t>
      </w:r>
      <w:r>
        <w:rPr>
          <w:rFonts w:hint="eastAsia" w:ascii="宋体" w:hAnsi="宋体"/>
          <w:color w:val="auto"/>
          <w:sz w:val="24"/>
          <w:highlight w:val="none"/>
        </w:rPr>
        <w:t>予</w:t>
      </w:r>
      <w:r>
        <w:rPr>
          <w:rFonts w:hint="eastAsia" w:ascii="宋体" w:hAnsi="宋体"/>
          <w:color w:val="auto"/>
          <w:sz w:val="24"/>
          <w:highlight w:val="none"/>
          <w:lang w:val="en-US" w:eastAsia="zh-CN"/>
        </w:rPr>
        <w:t>20</w:t>
      </w:r>
      <w:r>
        <w:rPr>
          <w:rFonts w:hint="eastAsia" w:ascii="宋体" w:hAnsi="宋体"/>
          <w:color w:val="auto"/>
          <w:sz w:val="24"/>
          <w:highlight w:val="none"/>
        </w:rPr>
        <w:t>%的</w:t>
      </w:r>
      <w:r>
        <w:rPr>
          <w:rFonts w:hint="eastAsia" w:ascii="宋体" w:hAnsi="宋体"/>
          <w:color w:val="auto"/>
          <w:sz w:val="24"/>
          <w:highlight w:val="none"/>
        </w:rPr>
        <w:t>扣除；大中型企业符合要求的，报价给</w:t>
      </w:r>
      <w:r>
        <w:rPr>
          <w:rFonts w:hint="eastAsia" w:ascii="宋体" w:hAnsi="宋体"/>
          <w:color w:val="auto"/>
          <w:sz w:val="24"/>
          <w:highlight w:val="none"/>
        </w:rPr>
        <w:t>予</w:t>
      </w:r>
      <w:r>
        <w:rPr>
          <w:rFonts w:hint="eastAsia" w:ascii="宋体" w:hAnsi="宋体"/>
          <w:color w:val="auto"/>
          <w:sz w:val="24"/>
          <w:highlight w:val="none"/>
          <w:lang w:val="en-US" w:eastAsia="zh-CN"/>
        </w:rPr>
        <w:t>6</w:t>
      </w:r>
      <w:r>
        <w:rPr>
          <w:rFonts w:hint="eastAsia" w:ascii="宋体" w:hAnsi="宋体"/>
          <w:color w:val="auto"/>
          <w:sz w:val="24"/>
          <w:highlight w:val="none"/>
        </w:rPr>
        <w:t>%的</w:t>
      </w:r>
      <w:r>
        <w:rPr>
          <w:rFonts w:hint="eastAsia" w:ascii="宋体" w:hAnsi="宋体"/>
          <w:color w:val="auto"/>
          <w:sz w:val="24"/>
          <w:highlight w:val="none"/>
        </w:rPr>
        <w:t>扣除；用扣除后的价格参与评审。小型和微型企业应提供《中小企业声明函》</w:t>
      </w:r>
      <w:r>
        <w:rPr>
          <w:rFonts w:hint="eastAsia" w:ascii="宋体" w:hAnsi="宋体" w:cs="宋体"/>
          <w:color w:val="auto"/>
          <w:sz w:val="24"/>
          <w:highlight w:val="none"/>
        </w:rPr>
        <w:t>（格式见第六章）</w:t>
      </w:r>
      <w:r>
        <w:rPr>
          <w:rFonts w:hint="eastAsia" w:ascii="宋体" w:hAnsi="宋体"/>
          <w:color w:val="auto"/>
          <w:sz w:val="24"/>
          <w:highlight w:val="none"/>
        </w:rPr>
        <w:t>；监狱企业应提供监狱企业证明材料；残疾人福利性单位应提供残疾人福利性单位声明函；大中型企业应提供符合要求的分包意向协议</w:t>
      </w:r>
      <w:r>
        <w:rPr>
          <w:rFonts w:hint="eastAsia" w:ascii="宋体" w:hAnsi="宋体"/>
          <w:color w:val="auto"/>
          <w:sz w:val="24"/>
          <w:highlight w:val="none"/>
          <w:lang w:eastAsia="zh-CN"/>
        </w:rPr>
        <w:t>或联合协议</w:t>
      </w:r>
      <w:r>
        <w:rPr>
          <w:rFonts w:hint="eastAsia" w:ascii="宋体" w:hAnsi="宋体" w:cs="宋体"/>
          <w:color w:val="auto"/>
          <w:sz w:val="24"/>
          <w:highlight w:val="none"/>
        </w:rPr>
        <w:t>（格式见第六章）</w:t>
      </w:r>
      <w:r>
        <w:rPr>
          <w:rFonts w:hint="eastAsia" w:ascii="宋体" w:hAnsi="宋体"/>
          <w:color w:val="auto"/>
          <w:sz w:val="24"/>
          <w:highlight w:val="none"/>
        </w:rPr>
        <w:t>。以上材料未提供不享受报价优惠</w:t>
      </w:r>
    </w:p>
    <w:p>
      <w:pPr>
        <w:spacing w:line="480" w:lineRule="exact"/>
        <w:ind w:firstLine="480" w:firstLineChars="200"/>
        <w:rPr>
          <w:rFonts w:hAnsi="宋体"/>
          <w:bCs/>
          <w:color w:val="auto"/>
          <w:sz w:val="24"/>
          <w:highlight w:val="none"/>
        </w:rPr>
      </w:pPr>
      <w:r>
        <w:rPr>
          <w:rFonts w:hint="eastAsia" w:hAnsi="宋体"/>
          <w:bCs/>
          <w:color w:val="auto"/>
          <w:sz w:val="24"/>
          <w:highlight w:val="none"/>
          <w:lang w:val="en-US" w:eastAsia="zh-CN"/>
        </w:rPr>
        <w:t>3.</w:t>
      </w:r>
      <w:r>
        <w:rPr>
          <w:rFonts w:hint="eastAsia" w:hAnsi="宋体"/>
          <w:bCs/>
          <w:color w:val="auto"/>
          <w:sz w:val="24"/>
          <w:highlight w:val="none"/>
        </w:rPr>
        <w:t>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spacing w:before="120" w:beforeLines="50" w:after="120" w:afterLines="50" w:line="360" w:lineRule="auto"/>
        <w:ind w:firstLine="0"/>
        <w:rPr>
          <w:rFonts w:hint="eastAsia" w:hAnsi="宋体" w:cs="宋体"/>
          <w:b/>
          <w:color w:val="auto"/>
          <w:sz w:val="24"/>
          <w:szCs w:val="24"/>
          <w:highlight w:val="none"/>
        </w:rPr>
      </w:pPr>
      <w:r>
        <w:rPr>
          <w:rFonts w:hint="eastAsia" w:hAnsi="宋体" w:cs="宋体"/>
          <w:b/>
          <w:color w:val="auto"/>
          <w:sz w:val="24"/>
          <w:szCs w:val="24"/>
          <w:highlight w:val="none"/>
        </w:rPr>
        <w:t>（二）商务资信分（</w:t>
      </w:r>
      <w:r>
        <w:rPr>
          <w:rFonts w:hint="eastAsia" w:cs="宋体"/>
          <w:b/>
          <w:color w:val="auto"/>
          <w:sz w:val="24"/>
          <w:szCs w:val="24"/>
          <w:highlight w:val="none"/>
          <w:lang w:val="en-US" w:eastAsia="zh-CN"/>
        </w:rPr>
        <w:t>11</w:t>
      </w:r>
      <w:r>
        <w:rPr>
          <w:rFonts w:hint="eastAsia" w:hAnsi="宋体" w:cs="宋体"/>
          <w:b/>
          <w:color w:val="auto"/>
          <w:sz w:val="24"/>
          <w:szCs w:val="24"/>
          <w:highlight w:val="none"/>
        </w:rPr>
        <w:t>分）</w:t>
      </w:r>
    </w:p>
    <w:tbl>
      <w:tblPr>
        <w:tblStyle w:val="63"/>
        <w:tblW w:w="8378" w:type="dxa"/>
        <w:jc w:val="center"/>
        <w:tblLayout w:type="fixed"/>
        <w:tblCellMar>
          <w:top w:w="0" w:type="dxa"/>
          <w:left w:w="108" w:type="dxa"/>
          <w:bottom w:w="0" w:type="dxa"/>
          <w:right w:w="108" w:type="dxa"/>
        </w:tblCellMar>
      </w:tblPr>
      <w:tblGrid>
        <w:gridCol w:w="516"/>
        <w:gridCol w:w="982"/>
        <w:gridCol w:w="6068"/>
        <w:gridCol w:w="812"/>
      </w:tblGrid>
      <w:tr>
        <w:tblPrEx>
          <w:tblCellMar>
            <w:top w:w="0" w:type="dxa"/>
            <w:left w:w="108" w:type="dxa"/>
            <w:bottom w:w="0" w:type="dxa"/>
            <w:right w:w="108" w:type="dxa"/>
          </w:tblCellMar>
        </w:tblPrEx>
        <w:trPr>
          <w:trHeight w:val="1760" w:hRule="exact"/>
          <w:jc w:val="center"/>
        </w:trPr>
        <w:tc>
          <w:tcPr>
            <w:tcW w:w="516" w:type="dxa"/>
            <w:vMerge w:val="restart"/>
            <w:tcBorders>
              <w:top w:val="single" w:color="auto" w:sz="4" w:space="0"/>
              <w:left w:val="single" w:color="auto" w:sz="4" w:space="0"/>
              <w:right w:val="single" w:color="auto" w:sz="4" w:space="0"/>
            </w:tcBorders>
            <w:noWrap w:val="0"/>
            <w:vAlign w:val="center"/>
          </w:tcPr>
          <w:p>
            <w:pPr>
              <w:pStyle w:val="841"/>
              <w:widowControl/>
              <w:tabs>
                <w:tab w:val="left" w:pos="0"/>
                <w:tab w:val="clear" w:pos="8268"/>
              </w:tabs>
              <w:spacing w:line="400" w:lineRule="atLeast"/>
              <w:ind w:left="0" w:leftChars="0" w:firstLine="0" w:firstLineChars="0"/>
              <w:jc w:val="both"/>
              <w:rPr>
                <w:rFonts w:hint="eastAsia" w:ascii="宋体" w:hAnsi="宋体" w:eastAsia="宋体" w:cs="宋体"/>
                <w:b w:val="0"/>
                <w:color w:val="auto"/>
                <w:kern w:val="0"/>
                <w:sz w:val="21"/>
                <w:szCs w:val="21"/>
                <w:highlight w:val="none"/>
                <w:lang w:val="en-US" w:eastAsia="zh-CN" w:bidi="ar-SA"/>
              </w:rPr>
            </w:pPr>
            <w:r>
              <w:rPr>
                <w:rFonts w:hint="eastAsia" w:ascii="宋体" w:hAnsi="宋体" w:eastAsia="宋体" w:cs="宋体"/>
                <w:color w:val="auto"/>
                <w:kern w:val="0"/>
                <w:sz w:val="24"/>
                <w:szCs w:val="24"/>
                <w:highlight w:val="none"/>
                <w:lang w:val="en-US" w:eastAsia="zh-CN" w:bidi="ar-SA"/>
              </w:rPr>
              <w:t>商资信分11分</w:t>
            </w:r>
          </w:p>
          <w:p>
            <w:pPr>
              <w:pStyle w:val="841"/>
              <w:tabs>
                <w:tab w:val="left" w:pos="0"/>
                <w:tab w:val="clear" w:pos="8268"/>
              </w:tabs>
              <w:spacing w:line="302" w:lineRule="auto"/>
              <w:jc w:val="center"/>
              <w:rPr>
                <w:rFonts w:hint="eastAsia" w:ascii="宋体" w:hAnsi="宋体" w:eastAsia="宋体" w:cs="宋体"/>
                <w:b w:val="0"/>
                <w:color w:val="auto"/>
                <w:kern w:val="0"/>
                <w:sz w:val="21"/>
                <w:szCs w:val="21"/>
                <w:highlight w:val="none"/>
                <w:lang w:val="en-US" w:eastAsia="zh-CN" w:bidi="ar-SA"/>
              </w:rPr>
            </w:pPr>
          </w:p>
          <w:p>
            <w:pPr>
              <w:pStyle w:val="841"/>
              <w:tabs>
                <w:tab w:val="left" w:pos="0"/>
                <w:tab w:val="clear" w:pos="8268"/>
              </w:tabs>
              <w:spacing w:line="302" w:lineRule="auto"/>
              <w:jc w:val="center"/>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964"/>
              <w:snapToGrid w:val="0"/>
              <w:spacing w:line="360" w:lineRule="auto"/>
              <w:jc w:val="left"/>
              <w:rPr>
                <w:rFonts w:hint="eastAsia" w:ascii="宋体" w:hAnsi="宋体" w:eastAsia="宋体" w:cs="宋体"/>
                <w:color w:val="auto"/>
                <w:kern w:val="0"/>
                <w:szCs w:val="21"/>
                <w:highlight w:val="none"/>
              </w:rPr>
            </w:pPr>
            <w:r>
              <w:rPr>
                <w:rFonts w:hint="eastAsia" w:ascii="宋体" w:hAnsi="宋体" w:cs="宋体"/>
                <w:color w:val="auto"/>
                <w:kern w:val="0"/>
                <w:sz w:val="24"/>
                <w:highlight w:val="none"/>
              </w:rPr>
              <w:t>诚信分</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auto"/>
                <w:kern w:val="0"/>
                <w:szCs w:val="21"/>
                <w:highlight w:val="none"/>
              </w:rPr>
            </w:pPr>
            <w:r>
              <w:rPr>
                <w:rFonts w:hint="eastAsia" w:ascii="宋体" w:hAnsi="宋体" w:cs="宋体"/>
                <w:color w:val="auto"/>
                <w:kern w:val="0"/>
                <w:sz w:val="24"/>
                <w:highlight w:val="none"/>
              </w:rPr>
              <w:t>凡在投标截止时间前三年受到行政处罚、行政处理（含通报）或记入不良行为的，此项得分为0，若无处罚、行政处理（含通报）或记入不良行为的得3分（供应商自行提供，如有不良记录又虚假隐瞒的，一经发现将取消投标资格）。</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cs="宋体"/>
                <w:color w:val="auto"/>
                <w:sz w:val="24"/>
                <w:highlight w:val="none"/>
              </w:rPr>
              <w:t>0或3分</w:t>
            </w:r>
          </w:p>
        </w:tc>
      </w:tr>
      <w:tr>
        <w:tblPrEx>
          <w:tblCellMar>
            <w:top w:w="0" w:type="dxa"/>
            <w:left w:w="108" w:type="dxa"/>
            <w:bottom w:w="0" w:type="dxa"/>
            <w:right w:w="108" w:type="dxa"/>
          </w:tblCellMar>
        </w:tblPrEx>
        <w:trPr>
          <w:trHeight w:val="768" w:hRule="exact"/>
          <w:jc w:val="center"/>
        </w:trPr>
        <w:tc>
          <w:tcPr>
            <w:tcW w:w="516" w:type="dxa"/>
            <w:vMerge w:val="continue"/>
            <w:tcBorders>
              <w:left w:val="single" w:color="auto" w:sz="4" w:space="0"/>
              <w:right w:val="single" w:color="auto" w:sz="4" w:space="0"/>
            </w:tcBorders>
            <w:noWrap w:val="0"/>
            <w:vAlign w:val="center"/>
          </w:tcPr>
          <w:p>
            <w:pPr>
              <w:pStyle w:val="841"/>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ascii="宋体" w:hAnsi="宋体" w:eastAsia="宋体" w:cs="宋体"/>
                <w:color w:val="auto"/>
                <w:kern w:val="0"/>
                <w:szCs w:val="21"/>
                <w:highlight w:val="none"/>
              </w:rPr>
            </w:pPr>
            <w:r>
              <w:rPr>
                <w:rFonts w:hint="eastAsia" w:ascii="宋体" w:hAnsi="宋体" w:cs="宋体"/>
                <w:color w:val="auto"/>
                <w:kern w:val="0"/>
                <w:sz w:val="24"/>
                <w:highlight w:val="none"/>
                <w:lang w:eastAsia="zh-CN"/>
              </w:rPr>
              <w:t>投标企业实力</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投标人具有有效的质量管理体系认证证书，得</w:t>
            </w: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分；</w:t>
            </w:r>
          </w:p>
          <w:p>
            <w:pPr>
              <w:snapToGrid w:val="0"/>
              <w:spacing w:before="0" w:beforeAutospacing="0" w:after="0" w:afterAutospacing="0" w:line="276" w:lineRule="auto"/>
              <w:jc w:val="both"/>
              <w:textAlignment w:val="baseline"/>
              <w:rPr>
                <w:rFonts w:hint="eastAsia" w:ascii="宋体" w:hAnsi="宋体" w:eastAsia="宋体" w:cs="宋体"/>
                <w:color w:val="auto"/>
                <w:kern w:val="0"/>
                <w:szCs w:val="21"/>
                <w:highlight w:val="none"/>
                <w:lang w:eastAsia="zh-CN"/>
              </w:rPr>
            </w:pPr>
            <w:r>
              <w:rPr>
                <w:rFonts w:hint="eastAsia" w:ascii="宋体" w:hAnsi="宋体" w:cs="宋体"/>
                <w:color w:val="auto"/>
                <w:kern w:val="0"/>
                <w:sz w:val="24"/>
                <w:szCs w:val="24"/>
                <w:highlight w:val="none"/>
              </w:rPr>
              <w:t>（提供证书复印件加盖投标人公章，否则不得分）</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76" w:lineRule="auto"/>
              <w:jc w:val="center"/>
              <w:textAlignment w:val="baseline"/>
              <w:rPr>
                <w:rFonts w:hint="default" w:ascii="宋体" w:hAnsi="宋体" w:eastAsia="宋体" w:cs="宋体"/>
                <w:color w:val="auto"/>
                <w:kern w:val="0"/>
                <w:szCs w:val="21"/>
                <w:highlight w:val="none"/>
                <w:lang w:val="en-US"/>
              </w:rPr>
            </w:pPr>
            <w:r>
              <w:rPr>
                <w:rStyle w:val="969"/>
                <w:rFonts w:hint="eastAsia" w:ascii="宋体" w:hAnsi="宋体"/>
                <w:b w:val="0"/>
                <w:i w:val="0"/>
                <w:caps w:val="0"/>
                <w:color w:val="auto"/>
                <w:spacing w:val="0"/>
                <w:w w:val="100"/>
                <w:kern w:val="0"/>
                <w:sz w:val="24"/>
                <w:szCs w:val="24"/>
                <w:highlight w:val="none"/>
                <w:lang w:val="en-US" w:eastAsia="zh-CN" w:bidi="ar-SA"/>
              </w:rPr>
              <w:t>0或2分</w:t>
            </w:r>
          </w:p>
        </w:tc>
      </w:tr>
      <w:tr>
        <w:tblPrEx>
          <w:tblCellMar>
            <w:top w:w="0" w:type="dxa"/>
            <w:left w:w="108" w:type="dxa"/>
            <w:bottom w:w="0" w:type="dxa"/>
            <w:right w:w="108" w:type="dxa"/>
          </w:tblCellMar>
        </w:tblPrEx>
        <w:trPr>
          <w:trHeight w:val="1348" w:hRule="exact"/>
          <w:jc w:val="center"/>
        </w:trPr>
        <w:tc>
          <w:tcPr>
            <w:tcW w:w="516" w:type="dxa"/>
            <w:vMerge w:val="continue"/>
            <w:tcBorders>
              <w:left w:val="single" w:color="auto" w:sz="4" w:space="0"/>
              <w:right w:val="single" w:color="auto" w:sz="4" w:space="0"/>
            </w:tcBorders>
            <w:noWrap w:val="0"/>
            <w:vAlign w:val="center"/>
          </w:tcPr>
          <w:p>
            <w:pPr>
              <w:pStyle w:val="841"/>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Cs w:val="21"/>
                <w:highlight w:val="none"/>
              </w:rPr>
            </w:pPr>
            <w:r>
              <w:rPr>
                <w:rFonts w:hint="eastAsia" w:ascii="宋体" w:hAnsi="宋体" w:eastAsia="宋体" w:cs="宋体"/>
                <w:b w:val="0"/>
                <w:bCs/>
                <w:snapToGrid/>
                <w:color w:val="auto"/>
                <w:kern w:val="0"/>
                <w:sz w:val="24"/>
                <w:szCs w:val="24"/>
                <w:highlight w:val="none"/>
                <w:lang w:val="en-US" w:eastAsia="zh-CN" w:bidi="ar"/>
              </w:rPr>
              <w:t>能力或业绩要求</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highlight w:val="none"/>
                <w:lang w:val="en-US" w:eastAsia="zh-CN"/>
              </w:rPr>
            </w:pPr>
            <w:r>
              <w:rPr>
                <w:rFonts w:hint="eastAsia" w:ascii="宋体" w:hAnsi="宋体" w:cs="宋体"/>
                <w:b w:val="0"/>
                <w:bCs/>
                <w:snapToGrid/>
                <w:color w:val="auto"/>
                <w:kern w:val="0"/>
                <w:sz w:val="24"/>
                <w:szCs w:val="24"/>
                <w:highlight w:val="none"/>
                <w:lang w:val="en-US" w:eastAsia="zh-CN" w:bidi="ar"/>
              </w:rPr>
              <w:t>投标人</w:t>
            </w:r>
            <w:r>
              <w:rPr>
                <w:rFonts w:hint="eastAsia" w:ascii="宋体" w:hAnsi="宋体" w:eastAsia="宋体" w:cs="宋体"/>
                <w:b w:val="0"/>
                <w:bCs/>
                <w:snapToGrid/>
                <w:color w:val="auto"/>
                <w:kern w:val="0"/>
                <w:sz w:val="24"/>
                <w:szCs w:val="24"/>
                <w:highlight w:val="none"/>
                <w:lang w:val="en-US" w:eastAsia="zh-CN" w:bidi="ar"/>
              </w:rPr>
              <w:t>近三年（自投标截止日起往前追溯3年，以合同签订时间为准）以来具有同类项目业绩的，每提供一份得1分，最高得</w:t>
            </w:r>
            <w:r>
              <w:rPr>
                <w:rFonts w:hint="eastAsia" w:ascii="宋体" w:hAnsi="宋体" w:cs="宋体"/>
                <w:b w:val="0"/>
                <w:bCs/>
                <w:snapToGrid/>
                <w:color w:val="auto"/>
                <w:kern w:val="0"/>
                <w:sz w:val="24"/>
                <w:szCs w:val="24"/>
                <w:highlight w:val="none"/>
                <w:lang w:val="en-US" w:eastAsia="zh-CN" w:bidi="ar"/>
              </w:rPr>
              <w:t>3</w:t>
            </w:r>
            <w:r>
              <w:rPr>
                <w:rFonts w:hint="eastAsia" w:ascii="宋体" w:hAnsi="宋体" w:eastAsia="宋体" w:cs="宋体"/>
                <w:b w:val="0"/>
                <w:bCs/>
                <w:snapToGrid/>
                <w:color w:val="auto"/>
                <w:kern w:val="0"/>
                <w:sz w:val="24"/>
                <w:szCs w:val="24"/>
                <w:highlight w:val="none"/>
                <w:lang w:val="en-US" w:eastAsia="zh-CN" w:bidi="ar"/>
              </w:rPr>
              <w:t>分；（</w:t>
            </w:r>
            <w:r>
              <w:rPr>
                <w:rFonts w:hint="eastAsia" w:ascii="宋体" w:hAnsi="宋体" w:cs="宋体"/>
                <w:b w:val="0"/>
                <w:bCs/>
                <w:snapToGrid/>
                <w:color w:val="auto"/>
                <w:kern w:val="0"/>
                <w:sz w:val="24"/>
                <w:szCs w:val="24"/>
                <w:highlight w:val="none"/>
                <w:lang w:val="en-US" w:eastAsia="zh-CN" w:bidi="ar"/>
              </w:rPr>
              <w:t>中标通知书、</w:t>
            </w:r>
            <w:r>
              <w:rPr>
                <w:rFonts w:hint="eastAsia" w:ascii="宋体" w:hAnsi="宋体" w:eastAsia="宋体" w:cs="宋体"/>
                <w:b w:val="0"/>
                <w:bCs/>
                <w:snapToGrid/>
                <w:color w:val="auto"/>
                <w:kern w:val="0"/>
                <w:sz w:val="24"/>
                <w:szCs w:val="24"/>
                <w:highlight w:val="none"/>
                <w:lang w:val="en-US" w:eastAsia="zh-CN" w:bidi="ar"/>
              </w:rPr>
              <w:t>合同同时提供，缺一不可，否则不得分</w:t>
            </w:r>
            <w:r>
              <w:rPr>
                <w:rFonts w:hint="eastAsia" w:ascii="宋体" w:hAnsi="宋体" w:eastAsia="宋体" w:cs="宋体"/>
                <w:b w:val="0"/>
                <w:bCs/>
                <w:snapToGrid/>
                <w:color w:val="auto"/>
                <w:kern w:val="0"/>
                <w:sz w:val="24"/>
                <w:szCs w:val="24"/>
                <w:highlight w:val="none"/>
                <w:lang w:val="en-US" w:eastAsia="zh-CN" w:bidi="ar"/>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val="0"/>
                <w:color w:val="auto"/>
                <w:kern w:val="0"/>
                <w:sz w:val="21"/>
                <w:szCs w:val="21"/>
                <w:highlight w:val="none"/>
                <w:lang w:val="en-US" w:eastAsia="zh-CN" w:bidi="ar-SA"/>
              </w:rPr>
            </w:pPr>
            <w:r>
              <w:rPr>
                <w:rFonts w:hint="eastAsia" w:ascii="宋体" w:hAnsi="宋体" w:eastAsia="宋体" w:cs="宋体"/>
                <w:b w:val="0"/>
                <w:bCs/>
                <w:snapToGrid/>
                <w:color w:val="auto"/>
                <w:kern w:val="0"/>
                <w:sz w:val="24"/>
                <w:szCs w:val="24"/>
                <w:highlight w:val="none"/>
                <w:lang w:val="en-US" w:eastAsia="zh-CN" w:bidi="ar"/>
              </w:rPr>
              <w:t>0或1或2</w:t>
            </w:r>
            <w:r>
              <w:rPr>
                <w:rFonts w:hint="eastAsia" w:ascii="宋体" w:hAnsi="宋体" w:cs="宋体"/>
                <w:b w:val="0"/>
                <w:bCs/>
                <w:snapToGrid/>
                <w:color w:val="auto"/>
                <w:kern w:val="0"/>
                <w:sz w:val="24"/>
                <w:szCs w:val="24"/>
                <w:highlight w:val="none"/>
                <w:lang w:val="en-US" w:eastAsia="zh-CN" w:bidi="ar"/>
              </w:rPr>
              <w:t>或3分</w:t>
            </w:r>
          </w:p>
        </w:tc>
      </w:tr>
      <w:tr>
        <w:tblPrEx>
          <w:tblCellMar>
            <w:top w:w="0" w:type="dxa"/>
            <w:left w:w="108" w:type="dxa"/>
            <w:bottom w:w="0" w:type="dxa"/>
            <w:right w:w="108" w:type="dxa"/>
          </w:tblCellMar>
        </w:tblPrEx>
        <w:trPr>
          <w:trHeight w:val="936" w:hRule="exact"/>
          <w:jc w:val="center"/>
        </w:trPr>
        <w:tc>
          <w:tcPr>
            <w:tcW w:w="516" w:type="dxa"/>
            <w:vMerge w:val="continue"/>
            <w:tcBorders>
              <w:left w:val="single" w:color="auto" w:sz="4" w:space="0"/>
              <w:right w:val="single" w:color="auto" w:sz="4" w:space="0"/>
            </w:tcBorders>
            <w:noWrap w:val="0"/>
            <w:vAlign w:val="center"/>
          </w:tcPr>
          <w:p>
            <w:pPr>
              <w:pStyle w:val="841"/>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textAlignment w:val="baseline"/>
              <w:rPr>
                <w:rFonts w:hint="eastAsia" w:ascii="宋体" w:hAnsi="宋体" w:eastAsia="宋体" w:cs="宋体"/>
                <w:color w:val="auto"/>
                <w:kern w:val="0"/>
                <w:szCs w:val="21"/>
                <w:highlight w:val="none"/>
              </w:rPr>
            </w:pPr>
            <w:r>
              <w:rPr>
                <w:rStyle w:val="969"/>
                <w:rFonts w:hint="eastAsia" w:ascii="宋体" w:hAnsi="宋体"/>
                <w:color w:val="auto"/>
                <w:kern w:val="0"/>
                <w:sz w:val="24"/>
                <w:highlight w:val="none"/>
              </w:rPr>
              <w:t>优惠条件</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textAlignment w:val="baseline"/>
              <w:rPr>
                <w:rFonts w:hint="eastAsia" w:ascii="宋体" w:hAnsi="宋体" w:eastAsia="宋体" w:cs="宋体"/>
                <w:color w:val="auto"/>
                <w:kern w:val="0"/>
                <w:szCs w:val="21"/>
                <w:highlight w:val="none"/>
              </w:rPr>
            </w:pPr>
            <w:r>
              <w:rPr>
                <w:rStyle w:val="969"/>
                <w:rFonts w:hint="eastAsia" w:ascii="宋体" w:hAnsi="宋体"/>
                <w:b w:val="0"/>
                <w:bCs w:val="0"/>
                <w:color w:val="auto"/>
                <w:kern w:val="0"/>
                <w:sz w:val="24"/>
                <w:highlight w:val="none"/>
              </w:rPr>
              <w:t>本次投标单位对最终用户的优惠条件（以投标文件内文字明确为准）。</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textAlignment w:val="baseline"/>
              <w:rPr>
                <w:rFonts w:hint="eastAsia" w:ascii="宋体" w:hAnsi="宋体" w:eastAsia="宋体" w:cs="宋体"/>
                <w:b w:val="0"/>
                <w:color w:val="auto"/>
                <w:kern w:val="0"/>
                <w:sz w:val="21"/>
                <w:szCs w:val="21"/>
                <w:highlight w:val="none"/>
                <w:lang w:val="en-US" w:eastAsia="zh-CN" w:bidi="ar-SA"/>
              </w:rPr>
            </w:pPr>
            <w:r>
              <w:rPr>
                <w:rStyle w:val="969"/>
                <w:rFonts w:hint="eastAsia" w:ascii="宋体" w:hAnsi="宋体"/>
                <w:b w:val="0"/>
                <w:bCs w:val="0"/>
                <w:color w:val="auto"/>
                <w:kern w:val="0"/>
                <w:sz w:val="24"/>
                <w:highlight w:val="none"/>
              </w:rPr>
              <w:t>0-</w:t>
            </w:r>
            <w:r>
              <w:rPr>
                <w:rStyle w:val="969"/>
                <w:rFonts w:hint="eastAsia" w:ascii="宋体" w:hAnsi="宋体"/>
                <w:b w:val="0"/>
                <w:bCs w:val="0"/>
                <w:color w:val="auto"/>
                <w:kern w:val="0"/>
                <w:sz w:val="24"/>
                <w:highlight w:val="none"/>
                <w:lang w:val="en-US"/>
              </w:rPr>
              <w:t>1</w:t>
            </w:r>
            <w:r>
              <w:rPr>
                <w:rStyle w:val="969"/>
                <w:rFonts w:hint="eastAsia" w:ascii="宋体" w:hAnsi="宋体"/>
                <w:b w:val="0"/>
                <w:bCs w:val="0"/>
                <w:color w:val="auto"/>
                <w:kern w:val="0"/>
                <w:sz w:val="24"/>
                <w:highlight w:val="none"/>
              </w:rPr>
              <w:t>分</w:t>
            </w:r>
          </w:p>
        </w:tc>
      </w:tr>
      <w:tr>
        <w:tblPrEx>
          <w:tblCellMar>
            <w:top w:w="0" w:type="dxa"/>
            <w:left w:w="108" w:type="dxa"/>
            <w:bottom w:w="0" w:type="dxa"/>
            <w:right w:w="108" w:type="dxa"/>
          </w:tblCellMar>
        </w:tblPrEx>
        <w:trPr>
          <w:trHeight w:val="1497" w:hRule="exact"/>
          <w:jc w:val="center"/>
        </w:trPr>
        <w:tc>
          <w:tcPr>
            <w:tcW w:w="516" w:type="dxa"/>
            <w:vMerge w:val="continue"/>
            <w:tcBorders>
              <w:left w:val="single" w:color="auto" w:sz="4" w:space="0"/>
              <w:bottom w:val="single" w:color="auto" w:sz="4" w:space="0"/>
              <w:right w:val="single" w:color="auto" w:sz="4" w:space="0"/>
            </w:tcBorders>
            <w:noWrap w:val="0"/>
            <w:vAlign w:val="center"/>
          </w:tcPr>
          <w:p>
            <w:pPr>
              <w:pStyle w:val="841"/>
              <w:widowControl/>
              <w:tabs>
                <w:tab w:val="left" w:pos="0"/>
                <w:tab w:val="clear" w:pos="8268"/>
              </w:tabs>
              <w:spacing w:line="400" w:lineRule="atLeast"/>
              <w:rPr>
                <w:rFonts w:hint="eastAsia" w:ascii="宋体" w:hAnsi="宋体" w:eastAsia="宋体" w:cs="宋体"/>
                <w:color w:val="auto"/>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合理化建议</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Times New Roman"/>
                <w:color w:val="auto"/>
                <w:kern w:val="2"/>
                <w:sz w:val="24"/>
                <w:szCs w:val="24"/>
                <w:highlight w:val="none"/>
                <w:lang w:val="en-US" w:eastAsia="zh-CN" w:bidi="ar-SA"/>
              </w:rPr>
            </w:pPr>
            <w:r>
              <w:rPr>
                <w:rStyle w:val="969"/>
                <w:rFonts w:ascii="宋体" w:hAnsi="宋体" w:eastAsia="宋体"/>
                <w:b w:val="0"/>
                <w:i w:val="0"/>
                <w:caps w:val="0"/>
                <w:color w:val="auto"/>
                <w:spacing w:val="0"/>
                <w:w w:val="100"/>
                <w:kern w:val="0"/>
                <w:sz w:val="24"/>
                <w:szCs w:val="24"/>
                <w:highlight w:val="none"/>
                <w:lang w:val="en-US" w:eastAsia="zh-CN" w:bidi="ar-SA"/>
              </w:rPr>
              <w:t>根据投标人对本项目实际情况的了解及结合对本项目的理解，针对本项目提供合理化建议和措施</w:t>
            </w:r>
            <w:r>
              <w:rPr>
                <w:rStyle w:val="969"/>
                <w:rFonts w:hint="eastAsia" w:ascii="宋体" w:hAnsi="宋体" w:eastAsia="宋体" w:cs="Times New Roman"/>
                <w:b w:val="0"/>
                <w:bCs w:val="0"/>
                <w:color w:val="auto"/>
                <w:kern w:val="0"/>
                <w:sz w:val="24"/>
                <w:highlight w:val="none"/>
                <w:lang w:val="en-US" w:eastAsia="zh-CN"/>
              </w:rPr>
              <w:t>，得到专家认可且有实际意义的，每项1分，最多</w:t>
            </w:r>
            <w:r>
              <w:rPr>
                <w:rStyle w:val="969"/>
                <w:rFonts w:hint="eastAsia" w:ascii="宋体" w:hAnsi="宋体" w:cs="Times New Roman"/>
                <w:b w:val="0"/>
                <w:bCs w:val="0"/>
                <w:color w:val="auto"/>
                <w:kern w:val="0"/>
                <w:sz w:val="24"/>
                <w:highlight w:val="none"/>
                <w:lang w:val="en-US" w:eastAsia="zh-CN"/>
              </w:rPr>
              <w:t>2</w:t>
            </w:r>
            <w:r>
              <w:rPr>
                <w:rStyle w:val="969"/>
                <w:rFonts w:hint="eastAsia" w:ascii="宋体" w:hAnsi="宋体" w:eastAsia="宋体" w:cs="Times New Roman"/>
                <w:b w:val="0"/>
                <w:bCs w:val="0"/>
                <w:color w:val="auto"/>
                <w:kern w:val="0"/>
                <w:sz w:val="24"/>
                <w:highlight w:val="none"/>
                <w:lang w:val="en-US" w:eastAsia="zh-CN"/>
              </w:rPr>
              <w:t>分。（应与本项目相关，例如图书的采购、供应、加工、保管、运送及各种伴随服务，项目开展过程中的应急措施等等）</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宋体"/>
                <w:b w:val="0"/>
                <w:bCs/>
                <w:snapToGrid/>
                <w:color w:val="auto"/>
                <w:kern w:val="0"/>
                <w:sz w:val="24"/>
                <w:szCs w:val="24"/>
                <w:highlight w:val="none"/>
                <w:lang w:val="en-US" w:eastAsia="zh-CN" w:bidi="ar"/>
              </w:rPr>
              <w:t>0或1或2分</w:t>
            </w:r>
          </w:p>
        </w:tc>
      </w:tr>
    </w:tbl>
    <w:p>
      <w:pPr>
        <w:snapToGrid w:val="0"/>
        <w:spacing w:before="93" w:beforeLines="30" w:line="400" w:lineRule="exact"/>
        <w:jc w:val="left"/>
        <w:outlineLvl w:val="1"/>
        <w:rPr>
          <w:rFonts w:hint="eastAsia" w:ascii="宋体" w:hAnsi="宋体"/>
          <w:b/>
          <w:color w:val="auto"/>
          <w:sz w:val="24"/>
          <w:highlight w:val="none"/>
        </w:rPr>
      </w:pPr>
    </w:p>
    <w:p>
      <w:pPr>
        <w:snapToGrid w:val="0"/>
        <w:spacing w:before="93" w:beforeLines="30" w:line="400" w:lineRule="exact"/>
        <w:jc w:val="left"/>
        <w:outlineLvl w:val="1"/>
        <w:rPr>
          <w:rFonts w:ascii="宋体" w:hAnsi="宋体" w:cs="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三</w:t>
      </w:r>
      <w:r>
        <w:rPr>
          <w:rFonts w:hint="eastAsia" w:ascii="宋体" w:hAnsi="宋体"/>
          <w:b/>
          <w:color w:val="auto"/>
          <w:sz w:val="24"/>
          <w:highlight w:val="none"/>
        </w:rPr>
        <w:t>）技术分</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59</w:t>
      </w:r>
      <w:r>
        <w:rPr>
          <w:rFonts w:hint="eastAsia" w:ascii="宋体" w:hAnsi="宋体" w:cs="宋体"/>
          <w:b/>
          <w:color w:val="auto"/>
          <w:sz w:val="24"/>
          <w:highlight w:val="none"/>
        </w:rPr>
        <w:t>分）</w:t>
      </w:r>
    </w:p>
    <w:tbl>
      <w:tblPr>
        <w:tblStyle w:val="63"/>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75"/>
        <w:gridCol w:w="607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17" w:type="dxa"/>
            <w:vMerge w:val="restart"/>
            <w:tcBorders>
              <w:tl2br w:val="nil"/>
              <w:tr2bl w:val="nil"/>
            </w:tcBorders>
            <w:noWrap w:val="0"/>
            <w:vAlign w:val="center"/>
          </w:tcPr>
          <w:p>
            <w:pPr>
              <w:pStyle w:val="841"/>
              <w:widowControl/>
              <w:tabs>
                <w:tab w:val="left" w:pos="0"/>
                <w:tab w:val="clear" w:pos="8268"/>
              </w:tabs>
              <w:spacing w:line="400" w:lineRule="atLeast"/>
              <w:ind w:left="0" w:leftChars="0" w:firstLine="0" w:firstLineChars="0"/>
              <w:jc w:val="both"/>
              <w:rPr>
                <w:rStyle w:val="969"/>
                <w:rFonts w:hint="eastAsia" w:ascii="宋体" w:hAnsi="宋体" w:eastAsia="宋体" w:cs="Times New Roman"/>
                <w:color w:val="auto"/>
                <w:sz w:val="24"/>
                <w:highlight w:val="none"/>
                <w:lang w:val="en-US" w:eastAsia="zh-CN"/>
              </w:rPr>
            </w:pPr>
            <w:r>
              <w:rPr>
                <w:rStyle w:val="969"/>
                <w:rFonts w:hint="eastAsia" w:ascii="宋体" w:hAnsi="宋体" w:eastAsia="宋体" w:cs="Times New Roman"/>
                <w:color w:val="auto"/>
                <w:sz w:val="24"/>
                <w:highlight w:val="none"/>
                <w:lang w:val="en-US" w:eastAsia="zh-CN"/>
              </w:rPr>
              <w:t>技术分59分</w:t>
            </w:r>
          </w:p>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项目实施方案</w:t>
            </w:r>
          </w:p>
        </w:tc>
        <w:tc>
          <w:tcPr>
            <w:tcW w:w="6075" w:type="dxa"/>
            <w:tcBorders>
              <w:tl2br w:val="nil"/>
              <w:tr2bl w:val="nil"/>
            </w:tcBorders>
            <w:noWrap w:val="0"/>
            <w:vAlign w:val="center"/>
          </w:tcPr>
          <w:p>
            <w:pPr>
              <w:widowControl/>
              <w:spacing w:line="280" w:lineRule="exact"/>
              <w:jc w:val="left"/>
              <w:rPr>
                <w:rStyle w:val="969"/>
                <w:rFonts w:hint="eastAsia" w:ascii="宋体" w:hAnsi="宋体" w:eastAsia="宋体" w:cs="Times New Roman"/>
                <w:b w:val="0"/>
                <w:bCs w:val="0"/>
                <w:color w:val="auto"/>
                <w:kern w:val="0"/>
                <w:sz w:val="24"/>
                <w:highlight w:val="none"/>
                <w:lang w:val="en-US" w:eastAsia="zh-CN"/>
              </w:rPr>
            </w:pPr>
            <w:r>
              <w:rPr>
                <w:rStyle w:val="969"/>
                <w:rFonts w:hint="eastAsia" w:ascii="宋体" w:hAnsi="宋体" w:eastAsia="宋体" w:cs="Times New Roman"/>
                <w:b w:val="0"/>
                <w:bCs w:val="0"/>
                <w:color w:val="auto"/>
                <w:kern w:val="0"/>
                <w:sz w:val="24"/>
                <w:highlight w:val="none"/>
                <w:lang w:val="en-US" w:eastAsia="zh-CN"/>
              </w:rPr>
              <w:t>根据投标人针对本项目图书采购需求提出的详细项目实施方案进行打分</w:t>
            </w:r>
          </w:p>
          <w:p>
            <w:pPr>
              <w:widowControl/>
              <w:spacing w:line="280" w:lineRule="exact"/>
              <w:jc w:val="left"/>
              <w:rPr>
                <w:rStyle w:val="969"/>
                <w:rFonts w:hint="default" w:ascii="宋体" w:hAnsi="宋体" w:eastAsia="宋体" w:cs="Times New Roman"/>
                <w:b w:val="0"/>
                <w:bCs w:val="0"/>
                <w:color w:val="auto"/>
                <w:kern w:val="0"/>
                <w:sz w:val="24"/>
                <w:highlight w:val="none"/>
                <w:lang w:val="en-US" w:eastAsia="zh-CN"/>
              </w:rPr>
            </w:pPr>
            <w:r>
              <w:rPr>
                <w:rStyle w:val="969"/>
                <w:rFonts w:hint="default" w:ascii="宋体" w:hAnsi="宋体" w:eastAsia="宋体" w:cs="Times New Roman"/>
                <w:b w:val="0"/>
                <w:bCs w:val="0"/>
                <w:color w:val="auto"/>
                <w:kern w:val="0"/>
                <w:sz w:val="24"/>
                <w:highlight w:val="none"/>
                <w:lang w:val="en-US" w:eastAsia="zh-CN"/>
              </w:rPr>
              <w:t>方案详细完善且科学可行的，得</w:t>
            </w:r>
            <w:r>
              <w:rPr>
                <w:rStyle w:val="969"/>
                <w:rFonts w:hint="eastAsia" w:ascii="宋体" w:hAnsi="宋体" w:cs="Times New Roman"/>
                <w:b w:val="0"/>
                <w:bCs w:val="0"/>
                <w:color w:val="auto"/>
                <w:kern w:val="0"/>
                <w:sz w:val="24"/>
                <w:highlight w:val="none"/>
                <w:lang w:val="en-US" w:eastAsia="zh-CN"/>
              </w:rPr>
              <w:t>4</w:t>
            </w:r>
            <w:r>
              <w:rPr>
                <w:rStyle w:val="969"/>
                <w:rFonts w:hint="default" w:ascii="宋体" w:hAnsi="宋体" w:eastAsia="宋体" w:cs="Times New Roman"/>
                <w:b w:val="0"/>
                <w:bCs w:val="0"/>
                <w:color w:val="auto"/>
                <w:kern w:val="0"/>
                <w:sz w:val="24"/>
                <w:highlight w:val="none"/>
                <w:lang w:val="en-US" w:eastAsia="zh-CN"/>
              </w:rPr>
              <w:t>-</w:t>
            </w:r>
            <w:r>
              <w:rPr>
                <w:rStyle w:val="969"/>
                <w:rFonts w:hint="eastAsia" w:ascii="宋体" w:hAnsi="宋体" w:cs="Times New Roman"/>
                <w:b w:val="0"/>
                <w:bCs w:val="0"/>
                <w:color w:val="auto"/>
                <w:kern w:val="0"/>
                <w:sz w:val="24"/>
                <w:highlight w:val="none"/>
                <w:lang w:val="en-US" w:eastAsia="zh-CN"/>
              </w:rPr>
              <w:t>5</w:t>
            </w:r>
            <w:r>
              <w:rPr>
                <w:rStyle w:val="969"/>
                <w:rFonts w:hint="default" w:ascii="宋体" w:hAnsi="宋体" w:eastAsia="宋体" w:cs="Times New Roman"/>
                <w:b w:val="0"/>
                <w:bCs w:val="0"/>
                <w:color w:val="auto"/>
                <w:kern w:val="0"/>
                <w:sz w:val="24"/>
                <w:highlight w:val="none"/>
                <w:lang w:val="en-US" w:eastAsia="zh-CN"/>
              </w:rPr>
              <w:t>分；</w:t>
            </w:r>
          </w:p>
          <w:p>
            <w:pPr>
              <w:widowControl/>
              <w:spacing w:line="280" w:lineRule="exact"/>
              <w:jc w:val="left"/>
              <w:rPr>
                <w:rStyle w:val="969"/>
                <w:rFonts w:hint="default" w:ascii="宋体" w:hAnsi="宋体" w:eastAsia="宋体" w:cs="Times New Roman"/>
                <w:b w:val="0"/>
                <w:bCs w:val="0"/>
                <w:color w:val="auto"/>
                <w:kern w:val="0"/>
                <w:sz w:val="24"/>
                <w:highlight w:val="none"/>
                <w:lang w:val="en-US" w:eastAsia="zh-CN"/>
              </w:rPr>
            </w:pPr>
            <w:r>
              <w:rPr>
                <w:rStyle w:val="969"/>
                <w:rFonts w:hint="default" w:ascii="宋体" w:hAnsi="宋体" w:eastAsia="宋体" w:cs="Times New Roman"/>
                <w:b w:val="0"/>
                <w:bCs w:val="0"/>
                <w:color w:val="auto"/>
                <w:kern w:val="0"/>
                <w:sz w:val="24"/>
                <w:highlight w:val="none"/>
                <w:lang w:val="en-US" w:eastAsia="zh-CN"/>
              </w:rPr>
              <w:t>方案</w:t>
            </w:r>
            <w:r>
              <w:rPr>
                <w:rStyle w:val="969"/>
                <w:rFonts w:hint="eastAsia" w:ascii="宋体" w:hAnsi="宋体" w:cs="Times New Roman"/>
                <w:b w:val="0"/>
                <w:bCs w:val="0"/>
                <w:color w:val="auto"/>
                <w:kern w:val="0"/>
                <w:sz w:val="24"/>
                <w:highlight w:val="none"/>
                <w:lang w:val="en-US" w:eastAsia="zh-CN"/>
              </w:rPr>
              <w:t>不够</w:t>
            </w:r>
            <w:r>
              <w:rPr>
                <w:rStyle w:val="969"/>
                <w:rFonts w:hint="default" w:ascii="宋体" w:hAnsi="宋体" w:eastAsia="宋体" w:cs="Times New Roman"/>
                <w:b w:val="0"/>
                <w:bCs w:val="0"/>
                <w:color w:val="auto"/>
                <w:kern w:val="0"/>
                <w:sz w:val="24"/>
                <w:highlight w:val="none"/>
                <w:lang w:val="en-US" w:eastAsia="zh-CN"/>
              </w:rPr>
              <w:t>详细</w:t>
            </w:r>
            <w:r>
              <w:rPr>
                <w:rStyle w:val="969"/>
                <w:rFonts w:hint="eastAsia" w:ascii="宋体" w:hAnsi="宋体" w:cs="Times New Roman"/>
                <w:b w:val="0"/>
                <w:bCs w:val="0"/>
                <w:color w:val="auto"/>
                <w:kern w:val="0"/>
                <w:sz w:val="24"/>
                <w:highlight w:val="none"/>
                <w:lang w:val="en-US" w:eastAsia="zh-CN"/>
              </w:rPr>
              <w:t>、</w:t>
            </w:r>
            <w:r>
              <w:rPr>
                <w:rStyle w:val="969"/>
                <w:rFonts w:hint="default" w:ascii="宋体" w:hAnsi="宋体" w:eastAsia="宋体" w:cs="Times New Roman"/>
                <w:b w:val="0"/>
                <w:bCs w:val="0"/>
                <w:color w:val="auto"/>
                <w:kern w:val="0"/>
                <w:sz w:val="24"/>
                <w:highlight w:val="none"/>
                <w:lang w:val="en-US" w:eastAsia="zh-CN"/>
              </w:rPr>
              <w:t>完善</w:t>
            </w:r>
            <w:r>
              <w:rPr>
                <w:rStyle w:val="969"/>
                <w:rFonts w:hint="eastAsia" w:ascii="宋体" w:hAnsi="宋体" w:cs="Times New Roman"/>
                <w:b w:val="0"/>
                <w:bCs w:val="0"/>
                <w:color w:val="auto"/>
                <w:kern w:val="0"/>
                <w:sz w:val="24"/>
                <w:highlight w:val="none"/>
                <w:lang w:val="en-US" w:eastAsia="zh-CN"/>
              </w:rPr>
              <w:t>、</w:t>
            </w:r>
            <w:r>
              <w:rPr>
                <w:rStyle w:val="969"/>
                <w:rFonts w:hint="default" w:ascii="宋体" w:hAnsi="宋体" w:eastAsia="宋体" w:cs="Times New Roman"/>
                <w:b w:val="0"/>
                <w:bCs w:val="0"/>
                <w:color w:val="auto"/>
                <w:kern w:val="0"/>
                <w:sz w:val="24"/>
                <w:highlight w:val="none"/>
                <w:lang w:val="en-US" w:eastAsia="zh-CN"/>
              </w:rPr>
              <w:t>科学可行的得</w:t>
            </w:r>
            <w:r>
              <w:rPr>
                <w:rStyle w:val="969"/>
                <w:rFonts w:hint="eastAsia" w:ascii="宋体" w:hAnsi="宋体" w:cs="Times New Roman"/>
                <w:b w:val="0"/>
                <w:bCs w:val="0"/>
                <w:color w:val="auto"/>
                <w:kern w:val="0"/>
                <w:sz w:val="24"/>
                <w:highlight w:val="none"/>
                <w:lang w:val="en-US" w:eastAsia="zh-CN"/>
              </w:rPr>
              <w:t>3</w:t>
            </w:r>
            <w:r>
              <w:rPr>
                <w:rStyle w:val="969"/>
                <w:rFonts w:hint="default" w:ascii="宋体" w:hAnsi="宋体" w:eastAsia="宋体" w:cs="Times New Roman"/>
                <w:b w:val="0"/>
                <w:bCs w:val="0"/>
                <w:color w:val="auto"/>
                <w:kern w:val="0"/>
                <w:sz w:val="24"/>
                <w:highlight w:val="none"/>
                <w:lang w:val="en-US" w:eastAsia="zh-CN"/>
              </w:rPr>
              <w:t>-</w:t>
            </w:r>
            <w:r>
              <w:rPr>
                <w:rStyle w:val="969"/>
                <w:rFonts w:hint="eastAsia" w:ascii="宋体" w:hAnsi="宋体" w:cs="Times New Roman"/>
                <w:b w:val="0"/>
                <w:bCs w:val="0"/>
                <w:color w:val="auto"/>
                <w:kern w:val="0"/>
                <w:sz w:val="24"/>
                <w:highlight w:val="none"/>
                <w:lang w:val="en-US" w:eastAsia="zh-CN"/>
              </w:rPr>
              <w:t>4</w:t>
            </w:r>
            <w:r>
              <w:rPr>
                <w:rStyle w:val="969"/>
                <w:rFonts w:hint="default" w:ascii="宋体" w:hAnsi="宋体" w:eastAsia="宋体" w:cs="Times New Roman"/>
                <w:b w:val="0"/>
                <w:bCs w:val="0"/>
                <w:color w:val="auto"/>
                <w:kern w:val="0"/>
                <w:sz w:val="24"/>
                <w:highlight w:val="none"/>
                <w:lang w:val="en-US" w:eastAsia="zh-CN"/>
              </w:rPr>
              <w:t>分；</w:t>
            </w:r>
          </w:p>
          <w:p>
            <w:pPr>
              <w:widowControl/>
              <w:spacing w:line="280" w:lineRule="exact"/>
              <w:jc w:val="left"/>
              <w:rPr>
                <w:rFonts w:hint="default"/>
                <w:color w:val="auto"/>
                <w:highlight w:val="none"/>
                <w:lang w:val="en-US" w:eastAsia="zh-CN"/>
              </w:rPr>
            </w:pPr>
            <w:r>
              <w:rPr>
                <w:rStyle w:val="969"/>
                <w:rFonts w:hint="default" w:ascii="宋体" w:hAnsi="宋体" w:eastAsia="宋体" w:cs="Times New Roman"/>
                <w:b w:val="0"/>
                <w:bCs w:val="0"/>
                <w:color w:val="auto"/>
                <w:kern w:val="0"/>
                <w:sz w:val="24"/>
                <w:highlight w:val="none"/>
                <w:lang w:val="en-US" w:eastAsia="zh-CN"/>
              </w:rPr>
              <w:t>方案内容较简单，无特色，欠缺实用性得的，得</w:t>
            </w:r>
            <w:r>
              <w:rPr>
                <w:rStyle w:val="969"/>
                <w:rFonts w:hint="eastAsia" w:ascii="宋体" w:hAnsi="宋体" w:cs="Times New Roman"/>
                <w:b w:val="0"/>
                <w:bCs w:val="0"/>
                <w:color w:val="auto"/>
                <w:kern w:val="0"/>
                <w:sz w:val="24"/>
                <w:highlight w:val="none"/>
                <w:lang w:val="en-US" w:eastAsia="zh-CN"/>
              </w:rPr>
              <w:t>2</w:t>
            </w:r>
            <w:r>
              <w:rPr>
                <w:rStyle w:val="969"/>
                <w:rFonts w:hint="default" w:ascii="宋体" w:hAnsi="宋体" w:eastAsia="宋体" w:cs="Times New Roman"/>
                <w:b w:val="0"/>
                <w:bCs w:val="0"/>
                <w:color w:val="auto"/>
                <w:kern w:val="0"/>
                <w:sz w:val="24"/>
                <w:highlight w:val="none"/>
                <w:lang w:val="en-US" w:eastAsia="zh-CN"/>
              </w:rPr>
              <w:t>-</w:t>
            </w:r>
            <w:r>
              <w:rPr>
                <w:rStyle w:val="969"/>
                <w:rFonts w:hint="eastAsia" w:ascii="宋体" w:hAnsi="宋体" w:cs="Times New Roman"/>
                <w:b w:val="0"/>
                <w:bCs w:val="0"/>
                <w:color w:val="auto"/>
                <w:kern w:val="0"/>
                <w:sz w:val="24"/>
                <w:highlight w:val="none"/>
                <w:lang w:val="en-US" w:eastAsia="zh-CN"/>
              </w:rPr>
              <w:t>3</w:t>
            </w:r>
            <w:r>
              <w:rPr>
                <w:rStyle w:val="969"/>
                <w:rFonts w:hint="default" w:ascii="宋体" w:hAnsi="宋体" w:eastAsia="宋体" w:cs="Times New Roman"/>
                <w:b w:val="0"/>
                <w:bCs w:val="0"/>
                <w:color w:val="auto"/>
                <w:kern w:val="0"/>
                <w:sz w:val="24"/>
                <w:highlight w:val="none"/>
                <w:lang w:val="en-US" w:eastAsia="zh-CN"/>
              </w:rPr>
              <w:t>分</w:t>
            </w:r>
          </w:p>
        </w:tc>
        <w:tc>
          <w:tcPr>
            <w:tcW w:w="792" w:type="dxa"/>
            <w:tcBorders>
              <w:tl2br w:val="nil"/>
              <w:tr2bl w:val="nil"/>
            </w:tcBorders>
            <w:noWrap w:val="0"/>
            <w:vAlign w:val="center"/>
          </w:tcPr>
          <w:p>
            <w:pPr>
              <w:widowControl/>
              <w:spacing w:line="280" w:lineRule="exact"/>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进书渠道</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（1）能提供80家出版社合作证明，其中权威发布的一级出版社占比为90%以上的得6分；70%-90%的得4分；70%以下的得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分。（提供证明材料）</w:t>
            </w:r>
          </w:p>
        </w:tc>
        <w:tc>
          <w:tcPr>
            <w:tcW w:w="792" w:type="dxa"/>
            <w:tcBorders>
              <w:tl2br w:val="nil"/>
              <w:tr2bl w:val="nil"/>
            </w:tcBorders>
            <w:noWrap w:val="0"/>
            <w:vAlign w:val="center"/>
          </w:tcPr>
          <w:p>
            <w:pPr>
              <w:widowControl/>
              <w:spacing w:line="280" w:lineRule="exact"/>
              <w:jc w:val="center"/>
              <w:rPr>
                <w:rFonts w:hint="eastAsia" w:ascii="宋体" w:hAnsi="宋体" w:eastAsia="宋体" w:cs="宋体"/>
                <w:color w:val="auto"/>
                <w:kern w:val="2"/>
                <w:sz w:val="21"/>
                <w:szCs w:val="21"/>
                <w:highlight w:val="none"/>
                <w:lang w:val="en-US" w:eastAsia="zh-CN" w:bidi="ar-SA"/>
              </w:rPr>
            </w:pPr>
            <w:r>
              <w:rPr>
                <w:rStyle w:val="969"/>
                <w:rFonts w:hint="eastAsia" w:ascii="宋体" w:hAnsi="宋体"/>
                <w:color w:val="auto"/>
                <w:sz w:val="24"/>
                <w:highlight w:val="none"/>
                <w:lang w:val="en-US"/>
              </w:rPr>
              <w:t>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现采服务</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根据投标人提供的现采场所介绍及相关证明资料</w:t>
            </w:r>
            <w:r>
              <w:rPr>
                <w:rFonts w:hint="eastAsia" w:ascii="宋体" w:hAnsi="宋体" w:cs="宋体"/>
                <w:color w:val="auto"/>
                <w:sz w:val="24"/>
                <w:szCs w:val="24"/>
                <w:highlight w:val="none"/>
                <w:lang w:val="en-US" w:eastAsia="zh-CN"/>
              </w:rPr>
              <w:t>（如：图片、文件资料等）</w:t>
            </w:r>
            <w:r>
              <w:rPr>
                <w:rFonts w:hint="eastAsia" w:ascii="宋体" w:hAnsi="宋体" w:eastAsia="宋体" w:cs="宋体"/>
                <w:color w:val="auto"/>
                <w:sz w:val="24"/>
                <w:szCs w:val="24"/>
                <w:highlight w:val="none"/>
                <w:lang w:val="en-US" w:eastAsia="zh-CN"/>
              </w:rPr>
              <w:t>，对现采能力及便利性</w:t>
            </w:r>
            <w:r>
              <w:rPr>
                <w:rFonts w:hint="eastAsia" w:ascii="宋体" w:hAnsi="宋体" w:cs="宋体"/>
                <w:color w:val="auto"/>
                <w:sz w:val="24"/>
                <w:szCs w:val="24"/>
                <w:highlight w:val="none"/>
                <w:lang w:val="en-US" w:eastAsia="zh-CN"/>
              </w:rPr>
              <w:t>进行打分</w:t>
            </w:r>
            <w:r>
              <w:rPr>
                <w:rFonts w:hint="eastAsia" w:ascii="宋体" w:hAnsi="宋体" w:eastAsia="宋体" w:cs="宋体"/>
                <w:color w:val="auto"/>
                <w:sz w:val="24"/>
                <w:szCs w:val="24"/>
                <w:highlight w:val="none"/>
                <w:lang w:val="en-US" w:eastAsia="zh-CN"/>
              </w:rPr>
              <w:t>。</w:t>
            </w:r>
          </w:p>
        </w:tc>
        <w:tc>
          <w:tcPr>
            <w:tcW w:w="792" w:type="dxa"/>
            <w:tcBorders>
              <w:tl2br w:val="nil"/>
              <w:tr2bl w:val="nil"/>
            </w:tcBorders>
            <w:noWrap w:val="0"/>
            <w:vAlign w:val="center"/>
          </w:tcPr>
          <w:p>
            <w:pPr>
              <w:widowControl/>
              <w:spacing w:line="280" w:lineRule="exact"/>
              <w:jc w:val="center"/>
              <w:rPr>
                <w:rFonts w:hint="eastAsia" w:ascii="宋体" w:hAnsi="宋体" w:eastAsia="宋体" w:cs="Times New Roman"/>
                <w:color w:val="auto"/>
                <w:kern w:val="2"/>
                <w:sz w:val="24"/>
                <w:szCs w:val="24"/>
                <w:highlight w:val="none"/>
                <w:lang w:val="en-US" w:eastAsia="zh-CN" w:bidi="ar-SA"/>
              </w:rPr>
            </w:pPr>
            <w:r>
              <w:rPr>
                <w:rStyle w:val="969"/>
                <w:rFonts w:hint="eastAsia" w:ascii="宋体" w:hAnsi="宋体" w:cs="Times New Roman"/>
                <w:color w:val="auto"/>
                <w:sz w:val="24"/>
                <w:highlight w:val="none"/>
                <w:lang w:val="en-US" w:eastAsia="zh-CN"/>
              </w:rPr>
              <w:t>2</w:t>
            </w:r>
            <w:r>
              <w:rPr>
                <w:rStyle w:val="969"/>
                <w:rFonts w:hint="eastAsia" w:ascii="宋体" w:hAnsi="宋体" w:eastAsia="宋体" w:cs="Times New Roman"/>
                <w:color w:val="auto"/>
                <w:sz w:val="24"/>
                <w:highlight w:val="none"/>
                <w:lang w:val="en-US" w:eastAsia="zh-CN"/>
              </w:rPr>
              <w:t>-</w:t>
            </w:r>
            <w:r>
              <w:rPr>
                <w:rStyle w:val="969"/>
                <w:rFonts w:hint="eastAsia" w:ascii="宋体" w:hAnsi="宋体" w:cs="Times New Roman"/>
                <w:color w:val="auto"/>
                <w:sz w:val="24"/>
                <w:highlight w:val="none"/>
                <w:lang w:val="en-US" w:eastAsia="zh-CN"/>
              </w:rPr>
              <w:t>6</w:t>
            </w:r>
            <w:r>
              <w:rPr>
                <w:rStyle w:val="969"/>
                <w:rFonts w:hint="eastAsia" w:ascii="宋体" w:hAnsi="宋体" w:eastAsia="宋体" w:cs="Times New Roman"/>
                <w:color w:val="auto"/>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到书率</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承诺到书率达95%及以上为 3 分；90</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-94%为 2 分；90% 以下不得分（提供与同类图书馆供书的到书率证明，不提供不得分）</w:t>
            </w:r>
            <w:r>
              <w:rPr>
                <w:rFonts w:hint="eastAsia" w:ascii="宋体" w:hAnsi="宋体" w:cs="宋体"/>
                <w:color w:val="auto"/>
                <w:sz w:val="24"/>
                <w:szCs w:val="24"/>
                <w:highlight w:val="none"/>
                <w:lang w:val="en-US" w:eastAsia="zh-CN"/>
              </w:rPr>
              <w:t>。</w:t>
            </w:r>
          </w:p>
        </w:tc>
        <w:tc>
          <w:tcPr>
            <w:tcW w:w="792" w:type="dxa"/>
            <w:tcBorders>
              <w:tl2br w:val="nil"/>
              <w:tr2bl w:val="nil"/>
            </w:tcBorders>
            <w:noWrap w:val="0"/>
            <w:vAlign w:val="center"/>
          </w:tcPr>
          <w:p>
            <w:pPr>
              <w:widowControl/>
              <w:snapToGrid w:val="0"/>
              <w:spacing w:line="280" w:lineRule="exact"/>
              <w:jc w:val="center"/>
              <w:textAlignment w:val="baseline"/>
              <w:rPr>
                <w:rFonts w:hint="eastAsia" w:ascii="宋体" w:hAnsi="宋体" w:eastAsia="宋体" w:cs="Times New Roman"/>
                <w:color w:val="auto"/>
                <w:kern w:val="2"/>
                <w:sz w:val="24"/>
                <w:szCs w:val="24"/>
                <w:highlight w:val="none"/>
                <w:lang w:val="en-US" w:eastAsia="zh-CN" w:bidi="ar-SA"/>
              </w:rPr>
            </w:pPr>
            <w:r>
              <w:rPr>
                <w:rStyle w:val="969"/>
                <w:rFonts w:hint="eastAsia" w:ascii="宋体" w:hAnsi="宋体"/>
                <w:color w:val="auto"/>
                <w:sz w:val="24"/>
                <w:highlight w:val="none"/>
                <w:lang w:val="en-US"/>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电子服务网站</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1．是否建有面向单位采购的电子商务服务网站。网站能满足图书馆采购缺藏图书的需求，网站有提供可供征订的按时间段选择或组配的最新的图书目录，图书馆能通过网站完成采购</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功能齐全能满足采购单位所有要求得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分，功能缺项得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分。（提供相关网络截图、网址）</w:t>
            </w:r>
          </w:p>
          <w:p>
            <w:pPr>
              <w:widowControl/>
              <w:spacing w:line="2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2、无网上订购得0分。</w:t>
            </w:r>
          </w:p>
        </w:tc>
        <w:tc>
          <w:tcPr>
            <w:tcW w:w="792" w:type="dxa"/>
            <w:tcBorders>
              <w:tl2br w:val="nil"/>
              <w:tr2bl w:val="nil"/>
            </w:tcBorders>
            <w:noWrap w:val="0"/>
            <w:vAlign w:val="center"/>
          </w:tcPr>
          <w:p>
            <w:pPr>
              <w:widowControl/>
              <w:spacing w:line="280" w:lineRule="exact"/>
              <w:jc w:val="center"/>
              <w:rPr>
                <w:rFonts w:hint="eastAsia" w:ascii="宋体" w:hAnsi="宋体" w:eastAsia="宋体" w:cs="宋体"/>
                <w:color w:val="auto"/>
                <w:highlight w:val="none"/>
                <w:lang w:val="en-US" w:eastAsia="zh-CN"/>
              </w:rPr>
            </w:pPr>
            <w:r>
              <w:rPr>
                <w:rStyle w:val="969"/>
                <w:rFonts w:hint="eastAsia" w:ascii="宋体" w:hAnsi="宋体" w:cs="Times New Roman"/>
                <w:color w:val="auto"/>
                <w:sz w:val="24"/>
                <w:highlight w:val="none"/>
                <w:lang w:val="en-US" w:eastAsia="zh-CN"/>
              </w:rPr>
              <w:t>0</w:t>
            </w:r>
            <w:r>
              <w:rPr>
                <w:rStyle w:val="969"/>
                <w:rFonts w:hint="eastAsia" w:ascii="宋体" w:hAnsi="宋体" w:eastAsia="宋体" w:cs="Times New Roman"/>
                <w:color w:val="auto"/>
                <w:sz w:val="24"/>
                <w:highlight w:val="none"/>
                <w:lang w:val="en-US" w:eastAsia="zh-CN"/>
              </w:rPr>
              <w:t>-</w:t>
            </w:r>
            <w:r>
              <w:rPr>
                <w:rStyle w:val="969"/>
                <w:rFonts w:hint="eastAsia" w:ascii="宋体" w:hAnsi="宋体" w:cs="Times New Roman"/>
                <w:color w:val="auto"/>
                <w:sz w:val="24"/>
                <w:highlight w:val="none"/>
                <w:lang w:val="en-US" w:eastAsia="zh-CN"/>
              </w:rPr>
              <w:t>3</w:t>
            </w:r>
            <w:r>
              <w:rPr>
                <w:rStyle w:val="969"/>
                <w:rFonts w:hint="eastAsia" w:ascii="宋体" w:hAnsi="宋体" w:eastAsia="宋体" w:cs="Times New Roman"/>
                <w:color w:val="auto"/>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编目数据</w:t>
            </w:r>
          </w:p>
        </w:tc>
        <w:tc>
          <w:tcPr>
            <w:tcW w:w="6075" w:type="dxa"/>
            <w:tcBorders>
              <w:tl2br w:val="nil"/>
              <w:tr2bl w:val="nil"/>
            </w:tcBorders>
            <w:noWrap w:val="0"/>
            <w:vAlign w:val="center"/>
          </w:tcPr>
          <w:p>
            <w:pPr>
              <w:widowControl/>
              <w:spacing w:line="280" w:lineRule="exact"/>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根据投标人提供的编目数据细则方案，样例等情况进行打分。</w:t>
            </w:r>
          </w:p>
        </w:tc>
        <w:tc>
          <w:tcPr>
            <w:tcW w:w="792" w:type="dxa"/>
            <w:tcBorders>
              <w:tl2br w:val="nil"/>
              <w:tr2bl w:val="nil"/>
            </w:tcBorders>
            <w:noWrap w:val="0"/>
            <w:vAlign w:val="center"/>
          </w:tcPr>
          <w:p>
            <w:pPr>
              <w:widowControl/>
              <w:spacing w:line="280" w:lineRule="exact"/>
              <w:jc w:val="center"/>
              <w:rPr>
                <w:rStyle w:val="969"/>
                <w:rFonts w:hint="default" w:ascii="宋体" w:hAnsi="宋体" w:cs="Times New Roman"/>
                <w:color w:val="auto"/>
                <w:sz w:val="24"/>
                <w:highlight w:val="none"/>
                <w:lang w:val="en-US" w:eastAsia="zh-CN"/>
              </w:rPr>
            </w:pPr>
            <w:r>
              <w:rPr>
                <w:rStyle w:val="969"/>
                <w:rFonts w:hint="eastAsia" w:ascii="宋体" w:hAnsi="宋体" w:cs="Times New Roman"/>
                <w:color w:val="auto"/>
                <w:sz w:val="24"/>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对图书订单的处理能力</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对采购方自备书目的采购能力，及自定较窄主题采购的快速响应能力（1-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en-US" w:eastAsia="zh-CN"/>
              </w:rPr>
              <w:t>）；对采购方已预订，但不能及时到货的图书，或取消出版的图书信息能否及时予以反馈（1-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en-US" w:eastAsia="zh-CN"/>
              </w:rPr>
              <w:t>）；对因质量问题、与要求不符、与预订不符等退书的处理 态度及速度（1-3分）。</w:t>
            </w:r>
          </w:p>
        </w:tc>
        <w:tc>
          <w:tcPr>
            <w:tcW w:w="792" w:type="dxa"/>
            <w:tcBorders>
              <w:tl2br w:val="nil"/>
              <w:tr2bl w:val="nil"/>
            </w:tcBorders>
            <w:noWrap w:val="0"/>
            <w:vAlign w:val="center"/>
          </w:tcPr>
          <w:p>
            <w:pPr>
              <w:widowControl/>
              <w:spacing w:line="280" w:lineRule="exact"/>
              <w:jc w:val="center"/>
              <w:rPr>
                <w:rFonts w:hint="eastAsia" w:ascii="宋体" w:hAnsi="宋体" w:eastAsia="宋体" w:cs="Times New Roman"/>
                <w:color w:val="auto"/>
                <w:kern w:val="2"/>
                <w:sz w:val="24"/>
                <w:szCs w:val="24"/>
                <w:highlight w:val="none"/>
                <w:lang w:val="en-US" w:eastAsia="zh-CN" w:bidi="ar-SA"/>
              </w:rPr>
            </w:pPr>
            <w:r>
              <w:rPr>
                <w:rStyle w:val="969"/>
                <w:rFonts w:hint="eastAsia" w:ascii="宋体" w:hAnsi="宋体" w:cs="Times New Roman"/>
                <w:color w:val="auto"/>
                <w:sz w:val="24"/>
                <w:highlight w:val="none"/>
                <w:lang w:val="en-US" w:eastAsia="zh-CN"/>
              </w:rPr>
              <w:t>3</w:t>
            </w:r>
            <w:r>
              <w:rPr>
                <w:rStyle w:val="969"/>
                <w:rFonts w:hint="eastAsia" w:ascii="宋体" w:hAnsi="宋体" w:eastAsia="宋体" w:cs="Times New Roman"/>
                <w:color w:val="auto"/>
                <w:sz w:val="24"/>
                <w:highlight w:val="none"/>
                <w:lang w:val="en-US" w:eastAsia="zh-CN"/>
              </w:rPr>
              <w:t>-</w:t>
            </w:r>
            <w:r>
              <w:rPr>
                <w:rStyle w:val="969"/>
                <w:rFonts w:hint="eastAsia" w:ascii="宋体" w:hAnsi="宋体" w:cs="Times New Roman"/>
                <w:color w:val="auto"/>
                <w:sz w:val="24"/>
                <w:highlight w:val="none"/>
                <w:lang w:val="en-US" w:eastAsia="zh-CN"/>
              </w:rPr>
              <w:t>7</w:t>
            </w:r>
            <w:r>
              <w:rPr>
                <w:rStyle w:val="969"/>
                <w:rFonts w:hint="eastAsia" w:ascii="宋体" w:hAnsi="宋体" w:eastAsia="宋体" w:cs="Times New Roman"/>
                <w:color w:val="auto"/>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图书包装质量</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到馆图书的包装</w:t>
            </w:r>
            <w:r>
              <w:rPr>
                <w:rFonts w:hint="eastAsia" w:ascii="宋体" w:hAnsi="宋体" w:cs="宋体"/>
                <w:color w:val="auto"/>
                <w:sz w:val="24"/>
                <w:szCs w:val="24"/>
                <w:highlight w:val="none"/>
                <w:lang w:val="en-US" w:eastAsia="zh-CN"/>
              </w:rPr>
              <w:t>满足</w:t>
            </w:r>
            <w:r>
              <w:rPr>
                <w:rFonts w:hint="default" w:ascii="宋体" w:hAnsi="宋体" w:eastAsia="宋体" w:cs="宋体"/>
                <w:color w:val="auto"/>
                <w:sz w:val="24"/>
                <w:szCs w:val="24"/>
                <w:highlight w:val="none"/>
                <w:lang w:val="en-US" w:eastAsia="zh-CN"/>
              </w:rPr>
              <w:t>图书馆对图书的打包要</w:t>
            </w:r>
            <w:r>
              <w:rPr>
                <w:rFonts w:hint="eastAsia" w:ascii="宋体" w:hAnsi="宋体" w:cs="宋体"/>
                <w:color w:val="auto"/>
                <w:sz w:val="24"/>
                <w:szCs w:val="24"/>
                <w:highlight w:val="none"/>
                <w:lang w:val="en-US" w:eastAsia="zh-CN"/>
              </w:rPr>
              <w:t>求的程度。</w:t>
            </w:r>
          </w:p>
        </w:tc>
        <w:tc>
          <w:tcPr>
            <w:tcW w:w="792" w:type="dxa"/>
            <w:tcBorders>
              <w:tl2br w:val="nil"/>
              <w:tr2bl w:val="nil"/>
            </w:tcBorders>
            <w:noWrap w:val="0"/>
            <w:vAlign w:val="center"/>
          </w:tcPr>
          <w:p>
            <w:pPr>
              <w:widowControl/>
              <w:spacing w:line="280" w:lineRule="exact"/>
              <w:jc w:val="center"/>
              <w:rPr>
                <w:rFonts w:hint="eastAsia" w:ascii="宋体" w:hAnsi="宋体" w:eastAsia="宋体" w:cs="Times New Roman"/>
                <w:color w:val="auto"/>
                <w:kern w:val="2"/>
                <w:sz w:val="24"/>
                <w:szCs w:val="24"/>
                <w:highlight w:val="none"/>
                <w:lang w:val="en-US" w:eastAsia="zh-CN" w:bidi="ar-SA"/>
              </w:rPr>
            </w:pPr>
            <w:r>
              <w:rPr>
                <w:rStyle w:val="969"/>
                <w:rFonts w:hint="eastAsia" w:ascii="宋体" w:hAnsi="宋体" w:cs="Times New Roman"/>
                <w:color w:val="auto"/>
                <w:sz w:val="24"/>
                <w:highlight w:val="none"/>
                <w:lang w:val="en-US" w:eastAsia="zh-CN"/>
              </w:rPr>
              <w:t>1</w:t>
            </w:r>
            <w:r>
              <w:rPr>
                <w:rStyle w:val="969"/>
                <w:rFonts w:hint="eastAsia" w:ascii="宋体" w:hAnsi="宋体" w:eastAsia="宋体" w:cs="Times New Roman"/>
                <w:color w:val="auto"/>
                <w:sz w:val="24"/>
                <w:highlight w:val="none"/>
                <w:lang w:val="en-US" w:eastAsia="zh-CN"/>
              </w:rPr>
              <w:t>-</w:t>
            </w:r>
            <w:r>
              <w:rPr>
                <w:rStyle w:val="969"/>
                <w:rFonts w:hint="eastAsia" w:ascii="宋体" w:hAnsi="宋体" w:cs="Times New Roman"/>
                <w:color w:val="auto"/>
                <w:sz w:val="24"/>
                <w:highlight w:val="none"/>
                <w:lang w:val="en-US" w:eastAsia="zh-CN"/>
              </w:rPr>
              <w:t>3</w:t>
            </w:r>
            <w:r>
              <w:rPr>
                <w:rStyle w:val="969"/>
                <w:rFonts w:hint="eastAsia" w:ascii="宋体" w:hAnsi="宋体" w:eastAsia="宋体" w:cs="Times New Roman"/>
                <w:color w:val="auto"/>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vMerge w:val="restart"/>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图书加工服务</w:t>
            </w:r>
          </w:p>
        </w:tc>
        <w:tc>
          <w:tcPr>
            <w:tcW w:w="6075" w:type="dxa"/>
            <w:tcBorders>
              <w:tl2br w:val="nil"/>
              <w:tr2bl w:val="nil"/>
            </w:tcBorders>
            <w:noWrap w:val="0"/>
            <w:vAlign w:val="center"/>
          </w:tcPr>
          <w:p>
            <w:pPr>
              <w:widowControl/>
              <w:spacing w:line="280" w:lineRule="exact"/>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常驻到馆加工人员不少于4人</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包含本数</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得3分</w:t>
            </w:r>
            <w:r>
              <w:rPr>
                <w:rFonts w:hint="eastAsia" w:ascii="宋体" w:hAnsi="宋体" w:cs="宋体"/>
                <w:color w:val="auto"/>
                <w:sz w:val="24"/>
                <w:szCs w:val="24"/>
                <w:highlight w:val="none"/>
                <w:lang w:val="en-US" w:eastAsia="zh-CN"/>
              </w:rPr>
              <w:t>，4人以下不得分。</w:t>
            </w:r>
            <w:r>
              <w:rPr>
                <w:rFonts w:hint="eastAsia" w:ascii="宋体" w:hAnsi="宋体" w:eastAsia="宋体" w:cs="宋体"/>
                <w:color w:val="auto"/>
                <w:sz w:val="24"/>
                <w:szCs w:val="24"/>
                <w:highlight w:val="none"/>
                <w:lang w:val="en-US" w:eastAsia="zh-CN"/>
              </w:rPr>
              <w:t>（提供加工人员名册及相关上岗证书及聘用合同复印件，否则不得分）</w:t>
            </w:r>
          </w:p>
        </w:tc>
        <w:tc>
          <w:tcPr>
            <w:tcW w:w="792" w:type="dxa"/>
            <w:tcBorders>
              <w:tl2br w:val="nil"/>
              <w:tr2bl w:val="nil"/>
            </w:tcBorders>
            <w:noWrap w:val="0"/>
            <w:vAlign w:val="center"/>
          </w:tcPr>
          <w:p>
            <w:pPr>
              <w:widowControl/>
              <w:spacing w:line="280" w:lineRule="exact"/>
              <w:jc w:val="center"/>
              <w:rPr>
                <w:rFonts w:hint="eastAsia" w:ascii="宋体" w:hAnsi="宋体" w:eastAsia="宋体" w:cs="Times New Roman"/>
                <w:color w:val="auto"/>
                <w:kern w:val="2"/>
                <w:sz w:val="24"/>
                <w:szCs w:val="24"/>
                <w:highlight w:val="none"/>
                <w:lang w:val="en-US" w:eastAsia="zh-CN" w:bidi="ar-SA"/>
              </w:rPr>
            </w:pPr>
            <w:r>
              <w:rPr>
                <w:rStyle w:val="969"/>
                <w:rFonts w:hint="eastAsia" w:ascii="宋体" w:hAnsi="宋体" w:cs="Times New Roman"/>
                <w:color w:val="auto"/>
                <w:sz w:val="24"/>
                <w:highlight w:val="none"/>
                <w:lang w:val="en-US" w:eastAsia="zh-CN"/>
              </w:rPr>
              <w:t>0或3</w:t>
            </w:r>
            <w:r>
              <w:rPr>
                <w:rStyle w:val="969"/>
                <w:rFonts w:hint="eastAsia" w:ascii="宋体" w:hAnsi="宋体" w:eastAsia="宋体" w:cs="Times New Roman"/>
                <w:color w:val="auto"/>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ind w:left="0" w:leftChars="0" w:firstLine="480" w:firstLineChars="200"/>
              <w:jc w:val="center"/>
              <w:rPr>
                <w:rFonts w:hint="eastAsia" w:ascii="宋体" w:hAnsi="宋体" w:eastAsia="宋体" w:cs="宋体"/>
                <w:color w:val="auto"/>
                <w:kern w:val="28"/>
                <w:sz w:val="24"/>
                <w:szCs w:val="24"/>
                <w:highlight w:val="none"/>
                <w:lang w:val="en-US" w:eastAsia="zh-CN" w:bidi="ar-SA"/>
              </w:rPr>
            </w:pPr>
          </w:p>
        </w:tc>
        <w:tc>
          <w:tcPr>
            <w:tcW w:w="975" w:type="dxa"/>
            <w:vMerge w:val="continue"/>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lang w:val="en-US" w:eastAsia="zh-CN"/>
              </w:rPr>
            </w:pPr>
          </w:p>
        </w:tc>
        <w:tc>
          <w:tcPr>
            <w:tcW w:w="6075" w:type="dxa"/>
            <w:tcBorders>
              <w:tl2br w:val="nil"/>
              <w:tr2bl w:val="nil"/>
            </w:tcBorders>
            <w:noWrap w:val="0"/>
            <w:vAlign w:val="center"/>
          </w:tcPr>
          <w:p>
            <w:pPr>
              <w:widowControl/>
              <w:spacing w:line="280" w:lineRule="exact"/>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以上</w:t>
            </w:r>
            <w:r>
              <w:rPr>
                <w:rFonts w:hint="eastAsia" w:ascii="宋体" w:hAnsi="宋体" w:eastAsia="宋体" w:cs="宋体"/>
                <w:color w:val="auto"/>
                <w:sz w:val="24"/>
                <w:szCs w:val="24"/>
                <w:highlight w:val="none"/>
                <w:lang w:val="en-US" w:eastAsia="zh-CN"/>
              </w:rPr>
              <w:t>常驻到馆加工人员是否具备驻馆加工的能力，提供近三年为同类图书馆提供加工服务的证明，一个证明得1分，最高得3分。（证明需加盖服务单位的公章）</w:t>
            </w:r>
          </w:p>
        </w:tc>
        <w:tc>
          <w:tcPr>
            <w:tcW w:w="792" w:type="dxa"/>
            <w:tcBorders>
              <w:tl2br w:val="nil"/>
              <w:tr2bl w:val="nil"/>
            </w:tcBorders>
            <w:noWrap w:val="0"/>
            <w:vAlign w:val="center"/>
          </w:tcPr>
          <w:p>
            <w:pPr>
              <w:widowControl/>
              <w:spacing w:line="280" w:lineRule="exact"/>
              <w:jc w:val="center"/>
              <w:rPr>
                <w:rStyle w:val="969"/>
                <w:rFonts w:hint="default" w:ascii="宋体" w:hAnsi="宋体" w:cs="Times New Roman"/>
                <w:color w:val="auto"/>
                <w:sz w:val="24"/>
                <w:highlight w:val="none"/>
                <w:lang w:val="en-US" w:eastAsia="zh-CN"/>
              </w:rPr>
            </w:pPr>
            <w:r>
              <w:rPr>
                <w:rStyle w:val="969"/>
                <w:rFonts w:hint="eastAsia" w:ascii="宋体" w:hAnsi="宋体" w:cs="Times New Roman"/>
                <w:color w:val="auto"/>
                <w:sz w:val="24"/>
                <w:highlight w:val="none"/>
                <w:lang w:val="en-US" w:eastAsia="zh-CN"/>
              </w:rPr>
              <w:t>0或1或2或3分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ind w:left="0" w:leftChars="0" w:firstLine="480" w:firstLineChars="200"/>
              <w:jc w:val="center"/>
              <w:rPr>
                <w:rFonts w:hint="eastAsia" w:ascii="宋体" w:hAnsi="宋体" w:eastAsia="宋体" w:cs="宋体"/>
                <w:color w:val="auto"/>
                <w:kern w:val="28"/>
                <w:sz w:val="24"/>
                <w:szCs w:val="24"/>
                <w:highlight w:val="none"/>
                <w:lang w:val="en-US" w:eastAsia="zh-CN" w:bidi="ar-SA"/>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本地化服务</w:t>
            </w:r>
          </w:p>
        </w:tc>
        <w:tc>
          <w:tcPr>
            <w:tcW w:w="6075" w:type="dxa"/>
            <w:tcBorders>
              <w:tl2br w:val="nil"/>
              <w:tr2bl w:val="nil"/>
            </w:tcBorders>
            <w:noWrap w:val="0"/>
            <w:vAlign w:val="center"/>
          </w:tcPr>
          <w:p>
            <w:pPr>
              <w:widowControl/>
              <w:spacing w:line="280" w:lineRule="exact"/>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在嘉善境内自有或租赁仓储场所面积达到300㎡及以上或者投标人承诺中标后15日内在嘉善境内提供自有或租赁仓储场所面积达到300㎡及以上的，得3分。（须提供房产证或租赁协议或承诺，若提供租赁协议或承诺租赁,租赁期必须为一年及以上）</w:t>
            </w:r>
          </w:p>
        </w:tc>
        <w:tc>
          <w:tcPr>
            <w:tcW w:w="792" w:type="dxa"/>
            <w:tcBorders>
              <w:tl2br w:val="nil"/>
              <w:tr2bl w:val="nil"/>
            </w:tcBorders>
            <w:noWrap w:val="0"/>
            <w:vAlign w:val="center"/>
          </w:tcPr>
          <w:p>
            <w:pPr>
              <w:widowControl/>
              <w:spacing w:line="280" w:lineRule="exact"/>
              <w:jc w:val="center"/>
              <w:rPr>
                <w:rStyle w:val="969"/>
                <w:rFonts w:hint="default" w:ascii="宋体" w:hAnsi="宋体" w:cs="Times New Roman"/>
                <w:color w:val="auto"/>
                <w:sz w:val="24"/>
                <w:highlight w:val="none"/>
                <w:lang w:val="en-US" w:eastAsia="zh-CN"/>
              </w:rPr>
            </w:pPr>
            <w:r>
              <w:rPr>
                <w:rStyle w:val="969"/>
                <w:rFonts w:hint="eastAsia" w:ascii="宋体" w:hAnsi="宋体" w:cs="Times New Roman"/>
                <w:color w:val="auto"/>
                <w:sz w:val="24"/>
                <w:highlight w:val="none"/>
                <w:lang w:val="en-US" w:eastAsia="zh-CN"/>
              </w:rPr>
              <w:t>0或3分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特色服务</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能够向读者提供“你点书我买单”活动并对读者点书进行现场审核、编目、加工及借阅服务的得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分（需提供借阅案例证明），承诺能配合馆方要求配合开展阅读推广活动的得2分，</w:t>
            </w:r>
            <w:r>
              <w:rPr>
                <w:rFonts w:hint="eastAsia" w:ascii="宋体" w:hAnsi="宋体" w:cs="宋体"/>
                <w:color w:val="auto"/>
                <w:sz w:val="24"/>
                <w:szCs w:val="24"/>
                <w:highlight w:val="none"/>
                <w:lang w:val="en-US" w:eastAsia="zh-CN"/>
              </w:rPr>
              <w:t>承诺</w:t>
            </w:r>
            <w:r>
              <w:rPr>
                <w:rFonts w:hint="eastAsia" w:ascii="宋体" w:hAnsi="宋体" w:eastAsia="宋体" w:cs="宋体"/>
                <w:color w:val="auto"/>
                <w:sz w:val="24"/>
                <w:szCs w:val="24"/>
                <w:highlight w:val="none"/>
                <w:lang w:val="en-US" w:eastAsia="zh-CN"/>
              </w:rPr>
              <w:t>对专题性图书突击采购任务能在5个工作日内送到图书馆并完成加工上架的得1分</w:t>
            </w:r>
          </w:p>
        </w:tc>
        <w:tc>
          <w:tcPr>
            <w:tcW w:w="792" w:type="dxa"/>
            <w:tcBorders>
              <w:tl2br w:val="nil"/>
              <w:tr2bl w:val="nil"/>
            </w:tcBorders>
            <w:noWrap w:val="0"/>
            <w:vAlign w:val="center"/>
          </w:tcPr>
          <w:p>
            <w:pPr>
              <w:widowControl/>
              <w:spacing w:line="280" w:lineRule="exact"/>
              <w:jc w:val="center"/>
              <w:rPr>
                <w:rStyle w:val="969"/>
                <w:rFonts w:hint="default" w:ascii="宋体" w:hAnsi="宋体" w:cs="Times New Roman"/>
                <w:color w:val="auto"/>
                <w:sz w:val="24"/>
                <w:highlight w:val="none"/>
                <w:lang w:val="en-US" w:eastAsia="zh-CN"/>
              </w:rPr>
            </w:pPr>
            <w:r>
              <w:rPr>
                <w:rStyle w:val="969"/>
                <w:rFonts w:hint="eastAsia" w:ascii="宋体" w:hAnsi="宋体" w:cs="Times New Roman"/>
                <w:color w:val="auto"/>
                <w:sz w:val="24"/>
                <w:highlight w:val="none"/>
                <w:lang w:val="en-US" w:eastAsia="zh-CN"/>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售后服务</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根据供应商提供的售后维护机构和人员配备对项目实施保证效果、便利程度情况进行打分。</w:t>
            </w:r>
          </w:p>
        </w:tc>
        <w:tc>
          <w:tcPr>
            <w:tcW w:w="792" w:type="dxa"/>
            <w:tcBorders>
              <w:tl2br w:val="nil"/>
              <w:tr2bl w:val="nil"/>
            </w:tcBorders>
            <w:noWrap w:val="0"/>
            <w:vAlign w:val="center"/>
          </w:tcPr>
          <w:p>
            <w:pPr>
              <w:widowControl/>
              <w:spacing w:line="280" w:lineRule="exact"/>
              <w:jc w:val="center"/>
              <w:rPr>
                <w:rStyle w:val="969"/>
                <w:rFonts w:hint="default" w:ascii="宋体" w:hAnsi="宋体" w:cs="Times New Roman"/>
                <w:color w:val="auto"/>
                <w:sz w:val="24"/>
                <w:highlight w:val="none"/>
                <w:lang w:val="en-US" w:eastAsia="zh-CN"/>
              </w:rPr>
            </w:pPr>
            <w:r>
              <w:rPr>
                <w:rStyle w:val="969"/>
                <w:rFonts w:hint="eastAsia" w:ascii="宋体" w:hAnsi="宋体" w:cs="Times New Roman"/>
                <w:color w:val="auto"/>
                <w:sz w:val="24"/>
                <w:highlight w:val="none"/>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517" w:type="dxa"/>
            <w:vMerge w:val="continue"/>
            <w:tcBorders>
              <w:tl2br w:val="nil"/>
              <w:tr2bl w:val="nil"/>
            </w:tcBorders>
            <w:noWrap w:val="0"/>
            <w:vAlign w:val="center"/>
          </w:tcPr>
          <w:p>
            <w:pPr>
              <w:pStyle w:val="841"/>
              <w:widowControl/>
              <w:tabs>
                <w:tab w:val="left" w:pos="0"/>
                <w:tab w:val="clear" w:pos="8268"/>
              </w:tabs>
              <w:spacing w:line="360" w:lineRule="atLeast"/>
              <w:jc w:val="center"/>
              <w:rPr>
                <w:rFonts w:hint="eastAsia" w:ascii="宋体" w:hAnsi="宋体" w:eastAsia="宋体" w:cs="宋体"/>
                <w:color w:val="auto"/>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增值服务</w:t>
            </w:r>
          </w:p>
        </w:tc>
        <w:tc>
          <w:tcPr>
            <w:tcW w:w="6075" w:type="dxa"/>
            <w:tcBorders>
              <w:tl2br w:val="nil"/>
              <w:tr2bl w:val="nil"/>
            </w:tcBorders>
            <w:noWrap w:val="0"/>
            <w:vAlign w:val="center"/>
          </w:tcPr>
          <w:p>
            <w:pPr>
              <w:widowControl/>
              <w:spacing w:line="28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能够提供特色资源配书，有自己优势的供书渠道（提供相关证明材料）</w:t>
            </w:r>
          </w:p>
        </w:tc>
        <w:tc>
          <w:tcPr>
            <w:tcW w:w="792" w:type="dxa"/>
            <w:tcBorders>
              <w:tl2br w:val="nil"/>
              <w:tr2bl w:val="nil"/>
            </w:tcBorders>
            <w:noWrap w:val="0"/>
            <w:vAlign w:val="center"/>
          </w:tcPr>
          <w:p>
            <w:pPr>
              <w:widowControl/>
              <w:spacing w:line="280" w:lineRule="exact"/>
              <w:jc w:val="center"/>
              <w:rPr>
                <w:rStyle w:val="969"/>
                <w:rFonts w:hint="default" w:ascii="宋体" w:hAnsi="宋体" w:cs="Times New Roman"/>
                <w:color w:val="auto"/>
                <w:sz w:val="24"/>
                <w:highlight w:val="none"/>
                <w:lang w:val="en-US" w:eastAsia="zh-CN"/>
              </w:rPr>
            </w:pPr>
            <w:r>
              <w:rPr>
                <w:rStyle w:val="969"/>
                <w:rFonts w:hint="eastAsia" w:ascii="宋体" w:hAnsi="宋体" w:cs="Times New Roman"/>
                <w:color w:val="auto"/>
                <w:sz w:val="24"/>
                <w:highlight w:val="none"/>
                <w:lang w:val="en-US" w:eastAsia="zh-CN"/>
              </w:rPr>
              <w:t>0-2分</w:t>
            </w:r>
          </w:p>
        </w:tc>
      </w:tr>
    </w:tbl>
    <w:p>
      <w:pPr>
        <w:pStyle w:val="4"/>
        <w:spacing w:before="0" w:after="0" w:line="480" w:lineRule="exact"/>
        <w:ind w:left="0" w:leftChars="0" w:firstLine="0" w:firstLineChars="0"/>
        <w:rPr>
          <w:rFonts w:hint="eastAsia"/>
          <w:color w:val="auto"/>
          <w:highlight w:val="none"/>
        </w:rPr>
      </w:pPr>
      <w:r>
        <w:rPr>
          <w:rFonts w:hint="eastAsia"/>
          <w:color w:val="auto"/>
          <w:sz w:val="24"/>
          <w:szCs w:val="24"/>
          <w:highlight w:val="none"/>
        </w:rPr>
        <w:t>注：以上项目若缺项，则该项得0分</w:t>
      </w:r>
    </w:p>
    <w:p>
      <w:pPr>
        <w:pStyle w:val="25"/>
        <w:spacing w:before="120" w:beforeLines="50" w:after="120" w:afterLines="50" w:line="360" w:lineRule="auto"/>
        <w:ind w:firstLine="0"/>
        <w:rPr>
          <w:rFonts w:hint="eastAsia" w:cs="宋体"/>
          <w:b/>
          <w:color w:val="auto"/>
          <w:sz w:val="24"/>
          <w:szCs w:val="24"/>
          <w:highlight w:val="none"/>
          <w:lang w:eastAsia="zh-CN"/>
        </w:rPr>
      </w:pPr>
    </w:p>
    <w:p>
      <w:pPr>
        <w:pStyle w:val="41"/>
        <w:rPr>
          <w:rFonts w:hint="eastAsia"/>
          <w:color w:val="auto"/>
          <w:highlight w:val="none"/>
          <w:lang w:eastAsia="zh-CN"/>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color w:val="auto"/>
          <w:highlight w:val="none"/>
        </w:rPr>
      </w:pPr>
      <w:r>
        <w:rPr>
          <w:rFonts w:hint="eastAsia" w:ascii="仿宋" w:hAnsi="仿宋" w:eastAsia="仿宋" w:cs="仿宋_GB2312"/>
          <w:b/>
          <w:color w:val="auto"/>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政府采购计划（预算）确认书编号：</w:t>
      </w:r>
      <w:r>
        <w:rPr>
          <w:rFonts w:hint="eastAsia" w:ascii="宋体" w:hAnsi="宋体" w:cs="Arial"/>
          <w:color w:val="auto"/>
          <w:kern w:val="0"/>
          <w:sz w:val="24"/>
          <w:highlight w:val="none"/>
        </w:rPr>
        <w:t>善财采确[202</w:t>
      </w:r>
      <w:r>
        <w:rPr>
          <w:rFonts w:hint="eastAsia" w:ascii="宋体" w:hAnsi="宋体" w:cs="Arial"/>
          <w:color w:val="auto"/>
          <w:kern w:val="0"/>
          <w:sz w:val="24"/>
          <w:highlight w:val="none"/>
          <w:lang w:val="en-US" w:eastAsia="zh-CN"/>
        </w:rPr>
        <w:t>2</w:t>
      </w:r>
      <w:r>
        <w:rPr>
          <w:rFonts w:hint="eastAsia" w:ascii="宋体" w:hAnsi="宋体" w:cs="Arial"/>
          <w:color w:val="auto"/>
          <w:kern w:val="0"/>
          <w:sz w:val="24"/>
          <w:highlight w:val="none"/>
        </w:rPr>
        <w:t>]5708</w:t>
      </w:r>
      <w:r>
        <w:rPr>
          <w:rFonts w:hint="eastAsia" w:ascii="宋体" w:hAnsi="宋体" w:cs="Arial"/>
          <w:color w:val="auto"/>
          <w:kern w:val="0"/>
          <w:sz w:val="24"/>
          <w:highlight w:val="none"/>
          <w:lang w:eastAsia="zh-CN"/>
        </w:rPr>
        <w:t>、5709</w:t>
      </w:r>
      <w:r>
        <w:rPr>
          <w:rFonts w:hint="eastAsia" w:ascii="宋体" w:hAnsi="宋体" w:cs="Arial"/>
          <w:color w:val="auto"/>
          <w:kern w:val="0"/>
          <w:sz w:val="24"/>
          <w:highlight w:val="none"/>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预算金额：</w:t>
      </w:r>
      <w:r>
        <w:rPr>
          <w:rFonts w:hint="eastAsia" w:ascii="宋体" w:hAnsi="宋体" w:cs="宋体"/>
          <w:color w:val="auto"/>
          <w:kern w:val="0"/>
          <w:sz w:val="24"/>
          <w:highlight w:val="none"/>
          <w:lang w:val="en-US" w:eastAsia="zh-CN"/>
        </w:rPr>
        <w:t>36</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00</w:t>
      </w:r>
      <w:r>
        <w:rPr>
          <w:rFonts w:hint="eastAsia" w:ascii="宋体" w:hAnsi="宋体" w:cs="宋体"/>
          <w:color w:val="auto"/>
          <w:kern w:val="0"/>
          <w:sz w:val="24"/>
          <w:highlight w:val="none"/>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采购人（以下称甲方）：</w:t>
      </w:r>
      <w:r>
        <w:rPr>
          <w:rFonts w:hint="eastAsia" w:ascii="宋体" w:hAnsi="宋体" w:cs="宋体"/>
          <w:color w:val="auto"/>
          <w:kern w:val="0"/>
          <w:sz w:val="24"/>
          <w:highlight w:val="none"/>
          <w:lang w:eastAsia="zh-CN"/>
        </w:rPr>
        <w:t>嘉善县图书馆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采购方式：</w:t>
      </w:r>
      <w:r>
        <w:rPr>
          <w:rFonts w:hint="eastAsia" w:ascii="宋体" w:hAnsi="宋体" w:cs="Arial"/>
          <w:color w:val="auto"/>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采购文件编号：</w:t>
      </w:r>
      <w:r>
        <w:rPr>
          <w:rFonts w:hint="eastAsia" w:ascii="宋体" w:hAnsi="宋体" w:cs="宋体"/>
          <w:color w:val="auto"/>
          <w:kern w:val="0"/>
          <w:sz w:val="24"/>
          <w:highlight w:val="none"/>
          <w:lang w:eastAsia="zh-CN"/>
        </w:rPr>
        <w:t>JXYJ2022038</w:t>
      </w:r>
      <w:r>
        <w:rPr>
          <w:rFonts w:hint="eastAsia" w:ascii="宋体" w:hAnsi="宋体" w:cs="宋体"/>
          <w:color w:val="auto"/>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根据《中华人民共和国政府采购法》、《中华人民共和国民法典》等法律法规的规定，甲乙双方按照</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eastAsia="zh-CN"/>
        </w:rPr>
        <w:t>嘉善县图书馆第二次普通图书采购项目</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1、本次采购的是</w:t>
      </w:r>
      <w:r>
        <w:rPr>
          <w:rFonts w:hint="eastAsia" w:ascii="宋体" w:hAnsi="宋体" w:cs="宋体"/>
          <w:color w:val="auto"/>
          <w:kern w:val="0"/>
          <w:sz w:val="24"/>
          <w:highlight w:val="none"/>
          <w:u w:val="single"/>
        </w:rPr>
        <w:t xml:space="preserve">  </w:t>
      </w:r>
      <w:r>
        <w:rPr>
          <w:rFonts w:hint="eastAsia" w:ascii="宋体" w:hAnsi="宋体" w:cs="Arial"/>
          <w:color w:val="auto"/>
          <w:kern w:val="0"/>
          <w:sz w:val="24"/>
          <w:highlight w:val="none"/>
          <w:u w:val="single"/>
          <w:lang w:eastAsia="zh-CN"/>
        </w:rPr>
        <w:t>嘉善县图书馆第二次普通图书采购项目</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1、本合同项下总价款为人民币（大写）</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Arial"/>
          <w:color w:val="auto"/>
          <w:kern w:val="0"/>
          <w:sz w:val="24"/>
          <w:highlight w:val="none"/>
        </w:rPr>
      </w:pPr>
      <w:r>
        <w:rPr>
          <w:rFonts w:hint="eastAsia" w:ascii="宋体" w:hAnsi="宋体" w:cs="宋体"/>
          <w:color w:val="auto"/>
          <w:kern w:val="0"/>
          <w:sz w:val="24"/>
          <w:highlight w:val="none"/>
        </w:rPr>
        <w:t>2、本合同总价款含所有税费(</w:t>
      </w:r>
      <w:r>
        <w:rPr>
          <w:rFonts w:hint="eastAsia" w:ascii="宋体" w:hAnsi="宋体" w:cs="宋体"/>
          <w:color w:val="auto"/>
          <w:kern w:val="0"/>
          <w:sz w:val="24"/>
          <w:highlight w:val="none"/>
          <w:lang w:eastAsia="zh-CN"/>
        </w:rPr>
        <w:t>应包括货款、包装、运输、装卸、保险、税金、货到就位、招投标等一切税金和费用</w:t>
      </w:r>
      <w:r>
        <w:rPr>
          <w:rFonts w:hint="eastAsia" w:ascii="宋体" w:hAnsi="宋体" w:cs="Arial"/>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3、本项目资金来源性质为以下第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（1）一般预算；（2）政府基金；（3）专户核拨的预算外资金；（4）其他财政资金；（5）其他资金。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4、本合同付款方式为以下第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r>
        <w:rPr>
          <w:rFonts w:hint="eastAsia" w:ascii="宋体" w:hAnsi="宋体" w:cs="Arial"/>
          <w:color w:val="auto"/>
          <w:kern w:val="0"/>
          <w:sz w:val="24"/>
          <w:highlight w:val="none"/>
          <w:u w:val="single"/>
          <w:lang w:val="en-US" w:eastAsia="zh-CN"/>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（2）本合同项下的采购资金须财政直接支付，付款程序为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5、本合同项下的采购资金付款进度按采购文件与投标文件（或采购响应文件）规定，未规定时按以下第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2</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（1）一次性付款：乙方合同履行达到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合同生效以及具备实施条件后7个工作日内支付合同金额的</w:t>
      </w:r>
      <w:r>
        <w:rPr>
          <w:rFonts w:hint="eastAsia" w:ascii="宋体" w:hAnsi="宋体" w:cs="宋体"/>
          <w:color w:val="auto"/>
          <w:kern w:val="0"/>
          <w:sz w:val="24"/>
          <w:highlight w:val="none"/>
          <w:lang w:val="en-US" w:eastAsia="zh-CN"/>
        </w:rPr>
        <w:t>40</w:t>
      </w:r>
      <w:r>
        <w:rPr>
          <w:rFonts w:hint="default" w:ascii="宋体" w:hAnsi="宋体" w:cs="宋体"/>
          <w:color w:val="auto"/>
          <w:kern w:val="0"/>
          <w:sz w:val="24"/>
          <w:highlight w:val="none"/>
          <w:lang w:val="en-US" w:eastAsia="zh-CN"/>
        </w:rPr>
        <w:t>%，验收合格且收到发票后7个工作日内支付至合同金额的100%</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1、本项目设置履约保证金，</w:t>
      </w:r>
      <w:r>
        <w:rPr>
          <w:rFonts w:hint="eastAsia" w:ascii="宋体" w:hAnsi="宋体" w:eastAsia="宋体" w:cs="宋体"/>
          <w:color w:val="auto"/>
          <w:sz w:val="24"/>
          <w:szCs w:val="24"/>
          <w:highlight w:val="none"/>
          <w:lang w:val="en-US" w:eastAsia="zh-CN"/>
        </w:rPr>
        <w:t>签订合同前中标人应向采购人交纳合同金额的</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作</w:t>
      </w:r>
      <w:r>
        <w:rPr>
          <w:rFonts w:hint="eastAsia" w:ascii="宋体" w:hAnsi="宋体" w:eastAsia="宋体" w:cs="宋体"/>
          <w:color w:val="auto"/>
          <w:sz w:val="24"/>
          <w:szCs w:val="24"/>
          <w:highlight w:val="none"/>
          <w:lang w:val="en-US" w:eastAsia="zh-CN"/>
        </w:rPr>
        <w:t>为履约保证金，履约保证金在合同履行完毕后一个月内无息退还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b/>
          <w:color w:val="auto"/>
          <w:kern w:val="0"/>
          <w:sz w:val="24"/>
          <w:highlight w:val="none"/>
        </w:rPr>
      </w:pPr>
      <w:r>
        <w:rPr>
          <w:rFonts w:hint="eastAsia" w:ascii="宋体" w:hAnsi="宋体" w:cs="宋体"/>
          <w:color w:val="auto"/>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eastAsia="zh-CN"/>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b w:val="0"/>
          <w:bCs/>
          <w:color w:val="auto"/>
          <w:kern w:val="0"/>
          <w:sz w:val="24"/>
          <w:highlight w:val="none"/>
          <w:lang w:val="en-US" w:eastAsia="zh-CN"/>
        </w:rPr>
        <w:t>2、乙方采取分包方式履行合同的，甲方可直接向分包供应商支付款项</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2</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（2）向</w:t>
      </w:r>
      <w:r>
        <w:rPr>
          <w:rFonts w:hint="eastAsia" w:ascii="宋体" w:hAnsi="宋体" w:cs="宋体"/>
          <w:color w:val="auto"/>
          <w:kern w:val="0"/>
          <w:sz w:val="24"/>
          <w:highlight w:val="none"/>
          <w:u w:val="single"/>
        </w:rPr>
        <w:t xml:space="preserve">   </w:t>
      </w:r>
      <w:r>
        <w:rPr>
          <w:rFonts w:hint="eastAsia" w:ascii="宋体" w:hAnsi="宋体" w:cs="Arial"/>
          <w:color w:val="auto"/>
          <w:kern w:val="0"/>
          <w:sz w:val="24"/>
          <w:highlight w:val="none"/>
          <w:u w:val="single"/>
        </w:rPr>
        <w:t>嘉善县</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Arial"/>
          <w:color w:val="auto"/>
          <w:kern w:val="0"/>
          <w:sz w:val="24"/>
          <w:highlight w:val="none"/>
        </w:rPr>
        <w:t>本合同一式五份，甲乙双方各2份，招标代理机构各持一份</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hint="eastAsia"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hint="eastAsia" w:ascii="宋体" w:hAnsi="宋体" w:cs="宋体"/>
          <w:color w:val="auto"/>
          <w:kern w:val="0"/>
          <w:sz w:val="24"/>
          <w:highlight w:val="none"/>
        </w:rPr>
      </w:pP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采购人（甲方公章）                    供应商（乙方公章）：</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法定代表人                            法定代表人</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 xml:space="preserve">或被授权人（签字）：                   或被授权人（签字）：     </w:t>
      </w:r>
    </w:p>
    <w:p>
      <w:pPr>
        <w:spacing w:line="480" w:lineRule="exact"/>
        <w:rPr>
          <w:rFonts w:hint="eastAsia" w:ascii="宋体" w:hAnsi="宋体" w:cs="宋体"/>
          <w:b/>
          <w:color w:val="auto"/>
          <w:sz w:val="24"/>
          <w:highlight w:val="none"/>
        </w:rPr>
      </w:pPr>
      <w:r>
        <w:rPr>
          <w:rFonts w:hint="eastAsia" w:ascii="宋体" w:hAnsi="宋体" w:cs="宋体"/>
          <w:b/>
          <w:color w:val="auto"/>
          <w:sz w:val="24"/>
          <w:highlight w:val="none"/>
        </w:rPr>
        <w:t xml:space="preserve">电话：                                电话：  </w:t>
      </w:r>
    </w:p>
    <w:p>
      <w:pPr>
        <w:spacing w:line="480" w:lineRule="exact"/>
        <w:ind w:right="480" w:firstLine="2160" w:firstLineChars="900"/>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80" w:lineRule="exact"/>
        <w:ind w:right="480" w:firstLine="2160" w:firstLineChars="900"/>
        <w:jc w:val="center"/>
        <w:rPr>
          <w:rFonts w:hint="eastAsia" w:ascii="宋体" w:hAnsi="宋体" w:cs="宋体"/>
          <w:color w:val="auto"/>
          <w:sz w:val="24"/>
          <w:highlight w:val="none"/>
        </w:rPr>
      </w:pPr>
      <w:r>
        <w:rPr>
          <w:rFonts w:hint="eastAsia" w:ascii="宋体" w:hAnsi="宋体" w:cs="宋体"/>
          <w:color w:val="auto"/>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hint="eastAsia" w:ascii="宋体" w:hAnsi="宋体" w:cs="宋体"/>
          <w:color w:val="auto"/>
          <w:sz w:val="24"/>
          <w:highlight w:val="none"/>
        </w:rPr>
        <w:sectPr>
          <w:footerReference r:id="rId7" w:type="default"/>
          <w:pgSz w:w="11906" w:h="16838"/>
          <w:pgMar w:top="1440" w:right="1797" w:bottom="1440" w:left="1797"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color w:val="auto"/>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hint="eastAsia" w:ascii="宋体" w:hAnsi="宋体" w:cs="宋体"/>
          <w:color w:val="auto"/>
          <w:kern w:val="0"/>
          <w:sz w:val="24"/>
          <w:highlight w:val="none"/>
        </w:rPr>
      </w:pPr>
      <w:r>
        <w:rPr>
          <w:rFonts w:hint="eastAsia" w:ascii="宋体" w:hAnsi="宋体" w:cs="宋体"/>
          <w:color w:val="auto"/>
          <w:sz w:val="24"/>
          <w:highlight w:val="none"/>
        </w:rPr>
        <w:t xml:space="preserve">               </w:t>
      </w:r>
    </w:p>
    <w:tbl>
      <w:tblPr>
        <w:tblStyle w:val="63"/>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noWrap w:val="0"/>
            <w:vAlign w:val="bottom"/>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c>
          <w:tcPr>
            <w:tcW w:w="3021"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c>
          <w:tcPr>
            <w:tcW w:w="2081"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采购申请编号:</w:t>
            </w:r>
          </w:p>
        </w:tc>
        <w:tc>
          <w:tcPr>
            <w:tcW w:w="3021"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tc>
        <w:tc>
          <w:tcPr>
            <w:tcW w:w="2081" w:type="dxa"/>
            <w:tcBorders>
              <w:top w:val="nil"/>
              <w:left w:val="nil"/>
              <w:bottom w:val="nil"/>
              <w:right w:val="nil"/>
            </w:tcBorders>
            <w:noWrap w:val="0"/>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采购单位（需方）</w:t>
            </w:r>
          </w:p>
        </w:tc>
        <w:tc>
          <w:tcPr>
            <w:tcW w:w="302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供应商（供方）</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商品名称</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规格型号及要求</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计量单位</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     量</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单价(元)</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   计</w:t>
            </w:r>
          </w:p>
        </w:tc>
        <w:tc>
          <w:tcPr>
            <w:tcW w:w="30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noWrap w:val="0"/>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nil"/>
            </w:tcBorders>
            <w:noWrap w:val="0"/>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验收人（签字）:</w:t>
            </w:r>
          </w:p>
        </w:tc>
        <w:tc>
          <w:tcPr>
            <w:tcW w:w="1855" w:type="dxa"/>
            <w:tcBorders>
              <w:top w:val="nil"/>
              <w:left w:val="nil"/>
              <w:bottom w:val="single" w:color="auto" w:sz="4" w:space="0"/>
              <w:right w:val="nil"/>
            </w:tcBorders>
            <w:noWrap w:val="0"/>
            <w:vAlign w:val="bottom"/>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5906" w:type="dxa"/>
            <w:gridSpan w:val="3"/>
            <w:tcBorders>
              <w:top w:val="nil"/>
              <w:left w:val="single" w:color="auto" w:sz="4" w:space="0"/>
              <w:bottom w:val="single" w:color="auto" w:sz="4" w:space="0"/>
              <w:right w:val="single" w:color="000000" w:sz="4" w:space="0"/>
            </w:tcBorders>
            <w:noWrap w:val="0"/>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供应商(盖章)</w:t>
            </w:r>
          </w:p>
        </w:tc>
        <w:tc>
          <w:tcPr>
            <w:tcW w:w="5906" w:type="dxa"/>
            <w:gridSpan w:val="3"/>
            <w:tcBorders>
              <w:top w:val="single" w:color="auto" w:sz="4" w:space="0"/>
              <w:left w:val="nil"/>
              <w:bottom w:val="nil"/>
              <w:right w:val="single" w:color="000000" w:sz="4" w:space="0"/>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经办人（签字）:</w:t>
            </w:r>
          </w:p>
        </w:tc>
        <w:tc>
          <w:tcPr>
            <w:tcW w:w="1745" w:type="dxa"/>
            <w:tcBorders>
              <w:top w:val="nil"/>
              <w:left w:val="nil"/>
              <w:bottom w:val="nil"/>
              <w:right w:val="nil"/>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nil"/>
              <w:right w:val="nil"/>
            </w:tcBorders>
            <w:noWrap w:val="0"/>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(盖章)</w:t>
            </w:r>
          </w:p>
        </w:tc>
        <w:tc>
          <w:tcPr>
            <w:tcW w:w="2081" w:type="dxa"/>
            <w:tcBorders>
              <w:top w:val="nil"/>
              <w:left w:val="nil"/>
              <w:bottom w:val="nil"/>
              <w:right w:val="single" w:color="auto" w:sz="4" w:space="0"/>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noWrap w:val="0"/>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验收日期:20     年    月    日</w:t>
            </w:r>
          </w:p>
        </w:tc>
        <w:tc>
          <w:tcPr>
            <w:tcW w:w="5906" w:type="dxa"/>
            <w:gridSpan w:val="3"/>
            <w:tcBorders>
              <w:top w:val="nil"/>
              <w:left w:val="nil"/>
              <w:bottom w:val="single" w:color="auto" w:sz="4" w:space="0"/>
              <w:right w:val="single" w:color="000000" w:sz="4" w:space="0"/>
            </w:tcBorders>
            <w:noWrap w:val="0"/>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noWrap w:val="0"/>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2、本表一式五份，经供需双方签字盖章后由采购单位、供应商、财政支付（核算）中心、财政局、公共资源交易中心各自留存。</w:t>
            </w:r>
          </w:p>
        </w:tc>
      </w:tr>
    </w:tbl>
    <w:p>
      <w:pPr>
        <w:pStyle w:val="33"/>
        <w:adjustRightInd w:val="0"/>
        <w:spacing w:before="120" w:after="120" w:line="420" w:lineRule="exact"/>
        <w:rPr>
          <w:rFonts w:hint="eastAsia" w:hAnsi="宋体"/>
          <w:bCs/>
          <w:color w:val="auto"/>
          <w:highlight w:val="none"/>
        </w:rPr>
        <w:sectPr>
          <w:pgSz w:w="16838" w:h="11906" w:orient="landscape"/>
          <w:pgMar w:top="1134" w:right="1134" w:bottom="1134" w:left="1417" w:header="851" w:footer="851" w:gutter="0"/>
          <w:pgBorders>
            <w:top w:val="none" w:sz="0" w:space="0"/>
            <w:left w:val="none" w:sz="0" w:space="0"/>
            <w:bottom w:val="none" w:sz="0" w:space="0"/>
            <w:right w:val="none" w:sz="0" w:space="0"/>
          </w:pgBorders>
          <w:pgNumType w:fmt="decimal"/>
          <w:cols w:space="720" w:num="1"/>
          <w:docGrid w:linePitch="312" w:charSpace="0"/>
        </w:sectPr>
      </w:pPr>
    </w:p>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嘉善县图书馆第二次普通图书采购项目</w:t>
      </w:r>
      <w:r>
        <w:rPr>
          <w:rFonts w:hint="eastAsia" w:ascii="宋体" w:hAnsi="宋体" w:cs="宋体"/>
          <w:color w:val="auto"/>
          <w:sz w:val="28"/>
          <w:szCs w:val="28"/>
          <w:highlight w:val="none"/>
        </w:rPr>
        <w:t xml:space="preserve"> 验收报告</w:t>
      </w:r>
    </w:p>
    <w:p>
      <w:pPr>
        <w:jc w:val="center"/>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项目验收情况说明（由双方按验收情况填写）：</w:t>
      </w: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jc w:val="left"/>
        <w:rPr>
          <w:rFonts w:hint="eastAsia" w:ascii="宋体" w:hAnsi="宋体" w:cs="宋体"/>
          <w:color w:val="auto"/>
          <w:sz w:val="28"/>
          <w:szCs w:val="28"/>
          <w:highlight w:val="none"/>
        </w:rPr>
      </w:pPr>
    </w:p>
    <w:p>
      <w:pPr>
        <w:rPr>
          <w:rFonts w:hint="eastAsia"/>
          <w:color w:val="auto"/>
          <w:highlight w:val="none"/>
        </w:rPr>
        <w:sectPr>
          <w:pgSz w:w="11906" w:h="16838"/>
          <w:pgMar w:top="1440" w:right="1797" w:bottom="1440" w:left="1797"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color w:val="auto"/>
          <w:sz w:val="28"/>
          <w:szCs w:val="28"/>
          <w:highlight w:val="none"/>
        </w:rPr>
        <w:t>验收小组签字：（3人以上）</w:t>
      </w:r>
    </w:p>
    <w:p>
      <w:pPr>
        <w:pStyle w:val="3"/>
        <w:numPr>
          <w:ilvl w:val="0"/>
          <w:numId w:val="4"/>
        </w:numPr>
        <w:spacing w:before="0" w:after="0" w:line="240" w:lineRule="auto"/>
        <w:ind w:left="0" w:firstLine="0"/>
        <w:jc w:val="center"/>
        <w:rPr>
          <w:rFonts w:hint="eastAsia" w:ascii="仿宋" w:hAnsi="仿宋" w:eastAsia="仿宋" w:cs="仿宋_GB2312"/>
          <w:b/>
          <w:bCs w:val="0"/>
          <w:color w:val="auto"/>
          <w:kern w:val="2"/>
          <w:sz w:val="36"/>
          <w:szCs w:val="36"/>
          <w:highlight w:val="none"/>
          <w:lang w:val="en-US" w:eastAsia="zh-CN" w:bidi="ar-SA"/>
        </w:rPr>
      </w:pPr>
      <w:r>
        <w:rPr>
          <w:rFonts w:hint="eastAsia" w:ascii="仿宋" w:hAnsi="仿宋" w:eastAsia="仿宋" w:cs="仿宋_GB2312"/>
          <w:b/>
          <w:bCs w:val="0"/>
          <w:color w:val="auto"/>
          <w:kern w:val="2"/>
          <w:sz w:val="36"/>
          <w:szCs w:val="36"/>
          <w:highlight w:val="none"/>
          <w:lang w:val="en-US" w:eastAsia="zh-CN" w:bidi="ar-SA"/>
        </w:rPr>
        <w:t>投标文件格式</w:t>
      </w:r>
      <w:bookmarkEnd w:id="34"/>
    </w:p>
    <w:p>
      <w:pPr>
        <w:spacing w:line="300" w:lineRule="auto"/>
        <w:ind w:firstLine="205" w:firstLineChars="98"/>
        <w:jc w:val="center"/>
        <w:rPr>
          <w:rFonts w:hint="eastAsia" w:hAnsi="宋体" w:cs="宋体"/>
          <w:color w:val="auto"/>
          <w:highlight w:val="none"/>
        </w:rPr>
      </w:pPr>
      <w:r>
        <w:rPr>
          <w:rFonts w:hint="eastAsia" w:hAnsi="宋体" w:cs="宋体"/>
          <w:color w:val="auto"/>
          <w:highlight w:val="none"/>
        </w:rPr>
        <w:t xml:space="preserve"> </w:t>
      </w: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color w:val="auto"/>
          <w:kern w:val="0"/>
          <w:sz w:val="24"/>
          <w:highlight w:val="none"/>
          <w:lang w:val="zh-CN"/>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投标人名称（盖章）</w:t>
      </w:r>
      <w:r>
        <w:rPr>
          <w:rFonts w:ascii="仿宋_GB2312" w:hAnsi="仿宋" w:eastAsia="仿宋_GB2312" w:cs="仿宋_GB2312"/>
          <w:color w:val="auto"/>
          <w:kern w:val="0"/>
          <w:sz w:val="24"/>
          <w:highlight w:val="none"/>
          <w:lang w:val="zh-CN"/>
        </w:rPr>
        <w:t>：</w:t>
      </w:r>
    </w:p>
    <w:p>
      <w:pPr>
        <w:spacing w:line="300" w:lineRule="auto"/>
        <w:jc w:val="left"/>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lang w:val="en-US" w:eastAsia="zh-CN"/>
        </w:rPr>
        <w:t xml:space="preserve"> </w:t>
      </w:r>
      <w:r>
        <w:rPr>
          <w:rFonts w:hint="eastAsia" w:ascii="仿宋_GB2312" w:hAnsi="仿宋" w:eastAsia="仿宋_GB2312" w:cs="仿宋_GB2312"/>
          <w:color w:val="auto"/>
          <w:kern w:val="0"/>
          <w:sz w:val="24"/>
          <w:highlight w:val="none"/>
          <w:lang w:val="zh-CN"/>
        </w:rPr>
        <w:t>日</w:t>
      </w:r>
    </w:p>
    <w:p>
      <w:pPr>
        <w:pStyle w:val="25"/>
        <w:rPr>
          <w:rFonts w:hint="eastAsia" w:ascii="仿宋_GB2312" w:hAnsi="仿宋" w:eastAsia="仿宋_GB2312" w:cs="仿宋_GB2312"/>
          <w:color w:val="auto"/>
          <w:kern w:val="0"/>
          <w:sz w:val="24"/>
          <w:highlight w:val="none"/>
          <w:lang w:val="zh-CN"/>
        </w:rPr>
      </w:pPr>
    </w:p>
    <w:p>
      <w:pPr>
        <w:rPr>
          <w:rFonts w:hint="eastAsia" w:ascii="仿宋_GB2312" w:hAnsi="仿宋" w:eastAsia="仿宋_GB2312" w:cs="仿宋_GB2312"/>
          <w:color w:val="auto"/>
          <w:kern w:val="0"/>
          <w:sz w:val="24"/>
          <w:highlight w:val="none"/>
          <w:lang w:val="zh-CN"/>
        </w:rPr>
      </w:pPr>
    </w:p>
    <w:p>
      <w:pPr>
        <w:pStyle w:val="25"/>
        <w:rPr>
          <w:rFonts w:hint="eastAsia" w:ascii="仿宋_GB2312" w:hAnsi="仿宋" w:eastAsia="仿宋_GB2312" w:cs="仿宋_GB2312"/>
          <w:color w:val="auto"/>
          <w:kern w:val="0"/>
          <w:sz w:val="24"/>
          <w:highlight w:val="none"/>
          <w:lang w:val="zh-CN"/>
        </w:rPr>
      </w:pPr>
    </w:p>
    <w:p>
      <w:pPr>
        <w:rPr>
          <w:rFonts w:hint="eastAsia" w:ascii="仿宋_GB2312" w:hAnsi="仿宋" w:eastAsia="仿宋_GB2312" w:cs="仿宋_GB2312"/>
          <w:color w:val="auto"/>
          <w:kern w:val="0"/>
          <w:sz w:val="24"/>
          <w:highlight w:val="none"/>
          <w:lang w:val="zh-CN"/>
        </w:rPr>
      </w:pPr>
    </w:p>
    <w:p>
      <w:pPr>
        <w:pStyle w:val="25"/>
        <w:rPr>
          <w:rFonts w:hint="eastAsia" w:ascii="仿宋_GB2312" w:hAnsi="仿宋" w:eastAsia="仿宋_GB2312" w:cs="仿宋_GB2312"/>
          <w:color w:val="auto"/>
          <w:kern w:val="0"/>
          <w:sz w:val="24"/>
          <w:highlight w:val="none"/>
          <w:lang w:val="zh-CN"/>
        </w:rPr>
      </w:pPr>
    </w:p>
    <w:p>
      <w:pPr>
        <w:rPr>
          <w:rFonts w:hint="eastAsia" w:ascii="仿宋_GB2312" w:hAnsi="仿宋" w:eastAsia="仿宋_GB2312" w:cs="仿宋_GB2312"/>
          <w:color w:val="auto"/>
          <w:kern w:val="0"/>
          <w:sz w:val="24"/>
          <w:highlight w:val="none"/>
          <w:lang w:val="zh-CN"/>
        </w:rPr>
      </w:pPr>
    </w:p>
    <w:p>
      <w:pPr>
        <w:pStyle w:val="25"/>
        <w:rPr>
          <w:rFonts w:hint="eastAsia" w:ascii="仿宋_GB2312" w:hAnsi="仿宋" w:eastAsia="仿宋_GB2312" w:cs="仿宋_GB2312"/>
          <w:color w:val="auto"/>
          <w:kern w:val="0"/>
          <w:sz w:val="24"/>
          <w:highlight w:val="none"/>
          <w:lang w:val="zh-CN"/>
        </w:rPr>
      </w:pPr>
    </w:p>
    <w:p>
      <w:pPr>
        <w:rPr>
          <w:rFonts w:hint="eastAsia" w:ascii="仿宋_GB2312" w:hAnsi="仿宋" w:eastAsia="仿宋_GB2312" w:cs="仿宋_GB2312"/>
          <w:color w:val="auto"/>
          <w:kern w:val="0"/>
          <w:sz w:val="24"/>
          <w:highlight w:val="none"/>
          <w:lang w:val="zh-CN"/>
        </w:rPr>
      </w:pPr>
    </w:p>
    <w:p>
      <w:pPr>
        <w:pStyle w:val="25"/>
        <w:rPr>
          <w:rFonts w:hint="eastAsia"/>
          <w:color w:val="auto"/>
          <w:highlight w:val="none"/>
        </w:rPr>
      </w:pPr>
    </w:p>
    <w:p>
      <w:pPr>
        <w:snapToGrid w:val="0"/>
        <w:jc w:val="center"/>
        <w:rPr>
          <w:rFonts w:ascii="仿宋_GB2312" w:hAnsi="仿宋" w:eastAsia="仿宋_GB2312" w:cs="仿宋_GB2312"/>
          <w:b/>
          <w:color w:val="auto"/>
          <w:kern w:val="0"/>
          <w:sz w:val="32"/>
          <w:szCs w:val="32"/>
          <w:highlight w:val="none"/>
          <w:lang w:val="zh-CN"/>
        </w:rPr>
      </w:pPr>
      <w:r>
        <w:rPr>
          <w:rFonts w:hint="eastAsia" w:hAnsi="宋体" w:cs="宋体"/>
          <w:color w:val="auto"/>
          <w:highlight w:val="none"/>
        </w:rPr>
        <w:t xml:space="preserve"> </w:t>
      </w:r>
      <w:bookmarkStart w:id="35" w:name="_Toc219619166"/>
      <w:r>
        <w:rPr>
          <w:rFonts w:hint="eastAsia" w:ascii="仿宋_GB2312" w:hAnsi="仿宋" w:eastAsia="仿宋_GB2312" w:cs="仿宋_GB2312"/>
          <w:b/>
          <w:color w:val="auto"/>
          <w:kern w:val="0"/>
          <w:sz w:val="32"/>
          <w:szCs w:val="32"/>
          <w:highlight w:val="none"/>
          <w:lang w:val="zh-CN"/>
        </w:rPr>
        <w:t>联合协议</w:t>
      </w:r>
    </w:p>
    <w:p>
      <w:pPr>
        <w:widowControl/>
        <w:snapToGrid w:val="0"/>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u w:val="single"/>
          <w:lang w:eastAsia="zh-CN"/>
        </w:rPr>
        <w:t>嘉善县图书馆第二次普通图书采购项目</w:t>
      </w:r>
      <w:r>
        <w:rPr>
          <w:rFonts w:hint="eastAsia" w:ascii="仿宋_GB2312" w:hAnsi="仿宋" w:eastAsia="仿宋_GB2312" w:cs="仿宋_GB2312"/>
          <w:color w:val="auto"/>
          <w:sz w:val="24"/>
          <w:highlight w:val="none"/>
        </w:rPr>
        <w:t>）【项目编号：</w:t>
      </w:r>
      <w:r>
        <w:rPr>
          <w:rFonts w:hint="eastAsia" w:ascii="仿宋_GB2312" w:hAnsi="仿宋" w:eastAsia="仿宋_GB2312" w:cs="仿宋_GB2312"/>
          <w:color w:val="auto"/>
          <w:sz w:val="24"/>
          <w:highlight w:val="none"/>
          <w:lang w:eastAsia="zh-CN"/>
        </w:rPr>
        <w:t>JXYJ2022038</w:t>
      </w:r>
      <w:r>
        <w:rPr>
          <w:rFonts w:hint="eastAsia" w:ascii="仿宋_GB2312" w:hAnsi="仿宋" w:eastAsia="仿宋_GB2312" w:cs="仿宋_GB2312"/>
          <w:color w:val="auto"/>
          <w:sz w:val="24"/>
          <w:highlight w:val="none"/>
        </w:rPr>
        <w:t>(G)】</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（联合体成员1）承担的工作和义务为：；</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（联合体成员2）承担的工作和义务为：；</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w:t>
      </w:r>
      <w:bookmarkStart w:id="36"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36"/>
      <w:r>
        <w:rPr>
          <w:rFonts w:hint="eastAsia" w:ascii="仿宋_GB2312" w:hAnsi="仿宋" w:eastAsia="仿宋_GB2312" w:cs="仿宋_GB2312"/>
          <w:color w:val="auto"/>
          <w:kern w:val="0"/>
          <w:sz w:val="24"/>
          <w:highlight w:val="none"/>
          <w:u w:val="single"/>
        </w:rPr>
        <w:t>）提供的全部货物由小微企业制造</w:t>
      </w:r>
      <w:r>
        <w:rPr>
          <w:rFonts w:hint="eastAsia" w:ascii="仿宋_GB2312" w:hAnsi="仿宋" w:eastAsia="仿宋_GB2312" w:cs="仿宋_GB2312"/>
          <w:b/>
          <w:color w:val="auto"/>
          <w:kern w:val="0"/>
          <w:sz w:val="24"/>
          <w:highlight w:val="none"/>
          <w:lang w:val="zh-CN"/>
        </w:rPr>
        <w:t>（须提供中小企业声明函）</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color w:val="auto"/>
          <w:highlight w:val="none"/>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zh-CN"/>
        </w:rPr>
        <w:t>盖章</w:t>
      </w:r>
      <w:r>
        <w:rPr>
          <w:rFonts w:ascii="仿宋_GB2312" w:hAnsi="仿宋" w:eastAsia="仿宋_GB2312" w:cs="仿宋_GB2312"/>
          <w:color w:val="auto"/>
          <w:kern w:val="0"/>
          <w:sz w:val="24"/>
          <w:highlight w:val="none"/>
          <w:lang w:val="zh-CN"/>
        </w:rPr>
        <w:t>)：</w:t>
      </w:r>
    </w:p>
    <w:p>
      <w:pPr>
        <w:snapToGrid w:val="0"/>
        <w:spacing w:before="120" w:beforeLines="50" w:after="50"/>
        <w:rPr>
          <w:rFonts w:hint="eastAsia" w:eastAsia="仿宋_GB2312"/>
          <w:b/>
          <w:color w:val="auto"/>
          <w:sz w:val="24"/>
          <w:highlight w:val="none"/>
          <w:lang w:val="en-US" w:eastAsia="zh-CN"/>
        </w:rPr>
      </w:pPr>
      <w:r>
        <w:rPr>
          <w:rFonts w:ascii="仿宋_GB2312" w:hAnsi="仿宋" w:eastAsia="仿宋_GB2312" w:cs="仿宋_GB2312"/>
          <w:color w:val="auto"/>
          <w:kern w:val="0"/>
          <w:sz w:val="24"/>
          <w:highlight w:val="none"/>
          <w:lang w:val="zh-CN"/>
        </w:rPr>
        <w:t xml:space="preserve"> </w:t>
      </w:r>
      <w:r>
        <w:rPr>
          <w:rFonts w:hint="eastAsia" w:ascii="仿宋_GB2312" w:hAnsi="仿宋" w:eastAsia="仿宋_GB2312" w:cs="仿宋_GB2312"/>
          <w:color w:val="auto"/>
          <w:kern w:val="0"/>
          <w:sz w:val="24"/>
          <w:highlight w:val="none"/>
          <w:lang w:val="zh-CN"/>
        </w:rPr>
        <w:t>注：按本格式和要求提供</w:t>
      </w:r>
      <w:r>
        <w:rPr>
          <w:rFonts w:ascii="仿宋_GB2312" w:hAnsi="仿宋" w:eastAsia="仿宋_GB2312" w:cs="仿宋_GB2312"/>
          <w:color w:val="auto"/>
          <w:kern w:val="0"/>
          <w:sz w:val="24"/>
          <w:highlight w:val="none"/>
          <w:lang w:val="zh-CN"/>
        </w:rPr>
        <w:t xml:space="preserve">                   日期：  年  月   日</w:t>
      </w:r>
    </w:p>
    <w:p>
      <w:pPr>
        <w:snapToGrid w:val="0"/>
        <w:spacing w:before="120" w:beforeLines="50" w:after="50"/>
        <w:rPr>
          <w:rFonts w:hint="eastAsia"/>
          <w:b/>
          <w:color w:val="auto"/>
          <w:sz w:val="24"/>
          <w:highlight w:val="none"/>
        </w:r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cs="宋体"/>
          <w:color w:val="auto"/>
          <w:kern w:val="0"/>
          <w:sz w:val="24"/>
          <w:highlight w:val="none"/>
          <w:u w:val="single"/>
          <w:lang w:val="zh-CN"/>
        </w:rPr>
        <w:t>嘉善县图书馆第二次普通图书采购项目</w:t>
      </w:r>
      <w:r>
        <w:rPr>
          <w:rFonts w:hint="eastAsia" w:ascii="宋体" w:hAnsi="宋体" w:eastAsia="宋体" w:cs="宋体"/>
          <w:color w:val="auto"/>
          <w:sz w:val="24"/>
          <w:highlight w:val="none"/>
        </w:rPr>
        <w:t>【项目编号：</w:t>
      </w:r>
      <w:r>
        <w:rPr>
          <w:rFonts w:hint="eastAsia" w:ascii="宋体" w:hAnsi="宋体" w:cs="宋体"/>
          <w:color w:val="auto"/>
          <w:sz w:val="24"/>
          <w:highlight w:val="none"/>
          <w:lang w:eastAsia="zh-CN"/>
        </w:rPr>
        <w:t>JXYJ2022038</w:t>
      </w:r>
      <w:r>
        <w:rPr>
          <w:rFonts w:hint="eastAsia" w:ascii="宋体" w:hAnsi="宋体" w:eastAsia="宋体" w:cs="宋体"/>
          <w:color w:val="auto"/>
          <w:sz w:val="24"/>
          <w:highlight w:val="none"/>
        </w:rPr>
        <w:t>(G)】</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sz w:val="24"/>
          <w:szCs w:val="32"/>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4"/>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cs="宋体"/>
          <w:color w:val="auto"/>
          <w:kern w:val="0"/>
          <w:sz w:val="24"/>
          <w:highlight w:val="none"/>
          <w:u w:val="none"/>
          <w:lang w:val="en-US" w:eastAsia="zh-CN"/>
        </w:rPr>
        <w:t>（须</w:t>
      </w:r>
      <w:r>
        <w:rPr>
          <w:rFonts w:hint="eastAsia" w:ascii="宋体" w:hAnsi="宋体" w:cs="仿宋_GB2312"/>
          <w:color w:val="auto"/>
          <w:kern w:val="0"/>
          <w:sz w:val="24"/>
          <w:highlight w:val="none"/>
          <w:u w:val="none"/>
        </w:rPr>
        <w:t>提供中小企业声明函</w:t>
      </w:r>
      <w:r>
        <w:rPr>
          <w:rFonts w:hint="eastAsia" w:ascii="宋体" w:hAnsi="宋体" w:cs="宋体"/>
          <w:color w:val="auto"/>
          <w:kern w:val="0"/>
          <w:sz w:val="24"/>
          <w:highlight w:val="none"/>
          <w:u w:val="none"/>
          <w:lang w:val="en-US" w:eastAsia="zh-CN"/>
        </w:rPr>
        <w:t>）</w:t>
      </w:r>
      <w:r>
        <w:rPr>
          <w:rFonts w:hint="eastAsia" w:ascii="宋体" w:hAnsi="宋体" w:eastAsia="宋体" w:cs="宋体"/>
          <w:color w:val="auto"/>
          <w:kern w:val="0"/>
          <w:sz w:val="24"/>
          <w:highlight w:val="none"/>
          <w:u w:val="none"/>
        </w:rPr>
        <w:t>，</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color w:val="auto"/>
          <w:kern w:val="0"/>
          <w:sz w:val="24"/>
          <w:highlight w:val="none"/>
          <w:lang w:val="en-US" w:eastAsia="zh-CN"/>
        </w:rPr>
        <w:t>6</w:t>
      </w:r>
      <w:r>
        <w:rPr>
          <w:rFonts w:hint="eastAsia" w:ascii="宋体" w:hAnsi="宋体" w:eastAsia="宋体" w:cs="宋体"/>
          <w:b/>
          <w:color w:val="auto"/>
          <w:kern w:val="0"/>
          <w:sz w:val="24"/>
          <w:highlight w:val="none"/>
          <w:lang w:val="zh-CN"/>
        </w:rPr>
        <w:t>%的扣除）</w:t>
      </w:r>
    </w:p>
    <w:p>
      <w:pPr>
        <w:snapToGrid w:val="0"/>
        <w:spacing w:line="360" w:lineRule="auto"/>
        <w:jc w:val="center"/>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投标人名称(加盖公章)：</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pacing w:line="360" w:lineRule="auto"/>
        <w:ind w:right="42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sz w:val="24"/>
          <w:highlight w:val="none"/>
        </w:rPr>
        <w:t>注：按本格式和要求提供</w:t>
      </w:r>
      <w:r>
        <w:rPr>
          <w:rFonts w:hint="eastAsia" w:ascii="宋体" w:hAnsi="宋体" w:cs="宋体"/>
          <w:color w:val="auto"/>
          <w:sz w:val="24"/>
          <w:highlight w:val="none"/>
          <w:lang w:val="en-US" w:eastAsia="zh-CN"/>
        </w:rPr>
        <w:t xml:space="preserve">                        </w:t>
      </w:r>
      <w:r>
        <w:rPr>
          <w:rFonts w:hint="eastAsia" w:ascii="宋体" w:hAnsi="宋体" w:eastAsia="宋体" w:cs="宋体"/>
          <w:color w:val="auto"/>
          <w:kern w:val="0"/>
          <w:sz w:val="24"/>
          <w:highlight w:val="none"/>
          <w:lang w:val="zh-CN"/>
        </w:rPr>
        <w:t>日期：  年  月   日</w:t>
      </w:r>
    </w:p>
    <w:p>
      <w:pPr>
        <w:snapToGrid w:val="0"/>
        <w:spacing w:before="120" w:beforeLines="50" w:after="50"/>
        <w:rPr>
          <w:rFonts w:hint="eastAsia"/>
          <w:b/>
          <w:color w:val="auto"/>
          <w:sz w:val="24"/>
          <w:highlight w:val="none"/>
        </w:rPr>
      </w:pPr>
    </w:p>
    <w:p>
      <w:pPr>
        <w:snapToGrid w:val="0"/>
        <w:spacing w:before="120" w:beforeLines="50" w:after="50"/>
        <w:rPr>
          <w:b/>
          <w:bCs/>
          <w:color w:val="auto"/>
          <w:sz w:val="32"/>
          <w:szCs w:val="20"/>
          <w:highlight w:val="none"/>
        </w:rPr>
      </w:pPr>
      <w:r>
        <w:rPr>
          <w:rFonts w:hint="eastAsia"/>
          <w:b/>
          <w:color w:val="auto"/>
          <w:sz w:val="24"/>
          <w:highlight w:val="none"/>
        </w:rPr>
        <w:t>商务技术响应文件封面格式：</w:t>
      </w:r>
      <w:r>
        <w:rPr>
          <w:color w:val="auto"/>
          <w:sz w:val="24"/>
          <w:highlight w:val="none"/>
        </w:rPr>
        <w:t xml:space="preserve">                                               </w:t>
      </w:r>
    </w:p>
    <w:p>
      <w:pPr>
        <w:snapToGrid w:val="0"/>
        <w:spacing w:before="120" w:beforeLines="50" w:after="50"/>
        <w:jc w:val="center"/>
        <w:rPr>
          <w:rFonts w:hint="eastAsia"/>
          <w:b/>
          <w:bCs/>
          <w:color w:val="auto"/>
          <w:sz w:val="32"/>
          <w:szCs w:val="32"/>
          <w:highlight w:val="none"/>
        </w:rPr>
      </w:pPr>
    </w:p>
    <w:p>
      <w:pPr>
        <w:snapToGrid w:val="0"/>
        <w:spacing w:before="120" w:beforeLines="50" w:after="50"/>
        <w:jc w:val="center"/>
        <w:rPr>
          <w:rFonts w:hint="eastAsia"/>
          <w:b/>
          <w:bCs/>
          <w:color w:val="auto"/>
          <w:sz w:val="32"/>
          <w:szCs w:val="32"/>
          <w:highlight w:val="none"/>
        </w:rPr>
      </w:pPr>
    </w:p>
    <w:p>
      <w:pPr>
        <w:snapToGrid w:val="0"/>
        <w:spacing w:before="120" w:beforeLines="50" w:after="50"/>
        <w:jc w:val="center"/>
        <w:rPr>
          <w:rFonts w:hint="eastAsia"/>
          <w:b/>
          <w:bCs/>
          <w:color w:val="auto"/>
          <w:sz w:val="32"/>
          <w:szCs w:val="32"/>
          <w:highlight w:val="none"/>
        </w:rPr>
      </w:pPr>
    </w:p>
    <w:p>
      <w:pPr>
        <w:snapToGrid w:val="0"/>
        <w:spacing w:before="120" w:beforeLines="50" w:after="50"/>
        <w:jc w:val="center"/>
        <w:rPr>
          <w:b/>
          <w:bCs/>
          <w:color w:val="auto"/>
          <w:sz w:val="32"/>
          <w:szCs w:val="32"/>
          <w:highlight w:val="none"/>
        </w:rPr>
      </w:pPr>
      <w:r>
        <w:rPr>
          <w:rFonts w:hint="eastAsia"/>
          <w:b/>
          <w:bCs/>
          <w:color w:val="auto"/>
          <w:sz w:val="32"/>
          <w:szCs w:val="32"/>
          <w:highlight w:val="none"/>
        </w:rPr>
        <w:t>商务技术文件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rFonts w:hint="eastAsia"/>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2"/>
        <w:snapToGrid w:val="0"/>
        <w:spacing w:before="50" w:after="50" w:line="320" w:lineRule="exact"/>
        <w:ind w:firstLine="1068" w:firstLineChars="445"/>
        <w:rPr>
          <w:rFonts w:hint="eastAsia"/>
          <w:bCs/>
          <w:color w:val="auto"/>
          <w:sz w:val="24"/>
          <w:highlight w:val="none"/>
        </w:rPr>
      </w:pPr>
      <w:r>
        <w:rPr>
          <w:rFonts w:hint="eastAsia"/>
          <w:bCs/>
          <w:color w:val="auto"/>
          <w:sz w:val="24"/>
          <w:highlight w:val="none"/>
        </w:rPr>
        <w:t xml:space="preserve">投标人名称：   </w:t>
      </w:r>
      <w:r>
        <w:rPr>
          <w:rFonts w:hint="eastAsia" w:ascii="宋体" w:hAnsi="宋体"/>
          <w:bCs/>
          <w:color w:val="auto"/>
          <w:sz w:val="24"/>
          <w:highlight w:val="none"/>
        </w:rPr>
        <w:t>（公章）</w:t>
      </w:r>
    </w:p>
    <w:p>
      <w:pPr>
        <w:pStyle w:val="2"/>
        <w:snapToGrid w:val="0"/>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color w:val="auto"/>
          <w:sz w:val="24"/>
          <w:szCs w:val="20"/>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hint="eastAsia" w:ascii="宋体" w:hAnsi="宋体" w:cs="宋体"/>
          <w:b/>
          <w:color w:val="auto"/>
          <w:sz w:val="32"/>
          <w:szCs w:val="32"/>
          <w:highlight w:val="none"/>
        </w:rPr>
      </w:pPr>
    </w:p>
    <w:p>
      <w:pPr>
        <w:pStyle w:val="3"/>
        <w:rPr>
          <w:rFonts w:hint="eastAsia" w:ascii="宋体" w:hAnsi="宋体" w:cs="宋体"/>
          <w:b w:val="0"/>
          <w:color w:val="auto"/>
          <w:szCs w:val="32"/>
          <w:highlight w:val="none"/>
        </w:rPr>
      </w:pPr>
    </w:p>
    <w:p>
      <w:pPr>
        <w:rPr>
          <w:rFonts w:hint="eastAsia"/>
          <w:color w:val="auto"/>
          <w:highlight w:val="none"/>
        </w:rPr>
      </w:pPr>
    </w:p>
    <w:p>
      <w:pPr>
        <w:rPr>
          <w:rFonts w:hint="eastAsia"/>
          <w:color w:val="auto"/>
          <w:highlight w:val="none"/>
        </w:rPr>
      </w:pPr>
    </w:p>
    <w:p>
      <w:pPr>
        <w:snapToGrid w:val="0"/>
        <w:spacing w:before="120" w:beforeLines="50" w:after="50"/>
        <w:rPr>
          <w:color w:val="auto"/>
          <w:sz w:val="24"/>
          <w:szCs w:val="20"/>
          <w:highlight w:val="none"/>
        </w:rPr>
      </w:pPr>
      <w:r>
        <w:rPr>
          <w:rFonts w:hint="eastAsia"/>
          <w:b/>
          <w:color w:val="auto"/>
          <w:sz w:val="24"/>
          <w:highlight w:val="none"/>
        </w:rPr>
        <w:t>报价文件响应封面格式：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报  价</w:t>
      </w:r>
      <w:r>
        <w:rPr>
          <w:b/>
          <w:bCs/>
          <w:color w:val="auto"/>
          <w:sz w:val="32"/>
          <w:szCs w:val="32"/>
          <w:highlight w:val="none"/>
        </w:rPr>
        <w:t xml:space="preserve"> </w:t>
      </w:r>
      <w:r>
        <w:rPr>
          <w:rFonts w:hint="eastAsia"/>
          <w:b/>
          <w:bCs/>
          <w:color w:val="auto"/>
          <w:sz w:val="32"/>
          <w:szCs w:val="32"/>
          <w:highlight w:val="none"/>
        </w:rPr>
        <w:t>文</w:t>
      </w:r>
      <w:r>
        <w:rPr>
          <w:b/>
          <w:bCs/>
          <w:color w:val="auto"/>
          <w:sz w:val="32"/>
          <w:szCs w:val="32"/>
          <w:highlight w:val="none"/>
        </w:rPr>
        <w:t xml:space="preserve"> </w:t>
      </w:r>
      <w:r>
        <w:rPr>
          <w:rFonts w:hint="eastAsia"/>
          <w:b/>
          <w:bCs/>
          <w:color w:val="auto"/>
          <w:sz w:val="32"/>
          <w:szCs w:val="32"/>
          <w:highlight w:val="none"/>
        </w:rPr>
        <w:t>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rFonts w:hint="eastAsia"/>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2"/>
        <w:snapToGrid w:val="0"/>
        <w:spacing w:before="50" w:after="50" w:line="320" w:lineRule="exact"/>
        <w:ind w:firstLine="1068" w:firstLineChars="445"/>
        <w:rPr>
          <w:rFonts w:hint="eastAsia"/>
          <w:bCs/>
          <w:color w:val="auto"/>
          <w:sz w:val="24"/>
          <w:highlight w:val="none"/>
        </w:rPr>
      </w:pPr>
      <w:r>
        <w:rPr>
          <w:rFonts w:hint="eastAsia"/>
          <w:bCs/>
          <w:color w:val="auto"/>
          <w:sz w:val="24"/>
          <w:highlight w:val="none"/>
        </w:rPr>
        <w:t xml:space="preserve">投标人名称：   </w:t>
      </w:r>
      <w:r>
        <w:rPr>
          <w:rFonts w:hint="eastAsia" w:ascii="宋体" w:hAnsi="宋体"/>
          <w:bCs/>
          <w:color w:val="auto"/>
          <w:sz w:val="24"/>
          <w:highlight w:val="none"/>
        </w:rPr>
        <w:t>（公章）</w:t>
      </w:r>
    </w:p>
    <w:p>
      <w:pPr>
        <w:pStyle w:val="2"/>
        <w:snapToGrid w:val="0"/>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jc w:val="center"/>
        <w:rPr>
          <w:rFonts w:hint="eastAsia" w:ascii="宋体" w:hAnsi="宋体" w:cs="宋体"/>
          <w:b/>
          <w:color w:val="auto"/>
          <w:sz w:val="32"/>
          <w:szCs w:val="32"/>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pacing w:line="360" w:lineRule="auto"/>
        <w:jc w:val="both"/>
        <w:rPr>
          <w:rFonts w:hint="eastAsia" w:ascii="宋体" w:hAnsi="宋体" w:cs="宋体"/>
          <w:b/>
          <w:color w:val="auto"/>
          <w:sz w:val="24"/>
          <w:highlight w:val="none"/>
        </w:rPr>
      </w:pPr>
    </w:p>
    <w:p>
      <w:pPr>
        <w:spacing w:line="360" w:lineRule="auto"/>
        <w:jc w:val="both"/>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color w:val="auto"/>
          <w:sz w:val="24"/>
          <w:highlight w:val="none"/>
        </w:rPr>
        <w:t>自评表</w:t>
      </w:r>
    </w:p>
    <w:tbl>
      <w:tblPr>
        <w:tblStyle w:val="6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评标内容及分值</w:t>
            </w:r>
          </w:p>
        </w:tc>
        <w:tc>
          <w:tcPr>
            <w:tcW w:w="4254" w:type="dxa"/>
            <w:gridSpan w:val="2"/>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noWrap w:val="0"/>
            <w:vAlign w:val="center"/>
          </w:tcPr>
          <w:p>
            <w:pPr>
              <w:spacing w:line="360" w:lineRule="auto"/>
              <w:jc w:val="center"/>
              <w:rPr>
                <w:rFonts w:hint="eastAsia" w:ascii="宋体" w:hAnsi="宋体" w:cs="宋体"/>
                <w:b/>
                <w:bCs/>
                <w:color w:val="auto"/>
                <w:sz w:val="24"/>
                <w:highlight w:val="none"/>
              </w:rPr>
            </w:pPr>
          </w:p>
        </w:tc>
        <w:tc>
          <w:tcPr>
            <w:tcW w:w="2145" w:type="dxa"/>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自评分</w:t>
            </w:r>
          </w:p>
        </w:tc>
        <w:tc>
          <w:tcPr>
            <w:tcW w:w="2109" w:type="dxa"/>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b/>
                <w:bCs/>
                <w:color w:val="auto"/>
                <w:sz w:val="28"/>
                <w:szCs w:val="28"/>
                <w:highlight w:val="none"/>
              </w:rPr>
              <w:t>商务资信分（X分）</w:t>
            </w:r>
          </w:p>
        </w:tc>
        <w:tc>
          <w:tcPr>
            <w:tcW w:w="3300" w:type="dxa"/>
            <w:tcBorders>
              <w:bottom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auto"/>
              <w:jc w:val="center"/>
              <w:rPr>
                <w:rFonts w:hint="eastAsia" w:ascii="宋体" w:hAnsi="宋体" w:cs="宋体"/>
                <w:color w:val="auto"/>
                <w:sz w:val="24"/>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noWrap w:val="0"/>
            <w:vAlign w:val="center"/>
          </w:tcPr>
          <w:p>
            <w:pPr>
              <w:spacing w:line="360" w:lineRule="exact"/>
              <w:jc w:val="left"/>
              <w:rPr>
                <w:rFonts w:hint="eastAsia" w:ascii="宋体" w:hAnsi="宋体" w:cs="宋体"/>
                <w:b/>
                <w:bCs/>
                <w:color w:val="auto"/>
                <w:sz w:val="28"/>
                <w:szCs w:val="28"/>
                <w:highlight w:val="none"/>
              </w:rPr>
            </w:pPr>
          </w:p>
        </w:tc>
        <w:tc>
          <w:tcPr>
            <w:tcW w:w="3300" w:type="dxa"/>
            <w:tcBorders>
              <w:top w:val="single" w:color="auto" w:sz="4" w:space="0"/>
            </w:tcBorders>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highlight w:val="none"/>
              </w:rPr>
            </w:pPr>
          </w:p>
        </w:tc>
        <w:tc>
          <w:tcPr>
            <w:tcW w:w="2109" w:type="dxa"/>
            <w:tcBorders>
              <w:top w:val="single" w:color="auto" w:sz="4" w:space="0"/>
              <w:bottom w:val="single" w:color="auto" w:sz="4" w:space="0"/>
            </w:tcBorders>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noWrap w:val="0"/>
            <w:vAlign w:val="center"/>
          </w:tcPr>
          <w:p>
            <w:pPr>
              <w:spacing w:line="360" w:lineRule="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技术分（X分）</w:t>
            </w: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noWrap w:val="0"/>
            <w:vAlign w:val="center"/>
          </w:tcPr>
          <w:p>
            <w:pPr>
              <w:spacing w:line="360" w:lineRule="auto"/>
              <w:rPr>
                <w:rFonts w:hint="eastAsia" w:ascii="宋体" w:hAnsi="宋体" w:cs="宋体"/>
                <w:color w:val="auto"/>
                <w:szCs w:val="21"/>
                <w:highlight w:val="none"/>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highlight w:val="none"/>
              </w:rPr>
            </w:pPr>
          </w:p>
        </w:tc>
        <w:tc>
          <w:tcPr>
            <w:tcW w:w="2145" w:type="dxa"/>
            <w:noWrap w:val="0"/>
            <w:vAlign w:val="center"/>
          </w:tcPr>
          <w:p>
            <w:pPr>
              <w:spacing w:line="360" w:lineRule="auto"/>
              <w:jc w:val="left"/>
              <w:rPr>
                <w:rFonts w:hint="eastAsia" w:ascii="宋体" w:hAnsi="宋体" w:cs="宋体"/>
                <w:color w:val="auto"/>
                <w:szCs w:val="21"/>
                <w:highlight w:val="none"/>
              </w:rPr>
            </w:pPr>
          </w:p>
        </w:tc>
        <w:tc>
          <w:tcPr>
            <w:tcW w:w="2109" w:type="dxa"/>
            <w:noWrap w:val="0"/>
            <w:vAlign w:val="center"/>
          </w:tcPr>
          <w:p>
            <w:pPr>
              <w:spacing w:line="360" w:lineRule="auto"/>
              <w:jc w:val="center"/>
              <w:rPr>
                <w:rFonts w:hint="eastAsia"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noWrap w:val="0"/>
            <w:vAlign w:val="center"/>
          </w:tcPr>
          <w:p>
            <w:pPr>
              <w:spacing w:line="380" w:lineRule="exact"/>
              <w:jc w:val="center"/>
              <w:rPr>
                <w:rFonts w:hint="eastAsia" w:ascii="宋体" w:hAnsi="宋体" w:cs="宋体"/>
                <w:color w:val="auto"/>
                <w:sz w:val="24"/>
                <w:highlight w:val="none"/>
              </w:rPr>
            </w:pPr>
            <w:r>
              <w:rPr>
                <w:rFonts w:hint="eastAsia" w:ascii="宋体" w:hAnsi="宋体" w:cs="宋体"/>
                <w:bCs/>
                <w:color w:val="auto"/>
                <w:sz w:val="24"/>
                <w:highlight w:val="none"/>
              </w:rPr>
              <w:t>合计（满分X分）</w:t>
            </w:r>
          </w:p>
        </w:tc>
        <w:tc>
          <w:tcPr>
            <w:tcW w:w="4254" w:type="dxa"/>
            <w:gridSpan w:val="2"/>
            <w:noWrap w:val="0"/>
            <w:vAlign w:val="center"/>
          </w:tcPr>
          <w:p>
            <w:pPr>
              <w:spacing w:line="360" w:lineRule="auto"/>
              <w:jc w:val="center"/>
              <w:rPr>
                <w:rFonts w:hint="eastAsia" w:ascii="宋体" w:hAnsi="宋体" w:cs="宋体"/>
                <w:b/>
                <w:bCs/>
                <w:color w:val="auto"/>
                <w:sz w:val="24"/>
                <w:highlight w:val="none"/>
              </w:rPr>
            </w:pPr>
          </w:p>
        </w:tc>
      </w:tr>
    </w:tbl>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both"/>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投标声明书</w:t>
      </w:r>
    </w:p>
    <w:p>
      <w:pPr>
        <w:keepNext w:val="0"/>
        <w:keepLines w:val="0"/>
        <w:pageBreakBefore w:val="0"/>
        <w:widowControl w:val="0"/>
        <w:kinsoku/>
        <w:wordWrap/>
        <w:overflowPunct/>
        <w:topLinePunct w:val="0"/>
        <w:autoSpaceDE/>
        <w:autoSpaceDN/>
        <w:bidi w:val="0"/>
        <w:adjustRightInd w:val="0"/>
        <w:snapToGrid w:val="0"/>
        <w:spacing w:before="120" w:beforeLines="50" w:after="50" w:line="360" w:lineRule="auto"/>
        <w:textAlignment w:val="auto"/>
        <w:rPr>
          <w:rFonts w:hint="eastAsia" w:ascii="宋体" w:hAnsi="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before="120" w:beforeLines="50" w:after="50" w:line="360" w:lineRule="auto"/>
        <w:textAlignment w:val="auto"/>
        <w:rPr>
          <w:rFonts w:hint="eastAsia" w:ascii="宋体" w:hAnsi="宋体" w:cs="宋体"/>
          <w:color w:val="auto"/>
          <w:sz w:val="24"/>
          <w:szCs w:val="20"/>
          <w:highlight w:val="none"/>
        </w:rPr>
      </w:pPr>
      <w:r>
        <w:rPr>
          <w:rFonts w:hint="eastAsia" w:ascii="宋体" w:hAnsi="宋体" w:cs="宋体"/>
          <w:color w:val="auto"/>
          <w:sz w:val="24"/>
          <w:highlight w:val="none"/>
        </w:rPr>
        <w:t xml:space="preserve">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keepNext w:val="0"/>
        <w:keepLines w:val="0"/>
        <w:pageBreakBefore w:val="0"/>
        <w:widowControl w:val="0"/>
        <w:kinsoku/>
        <w:wordWrap/>
        <w:overflowPunct/>
        <w:topLinePunct w:val="0"/>
        <w:autoSpaceDE/>
        <w:autoSpaceDN/>
        <w:bidi w:val="0"/>
        <w:adjustRightInd w:val="0"/>
        <w:snapToGrid w:val="0"/>
        <w:spacing w:before="120" w:beforeLines="50" w:after="50" w:line="360" w:lineRule="auto"/>
        <w:ind w:firstLine="720" w:firstLineChars="300"/>
        <w:textAlignment w:val="auto"/>
        <w:rPr>
          <w:rFonts w:hint="eastAsia"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before="120" w:beforeLines="50" w:after="50" w:line="360" w:lineRule="auto"/>
        <w:ind w:firstLine="645"/>
        <w:textAlignment w:val="auto"/>
        <w:rPr>
          <w:rFonts w:hint="eastAsia"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rPr>
        <w:t>采购项目</w:t>
      </w:r>
      <w:r>
        <w:rPr>
          <w:rFonts w:hint="eastAsia" w:ascii="宋体" w:hAnsi="宋体" w:cs="宋体"/>
          <w:color w:val="auto"/>
          <w:sz w:val="24"/>
          <w:highlight w:val="none"/>
        </w:rPr>
        <w:t>的投标，为便于贵方公正、择优地确定中标人及其投标产品和服务，我方就本次投标有关事项郑重声明如下：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3、我方此次向贵方提供的服务名称为：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4.我方诚意提请贵方关注：</w:t>
      </w:r>
      <w:r>
        <w:rPr>
          <w:rFonts w:hint="eastAsia" w:ascii="宋体" w:hAnsi="宋体" w:cs="宋体"/>
          <w:color w:val="auto"/>
          <w:sz w:val="24"/>
          <w:szCs w:val="24"/>
          <w:highlight w:val="none"/>
        </w:rPr>
        <w:t>有关该项目的重大决策和事项有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480" w:firstLineChars="200"/>
        <w:textAlignment w:val="auto"/>
        <w:rPr>
          <w:rFonts w:hint="eastAsia" w:ascii="宋体" w:hAnsi="宋体" w:cs="宋体"/>
          <w:color w:val="auto"/>
          <w:sz w:val="24"/>
          <w:szCs w:val="20"/>
          <w:highlight w:val="none"/>
          <w:u w:val="single"/>
        </w:rPr>
      </w:pPr>
      <w:r>
        <w:rPr>
          <w:rFonts w:hint="eastAsia" w:ascii="宋体" w:hAnsi="宋体" w:cs="宋体"/>
          <w:color w:val="auto"/>
          <w:sz w:val="24"/>
          <w:highlight w:val="none"/>
          <w:u w:val="single"/>
        </w:rPr>
        <w:t>　　　　　　　　　　　　　　　　　　　　　　　　　　　</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cs="宋体"/>
          <w:color w:val="auto"/>
          <w:sz w:val="24"/>
          <w:highlight w:val="none"/>
        </w:rPr>
      </w:pPr>
      <w:r>
        <w:rPr>
          <w:rFonts w:hint="eastAsia" w:hAnsi="宋体" w:cs="宋体"/>
          <w:color w:val="auto"/>
          <w:sz w:val="24"/>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ind w:firstLine="480" w:firstLineChars="200"/>
        <w:textAlignment w:val="auto"/>
        <w:rPr>
          <w:rFonts w:hint="eastAsia" w:ascii="宋体" w:hAnsi="宋体" w:cs="宋体"/>
          <w:color w:val="auto"/>
          <w:sz w:val="24"/>
          <w:szCs w:val="20"/>
          <w:highlight w:val="none"/>
          <w:u w:val="single"/>
        </w:rPr>
      </w:pPr>
      <w:r>
        <w:rPr>
          <w:rFonts w:hint="eastAsia" w:ascii="宋体" w:hAnsi="宋体" w:cs="宋体"/>
          <w:color w:val="auto"/>
          <w:sz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0"/>
          <w:highlight w:val="none"/>
        </w:rPr>
      </w:pPr>
      <w:r>
        <w:rPr>
          <w:rFonts w:hint="eastAsia" w:ascii="宋体" w:hAnsi="宋体" w:cs="宋体"/>
          <w:color w:val="auto"/>
          <w:sz w:val="24"/>
          <w:highlight w:val="none"/>
        </w:rPr>
        <w:t>6.以上事项如有虚假或隐瞒，我方愿意承担一切后果，并不再寻求任何旨在减轻或免除法律责任的辩解。</w:t>
      </w:r>
    </w:p>
    <w:p>
      <w:pPr>
        <w:pStyle w:val="27"/>
        <w:tabs>
          <w:tab w:val="left" w:pos="939"/>
        </w:tabs>
        <w:snapToGrid w:val="0"/>
        <w:spacing w:line="400" w:lineRule="exact"/>
        <w:ind w:left="773" w:leftChars="150" w:hanging="458" w:hangingChars="191"/>
        <w:rPr>
          <w:rFonts w:hint="eastAsia" w:ascii="宋体" w:hAnsi="宋体" w:cs="宋体"/>
          <w:color w:val="auto"/>
          <w:sz w:val="24"/>
          <w:highlight w:val="none"/>
        </w:rPr>
      </w:pPr>
    </w:p>
    <w:p>
      <w:pPr>
        <w:snapToGrid w:val="0"/>
        <w:spacing w:before="120" w:beforeLines="50" w:line="400" w:lineRule="exact"/>
        <w:ind w:firstLine="200"/>
        <w:rPr>
          <w:rFonts w:hint="eastAsia" w:ascii="宋体" w:hAnsi="宋体" w:cs="宋体"/>
          <w:color w:val="auto"/>
          <w:sz w:val="24"/>
          <w:szCs w:val="20"/>
          <w:highlight w:val="none"/>
          <w:u w:val="single"/>
        </w:rPr>
      </w:pPr>
      <w:r>
        <w:rPr>
          <w:rFonts w:hint="eastAsia" w:ascii="宋体" w:hAnsi="宋体"/>
          <w:color w:val="auto"/>
          <w:sz w:val="24"/>
          <w:highlight w:val="none"/>
        </w:rPr>
        <w:t>法定代表人签字（或盖章）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snapToGrid w:val="0"/>
        <w:spacing w:before="120" w:beforeLines="50" w:after="50" w:line="400" w:lineRule="exact"/>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400" w:lineRule="exact"/>
        <w:ind w:firstLine="240" w:firstLineChars="100"/>
        <w:rPr>
          <w:rFonts w:hint="eastAsia" w:ascii="宋体" w:hAnsi="宋体" w:cs="宋体"/>
          <w:b/>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lang w:val="en-US" w:eastAsia="zh-CN"/>
        </w:rPr>
        <w:t>日</w:t>
      </w:r>
      <w:r>
        <w:rPr>
          <w:rFonts w:ascii="宋体" w:hAnsi="宋体" w:cs="宋体"/>
          <w:b/>
          <w:color w:val="auto"/>
          <w:sz w:val="24"/>
          <w:highlight w:val="none"/>
        </w:rPr>
        <w:br w:type="page"/>
      </w:r>
    </w:p>
    <w:p>
      <w:pPr>
        <w:snapToGrid w:val="0"/>
        <w:spacing w:before="120" w:beforeLines="50" w:after="50"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line="360" w:lineRule="auto"/>
        <w:rPr>
          <w:rFonts w:hint="eastAsia"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hint="eastAsia"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360" w:lineRule="auto"/>
        <w:rPr>
          <w:rFonts w:hint="eastAsia" w:ascii="宋体" w:hAnsi="宋体" w:cs="宋体"/>
          <w:color w:val="auto"/>
          <w:sz w:val="24"/>
          <w:szCs w:val="20"/>
          <w:highlight w:val="none"/>
        </w:rPr>
      </w:pPr>
      <w:r>
        <w:rPr>
          <w:rFonts w:hint="eastAsia" w:ascii="宋体" w:hAnsi="宋体" w:cs="宋体"/>
          <w:color w:val="auto"/>
          <w:sz w:val="24"/>
          <w:highlight w:val="none"/>
        </w:rPr>
        <w:t xml:space="preserve">    我方对被授权人的签字事项负全部责任。</w:t>
      </w:r>
    </w:p>
    <w:p>
      <w:pPr>
        <w:snapToGrid w:val="0"/>
        <w:spacing w:before="120" w:beforeLines="50" w:after="50" w:line="360" w:lineRule="auto"/>
        <w:ind w:firstLine="480"/>
        <w:rPr>
          <w:rFonts w:hint="eastAsia"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line="360" w:lineRule="auto"/>
        <w:ind w:firstLine="480"/>
        <w:rPr>
          <w:rFonts w:hint="eastAsia"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szCs w:val="20"/>
          <w:highlight w:val="none"/>
          <w:u w:val="singl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hint="eastAsia"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jc w:val="right"/>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p>
      <w:pPr>
        <w:pStyle w:val="965"/>
        <w:spacing w:line="360" w:lineRule="auto"/>
        <w:rPr>
          <w:rFonts w:hint="eastAsia" w:hAnsi="宋体" w:eastAsia="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left"/>
        <w:rPr>
          <w:rFonts w:hint="eastAsia" w:ascii="宋体" w:hAnsi="宋体" w:cs="宋体"/>
          <w:b/>
          <w:color w:val="auto"/>
          <w:sz w:val="24"/>
          <w:highlight w:val="none"/>
        </w:rPr>
      </w:pPr>
    </w:p>
    <w:p>
      <w:pPr>
        <w:snapToGrid w:val="0"/>
        <w:spacing w:before="120" w:beforeLines="50" w:after="50" w:line="360" w:lineRule="auto"/>
        <w:jc w:val="center"/>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联合投标授权委托书</w:t>
      </w:r>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lang w:val="en-US" w:eastAsia="zh-CN"/>
        </w:rPr>
        <w:t>联合体投标使用</w:t>
      </w:r>
      <w:r>
        <w:rPr>
          <w:rFonts w:hint="eastAsia" w:ascii="宋体" w:hAnsi="宋体" w:cs="宋体"/>
          <w:b/>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120" w:beforeLines="50" w:after="50" w:line="480" w:lineRule="auto"/>
        <w:ind w:firstLine="482"/>
        <w:textAlignment w:val="auto"/>
        <w:rPr>
          <w:rFonts w:hint="eastAsia"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（招标单位名称） ：</w:t>
      </w:r>
    </w:p>
    <w:p>
      <w:pPr>
        <w:keepNext w:val="0"/>
        <w:keepLines w:val="0"/>
        <w:pageBreakBefore w:val="0"/>
        <w:widowControl w:val="0"/>
        <w:kinsoku/>
        <w:wordWrap/>
        <w:overflowPunct/>
        <w:topLinePunct w:val="0"/>
        <w:autoSpaceDE/>
        <w:autoSpaceDN/>
        <w:bidi w:val="0"/>
        <w:adjustRightInd w:val="0"/>
        <w:snapToGrid w:val="0"/>
        <w:spacing w:before="120" w:beforeLines="50" w:after="50" w:line="480" w:lineRule="auto"/>
        <w:ind w:firstLine="482"/>
        <w:textAlignment w:val="auto"/>
        <w:rPr>
          <w:rFonts w:hint="eastAsia" w:ascii="宋体" w:hAnsi="宋体" w:cs="宋体"/>
          <w:color w:val="auto"/>
          <w:sz w:val="24"/>
          <w:highlight w:val="none"/>
        </w:rPr>
      </w:pPr>
      <w:r>
        <w:rPr>
          <w:rFonts w:hint="eastAsia" w:ascii="宋体" w:hAnsi="宋体" w:cs="宋体"/>
          <w:color w:val="auto"/>
          <w:sz w:val="24"/>
          <w:highlight w:val="none"/>
        </w:rPr>
        <w:t>本授权委托书声明：根据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签订的《联合协议》的内容，联合体牵头人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现授权</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为联合投标代理人，代理人在参加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的投标、开标、评标、合同谈判过程中所签署的一切文件和处理与这有关的一切事物，联合投标各方均予以认可并遵守。</w:t>
      </w:r>
    </w:p>
    <w:p>
      <w:pPr>
        <w:keepNext w:val="0"/>
        <w:keepLines w:val="0"/>
        <w:pageBreakBefore w:val="0"/>
        <w:widowControl w:val="0"/>
        <w:kinsoku/>
        <w:wordWrap/>
        <w:overflowPunct/>
        <w:topLinePunct w:val="0"/>
        <w:autoSpaceDE/>
        <w:autoSpaceDN/>
        <w:bidi w:val="0"/>
        <w:adjustRightInd w:val="0"/>
        <w:snapToGrid w:val="0"/>
        <w:spacing w:before="120" w:beforeLines="50" w:after="50" w:line="480" w:lineRule="auto"/>
        <w:ind w:firstLine="482"/>
        <w:textAlignment w:val="auto"/>
        <w:rPr>
          <w:rFonts w:hint="eastAsia" w:ascii="宋体" w:hAnsi="宋体" w:cs="宋体"/>
          <w:color w:val="auto"/>
          <w:sz w:val="24"/>
          <w:highlight w:val="none"/>
        </w:rPr>
      </w:pPr>
      <w:r>
        <w:rPr>
          <w:rFonts w:hint="eastAsia" w:ascii="宋体" w:hAnsi="宋体" w:cs="宋体"/>
          <w:color w:val="auto"/>
          <w:sz w:val="24"/>
          <w:highlight w:val="none"/>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before="120" w:beforeLines="50" w:after="50" w:line="480" w:lineRule="auto"/>
        <w:ind w:firstLine="482"/>
        <w:textAlignment w:val="auto"/>
        <w:rPr>
          <w:rFonts w:hint="eastAsia"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szCs w:val="20"/>
          <w:highlight w:val="none"/>
          <w:u w:val="single"/>
        </w:rPr>
      </w:pPr>
      <w:r>
        <w:rPr>
          <w:rFonts w:hint="eastAsia" w:ascii="宋体" w:hAnsi="宋体" w:cs="宋体"/>
          <w:color w:val="auto"/>
          <w:sz w:val="24"/>
          <w:highlight w:val="none"/>
        </w:rPr>
        <w:t>授权人签字（或盖章）：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hint="eastAsia"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p>
    <w:p>
      <w:pPr>
        <w:snapToGrid w:val="0"/>
        <w:spacing w:before="120" w:beforeLines="50" w:after="50" w:line="360" w:lineRule="auto"/>
        <w:rPr>
          <w:rFonts w:hint="eastAsia"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hint="eastAsia" w:ascii="宋体" w:hAnsi="宋体" w:cs="宋体"/>
          <w:color w:val="auto"/>
          <w:sz w:val="24"/>
          <w:szCs w:val="20"/>
          <w:highlight w:val="none"/>
        </w:rPr>
      </w:pPr>
    </w:p>
    <w:p>
      <w:pPr>
        <w:snapToGrid w:val="0"/>
        <w:spacing w:before="120" w:beforeLines="50" w:after="50"/>
        <w:jc w:val="right"/>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p>
      <w:pPr>
        <w:pStyle w:val="965"/>
        <w:spacing w:line="360" w:lineRule="auto"/>
        <w:rPr>
          <w:rFonts w:hint="eastAsia" w:hAnsi="宋体" w:eastAsia="宋体" w:cs="宋体"/>
          <w:color w:val="auto"/>
          <w:sz w:val="24"/>
          <w:highlight w:val="none"/>
        </w:rPr>
      </w:pPr>
    </w:p>
    <w:p>
      <w:pPr>
        <w:spacing w:line="360" w:lineRule="auto"/>
        <w:jc w:val="center"/>
        <w:rPr>
          <w:rFonts w:hint="eastAsia" w:ascii="宋体" w:hAnsi="宋体" w:cs="宋体"/>
          <w:b/>
          <w:color w:val="auto"/>
          <w:sz w:val="28"/>
          <w:szCs w:val="28"/>
          <w:highlight w:val="none"/>
        </w:rPr>
      </w:pPr>
    </w:p>
    <w:p>
      <w:pPr>
        <w:spacing w:line="360" w:lineRule="auto"/>
        <w:jc w:val="center"/>
        <w:rPr>
          <w:rFonts w:hint="eastAsia" w:ascii="宋体" w:hAnsi="宋体" w:cs="宋体"/>
          <w:b/>
          <w:color w:val="auto"/>
          <w:sz w:val="24"/>
          <w:highlight w:val="none"/>
        </w:rPr>
      </w:pPr>
      <w:r>
        <w:rPr>
          <w:rFonts w:hint="eastAsia" w:ascii="宋体" w:hAnsi="宋体" w:cs="宋体"/>
          <w:b/>
          <w:color w:val="auto"/>
          <w:sz w:val="28"/>
          <w:szCs w:val="28"/>
          <w:highlight w:val="none"/>
        </w:rPr>
        <w:t>注：此表请放一页，如要放2页及以上请在每页上都加盖公</w:t>
      </w:r>
    </w:p>
    <w:p>
      <w:pPr>
        <w:spacing w:line="360" w:lineRule="auto"/>
        <w:jc w:val="both"/>
        <w:rPr>
          <w:rFonts w:hint="eastAsia" w:ascii="宋体" w:hAnsi="宋体" w:cs="宋体"/>
          <w:b/>
          <w:color w:val="auto"/>
          <w:sz w:val="24"/>
          <w:highlight w:val="none"/>
        </w:rPr>
      </w:pP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诚信承诺书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u w:val="single"/>
        </w:rPr>
        <w:t xml:space="preserve">（采购人或招标组织机构） </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我方在参加贵单位的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政府采购项目的招投标活动中，郑重承诺如下：</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1、我方申报的所有资料都是真实、准确、完整的；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2、我方无资质挂靠情形，保证不参与串标、围标及抬标；</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3、我方未处于被各级行政主管部门做出停止市场行为处罚的期限内；</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4、我方参加本项目政府采购活动前3年内在经营活动中没有重大违法记录；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5、若我方中标，将严格按照规定及时与采购人签订合同；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6、若我方中标，将严格按照招标文件要求及投标文件承诺的报价、质量、工期、投标方案、项目负责人等内容组织实施；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特此承诺。</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投标人（加盖公章）：</w:t>
      </w:r>
      <w:r>
        <w:rPr>
          <w:rFonts w:hint="eastAsia" w:ascii="宋体" w:hAnsi="宋体" w:cs="宋体"/>
          <w:color w:val="auto"/>
          <w:sz w:val="24"/>
          <w:highlight w:val="none"/>
          <w:u w:val="singl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965"/>
        <w:spacing w:line="360" w:lineRule="auto"/>
        <w:rPr>
          <w:rFonts w:hint="eastAsia" w:hAnsi="宋体" w:eastAsia="宋体" w:cs="宋体"/>
          <w:color w:val="auto"/>
          <w:sz w:val="24"/>
          <w:highlight w:val="none"/>
        </w:rPr>
      </w:pPr>
    </w:p>
    <w:p>
      <w:pPr>
        <w:pStyle w:val="965"/>
        <w:spacing w:line="360" w:lineRule="auto"/>
        <w:rPr>
          <w:rFonts w:hint="eastAsia" w:hAnsi="宋体" w:eastAsia="宋体" w:cs="宋体"/>
          <w:color w:val="auto"/>
          <w:sz w:val="24"/>
          <w:highlight w:val="none"/>
        </w:rPr>
      </w:pPr>
    </w:p>
    <w:p>
      <w:pPr>
        <w:pStyle w:val="965"/>
        <w:spacing w:line="360" w:lineRule="auto"/>
        <w:rPr>
          <w:rFonts w:hint="eastAsia" w:hAnsi="宋体" w:eastAsia="宋体" w:cs="宋体"/>
          <w:color w:val="auto"/>
          <w:sz w:val="24"/>
          <w:highlight w:val="none"/>
        </w:rPr>
      </w:pPr>
    </w:p>
    <w:p>
      <w:pPr>
        <w:pStyle w:val="965"/>
        <w:spacing w:line="360" w:lineRule="auto"/>
        <w:rPr>
          <w:rFonts w:hint="eastAsia" w:hAnsi="宋体" w:eastAsia="宋体" w:cs="宋体"/>
          <w:color w:val="auto"/>
          <w:sz w:val="24"/>
          <w:highlight w:val="none"/>
        </w:rPr>
      </w:pPr>
    </w:p>
    <w:p>
      <w:pPr>
        <w:pStyle w:val="965"/>
        <w:spacing w:line="360" w:lineRule="auto"/>
        <w:rPr>
          <w:rFonts w:hint="eastAsia" w:hAnsi="宋体" w:eastAsia="宋体" w:cs="宋体"/>
          <w:color w:val="auto"/>
          <w:sz w:val="24"/>
          <w:highlight w:val="none"/>
        </w:rPr>
      </w:pPr>
    </w:p>
    <w:p>
      <w:pPr>
        <w:pStyle w:val="965"/>
        <w:spacing w:line="360" w:lineRule="auto"/>
        <w:rPr>
          <w:rFonts w:hint="eastAsia" w:hAnsi="宋体" w:eastAsia="宋体" w:cs="宋体"/>
          <w:color w:val="auto"/>
          <w:sz w:val="24"/>
          <w:highlight w:val="none"/>
        </w:rPr>
      </w:pPr>
    </w:p>
    <w:p>
      <w:pPr>
        <w:pStyle w:val="965"/>
        <w:spacing w:line="360" w:lineRule="auto"/>
        <w:rPr>
          <w:rFonts w:hint="eastAsia" w:hAnsi="宋体" w:eastAsia="宋体" w:cs="宋体"/>
          <w:color w:val="auto"/>
          <w:sz w:val="24"/>
          <w:highlight w:val="none"/>
        </w:rPr>
      </w:pPr>
    </w:p>
    <w:p>
      <w:pPr>
        <w:pStyle w:val="965"/>
        <w:spacing w:line="360" w:lineRule="auto"/>
        <w:rPr>
          <w:rFonts w:hint="eastAsia" w:hAnsi="宋体" w:eastAsia="宋体" w:cs="宋体"/>
          <w:color w:val="auto"/>
          <w:sz w:val="24"/>
          <w:highlight w:val="none"/>
        </w:rPr>
      </w:pPr>
    </w:p>
    <w:p>
      <w:pPr>
        <w:spacing w:line="360" w:lineRule="auto"/>
        <w:jc w:val="center"/>
        <w:rPr>
          <w:rFonts w:hint="eastAsia" w:ascii="宋体" w:hAnsi="宋体" w:cs="宋体"/>
          <w:b/>
          <w:color w:val="auto"/>
          <w:sz w:val="24"/>
          <w:highlight w:val="none"/>
        </w:rPr>
      </w:pPr>
    </w:p>
    <w:p>
      <w:pPr>
        <w:pStyle w:val="33"/>
        <w:snapToGrid w:val="0"/>
        <w:spacing w:before="24" w:beforeLines="10" w:after="24" w:afterLines="10"/>
        <w:rPr>
          <w:rFonts w:hint="eastAsia" w:hAnsi="宋体" w:cs="宋体"/>
          <w:color w:val="auto"/>
          <w:szCs w:val="21"/>
          <w:highlight w:val="none"/>
        </w:rPr>
      </w:pPr>
    </w:p>
    <w:p>
      <w:pPr>
        <w:pStyle w:val="965"/>
        <w:spacing w:line="360" w:lineRule="auto"/>
        <w:jc w:val="center"/>
        <w:rPr>
          <w:rFonts w:hint="eastAsia" w:hAnsi="宋体" w:eastAsia="宋体" w:cs="宋体"/>
          <w:b/>
          <w:color w:val="auto"/>
          <w:sz w:val="24"/>
          <w:szCs w:val="24"/>
          <w:highlight w:val="none"/>
        </w:rPr>
      </w:pPr>
    </w:p>
    <w:p>
      <w:pPr>
        <w:wordWrap w:val="0"/>
        <w:spacing w:before="120" w:beforeLines="50" w:line="360" w:lineRule="auto"/>
        <w:ind w:firstLine="562"/>
        <w:jc w:val="center"/>
        <w:rPr>
          <w:rFonts w:hint="eastAsia" w:ascii="宋体" w:hAnsi="宋体" w:cs="宋体"/>
          <w:b/>
          <w:color w:val="auto"/>
          <w:sz w:val="28"/>
          <w:szCs w:val="30"/>
          <w:highlight w:val="none"/>
        </w:rPr>
      </w:pPr>
      <w:r>
        <w:rPr>
          <w:rFonts w:hint="eastAsia" w:ascii="宋体" w:hAnsi="宋体" w:cs="宋体"/>
          <w:b/>
          <w:color w:val="auto"/>
          <w:sz w:val="28"/>
          <w:szCs w:val="30"/>
          <w:highlight w:val="none"/>
        </w:rPr>
        <w:t>投标人基本情况表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投标人名称</w:t>
            </w:r>
          </w:p>
        </w:tc>
        <w:tc>
          <w:tcPr>
            <w:tcW w:w="6339" w:type="dxa"/>
            <w:gridSpan w:val="3"/>
            <w:noWrap w:val="0"/>
            <w:vAlign w:val="center"/>
          </w:tcPr>
          <w:p>
            <w:pPr>
              <w:ind w:firstLine="480"/>
              <w:rPr>
                <w:rFonts w:hint="eastAsia"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地址</w:t>
            </w:r>
          </w:p>
        </w:tc>
        <w:tc>
          <w:tcPr>
            <w:tcW w:w="6339" w:type="dxa"/>
            <w:gridSpan w:val="3"/>
            <w:noWrap w:val="0"/>
            <w:vAlign w:val="center"/>
          </w:tcPr>
          <w:p>
            <w:pPr>
              <w:ind w:firstLine="480"/>
              <w:rPr>
                <w:rFonts w:hint="eastAsia"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业务（经营）范围</w:t>
            </w:r>
          </w:p>
        </w:tc>
        <w:tc>
          <w:tcPr>
            <w:tcW w:w="2118" w:type="dxa"/>
            <w:noWrap w:val="0"/>
            <w:vAlign w:val="center"/>
          </w:tcPr>
          <w:p>
            <w:pPr>
              <w:ind w:firstLine="0" w:firstLineChars="0"/>
              <w:rPr>
                <w:rFonts w:hint="eastAsia" w:ascii="宋体" w:hAnsi="宋体" w:cs="宋体"/>
                <w:color w:val="auto"/>
                <w:sz w:val="22"/>
                <w:szCs w:val="28"/>
                <w:highlight w:val="none"/>
              </w:rPr>
            </w:pPr>
          </w:p>
        </w:tc>
        <w:tc>
          <w:tcPr>
            <w:tcW w:w="1980"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机构类型</w:t>
            </w:r>
          </w:p>
        </w:tc>
        <w:tc>
          <w:tcPr>
            <w:tcW w:w="2241" w:type="dxa"/>
            <w:noWrap w:val="0"/>
            <w:vAlign w:val="center"/>
          </w:tcPr>
          <w:p>
            <w:pPr>
              <w:ind w:firstLine="0" w:firstLineChars="0"/>
              <w:rPr>
                <w:rFonts w:hint="eastAsia"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成立时间</w:t>
            </w:r>
          </w:p>
        </w:tc>
        <w:tc>
          <w:tcPr>
            <w:tcW w:w="2118" w:type="dxa"/>
            <w:noWrap w:val="0"/>
            <w:vAlign w:val="center"/>
          </w:tcPr>
          <w:p>
            <w:pPr>
              <w:ind w:firstLine="0" w:firstLineChars="0"/>
              <w:rPr>
                <w:rFonts w:hint="eastAsia" w:ascii="宋体" w:hAnsi="宋体" w:cs="宋体"/>
                <w:color w:val="auto"/>
                <w:sz w:val="22"/>
                <w:szCs w:val="28"/>
                <w:highlight w:val="none"/>
              </w:rPr>
            </w:pPr>
          </w:p>
        </w:tc>
        <w:tc>
          <w:tcPr>
            <w:tcW w:w="1980" w:type="dxa"/>
            <w:noWrap w:val="0"/>
            <w:vAlign w:val="center"/>
          </w:tcPr>
          <w:p>
            <w:pPr>
              <w:ind w:firstLine="0" w:firstLineChars="0"/>
              <w:rPr>
                <w:rFonts w:hint="eastAsia" w:ascii="宋体" w:hAnsi="宋体" w:cs="宋体"/>
                <w:color w:val="auto"/>
                <w:sz w:val="22"/>
                <w:szCs w:val="28"/>
                <w:highlight w:val="none"/>
              </w:rPr>
            </w:pPr>
          </w:p>
        </w:tc>
        <w:tc>
          <w:tcPr>
            <w:tcW w:w="2241" w:type="dxa"/>
            <w:noWrap w:val="0"/>
            <w:vAlign w:val="center"/>
          </w:tcPr>
          <w:p>
            <w:pPr>
              <w:ind w:firstLine="0" w:firstLineChars="0"/>
              <w:rPr>
                <w:rFonts w:hint="eastAsia"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法定代表人</w:t>
            </w:r>
          </w:p>
        </w:tc>
        <w:tc>
          <w:tcPr>
            <w:tcW w:w="2118" w:type="dxa"/>
            <w:noWrap w:val="0"/>
            <w:vAlign w:val="center"/>
          </w:tcPr>
          <w:p>
            <w:pPr>
              <w:ind w:firstLine="0" w:firstLineChars="0"/>
              <w:rPr>
                <w:rFonts w:hint="eastAsia" w:ascii="宋体" w:hAnsi="宋体" w:cs="宋体"/>
                <w:color w:val="auto"/>
                <w:sz w:val="22"/>
                <w:szCs w:val="28"/>
                <w:highlight w:val="none"/>
              </w:rPr>
            </w:pPr>
          </w:p>
        </w:tc>
        <w:tc>
          <w:tcPr>
            <w:tcW w:w="1980"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联系电话</w:t>
            </w:r>
          </w:p>
        </w:tc>
        <w:tc>
          <w:tcPr>
            <w:tcW w:w="2241" w:type="dxa"/>
            <w:noWrap w:val="0"/>
            <w:vAlign w:val="center"/>
          </w:tcPr>
          <w:p>
            <w:pPr>
              <w:ind w:firstLine="0" w:firstLineChars="0"/>
              <w:rPr>
                <w:rFonts w:hint="eastAsia"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注册资本</w:t>
            </w:r>
          </w:p>
        </w:tc>
        <w:tc>
          <w:tcPr>
            <w:tcW w:w="2118" w:type="dxa"/>
            <w:noWrap w:val="0"/>
            <w:vAlign w:val="center"/>
          </w:tcPr>
          <w:p>
            <w:pPr>
              <w:ind w:firstLine="0" w:firstLineChars="0"/>
              <w:rPr>
                <w:rFonts w:hint="eastAsia" w:ascii="宋体" w:hAnsi="宋体" w:cs="宋体"/>
                <w:color w:val="auto"/>
                <w:sz w:val="22"/>
                <w:szCs w:val="28"/>
                <w:highlight w:val="none"/>
              </w:rPr>
            </w:pPr>
          </w:p>
        </w:tc>
        <w:tc>
          <w:tcPr>
            <w:tcW w:w="1980"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技术人员数</w:t>
            </w:r>
          </w:p>
        </w:tc>
        <w:tc>
          <w:tcPr>
            <w:tcW w:w="2241" w:type="dxa"/>
            <w:noWrap w:val="0"/>
            <w:vAlign w:val="center"/>
          </w:tcPr>
          <w:p>
            <w:pPr>
              <w:ind w:firstLine="0" w:firstLineChars="0"/>
              <w:rPr>
                <w:rFonts w:hint="eastAsia"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是否依法纳税</w:t>
            </w:r>
          </w:p>
        </w:tc>
        <w:tc>
          <w:tcPr>
            <w:tcW w:w="2118" w:type="dxa"/>
            <w:noWrap w:val="0"/>
            <w:vAlign w:val="center"/>
          </w:tcPr>
          <w:p>
            <w:pPr>
              <w:ind w:firstLine="0" w:firstLineChars="0"/>
              <w:rPr>
                <w:rFonts w:hint="eastAsia" w:ascii="宋体" w:hAnsi="宋体" w:cs="宋体"/>
                <w:color w:val="auto"/>
                <w:sz w:val="22"/>
                <w:szCs w:val="28"/>
                <w:highlight w:val="none"/>
              </w:rPr>
            </w:pPr>
          </w:p>
        </w:tc>
        <w:tc>
          <w:tcPr>
            <w:tcW w:w="1980" w:type="dxa"/>
            <w:noWrap w:val="0"/>
            <w:vAlign w:val="center"/>
          </w:tcPr>
          <w:p>
            <w:pPr>
              <w:ind w:firstLine="0" w:firstLineChars="0"/>
              <w:jc w:val="center"/>
              <w:rPr>
                <w:rFonts w:hint="eastAsia" w:ascii="宋体" w:hAnsi="宋体" w:cs="宋体"/>
                <w:color w:val="auto"/>
                <w:sz w:val="22"/>
                <w:szCs w:val="28"/>
                <w:highlight w:val="none"/>
              </w:rPr>
            </w:pPr>
            <w:r>
              <w:rPr>
                <w:rFonts w:hint="eastAsia" w:ascii="宋体" w:hAnsi="宋体" w:cs="宋体"/>
                <w:color w:val="auto"/>
                <w:sz w:val="22"/>
                <w:szCs w:val="28"/>
                <w:highlight w:val="none"/>
              </w:rPr>
              <w:t>是否参加社保</w:t>
            </w:r>
          </w:p>
        </w:tc>
        <w:tc>
          <w:tcPr>
            <w:tcW w:w="2241" w:type="dxa"/>
            <w:noWrap w:val="0"/>
            <w:vAlign w:val="center"/>
          </w:tcPr>
          <w:p>
            <w:pPr>
              <w:ind w:firstLine="0" w:firstLineChars="0"/>
              <w:rPr>
                <w:rFonts w:hint="eastAsia"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ind w:firstLine="0" w:firstLineChars="0"/>
              <w:rPr>
                <w:rFonts w:hint="eastAsia" w:ascii="宋体" w:hAnsi="宋体" w:cs="宋体"/>
                <w:color w:val="auto"/>
                <w:sz w:val="22"/>
                <w:szCs w:val="28"/>
                <w:highlight w:val="none"/>
              </w:rPr>
            </w:pPr>
            <w:r>
              <w:rPr>
                <w:rFonts w:hint="eastAsia" w:ascii="宋体" w:hAnsi="宋体" w:cs="宋体"/>
                <w:color w:val="auto"/>
                <w:sz w:val="22"/>
                <w:szCs w:val="28"/>
                <w:highlight w:val="none"/>
              </w:rPr>
              <w:t>服务机构情况</w:t>
            </w:r>
          </w:p>
        </w:tc>
        <w:tc>
          <w:tcPr>
            <w:tcW w:w="6339" w:type="dxa"/>
            <w:gridSpan w:val="3"/>
            <w:noWrap w:val="0"/>
            <w:vAlign w:val="center"/>
          </w:tcPr>
          <w:p>
            <w:pPr>
              <w:ind w:firstLine="0" w:firstLineChars="0"/>
              <w:jc w:val="left"/>
              <w:rPr>
                <w:rFonts w:hint="eastAsia" w:ascii="宋体" w:hAnsi="宋体" w:cs="宋体"/>
                <w:color w:val="auto"/>
                <w:sz w:val="22"/>
                <w:szCs w:val="28"/>
                <w:highlight w:val="none"/>
              </w:rPr>
            </w:pPr>
            <w:r>
              <w:rPr>
                <w:rFonts w:hint="eastAsia" w:ascii="宋体" w:hAnsi="宋体" w:cs="宋体"/>
                <w:color w:val="auto"/>
                <w:sz w:val="22"/>
                <w:szCs w:val="28"/>
                <w:highlight w:val="none"/>
              </w:rPr>
              <w:t>服务机构名称：</w:t>
            </w:r>
          </w:p>
          <w:p>
            <w:pPr>
              <w:ind w:firstLine="0" w:firstLineChars="0"/>
              <w:jc w:val="left"/>
              <w:rPr>
                <w:rFonts w:hint="eastAsia" w:ascii="宋体" w:hAnsi="宋体" w:cs="宋体"/>
                <w:color w:val="auto"/>
                <w:sz w:val="22"/>
                <w:szCs w:val="28"/>
                <w:highlight w:val="none"/>
              </w:rPr>
            </w:pPr>
            <w:r>
              <w:rPr>
                <w:rFonts w:hint="eastAsia" w:ascii="宋体" w:hAnsi="宋体" w:cs="宋体"/>
                <w:color w:val="auto"/>
                <w:sz w:val="22"/>
                <w:szCs w:val="28"/>
                <w:highlight w:val="none"/>
              </w:rPr>
              <w:t>地址：</w:t>
            </w:r>
          </w:p>
          <w:p>
            <w:pPr>
              <w:ind w:firstLine="0" w:firstLineChars="0"/>
              <w:jc w:val="left"/>
              <w:rPr>
                <w:rFonts w:hint="eastAsia" w:ascii="宋体" w:hAnsi="宋体" w:cs="宋体"/>
                <w:color w:val="auto"/>
                <w:sz w:val="22"/>
                <w:szCs w:val="28"/>
                <w:highlight w:val="none"/>
              </w:rPr>
            </w:pPr>
            <w:r>
              <w:rPr>
                <w:rFonts w:hint="eastAsia" w:ascii="宋体" w:hAnsi="宋体" w:cs="宋体"/>
                <w:color w:val="auto"/>
                <w:sz w:val="22"/>
                <w:szCs w:val="28"/>
                <w:highlight w:val="none"/>
              </w:rPr>
              <w:t>人员状况：</w:t>
            </w:r>
          </w:p>
          <w:p>
            <w:pPr>
              <w:ind w:firstLine="0" w:firstLineChars="0"/>
              <w:jc w:val="left"/>
              <w:rPr>
                <w:rFonts w:hint="eastAsia" w:ascii="宋体" w:hAnsi="宋体" w:cs="宋体"/>
                <w:color w:val="auto"/>
                <w:sz w:val="22"/>
                <w:szCs w:val="28"/>
                <w:highlight w:val="none"/>
              </w:rPr>
            </w:pPr>
            <w:r>
              <w:rPr>
                <w:rFonts w:hint="eastAsia" w:ascii="宋体" w:hAnsi="宋体" w:cs="宋体"/>
                <w:color w:val="auto"/>
                <w:sz w:val="22"/>
                <w:szCs w:val="28"/>
                <w:highlight w:val="none"/>
              </w:rPr>
              <w:t>联系方式：</w:t>
            </w:r>
          </w:p>
          <w:p>
            <w:pPr>
              <w:ind w:firstLine="0" w:firstLineChars="0"/>
              <w:jc w:val="left"/>
              <w:rPr>
                <w:rFonts w:hint="eastAsia" w:ascii="宋体" w:hAnsi="宋体" w:cs="宋体"/>
                <w:color w:val="auto"/>
                <w:sz w:val="22"/>
                <w:szCs w:val="28"/>
                <w:highlight w:val="none"/>
              </w:rPr>
            </w:pPr>
            <w:r>
              <w:rPr>
                <w:rFonts w:hint="eastAsia" w:ascii="宋体" w:hAnsi="宋体" w:cs="宋体"/>
                <w:color w:val="auto"/>
                <w:sz w:val="22"/>
                <w:szCs w:val="28"/>
                <w:highlight w:val="none"/>
              </w:rPr>
              <w:t>（可另附纸说明）</w:t>
            </w:r>
          </w:p>
        </w:tc>
      </w:tr>
    </w:tbl>
    <w:p>
      <w:pPr>
        <w:wordWrap w:val="0"/>
        <w:spacing w:before="120" w:beforeLines="50"/>
        <w:rPr>
          <w:rFonts w:hint="eastAsia" w:ascii="宋体" w:hAnsi="宋体" w:eastAsia="宋体" w:cs="宋体"/>
          <w:b/>
          <w:bCs/>
          <w:color w:val="auto"/>
          <w:sz w:val="24"/>
          <w:highlight w:val="none"/>
          <w:lang w:eastAsia="zh-CN" w:bidi="ar"/>
        </w:rPr>
      </w:pPr>
      <w:r>
        <w:rPr>
          <w:rFonts w:hint="eastAsia" w:ascii="宋体" w:hAnsi="宋体" w:cs="宋体"/>
          <w:color w:val="auto"/>
          <w:highlight w:val="none"/>
          <w:lang w:eastAsia="zh-CN"/>
        </w:rPr>
        <w:t>注：</w:t>
      </w:r>
      <w:r>
        <w:rPr>
          <w:rFonts w:hint="eastAsia" w:ascii="宋体" w:hAnsi="宋体" w:cs="宋体"/>
          <w:color w:val="auto"/>
          <w:highlight w:val="none"/>
        </w:rPr>
        <w:t>若为联合体投标的，此表联合体双方应分别提供</w:t>
      </w:r>
      <w:r>
        <w:rPr>
          <w:rFonts w:hint="eastAsia" w:ascii="宋体" w:hAnsi="宋体" w:cs="宋体"/>
          <w:color w:val="auto"/>
          <w:highlight w:val="none"/>
          <w:lang w:eastAsia="zh-CN"/>
        </w:rPr>
        <w:t>。</w:t>
      </w:r>
    </w:p>
    <w:p>
      <w:pPr>
        <w:wordWrap w:val="0"/>
        <w:spacing w:line="360" w:lineRule="auto"/>
        <w:ind w:firstLine="480"/>
        <w:jc w:val="right"/>
        <w:rPr>
          <w:rFonts w:hint="eastAsia" w:ascii="宋体" w:hAnsi="宋体" w:cs="宋体"/>
          <w:color w:val="auto"/>
          <w:sz w:val="24"/>
          <w:highlight w:val="none"/>
          <w:lang w:bidi="ar"/>
        </w:rPr>
      </w:pPr>
    </w:p>
    <w:p>
      <w:pPr>
        <w:wordWrap/>
        <w:spacing w:line="360" w:lineRule="auto"/>
        <w:jc w:val="left"/>
        <w:rPr>
          <w:rFonts w:hint="eastAsia" w:ascii="宋体" w:hAnsi="宋体" w:cs="宋体"/>
          <w:color w:val="auto"/>
          <w:sz w:val="24"/>
          <w:highlight w:val="none"/>
          <w:u w:val="single"/>
          <w:lang w:bidi="ar"/>
        </w:rPr>
      </w:pPr>
      <w:r>
        <w:rPr>
          <w:rFonts w:hint="eastAsia" w:ascii="宋体" w:hAnsi="宋体" w:cs="宋体"/>
          <w:color w:val="auto"/>
          <w:sz w:val="24"/>
          <w:highlight w:val="none"/>
          <w:lang w:bidi="ar"/>
        </w:rPr>
        <w:t>投标人名称（公章）：</w:t>
      </w:r>
      <w:r>
        <w:rPr>
          <w:rFonts w:hint="eastAsia" w:ascii="宋体" w:hAnsi="宋体" w:cs="宋体"/>
          <w:color w:val="auto"/>
          <w:sz w:val="24"/>
          <w:highlight w:val="none"/>
          <w:u w:val="single"/>
          <w:lang w:bidi="ar"/>
        </w:rPr>
        <w:t xml:space="preserve">                  </w:t>
      </w:r>
    </w:p>
    <w:p>
      <w:pPr>
        <w:wordWrap/>
        <w:spacing w:line="360" w:lineRule="auto"/>
        <w:jc w:val="left"/>
        <w:rPr>
          <w:rFonts w:hint="eastAsia" w:ascii="宋体" w:hAnsi="宋体" w:cs="宋体"/>
          <w:color w:val="auto"/>
          <w:sz w:val="24"/>
          <w:highlight w:val="none"/>
          <w:u w:val="single"/>
          <w:lang w:bidi="ar"/>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Style w:val="965"/>
        <w:spacing w:line="360" w:lineRule="auto"/>
        <w:jc w:val="lef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日期：_____年____月____日</w:t>
      </w:r>
    </w:p>
    <w:p>
      <w:pPr>
        <w:pStyle w:val="965"/>
        <w:spacing w:line="360" w:lineRule="auto"/>
        <w:jc w:val="center"/>
        <w:rPr>
          <w:rFonts w:hint="eastAsia" w:hAnsi="宋体" w:eastAsia="宋体" w:cs="宋体"/>
          <w:b/>
          <w:color w:val="auto"/>
          <w:sz w:val="24"/>
          <w:szCs w:val="24"/>
          <w:highlight w:val="none"/>
        </w:rPr>
      </w:pPr>
    </w:p>
    <w:p>
      <w:pPr>
        <w:pStyle w:val="965"/>
        <w:spacing w:line="360" w:lineRule="auto"/>
        <w:jc w:val="center"/>
        <w:rPr>
          <w:rFonts w:hint="eastAsia" w:hAnsi="宋体" w:eastAsia="宋体" w:cs="宋体"/>
          <w:b/>
          <w:color w:val="auto"/>
          <w:sz w:val="24"/>
          <w:szCs w:val="24"/>
          <w:highlight w:val="none"/>
        </w:rPr>
      </w:pPr>
    </w:p>
    <w:p>
      <w:pPr>
        <w:pStyle w:val="965"/>
        <w:spacing w:line="360" w:lineRule="auto"/>
        <w:jc w:val="center"/>
        <w:rPr>
          <w:rFonts w:hint="eastAsia" w:hAnsi="宋体" w:eastAsia="宋体" w:cs="宋体"/>
          <w:b/>
          <w:color w:val="auto"/>
          <w:sz w:val="24"/>
          <w:szCs w:val="24"/>
          <w:highlight w:val="none"/>
        </w:rPr>
      </w:pPr>
    </w:p>
    <w:p>
      <w:pPr>
        <w:pStyle w:val="965"/>
        <w:spacing w:line="360" w:lineRule="auto"/>
        <w:jc w:val="center"/>
        <w:rPr>
          <w:rFonts w:hint="eastAsia" w:hAnsi="宋体" w:eastAsia="宋体" w:cs="宋体"/>
          <w:b/>
          <w:color w:val="auto"/>
          <w:sz w:val="24"/>
          <w:szCs w:val="24"/>
          <w:highlight w:val="none"/>
        </w:rPr>
      </w:pPr>
    </w:p>
    <w:p>
      <w:pPr>
        <w:pStyle w:val="965"/>
        <w:spacing w:line="360" w:lineRule="auto"/>
        <w:jc w:val="center"/>
        <w:rPr>
          <w:rFonts w:hint="eastAsia" w:hAnsi="宋体" w:eastAsia="宋体" w:cs="宋体"/>
          <w:b/>
          <w:color w:val="auto"/>
          <w:sz w:val="24"/>
          <w:szCs w:val="24"/>
          <w:highlight w:val="none"/>
        </w:rPr>
      </w:pPr>
    </w:p>
    <w:p>
      <w:pPr>
        <w:pStyle w:val="965"/>
        <w:spacing w:line="360" w:lineRule="auto"/>
        <w:jc w:val="both"/>
        <w:rPr>
          <w:rFonts w:hint="eastAsia" w:hAnsi="宋体" w:eastAsia="宋体" w:cs="宋体"/>
          <w:b/>
          <w:color w:val="auto"/>
          <w:sz w:val="24"/>
          <w:szCs w:val="24"/>
          <w:highlight w:val="none"/>
        </w:rPr>
      </w:pPr>
    </w:p>
    <w:p>
      <w:pPr>
        <w:pStyle w:val="965"/>
        <w:spacing w:line="360" w:lineRule="auto"/>
        <w:jc w:val="both"/>
        <w:rPr>
          <w:rFonts w:hint="eastAsia" w:hAnsi="宋体" w:eastAsia="宋体" w:cs="宋体"/>
          <w:b/>
          <w:color w:val="auto"/>
          <w:sz w:val="24"/>
          <w:szCs w:val="24"/>
          <w:highlight w:val="none"/>
        </w:rPr>
      </w:pPr>
    </w:p>
    <w:p>
      <w:pPr>
        <w:pStyle w:val="965"/>
        <w:spacing w:line="360" w:lineRule="auto"/>
        <w:jc w:val="center"/>
        <w:rPr>
          <w:rFonts w:hint="eastAsia" w:hAnsi="宋体" w:eastAsia="宋体" w:cs="宋体"/>
          <w:b/>
          <w:color w:val="auto"/>
          <w:sz w:val="24"/>
          <w:szCs w:val="24"/>
          <w:highlight w:val="none"/>
        </w:rPr>
      </w:pPr>
      <w:r>
        <w:rPr>
          <w:rFonts w:hint="eastAsia" w:hAnsi="宋体" w:eastAsia="宋体" w:cs="宋体"/>
          <w:b/>
          <w:color w:val="auto"/>
          <w:sz w:val="24"/>
          <w:szCs w:val="24"/>
          <w:highlight w:val="none"/>
        </w:rPr>
        <w:t>同类业绩一览表</w:t>
      </w:r>
    </w:p>
    <w:tbl>
      <w:tblPr>
        <w:tblStyle w:val="63"/>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noWrap w:val="0"/>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序号</w:t>
            </w:r>
          </w:p>
        </w:tc>
        <w:tc>
          <w:tcPr>
            <w:tcW w:w="2943" w:type="dxa"/>
            <w:noWrap w:val="0"/>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采购人名称</w:t>
            </w:r>
          </w:p>
        </w:tc>
        <w:tc>
          <w:tcPr>
            <w:tcW w:w="2565" w:type="dxa"/>
            <w:noWrap w:val="0"/>
            <w:vAlign w:val="center"/>
          </w:tcPr>
          <w:p>
            <w:pPr>
              <w:tabs>
                <w:tab w:val="left" w:pos="6252"/>
              </w:tabs>
              <w:jc w:val="center"/>
              <w:rPr>
                <w:rFonts w:ascii="宋体" w:hAnsi="宋体"/>
                <w:b w:val="0"/>
                <w:bCs/>
                <w:color w:val="auto"/>
                <w:szCs w:val="21"/>
                <w:highlight w:val="none"/>
              </w:rPr>
            </w:pPr>
            <w:r>
              <w:rPr>
                <w:rFonts w:hint="eastAsia" w:ascii="宋体" w:hAnsi="宋体"/>
                <w:b w:val="0"/>
                <w:bCs/>
                <w:color w:val="auto"/>
                <w:szCs w:val="21"/>
                <w:highlight w:val="none"/>
              </w:rPr>
              <w:t>项目名称</w:t>
            </w:r>
          </w:p>
        </w:tc>
        <w:tc>
          <w:tcPr>
            <w:tcW w:w="1311" w:type="dxa"/>
            <w:noWrap w:val="0"/>
            <w:vAlign w:val="center"/>
          </w:tcPr>
          <w:p>
            <w:pPr>
              <w:tabs>
                <w:tab w:val="left" w:pos="6252"/>
              </w:tabs>
              <w:jc w:val="center"/>
              <w:rPr>
                <w:rFonts w:hint="default" w:ascii="宋体" w:hAnsi="宋体" w:eastAsia="宋体"/>
                <w:b w:val="0"/>
                <w:bCs/>
                <w:color w:val="auto"/>
                <w:szCs w:val="21"/>
                <w:highlight w:val="none"/>
                <w:lang w:val="en-US" w:eastAsia="zh-CN"/>
              </w:rPr>
            </w:pPr>
            <w:r>
              <w:rPr>
                <w:rFonts w:hint="eastAsia" w:ascii="宋体" w:hAnsi="宋体"/>
                <w:b w:val="0"/>
                <w:bCs/>
                <w:color w:val="auto"/>
                <w:szCs w:val="21"/>
                <w:highlight w:val="none"/>
                <w:lang w:val="en-US" w:eastAsia="zh-CN"/>
              </w:rPr>
              <w:t>合同金额（元）</w:t>
            </w:r>
          </w:p>
        </w:tc>
        <w:tc>
          <w:tcPr>
            <w:tcW w:w="1311" w:type="dxa"/>
            <w:noWrap w:val="0"/>
            <w:vAlign w:val="center"/>
          </w:tcPr>
          <w:p>
            <w:pPr>
              <w:tabs>
                <w:tab w:val="left" w:pos="6252"/>
              </w:tabs>
              <w:jc w:val="center"/>
              <w:rPr>
                <w:rFonts w:hint="eastAsia" w:ascii="宋体" w:hAnsi="宋体" w:eastAsia="宋体"/>
                <w:b w:val="0"/>
                <w:bCs/>
                <w:color w:val="auto"/>
                <w:szCs w:val="21"/>
                <w:highlight w:val="none"/>
                <w:lang w:eastAsia="zh-CN"/>
              </w:rPr>
            </w:pPr>
            <w:r>
              <w:rPr>
                <w:rFonts w:hint="eastAsia" w:ascii="宋体" w:hAnsi="宋体"/>
                <w:b w:val="0"/>
                <w:bCs/>
                <w:color w:val="auto"/>
                <w:szCs w:val="21"/>
                <w:highlight w:val="none"/>
                <w:lang w:val="en-US" w:eastAsia="zh-CN"/>
              </w:rPr>
              <w:t>联系方式</w:t>
            </w:r>
          </w:p>
        </w:tc>
        <w:tc>
          <w:tcPr>
            <w:tcW w:w="1298" w:type="dxa"/>
            <w:noWrap w:val="0"/>
            <w:vAlign w:val="center"/>
          </w:tcPr>
          <w:p>
            <w:pPr>
              <w:tabs>
                <w:tab w:val="left" w:pos="6252"/>
              </w:tabs>
              <w:jc w:val="center"/>
              <w:rPr>
                <w:rFonts w:ascii="宋体" w:hAnsi="宋体"/>
                <w:b w:val="0"/>
                <w:bCs/>
                <w:color w:val="auto"/>
                <w:szCs w:val="21"/>
                <w:highlight w:val="none"/>
              </w:rPr>
            </w:pPr>
            <w:r>
              <w:rPr>
                <w:rFonts w:hint="eastAsia"/>
                <w:b w:val="0"/>
                <w:bCs/>
                <w:color w:val="auto"/>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noWrap w:val="0"/>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1</w:t>
            </w:r>
          </w:p>
        </w:tc>
        <w:tc>
          <w:tcPr>
            <w:tcW w:w="2943" w:type="dxa"/>
            <w:noWrap w:val="0"/>
            <w:vAlign w:val="center"/>
          </w:tcPr>
          <w:p>
            <w:pPr>
              <w:jc w:val="center"/>
              <w:rPr>
                <w:rFonts w:ascii="宋体" w:hAnsi="宋体"/>
                <w:b w:val="0"/>
                <w:bCs/>
                <w:color w:val="auto"/>
                <w:szCs w:val="21"/>
                <w:highlight w:val="none"/>
              </w:rPr>
            </w:pPr>
          </w:p>
        </w:tc>
        <w:tc>
          <w:tcPr>
            <w:tcW w:w="2565" w:type="dxa"/>
            <w:noWrap w:val="0"/>
            <w:vAlign w:val="top"/>
          </w:tcPr>
          <w:p>
            <w:pPr>
              <w:jc w:val="center"/>
              <w:rPr>
                <w:rFonts w:ascii="宋体" w:hAnsi="宋体"/>
                <w:b w:val="0"/>
                <w:bCs/>
                <w:color w:val="auto"/>
                <w:szCs w:val="21"/>
                <w:highlight w:val="none"/>
              </w:rPr>
            </w:pPr>
          </w:p>
        </w:tc>
        <w:tc>
          <w:tcPr>
            <w:tcW w:w="1311" w:type="dxa"/>
            <w:noWrap w:val="0"/>
            <w:vAlign w:val="top"/>
          </w:tcPr>
          <w:p>
            <w:pPr>
              <w:jc w:val="center"/>
              <w:rPr>
                <w:rFonts w:ascii="宋体" w:hAnsi="宋体"/>
                <w:b w:val="0"/>
                <w:bCs/>
                <w:color w:val="auto"/>
                <w:szCs w:val="21"/>
                <w:highlight w:val="none"/>
              </w:rPr>
            </w:pPr>
          </w:p>
        </w:tc>
        <w:tc>
          <w:tcPr>
            <w:tcW w:w="1311" w:type="dxa"/>
            <w:noWrap w:val="0"/>
            <w:vAlign w:val="center"/>
          </w:tcPr>
          <w:p>
            <w:pPr>
              <w:jc w:val="center"/>
              <w:rPr>
                <w:rFonts w:ascii="宋体" w:hAnsi="宋体"/>
                <w:b w:val="0"/>
                <w:bCs/>
                <w:color w:val="auto"/>
                <w:szCs w:val="21"/>
                <w:highlight w:val="none"/>
              </w:rPr>
            </w:pPr>
          </w:p>
        </w:tc>
        <w:tc>
          <w:tcPr>
            <w:tcW w:w="1298" w:type="dxa"/>
            <w:noWrap w:val="0"/>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noWrap w:val="0"/>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2</w:t>
            </w:r>
          </w:p>
        </w:tc>
        <w:tc>
          <w:tcPr>
            <w:tcW w:w="2943" w:type="dxa"/>
            <w:noWrap w:val="0"/>
            <w:vAlign w:val="center"/>
          </w:tcPr>
          <w:p>
            <w:pPr>
              <w:jc w:val="center"/>
              <w:rPr>
                <w:rFonts w:ascii="宋体" w:hAnsi="宋体"/>
                <w:b w:val="0"/>
                <w:bCs/>
                <w:color w:val="auto"/>
                <w:szCs w:val="21"/>
                <w:highlight w:val="none"/>
              </w:rPr>
            </w:pPr>
          </w:p>
        </w:tc>
        <w:tc>
          <w:tcPr>
            <w:tcW w:w="2565" w:type="dxa"/>
            <w:noWrap w:val="0"/>
            <w:vAlign w:val="top"/>
          </w:tcPr>
          <w:p>
            <w:pPr>
              <w:jc w:val="center"/>
              <w:rPr>
                <w:rFonts w:ascii="宋体" w:hAnsi="宋体"/>
                <w:b w:val="0"/>
                <w:bCs/>
                <w:color w:val="auto"/>
                <w:szCs w:val="21"/>
                <w:highlight w:val="none"/>
              </w:rPr>
            </w:pPr>
          </w:p>
        </w:tc>
        <w:tc>
          <w:tcPr>
            <w:tcW w:w="1311" w:type="dxa"/>
            <w:noWrap w:val="0"/>
            <w:vAlign w:val="top"/>
          </w:tcPr>
          <w:p>
            <w:pPr>
              <w:jc w:val="center"/>
              <w:rPr>
                <w:rFonts w:ascii="宋体" w:hAnsi="宋体"/>
                <w:b w:val="0"/>
                <w:bCs/>
                <w:color w:val="auto"/>
                <w:szCs w:val="21"/>
                <w:highlight w:val="none"/>
              </w:rPr>
            </w:pPr>
          </w:p>
        </w:tc>
        <w:tc>
          <w:tcPr>
            <w:tcW w:w="1311" w:type="dxa"/>
            <w:noWrap w:val="0"/>
            <w:vAlign w:val="center"/>
          </w:tcPr>
          <w:p>
            <w:pPr>
              <w:jc w:val="center"/>
              <w:rPr>
                <w:rFonts w:ascii="宋体" w:hAnsi="宋体"/>
                <w:b w:val="0"/>
                <w:bCs/>
                <w:color w:val="auto"/>
                <w:szCs w:val="21"/>
                <w:highlight w:val="none"/>
              </w:rPr>
            </w:pPr>
          </w:p>
        </w:tc>
        <w:tc>
          <w:tcPr>
            <w:tcW w:w="1298" w:type="dxa"/>
            <w:noWrap w:val="0"/>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3</w:t>
            </w:r>
          </w:p>
        </w:tc>
        <w:tc>
          <w:tcPr>
            <w:tcW w:w="2943" w:type="dxa"/>
            <w:noWrap w:val="0"/>
            <w:vAlign w:val="center"/>
          </w:tcPr>
          <w:p>
            <w:pPr>
              <w:jc w:val="center"/>
              <w:rPr>
                <w:rFonts w:ascii="宋体" w:hAnsi="宋体"/>
                <w:b w:val="0"/>
                <w:bCs/>
                <w:color w:val="auto"/>
                <w:szCs w:val="21"/>
                <w:highlight w:val="none"/>
              </w:rPr>
            </w:pPr>
          </w:p>
        </w:tc>
        <w:tc>
          <w:tcPr>
            <w:tcW w:w="2565" w:type="dxa"/>
            <w:noWrap w:val="0"/>
            <w:vAlign w:val="top"/>
          </w:tcPr>
          <w:p>
            <w:pPr>
              <w:jc w:val="center"/>
              <w:rPr>
                <w:rFonts w:ascii="宋体" w:hAnsi="宋体"/>
                <w:b w:val="0"/>
                <w:bCs/>
                <w:color w:val="auto"/>
                <w:szCs w:val="21"/>
                <w:highlight w:val="none"/>
              </w:rPr>
            </w:pPr>
          </w:p>
        </w:tc>
        <w:tc>
          <w:tcPr>
            <w:tcW w:w="1311" w:type="dxa"/>
            <w:noWrap w:val="0"/>
            <w:vAlign w:val="top"/>
          </w:tcPr>
          <w:p>
            <w:pPr>
              <w:jc w:val="center"/>
              <w:rPr>
                <w:rFonts w:ascii="宋体" w:hAnsi="宋体"/>
                <w:b w:val="0"/>
                <w:bCs/>
                <w:color w:val="auto"/>
                <w:szCs w:val="21"/>
                <w:highlight w:val="none"/>
              </w:rPr>
            </w:pPr>
          </w:p>
        </w:tc>
        <w:tc>
          <w:tcPr>
            <w:tcW w:w="1311" w:type="dxa"/>
            <w:noWrap w:val="0"/>
            <w:vAlign w:val="center"/>
          </w:tcPr>
          <w:p>
            <w:pPr>
              <w:jc w:val="center"/>
              <w:rPr>
                <w:rFonts w:ascii="宋体" w:hAnsi="宋体"/>
                <w:b w:val="0"/>
                <w:bCs/>
                <w:color w:val="auto"/>
                <w:szCs w:val="21"/>
                <w:highlight w:val="none"/>
              </w:rPr>
            </w:pPr>
          </w:p>
        </w:tc>
        <w:tc>
          <w:tcPr>
            <w:tcW w:w="1298" w:type="dxa"/>
            <w:noWrap w:val="0"/>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4</w:t>
            </w:r>
          </w:p>
        </w:tc>
        <w:tc>
          <w:tcPr>
            <w:tcW w:w="2943" w:type="dxa"/>
            <w:noWrap w:val="0"/>
            <w:vAlign w:val="center"/>
          </w:tcPr>
          <w:p>
            <w:pPr>
              <w:jc w:val="center"/>
              <w:rPr>
                <w:rFonts w:ascii="宋体" w:hAnsi="宋体"/>
                <w:b w:val="0"/>
                <w:bCs/>
                <w:color w:val="auto"/>
                <w:szCs w:val="21"/>
                <w:highlight w:val="none"/>
              </w:rPr>
            </w:pPr>
          </w:p>
        </w:tc>
        <w:tc>
          <w:tcPr>
            <w:tcW w:w="2565" w:type="dxa"/>
            <w:noWrap w:val="0"/>
            <w:vAlign w:val="top"/>
          </w:tcPr>
          <w:p>
            <w:pPr>
              <w:jc w:val="center"/>
              <w:rPr>
                <w:rFonts w:ascii="宋体" w:hAnsi="宋体"/>
                <w:b w:val="0"/>
                <w:bCs/>
                <w:color w:val="auto"/>
                <w:szCs w:val="21"/>
                <w:highlight w:val="none"/>
              </w:rPr>
            </w:pPr>
          </w:p>
        </w:tc>
        <w:tc>
          <w:tcPr>
            <w:tcW w:w="1311" w:type="dxa"/>
            <w:noWrap w:val="0"/>
            <w:vAlign w:val="top"/>
          </w:tcPr>
          <w:p>
            <w:pPr>
              <w:jc w:val="center"/>
              <w:rPr>
                <w:rFonts w:ascii="宋体" w:hAnsi="宋体"/>
                <w:b w:val="0"/>
                <w:bCs/>
                <w:color w:val="auto"/>
                <w:szCs w:val="21"/>
                <w:highlight w:val="none"/>
              </w:rPr>
            </w:pPr>
          </w:p>
        </w:tc>
        <w:tc>
          <w:tcPr>
            <w:tcW w:w="1311" w:type="dxa"/>
            <w:noWrap w:val="0"/>
            <w:vAlign w:val="center"/>
          </w:tcPr>
          <w:p>
            <w:pPr>
              <w:jc w:val="center"/>
              <w:rPr>
                <w:rFonts w:ascii="宋体" w:hAnsi="宋体"/>
                <w:b w:val="0"/>
                <w:bCs/>
                <w:color w:val="auto"/>
                <w:szCs w:val="21"/>
                <w:highlight w:val="none"/>
              </w:rPr>
            </w:pPr>
          </w:p>
        </w:tc>
        <w:tc>
          <w:tcPr>
            <w:tcW w:w="1298" w:type="dxa"/>
            <w:noWrap w:val="0"/>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jc w:val="center"/>
              <w:rPr>
                <w:rFonts w:ascii="宋体" w:hAnsi="宋体"/>
                <w:b w:val="0"/>
                <w:bCs/>
                <w:color w:val="auto"/>
                <w:szCs w:val="21"/>
                <w:highlight w:val="none"/>
              </w:rPr>
            </w:pPr>
            <w:r>
              <w:rPr>
                <w:rFonts w:hint="eastAsia" w:ascii="宋体" w:hAnsi="宋体"/>
                <w:b w:val="0"/>
                <w:bCs/>
                <w:color w:val="auto"/>
                <w:szCs w:val="21"/>
                <w:highlight w:val="none"/>
              </w:rPr>
              <w:t>5</w:t>
            </w:r>
          </w:p>
        </w:tc>
        <w:tc>
          <w:tcPr>
            <w:tcW w:w="2943" w:type="dxa"/>
            <w:noWrap w:val="0"/>
            <w:vAlign w:val="center"/>
          </w:tcPr>
          <w:p>
            <w:pPr>
              <w:jc w:val="center"/>
              <w:rPr>
                <w:rFonts w:ascii="宋体" w:hAnsi="宋体"/>
                <w:b w:val="0"/>
                <w:bCs/>
                <w:color w:val="auto"/>
                <w:szCs w:val="21"/>
                <w:highlight w:val="none"/>
              </w:rPr>
            </w:pPr>
          </w:p>
        </w:tc>
        <w:tc>
          <w:tcPr>
            <w:tcW w:w="2565" w:type="dxa"/>
            <w:noWrap w:val="0"/>
            <w:vAlign w:val="top"/>
          </w:tcPr>
          <w:p>
            <w:pPr>
              <w:jc w:val="center"/>
              <w:rPr>
                <w:rFonts w:ascii="宋体" w:hAnsi="宋体"/>
                <w:b w:val="0"/>
                <w:bCs/>
                <w:color w:val="auto"/>
                <w:szCs w:val="21"/>
                <w:highlight w:val="none"/>
              </w:rPr>
            </w:pPr>
          </w:p>
        </w:tc>
        <w:tc>
          <w:tcPr>
            <w:tcW w:w="1311" w:type="dxa"/>
            <w:noWrap w:val="0"/>
            <w:vAlign w:val="top"/>
          </w:tcPr>
          <w:p>
            <w:pPr>
              <w:jc w:val="center"/>
              <w:rPr>
                <w:rFonts w:ascii="宋体" w:hAnsi="宋体"/>
                <w:b w:val="0"/>
                <w:bCs/>
                <w:color w:val="auto"/>
                <w:szCs w:val="21"/>
                <w:highlight w:val="none"/>
              </w:rPr>
            </w:pPr>
          </w:p>
        </w:tc>
        <w:tc>
          <w:tcPr>
            <w:tcW w:w="1311" w:type="dxa"/>
            <w:noWrap w:val="0"/>
            <w:vAlign w:val="center"/>
          </w:tcPr>
          <w:p>
            <w:pPr>
              <w:jc w:val="center"/>
              <w:rPr>
                <w:rFonts w:ascii="宋体" w:hAnsi="宋体"/>
                <w:b w:val="0"/>
                <w:bCs/>
                <w:color w:val="auto"/>
                <w:szCs w:val="21"/>
                <w:highlight w:val="none"/>
              </w:rPr>
            </w:pPr>
          </w:p>
        </w:tc>
        <w:tc>
          <w:tcPr>
            <w:tcW w:w="1298" w:type="dxa"/>
            <w:noWrap w:val="0"/>
            <w:vAlign w:val="center"/>
          </w:tcPr>
          <w:p>
            <w:pPr>
              <w:jc w:val="center"/>
              <w:rPr>
                <w:rFonts w:ascii="宋体" w:hAnsi="宋体"/>
                <w:b w:val="0"/>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noWrap w:val="0"/>
            <w:vAlign w:val="center"/>
          </w:tcPr>
          <w:p>
            <w:pPr>
              <w:jc w:val="center"/>
              <w:rPr>
                <w:rFonts w:ascii="宋体" w:hAnsi="宋体"/>
                <w:color w:val="auto"/>
                <w:szCs w:val="21"/>
                <w:highlight w:val="none"/>
              </w:rPr>
            </w:pPr>
          </w:p>
        </w:tc>
        <w:tc>
          <w:tcPr>
            <w:tcW w:w="2943" w:type="dxa"/>
            <w:noWrap w:val="0"/>
            <w:vAlign w:val="center"/>
          </w:tcPr>
          <w:p>
            <w:pPr>
              <w:jc w:val="center"/>
              <w:rPr>
                <w:rFonts w:ascii="宋体" w:hAnsi="宋体"/>
                <w:color w:val="auto"/>
                <w:szCs w:val="21"/>
                <w:highlight w:val="none"/>
              </w:rPr>
            </w:pPr>
          </w:p>
        </w:tc>
        <w:tc>
          <w:tcPr>
            <w:tcW w:w="2565" w:type="dxa"/>
            <w:noWrap w:val="0"/>
            <w:vAlign w:val="top"/>
          </w:tcPr>
          <w:p>
            <w:pPr>
              <w:jc w:val="center"/>
              <w:rPr>
                <w:rFonts w:ascii="宋体" w:hAnsi="宋体"/>
                <w:color w:val="auto"/>
                <w:szCs w:val="21"/>
                <w:highlight w:val="none"/>
              </w:rPr>
            </w:pPr>
          </w:p>
        </w:tc>
        <w:tc>
          <w:tcPr>
            <w:tcW w:w="1311" w:type="dxa"/>
            <w:noWrap w:val="0"/>
            <w:vAlign w:val="top"/>
          </w:tcPr>
          <w:p>
            <w:pPr>
              <w:jc w:val="center"/>
              <w:rPr>
                <w:rFonts w:ascii="宋体" w:hAnsi="宋体"/>
                <w:color w:val="auto"/>
                <w:szCs w:val="21"/>
                <w:highlight w:val="none"/>
              </w:rPr>
            </w:pPr>
          </w:p>
        </w:tc>
        <w:tc>
          <w:tcPr>
            <w:tcW w:w="1311" w:type="dxa"/>
            <w:noWrap w:val="0"/>
            <w:vAlign w:val="center"/>
          </w:tcPr>
          <w:p>
            <w:pPr>
              <w:jc w:val="center"/>
              <w:rPr>
                <w:rFonts w:ascii="宋体" w:hAnsi="宋体"/>
                <w:color w:val="auto"/>
                <w:szCs w:val="21"/>
                <w:highlight w:val="none"/>
              </w:rPr>
            </w:pPr>
          </w:p>
        </w:tc>
        <w:tc>
          <w:tcPr>
            <w:tcW w:w="1298"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2943" w:type="dxa"/>
            <w:noWrap w:val="0"/>
            <w:vAlign w:val="center"/>
          </w:tcPr>
          <w:p>
            <w:pPr>
              <w:jc w:val="center"/>
              <w:rPr>
                <w:rFonts w:ascii="宋体" w:hAnsi="宋体"/>
                <w:color w:val="auto"/>
                <w:szCs w:val="21"/>
                <w:highlight w:val="none"/>
              </w:rPr>
            </w:pPr>
          </w:p>
        </w:tc>
        <w:tc>
          <w:tcPr>
            <w:tcW w:w="2565" w:type="dxa"/>
            <w:noWrap w:val="0"/>
            <w:vAlign w:val="top"/>
          </w:tcPr>
          <w:p>
            <w:pPr>
              <w:jc w:val="center"/>
              <w:rPr>
                <w:rFonts w:ascii="宋体" w:hAnsi="宋体"/>
                <w:color w:val="auto"/>
                <w:szCs w:val="21"/>
                <w:highlight w:val="none"/>
              </w:rPr>
            </w:pPr>
          </w:p>
        </w:tc>
        <w:tc>
          <w:tcPr>
            <w:tcW w:w="1311" w:type="dxa"/>
            <w:noWrap w:val="0"/>
            <w:vAlign w:val="top"/>
          </w:tcPr>
          <w:p>
            <w:pPr>
              <w:jc w:val="center"/>
              <w:rPr>
                <w:rFonts w:ascii="宋体" w:hAnsi="宋体"/>
                <w:color w:val="auto"/>
                <w:szCs w:val="21"/>
                <w:highlight w:val="none"/>
              </w:rPr>
            </w:pPr>
          </w:p>
        </w:tc>
        <w:tc>
          <w:tcPr>
            <w:tcW w:w="1311" w:type="dxa"/>
            <w:noWrap w:val="0"/>
            <w:vAlign w:val="center"/>
          </w:tcPr>
          <w:p>
            <w:pPr>
              <w:jc w:val="center"/>
              <w:rPr>
                <w:rFonts w:ascii="宋体" w:hAnsi="宋体"/>
                <w:color w:val="auto"/>
                <w:szCs w:val="21"/>
                <w:highlight w:val="none"/>
              </w:rPr>
            </w:pPr>
          </w:p>
        </w:tc>
        <w:tc>
          <w:tcPr>
            <w:tcW w:w="1298" w:type="dxa"/>
            <w:noWrap w:val="0"/>
            <w:vAlign w:val="center"/>
          </w:tcPr>
          <w:p>
            <w:pPr>
              <w:jc w:val="center"/>
              <w:rPr>
                <w:rFonts w:ascii="宋体" w:hAnsi="宋体"/>
                <w:color w:val="auto"/>
                <w:szCs w:val="21"/>
                <w:highlight w:val="none"/>
              </w:rPr>
            </w:pPr>
          </w:p>
        </w:tc>
      </w:tr>
    </w:tbl>
    <w:p>
      <w:pPr>
        <w:pStyle w:val="965"/>
        <w:spacing w:line="360" w:lineRule="auto"/>
        <w:rPr>
          <w:rFonts w:hint="eastAsia" w:ascii="宋体" w:hAnsi="宋体" w:eastAsia="宋体" w:cs="Times New Roman"/>
          <w:b/>
          <w:color w:val="auto"/>
          <w:kern w:val="2"/>
          <w:sz w:val="21"/>
          <w:szCs w:val="21"/>
          <w:highlight w:val="none"/>
          <w:lang w:val="en-US" w:eastAsia="zh-CN" w:bidi="ar-SA"/>
        </w:rPr>
      </w:pPr>
      <w:r>
        <w:rPr>
          <w:rFonts w:hint="eastAsia" w:ascii="宋体" w:hAnsi="宋体" w:eastAsia="宋体" w:cs="Times New Roman"/>
          <w:b/>
          <w:color w:val="auto"/>
          <w:kern w:val="2"/>
          <w:sz w:val="21"/>
          <w:szCs w:val="21"/>
          <w:highlight w:val="none"/>
          <w:lang w:val="en-US" w:eastAsia="zh-CN" w:bidi="ar-SA"/>
        </w:rPr>
        <w:t>注：</w:t>
      </w:r>
      <w:r>
        <w:rPr>
          <w:rFonts w:hint="eastAsia" w:hAnsi="宋体" w:eastAsia="宋体" w:cs="Times New Roman"/>
          <w:b/>
          <w:color w:val="auto"/>
          <w:kern w:val="2"/>
          <w:sz w:val="21"/>
          <w:szCs w:val="21"/>
          <w:highlight w:val="none"/>
          <w:lang w:val="en-US" w:eastAsia="zh-CN" w:bidi="ar-SA"/>
        </w:rPr>
        <w:t>1、</w:t>
      </w:r>
      <w:r>
        <w:rPr>
          <w:rFonts w:hint="eastAsia" w:ascii="宋体" w:hAnsi="宋体" w:eastAsia="宋体" w:cs="Times New Roman"/>
          <w:b/>
          <w:color w:val="auto"/>
          <w:kern w:val="2"/>
          <w:sz w:val="21"/>
          <w:szCs w:val="21"/>
          <w:highlight w:val="none"/>
          <w:lang w:val="en-US" w:eastAsia="zh-CN" w:bidi="ar-SA"/>
        </w:rPr>
        <w:t>投标人同类项目</w:t>
      </w:r>
      <w:r>
        <w:rPr>
          <w:rFonts w:hint="eastAsia" w:hAnsi="宋体" w:eastAsia="宋体" w:cs="Times New Roman"/>
          <w:b/>
          <w:color w:val="auto"/>
          <w:kern w:val="2"/>
          <w:sz w:val="21"/>
          <w:szCs w:val="21"/>
          <w:highlight w:val="none"/>
          <w:lang w:val="en-US" w:eastAsia="zh-CN" w:bidi="ar-SA"/>
        </w:rPr>
        <w:t>业绩</w:t>
      </w:r>
      <w:r>
        <w:rPr>
          <w:rFonts w:hint="eastAsia" w:ascii="宋体" w:hAnsi="宋体" w:eastAsia="宋体" w:cs="Times New Roman"/>
          <w:b/>
          <w:color w:val="auto"/>
          <w:kern w:val="2"/>
          <w:sz w:val="21"/>
          <w:szCs w:val="21"/>
          <w:highlight w:val="none"/>
          <w:lang w:val="en-US" w:eastAsia="zh-CN" w:bidi="ar-SA"/>
        </w:rPr>
        <w:t>得分以本表为准，后附相关证明材料，所需的证明材料要求详见评标办法。</w:t>
      </w:r>
    </w:p>
    <w:p>
      <w:pPr>
        <w:pStyle w:val="965"/>
        <w:spacing w:line="360" w:lineRule="auto"/>
        <w:rPr>
          <w:rFonts w:hint="eastAsia" w:hAnsi="宋体" w:eastAsia="宋体"/>
          <w:b/>
          <w:color w:val="auto"/>
          <w:sz w:val="24"/>
          <w:szCs w:val="24"/>
          <w:highlight w:val="none"/>
        </w:rPr>
      </w:pPr>
      <w:r>
        <w:rPr>
          <w:rFonts w:hint="eastAsia" w:hAnsi="宋体" w:eastAsia="宋体"/>
          <w:b/>
          <w:color w:val="auto"/>
          <w:sz w:val="22"/>
          <w:szCs w:val="22"/>
          <w:highlight w:val="none"/>
        </w:rPr>
        <w:t>2</w:t>
      </w:r>
      <w:r>
        <w:rPr>
          <w:rFonts w:hint="eastAsia" w:ascii="宋体" w:hAnsi="宋体" w:eastAsia="宋体" w:cs="Times New Roman"/>
          <w:b/>
          <w:color w:val="auto"/>
          <w:kern w:val="2"/>
          <w:sz w:val="20"/>
          <w:szCs w:val="20"/>
          <w:highlight w:val="none"/>
          <w:lang w:val="en-US" w:eastAsia="zh-CN" w:bidi="ar-SA"/>
        </w:rPr>
        <w:t>、</w:t>
      </w:r>
      <w:r>
        <w:rPr>
          <w:rFonts w:hint="eastAsia" w:ascii="宋体" w:hAnsi="宋体" w:eastAsia="宋体" w:cs="Times New Roman"/>
          <w:b/>
          <w:color w:val="auto"/>
          <w:kern w:val="2"/>
          <w:sz w:val="21"/>
          <w:szCs w:val="21"/>
          <w:highlight w:val="none"/>
          <w:lang w:val="en-US" w:eastAsia="zh-CN" w:bidi="ar-SA"/>
        </w:rPr>
        <w:t>表格不够填写可添加</w:t>
      </w:r>
    </w:p>
    <w:p>
      <w:pPr>
        <w:pStyle w:val="965"/>
        <w:spacing w:line="360" w:lineRule="auto"/>
        <w:rPr>
          <w:rFonts w:hint="eastAsia" w:hAnsi="宋体" w:eastAsia="宋体"/>
          <w:b/>
          <w:color w:val="auto"/>
          <w:sz w:val="24"/>
          <w:szCs w:val="24"/>
          <w:highlight w:val="none"/>
        </w:rPr>
      </w:pPr>
    </w:p>
    <w:p>
      <w:pPr>
        <w:snapToGrid w:val="0"/>
        <w:spacing w:before="120" w:beforeLines="50" w:line="400" w:lineRule="exact"/>
        <w:rPr>
          <w:rFonts w:hint="eastAsia" w:ascii="宋体" w:hAnsi="宋体" w:cs="宋体"/>
          <w:color w:val="auto"/>
          <w:sz w:val="24"/>
          <w:szCs w:val="20"/>
          <w:highlight w:val="none"/>
          <w:u w:val="single"/>
        </w:rPr>
      </w:pPr>
      <w:r>
        <w:rPr>
          <w:rFonts w:hint="eastAsia" w:ascii="宋体" w:hAnsi="宋体" w:cs="宋体"/>
          <w:color w:val="auto"/>
          <w:sz w:val="24"/>
          <w:highlight w:val="none"/>
        </w:rPr>
        <w:t>法定代表人或被授权人签字（或盖章）：</w:t>
      </w:r>
      <w:r>
        <w:rPr>
          <w:rFonts w:hint="eastAsia" w:ascii="宋体" w:hAnsi="宋体" w:cs="宋体"/>
          <w:color w:val="auto"/>
          <w:sz w:val="24"/>
          <w:highlight w:val="none"/>
          <w:u w:val="single"/>
        </w:rPr>
        <w:t xml:space="preserve">             </w:t>
      </w:r>
    </w:p>
    <w:p>
      <w:pPr>
        <w:snapToGrid w:val="0"/>
        <w:spacing w:before="120" w:beforeLines="50" w:after="50" w:line="400" w:lineRule="exact"/>
        <w:rPr>
          <w:rFonts w:hint="eastAsia" w:ascii="宋体" w:hAnsi="宋体" w:cs="宋体"/>
          <w:color w:val="auto"/>
          <w:sz w:val="24"/>
          <w:highlight w:val="none"/>
        </w:rPr>
      </w:pPr>
      <w:r>
        <w:rPr>
          <w:rFonts w:hint="eastAsia" w:ascii="宋体" w:hAnsi="宋体" w:cs="宋体"/>
          <w:color w:val="auto"/>
          <w:sz w:val="24"/>
          <w:highlight w:val="none"/>
        </w:rPr>
        <w:t>投标人公章：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80" w:lineRule="exact"/>
        <w:jc w:val="both"/>
        <w:rPr>
          <w:rFonts w:hint="eastAsia" w:ascii="宋体" w:hAnsi="宋体"/>
          <w:b/>
          <w:color w:val="auto"/>
          <w:sz w:val="22"/>
          <w:szCs w:val="2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rPr>
          <w:rFonts w:hint="eastAsia" w:ascii="宋体" w:hAnsi="宋体" w:cs="宋体"/>
          <w:color w:val="auto"/>
          <w:sz w:val="24"/>
          <w:highlight w:val="none"/>
        </w:rPr>
      </w:pPr>
    </w:p>
    <w:p>
      <w:pPr>
        <w:pStyle w:val="4"/>
        <w:rPr>
          <w:rFonts w:hint="eastAsia" w:ascii="宋体" w:hAnsi="宋体" w:cs="宋体"/>
          <w:color w:val="auto"/>
          <w:sz w:val="24"/>
          <w:highlight w:val="none"/>
        </w:rPr>
      </w:pPr>
    </w:p>
    <w:p>
      <w:pPr>
        <w:pStyle w:val="81"/>
        <w:ind w:firstLine="480"/>
        <w:rPr>
          <w:rFonts w:hint="eastAsia"/>
          <w:color w:val="auto"/>
          <w:highlight w:val="none"/>
        </w:rPr>
      </w:pPr>
    </w:p>
    <w:p>
      <w:pPr>
        <w:pStyle w:val="965"/>
        <w:spacing w:line="360" w:lineRule="auto"/>
        <w:jc w:val="center"/>
        <w:rPr>
          <w:rFonts w:hint="eastAsia" w:hAnsi="宋体" w:eastAsia="宋体"/>
          <w:b/>
          <w:color w:val="auto"/>
          <w:sz w:val="28"/>
          <w:szCs w:val="28"/>
          <w:highlight w:val="none"/>
        </w:rPr>
      </w:pPr>
    </w:p>
    <w:p>
      <w:pPr>
        <w:pStyle w:val="33"/>
        <w:adjustRightInd w:val="0"/>
        <w:spacing w:before="120" w:after="120" w:line="360" w:lineRule="auto"/>
        <w:jc w:val="center"/>
        <w:textAlignment w:val="baseline"/>
        <w:rPr>
          <w:rFonts w:hint="eastAsia" w:hAnsi="宋体"/>
          <w:b/>
          <w:color w:val="auto"/>
          <w:sz w:val="28"/>
          <w:szCs w:val="28"/>
          <w:highlight w:val="none"/>
        </w:rPr>
      </w:pPr>
    </w:p>
    <w:p>
      <w:pPr>
        <w:pStyle w:val="33"/>
        <w:adjustRightInd w:val="0"/>
        <w:spacing w:before="120" w:after="120" w:line="360" w:lineRule="auto"/>
        <w:jc w:val="center"/>
        <w:textAlignment w:val="baseline"/>
        <w:rPr>
          <w:rFonts w:hint="eastAsia" w:hAnsi="宋体"/>
          <w:b/>
          <w:color w:val="auto"/>
          <w:sz w:val="28"/>
          <w:szCs w:val="28"/>
          <w:highlight w:val="none"/>
        </w:rPr>
      </w:pPr>
    </w:p>
    <w:p>
      <w:pPr>
        <w:pStyle w:val="33"/>
        <w:adjustRightInd w:val="0"/>
        <w:spacing w:before="120" w:after="120" w:line="360" w:lineRule="auto"/>
        <w:jc w:val="center"/>
        <w:textAlignment w:val="baseline"/>
        <w:rPr>
          <w:rFonts w:hint="eastAsia" w:hAnsi="宋体"/>
          <w:color w:val="auto"/>
          <w:sz w:val="28"/>
          <w:szCs w:val="28"/>
          <w:highlight w:val="none"/>
        </w:rPr>
      </w:pPr>
      <w:r>
        <w:rPr>
          <w:rFonts w:hint="eastAsia" w:hAnsi="宋体"/>
          <w:b/>
          <w:color w:val="auto"/>
          <w:sz w:val="28"/>
          <w:szCs w:val="28"/>
          <w:highlight w:val="none"/>
        </w:rPr>
        <w:t>项目实施人员表</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姓名</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r>
              <w:rPr>
                <w:rFonts w:hint="eastAsia" w:ascii="宋体" w:hAnsi="宋体"/>
                <w:color w:val="auto"/>
                <w:sz w:val="21"/>
                <w:szCs w:val="21"/>
                <w:highlight w:val="none"/>
                <w:lang w:val="en-US" w:eastAsia="zh-CN"/>
              </w:rPr>
              <w:t>年龄</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学历及专业</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r>
              <w:rPr>
                <w:rFonts w:hint="eastAsia" w:ascii="宋体" w:hAnsi="宋体"/>
                <w:color w:val="auto"/>
                <w:sz w:val="21"/>
                <w:szCs w:val="21"/>
                <w:highlight w:val="none"/>
                <w:lang w:val="en-US" w:eastAsia="zh-CN"/>
              </w:rPr>
              <w:t>证书</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color w:val="auto"/>
                <w:sz w:val="21"/>
                <w:szCs w:val="21"/>
                <w:highlight w:val="none"/>
              </w:rPr>
            </w:pPr>
            <w:r>
              <w:rPr>
                <w:rFonts w:hint="eastAsia" w:ascii="宋体" w:hAnsi="宋体"/>
                <w:color w:val="auto"/>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hint="eastAsia" w:ascii="宋体" w:hAnsi="宋体"/>
                <w:color w:val="auto"/>
                <w:sz w:val="21"/>
                <w:szCs w:val="21"/>
                <w:highlight w:val="none"/>
              </w:rPr>
            </w:pPr>
            <w:r>
              <w:rPr>
                <w:rFonts w:hint="eastAsia" w:ascii="宋体" w:hAnsi="宋体"/>
                <w:color w:val="auto"/>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pStyle w:val="39"/>
              <w:jc w:val="center"/>
              <w:rPr>
                <w:rFonts w:ascii="宋体" w:hAnsi="宋体"/>
                <w:color w:val="auto"/>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pStyle w:val="3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highlight w:val="none"/>
              </w:rPr>
            </w:pPr>
            <w:r>
              <w:rPr>
                <w:rFonts w:hint="eastAsia" w:ascii="宋体" w:hAnsi="宋体"/>
                <w:color w:val="auto"/>
                <w:szCs w:val="21"/>
                <w:highlight w:val="none"/>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r>
    </w:tbl>
    <w:p>
      <w:pPr>
        <w:spacing w:line="360" w:lineRule="auto"/>
        <w:ind w:firstLine="422" w:firstLineChars="200"/>
        <w:rPr>
          <w:rFonts w:hint="eastAsia" w:ascii="宋体" w:hAnsi="宋体" w:eastAsia="宋体"/>
          <w:b/>
          <w:color w:val="auto"/>
          <w:szCs w:val="21"/>
          <w:highlight w:val="none"/>
          <w:lang w:val="en-US" w:eastAsia="zh-CN"/>
        </w:rPr>
      </w:pPr>
      <w:r>
        <w:rPr>
          <w:rFonts w:hint="eastAsia" w:ascii="宋体" w:hAnsi="宋体"/>
          <w:b/>
          <w:color w:val="auto"/>
          <w:szCs w:val="21"/>
          <w:highlight w:val="none"/>
        </w:rPr>
        <w:t>注：</w:t>
      </w:r>
      <w:r>
        <w:rPr>
          <w:rFonts w:hint="eastAsia" w:ascii="宋体" w:hAnsi="宋体"/>
          <w:b/>
          <w:color w:val="auto"/>
          <w:szCs w:val="21"/>
          <w:highlight w:val="none"/>
          <w:lang w:val="en-US" w:eastAsia="zh-CN"/>
        </w:rPr>
        <w:t>1、相关证明材料复印件附后，所需的证明材料要求详见评标办法。</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lang w:val="en-US" w:eastAsia="zh-CN"/>
        </w:rPr>
        <w:t>2</w:t>
      </w:r>
      <w:r>
        <w:rPr>
          <w:rFonts w:hint="eastAsia" w:ascii="宋体" w:hAnsi="宋体"/>
          <w:b/>
          <w:color w:val="auto"/>
          <w:szCs w:val="21"/>
          <w:highlight w:val="none"/>
        </w:rPr>
        <w:t>、表格不够填写可添加。</w:t>
      </w:r>
    </w:p>
    <w:p>
      <w:pPr>
        <w:snapToGrid w:val="0"/>
        <w:spacing w:before="50" w:after="50" w:line="360" w:lineRule="auto"/>
        <w:rPr>
          <w:rFonts w:hint="eastAsia" w:ascii="宋体" w:hAnsi="宋体"/>
          <w:color w:val="auto"/>
          <w:sz w:val="24"/>
          <w:highlight w:val="none"/>
        </w:rPr>
      </w:pPr>
    </w:p>
    <w:p>
      <w:pPr>
        <w:snapToGrid w:val="0"/>
        <w:spacing w:before="50" w:after="50" w:line="360" w:lineRule="auto"/>
        <w:rPr>
          <w:rFonts w:hint="eastAsia"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81"/>
        <w:ind w:left="0" w:leftChars="0" w:firstLine="0" w:firstLineChars="0"/>
        <w:rPr>
          <w:rFonts w:hint="eastAsia" w:hAnsi="宋体" w:eastAsia="宋体"/>
          <w:color w:val="auto"/>
          <w:sz w:val="24"/>
          <w:szCs w:val="24"/>
          <w:highlight w:val="none"/>
        </w:rPr>
      </w:pPr>
      <w:r>
        <w:rPr>
          <w:rFonts w:hint="eastAsia" w:hAnsi="宋体" w:eastAsia="宋体"/>
          <w:color w:val="auto"/>
          <w:sz w:val="24"/>
          <w:szCs w:val="24"/>
          <w:highlight w:val="none"/>
        </w:rPr>
        <w:t>投标人名称(公章)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pStyle w:val="81"/>
        <w:ind w:left="0" w:leftChars="0" w:firstLine="0" w:firstLineChars="0"/>
        <w:rPr>
          <w:rFonts w:hint="eastAsia" w:ascii="宋体" w:hAnsi="宋体" w:eastAsia="宋体"/>
          <w:b/>
          <w:color w:val="auto"/>
          <w:sz w:val="28"/>
          <w:szCs w:val="28"/>
          <w:highlight w:val="none"/>
          <w:lang w:val="en-US" w:eastAsia="zh-CN"/>
        </w:rPr>
      </w:pPr>
      <w:r>
        <w:rPr>
          <w:rFonts w:hint="eastAsia" w:hAnsi="宋体" w:eastAsia="宋体" w:cs="宋体"/>
          <w:color w:val="auto"/>
          <w:sz w:val="24"/>
          <w:szCs w:val="24"/>
          <w:highlight w:val="none"/>
        </w:rPr>
        <w:t>日期：_____年____月____</w:t>
      </w:r>
      <w:r>
        <w:rPr>
          <w:rFonts w:hint="eastAsia" w:hAnsi="宋体" w:cs="宋体"/>
          <w:color w:val="auto"/>
          <w:sz w:val="24"/>
          <w:szCs w:val="24"/>
          <w:highlight w:val="none"/>
          <w:lang w:val="en-US" w:eastAsia="zh-CN"/>
        </w:rPr>
        <w:t>日</w:t>
      </w:r>
    </w:p>
    <w:p>
      <w:pPr>
        <w:pStyle w:val="81"/>
        <w:ind w:firstLine="0" w:firstLineChars="0"/>
        <w:rPr>
          <w:rFonts w:hint="eastAsia" w:ascii="宋体" w:hAnsi="宋体"/>
          <w:b/>
          <w:color w:val="auto"/>
          <w:sz w:val="28"/>
          <w:szCs w:val="28"/>
          <w:highlight w:val="none"/>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24"/>
          <w:szCs w:val="24"/>
          <w:highlight w:val="none"/>
          <w:lang w:val="en-US" w:eastAsia="zh-CN" w:bidi="ar"/>
        </w:rPr>
      </w:pPr>
    </w:p>
    <w:p>
      <w:pPr>
        <w:spacing w:line="360" w:lineRule="auto"/>
        <w:jc w:val="both"/>
        <w:rPr>
          <w:rFonts w:hint="eastAsia"/>
          <w:b/>
          <w:color w:val="auto"/>
          <w:sz w:val="24"/>
          <w:highlight w:val="none"/>
        </w:rPr>
      </w:pPr>
    </w:p>
    <w:p>
      <w:pPr>
        <w:pStyle w:val="3"/>
        <w:rPr>
          <w:rFonts w:hint="eastAsia"/>
          <w:color w:val="auto"/>
          <w:highlight w:val="none"/>
        </w:rPr>
      </w:pPr>
    </w:p>
    <w:p>
      <w:pPr>
        <w:pStyle w:val="965"/>
        <w:pageBreakBefore w:val="0"/>
        <w:widowControl w:val="0"/>
        <w:topLinePunct w:val="0"/>
        <w:bidi w:val="0"/>
        <w:spacing w:line="276"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商务响应（偏离）表</w:t>
      </w:r>
    </w:p>
    <w:tbl>
      <w:tblPr>
        <w:tblStyle w:val="63"/>
        <w:tblpPr w:leftFromText="180" w:rightFromText="180" w:vertAnchor="text" w:horzAnchor="page" w:tblpX="1587" w:tblpY="325"/>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noWrap w:val="0"/>
            <w:vAlign w:val="top"/>
          </w:tcPr>
          <w:p>
            <w:pPr>
              <w:pageBreakBefore w:val="0"/>
              <w:widowControl w:val="0"/>
              <w:topLinePunct w:val="0"/>
              <w:bidi w:val="0"/>
              <w:spacing w:before="240" w:after="24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086"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采购文件的规定</w:t>
            </w:r>
          </w:p>
        </w:tc>
        <w:tc>
          <w:tcPr>
            <w:tcW w:w="3086"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投标</w:t>
            </w:r>
            <w:r>
              <w:rPr>
                <w:rFonts w:hint="eastAsia" w:ascii="宋体" w:hAnsi="宋体" w:eastAsia="宋体" w:cs="宋体"/>
                <w:b/>
                <w:bCs/>
                <w:color w:val="auto"/>
                <w:sz w:val="24"/>
                <w:highlight w:val="none"/>
              </w:rPr>
              <w:t>文件的响应</w:t>
            </w:r>
          </w:p>
        </w:tc>
        <w:tc>
          <w:tcPr>
            <w:tcW w:w="2107"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086" w:type="dxa"/>
            <w:tcBorders>
              <w:tl2br w:val="nil"/>
              <w:tr2bl w:val="nil"/>
            </w:tcBorders>
            <w:noWrap w:val="0"/>
            <w:vAlign w:val="center"/>
          </w:tcPr>
          <w:p>
            <w:pPr>
              <w:pageBreakBefore w:val="0"/>
              <w:widowControl w:val="0"/>
              <w:topLinePunct w:val="0"/>
              <w:bidi w:val="0"/>
              <w:spacing w:before="156" w:beforeLines="50" w:after="156" w:afterLines="50" w:line="300" w:lineRule="auto"/>
              <w:jc w:val="center"/>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086" w:type="dxa"/>
            <w:tcBorders>
              <w:tl2br w:val="nil"/>
              <w:tr2bl w:val="nil"/>
            </w:tcBorders>
            <w:noWrap w:val="0"/>
            <w:vAlign w:val="center"/>
          </w:tcPr>
          <w:p>
            <w:pPr>
              <w:pageBreakBefore w:val="0"/>
              <w:widowControl w:val="0"/>
              <w:topLinePunct w:val="0"/>
              <w:bidi w:val="0"/>
              <w:spacing w:before="156" w:beforeLines="50" w:after="156" w:afterLines="50" w:line="300" w:lineRule="auto"/>
              <w:jc w:val="center"/>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noWrap w:val="0"/>
            <w:vAlign w:val="center"/>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3086"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3086"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107"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r>
    </w:tbl>
    <w:p>
      <w:pPr>
        <w:pageBreakBefore w:val="0"/>
        <w:widowControl w:val="0"/>
        <w:topLinePunct w:val="0"/>
        <w:bidi w:val="0"/>
        <w:spacing w:line="360" w:lineRule="auto"/>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rPr>
        <w:t>供应商的响应文件（除技术规格部分）与采购文件之规定存在偏离的，应在此表中如实说明。未在上表中说明的，将被认为完全响应采购文件的规定。</w:t>
      </w:r>
    </w:p>
    <w:p>
      <w:pPr>
        <w:spacing w:line="400" w:lineRule="exact"/>
        <w:rPr>
          <w:rFonts w:hint="eastAsia" w:ascii="宋体" w:hAnsi="宋体"/>
          <w:color w:val="auto"/>
          <w:szCs w:val="21"/>
          <w:highlight w:val="none"/>
        </w:rPr>
      </w:pPr>
      <w:r>
        <w:rPr>
          <w:rFonts w:hint="eastAsia" w:ascii="宋体" w:hAnsi="宋体" w:eastAsia="宋体" w:cs="宋体"/>
          <w:b/>
          <w:color w:val="auto"/>
          <w:sz w:val="24"/>
          <w:highlight w:val="none"/>
          <w:lang w:val="en-US" w:eastAsia="zh-CN"/>
        </w:rPr>
        <w:t>2、上表中行数不够可自行添加</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olor w:val="auto"/>
          <w:highlight w:val="none"/>
          <w:lang w:val="en-US" w:eastAsia="zh-CN"/>
        </w:rPr>
      </w:pPr>
    </w:p>
    <w:p>
      <w:pPr>
        <w:rPr>
          <w:rFonts w:ascii="宋体" w:hAnsi="宋体"/>
          <w:color w:val="auto"/>
          <w:highlight w:val="none"/>
          <w:lang w:val="zh-CN"/>
        </w:rPr>
      </w:pPr>
    </w:p>
    <w:p>
      <w:pPr>
        <w:rPr>
          <w:rFonts w:ascii="宋体" w:hAnsi="宋体"/>
          <w:color w:val="auto"/>
          <w:highlight w:val="none"/>
          <w:lang w:val="zh-CN"/>
        </w:rPr>
      </w:pPr>
    </w:p>
    <w:p>
      <w:pPr>
        <w:rPr>
          <w:rFonts w:ascii="宋体" w:hAnsi="宋体"/>
          <w:color w:val="auto"/>
          <w:highlight w:val="none"/>
          <w:lang w:val="zh-CN"/>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5"/>
        <w:spacing w:line="360" w:lineRule="auto"/>
        <w:ind w:right="480"/>
        <w:rPr>
          <w:rFonts w:hint="eastAsia" w:hAnsi="宋体" w:eastAsia="宋体"/>
          <w:color w:val="auto"/>
          <w:sz w:val="24"/>
          <w:szCs w:val="24"/>
          <w:highlight w:val="none"/>
        </w:rPr>
      </w:pPr>
      <w:r>
        <w:rPr>
          <w:rFonts w:hint="eastAsia" w:hAnsi="宋体" w:eastAsia="宋体"/>
          <w:color w:val="auto"/>
          <w:sz w:val="24"/>
          <w:szCs w:val="24"/>
          <w:highlight w:val="none"/>
        </w:rPr>
        <w:t>投标人名称(公章)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pStyle w:val="965"/>
        <w:spacing w:line="360" w:lineRule="auto"/>
        <w:ind w:right="48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rPr>
        <w:t>日期：_____年____月____</w:t>
      </w:r>
      <w:r>
        <w:rPr>
          <w:rFonts w:hint="eastAsia" w:hAnsi="宋体" w:eastAsia="宋体" w:cs="宋体"/>
          <w:color w:val="auto"/>
          <w:sz w:val="24"/>
          <w:szCs w:val="24"/>
          <w:highlight w:val="none"/>
          <w:lang w:val="en-US" w:eastAsia="zh-CN"/>
        </w:rPr>
        <w:t>日</w:t>
      </w:r>
    </w:p>
    <w:p>
      <w:pPr>
        <w:pStyle w:val="965"/>
        <w:spacing w:line="360" w:lineRule="auto"/>
        <w:rPr>
          <w:rFonts w:hint="eastAsia" w:hAnsi="宋体" w:eastAsia="宋体"/>
          <w:b/>
          <w:color w:val="auto"/>
          <w:sz w:val="24"/>
          <w:highlight w:val="none"/>
        </w:rPr>
      </w:pPr>
    </w:p>
    <w:p>
      <w:pPr>
        <w:pStyle w:val="965"/>
        <w:spacing w:line="360" w:lineRule="auto"/>
        <w:ind w:right="480"/>
        <w:rPr>
          <w:rFonts w:hint="eastAsia" w:hAnsi="宋体" w:eastAsia="宋体"/>
          <w:color w:val="auto"/>
          <w:sz w:val="24"/>
          <w:szCs w:val="24"/>
          <w:highlight w:val="none"/>
        </w:rPr>
      </w:pPr>
    </w:p>
    <w:p>
      <w:pPr>
        <w:pStyle w:val="965"/>
        <w:spacing w:line="360" w:lineRule="auto"/>
        <w:rPr>
          <w:rFonts w:hint="eastAsia" w:hAnsi="宋体" w:eastAsia="宋体"/>
          <w:b/>
          <w:color w:val="auto"/>
          <w:sz w:val="24"/>
          <w:szCs w:val="24"/>
          <w:highlight w:val="none"/>
        </w:rPr>
      </w:pPr>
    </w:p>
    <w:p>
      <w:pPr>
        <w:pStyle w:val="2"/>
        <w:overflowPunct w:val="0"/>
        <w:ind w:firstLine="0"/>
        <w:jc w:val="center"/>
        <w:rPr>
          <w:rFonts w:hint="eastAsia" w:ascii="宋体" w:hAnsi="宋体"/>
          <w:b/>
          <w:color w:val="auto"/>
          <w:sz w:val="28"/>
          <w:szCs w:val="28"/>
          <w:highlight w:val="none"/>
        </w:rPr>
      </w:pPr>
    </w:p>
    <w:p>
      <w:pPr>
        <w:pStyle w:val="965"/>
        <w:spacing w:line="360" w:lineRule="auto"/>
        <w:ind w:right="480" w:firstLine="6000" w:firstLineChars="2500"/>
        <w:rPr>
          <w:rFonts w:hint="eastAsia" w:hAnsi="宋体" w:eastAsia="宋体" w:cs="宋体"/>
          <w:color w:val="auto"/>
          <w:sz w:val="24"/>
          <w:szCs w:val="24"/>
          <w:highlight w:val="none"/>
        </w:rPr>
      </w:pPr>
    </w:p>
    <w:p>
      <w:pPr>
        <w:pStyle w:val="965"/>
        <w:spacing w:line="360" w:lineRule="auto"/>
        <w:ind w:right="480" w:firstLine="6000" w:firstLineChars="2500"/>
        <w:rPr>
          <w:rFonts w:hint="eastAsia" w:hAnsi="宋体" w:eastAsia="宋体" w:cs="宋体"/>
          <w:color w:val="auto"/>
          <w:sz w:val="24"/>
          <w:szCs w:val="24"/>
          <w:highlight w:val="none"/>
        </w:rPr>
      </w:pPr>
    </w:p>
    <w:p>
      <w:pPr>
        <w:pStyle w:val="965"/>
        <w:spacing w:line="360" w:lineRule="auto"/>
        <w:ind w:right="480" w:firstLine="6000" w:firstLineChars="2500"/>
        <w:rPr>
          <w:rFonts w:hint="eastAsia" w:hAnsi="宋体" w:eastAsia="宋体" w:cs="宋体"/>
          <w:color w:val="auto"/>
          <w:sz w:val="24"/>
          <w:szCs w:val="24"/>
          <w:highlight w:val="none"/>
        </w:rPr>
      </w:pPr>
    </w:p>
    <w:p>
      <w:pPr>
        <w:pStyle w:val="965"/>
        <w:spacing w:line="360" w:lineRule="auto"/>
        <w:ind w:right="480" w:firstLine="6000" w:firstLineChars="2500"/>
        <w:rPr>
          <w:rFonts w:hint="eastAsia" w:hAnsi="宋体" w:eastAsia="宋体" w:cs="宋体"/>
          <w:color w:val="auto"/>
          <w:sz w:val="24"/>
          <w:szCs w:val="24"/>
          <w:highlight w:val="none"/>
        </w:rPr>
      </w:pPr>
    </w:p>
    <w:p>
      <w:pPr>
        <w:pStyle w:val="965"/>
        <w:spacing w:line="360" w:lineRule="auto"/>
        <w:ind w:right="480" w:firstLine="6000" w:firstLineChars="2500"/>
        <w:rPr>
          <w:rFonts w:hint="eastAsia" w:hAnsi="宋体" w:eastAsia="宋体" w:cs="宋体"/>
          <w:color w:val="auto"/>
          <w:sz w:val="24"/>
          <w:szCs w:val="24"/>
          <w:highlight w:val="none"/>
        </w:rPr>
      </w:pPr>
    </w:p>
    <w:p>
      <w:pPr>
        <w:pStyle w:val="965"/>
        <w:spacing w:line="360" w:lineRule="auto"/>
        <w:ind w:right="480" w:firstLine="6000" w:firstLineChars="2500"/>
        <w:rPr>
          <w:rFonts w:hint="eastAsia" w:hAnsi="宋体" w:eastAsia="宋体" w:cs="宋体"/>
          <w:color w:val="auto"/>
          <w:sz w:val="24"/>
          <w:szCs w:val="24"/>
          <w:highlight w:val="none"/>
        </w:rPr>
      </w:pPr>
    </w:p>
    <w:p>
      <w:pPr>
        <w:pStyle w:val="965"/>
        <w:spacing w:line="360" w:lineRule="auto"/>
        <w:ind w:right="480" w:firstLine="6000" w:firstLineChars="2500"/>
        <w:rPr>
          <w:rFonts w:hint="eastAsia" w:hAnsi="宋体" w:eastAsia="宋体" w:cs="宋体"/>
          <w:color w:val="auto"/>
          <w:sz w:val="24"/>
          <w:szCs w:val="24"/>
          <w:highlight w:val="none"/>
        </w:rPr>
      </w:pPr>
    </w:p>
    <w:p>
      <w:pPr>
        <w:pStyle w:val="965"/>
        <w:spacing w:line="360" w:lineRule="auto"/>
        <w:ind w:right="480"/>
        <w:jc w:val="center"/>
        <w:rPr>
          <w:rFonts w:hint="eastAsia" w:hAnsi="宋体" w:eastAsia="宋体" w:cs="宋体"/>
          <w:color w:val="auto"/>
          <w:sz w:val="44"/>
          <w:szCs w:val="44"/>
          <w:highlight w:val="none"/>
          <w:lang w:val="en-US" w:eastAsia="zh-CN"/>
        </w:rPr>
      </w:pPr>
      <w:r>
        <w:rPr>
          <w:rFonts w:hint="eastAsia" w:hAnsi="宋体" w:eastAsia="宋体" w:cs="宋体"/>
          <w:color w:val="auto"/>
          <w:sz w:val="44"/>
          <w:szCs w:val="44"/>
          <w:highlight w:val="none"/>
          <w:lang w:val="en-US" w:eastAsia="zh-CN"/>
        </w:rPr>
        <w:t>服务承诺</w:t>
      </w:r>
    </w:p>
    <w:p>
      <w:pPr>
        <w:pStyle w:val="965"/>
        <w:numPr>
          <w:ilvl w:val="0"/>
          <w:numId w:val="0"/>
        </w:numPr>
        <w:spacing w:line="360" w:lineRule="auto"/>
        <w:ind w:right="480" w:rightChars="0" w:firstLine="480" w:firstLineChars="200"/>
        <w:jc w:val="left"/>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1、我单位承诺，一旦我方中标，我们将根据招标文件的规定，提供不低于招标文件要求的服务和相关规定。</w:t>
      </w:r>
    </w:p>
    <w:p>
      <w:pPr>
        <w:pStyle w:val="965"/>
        <w:numPr>
          <w:ilvl w:val="0"/>
          <w:numId w:val="0"/>
        </w:numPr>
        <w:spacing w:line="360" w:lineRule="auto"/>
        <w:ind w:right="480" w:rightChars="0" w:firstLine="480" w:firstLineChars="200"/>
        <w:jc w:val="both"/>
        <w:rPr>
          <w:rFonts w:hint="default"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2、其他服务承诺：</w:t>
      </w: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pStyle w:val="965"/>
        <w:spacing w:line="360" w:lineRule="auto"/>
        <w:ind w:right="480"/>
        <w:rPr>
          <w:rFonts w:hint="eastAsia" w:hAnsi="宋体" w:eastAsia="宋体"/>
          <w:color w:val="auto"/>
          <w:sz w:val="24"/>
          <w:szCs w:val="24"/>
          <w:highlight w:val="none"/>
        </w:rPr>
      </w:pPr>
    </w:p>
    <w:p>
      <w:pPr>
        <w:pStyle w:val="965"/>
        <w:spacing w:line="360" w:lineRule="auto"/>
        <w:ind w:right="480"/>
        <w:rPr>
          <w:rFonts w:hint="eastAsia" w:hAnsi="宋体" w:eastAsia="宋体"/>
          <w:color w:val="auto"/>
          <w:sz w:val="24"/>
          <w:szCs w:val="24"/>
          <w:highlight w:val="none"/>
        </w:rPr>
      </w:pPr>
      <w:r>
        <w:rPr>
          <w:rFonts w:hint="eastAsia" w:hAnsi="宋体" w:eastAsia="宋体"/>
          <w:color w:val="auto"/>
          <w:sz w:val="24"/>
          <w:szCs w:val="24"/>
          <w:highlight w:val="none"/>
        </w:rPr>
        <w:t>投标人名称(公章)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snapToGrid w:val="0"/>
        <w:spacing w:before="120" w:beforeLines="50" w:after="50"/>
        <w:jc w:val="both"/>
        <w:rPr>
          <w:rFonts w:hint="eastAsia" w:ascii="宋体" w:hAnsi="宋体" w:eastAsia="宋体" w:cs="宋体"/>
          <w:b/>
          <w:color w:val="auto"/>
          <w:sz w:val="32"/>
          <w:szCs w:val="32"/>
          <w:highlight w:val="none"/>
          <w:lang w:val="en-US" w:eastAsia="zh-CN"/>
        </w:rPr>
      </w:pPr>
      <w:r>
        <w:rPr>
          <w:rFonts w:hint="eastAsia" w:hAnsi="宋体" w:eastAsia="宋体" w:cs="宋体"/>
          <w:color w:val="auto"/>
          <w:sz w:val="24"/>
          <w:szCs w:val="24"/>
          <w:highlight w:val="none"/>
        </w:rPr>
        <w:t>日期：_____年____月____</w:t>
      </w:r>
      <w:r>
        <w:rPr>
          <w:rFonts w:hint="eastAsia" w:hAnsi="宋体" w:eastAsia="宋体" w:cs="宋体"/>
          <w:color w:val="auto"/>
          <w:sz w:val="24"/>
          <w:szCs w:val="24"/>
          <w:highlight w:val="none"/>
          <w:lang w:val="en-US" w:eastAsia="zh-CN"/>
        </w:rPr>
        <w:t>日</w:t>
      </w: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both"/>
        <w:rPr>
          <w:rFonts w:hint="eastAsia" w:ascii="宋体" w:hAnsi="宋体" w:cs="宋体"/>
          <w:b/>
          <w:color w:val="auto"/>
          <w:sz w:val="32"/>
          <w:szCs w:val="32"/>
          <w:highlight w:val="none"/>
        </w:rPr>
      </w:pPr>
    </w:p>
    <w:p>
      <w:pPr>
        <w:snapToGrid w:val="0"/>
        <w:jc w:val="center"/>
        <w:rPr>
          <w:rFonts w:hint="eastAsia" w:ascii="宋体" w:hAnsi="宋体"/>
          <w:b/>
          <w:color w:val="auto"/>
          <w:sz w:val="24"/>
          <w:highlight w:val="none"/>
        </w:rPr>
      </w:pPr>
      <w:r>
        <w:rPr>
          <w:rFonts w:hint="eastAsia" w:ascii="宋体" w:hAnsi="宋体"/>
          <w:b/>
          <w:color w:val="auto"/>
          <w:sz w:val="32"/>
          <w:szCs w:val="32"/>
          <w:highlight w:val="none"/>
        </w:rPr>
        <w:t>中小企业声明函（货物）</w:t>
      </w:r>
    </w:p>
    <w:p>
      <w:pPr>
        <w:pStyle w:val="966"/>
        <w:snapToGrid w:val="0"/>
        <w:spacing w:line="480" w:lineRule="exact"/>
        <w:ind w:firstLine="494"/>
        <w:rPr>
          <w:rFonts w:hint="eastAsia" w:ascii="宋体" w:eastAsia="宋体"/>
          <w:bCs/>
          <w:color w:val="auto"/>
          <w:sz w:val="24"/>
          <w:szCs w:val="24"/>
          <w:highlight w:val="none"/>
        </w:rPr>
      </w:pPr>
      <w:r>
        <w:rPr>
          <w:rFonts w:hint="eastAsia" w:ascii="宋体" w:eastAsia="宋体"/>
          <w:bCs/>
          <w:color w:val="auto"/>
          <w:sz w:val="24"/>
          <w:szCs w:val="24"/>
          <w:highlight w:val="none"/>
        </w:rPr>
        <w:t>本公司</w:t>
      </w:r>
      <w:r>
        <w:rPr>
          <w:rFonts w:hint="eastAsia" w:ascii="宋体" w:eastAsia="宋体"/>
          <w:bCs/>
          <w:color w:val="auto"/>
          <w:sz w:val="24"/>
          <w:szCs w:val="24"/>
          <w:highlight w:val="none"/>
          <w:lang w:eastAsia="zh-CN"/>
        </w:rPr>
        <w:t>（联合体）</w:t>
      </w:r>
      <w:r>
        <w:rPr>
          <w:rFonts w:hint="eastAsia" w:ascii="宋体" w:eastAsia="宋体"/>
          <w:bCs/>
          <w:color w:val="auto"/>
          <w:sz w:val="24"/>
          <w:szCs w:val="24"/>
          <w:highlight w:val="none"/>
        </w:rPr>
        <w:t>郑重声明，根据《政府采购促进中小企业发展管理办法》（财库﹝2020﹞46 号）的规定，本公司</w:t>
      </w:r>
      <w:r>
        <w:rPr>
          <w:rFonts w:hint="eastAsia" w:ascii="宋体" w:eastAsia="宋体"/>
          <w:bCs/>
          <w:color w:val="auto"/>
          <w:sz w:val="24"/>
          <w:szCs w:val="24"/>
          <w:highlight w:val="none"/>
          <w:lang w:eastAsia="zh-CN"/>
        </w:rPr>
        <w:t>（联合体）</w:t>
      </w:r>
      <w:r>
        <w:rPr>
          <w:rFonts w:hint="eastAsia" w:ascii="宋体" w:eastAsia="宋体"/>
          <w:bCs/>
          <w:color w:val="auto"/>
          <w:sz w:val="24"/>
          <w:szCs w:val="24"/>
          <w:highlight w:val="none"/>
        </w:rPr>
        <w:t>参加</w:t>
      </w:r>
      <w:r>
        <w:rPr>
          <w:rFonts w:hint="eastAsia" w:ascii="宋体" w:eastAsia="宋体"/>
          <w:bCs/>
          <w:color w:val="auto"/>
          <w:sz w:val="24"/>
          <w:szCs w:val="24"/>
          <w:highlight w:val="none"/>
          <w:u w:val="single"/>
          <w:lang w:val="en-US" w:eastAsia="zh-CN"/>
        </w:rPr>
        <w:t xml:space="preserve">  </w:t>
      </w:r>
      <w:r>
        <w:rPr>
          <w:rFonts w:hint="eastAsia" w:ascii="宋体" w:eastAsia="宋体"/>
          <w:bCs/>
          <w:color w:val="auto"/>
          <w:sz w:val="24"/>
          <w:szCs w:val="24"/>
          <w:highlight w:val="none"/>
          <w:u w:val="single"/>
          <w:lang w:eastAsia="zh-CN"/>
        </w:rPr>
        <w:t>（单位名称）</w:t>
      </w:r>
      <w:r>
        <w:rPr>
          <w:rFonts w:hint="eastAsia" w:ascii="宋体" w:eastAsia="宋体"/>
          <w:bCs/>
          <w:color w:val="auto"/>
          <w:sz w:val="24"/>
          <w:szCs w:val="24"/>
          <w:highlight w:val="none"/>
          <w:u w:val="single"/>
          <w:lang w:val="en-US" w:eastAsia="zh-CN"/>
        </w:rPr>
        <w:t xml:space="preserve">  </w:t>
      </w:r>
      <w:r>
        <w:rPr>
          <w:rFonts w:hint="eastAsia" w:ascii="宋体" w:eastAsia="宋体"/>
          <w:bCs/>
          <w:color w:val="auto"/>
          <w:sz w:val="24"/>
          <w:szCs w:val="24"/>
          <w:highlight w:val="none"/>
          <w:lang w:eastAsia="zh-CN"/>
        </w:rPr>
        <w:t>的</w:t>
      </w:r>
      <w:r>
        <w:rPr>
          <w:rFonts w:hint="eastAsia" w:ascii="宋体" w:eastAsia="宋体"/>
          <w:bCs/>
          <w:color w:val="auto"/>
          <w:sz w:val="24"/>
          <w:szCs w:val="24"/>
          <w:highlight w:val="none"/>
          <w:u w:val="single"/>
        </w:rPr>
        <w:t xml:space="preserve">  （项目名称） </w:t>
      </w:r>
      <w:r>
        <w:rPr>
          <w:rFonts w:hint="eastAsia" w:ascii="宋体" w:eastAsia="宋体"/>
          <w:bCs/>
          <w:color w:val="auto"/>
          <w:sz w:val="24"/>
          <w:szCs w:val="24"/>
          <w:highlight w:val="none"/>
        </w:rPr>
        <w:t>采购活动，提供的货物由符合政策要求的中小企业制造。相关企业</w:t>
      </w:r>
      <w:r>
        <w:rPr>
          <w:rFonts w:hint="eastAsia" w:ascii="宋体" w:eastAsia="宋体"/>
          <w:bCs/>
          <w:color w:val="auto"/>
          <w:sz w:val="24"/>
          <w:szCs w:val="24"/>
          <w:highlight w:val="none"/>
          <w:lang w:eastAsia="zh-CN"/>
        </w:rPr>
        <w:t>（含联合体中的中小企业、签订分包意向协议的中小企业）</w:t>
      </w:r>
      <w:r>
        <w:rPr>
          <w:rFonts w:hint="eastAsia" w:ascii="宋体" w:eastAsia="宋体"/>
          <w:bCs/>
          <w:color w:val="auto"/>
          <w:sz w:val="24"/>
          <w:szCs w:val="24"/>
          <w:highlight w:val="none"/>
        </w:rPr>
        <w:t>的具体情况如下：</w:t>
      </w:r>
    </w:p>
    <w:p>
      <w:pPr>
        <w:pStyle w:val="966"/>
        <w:snapToGrid w:val="0"/>
        <w:spacing w:line="480" w:lineRule="exact"/>
        <w:ind w:firstLine="494"/>
        <w:rPr>
          <w:rFonts w:hint="eastAsia" w:ascii="宋体" w:eastAsia="宋体"/>
          <w:bCs/>
          <w:color w:val="auto"/>
          <w:sz w:val="24"/>
          <w:szCs w:val="24"/>
          <w:highlight w:val="none"/>
        </w:rPr>
      </w:pPr>
      <w:r>
        <w:rPr>
          <w:rFonts w:hint="eastAsia" w:ascii="宋体" w:eastAsia="宋体"/>
          <w:bCs/>
          <w:color w:val="auto"/>
          <w:sz w:val="24"/>
          <w:szCs w:val="24"/>
          <w:highlight w:val="none"/>
        </w:rPr>
        <w:t xml:space="preserve">1. </w:t>
      </w:r>
      <w:r>
        <w:rPr>
          <w:rFonts w:hint="eastAsia" w:ascii="宋体" w:eastAsia="宋体"/>
          <w:bCs/>
          <w:color w:val="auto"/>
          <w:sz w:val="24"/>
          <w:szCs w:val="24"/>
          <w:highlight w:val="none"/>
          <w:u w:val="single"/>
        </w:rPr>
        <w:t>（标的名称）</w:t>
      </w:r>
      <w:r>
        <w:rPr>
          <w:rFonts w:hint="eastAsia" w:ascii="宋体" w:eastAsia="宋体"/>
          <w:bCs/>
          <w:color w:val="auto"/>
          <w:sz w:val="24"/>
          <w:szCs w:val="24"/>
          <w:highlight w:val="none"/>
        </w:rPr>
        <w:t xml:space="preserve"> ，属于</w:t>
      </w:r>
      <w:r>
        <w:rPr>
          <w:rFonts w:hint="eastAsia" w:ascii="宋体" w:eastAsia="宋体"/>
          <w:bCs/>
          <w:color w:val="auto"/>
          <w:sz w:val="24"/>
          <w:szCs w:val="24"/>
          <w:highlight w:val="none"/>
          <w:u w:val="single"/>
        </w:rPr>
        <w:t xml:space="preserve"> （采购文件中明确的所属行业）</w:t>
      </w:r>
      <w:r>
        <w:rPr>
          <w:rFonts w:hint="eastAsia" w:ascii="宋体" w:eastAsia="宋体"/>
          <w:bCs/>
          <w:color w:val="auto"/>
          <w:sz w:val="24"/>
          <w:szCs w:val="24"/>
          <w:highlight w:val="none"/>
        </w:rPr>
        <w:t xml:space="preserve">行业 ；制造商为 </w:t>
      </w:r>
      <w:r>
        <w:rPr>
          <w:rFonts w:hint="eastAsia" w:ascii="宋体" w:eastAsia="宋体"/>
          <w:bCs/>
          <w:color w:val="auto"/>
          <w:sz w:val="24"/>
          <w:szCs w:val="24"/>
          <w:highlight w:val="none"/>
          <w:u w:val="single"/>
        </w:rPr>
        <w:t>（企业名称）</w:t>
      </w:r>
      <w:r>
        <w:rPr>
          <w:rFonts w:hint="eastAsia" w:ascii="宋体" w:eastAsia="宋体"/>
          <w:bCs/>
          <w:color w:val="auto"/>
          <w:sz w:val="24"/>
          <w:szCs w:val="24"/>
          <w:highlight w:val="none"/>
        </w:rPr>
        <w:t xml:space="preserve"> ，从业人员</w:t>
      </w:r>
      <w:r>
        <w:rPr>
          <w:rFonts w:hint="eastAsia" w:ascii="宋体" w:eastAsia="宋体"/>
          <w:bCs/>
          <w:color w:val="auto"/>
          <w:sz w:val="24"/>
          <w:szCs w:val="24"/>
          <w:highlight w:val="none"/>
          <w:u w:val="single"/>
        </w:rPr>
        <w:t xml:space="preserve">     </w:t>
      </w:r>
      <w:r>
        <w:rPr>
          <w:rFonts w:hint="eastAsia" w:ascii="宋体" w:eastAsia="宋体"/>
          <w:bCs/>
          <w:color w:val="auto"/>
          <w:sz w:val="24"/>
          <w:szCs w:val="24"/>
          <w:highlight w:val="none"/>
        </w:rPr>
        <w:t xml:space="preserve"> 人，营业收入为</w:t>
      </w:r>
      <w:r>
        <w:rPr>
          <w:rFonts w:hint="eastAsia" w:ascii="宋体" w:eastAsia="宋体"/>
          <w:bCs/>
          <w:color w:val="auto"/>
          <w:sz w:val="24"/>
          <w:szCs w:val="24"/>
          <w:highlight w:val="none"/>
          <w:u w:val="single"/>
        </w:rPr>
        <w:t xml:space="preserve">          </w:t>
      </w:r>
      <w:r>
        <w:rPr>
          <w:rFonts w:hint="eastAsia" w:ascii="宋体" w:eastAsia="宋体"/>
          <w:bCs/>
          <w:color w:val="auto"/>
          <w:sz w:val="24"/>
          <w:szCs w:val="24"/>
          <w:highlight w:val="none"/>
        </w:rPr>
        <w:t>万元，资产总额为</w:t>
      </w:r>
      <w:r>
        <w:rPr>
          <w:rFonts w:hint="eastAsia" w:ascii="宋体" w:eastAsia="宋体"/>
          <w:bCs/>
          <w:color w:val="auto"/>
          <w:sz w:val="24"/>
          <w:szCs w:val="24"/>
          <w:highlight w:val="none"/>
          <w:u w:val="single"/>
        </w:rPr>
        <w:t xml:space="preserve">          </w:t>
      </w:r>
      <w:r>
        <w:rPr>
          <w:rFonts w:hint="eastAsia" w:ascii="宋体" w:eastAsia="宋体"/>
          <w:bCs/>
          <w:color w:val="auto"/>
          <w:sz w:val="24"/>
          <w:szCs w:val="24"/>
          <w:highlight w:val="none"/>
        </w:rPr>
        <w:t xml:space="preserve">万元，属于 </w:t>
      </w:r>
      <w:r>
        <w:rPr>
          <w:rFonts w:hint="eastAsia" w:ascii="宋体" w:eastAsia="宋体"/>
          <w:bCs/>
          <w:color w:val="auto"/>
          <w:sz w:val="24"/>
          <w:szCs w:val="24"/>
          <w:highlight w:val="none"/>
          <w:u w:val="single"/>
        </w:rPr>
        <w:t>（中型企业、小型企业、微型企业）</w:t>
      </w:r>
      <w:r>
        <w:rPr>
          <w:rFonts w:hint="eastAsia" w:ascii="宋体" w:eastAsia="宋体"/>
          <w:bCs/>
          <w:color w:val="auto"/>
          <w:sz w:val="24"/>
          <w:szCs w:val="24"/>
          <w:highlight w:val="none"/>
        </w:rPr>
        <w:t xml:space="preserve"> ；</w:t>
      </w:r>
    </w:p>
    <w:p>
      <w:pPr>
        <w:pStyle w:val="966"/>
        <w:snapToGrid w:val="0"/>
        <w:spacing w:line="480" w:lineRule="exact"/>
        <w:ind w:firstLine="494"/>
        <w:rPr>
          <w:rFonts w:hint="eastAsia" w:ascii="宋体" w:eastAsia="宋体"/>
          <w:bCs/>
          <w:color w:val="auto"/>
          <w:sz w:val="24"/>
          <w:szCs w:val="24"/>
          <w:highlight w:val="none"/>
          <w:u w:val="single"/>
        </w:rPr>
      </w:pPr>
      <w:r>
        <w:rPr>
          <w:rFonts w:hint="eastAsia" w:ascii="宋体" w:eastAsia="宋体"/>
          <w:bCs/>
          <w:color w:val="auto"/>
          <w:sz w:val="24"/>
          <w:szCs w:val="24"/>
          <w:highlight w:val="none"/>
        </w:rPr>
        <w:t xml:space="preserve">2. </w:t>
      </w:r>
      <w:r>
        <w:rPr>
          <w:rFonts w:hint="eastAsia" w:ascii="宋体" w:eastAsia="宋体"/>
          <w:bCs/>
          <w:color w:val="auto"/>
          <w:sz w:val="24"/>
          <w:szCs w:val="24"/>
          <w:highlight w:val="none"/>
          <w:u w:val="single"/>
        </w:rPr>
        <w:t xml:space="preserve">（标的名称） </w:t>
      </w:r>
      <w:r>
        <w:rPr>
          <w:rFonts w:hint="eastAsia" w:ascii="宋体" w:eastAsia="宋体"/>
          <w:bCs/>
          <w:color w:val="auto"/>
          <w:sz w:val="24"/>
          <w:szCs w:val="24"/>
          <w:highlight w:val="none"/>
        </w:rPr>
        <w:t>，属于</w:t>
      </w:r>
      <w:r>
        <w:rPr>
          <w:rFonts w:hint="eastAsia" w:ascii="宋体" w:eastAsia="宋体"/>
          <w:bCs/>
          <w:color w:val="auto"/>
          <w:sz w:val="24"/>
          <w:szCs w:val="24"/>
          <w:highlight w:val="none"/>
          <w:u w:val="single"/>
        </w:rPr>
        <w:t xml:space="preserve"> （采购文件中明确的所属行业）</w:t>
      </w:r>
      <w:r>
        <w:rPr>
          <w:rFonts w:hint="eastAsia" w:ascii="宋体" w:eastAsia="宋体"/>
          <w:bCs/>
          <w:color w:val="auto"/>
          <w:sz w:val="24"/>
          <w:szCs w:val="24"/>
          <w:highlight w:val="none"/>
        </w:rPr>
        <w:t xml:space="preserve">行业 ；制造商为 </w:t>
      </w:r>
      <w:r>
        <w:rPr>
          <w:rFonts w:hint="eastAsia" w:ascii="宋体" w:eastAsia="宋体"/>
          <w:bCs/>
          <w:color w:val="auto"/>
          <w:sz w:val="24"/>
          <w:szCs w:val="24"/>
          <w:highlight w:val="none"/>
          <w:u w:val="single"/>
        </w:rPr>
        <w:t xml:space="preserve">（企业名称） </w:t>
      </w:r>
      <w:r>
        <w:rPr>
          <w:rFonts w:hint="eastAsia" w:ascii="宋体" w:eastAsia="宋体"/>
          <w:bCs/>
          <w:color w:val="auto"/>
          <w:sz w:val="24"/>
          <w:szCs w:val="24"/>
          <w:highlight w:val="none"/>
        </w:rPr>
        <w:t>，从业人员</w:t>
      </w:r>
      <w:r>
        <w:rPr>
          <w:rFonts w:hint="eastAsia" w:ascii="宋体" w:eastAsia="宋体"/>
          <w:bCs/>
          <w:color w:val="auto"/>
          <w:sz w:val="24"/>
          <w:szCs w:val="24"/>
          <w:highlight w:val="none"/>
          <w:u w:val="single"/>
        </w:rPr>
        <w:t xml:space="preserve">     </w:t>
      </w:r>
      <w:r>
        <w:rPr>
          <w:rFonts w:hint="eastAsia" w:ascii="宋体" w:eastAsia="宋体"/>
          <w:bCs/>
          <w:color w:val="auto"/>
          <w:sz w:val="24"/>
          <w:szCs w:val="24"/>
          <w:highlight w:val="none"/>
          <w:u w:val="single"/>
          <w:lang w:val="en-US" w:eastAsia="zh-CN"/>
        </w:rPr>
        <w:t xml:space="preserve"> </w:t>
      </w:r>
      <w:r>
        <w:rPr>
          <w:rFonts w:hint="eastAsia" w:ascii="宋体" w:eastAsia="宋体"/>
          <w:bCs/>
          <w:color w:val="auto"/>
          <w:sz w:val="24"/>
          <w:szCs w:val="24"/>
          <w:highlight w:val="none"/>
          <w:u w:val="single"/>
        </w:rPr>
        <w:t xml:space="preserve"> </w:t>
      </w:r>
      <w:r>
        <w:rPr>
          <w:rFonts w:hint="eastAsia" w:ascii="宋体" w:eastAsia="宋体"/>
          <w:bCs/>
          <w:color w:val="auto"/>
          <w:sz w:val="24"/>
          <w:szCs w:val="24"/>
          <w:highlight w:val="none"/>
        </w:rPr>
        <w:t>人，营业收入为</w:t>
      </w:r>
      <w:r>
        <w:rPr>
          <w:rFonts w:hint="eastAsia" w:ascii="宋体" w:eastAsia="宋体"/>
          <w:bCs/>
          <w:color w:val="auto"/>
          <w:sz w:val="24"/>
          <w:szCs w:val="24"/>
          <w:highlight w:val="none"/>
          <w:u w:val="single"/>
        </w:rPr>
        <w:t xml:space="preserve">      </w:t>
      </w:r>
      <w:r>
        <w:rPr>
          <w:rFonts w:hint="eastAsia" w:ascii="宋体" w:eastAsia="宋体"/>
          <w:bCs/>
          <w:color w:val="auto"/>
          <w:sz w:val="24"/>
          <w:szCs w:val="24"/>
          <w:highlight w:val="none"/>
          <w:u w:val="single"/>
          <w:lang w:val="en-US" w:eastAsia="zh-CN"/>
        </w:rPr>
        <w:t xml:space="preserve">    </w:t>
      </w:r>
      <w:r>
        <w:rPr>
          <w:rFonts w:hint="eastAsia" w:ascii="宋体" w:eastAsia="宋体"/>
          <w:bCs/>
          <w:color w:val="auto"/>
          <w:sz w:val="24"/>
          <w:szCs w:val="24"/>
          <w:highlight w:val="none"/>
          <w:u w:val="single"/>
        </w:rPr>
        <w:t xml:space="preserve"> </w:t>
      </w:r>
      <w:r>
        <w:rPr>
          <w:rFonts w:hint="eastAsia" w:ascii="宋体" w:eastAsia="宋体"/>
          <w:bCs/>
          <w:color w:val="auto"/>
          <w:sz w:val="24"/>
          <w:szCs w:val="24"/>
          <w:highlight w:val="none"/>
        </w:rPr>
        <w:t>万元，资产总额为</w:t>
      </w:r>
      <w:r>
        <w:rPr>
          <w:rFonts w:hint="eastAsia" w:ascii="宋体" w:eastAsia="宋体"/>
          <w:bCs/>
          <w:color w:val="auto"/>
          <w:sz w:val="24"/>
          <w:szCs w:val="24"/>
          <w:highlight w:val="none"/>
          <w:u w:val="single"/>
        </w:rPr>
        <w:t xml:space="preserve">          </w:t>
      </w:r>
      <w:r>
        <w:rPr>
          <w:rFonts w:hint="eastAsia" w:ascii="宋体" w:eastAsia="宋体"/>
          <w:bCs/>
          <w:color w:val="auto"/>
          <w:sz w:val="24"/>
          <w:szCs w:val="24"/>
          <w:highlight w:val="none"/>
        </w:rPr>
        <w:t>万元，属于</w:t>
      </w:r>
      <w:r>
        <w:rPr>
          <w:rFonts w:hint="eastAsia" w:ascii="宋体" w:eastAsia="宋体"/>
          <w:bCs/>
          <w:color w:val="auto"/>
          <w:sz w:val="24"/>
          <w:szCs w:val="24"/>
          <w:highlight w:val="none"/>
          <w:u w:val="single"/>
        </w:rPr>
        <w:t xml:space="preserve"> （中型企业、小型企业、微型企业）</w:t>
      </w:r>
      <w:r>
        <w:rPr>
          <w:rFonts w:hint="eastAsia" w:ascii="宋体" w:eastAsia="宋体"/>
          <w:bCs/>
          <w:color w:val="auto"/>
          <w:sz w:val="24"/>
          <w:szCs w:val="24"/>
          <w:highlight w:val="none"/>
        </w:rPr>
        <w:t xml:space="preserve"> ；</w:t>
      </w:r>
    </w:p>
    <w:p>
      <w:pPr>
        <w:pStyle w:val="966"/>
        <w:snapToGrid w:val="0"/>
        <w:spacing w:line="480" w:lineRule="exact"/>
        <w:ind w:firstLine="494"/>
        <w:rPr>
          <w:rFonts w:ascii="宋体" w:eastAsia="宋体"/>
          <w:bCs/>
          <w:color w:val="auto"/>
          <w:sz w:val="24"/>
          <w:szCs w:val="24"/>
          <w:highlight w:val="none"/>
        </w:rPr>
      </w:pPr>
      <w:r>
        <w:rPr>
          <w:rFonts w:hint="eastAsia" w:ascii="宋体" w:eastAsia="宋体"/>
          <w:bCs/>
          <w:color w:val="auto"/>
          <w:sz w:val="24"/>
          <w:szCs w:val="24"/>
          <w:highlight w:val="none"/>
        </w:rPr>
        <w:t>……</w:t>
      </w:r>
    </w:p>
    <w:p>
      <w:pPr>
        <w:pStyle w:val="966"/>
        <w:snapToGrid w:val="0"/>
        <w:spacing w:line="480" w:lineRule="exact"/>
        <w:ind w:firstLine="494"/>
        <w:rPr>
          <w:rFonts w:hint="eastAsia" w:ascii="宋体" w:eastAsia="宋体"/>
          <w:bCs/>
          <w:color w:val="auto"/>
          <w:sz w:val="24"/>
          <w:szCs w:val="24"/>
          <w:highlight w:val="none"/>
        </w:rPr>
      </w:pPr>
      <w:r>
        <w:rPr>
          <w:rFonts w:hint="eastAsia" w:ascii="宋体" w:eastAsia="宋体"/>
          <w:bCs/>
          <w:color w:val="auto"/>
          <w:sz w:val="24"/>
          <w:szCs w:val="24"/>
          <w:highlight w:val="none"/>
        </w:rPr>
        <w:t>以上企业，不属于大中企业的分支机构，不存在控股股东为大中企业的情形，也不存在与大中企业的负责人为同一人的情形。</w:t>
      </w:r>
    </w:p>
    <w:p>
      <w:pPr>
        <w:pStyle w:val="966"/>
        <w:snapToGrid w:val="0"/>
        <w:spacing w:line="480" w:lineRule="exact"/>
        <w:ind w:firstLine="494"/>
        <w:rPr>
          <w:rFonts w:hint="eastAsia"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6"/>
        <w:snapToGrid w:val="0"/>
        <w:ind w:firstLine="494"/>
        <w:rPr>
          <w:rFonts w:hint="eastAsia" w:ascii="宋体" w:eastAsia="宋体"/>
          <w:bCs/>
          <w:color w:val="auto"/>
          <w:sz w:val="24"/>
          <w:szCs w:val="24"/>
          <w:highlight w:val="none"/>
        </w:rPr>
      </w:pPr>
    </w:p>
    <w:p>
      <w:pPr>
        <w:pStyle w:val="966"/>
        <w:snapToGrid w:val="0"/>
        <w:ind w:firstLine="4809" w:firstLineChars="2004"/>
        <w:rPr>
          <w:rFonts w:hint="eastAsia"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6"/>
        <w:snapToGrid w:val="0"/>
        <w:ind w:firstLine="4809" w:firstLineChars="2004"/>
        <w:rPr>
          <w:rFonts w:hint="eastAsia"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年</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月</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日</w:t>
      </w:r>
    </w:p>
    <w:p>
      <w:pPr>
        <w:pStyle w:val="966"/>
        <w:snapToGrid w:val="0"/>
        <w:spacing w:line="240" w:lineRule="auto"/>
        <w:ind w:firstLine="0" w:firstLineChars="0"/>
        <w:rPr>
          <w:rFonts w:hint="eastAsia" w:ascii="宋体" w:eastAsia="宋体"/>
          <w:bCs/>
          <w:color w:val="auto"/>
          <w:sz w:val="24"/>
          <w:szCs w:val="24"/>
          <w:highlight w:val="none"/>
        </w:rPr>
      </w:pPr>
    </w:p>
    <w:p>
      <w:pPr>
        <w:pStyle w:val="966"/>
        <w:snapToGrid w:val="0"/>
        <w:spacing w:line="240" w:lineRule="auto"/>
        <w:ind w:firstLine="0" w:firstLineChars="0"/>
        <w:rPr>
          <w:rFonts w:hint="eastAsia" w:ascii="宋体" w:eastAsia="宋体"/>
          <w:bCs/>
          <w:color w:val="auto"/>
          <w:sz w:val="24"/>
          <w:szCs w:val="24"/>
          <w:highlight w:val="none"/>
        </w:rPr>
      </w:pPr>
    </w:p>
    <w:p>
      <w:pPr>
        <w:pStyle w:val="966"/>
        <w:snapToGrid w:val="0"/>
        <w:spacing w:line="240" w:lineRule="auto"/>
        <w:ind w:firstLine="0" w:firstLineChars="0"/>
        <w:rPr>
          <w:rFonts w:hint="eastAsia" w:ascii="宋体" w:eastAsia="宋体"/>
          <w:bCs/>
          <w:color w:val="auto"/>
          <w:sz w:val="24"/>
          <w:szCs w:val="24"/>
          <w:highlight w:val="none"/>
        </w:rPr>
      </w:pPr>
      <w:r>
        <w:rPr>
          <w:rFonts w:hint="eastAsia" w:ascii="宋体" w:eastAsia="宋体"/>
          <w:bCs/>
          <w:color w:val="auto"/>
          <w:sz w:val="24"/>
          <w:szCs w:val="24"/>
          <w:highlight w:val="none"/>
        </w:rPr>
        <w:t>注：</w:t>
      </w:r>
    </w:p>
    <w:p>
      <w:pPr>
        <w:pStyle w:val="966"/>
        <w:snapToGrid w:val="0"/>
        <w:spacing w:line="240" w:lineRule="auto"/>
        <w:ind w:firstLine="0" w:firstLineChars="0"/>
        <w:rPr>
          <w:rFonts w:hint="eastAsia" w:ascii="宋体" w:eastAsia="宋体"/>
          <w:bCs/>
          <w:color w:val="auto"/>
          <w:sz w:val="24"/>
          <w:szCs w:val="24"/>
          <w:highlight w:val="none"/>
          <w:lang w:eastAsia="zh-CN"/>
        </w:rPr>
      </w:pPr>
      <w:r>
        <w:rPr>
          <w:rFonts w:hint="eastAsia" w:ascii="宋体" w:eastAsia="宋体"/>
          <w:bCs/>
          <w:color w:val="auto"/>
          <w:sz w:val="24"/>
          <w:szCs w:val="24"/>
          <w:highlight w:val="none"/>
        </w:rPr>
        <w:t>1.从业人员、营业收入、资产总额填报上一年度数据，无上一年度数据的新成立企业可不填报</w:t>
      </w:r>
      <w:r>
        <w:rPr>
          <w:rFonts w:hint="eastAsia" w:ascii="宋体" w:eastAsia="宋体"/>
          <w:bCs/>
          <w:color w:val="auto"/>
          <w:sz w:val="24"/>
          <w:szCs w:val="24"/>
          <w:highlight w:val="none"/>
          <w:lang w:eastAsia="zh-CN"/>
        </w:rPr>
        <w:t>；</w:t>
      </w:r>
    </w:p>
    <w:p>
      <w:pPr>
        <w:pStyle w:val="966"/>
        <w:snapToGrid w:val="0"/>
        <w:spacing w:line="240" w:lineRule="auto"/>
        <w:ind w:firstLine="0" w:firstLineChars="0"/>
        <w:rPr>
          <w:rFonts w:hint="eastAsia" w:ascii="宋体" w:eastAsia="宋体" w:cs="Times New Roman"/>
          <w:bCs/>
          <w:color w:val="auto"/>
          <w:sz w:val="24"/>
          <w:szCs w:val="24"/>
          <w:highlight w:val="none"/>
          <w:lang w:eastAsia="zh-CN"/>
        </w:rPr>
      </w:pPr>
      <w:r>
        <w:rPr>
          <w:rFonts w:hint="eastAsia" w:ascii="宋体" w:eastAsia="宋体" w:cs="Times New Roman"/>
          <w:bCs/>
          <w:color w:val="auto"/>
          <w:sz w:val="24"/>
          <w:szCs w:val="24"/>
          <w:highlight w:val="none"/>
        </w:rPr>
        <w:t>2.本项目中小企业政策所属行业为</w:t>
      </w:r>
      <w:r>
        <w:rPr>
          <w:rFonts w:hint="eastAsia" w:ascii="宋体" w:eastAsia="宋体" w:cs="Times New Roman"/>
          <w:b/>
          <w:bCs w:val="0"/>
          <w:color w:val="auto"/>
          <w:sz w:val="24"/>
          <w:szCs w:val="24"/>
          <w:highlight w:val="none"/>
          <w:lang w:val="en-US" w:eastAsia="zh-CN"/>
        </w:rPr>
        <w:t>工业（制造业）</w:t>
      </w:r>
      <w:r>
        <w:rPr>
          <w:rFonts w:hint="eastAsia" w:ascii="宋体" w:eastAsia="宋体" w:cs="Times New Roman"/>
          <w:bCs/>
          <w:color w:val="auto"/>
          <w:sz w:val="24"/>
          <w:szCs w:val="24"/>
          <w:highlight w:val="none"/>
          <w:lang w:eastAsia="zh-CN"/>
        </w:rPr>
        <w:t>；</w:t>
      </w:r>
    </w:p>
    <w:p>
      <w:pPr>
        <w:pStyle w:val="966"/>
        <w:snapToGrid w:val="0"/>
        <w:spacing w:line="240" w:lineRule="auto"/>
        <w:ind w:firstLine="0" w:firstLineChars="0"/>
        <w:rPr>
          <w:rFonts w:hint="eastAsia" w:ascii="宋体" w:eastAsia="宋体" w:cs="Times New Roman"/>
          <w:bCs/>
          <w:color w:val="auto"/>
          <w:sz w:val="24"/>
          <w:szCs w:val="24"/>
          <w:highlight w:val="none"/>
          <w:lang w:val="en-US" w:eastAsia="zh-CN"/>
        </w:rPr>
      </w:pPr>
      <w:r>
        <w:rPr>
          <w:rFonts w:hint="eastAsia" w:ascii="宋体" w:eastAsia="宋体" w:cs="Times New Roman"/>
          <w:bCs/>
          <w:color w:val="auto"/>
          <w:sz w:val="24"/>
          <w:szCs w:val="24"/>
          <w:highlight w:val="none"/>
          <w:lang w:val="en-US" w:eastAsia="zh-CN"/>
        </w:rPr>
        <w:t>3.符合《关于促进残疾人就业政府采购政策的通知》（财库〔2017〕141号）规定的条件并提供《残疾人福利性单位声明函》的残疾人福利性单位视同小型、微型企业；</w:t>
      </w:r>
    </w:p>
    <w:p>
      <w:pPr>
        <w:pStyle w:val="966"/>
        <w:snapToGrid w:val="0"/>
        <w:spacing w:line="240" w:lineRule="auto"/>
        <w:ind w:firstLine="0" w:firstLineChars="0"/>
        <w:rPr>
          <w:rFonts w:hint="default" w:ascii="宋体" w:eastAsia="宋体" w:cs="Times New Roman"/>
          <w:bCs/>
          <w:color w:val="auto"/>
          <w:sz w:val="24"/>
          <w:szCs w:val="24"/>
          <w:highlight w:val="none"/>
          <w:lang w:val="en-US" w:eastAsia="zh-CN"/>
        </w:rPr>
      </w:pPr>
      <w:r>
        <w:rPr>
          <w:rFonts w:hint="eastAsia" w:ascii="宋体" w:eastAsia="宋体" w:cs="Times New Roman"/>
          <w:bCs/>
          <w:color w:val="auto"/>
          <w:sz w:val="24"/>
          <w:szCs w:val="24"/>
          <w:highlight w:val="none"/>
          <w:lang w:val="en-US" w:eastAsia="zh-CN"/>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p>
    <w:p>
      <w:pPr>
        <w:snapToGrid w:val="0"/>
        <w:jc w:val="center"/>
        <w:rPr>
          <w:rFonts w:hint="eastAsia" w:ascii="宋体" w:hAnsi="宋体"/>
          <w:b/>
          <w:bCs/>
          <w:color w:val="auto"/>
          <w:sz w:val="24"/>
          <w:highlight w:val="none"/>
        </w:rPr>
      </w:pPr>
      <w:r>
        <w:rPr>
          <w:rFonts w:hint="eastAsia" w:ascii="宋体" w:hAnsi="宋体"/>
          <w:b/>
          <w:bCs/>
          <w:color w:val="auto"/>
          <w:sz w:val="24"/>
          <w:highlight w:val="none"/>
        </w:rPr>
        <w:t>监狱和戒毒企业证明材料</w:t>
      </w:r>
    </w:p>
    <w:p>
      <w:pPr>
        <w:pStyle w:val="967"/>
        <w:snapToGrid w:val="0"/>
        <w:jc w:val="center"/>
        <w:rPr>
          <w:rFonts w:hint="eastAsia" w:ascii="宋体" w:hAnsi="宋体"/>
          <w:b/>
          <w:color w:val="auto"/>
          <w:sz w:val="24"/>
          <w:highlight w:val="none"/>
          <w:lang w:val="en-GB"/>
        </w:rPr>
      </w:pP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ind w:firstLine="480" w:firstLineChars="200"/>
        <w:rPr>
          <w:rFonts w:hint="eastAsia" w:ascii="宋体" w:hAnsi="宋体"/>
          <w:color w:val="auto"/>
          <w:sz w:val="24"/>
          <w:highlight w:val="none"/>
        </w:rPr>
      </w:pPr>
    </w:p>
    <w:p>
      <w:pPr>
        <w:snapToGrid w:val="0"/>
        <w:jc w:val="center"/>
        <w:rPr>
          <w:rFonts w:hint="eastAsia" w:ascii="宋体" w:hAnsi="宋体"/>
          <w:b/>
          <w:color w:val="auto"/>
          <w:spacing w:val="6"/>
          <w:sz w:val="24"/>
          <w:highlight w:val="none"/>
        </w:rPr>
      </w:pPr>
    </w:p>
    <w:p>
      <w:pPr>
        <w:snapToGrid w:val="0"/>
        <w:jc w:val="center"/>
        <w:rPr>
          <w:rFonts w:hint="eastAsia" w:ascii="宋体" w:hAnsi="宋体"/>
          <w:b/>
          <w:bCs/>
          <w:color w:val="auto"/>
          <w:sz w:val="24"/>
          <w:highlight w:val="none"/>
        </w:rPr>
      </w:pPr>
      <w:r>
        <w:rPr>
          <w:rFonts w:hint="eastAsia" w:ascii="宋体" w:hAnsi="宋体"/>
          <w:b/>
          <w:bCs/>
          <w:color w:val="auto"/>
          <w:sz w:val="24"/>
          <w:highlight w:val="none"/>
        </w:rPr>
        <w:t>残疾人福利性单位声明函</w:t>
      </w:r>
    </w:p>
    <w:p>
      <w:pPr>
        <w:snapToGrid w:val="0"/>
        <w:rPr>
          <w:rFonts w:hint="eastAsia" w:ascii="宋体" w:hAnsi="宋体"/>
          <w:b/>
          <w:color w:val="auto"/>
          <w:spacing w:val="6"/>
          <w:sz w:val="24"/>
          <w:highlight w:val="none"/>
        </w:rPr>
      </w:pP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napToGrid w:val="0"/>
        <w:spacing w:line="480" w:lineRule="exact"/>
        <w:rPr>
          <w:rFonts w:hint="eastAsia" w:ascii="宋体" w:hAnsi="宋体"/>
          <w:color w:val="auto"/>
          <w:sz w:val="24"/>
          <w:highlight w:val="none"/>
        </w:rPr>
      </w:pPr>
    </w:p>
    <w:p>
      <w:pPr>
        <w:snapToGrid w:val="0"/>
        <w:rPr>
          <w:rFonts w:hint="eastAsia" w:ascii="宋体" w:hAnsi="宋体"/>
          <w:color w:val="auto"/>
          <w:sz w:val="24"/>
          <w:highlight w:val="none"/>
        </w:rPr>
      </w:pPr>
    </w:p>
    <w:p>
      <w:pPr>
        <w:snapToGrid w:val="0"/>
        <w:ind w:firstLine="5520" w:firstLineChars="2300"/>
        <w:rPr>
          <w:rFonts w:ascii="宋体" w:hAnsi="宋体"/>
          <w:color w:val="auto"/>
          <w:sz w:val="24"/>
          <w:highlight w:val="none"/>
        </w:rPr>
      </w:pPr>
      <w:r>
        <w:rPr>
          <w:rFonts w:hint="eastAsia" w:ascii="宋体" w:hAnsi="宋体"/>
          <w:color w:val="auto"/>
          <w:sz w:val="24"/>
          <w:highlight w:val="none"/>
        </w:rPr>
        <w:t>投标人（盖章）：</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rPr>
          <w:rFonts w:hint="eastAsia" w:ascii="宋体" w:hAnsi="宋体"/>
          <w:color w:val="auto"/>
          <w:sz w:val="24"/>
          <w:highlight w:val="none"/>
        </w:rPr>
      </w:pPr>
    </w:p>
    <w:p>
      <w:pPr>
        <w:snapToGrid w:val="0"/>
        <w:spacing w:before="120" w:beforeLines="50" w:after="50"/>
        <w:jc w:val="center"/>
        <w:rPr>
          <w:rFonts w:hint="eastAsia" w:ascii="宋体" w:hAnsi="宋体" w:cs="宋体"/>
          <w:b/>
          <w:color w:val="auto"/>
          <w:sz w:val="32"/>
          <w:szCs w:val="32"/>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投标函</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（采购人）：  </w:t>
      </w:r>
    </w:p>
    <w:p>
      <w:pPr>
        <w:snapToGrid w:val="0"/>
        <w:spacing w:before="120" w:beforeLines="50" w:after="50" w:line="360" w:lineRule="auto"/>
        <w:ind w:firstLine="480" w:firstLineChars="200"/>
        <w:rPr>
          <w:rFonts w:hint="eastAsia" w:ascii="宋体" w:hAnsi="宋体" w:cs="宋体"/>
          <w:bCs/>
          <w:color w:val="auto"/>
          <w:sz w:val="24"/>
          <w:szCs w:val="20"/>
          <w:highlight w:val="none"/>
        </w:rPr>
      </w:pPr>
      <w:r>
        <w:rPr>
          <w:rFonts w:hint="eastAsia" w:ascii="宋体" w:hAnsi="宋体" w:cs="宋体"/>
          <w:color w:val="auto"/>
          <w:sz w:val="24"/>
          <w:highlight w:val="none"/>
        </w:rPr>
        <w:t>根据贵方为</w:t>
      </w:r>
      <w:r>
        <w:rPr>
          <w:rFonts w:hint="eastAsia" w:ascii="宋体" w:hAnsi="宋体" w:cs="宋体"/>
          <w:bCs/>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（投标人名称）提交电子版投标文件（资格响应文件、商务技术响应文件、报价响应文件）。</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3.本投标有效期自开标日起 ______个日。</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电话：_____________</w:t>
      </w:r>
    </w:p>
    <w:p>
      <w:pPr>
        <w:snapToGrid w:val="0"/>
        <w:spacing w:line="360" w:lineRule="auto"/>
        <w:rPr>
          <w:rFonts w:hint="eastAsia" w:ascii="宋体" w:hAnsi="宋体" w:cs="宋体"/>
          <w:color w:val="auto"/>
          <w:sz w:val="24"/>
          <w:highlight w:val="none"/>
          <w:u w:val="single"/>
        </w:rPr>
      </w:pPr>
      <w:r>
        <w:rPr>
          <w:rFonts w:hint="eastAsia" w:ascii="宋体" w:hAnsi="宋体" w:cs="宋体"/>
          <w:color w:val="auto"/>
          <w:sz w:val="24"/>
          <w:highlight w:val="none"/>
        </w:rPr>
        <w:t>传真：______________投标人代表姓名：__________  职务：</w:t>
      </w:r>
      <w:r>
        <w:rPr>
          <w:rFonts w:hint="eastAsia" w:ascii="宋体" w:hAnsi="宋体" w:cs="宋体"/>
          <w:color w:val="auto"/>
          <w:sz w:val="24"/>
          <w:highlight w:val="none"/>
          <w:u w:val="single"/>
        </w:rPr>
        <w:t xml:space="preserve">               </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投标人名称(公章):___________________</w:t>
      </w:r>
    </w:p>
    <w:p>
      <w:pPr>
        <w:snapToGrid w:val="0"/>
        <w:spacing w:line="360" w:lineRule="auto"/>
        <w:rPr>
          <w:rFonts w:hint="eastAsia" w:ascii="宋体" w:hAnsi="宋体" w:cs="宋体"/>
          <w:color w:val="auto"/>
          <w:sz w:val="24"/>
          <w:szCs w:val="20"/>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银行帐号：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法定代表人或授权委托人（签名）：            投标人（加盖公章）：          </w:t>
      </w:r>
    </w:p>
    <w:p>
      <w:pPr>
        <w:snapToGrid w:val="0"/>
        <w:spacing w:line="360" w:lineRule="auto"/>
        <w:ind w:firstLine="5040" w:firstLineChars="2100"/>
        <w:rPr>
          <w:rFonts w:hint="eastAsia" w:ascii="宋体" w:hAnsi="宋体" w:cs="宋体"/>
          <w:color w:val="auto"/>
          <w:sz w:val="24"/>
          <w:highlight w:val="none"/>
        </w:rPr>
      </w:pPr>
    </w:p>
    <w:p>
      <w:pPr>
        <w:snapToGrid w:val="0"/>
        <w:spacing w:line="360" w:lineRule="auto"/>
        <w:ind w:firstLine="5040" w:firstLineChars="2100"/>
        <w:rPr>
          <w:rFonts w:hint="eastAsia"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snapToGrid w:val="0"/>
        <w:spacing w:before="50" w:after="50"/>
        <w:rPr>
          <w:rFonts w:hint="eastAsia" w:ascii="宋体" w:hAnsi="宋体" w:cs="宋体"/>
          <w:color w:val="auto"/>
          <w:highlight w:val="none"/>
        </w:rPr>
      </w:pPr>
    </w:p>
    <w:p>
      <w:pPr>
        <w:pStyle w:val="23"/>
        <w:rPr>
          <w:rFonts w:hint="eastAsia" w:ascii="宋体" w:hAnsi="宋体" w:cs="宋体"/>
          <w:color w:val="auto"/>
          <w:highlight w:val="none"/>
        </w:rPr>
      </w:pPr>
    </w:p>
    <w:p>
      <w:pPr>
        <w:pStyle w:val="23"/>
        <w:rPr>
          <w:rFonts w:hint="eastAsia" w:ascii="宋体" w:hAnsi="宋体" w:cs="宋体"/>
          <w:color w:val="auto"/>
          <w:highlight w:val="none"/>
        </w:rPr>
      </w:pPr>
    </w:p>
    <w:bookmarkEnd w:id="35"/>
    <w:p>
      <w:pPr>
        <w:snapToGrid w:val="0"/>
        <w:spacing w:before="50" w:after="50"/>
        <w:jc w:val="center"/>
        <w:rPr>
          <w:rFonts w:hint="eastAsia" w:ascii="宋体" w:hAnsi="宋体" w:cs="宋体"/>
          <w:b/>
          <w:color w:val="auto"/>
          <w:sz w:val="24"/>
          <w:highlight w:val="none"/>
        </w:rPr>
      </w:pPr>
      <w:r>
        <w:rPr>
          <w:rFonts w:hint="eastAsia" w:ascii="宋体" w:hAnsi="宋体" w:cs="宋体"/>
          <w:b/>
          <w:color w:val="auto"/>
          <w:sz w:val="24"/>
          <w:highlight w:val="none"/>
        </w:rPr>
        <w:t>开标一览表</w:t>
      </w:r>
    </w:p>
    <w:p>
      <w:pPr>
        <w:snapToGrid w:val="0"/>
        <w:spacing w:before="50" w:after="50"/>
        <w:jc w:val="center"/>
        <w:rPr>
          <w:rFonts w:hint="eastAsia" w:ascii="宋体" w:hAnsi="宋体" w:cs="宋体"/>
          <w:b/>
          <w:color w:val="auto"/>
          <w:sz w:val="24"/>
          <w:szCs w:val="20"/>
          <w:highlight w:val="none"/>
        </w:rPr>
      </w:pPr>
    </w:p>
    <w:p>
      <w:pPr>
        <w:snapToGrid w:val="0"/>
        <w:spacing w:before="50" w:after="50"/>
        <w:ind w:right="48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50" w:after="50"/>
        <w:ind w:right="480"/>
        <w:jc w:val="right"/>
        <w:rPr>
          <w:rFonts w:hint="eastAsia" w:ascii="宋体" w:hAnsi="宋体" w:cs="宋体"/>
          <w:color w:val="auto"/>
          <w:sz w:val="24"/>
          <w:highlight w:val="none"/>
        </w:rPr>
      </w:pPr>
      <w:r>
        <w:rPr>
          <w:rFonts w:hint="eastAsia" w:ascii="宋体" w:hAnsi="宋体" w:cs="宋体"/>
          <w:color w:val="auto"/>
          <w:sz w:val="24"/>
          <w:highlight w:val="none"/>
        </w:rPr>
        <w:t xml:space="preserve">            </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2"/>
        <w:gridCol w:w="3588"/>
        <w:gridCol w:w="37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7" w:hRule="atLeast"/>
        </w:trPr>
        <w:tc>
          <w:tcPr>
            <w:tcW w:w="10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eastAsia="仿宋_GB2312"/>
                <w:b/>
                <w:color w:val="auto"/>
                <w:szCs w:val="21"/>
                <w:highlight w:val="none"/>
                <w:lang w:val="en-US" w:eastAsia="zh-CN"/>
              </w:rPr>
            </w:pPr>
            <w:r>
              <w:rPr>
                <w:rFonts w:hint="eastAsia" w:eastAsia="仿宋_GB2312"/>
                <w:b/>
                <w:color w:val="auto"/>
                <w:szCs w:val="21"/>
                <w:highlight w:val="none"/>
                <w:lang w:val="en-US" w:eastAsia="zh-CN"/>
              </w:rPr>
              <w:t>序号</w:t>
            </w:r>
          </w:p>
        </w:tc>
        <w:tc>
          <w:tcPr>
            <w:tcW w:w="35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eastAsia="仿宋_GB2312"/>
                <w:b/>
                <w:color w:val="auto"/>
                <w:szCs w:val="21"/>
                <w:highlight w:val="none"/>
                <w:lang w:val="en-US" w:eastAsia="zh-CN"/>
              </w:rPr>
            </w:pPr>
            <w:r>
              <w:rPr>
                <w:rFonts w:hint="eastAsia" w:eastAsia="仿宋_GB2312"/>
                <w:b/>
                <w:color w:val="auto"/>
                <w:szCs w:val="21"/>
                <w:highlight w:val="none"/>
                <w:lang w:val="en-US" w:eastAsia="zh-CN"/>
              </w:rPr>
              <w:t>名称</w:t>
            </w:r>
          </w:p>
        </w:tc>
        <w:tc>
          <w:tcPr>
            <w:tcW w:w="37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eastAsia="仿宋_GB2312"/>
                <w:b/>
                <w:color w:val="auto"/>
                <w:szCs w:val="21"/>
                <w:highlight w:val="none"/>
                <w:lang w:val="en-US" w:eastAsia="zh-CN"/>
              </w:rPr>
            </w:pPr>
            <w:r>
              <w:rPr>
                <w:rFonts w:hint="eastAsia" w:eastAsia="仿宋_GB2312"/>
                <w:b/>
                <w:color w:val="auto"/>
                <w:szCs w:val="21"/>
                <w:highlight w:val="none"/>
                <w:lang w:val="en-US" w:eastAsia="zh-CN"/>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10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eastAsia="宋体"/>
                <w:b/>
                <w:color w:val="auto"/>
                <w:szCs w:val="21"/>
                <w:highlight w:val="none"/>
                <w:lang w:val="en-US" w:eastAsia="zh-CN"/>
              </w:rPr>
            </w:pPr>
            <w:r>
              <w:rPr>
                <w:rFonts w:hint="eastAsia"/>
                <w:b/>
                <w:color w:val="auto"/>
                <w:szCs w:val="21"/>
                <w:highlight w:val="none"/>
                <w:lang w:val="en-US" w:eastAsia="zh-CN"/>
              </w:rPr>
              <w:t>1</w:t>
            </w:r>
          </w:p>
        </w:tc>
        <w:tc>
          <w:tcPr>
            <w:tcW w:w="35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eastAsia="仿宋_GB2312"/>
                <w:color w:val="auto"/>
                <w:szCs w:val="21"/>
                <w:highlight w:val="none"/>
                <w:lang w:eastAsia="zh-CN"/>
              </w:rPr>
            </w:pPr>
            <w:r>
              <w:rPr>
                <w:rFonts w:hint="eastAsia" w:eastAsia="仿宋_GB2312"/>
                <w:color w:val="auto"/>
                <w:szCs w:val="21"/>
                <w:highlight w:val="none"/>
                <w:lang w:val="en-US" w:eastAsia="zh-CN"/>
              </w:rPr>
              <w:t>图书价格</w:t>
            </w:r>
          </w:p>
        </w:tc>
        <w:tc>
          <w:tcPr>
            <w:tcW w:w="37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default" w:eastAsia="仿宋_GB2312"/>
                <w:color w:val="auto"/>
                <w:szCs w:val="21"/>
                <w:highlight w:val="none"/>
                <w:lang w:val="en-US" w:eastAsia="zh-CN"/>
              </w:rPr>
            </w:pPr>
            <w:r>
              <w:rPr>
                <w:rFonts w:hint="eastAsia" w:eastAsia="仿宋_GB2312"/>
                <w:color w:val="auto"/>
                <w:szCs w:val="21"/>
                <w:highlight w:val="none"/>
                <w:lang w:val="en-US" w:eastAsia="zh-CN"/>
              </w:rPr>
              <w:t>图书码洋的</w:t>
            </w:r>
            <w:r>
              <w:rPr>
                <w:rFonts w:hint="eastAsia" w:eastAsia="仿宋_GB2312"/>
                <w:i w:val="0"/>
                <w:iCs w:val="0"/>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745" w:hRule="atLeast"/>
        </w:trPr>
        <w:tc>
          <w:tcPr>
            <w:tcW w:w="10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eastAsia="宋体"/>
                <w:b/>
                <w:color w:val="auto"/>
                <w:szCs w:val="21"/>
                <w:highlight w:val="none"/>
                <w:lang w:val="en-US" w:eastAsia="zh-CN"/>
              </w:rPr>
            </w:pPr>
            <w:r>
              <w:rPr>
                <w:rFonts w:hint="eastAsia"/>
                <w:b/>
                <w:color w:val="auto"/>
                <w:szCs w:val="21"/>
                <w:highlight w:val="none"/>
                <w:lang w:val="en-US" w:eastAsia="zh-CN"/>
              </w:rPr>
              <w:t>2</w:t>
            </w:r>
          </w:p>
        </w:tc>
        <w:tc>
          <w:tcPr>
            <w:tcW w:w="35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default" w:eastAsia="仿宋_GB2312"/>
                <w:color w:val="auto"/>
                <w:szCs w:val="21"/>
                <w:highlight w:val="none"/>
                <w:lang w:val="en-US" w:eastAsia="zh-CN"/>
              </w:rPr>
            </w:pPr>
            <w:r>
              <w:rPr>
                <w:rFonts w:hint="eastAsia" w:eastAsia="仿宋_GB2312"/>
                <w:color w:val="auto"/>
                <w:szCs w:val="21"/>
                <w:highlight w:val="none"/>
                <w:lang w:val="en-US" w:eastAsia="zh-CN"/>
              </w:rPr>
              <w:t>每册图书（含RFID）加工费用</w:t>
            </w:r>
          </w:p>
        </w:tc>
        <w:tc>
          <w:tcPr>
            <w:tcW w:w="37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default" w:eastAsia="仿宋_GB2312"/>
                <w:color w:val="auto"/>
                <w:szCs w:val="21"/>
                <w:highlight w:val="none"/>
                <w:lang w:val="en-US" w:eastAsia="zh-CN"/>
              </w:rPr>
            </w:pPr>
            <w:r>
              <w:rPr>
                <w:rFonts w:hint="eastAsia" w:eastAsia="仿宋_GB2312"/>
                <w:color w:val="auto"/>
                <w:szCs w:val="21"/>
                <w:highlight w:val="none"/>
                <w:u w:val="single"/>
                <w:lang w:val="en-US" w:eastAsia="zh-CN"/>
              </w:rPr>
              <w:t xml:space="preserve">       </w:t>
            </w:r>
            <w:r>
              <w:rPr>
                <w:rFonts w:hint="eastAsia" w:eastAsia="仿宋_GB2312"/>
                <w:color w:val="auto"/>
                <w:szCs w:val="21"/>
                <w:highlight w:val="none"/>
                <w:lang w:val="en-US" w:eastAsia="zh-CN"/>
              </w:rPr>
              <w:t>元</w:t>
            </w:r>
          </w:p>
        </w:tc>
      </w:tr>
    </w:tbl>
    <w:p>
      <w:pPr>
        <w:snapToGrid w:val="0"/>
        <w:spacing w:line="48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注: 1、报价一经涂改，应在涂改处加盖单位公章或者由法定代表人或被授权人签字或盖章，否则其投标作无效标处理。</w:t>
      </w:r>
    </w:p>
    <w:p>
      <w:pPr>
        <w:snapToGrid w:val="0"/>
        <w:spacing w:line="480" w:lineRule="exact"/>
        <w:ind w:firstLine="440" w:firstLineChars="200"/>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2、最高限价：</w:t>
      </w:r>
      <w:r>
        <w:rPr>
          <w:rFonts w:hint="eastAsia" w:ascii="宋体" w:hAnsi="宋体" w:cs="宋体"/>
          <w:b/>
          <w:bCs/>
          <w:color w:val="auto"/>
          <w:sz w:val="22"/>
          <w:szCs w:val="22"/>
          <w:highlight w:val="none"/>
          <w:lang w:val="en-US" w:eastAsia="zh-CN"/>
        </w:rPr>
        <w:t>不高于图书码洋的71%（即图书码洋的7.1折），图书(含RFID)加工费不高于每册2.70元</w:t>
      </w:r>
    </w:p>
    <w:p>
      <w:pPr>
        <w:snapToGrid w:val="0"/>
        <w:spacing w:line="480" w:lineRule="exact"/>
        <w:ind w:left="-3" w:leftChars="-72" w:right="-817" w:rightChars="-389" w:hanging="148" w:hangingChars="62"/>
        <w:rPr>
          <w:rFonts w:hint="eastAsia" w:ascii="宋体" w:hAnsi="宋体" w:cs="宋体"/>
          <w:color w:val="auto"/>
          <w:kern w:val="0"/>
          <w:sz w:val="24"/>
          <w:highlight w:val="none"/>
          <w:lang w:eastAsia="zh-CN"/>
        </w:rPr>
      </w:pPr>
      <w:r>
        <w:rPr>
          <w:rFonts w:hint="eastAsia" w:ascii="宋体" w:hAnsi="宋体" w:cs="宋体"/>
          <w:color w:val="auto"/>
          <w:sz w:val="24"/>
          <w:highlight w:val="none"/>
          <w:lang w:val="en-US" w:eastAsia="zh-CN"/>
        </w:rPr>
        <w:t xml:space="preserve">     3、</w:t>
      </w:r>
      <w:r>
        <w:rPr>
          <w:rFonts w:hint="eastAsia" w:ascii="宋体" w:hAnsi="宋体" w:cs="宋体"/>
          <w:color w:val="auto"/>
          <w:kern w:val="0"/>
          <w:sz w:val="24"/>
          <w:highlight w:val="none"/>
          <w:lang w:eastAsia="zh-CN"/>
        </w:rPr>
        <w:t>应包括货款、包装、运输、装卸、保险、税金、货到就位、招投标等一</w:t>
      </w:r>
    </w:p>
    <w:p>
      <w:pPr>
        <w:snapToGrid w:val="0"/>
        <w:spacing w:line="480" w:lineRule="exact"/>
        <w:ind w:left="-3" w:leftChars="-72" w:right="-817" w:rightChars="-389" w:hanging="148" w:hangingChars="62"/>
        <w:rPr>
          <w:rFonts w:hint="default" w:ascii="宋体" w:hAnsi="宋体" w:eastAsia="宋体" w:cs="宋体"/>
          <w:color w:val="auto"/>
          <w:sz w:val="24"/>
          <w:highlight w:val="none"/>
          <w:lang w:val="en-US" w:eastAsia="zh-CN"/>
        </w:rPr>
      </w:pPr>
      <w:r>
        <w:rPr>
          <w:rFonts w:hint="eastAsia" w:ascii="宋体" w:hAnsi="宋体" w:cs="宋体"/>
          <w:color w:val="auto"/>
          <w:kern w:val="0"/>
          <w:sz w:val="24"/>
          <w:highlight w:val="none"/>
          <w:lang w:eastAsia="zh-CN"/>
        </w:rPr>
        <w:t>切税金和费用。</w:t>
      </w:r>
    </w:p>
    <w:p>
      <w:pPr>
        <w:snapToGrid w:val="0"/>
        <w:spacing w:before="50" w:after="50" w:line="360" w:lineRule="auto"/>
        <w:rPr>
          <w:rFonts w:hint="eastAsia" w:ascii="宋体" w:hAnsi="宋体"/>
          <w:color w:val="auto"/>
          <w:sz w:val="24"/>
          <w:highlight w:val="none"/>
        </w:rPr>
      </w:pPr>
    </w:p>
    <w:p>
      <w:pPr>
        <w:snapToGrid w:val="0"/>
        <w:spacing w:before="50" w:after="50" w:line="360" w:lineRule="auto"/>
        <w:rPr>
          <w:rFonts w:hint="eastAsia"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5"/>
        <w:spacing w:line="360" w:lineRule="auto"/>
        <w:ind w:right="480"/>
        <w:rPr>
          <w:rFonts w:hint="eastAsia" w:hAnsi="宋体" w:eastAsia="宋体"/>
          <w:color w:val="auto"/>
          <w:sz w:val="24"/>
          <w:szCs w:val="24"/>
          <w:highlight w:val="none"/>
        </w:rPr>
      </w:pPr>
      <w:r>
        <w:rPr>
          <w:rFonts w:hint="eastAsia" w:hAnsi="宋体" w:eastAsia="宋体"/>
          <w:color w:val="auto"/>
          <w:sz w:val="24"/>
          <w:szCs w:val="24"/>
          <w:highlight w:val="none"/>
        </w:rPr>
        <w:t>投标人名称(公章)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pStyle w:val="965"/>
        <w:spacing w:line="360" w:lineRule="auto"/>
        <w:ind w:right="480"/>
        <w:rPr>
          <w:color w:val="auto"/>
          <w:highlight w:val="none"/>
        </w:rPr>
      </w:pPr>
      <w:r>
        <w:rPr>
          <w:rFonts w:hint="eastAsia" w:hAnsi="宋体" w:eastAsia="宋体" w:cs="宋体"/>
          <w:color w:val="auto"/>
          <w:sz w:val="24"/>
          <w:szCs w:val="24"/>
          <w:highlight w:val="none"/>
        </w:rPr>
        <w:t>日期：_____年____月____</w:t>
      </w:r>
      <w:r>
        <w:rPr>
          <w:rFonts w:hint="eastAsia" w:hAnsi="宋体" w:eastAsia="宋体" w:cs="宋体"/>
          <w:color w:val="auto"/>
          <w:sz w:val="24"/>
          <w:szCs w:val="24"/>
          <w:highlight w:val="none"/>
          <w:lang w:val="en-US" w:eastAsia="zh-CN"/>
        </w:rPr>
        <w:t>日</w:t>
      </w:r>
    </w:p>
    <w:sectPr>
      <w:headerReference r:id="rId9" w:type="first"/>
      <w:footerReference r:id="rId12" w:type="first"/>
      <w:headerReference r:id="rId8" w:type="default"/>
      <w:footerReference r:id="rId10" w:type="default"/>
      <w:footerReference r:id="rId11" w:type="even"/>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left" w:pos="5675"/>
      </w:tabs>
      <w:jc w:val="left"/>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5D804704"/>
    <w:multiLevelType w:val="singleLevel"/>
    <w:tmpl w:val="5D804704"/>
    <w:lvl w:ilvl="0" w:tentative="0">
      <w:start w:val="1"/>
      <w:numFmt w:val="chineseCounting"/>
      <w:suff w:val="nothing"/>
      <w:lvlText w:val="%1、"/>
      <w:lvlJc w:val="left"/>
    </w:lvl>
  </w:abstractNum>
  <w:abstractNum w:abstractNumId="3">
    <w:nsid w:val="5D804826"/>
    <w:multiLevelType w:val="singleLevel"/>
    <w:tmpl w:val="5D804826"/>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TVmNWQ0ZWUwMDFhMGMxMjI0ODY0ODBlMmFi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5173E"/>
    <w:rsid w:val="019F7441"/>
    <w:rsid w:val="01A319FB"/>
    <w:rsid w:val="01B37585"/>
    <w:rsid w:val="01D55165"/>
    <w:rsid w:val="01DF6BF8"/>
    <w:rsid w:val="01EC2C57"/>
    <w:rsid w:val="02671BD1"/>
    <w:rsid w:val="026B2E25"/>
    <w:rsid w:val="02824D4D"/>
    <w:rsid w:val="02C46BBB"/>
    <w:rsid w:val="02DC4B10"/>
    <w:rsid w:val="02DD76CE"/>
    <w:rsid w:val="02F36323"/>
    <w:rsid w:val="02F5619C"/>
    <w:rsid w:val="0326446A"/>
    <w:rsid w:val="032D5555"/>
    <w:rsid w:val="036634D2"/>
    <w:rsid w:val="03DA17B5"/>
    <w:rsid w:val="03DD35E4"/>
    <w:rsid w:val="04076900"/>
    <w:rsid w:val="041A5A3B"/>
    <w:rsid w:val="042311BA"/>
    <w:rsid w:val="042B157A"/>
    <w:rsid w:val="048F763B"/>
    <w:rsid w:val="049F330E"/>
    <w:rsid w:val="04AA775C"/>
    <w:rsid w:val="04AF1889"/>
    <w:rsid w:val="04D32650"/>
    <w:rsid w:val="04F66F48"/>
    <w:rsid w:val="05251E14"/>
    <w:rsid w:val="054B2EBB"/>
    <w:rsid w:val="05541A7D"/>
    <w:rsid w:val="05A16594"/>
    <w:rsid w:val="05A7762D"/>
    <w:rsid w:val="06011897"/>
    <w:rsid w:val="060E5941"/>
    <w:rsid w:val="06110FAF"/>
    <w:rsid w:val="06493CA7"/>
    <w:rsid w:val="065A6178"/>
    <w:rsid w:val="066F1CF3"/>
    <w:rsid w:val="06930BB8"/>
    <w:rsid w:val="07245D42"/>
    <w:rsid w:val="07264C62"/>
    <w:rsid w:val="073706B3"/>
    <w:rsid w:val="0779354C"/>
    <w:rsid w:val="079F6195"/>
    <w:rsid w:val="07D15156"/>
    <w:rsid w:val="08061376"/>
    <w:rsid w:val="080D354F"/>
    <w:rsid w:val="08343BE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D6AE7"/>
    <w:rsid w:val="0A1C0718"/>
    <w:rsid w:val="0A3E7710"/>
    <w:rsid w:val="0A5B7E63"/>
    <w:rsid w:val="0A5C3149"/>
    <w:rsid w:val="0AA374A5"/>
    <w:rsid w:val="0AAB7649"/>
    <w:rsid w:val="0ABC5606"/>
    <w:rsid w:val="0AF74770"/>
    <w:rsid w:val="0B30404E"/>
    <w:rsid w:val="0B4C6C14"/>
    <w:rsid w:val="0B631A88"/>
    <w:rsid w:val="0B683D45"/>
    <w:rsid w:val="0B7F3F11"/>
    <w:rsid w:val="0B884417"/>
    <w:rsid w:val="0B973B9D"/>
    <w:rsid w:val="0BA74C73"/>
    <w:rsid w:val="0BD26F93"/>
    <w:rsid w:val="0BF6188C"/>
    <w:rsid w:val="0BF73C91"/>
    <w:rsid w:val="0C170175"/>
    <w:rsid w:val="0C571A41"/>
    <w:rsid w:val="0C5C1171"/>
    <w:rsid w:val="0C5E1CBC"/>
    <w:rsid w:val="0C615B50"/>
    <w:rsid w:val="0C8445DA"/>
    <w:rsid w:val="0C87121B"/>
    <w:rsid w:val="0CC007F7"/>
    <w:rsid w:val="0CFE707A"/>
    <w:rsid w:val="0D063BDA"/>
    <w:rsid w:val="0D08375F"/>
    <w:rsid w:val="0D184CFB"/>
    <w:rsid w:val="0D1E7791"/>
    <w:rsid w:val="0D4A7419"/>
    <w:rsid w:val="0D827401"/>
    <w:rsid w:val="0D84094E"/>
    <w:rsid w:val="0D8A00E9"/>
    <w:rsid w:val="0D8D589E"/>
    <w:rsid w:val="0DA01C73"/>
    <w:rsid w:val="0DD63300"/>
    <w:rsid w:val="0DE35877"/>
    <w:rsid w:val="0DF50604"/>
    <w:rsid w:val="0DF702FE"/>
    <w:rsid w:val="0E060E51"/>
    <w:rsid w:val="0E5604B2"/>
    <w:rsid w:val="0E6D5D79"/>
    <w:rsid w:val="0E9D0089"/>
    <w:rsid w:val="0EB803EE"/>
    <w:rsid w:val="0EF94D4B"/>
    <w:rsid w:val="0F4958DC"/>
    <w:rsid w:val="0F515DF7"/>
    <w:rsid w:val="0F596BA8"/>
    <w:rsid w:val="0F6248D2"/>
    <w:rsid w:val="0F693536"/>
    <w:rsid w:val="0F7554C5"/>
    <w:rsid w:val="0F7B0511"/>
    <w:rsid w:val="0F7B76D9"/>
    <w:rsid w:val="0F816ACD"/>
    <w:rsid w:val="0F9832DB"/>
    <w:rsid w:val="0FBF3FD2"/>
    <w:rsid w:val="0FBF7FF3"/>
    <w:rsid w:val="10043AE6"/>
    <w:rsid w:val="10646583"/>
    <w:rsid w:val="107D4B15"/>
    <w:rsid w:val="107D65A4"/>
    <w:rsid w:val="108A3C80"/>
    <w:rsid w:val="10AA73F0"/>
    <w:rsid w:val="10C26171"/>
    <w:rsid w:val="10F33360"/>
    <w:rsid w:val="10FC16EA"/>
    <w:rsid w:val="110F1D40"/>
    <w:rsid w:val="11266F33"/>
    <w:rsid w:val="11507B96"/>
    <w:rsid w:val="11525A28"/>
    <w:rsid w:val="115343AE"/>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E34051"/>
    <w:rsid w:val="141008D8"/>
    <w:rsid w:val="14125FE6"/>
    <w:rsid w:val="146D271E"/>
    <w:rsid w:val="14982588"/>
    <w:rsid w:val="149A5AD9"/>
    <w:rsid w:val="14A7619D"/>
    <w:rsid w:val="14EA71B5"/>
    <w:rsid w:val="150536C3"/>
    <w:rsid w:val="150C1963"/>
    <w:rsid w:val="151447A0"/>
    <w:rsid w:val="154A6454"/>
    <w:rsid w:val="15762120"/>
    <w:rsid w:val="166A18FC"/>
    <w:rsid w:val="169F2681"/>
    <w:rsid w:val="16A8729C"/>
    <w:rsid w:val="16B33777"/>
    <w:rsid w:val="16BC70A7"/>
    <w:rsid w:val="16C6339E"/>
    <w:rsid w:val="172F2D79"/>
    <w:rsid w:val="17557BEF"/>
    <w:rsid w:val="17B44FF8"/>
    <w:rsid w:val="17D349C1"/>
    <w:rsid w:val="1830729E"/>
    <w:rsid w:val="1870062C"/>
    <w:rsid w:val="18817102"/>
    <w:rsid w:val="18830A15"/>
    <w:rsid w:val="18852B28"/>
    <w:rsid w:val="188B5321"/>
    <w:rsid w:val="1937160A"/>
    <w:rsid w:val="19684693"/>
    <w:rsid w:val="19932372"/>
    <w:rsid w:val="199B1288"/>
    <w:rsid w:val="19A20DD5"/>
    <w:rsid w:val="19AE03F1"/>
    <w:rsid w:val="1A071A03"/>
    <w:rsid w:val="1A1C2F63"/>
    <w:rsid w:val="1A1F16AE"/>
    <w:rsid w:val="1A3B5C77"/>
    <w:rsid w:val="1A4062D0"/>
    <w:rsid w:val="1A984BAD"/>
    <w:rsid w:val="1A993E14"/>
    <w:rsid w:val="1AAC1FB7"/>
    <w:rsid w:val="1AB8220E"/>
    <w:rsid w:val="1AE4166C"/>
    <w:rsid w:val="1AF06CFB"/>
    <w:rsid w:val="1AF11B8D"/>
    <w:rsid w:val="1B11359C"/>
    <w:rsid w:val="1B2A271F"/>
    <w:rsid w:val="1B530544"/>
    <w:rsid w:val="1B713184"/>
    <w:rsid w:val="1BA209CF"/>
    <w:rsid w:val="1BB4777D"/>
    <w:rsid w:val="1BD75AB8"/>
    <w:rsid w:val="1C0459C2"/>
    <w:rsid w:val="1C1B3B4A"/>
    <w:rsid w:val="1C243E78"/>
    <w:rsid w:val="1C88086E"/>
    <w:rsid w:val="1CC05C42"/>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723F1"/>
    <w:rsid w:val="208921B3"/>
    <w:rsid w:val="20973DEB"/>
    <w:rsid w:val="20B26522"/>
    <w:rsid w:val="20B44310"/>
    <w:rsid w:val="211116EB"/>
    <w:rsid w:val="216133FC"/>
    <w:rsid w:val="21834774"/>
    <w:rsid w:val="218415CF"/>
    <w:rsid w:val="21BC2207"/>
    <w:rsid w:val="21C65C26"/>
    <w:rsid w:val="21D56769"/>
    <w:rsid w:val="21E52EF3"/>
    <w:rsid w:val="21FB5D7B"/>
    <w:rsid w:val="220B1C3D"/>
    <w:rsid w:val="221D1D20"/>
    <w:rsid w:val="22334A87"/>
    <w:rsid w:val="225D3DC6"/>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DE5462"/>
    <w:rsid w:val="25530F16"/>
    <w:rsid w:val="258B00E2"/>
    <w:rsid w:val="25A917A6"/>
    <w:rsid w:val="25BE27CC"/>
    <w:rsid w:val="25F74A5C"/>
    <w:rsid w:val="2628662C"/>
    <w:rsid w:val="262D45DE"/>
    <w:rsid w:val="264F2098"/>
    <w:rsid w:val="2662090A"/>
    <w:rsid w:val="26A53EF9"/>
    <w:rsid w:val="26A94201"/>
    <w:rsid w:val="26AC274F"/>
    <w:rsid w:val="27044A29"/>
    <w:rsid w:val="271D34C8"/>
    <w:rsid w:val="276142BF"/>
    <w:rsid w:val="27783712"/>
    <w:rsid w:val="27907362"/>
    <w:rsid w:val="28333E1D"/>
    <w:rsid w:val="283C6C0F"/>
    <w:rsid w:val="28454BD6"/>
    <w:rsid w:val="28455253"/>
    <w:rsid w:val="28513538"/>
    <w:rsid w:val="28551971"/>
    <w:rsid w:val="285B1C53"/>
    <w:rsid w:val="288C16BF"/>
    <w:rsid w:val="2895356C"/>
    <w:rsid w:val="289B42C8"/>
    <w:rsid w:val="289F7086"/>
    <w:rsid w:val="28C32028"/>
    <w:rsid w:val="28CC490F"/>
    <w:rsid w:val="28DE40AA"/>
    <w:rsid w:val="29300F85"/>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833963"/>
    <w:rsid w:val="2C874F6F"/>
    <w:rsid w:val="2CE82D6F"/>
    <w:rsid w:val="2D343236"/>
    <w:rsid w:val="2DD15014"/>
    <w:rsid w:val="2DF72DE4"/>
    <w:rsid w:val="2E0220AF"/>
    <w:rsid w:val="2E0E6DB8"/>
    <w:rsid w:val="2E4B082A"/>
    <w:rsid w:val="2E5D4E86"/>
    <w:rsid w:val="2E5D790B"/>
    <w:rsid w:val="2E9A3C18"/>
    <w:rsid w:val="2EB15375"/>
    <w:rsid w:val="2EBB0FEE"/>
    <w:rsid w:val="2EC63002"/>
    <w:rsid w:val="2F017495"/>
    <w:rsid w:val="2F0A6B38"/>
    <w:rsid w:val="2F6D181D"/>
    <w:rsid w:val="2F6E00B8"/>
    <w:rsid w:val="2F6F7335"/>
    <w:rsid w:val="2F93773A"/>
    <w:rsid w:val="2F946CCB"/>
    <w:rsid w:val="2FD25781"/>
    <w:rsid w:val="2FDB0057"/>
    <w:rsid w:val="2FFD7934"/>
    <w:rsid w:val="305C34E6"/>
    <w:rsid w:val="30733ACD"/>
    <w:rsid w:val="308C3862"/>
    <w:rsid w:val="309379D8"/>
    <w:rsid w:val="30A270F7"/>
    <w:rsid w:val="30DF1478"/>
    <w:rsid w:val="30EC586F"/>
    <w:rsid w:val="310A2818"/>
    <w:rsid w:val="319C6071"/>
    <w:rsid w:val="31AC537E"/>
    <w:rsid w:val="31E3679B"/>
    <w:rsid w:val="31E732FD"/>
    <w:rsid w:val="321A1622"/>
    <w:rsid w:val="32517576"/>
    <w:rsid w:val="327A7481"/>
    <w:rsid w:val="32BE5C2C"/>
    <w:rsid w:val="32FB6478"/>
    <w:rsid w:val="33090A05"/>
    <w:rsid w:val="33263B3F"/>
    <w:rsid w:val="336963EB"/>
    <w:rsid w:val="33816EEB"/>
    <w:rsid w:val="338F52EF"/>
    <w:rsid w:val="33D26D0D"/>
    <w:rsid w:val="33EB55CD"/>
    <w:rsid w:val="33EC4C02"/>
    <w:rsid w:val="340D2360"/>
    <w:rsid w:val="3410665D"/>
    <w:rsid w:val="34211214"/>
    <w:rsid w:val="342E63AB"/>
    <w:rsid w:val="34627F12"/>
    <w:rsid w:val="34950E68"/>
    <w:rsid w:val="34986E94"/>
    <w:rsid w:val="34AF62C9"/>
    <w:rsid w:val="34CB4388"/>
    <w:rsid w:val="34FA6E12"/>
    <w:rsid w:val="358D5588"/>
    <w:rsid w:val="363A3B40"/>
    <w:rsid w:val="365302AE"/>
    <w:rsid w:val="36607A0A"/>
    <w:rsid w:val="366E227C"/>
    <w:rsid w:val="366F2E0D"/>
    <w:rsid w:val="36735F09"/>
    <w:rsid w:val="367B6A5C"/>
    <w:rsid w:val="368F480F"/>
    <w:rsid w:val="36A74ADA"/>
    <w:rsid w:val="36AD60D5"/>
    <w:rsid w:val="36AF162A"/>
    <w:rsid w:val="36B224F9"/>
    <w:rsid w:val="36EC0CC9"/>
    <w:rsid w:val="373F410B"/>
    <w:rsid w:val="37EE7094"/>
    <w:rsid w:val="38296C89"/>
    <w:rsid w:val="383002EB"/>
    <w:rsid w:val="38586797"/>
    <w:rsid w:val="38BC0149"/>
    <w:rsid w:val="38D87D1C"/>
    <w:rsid w:val="39636459"/>
    <w:rsid w:val="396B7F6C"/>
    <w:rsid w:val="39A6259B"/>
    <w:rsid w:val="39B417A9"/>
    <w:rsid w:val="39F94929"/>
    <w:rsid w:val="39FC5695"/>
    <w:rsid w:val="3A006D8E"/>
    <w:rsid w:val="3A3651E5"/>
    <w:rsid w:val="3A744481"/>
    <w:rsid w:val="3A8C7BEF"/>
    <w:rsid w:val="3A906246"/>
    <w:rsid w:val="3B2349B7"/>
    <w:rsid w:val="3B3C7E67"/>
    <w:rsid w:val="3B616CFF"/>
    <w:rsid w:val="3B6259F6"/>
    <w:rsid w:val="3B976654"/>
    <w:rsid w:val="3BA55B27"/>
    <w:rsid w:val="3BC01EFC"/>
    <w:rsid w:val="3BCA786A"/>
    <w:rsid w:val="3BD31E2F"/>
    <w:rsid w:val="3BF15831"/>
    <w:rsid w:val="3C105946"/>
    <w:rsid w:val="3C471448"/>
    <w:rsid w:val="3C5F759A"/>
    <w:rsid w:val="3C6C525A"/>
    <w:rsid w:val="3CC34D87"/>
    <w:rsid w:val="3CCE23CB"/>
    <w:rsid w:val="3CCF6E1C"/>
    <w:rsid w:val="3CD17D17"/>
    <w:rsid w:val="3CEE2475"/>
    <w:rsid w:val="3D3C7F39"/>
    <w:rsid w:val="3D440F09"/>
    <w:rsid w:val="3D4504A0"/>
    <w:rsid w:val="3D653EC4"/>
    <w:rsid w:val="3D8734BB"/>
    <w:rsid w:val="3D9A11D4"/>
    <w:rsid w:val="3DA16D89"/>
    <w:rsid w:val="3DA364BE"/>
    <w:rsid w:val="3DE041CB"/>
    <w:rsid w:val="3E0D48F6"/>
    <w:rsid w:val="3E1868B4"/>
    <w:rsid w:val="3E377251"/>
    <w:rsid w:val="3E42664B"/>
    <w:rsid w:val="3E5661DC"/>
    <w:rsid w:val="3E5A7334"/>
    <w:rsid w:val="3E7B5D6B"/>
    <w:rsid w:val="3E843E66"/>
    <w:rsid w:val="3E8F51FE"/>
    <w:rsid w:val="3E926F87"/>
    <w:rsid w:val="3E9A59DE"/>
    <w:rsid w:val="3EAF4836"/>
    <w:rsid w:val="3EC33DFA"/>
    <w:rsid w:val="3EC53428"/>
    <w:rsid w:val="3F060E16"/>
    <w:rsid w:val="3F1D1096"/>
    <w:rsid w:val="3F2F0234"/>
    <w:rsid w:val="3F6363FE"/>
    <w:rsid w:val="3F756B8F"/>
    <w:rsid w:val="3F8F60F8"/>
    <w:rsid w:val="3F95482B"/>
    <w:rsid w:val="3FA57E6B"/>
    <w:rsid w:val="3FD32C47"/>
    <w:rsid w:val="4019356B"/>
    <w:rsid w:val="4046605F"/>
    <w:rsid w:val="40592157"/>
    <w:rsid w:val="406E1CAE"/>
    <w:rsid w:val="40817E61"/>
    <w:rsid w:val="40A0133A"/>
    <w:rsid w:val="40C31A53"/>
    <w:rsid w:val="40EB4FA0"/>
    <w:rsid w:val="40FF545D"/>
    <w:rsid w:val="410067C8"/>
    <w:rsid w:val="41193901"/>
    <w:rsid w:val="41756724"/>
    <w:rsid w:val="418F0D2A"/>
    <w:rsid w:val="41D01505"/>
    <w:rsid w:val="42474939"/>
    <w:rsid w:val="424C3C57"/>
    <w:rsid w:val="42613FF3"/>
    <w:rsid w:val="42660D96"/>
    <w:rsid w:val="428667D2"/>
    <w:rsid w:val="429A368A"/>
    <w:rsid w:val="42CD1CE0"/>
    <w:rsid w:val="42E1381E"/>
    <w:rsid w:val="42ED6459"/>
    <w:rsid w:val="42FE58DD"/>
    <w:rsid w:val="43174B3D"/>
    <w:rsid w:val="434B790E"/>
    <w:rsid w:val="4360274F"/>
    <w:rsid w:val="43906F27"/>
    <w:rsid w:val="43977AB6"/>
    <w:rsid w:val="43A3342B"/>
    <w:rsid w:val="43C77C27"/>
    <w:rsid w:val="43DE09EE"/>
    <w:rsid w:val="44002FAD"/>
    <w:rsid w:val="441B359D"/>
    <w:rsid w:val="449101DD"/>
    <w:rsid w:val="44DB34E4"/>
    <w:rsid w:val="44DE1391"/>
    <w:rsid w:val="44E151AE"/>
    <w:rsid w:val="451B225C"/>
    <w:rsid w:val="452410C9"/>
    <w:rsid w:val="45317DFB"/>
    <w:rsid w:val="456D3CE4"/>
    <w:rsid w:val="4579042C"/>
    <w:rsid w:val="457F0571"/>
    <w:rsid w:val="45851176"/>
    <w:rsid w:val="458A31CD"/>
    <w:rsid w:val="45C63B94"/>
    <w:rsid w:val="460E7DA5"/>
    <w:rsid w:val="46422483"/>
    <w:rsid w:val="4659254A"/>
    <w:rsid w:val="465B0637"/>
    <w:rsid w:val="465E3F0D"/>
    <w:rsid w:val="466A16E6"/>
    <w:rsid w:val="46893F2B"/>
    <w:rsid w:val="469D7607"/>
    <w:rsid w:val="46C4686E"/>
    <w:rsid w:val="47592088"/>
    <w:rsid w:val="477B778F"/>
    <w:rsid w:val="478203EC"/>
    <w:rsid w:val="47B025FA"/>
    <w:rsid w:val="47FE483C"/>
    <w:rsid w:val="4809698F"/>
    <w:rsid w:val="4811697D"/>
    <w:rsid w:val="487A3E25"/>
    <w:rsid w:val="488B5503"/>
    <w:rsid w:val="48937E21"/>
    <w:rsid w:val="489A0361"/>
    <w:rsid w:val="48B94FF3"/>
    <w:rsid w:val="48E37AAB"/>
    <w:rsid w:val="48FD4B4C"/>
    <w:rsid w:val="490A68E0"/>
    <w:rsid w:val="491055FE"/>
    <w:rsid w:val="495A44E3"/>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CD72CD"/>
    <w:rsid w:val="4BEE2503"/>
    <w:rsid w:val="4C245A30"/>
    <w:rsid w:val="4CB6685F"/>
    <w:rsid w:val="4CC367FE"/>
    <w:rsid w:val="4D077F3C"/>
    <w:rsid w:val="4D123355"/>
    <w:rsid w:val="4D2A3B31"/>
    <w:rsid w:val="4D312C52"/>
    <w:rsid w:val="4D40640B"/>
    <w:rsid w:val="4D905305"/>
    <w:rsid w:val="4D964A72"/>
    <w:rsid w:val="4D9C1254"/>
    <w:rsid w:val="4DAB74FE"/>
    <w:rsid w:val="4DC36632"/>
    <w:rsid w:val="4E131B59"/>
    <w:rsid w:val="4E3F1CE5"/>
    <w:rsid w:val="4E4D1281"/>
    <w:rsid w:val="4E793892"/>
    <w:rsid w:val="4E800872"/>
    <w:rsid w:val="4EC569ED"/>
    <w:rsid w:val="4ED50EA1"/>
    <w:rsid w:val="4EEC050C"/>
    <w:rsid w:val="4F104EC3"/>
    <w:rsid w:val="4F47354A"/>
    <w:rsid w:val="4F911C54"/>
    <w:rsid w:val="4FE625E0"/>
    <w:rsid w:val="5021480F"/>
    <w:rsid w:val="50773822"/>
    <w:rsid w:val="50962ECB"/>
    <w:rsid w:val="50A42E38"/>
    <w:rsid w:val="50A4577F"/>
    <w:rsid w:val="50AD4AC8"/>
    <w:rsid w:val="50B73D1F"/>
    <w:rsid w:val="50BD5BC9"/>
    <w:rsid w:val="50C11EEE"/>
    <w:rsid w:val="50E97CFC"/>
    <w:rsid w:val="50FA4028"/>
    <w:rsid w:val="510D65B7"/>
    <w:rsid w:val="511157AB"/>
    <w:rsid w:val="5142540C"/>
    <w:rsid w:val="517A1653"/>
    <w:rsid w:val="518832C8"/>
    <w:rsid w:val="51A0432A"/>
    <w:rsid w:val="51A86090"/>
    <w:rsid w:val="51B7396D"/>
    <w:rsid w:val="51F50923"/>
    <w:rsid w:val="522E4CC3"/>
    <w:rsid w:val="5244713B"/>
    <w:rsid w:val="52615633"/>
    <w:rsid w:val="52977FD4"/>
    <w:rsid w:val="52A25790"/>
    <w:rsid w:val="52A96B6F"/>
    <w:rsid w:val="52B45975"/>
    <w:rsid w:val="52D94AA4"/>
    <w:rsid w:val="52EA3A62"/>
    <w:rsid w:val="52F50BB8"/>
    <w:rsid w:val="53097272"/>
    <w:rsid w:val="53544462"/>
    <w:rsid w:val="53946913"/>
    <w:rsid w:val="5397158E"/>
    <w:rsid w:val="53F2667D"/>
    <w:rsid w:val="54013861"/>
    <w:rsid w:val="54487265"/>
    <w:rsid w:val="544D6070"/>
    <w:rsid w:val="54605E1E"/>
    <w:rsid w:val="54B3506A"/>
    <w:rsid w:val="54CA0D16"/>
    <w:rsid w:val="54DD4057"/>
    <w:rsid w:val="54E7490F"/>
    <w:rsid w:val="550764A4"/>
    <w:rsid w:val="550B2BF6"/>
    <w:rsid w:val="550B3CFB"/>
    <w:rsid w:val="55214EB5"/>
    <w:rsid w:val="55364EFD"/>
    <w:rsid w:val="555D4828"/>
    <w:rsid w:val="557A4C8B"/>
    <w:rsid w:val="558931E1"/>
    <w:rsid w:val="55923347"/>
    <w:rsid w:val="55925180"/>
    <w:rsid w:val="55983B1B"/>
    <w:rsid w:val="55A8376B"/>
    <w:rsid w:val="55DC29B6"/>
    <w:rsid w:val="55DD4241"/>
    <w:rsid w:val="566B6D1E"/>
    <w:rsid w:val="56C409A3"/>
    <w:rsid w:val="57032A2C"/>
    <w:rsid w:val="570F5219"/>
    <w:rsid w:val="575D12B5"/>
    <w:rsid w:val="57610A87"/>
    <w:rsid w:val="577B1140"/>
    <w:rsid w:val="577B7F21"/>
    <w:rsid w:val="577F181B"/>
    <w:rsid w:val="57921984"/>
    <w:rsid w:val="579737F0"/>
    <w:rsid w:val="57AB7B30"/>
    <w:rsid w:val="57AF5251"/>
    <w:rsid w:val="57B26373"/>
    <w:rsid w:val="57B63F04"/>
    <w:rsid w:val="57CD20C2"/>
    <w:rsid w:val="57CF51C4"/>
    <w:rsid w:val="57D675AB"/>
    <w:rsid w:val="57D95FDD"/>
    <w:rsid w:val="58917D2F"/>
    <w:rsid w:val="5894085C"/>
    <w:rsid w:val="58AE4F0C"/>
    <w:rsid w:val="58B85899"/>
    <w:rsid w:val="58E363A9"/>
    <w:rsid w:val="595E1678"/>
    <w:rsid w:val="596D5BD4"/>
    <w:rsid w:val="597E3DD8"/>
    <w:rsid w:val="59A045D9"/>
    <w:rsid w:val="59D634DF"/>
    <w:rsid w:val="59F80043"/>
    <w:rsid w:val="5A09252F"/>
    <w:rsid w:val="5A0B2778"/>
    <w:rsid w:val="5A2A7C7B"/>
    <w:rsid w:val="5A3E2560"/>
    <w:rsid w:val="5A5D3B6E"/>
    <w:rsid w:val="5A610D9E"/>
    <w:rsid w:val="5A637A76"/>
    <w:rsid w:val="5A6A5DA6"/>
    <w:rsid w:val="5A6D33BA"/>
    <w:rsid w:val="5A792B1F"/>
    <w:rsid w:val="5A874767"/>
    <w:rsid w:val="5A8C7BCC"/>
    <w:rsid w:val="5A8D7133"/>
    <w:rsid w:val="5AAD6F28"/>
    <w:rsid w:val="5AD63A24"/>
    <w:rsid w:val="5AEA62E5"/>
    <w:rsid w:val="5B2E1A1D"/>
    <w:rsid w:val="5B6B0A58"/>
    <w:rsid w:val="5B843A1C"/>
    <w:rsid w:val="5B873E3F"/>
    <w:rsid w:val="5B897053"/>
    <w:rsid w:val="5C02690E"/>
    <w:rsid w:val="5C196DA7"/>
    <w:rsid w:val="5C1D0043"/>
    <w:rsid w:val="5C2A048C"/>
    <w:rsid w:val="5C6D2BDD"/>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4F2952"/>
    <w:rsid w:val="5E552BBA"/>
    <w:rsid w:val="5E611C10"/>
    <w:rsid w:val="5EFC7377"/>
    <w:rsid w:val="5F06174D"/>
    <w:rsid w:val="5F3A3602"/>
    <w:rsid w:val="5F6277C6"/>
    <w:rsid w:val="5F6D0B1D"/>
    <w:rsid w:val="5F8D0B82"/>
    <w:rsid w:val="5FCA5A4C"/>
    <w:rsid w:val="5FCC5339"/>
    <w:rsid w:val="5FE34A5B"/>
    <w:rsid w:val="5FFE1E36"/>
    <w:rsid w:val="60232584"/>
    <w:rsid w:val="607330CE"/>
    <w:rsid w:val="60825176"/>
    <w:rsid w:val="609F2AC4"/>
    <w:rsid w:val="60AB43DB"/>
    <w:rsid w:val="60FA2EE8"/>
    <w:rsid w:val="61054A27"/>
    <w:rsid w:val="610A52BC"/>
    <w:rsid w:val="611D2366"/>
    <w:rsid w:val="61421856"/>
    <w:rsid w:val="615227C4"/>
    <w:rsid w:val="61654E3F"/>
    <w:rsid w:val="6182292A"/>
    <w:rsid w:val="618D5C6B"/>
    <w:rsid w:val="619F7F92"/>
    <w:rsid w:val="61B60EF8"/>
    <w:rsid w:val="61F94C26"/>
    <w:rsid w:val="62000E56"/>
    <w:rsid w:val="620A1913"/>
    <w:rsid w:val="624F3E49"/>
    <w:rsid w:val="62632286"/>
    <w:rsid w:val="62885958"/>
    <w:rsid w:val="62F40B65"/>
    <w:rsid w:val="62FC2CFE"/>
    <w:rsid w:val="63024505"/>
    <w:rsid w:val="633345F0"/>
    <w:rsid w:val="635B1DB5"/>
    <w:rsid w:val="63711FED"/>
    <w:rsid w:val="63880DDC"/>
    <w:rsid w:val="638D750D"/>
    <w:rsid w:val="63AC6CC0"/>
    <w:rsid w:val="64055776"/>
    <w:rsid w:val="640C0875"/>
    <w:rsid w:val="64240056"/>
    <w:rsid w:val="643E143A"/>
    <w:rsid w:val="648B6EEF"/>
    <w:rsid w:val="648C1B70"/>
    <w:rsid w:val="64C158BF"/>
    <w:rsid w:val="64CE2EAA"/>
    <w:rsid w:val="653C3090"/>
    <w:rsid w:val="65405CCA"/>
    <w:rsid w:val="65854376"/>
    <w:rsid w:val="658767BE"/>
    <w:rsid w:val="65892531"/>
    <w:rsid w:val="66195831"/>
    <w:rsid w:val="662B5A52"/>
    <w:rsid w:val="662E75B1"/>
    <w:rsid w:val="66342C2E"/>
    <w:rsid w:val="663E784C"/>
    <w:rsid w:val="668B6A45"/>
    <w:rsid w:val="66A45BDC"/>
    <w:rsid w:val="672F3F24"/>
    <w:rsid w:val="673E055F"/>
    <w:rsid w:val="67551CE3"/>
    <w:rsid w:val="67A22552"/>
    <w:rsid w:val="67B22DCC"/>
    <w:rsid w:val="67BE71AA"/>
    <w:rsid w:val="67D90273"/>
    <w:rsid w:val="67DE5875"/>
    <w:rsid w:val="67E55852"/>
    <w:rsid w:val="67EB1AB4"/>
    <w:rsid w:val="67FA1285"/>
    <w:rsid w:val="68551F4F"/>
    <w:rsid w:val="685847A6"/>
    <w:rsid w:val="687C10C9"/>
    <w:rsid w:val="68840C16"/>
    <w:rsid w:val="68876EFB"/>
    <w:rsid w:val="68884654"/>
    <w:rsid w:val="689F444F"/>
    <w:rsid w:val="68A210E5"/>
    <w:rsid w:val="68B96DBB"/>
    <w:rsid w:val="68CA2805"/>
    <w:rsid w:val="68E937A3"/>
    <w:rsid w:val="69196B57"/>
    <w:rsid w:val="693E15D3"/>
    <w:rsid w:val="694E7060"/>
    <w:rsid w:val="69627681"/>
    <w:rsid w:val="69701FBE"/>
    <w:rsid w:val="6977531D"/>
    <w:rsid w:val="69CC2BFF"/>
    <w:rsid w:val="69FD55B8"/>
    <w:rsid w:val="69FE1399"/>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C16D56"/>
    <w:rsid w:val="6D167928"/>
    <w:rsid w:val="6D26299B"/>
    <w:rsid w:val="6D4772EC"/>
    <w:rsid w:val="6D6C0BFF"/>
    <w:rsid w:val="6D9078AF"/>
    <w:rsid w:val="6DAA3FEF"/>
    <w:rsid w:val="6DC0172B"/>
    <w:rsid w:val="6DCB690C"/>
    <w:rsid w:val="6DD41A5B"/>
    <w:rsid w:val="6DF43C2E"/>
    <w:rsid w:val="6DF51CA3"/>
    <w:rsid w:val="6E0863D3"/>
    <w:rsid w:val="6E775CD9"/>
    <w:rsid w:val="6E8335BD"/>
    <w:rsid w:val="6E8E12EF"/>
    <w:rsid w:val="6E972936"/>
    <w:rsid w:val="6ED446C5"/>
    <w:rsid w:val="6F2A7D94"/>
    <w:rsid w:val="6F8331F1"/>
    <w:rsid w:val="6F8A0F8C"/>
    <w:rsid w:val="6F991B97"/>
    <w:rsid w:val="6FAE1A09"/>
    <w:rsid w:val="6FD44A65"/>
    <w:rsid w:val="6FD75BF8"/>
    <w:rsid w:val="707723D0"/>
    <w:rsid w:val="70F5661B"/>
    <w:rsid w:val="710E183A"/>
    <w:rsid w:val="71360107"/>
    <w:rsid w:val="713B688E"/>
    <w:rsid w:val="71825B5A"/>
    <w:rsid w:val="71D43752"/>
    <w:rsid w:val="71F1796A"/>
    <w:rsid w:val="72154626"/>
    <w:rsid w:val="72262B5D"/>
    <w:rsid w:val="72283FF7"/>
    <w:rsid w:val="722E7212"/>
    <w:rsid w:val="722F5B6A"/>
    <w:rsid w:val="723A0474"/>
    <w:rsid w:val="72535CB3"/>
    <w:rsid w:val="725923E4"/>
    <w:rsid w:val="72864BF7"/>
    <w:rsid w:val="729023FC"/>
    <w:rsid w:val="738D2641"/>
    <w:rsid w:val="73C0646E"/>
    <w:rsid w:val="73C66986"/>
    <w:rsid w:val="73E6120B"/>
    <w:rsid w:val="742222F5"/>
    <w:rsid w:val="74476126"/>
    <w:rsid w:val="74706664"/>
    <w:rsid w:val="74723DC9"/>
    <w:rsid w:val="747F3682"/>
    <w:rsid w:val="749C4185"/>
    <w:rsid w:val="75067759"/>
    <w:rsid w:val="752E6DCD"/>
    <w:rsid w:val="7551380D"/>
    <w:rsid w:val="75600BE5"/>
    <w:rsid w:val="7564475C"/>
    <w:rsid w:val="7583797F"/>
    <w:rsid w:val="75D20F1D"/>
    <w:rsid w:val="75DA2C18"/>
    <w:rsid w:val="75F54412"/>
    <w:rsid w:val="761A5BA5"/>
    <w:rsid w:val="761D08E0"/>
    <w:rsid w:val="765D347C"/>
    <w:rsid w:val="76826699"/>
    <w:rsid w:val="76C87133"/>
    <w:rsid w:val="76CD08D5"/>
    <w:rsid w:val="76DB4B92"/>
    <w:rsid w:val="77052AA4"/>
    <w:rsid w:val="77136511"/>
    <w:rsid w:val="77340A39"/>
    <w:rsid w:val="77351FD0"/>
    <w:rsid w:val="77472422"/>
    <w:rsid w:val="777F31F2"/>
    <w:rsid w:val="779C6247"/>
    <w:rsid w:val="77D1700D"/>
    <w:rsid w:val="77D32815"/>
    <w:rsid w:val="77EC04CC"/>
    <w:rsid w:val="780930ED"/>
    <w:rsid w:val="781A0520"/>
    <w:rsid w:val="78204122"/>
    <w:rsid w:val="78775729"/>
    <w:rsid w:val="78A42DB0"/>
    <w:rsid w:val="78A656AB"/>
    <w:rsid w:val="78B2245C"/>
    <w:rsid w:val="78E172CC"/>
    <w:rsid w:val="78EA1D1F"/>
    <w:rsid w:val="7904172F"/>
    <w:rsid w:val="790F7E27"/>
    <w:rsid w:val="792A231A"/>
    <w:rsid w:val="79316829"/>
    <w:rsid w:val="797E66A9"/>
    <w:rsid w:val="79A97383"/>
    <w:rsid w:val="79AC7F56"/>
    <w:rsid w:val="79D35D8D"/>
    <w:rsid w:val="79E27E8B"/>
    <w:rsid w:val="79F850CE"/>
    <w:rsid w:val="79FD443C"/>
    <w:rsid w:val="7A1D1975"/>
    <w:rsid w:val="7A3E5150"/>
    <w:rsid w:val="7A4670D6"/>
    <w:rsid w:val="7A534B63"/>
    <w:rsid w:val="7A615382"/>
    <w:rsid w:val="7A67303B"/>
    <w:rsid w:val="7A711F4D"/>
    <w:rsid w:val="7A8B65C5"/>
    <w:rsid w:val="7AAB1D04"/>
    <w:rsid w:val="7ABA4368"/>
    <w:rsid w:val="7AD05746"/>
    <w:rsid w:val="7B257FFD"/>
    <w:rsid w:val="7B343476"/>
    <w:rsid w:val="7B5A2978"/>
    <w:rsid w:val="7B5A7E4C"/>
    <w:rsid w:val="7B667AF9"/>
    <w:rsid w:val="7B7468F8"/>
    <w:rsid w:val="7BEE0103"/>
    <w:rsid w:val="7C0A0FE4"/>
    <w:rsid w:val="7C254906"/>
    <w:rsid w:val="7C2739B9"/>
    <w:rsid w:val="7C30396B"/>
    <w:rsid w:val="7C590818"/>
    <w:rsid w:val="7C7C10F6"/>
    <w:rsid w:val="7C853BEA"/>
    <w:rsid w:val="7C881368"/>
    <w:rsid w:val="7CE27788"/>
    <w:rsid w:val="7D0C32F1"/>
    <w:rsid w:val="7D0F408D"/>
    <w:rsid w:val="7D491C6C"/>
    <w:rsid w:val="7D5429C0"/>
    <w:rsid w:val="7D6E6D43"/>
    <w:rsid w:val="7DB57A34"/>
    <w:rsid w:val="7DE60973"/>
    <w:rsid w:val="7DEF0916"/>
    <w:rsid w:val="7E1E5218"/>
    <w:rsid w:val="7E600773"/>
    <w:rsid w:val="7E8D00FD"/>
    <w:rsid w:val="7E9A4E1F"/>
    <w:rsid w:val="7EA7723A"/>
    <w:rsid w:val="7EF56FBB"/>
    <w:rsid w:val="7F0768EB"/>
    <w:rsid w:val="7F143BEC"/>
    <w:rsid w:val="7F715AF2"/>
    <w:rsid w:val="7F807141"/>
    <w:rsid w:val="7F886E69"/>
    <w:rsid w:val="7FEC5D2F"/>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2"/>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2"/>
    <w:basedOn w:val="1"/>
    <w:next w:val="1"/>
    <w:link w:val="302"/>
    <w:qFormat/>
    <w:uiPriority w:val="0"/>
    <w:pPr>
      <w:spacing w:after="120" w:line="480" w:lineRule="auto"/>
    </w:pPr>
  </w:style>
  <w:style w:type="paragraph" w:styleId="25">
    <w:name w:val="Body Text Indent"/>
    <w:basedOn w:val="1"/>
    <w:next w:val="1"/>
    <w:link w:val="265"/>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5"/>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1"/>
    <w:qFormat/>
    <w:uiPriority w:val="0"/>
    <w:pPr>
      <w:ind w:left="100" w:leftChars="2500"/>
    </w:pPr>
    <w:rPr>
      <w:rFonts w:ascii="宋体"/>
      <w:sz w:val="24"/>
      <w:szCs w:val="21"/>
      <w:lang w:val="zh-CN"/>
    </w:rPr>
  </w:style>
  <w:style w:type="paragraph" w:styleId="37">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8">
    <w:name w:val="endnote text"/>
    <w:basedOn w:val="1"/>
    <w:link w:val="932"/>
    <w:qFormat/>
    <w:uiPriority w:val="0"/>
    <w:rPr>
      <w:lang w:val="zh-CN"/>
    </w:rPr>
  </w:style>
  <w:style w:type="paragraph" w:styleId="39">
    <w:name w:val="Balloon Text"/>
    <w:basedOn w:val="1"/>
    <w:link w:val="188"/>
    <w:qFormat/>
    <w:uiPriority w:val="0"/>
    <w:rPr>
      <w:sz w:val="18"/>
      <w:szCs w:val="18"/>
    </w:rPr>
  </w:style>
  <w:style w:type="paragraph" w:styleId="40">
    <w:name w:val="footer"/>
    <w:basedOn w:val="1"/>
    <w:link w:val="383"/>
    <w:qFormat/>
    <w:uiPriority w:val="99"/>
    <w:pPr>
      <w:tabs>
        <w:tab w:val="center" w:pos="4153"/>
        <w:tab w:val="right" w:pos="8306"/>
      </w:tabs>
      <w:snapToGrid w:val="0"/>
      <w:jc w:val="left"/>
    </w:pPr>
    <w:rPr>
      <w:sz w:val="18"/>
      <w:szCs w:val="18"/>
    </w:rPr>
  </w:style>
  <w:style w:type="paragraph" w:styleId="41">
    <w:name w:val="envelope return"/>
    <w:basedOn w:val="1"/>
    <w:qFormat/>
    <w:uiPriority w:val="0"/>
    <w:pPr>
      <w:snapToGrid w:val="0"/>
    </w:pPr>
    <w:rPr>
      <w:rFonts w:ascii="Arial" w:hAnsi="Arial" w:cs="Arial"/>
      <w:szCs w:val="24"/>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2"/>
    <w:link w:val="310"/>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6"/>
    <w:qFormat/>
    <w:uiPriority w:val="0"/>
    <w:rPr>
      <w:b/>
      <w:bCs/>
    </w:rPr>
  </w:style>
  <w:style w:type="paragraph" w:styleId="61">
    <w:name w:val="Body Text First Indent"/>
    <w:basedOn w:val="23"/>
    <w:next w:val="1"/>
    <w:link w:val="321"/>
    <w:qFormat/>
    <w:uiPriority w:val="0"/>
    <w:pPr>
      <w:ind w:firstLine="420"/>
    </w:pPr>
    <w:rPr>
      <w:rFonts w:hAnsi="Calibri" w:cs="Times New Roman"/>
      <w:snapToGrid/>
      <w:szCs w:val="20"/>
    </w:rPr>
  </w:style>
  <w:style w:type="paragraph" w:styleId="62">
    <w:name w:val="Body Text First Indent 2"/>
    <w:basedOn w:val="25"/>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DAS正文"/>
    <w:basedOn w:val="1"/>
    <w:qFormat/>
    <w:uiPriority w:val="0"/>
    <w:pPr>
      <w:tabs>
        <w:tab w:val="left" w:pos="1200"/>
      </w:tabs>
      <w:spacing w:line="360" w:lineRule="exact"/>
      <w:ind w:left="-17" w:leftChars="-8" w:right="181" w:firstLine="632" w:firstLineChars="300"/>
    </w:pPr>
    <w:rPr>
      <w:rFonts w:ascii="Verdana" w:hAnsi="Verdana" w:eastAsia="宋体" w:cs="Times New Roman"/>
      <w:b/>
      <w:bCs/>
      <w:szCs w:val="21"/>
    </w:rPr>
  </w:style>
  <w:style w:type="paragraph" w:customStyle="1" w:styleId="81">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4"/>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6"/>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39"/>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2"/>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0"/>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5"/>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7"/>
    <w:qFormat/>
    <w:uiPriority w:val="0"/>
    <w:rPr>
      <w:rFonts w:ascii="黑体" w:hAnsi="Courier New" w:eastAsia="黑体"/>
    </w:rPr>
  </w:style>
  <w:style w:type="character" w:customStyle="1" w:styleId="302">
    <w:name w:val="正文文本 2 Char1"/>
    <w:link w:val="24"/>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9"/>
    <w:qFormat/>
    <w:uiPriority w:val="0"/>
    <w:rPr>
      <w:b/>
      <w:bCs/>
      <w:kern w:val="2"/>
      <w:sz w:val="24"/>
      <w:szCs w:val="24"/>
    </w:rPr>
  </w:style>
  <w:style w:type="character" w:customStyle="1" w:styleId="308">
    <w:name w:val="正文文本缩进 2 Char"/>
    <w:link w:val="37"/>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61"/>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qFormat/>
    <w:uiPriority w:val="0"/>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0"/>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2"/>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5"/>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516"/>
    <w:next w:val="23"/>
    <w:qFormat/>
    <w:uiPriority w:val="0"/>
    <w:pPr>
      <w:adjustRightInd/>
      <w:ind w:firstLine="200" w:firstLineChars="200"/>
    </w:pPr>
    <w:rPr>
      <w:rFonts w:ascii="Arial" w:hAnsi="Arial"/>
      <w:spacing w:val="-5"/>
      <w:kern w:val="0"/>
      <w:sz w:val="24"/>
      <w:szCs w:val="20"/>
    </w:rPr>
  </w:style>
  <w:style w:type="paragraph" w:customStyle="1" w:styleId="516">
    <w:name w:val="表格文字（两侧对齐）"/>
    <w:basedOn w:val="1"/>
    <w:qFormat/>
    <w:uiPriority w:val="0"/>
    <w:pPr>
      <w:autoSpaceDE/>
      <w:autoSpaceDN/>
      <w:adjustRightInd/>
      <w:snapToGrid w:val="0"/>
    </w:pPr>
    <w:rPr>
      <w:color w:val="auto"/>
      <w:sz w:val="20"/>
      <w:szCs w:val="24"/>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5"/>
    <w:next w:val="235"/>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5"/>
    <w:next w:val="235"/>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2"/>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24"/>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6"/>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7"/>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5"/>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2"/>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18"/>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数字标题5"/>
    <w:basedOn w:val="7"/>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8"/>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5">
    <w:name w:val="Plain Text"/>
    <w:basedOn w:val="1"/>
    <w:qFormat/>
    <w:uiPriority w:val="0"/>
    <w:pPr>
      <w:adjustRightInd w:val="0"/>
      <w:textAlignment w:val="baseline"/>
    </w:pPr>
    <w:rPr>
      <w:rFonts w:ascii="宋体" w:hAnsi="Courier New" w:eastAsia="楷体_GB2312"/>
      <w:sz w:val="26"/>
      <w:szCs w:val="20"/>
    </w:rPr>
  </w:style>
  <w:style w:type="paragraph" w:customStyle="1" w:styleId="96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8">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character" w:customStyle="1" w:styleId="969">
    <w:name w:val="NormalCharacter"/>
    <w:qFormat/>
    <w:uiPriority w:val="0"/>
    <w:rPr>
      <w:kern w:val="2"/>
      <w:sz w:val="21"/>
      <w:szCs w:val="24"/>
      <w:lang w:val="en-US" w:eastAsia="zh-CN" w:bidi="ar-SA"/>
    </w:rPr>
  </w:style>
  <w:style w:type="character" w:customStyle="1" w:styleId="970">
    <w:name w:val="UserStyle_12"/>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55</Pages>
  <Words>29461</Words>
  <Characters>31306</Characters>
  <Lines>287</Lines>
  <Paragraphs>81</Paragraphs>
  <TotalTime>39</TotalTime>
  <ScaleCrop>false</ScaleCrop>
  <LinksUpToDate>false</LinksUpToDate>
  <CharactersWithSpaces>34554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9</cp:lastModifiedBy>
  <cp:lastPrinted>2021-12-27T03:06:00Z</cp:lastPrinted>
  <dcterms:modified xsi:type="dcterms:W3CDTF">2022-10-31T06:42:36Z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