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6AA01D">
      <w:pPr>
        <w:spacing w:line="360" w:lineRule="auto"/>
        <w:jc w:val="center"/>
        <w:rPr>
          <w:rFonts w:hint="eastAsia" w:ascii="宋体" w:hAnsi="宋体" w:eastAsia="宋体" w:cs="宋体"/>
          <w:b/>
          <w:color w:val="auto"/>
          <w:sz w:val="44"/>
          <w:szCs w:val="44"/>
          <w:highlight w:val="none"/>
        </w:rPr>
      </w:pPr>
    </w:p>
    <w:p w14:paraId="13C4B512">
      <w:pPr>
        <w:spacing w:line="360" w:lineRule="auto"/>
        <w:jc w:val="center"/>
        <w:rPr>
          <w:rFonts w:hint="eastAsia" w:ascii="宋体" w:hAnsi="宋体" w:eastAsia="宋体" w:cs="宋体"/>
          <w:b/>
          <w:color w:val="auto"/>
          <w:sz w:val="44"/>
          <w:szCs w:val="44"/>
          <w:highlight w:val="none"/>
        </w:rPr>
      </w:pPr>
    </w:p>
    <w:p w14:paraId="5AED3CA0">
      <w:pPr>
        <w:bidi w:val="0"/>
        <w:ind w:left="0" w:leftChars="0" w:right="0" w:rightChars="0" w:firstLine="0" w:firstLineChars="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嘉兴市体育彩票管理服务中心2025年嘉兴体彩品牌公益推广系列活动项目</w:t>
      </w:r>
      <w:bookmarkStart w:id="36" w:name="_GoBack"/>
      <w:bookmarkEnd w:id="36"/>
    </w:p>
    <w:p w14:paraId="4A458F6A">
      <w:pPr>
        <w:adjustRightInd/>
        <w:spacing w:line="360" w:lineRule="auto"/>
        <w:jc w:val="center"/>
        <w:rPr>
          <w:rFonts w:hint="eastAsia" w:ascii="宋体" w:hAnsi="宋体" w:eastAsia="宋体" w:cs="宋体"/>
          <w:color w:val="auto"/>
          <w:sz w:val="48"/>
          <w:szCs w:val="48"/>
          <w:highlight w:val="none"/>
        </w:rPr>
      </w:pPr>
    </w:p>
    <w:p w14:paraId="75ED6D97">
      <w:pPr>
        <w:spacing w:line="360" w:lineRule="auto"/>
        <w:jc w:val="center"/>
        <w:rPr>
          <w:rFonts w:hint="eastAsia" w:ascii="宋体" w:hAnsi="宋体" w:eastAsia="宋体" w:cs="宋体"/>
          <w:b/>
          <w:color w:val="auto"/>
          <w:kern w:val="2"/>
          <w:sz w:val="48"/>
          <w:szCs w:val="48"/>
          <w:highlight w:val="none"/>
        </w:rPr>
      </w:pPr>
    </w:p>
    <w:p w14:paraId="7A4F942A">
      <w:pPr>
        <w:spacing w:line="360" w:lineRule="auto"/>
        <w:jc w:val="center"/>
        <w:rPr>
          <w:rFonts w:hint="eastAsia" w:ascii="宋体" w:hAnsi="宋体" w:eastAsia="宋体" w:cs="宋体"/>
          <w:b/>
          <w:color w:val="auto"/>
          <w:kern w:val="2"/>
          <w:sz w:val="48"/>
          <w:szCs w:val="48"/>
          <w:highlight w:val="none"/>
        </w:rPr>
      </w:pPr>
      <w:r>
        <w:rPr>
          <w:rFonts w:hint="eastAsia" w:ascii="宋体" w:hAnsi="宋体" w:eastAsia="宋体" w:cs="宋体"/>
          <w:b/>
          <w:color w:val="auto"/>
          <w:kern w:val="2"/>
          <w:sz w:val="48"/>
          <w:szCs w:val="48"/>
          <w:highlight w:val="none"/>
        </w:rPr>
        <w:t>公开招标文件</w:t>
      </w:r>
    </w:p>
    <w:p w14:paraId="69A5EFF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kern w:val="2"/>
          <w:sz w:val="28"/>
          <w:szCs w:val="28"/>
          <w:highlight w:val="none"/>
        </w:rPr>
        <w:t>（电子招投标）</w:t>
      </w:r>
    </w:p>
    <w:p w14:paraId="4588799E">
      <w:pPr>
        <w:snapToGrid w:val="0"/>
        <w:spacing w:line="360" w:lineRule="auto"/>
        <w:jc w:val="center"/>
        <w:rPr>
          <w:rFonts w:hint="eastAsia" w:ascii="宋体" w:hAnsi="宋体" w:eastAsia="宋体" w:cs="宋体"/>
          <w:color w:val="auto"/>
          <w:sz w:val="30"/>
          <w:szCs w:val="30"/>
          <w:highlight w:val="none"/>
          <w:lang w:eastAsia="zh-CN"/>
        </w:rPr>
      </w:pPr>
    </w:p>
    <w:p w14:paraId="5077BAF1">
      <w:pPr>
        <w:adjustRightInd/>
        <w:spacing w:line="360" w:lineRule="auto"/>
        <w:rPr>
          <w:rFonts w:hint="eastAsia" w:ascii="宋体" w:hAnsi="宋体" w:eastAsia="宋体" w:cs="宋体"/>
          <w:color w:val="auto"/>
          <w:sz w:val="28"/>
          <w:szCs w:val="20"/>
          <w:highlight w:val="none"/>
        </w:rPr>
      </w:pPr>
    </w:p>
    <w:p w14:paraId="4F751097">
      <w:pPr>
        <w:spacing w:line="360" w:lineRule="auto"/>
        <w:jc w:val="center"/>
        <w:rPr>
          <w:rFonts w:hint="eastAsia" w:ascii="宋体" w:hAnsi="宋体" w:eastAsia="宋体" w:cs="宋体"/>
          <w:b/>
          <w:color w:val="auto"/>
          <w:sz w:val="44"/>
          <w:szCs w:val="44"/>
          <w:highlight w:val="none"/>
        </w:rPr>
      </w:pPr>
    </w:p>
    <w:p w14:paraId="7CDB034D">
      <w:pPr>
        <w:spacing w:line="360" w:lineRule="auto"/>
        <w:jc w:val="center"/>
        <w:rPr>
          <w:rFonts w:hint="eastAsia" w:ascii="宋体" w:hAnsi="宋体" w:eastAsia="宋体" w:cs="宋体"/>
          <w:b/>
          <w:color w:val="auto"/>
          <w:sz w:val="44"/>
          <w:szCs w:val="44"/>
          <w:highlight w:val="none"/>
        </w:rPr>
      </w:pPr>
    </w:p>
    <w:p w14:paraId="4EB67CD7">
      <w:pPr>
        <w:spacing w:line="360" w:lineRule="auto"/>
        <w:jc w:val="center"/>
        <w:rPr>
          <w:rFonts w:hint="eastAsia" w:ascii="宋体" w:hAnsi="宋体" w:eastAsia="宋体" w:cs="宋体"/>
          <w:color w:val="auto"/>
          <w:sz w:val="24"/>
          <w:highlight w:val="none"/>
        </w:rPr>
      </w:pPr>
    </w:p>
    <w:p w14:paraId="36133EBB">
      <w:pPr>
        <w:spacing w:line="360" w:lineRule="auto"/>
        <w:rPr>
          <w:rFonts w:hint="eastAsia" w:ascii="宋体" w:hAnsi="宋体" w:eastAsia="宋体" w:cs="宋体"/>
          <w:color w:val="auto"/>
          <w:sz w:val="32"/>
          <w:szCs w:val="32"/>
          <w:highlight w:val="none"/>
        </w:rPr>
      </w:pPr>
    </w:p>
    <w:p w14:paraId="7729398A">
      <w:pPr>
        <w:snapToGrid w:val="0"/>
        <w:spacing w:line="360" w:lineRule="auto"/>
        <w:ind w:left="0" w:leftChars="0" w:firstLine="838" w:firstLineChars="262"/>
        <w:jc w:val="left"/>
        <w:rPr>
          <w:rFonts w:hint="eastAsia" w:ascii="宋体" w:hAnsi="宋体" w:eastAsia="宋体" w:cs="宋体"/>
          <w:color w:val="auto"/>
          <w:sz w:val="32"/>
          <w:szCs w:val="32"/>
          <w:highlight w:val="none"/>
          <w:lang w:val="en-US" w:eastAsia="zh-CN"/>
        </w:rPr>
      </w:pPr>
    </w:p>
    <w:p w14:paraId="3D4B9BF4">
      <w:pPr>
        <w:pStyle w:val="2"/>
        <w:rPr>
          <w:rFonts w:hint="eastAsia" w:ascii="宋体" w:hAnsi="宋体" w:eastAsia="宋体" w:cs="宋体"/>
          <w:color w:val="auto"/>
          <w:sz w:val="32"/>
          <w:szCs w:val="32"/>
          <w:highlight w:val="none"/>
          <w:lang w:val="en-US" w:eastAsia="zh-CN"/>
        </w:rPr>
      </w:pPr>
    </w:p>
    <w:p w14:paraId="34A700FF">
      <w:pPr>
        <w:pStyle w:val="2"/>
        <w:rPr>
          <w:rFonts w:hint="eastAsia" w:ascii="宋体" w:hAnsi="宋体" w:eastAsia="宋体" w:cs="宋体"/>
          <w:color w:val="auto"/>
          <w:sz w:val="32"/>
          <w:szCs w:val="32"/>
          <w:highlight w:val="none"/>
          <w:lang w:val="en-US" w:eastAsia="zh-CN"/>
        </w:rPr>
      </w:pPr>
    </w:p>
    <w:p w14:paraId="2B5A01AD">
      <w:pPr>
        <w:snapToGrid w:val="0"/>
        <w:spacing w:line="360" w:lineRule="auto"/>
        <w:ind w:left="0" w:leftChars="0" w:firstLine="838" w:firstLineChars="262"/>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项目</w:t>
      </w:r>
      <w:r>
        <w:rPr>
          <w:rFonts w:hint="eastAsia" w:ascii="宋体" w:hAnsi="宋体" w:eastAsia="宋体" w:cs="宋体"/>
          <w:color w:val="auto"/>
          <w:sz w:val="32"/>
          <w:szCs w:val="32"/>
          <w:highlight w:val="none"/>
        </w:rPr>
        <w:t>编号</w:t>
      </w:r>
      <w:r>
        <w:rPr>
          <w:rFonts w:hint="eastAsia" w:ascii="宋体" w:hAnsi="宋体" w:eastAsia="宋体" w:cs="宋体"/>
          <w:color w:val="auto"/>
          <w:sz w:val="32"/>
          <w:szCs w:val="32"/>
          <w:highlight w:val="none"/>
          <w:lang w:eastAsia="zh-CN"/>
        </w:rPr>
        <w:t>：JXYJY-2025-10</w:t>
      </w:r>
    </w:p>
    <w:p w14:paraId="75AFC062">
      <w:pPr>
        <w:snapToGrid w:val="0"/>
        <w:spacing w:line="360" w:lineRule="auto"/>
        <w:ind w:left="0" w:leftChars="0" w:firstLine="838" w:firstLineChars="262"/>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嘉兴市体育彩票管理服务中心</w:t>
      </w:r>
    </w:p>
    <w:p w14:paraId="3CB93E92">
      <w:pPr>
        <w:snapToGrid w:val="0"/>
        <w:spacing w:line="360" w:lineRule="auto"/>
        <w:ind w:left="0" w:leftChars="0" w:firstLine="838" w:firstLineChars="262"/>
        <w:jc w:val="left"/>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嘉兴市银建工程咨询评估有限公司</w:t>
      </w:r>
    </w:p>
    <w:p w14:paraId="15A31185">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2025年</w:t>
      </w:r>
      <w:r>
        <w:rPr>
          <w:rFonts w:hint="eastAsia" w:ascii="宋体" w:hAnsi="宋体" w:eastAsia="宋体" w:cs="宋体"/>
          <w:bCs/>
          <w:color w:val="auto"/>
          <w:sz w:val="32"/>
          <w:szCs w:val="32"/>
          <w:highlight w:val="none"/>
          <w:lang w:val="en-US" w:eastAsia="zh-CN"/>
        </w:rPr>
        <w:t>7</w:t>
      </w:r>
      <w:r>
        <w:rPr>
          <w:rFonts w:hint="eastAsia" w:ascii="宋体" w:hAnsi="宋体" w:eastAsia="宋体" w:cs="宋体"/>
          <w:bCs/>
          <w:color w:val="auto"/>
          <w:sz w:val="32"/>
          <w:szCs w:val="32"/>
          <w:highlight w:val="none"/>
          <w:lang w:eastAsia="zh-CN"/>
        </w:rPr>
        <w:t>月</w:t>
      </w:r>
    </w:p>
    <w:p w14:paraId="214A3B9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sdt>
      <w:sdtPr>
        <w:rPr>
          <w:rFonts w:hint="eastAsia" w:ascii="宋体" w:hAnsi="宋体" w:eastAsia="宋体" w:cs="宋体"/>
          <w:color w:val="auto"/>
          <w:kern w:val="0"/>
          <w:sz w:val="21"/>
          <w:szCs w:val="21"/>
          <w:highlight w:val="none"/>
          <w:lang w:val="en-US" w:eastAsia="zh-CN" w:bidi="ar-SA"/>
        </w:rPr>
        <w:id w:val="654023252"/>
        <w15:color w:val="DBDBDB"/>
        <w:docPartObj>
          <w:docPartGallery w:val="Table of Contents"/>
          <w:docPartUnique/>
        </w:docPartObj>
      </w:sdtPr>
      <w:sdtEndPr>
        <w:rPr>
          <w:rFonts w:hint="eastAsia" w:ascii="宋体" w:hAnsi="宋体" w:eastAsia="宋体" w:cs="宋体"/>
          <w:color w:val="auto"/>
          <w:kern w:val="0"/>
          <w:sz w:val="21"/>
          <w:szCs w:val="32"/>
          <w:highlight w:val="none"/>
          <w:lang w:val="en-US" w:eastAsia="zh-CN" w:bidi="ar-SA"/>
        </w:rPr>
      </w:sdtEndPr>
      <w:sdtContent>
        <w:p w14:paraId="1B82141B">
          <w:pPr>
            <w:spacing w:before="0" w:beforeLines="0" w:after="0" w:afterLines="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p w14:paraId="58403456">
          <w:pPr>
            <w:spacing w:before="0" w:beforeLines="0" w:after="0" w:afterLines="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p w14:paraId="791FF2AB">
          <w:pPr>
            <w:spacing w:before="0" w:beforeLines="0" w:after="0" w:afterLines="0" w:line="240" w:lineRule="auto"/>
            <w:ind w:left="0" w:leftChars="0" w:right="0" w:rightChars="0"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14:paraId="1D3328BB">
          <w:pPr>
            <w:spacing w:before="0" w:beforeLines="0" w:after="0" w:afterLines="0" w:line="240" w:lineRule="auto"/>
            <w:ind w:left="0" w:leftChars="0" w:right="0" w:rightChars="0" w:firstLine="0" w:firstLineChars="0"/>
            <w:jc w:val="center"/>
            <w:rPr>
              <w:rFonts w:hint="eastAsia" w:ascii="宋体" w:hAnsi="宋体" w:eastAsia="宋体" w:cs="宋体"/>
              <w:b/>
              <w:color w:val="auto"/>
              <w:sz w:val="56"/>
              <w:szCs w:val="56"/>
              <w:highlight w:val="none"/>
            </w:rPr>
          </w:pPr>
        </w:p>
        <w:p w14:paraId="47A2BA1B">
          <w:pPr>
            <w:pStyle w:val="17"/>
            <w:tabs>
              <w:tab w:val="right" w:leader="dot" w:pos="9184"/>
            </w:tabs>
            <w:rPr>
              <w:color w:val="auto"/>
              <w:sz w:val="24"/>
              <w:szCs w:val="24"/>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4"/>
              <w:szCs w:val="40"/>
              <w:highlight w:val="none"/>
            </w:rPr>
            <w:fldChar w:fldCharType="begin"/>
          </w:r>
          <w:r>
            <w:rPr>
              <w:rFonts w:hint="eastAsia" w:ascii="宋体" w:hAnsi="宋体" w:eastAsia="宋体" w:cs="宋体"/>
              <w:color w:val="auto"/>
              <w:sz w:val="24"/>
              <w:szCs w:val="40"/>
              <w:highlight w:val="none"/>
            </w:rPr>
            <w:instrText xml:space="preserve"> HYPERLINK \l _Toc525752197 </w:instrText>
          </w:r>
          <w:r>
            <w:rPr>
              <w:rFonts w:hint="eastAsia" w:ascii="宋体" w:hAnsi="宋体" w:eastAsia="宋体" w:cs="宋体"/>
              <w:color w:val="auto"/>
              <w:sz w:val="24"/>
              <w:szCs w:val="40"/>
              <w:highlight w:val="none"/>
            </w:rPr>
            <w:fldChar w:fldCharType="separate"/>
          </w:r>
          <w:r>
            <w:rPr>
              <w:rFonts w:hint="eastAsia" w:ascii="宋体" w:hAnsi="宋体" w:eastAsia="宋体" w:cs="宋体"/>
              <w:color w:val="auto"/>
              <w:sz w:val="24"/>
              <w:szCs w:val="24"/>
              <w:highlight w:val="none"/>
            </w:rPr>
            <w:t>第一部分  招标公告</w:t>
          </w:r>
          <w:r>
            <w:rPr>
              <w:color w:val="auto"/>
              <w:sz w:val="24"/>
              <w:szCs w:val="24"/>
            </w:rPr>
            <w:tab/>
          </w:r>
          <w:r>
            <w:rPr>
              <w:color w:val="auto"/>
              <w:sz w:val="24"/>
              <w:szCs w:val="24"/>
            </w:rPr>
            <w:fldChar w:fldCharType="begin"/>
          </w:r>
          <w:r>
            <w:rPr>
              <w:color w:val="auto"/>
              <w:sz w:val="24"/>
              <w:szCs w:val="24"/>
            </w:rPr>
            <w:instrText xml:space="preserve"> PAGEREF _Toc525752197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宋体" w:hAnsi="宋体" w:eastAsia="宋体" w:cs="宋体"/>
              <w:color w:val="auto"/>
              <w:sz w:val="24"/>
              <w:szCs w:val="40"/>
              <w:highlight w:val="none"/>
            </w:rPr>
            <w:fldChar w:fldCharType="end"/>
          </w:r>
        </w:p>
        <w:p w14:paraId="04452D77">
          <w:pPr>
            <w:pStyle w:val="17"/>
            <w:tabs>
              <w:tab w:val="right" w:leader="dot" w:pos="9184"/>
            </w:tabs>
            <w:rPr>
              <w:color w:val="auto"/>
              <w:sz w:val="24"/>
              <w:szCs w:val="24"/>
            </w:rPr>
          </w:pPr>
          <w:r>
            <w:rPr>
              <w:rFonts w:hint="eastAsia" w:ascii="宋体" w:hAnsi="宋体" w:eastAsia="宋体" w:cs="宋体"/>
              <w:color w:val="auto"/>
              <w:sz w:val="24"/>
              <w:szCs w:val="40"/>
              <w:highlight w:val="none"/>
            </w:rPr>
            <w:fldChar w:fldCharType="begin"/>
          </w:r>
          <w:r>
            <w:rPr>
              <w:rFonts w:hint="eastAsia" w:ascii="宋体" w:hAnsi="宋体" w:eastAsia="宋体" w:cs="宋体"/>
              <w:color w:val="auto"/>
              <w:sz w:val="24"/>
              <w:szCs w:val="40"/>
              <w:highlight w:val="none"/>
            </w:rPr>
            <w:instrText xml:space="preserve"> HYPERLINK \l _Toc1569451221 </w:instrText>
          </w:r>
          <w:r>
            <w:rPr>
              <w:rFonts w:hint="eastAsia" w:ascii="宋体" w:hAnsi="宋体" w:eastAsia="宋体" w:cs="宋体"/>
              <w:color w:val="auto"/>
              <w:sz w:val="24"/>
              <w:szCs w:val="40"/>
              <w:highlight w:val="none"/>
            </w:rPr>
            <w:fldChar w:fldCharType="separate"/>
          </w:r>
          <w:r>
            <w:rPr>
              <w:rFonts w:hint="eastAsia" w:ascii="宋体" w:hAnsi="宋体" w:eastAsia="宋体" w:cs="宋体"/>
              <w:color w:val="auto"/>
              <w:sz w:val="24"/>
              <w:szCs w:val="24"/>
              <w:highlight w:val="none"/>
              <w:lang w:val="en-US" w:eastAsia="zh-CN"/>
            </w:rPr>
            <w:t>第二部分  投标人须知</w:t>
          </w:r>
          <w:r>
            <w:rPr>
              <w:color w:val="auto"/>
              <w:sz w:val="24"/>
              <w:szCs w:val="24"/>
            </w:rPr>
            <w:tab/>
          </w:r>
          <w:r>
            <w:rPr>
              <w:color w:val="auto"/>
              <w:sz w:val="24"/>
              <w:szCs w:val="24"/>
            </w:rPr>
            <w:fldChar w:fldCharType="begin"/>
          </w:r>
          <w:r>
            <w:rPr>
              <w:color w:val="auto"/>
              <w:sz w:val="24"/>
              <w:szCs w:val="24"/>
            </w:rPr>
            <w:instrText xml:space="preserve"> PAGEREF _Toc1569451221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宋体" w:hAnsi="宋体" w:eastAsia="宋体" w:cs="宋体"/>
              <w:color w:val="auto"/>
              <w:sz w:val="24"/>
              <w:szCs w:val="40"/>
              <w:highlight w:val="none"/>
            </w:rPr>
            <w:fldChar w:fldCharType="end"/>
          </w:r>
        </w:p>
        <w:p w14:paraId="1B982D32">
          <w:pPr>
            <w:pStyle w:val="17"/>
            <w:tabs>
              <w:tab w:val="right" w:leader="dot" w:pos="9184"/>
            </w:tabs>
            <w:rPr>
              <w:color w:val="auto"/>
              <w:sz w:val="24"/>
              <w:szCs w:val="24"/>
            </w:rPr>
          </w:pPr>
          <w:r>
            <w:rPr>
              <w:rFonts w:hint="eastAsia" w:ascii="宋体" w:hAnsi="宋体" w:eastAsia="宋体" w:cs="宋体"/>
              <w:color w:val="auto"/>
              <w:sz w:val="24"/>
              <w:szCs w:val="40"/>
              <w:highlight w:val="none"/>
            </w:rPr>
            <w:fldChar w:fldCharType="begin"/>
          </w:r>
          <w:r>
            <w:rPr>
              <w:rFonts w:hint="eastAsia" w:ascii="宋体" w:hAnsi="宋体" w:eastAsia="宋体" w:cs="宋体"/>
              <w:color w:val="auto"/>
              <w:sz w:val="24"/>
              <w:szCs w:val="40"/>
              <w:highlight w:val="none"/>
            </w:rPr>
            <w:instrText xml:space="preserve"> HYPERLINK \l _Toc225035246 </w:instrText>
          </w:r>
          <w:r>
            <w:rPr>
              <w:rFonts w:hint="eastAsia" w:ascii="宋体" w:hAnsi="宋体" w:eastAsia="宋体" w:cs="宋体"/>
              <w:color w:val="auto"/>
              <w:sz w:val="24"/>
              <w:szCs w:val="40"/>
              <w:highlight w:val="none"/>
            </w:rPr>
            <w:fldChar w:fldCharType="separate"/>
          </w:r>
          <w:r>
            <w:rPr>
              <w:rFonts w:hint="eastAsia" w:ascii="宋体" w:hAnsi="宋体" w:eastAsia="宋体" w:cs="宋体"/>
              <w:color w:val="auto"/>
              <w:sz w:val="24"/>
              <w:szCs w:val="24"/>
              <w:highlight w:val="none"/>
            </w:rPr>
            <w:t>第三部分  采购需求</w:t>
          </w:r>
          <w:r>
            <w:rPr>
              <w:color w:val="auto"/>
              <w:sz w:val="24"/>
              <w:szCs w:val="24"/>
            </w:rPr>
            <w:tab/>
          </w:r>
          <w:r>
            <w:rPr>
              <w:color w:val="auto"/>
              <w:sz w:val="24"/>
              <w:szCs w:val="24"/>
            </w:rPr>
            <w:fldChar w:fldCharType="begin"/>
          </w:r>
          <w:r>
            <w:rPr>
              <w:color w:val="auto"/>
              <w:sz w:val="24"/>
              <w:szCs w:val="24"/>
            </w:rPr>
            <w:instrText xml:space="preserve"> PAGEREF _Toc225035246 \h </w:instrText>
          </w:r>
          <w:r>
            <w:rPr>
              <w:color w:val="auto"/>
              <w:sz w:val="24"/>
              <w:szCs w:val="24"/>
            </w:rPr>
            <w:fldChar w:fldCharType="separate"/>
          </w:r>
          <w:r>
            <w:rPr>
              <w:color w:val="auto"/>
              <w:sz w:val="24"/>
              <w:szCs w:val="24"/>
            </w:rPr>
            <w:t>23</w:t>
          </w:r>
          <w:r>
            <w:rPr>
              <w:color w:val="auto"/>
              <w:sz w:val="24"/>
              <w:szCs w:val="24"/>
            </w:rPr>
            <w:fldChar w:fldCharType="end"/>
          </w:r>
          <w:r>
            <w:rPr>
              <w:rFonts w:hint="eastAsia" w:ascii="宋体" w:hAnsi="宋体" w:eastAsia="宋体" w:cs="宋体"/>
              <w:color w:val="auto"/>
              <w:sz w:val="24"/>
              <w:szCs w:val="40"/>
              <w:highlight w:val="none"/>
            </w:rPr>
            <w:fldChar w:fldCharType="end"/>
          </w:r>
        </w:p>
        <w:p w14:paraId="73FF1622">
          <w:pPr>
            <w:pStyle w:val="17"/>
            <w:tabs>
              <w:tab w:val="right" w:leader="dot" w:pos="9184"/>
            </w:tabs>
            <w:rPr>
              <w:color w:val="auto"/>
              <w:sz w:val="24"/>
              <w:szCs w:val="24"/>
            </w:rPr>
          </w:pPr>
          <w:r>
            <w:rPr>
              <w:rFonts w:hint="eastAsia" w:ascii="宋体" w:hAnsi="宋体" w:eastAsia="宋体" w:cs="宋体"/>
              <w:color w:val="auto"/>
              <w:sz w:val="24"/>
              <w:szCs w:val="40"/>
              <w:highlight w:val="none"/>
            </w:rPr>
            <w:fldChar w:fldCharType="begin"/>
          </w:r>
          <w:r>
            <w:rPr>
              <w:rFonts w:hint="eastAsia" w:ascii="宋体" w:hAnsi="宋体" w:eastAsia="宋体" w:cs="宋体"/>
              <w:color w:val="auto"/>
              <w:sz w:val="24"/>
              <w:szCs w:val="40"/>
              <w:highlight w:val="none"/>
            </w:rPr>
            <w:instrText xml:space="preserve"> HYPERLINK \l _Toc448677155 </w:instrText>
          </w:r>
          <w:r>
            <w:rPr>
              <w:rFonts w:hint="eastAsia" w:ascii="宋体" w:hAnsi="宋体" w:eastAsia="宋体" w:cs="宋体"/>
              <w:color w:val="auto"/>
              <w:sz w:val="24"/>
              <w:szCs w:val="40"/>
              <w:highlight w:val="none"/>
            </w:rPr>
            <w:fldChar w:fldCharType="separate"/>
          </w:r>
          <w:r>
            <w:rPr>
              <w:rFonts w:hint="eastAsia" w:ascii="宋体" w:hAnsi="宋体" w:eastAsia="宋体" w:cs="宋体"/>
              <w:color w:val="auto"/>
              <w:sz w:val="24"/>
              <w:szCs w:val="24"/>
              <w:highlight w:val="none"/>
              <w:lang w:val="en-US" w:eastAsia="zh-CN"/>
            </w:rPr>
            <w:t>第四部分  评标办法</w:t>
          </w:r>
          <w:r>
            <w:rPr>
              <w:color w:val="auto"/>
              <w:sz w:val="24"/>
              <w:szCs w:val="24"/>
            </w:rPr>
            <w:tab/>
          </w:r>
          <w:r>
            <w:rPr>
              <w:color w:val="auto"/>
              <w:sz w:val="24"/>
              <w:szCs w:val="24"/>
            </w:rPr>
            <w:fldChar w:fldCharType="begin"/>
          </w:r>
          <w:r>
            <w:rPr>
              <w:color w:val="auto"/>
              <w:sz w:val="24"/>
              <w:szCs w:val="24"/>
            </w:rPr>
            <w:instrText xml:space="preserve"> PAGEREF _Toc448677155 \h </w:instrText>
          </w:r>
          <w:r>
            <w:rPr>
              <w:color w:val="auto"/>
              <w:sz w:val="24"/>
              <w:szCs w:val="24"/>
            </w:rPr>
            <w:fldChar w:fldCharType="separate"/>
          </w:r>
          <w:r>
            <w:rPr>
              <w:color w:val="auto"/>
              <w:sz w:val="24"/>
              <w:szCs w:val="24"/>
            </w:rPr>
            <w:t>27</w:t>
          </w:r>
          <w:r>
            <w:rPr>
              <w:color w:val="auto"/>
              <w:sz w:val="24"/>
              <w:szCs w:val="24"/>
            </w:rPr>
            <w:fldChar w:fldCharType="end"/>
          </w:r>
          <w:r>
            <w:rPr>
              <w:rFonts w:hint="eastAsia" w:ascii="宋体" w:hAnsi="宋体" w:eastAsia="宋体" w:cs="宋体"/>
              <w:color w:val="auto"/>
              <w:sz w:val="24"/>
              <w:szCs w:val="40"/>
              <w:highlight w:val="none"/>
            </w:rPr>
            <w:fldChar w:fldCharType="end"/>
          </w:r>
        </w:p>
        <w:p w14:paraId="6AF53783">
          <w:pPr>
            <w:pStyle w:val="17"/>
            <w:tabs>
              <w:tab w:val="right" w:leader="dot" w:pos="9184"/>
            </w:tabs>
            <w:rPr>
              <w:color w:val="auto"/>
              <w:sz w:val="24"/>
              <w:szCs w:val="24"/>
            </w:rPr>
          </w:pPr>
          <w:r>
            <w:rPr>
              <w:rFonts w:hint="eastAsia" w:ascii="宋体" w:hAnsi="宋体" w:eastAsia="宋体" w:cs="宋体"/>
              <w:color w:val="auto"/>
              <w:sz w:val="24"/>
              <w:szCs w:val="40"/>
              <w:highlight w:val="none"/>
            </w:rPr>
            <w:fldChar w:fldCharType="begin"/>
          </w:r>
          <w:r>
            <w:rPr>
              <w:rFonts w:hint="eastAsia" w:ascii="宋体" w:hAnsi="宋体" w:eastAsia="宋体" w:cs="宋体"/>
              <w:color w:val="auto"/>
              <w:sz w:val="24"/>
              <w:szCs w:val="40"/>
              <w:highlight w:val="none"/>
            </w:rPr>
            <w:instrText xml:space="preserve"> HYPERLINK \l _Toc1101859468 </w:instrText>
          </w:r>
          <w:r>
            <w:rPr>
              <w:rFonts w:hint="eastAsia" w:ascii="宋体" w:hAnsi="宋体" w:eastAsia="宋体" w:cs="宋体"/>
              <w:color w:val="auto"/>
              <w:sz w:val="24"/>
              <w:szCs w:val="40"/>
              <w:highlight w:val="none"/>
            </w:rPr>
            <w:fldChar w:fldCharType="separate"/>
          </w:r>
          <w:r>
            <w:rPr>
              <w:rFonts w:hint="eastAsia" w:ascii="宋体" w:hAnsi="宋体" w:eastAsia="宋体" w:cs="宋体"/>
              <w:color w:val="auto"/>
              <w:sz w:val="24"/>
              <w:szCs w:val="24"/>
              <w:highlight w:val="none"/>
              <w:lang w:val="en-US" w:eastAsia="zh-CN"/>
            </w:rPr>
            <w:t>第五部分  拟签订的合同文本</w:t>
          </w:r>
          <w:r>
            <w:rPr>
              <w:color w:val="auto"/>
              <w:sz w:val="24"/>
              <w:szCs w:val="24"/>
            </w:rPr>
            <w:tab/>
          </w:r>
          <w:r>
            <w:rPr>
              <w:color w:val="auto"/>
              <w:sz w:val="24"/>
              <w:szCs w:val="24"/>
            </w:rPr>
            <w:fldChar w:fldCharType="begin"/>
          </w:r>
          <w:r>
            <w:rPr>
              <w:color w:val="auto"/>
              <w:sz w:val="24"/>
              <w:szCs w:val="24"/>
            </w:rPr>
            <w:instrText xml:space="preserve"> PAGEREF _Toc1101859468 \h </w:instrText>
          </w:r>
          <w:r>
            <w:rPr>
              <w:color w:val="auto"/>
              <w:sz w:val="24"/>
              <w:szCs w:val="24"/>
            </w:rPr>
            <w:fldChar w:fldCharType="separate"/>
          </w:r>
          <w:r>
            <w:rPr>
              <w:color w:val="auto"/>
              <w:sz w:val="24"/>
              <w:szCs w:val="24"/>
            </w:rPr>
            <w:t>33</w:t>
          </w:r>
          <w:r>
            <w:rPr>
              <w:color w:val="auto"/>
              <w:sz w:val="24"/>
              <w:szCs w:val="24"/>
            </w:rPr>
            <w:fldChar w:fldCharType="end"/>
          </w:r>
          <w:r>
            <w:rPr>
              <w:rFonts w:hint="eastAsia" w:ascii="宋体" w:hAnsi="宋体" w:eastAsia="宋体" w:cs="宋体"/>
              <w:color w:val="auto"/>
              <w:sz w:val="24"/>
              <w:szCs w:val="40"/>
              <w:highlight w:val="none"/>
            </w:rPr>
            <w:fldChar w:fldCharType="end"/>
          </w:r>
        </w:p>
        <w:p w14:paraId="2C36D0A6">
          <w:pPr>
            <w:pStyle w:val="17"/>
            <w:tabs>
              <w:tab w:val="right" w:leader="dot" w:pos="9184"/>
            </w:tabs>
            <w:rPr>
              <w:color w:val="auto"/>
              <w:sz w:val="24"/>
              <w:szCs w:val="24"/>
            </w:rPr>
          </w:pPr>
          <w:r>
            <w:rPr>
              <w:rFonts w:hint="eastAsia" w:ascii="宋体" w:hAnsi="宋体" w:eastAsia="宋体" w:cs="宋体"/>
              <w:color w:val="auto"/>
              <w:sz w:val="24"/>
              <w:szCs w:val="40"/>
              <w:highlight w:val="none"/>
            </w:rPr>
            <w:fldChar w:fldCharType="begin"/>
          </w:r>
          <w:r>
            <w:rPr>
              <w:rFonts w:hint="eastAsia" w:ascii="宋体" w:hAnsi="宋体" w:eastAsia="宋体" w:cs="宋体"/>
              <w:color w:val="auto"/>
              <w:sz w:val="24"/>
              <w:szCs w:val="40"/>
              <w:highlight w:val="none"/>
            </w:rPr>
            <w:instrText xml:space="preserve"> HYPERLINK \l _Toc1200590595 </w:instrText>
          </w:r>
          <w:r>
            <w:rPr>
              <w:rFonts w:hint="eastAsia" w:ascii="宋体" w:hAnsi="宋体" w:eastAsia="宋体" w:cs="宋体"/>
              <w:color w:val="auto"/>
              <w:sz w:val="24"/>
              <w:szCs w:val="40"/>
              <w:highlight w:val="none"/>
            </w:rPr>
            <w:fldChar w:fldCharType="separate"/>
          </w:r>
          <w:r>
            <w:rPr>
              <w:rFonts w:hint="eastAsia" w:ascii="宋体" w:hAnsi="宋体" w:eastAsia="宋体" w:cs="宋体"/>
              <w:color w:val="auto"/>
              <w:sz w:val="24"/>
              <w:szCs w:val="24"/>
              <w:highlight w:val="none"/>
            </w:rPr>
            <w:t>第六部分  应提交的有关格式范例</w:t>
          </w:r>
          <w:r>
            <w:rPr>
              <w:color w:val="auto"/>
              <w:sz w:val="24"/>
              <w:szCs w:val="24"/>
            </w:rPr>
            <w:tab/>
          </w:r>
          <w:r>
            <w:rPr>
              <w:color w:val="auto"/>
              <w:sz w:val="24"/>
              <w:szCs w:val="24"/>
            </w:rPr>
            <w:fldChar w:fldCharType="begin"/>
          </w:r>
          <w:r>
            <w:rPr>
              <w:color w:val="auto"/>
              <w:sz w:val="24"/>
              <w:szCs w:val="24"/>
            </w:rPr>
            <w:instrText xml:space="preserve"> PAGEREF _Toc1200590595 \h </w:instrText>
          </w:r>
          <w:r>
            <w:rPr>
              <w:color w:val="auto"/>
              <w:sz w:val="24"/>
              <w:szCs w:val="24"/>
            </w:rPr>
            <w:fldChar w:fldCharType="separate"/>
          </w:r>
          <w:r>
            <w:rPr>
              <w:color w:val="auto"/>
              <w:sz w:val="24"/>
              <w:szCs w:val="24"/>
            </w:rPr>
            <w:t>37</w:t>
          </w:r>
          <w:r>
            <w:rPr>
              <w:color w:val="auto"/>
              <w:sz w:val="24"/>
              <w:szCs w:val="24"/>
            </w:rPr>
            <w:fldChar w:fldCharType="end"/>
          </w:r>
          <w:r>
            <w:rPr>
              <w:rFonts w:hint="eastAsia" w:ascii="宋体" w:hAnsi="宋体" w:eastAsia="宋体" w:cs="宋体"/>
              <w:color w:val="auto"/>
              <w:sz w:val="24"/>
              <w:szCs w:val="40"/>
              <w:highlight w:val="none"/>
            </w:rPr>
            <w:fldChar w:fldCharType="end"/>
          </w:r>
        </w:p>
        <w:p w14:paraId="727BFB80">
          <w:pPr>
            <w:spacing w:line="360" w:lineRule="auto"/>
            <w:rPr>
              <w:rFonts w:hint="eastAsia" w:ascii="宋体" w:hAnsi="宋体" w:eastAsia="宋体" w:cs="宋体"/>
              <w:color w:val="auto"/>
              <w:kern w:val="0"/>
              <w:sz w:val="21"/>
              <w:szCs w:val="32"/>
              <w:highlight w:val="none"/>
              <w:lang w:val="en-US" w:eastAsia="zh-CN" w:bidi="ar-SA"/>
            </w:rPr>
          </w:pPr>
          <w:r>
            <w:rPr>
              <w:rFonts w:hint="eastAsia" w:ascii="宋体" w:hAnsi="宋体" w:eastAsia="宋体" w:cs="宋体"/>
              <w:color w:val="auto"/>
              <w:sz w:val="24"/>
              <w:szCs w:val="40"/>
              <w:highlight w:val="none"/>
            </w:rPr>
            <w:fldChar w:fldCharType="end"/>
          </w:r>
        </w:p>
      </w:sdtContent>
    </w:sdt>
    <w:p w14:paraId="426EB98B">
      <w:pPr>
        <w:spacing w:line="360" w:lineRule="auto"/>
        <w:rPr>
          <w:rFonts w:hint="eastAsia" w:ascii="宋体" w:hAnsi="宋体" w:eastAsia="宋体" w:cs="宋体"/>
          <w:color w:val="auto"/>
          <w:kern w:val="0"/>
          <w:sz w:val="21"/>
          <w:szCs w:val="32"/>
          <w:highlight w:val="none"/>
          <w:lang w:val="en-US" w:eastAsia="zh-CN" w:bidi="ar-SA"/>
        </w:rPr>
      </w:pPr>
    </w:p>
    <w:p w14:paraId="24595ECE">
      <w:pPr>
        <w:spacing w:line="360" w:lineRule="auto"/>
        <w:ind w:firstLine="549" w:firstLineChars="229"/>
        <w:rPr>
          <w:rFonts w:hint="eastAsia" w:ascii="宋体" w:hAnsi="宋体" w:eastAsia="宋体" w:cs="宋体"/>
          <w:color w:val="auto"/>
          <w:sz w:val="24"/>
          <w:highlight w:val="none"/>
        </w:rPr>
      </w:pPr>
    </w:p>
    <w:p w14:paraId="7D1254A5">
      <w:pPr>
        <w:spacing w:line="360" w:lineRule="auto"/>
        <w:ind w:firstLine="549" w:firstLineChars="229"/>
        <w:rPr>
          <w:rFonts w:hint="eastAsia" w:ascii="宋体" w:hAnsi="宋体" w:eastAsia="宋体" w:cs="宋体"/>
          <w:color w:val="auto"/>
          <w:sz w:val="24"/>
          <w:highlight w:val="none"/>
        </w:rPr>
      </w:pPr>
    </w:p>
    <w:p w14:paraId="73B9C0E4">
      <w:pPr>
        <w:spacing w:line="360" w:lineRule="auto"/>
        <w:ind w:firstLine="549" w:firstLineChars="229"/>
        <w:rPr>
          <w:rFonts w:hint="eastAsia" w:ascii="宋体" w:hAnsi="宋体" w:eastAsia="宋体" w:cs="宋体"/>
          <w:color w:val="auto"/>
          <w:sz w:val="24"/>
          <w:highlight w:val="none"/>
        </w:rPr>
      </w:pPr>
    </w:p>
    <w:p w14:paraId="0A8B89E6">
      <w:pPr>
        <w:spacing w:line="360" w:lineRule="auto"/>
        <w:ind w:firstLine="549" w:firstLineChars="229"/>
        <w:rPr>
          <w:rFonts w:hint="eastAsia" w:ascii="宋体" w:hAnsi="宋体" w:eastAsia="宋体" w:cs="宋体"/>
          <w:color w:val="auto"/>
          <w:sz w:val="24"/>
          <w:highlight w:val="none"/>
        </w:rPr>
      </w:pPr>
    </w:p>
    <w:p w14:paraId="4DEB5FC2">
      <w:pPr>
        <w:spacing w:line="360" w:lineRule="auto"/>
        <w:ind w:firstLine="549" w:firstLineChars="229"/>
        <w:rPr>
          <w:rFonts w:hint="eastAsia" w:ascii="宋体" w:hAnsi="宋体" w:eastAsia="宋体" w:cs="宋体"/>
          <w:color w:val="auto"/>
          <w:sz w:val="24"/>
          <w:highlight w:val="none"/>
        </w:rPr>
      </w:pPr>
    </w:p>
    <w:p w14:paraId="0C582BD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E8F6E2">
      <w:pPr>
        <w:pStyle w:val="3"/>
        <w:bidi w:val="0"/>
        <w:rPr>
          <w:rFonts w:hint="eastAsia" w:ascii="宋体" w:hAnsi="宋体" w:eastAsia="宋体" w:cs="宋体"/>
          <w:color w:val="auto"/>
          <w:highlight w:val="none"/>
        </w:rPr>
      </w:pPr>
      <w:bookmarkStart w:id="0" w:name="_Toc525752197"/>
      <w:r>
        <w:rPr>
          <w:rFonts w:hint="eastAsia" w:ascii="宋体" w:hAnsi="宋体" w:eastAsia="宋体" w:cs="宋体"/>
          <w:color w:val="auto"/>
          <w:highlight w:val="none"/>
        </w:rPr>
        <w:t>第一部分  招标公告</w:t>
      </w:r>
      <w:bookmarkEnd w:id="0"/>
    </w:p>
    <w:p w14:paraId="57E258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D0B6E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嘉兴市体育彩票管理服务中心2025年嘉兴体彩品牌公益推广系列活动项目</w:t>
      </w:r>
      <w:r>
        <w:rPr>
          <w:rFonts w:hint="eastAsia" w:ascii="宋体" w:hAnsi="宋体" w:eastAsia="宋体" w:cs="宋体"/>
          <w:color w:val="auto"/>
          <w:sz w:val="21"/>
          <w:szCs w:val="21"/>
          <w:highlight w:val="none"/>
        </w:rPr>
        <w:t>招标项目的潜在投标人应在政采云平台（https://www.zcygov.cn/）获取（下载）招标文件，并于</w:t>
      </w:r>
      <w:r>
        <w:rPr>
          <w:rFonts w:hint="eastAsia" w:ascii="宋体" w:hAnsi="宋体" w:eastAsia="宋体" w:cs="宋体"/>
          <w:color w:val="auto"/>
          <w:sz w:val="21"/>
          <w:szCs w:val="21"/>
          <w:highlight w:val="none"/>
          <w:lang w:eastAsia="zh-CN"/>
        </w:rPr>
        <w:t>2025年7月24日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80D0AB9">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3078AF2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color w:val="auto"/>
          <w:sz w:val="21"/>
          <w:szCs w:val="21"/>
          <w:highlight w:val="none"/>
          <w:lang w:eastAsia="zh-CN"/>
        </w:rPr>
        <w:t>JXYJY-2025-10</w:t>
      </w:r>
    </w:p>
    <w:p w14:paraId="21A2273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lang w:eastAsia="zh-CN"/>
        </w:rPr>
        <w:t>嘉兴市体育彩票管理服务中心2025年嘉兴体彩品牌公益推广系列活动项目</w:t>
      </w:r>
    </w:p>
    <w:p w14:paraId="4532886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Cs/>
          <w:color w:val="auto"/>
          <w:sz w:val="21"/>
          <w:szCs w:val="21"/>
          <w:highlight w:val="none"/>
          <w:lang w:eastAsia="zh-CN"/>
        </w:rPr>
        <w:t>1000000</w:t>
      </w:r>
    </w:p>
    <w:p w14:paraId="4D2A579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eastAsia="宋体" w:cs="宋体"/>
          <w:bCs/>
          <w:color w:val="auto"/>
          <w:sz w:val="21"/>
          <w:szCs w:val="21"/>
          <w:highlight w:val="none"/>
          <w:lang w:eastAsia="zh-CN"/>
        </w:rPr>
        <w:t>1000000</w:t>
      </w:r>
    </w:p>
    <w:p w14:paraId="3F2AD4E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color w:val="auto"/>
          <w:sz w:val="21"/>
          <w:szCs w:val="21"/>
          <w:highlight w:val="none"/>
          <w:lang w:eastAsia="zh-CN"/>
        </w:rPr>
        <w:t>嘉兴市体育彩票管理服务中心2025年嘉兴体彩品牌公益推广系列活动项目，</w:t>
      </w:r>
      <w:r>
        <w:rPr>
          <w:rFonts w:hint="eastAsia" w:ascii="宋体" w:hAnsi="宋体" w:eastAsia="宋体" w:cs="宋体"/>
          <w:color w:val="auto"/>
          <w:sz w:val="21"/>
          <w:szCs w:val="21"/>
          <w:highlight w:val="none"/>
          <w:lang w:val="en-US" w:eastAsia="zh-CN"/>
        </w:rPr>
        <w:t>主要包括：品牌主题快闪活动、公益助学活动、品牌赛事活动、跨界合作和主题视频直播宣传</w:t>
      </w:r>
      <w:r>
        <w:rPr>
          <w:rFonts w:hint="eastAsia" w:ascii="宋体" w:hAnsi="宋体" w:eastAsia="宋体" w:cs="宋体"/>
          <w:bCs w:val="0"/>
          <w:color w:val="auto"/>
          <w:kern w:val="2"/>
          <w:sz w:val="21"/>
          <w:szCs w:val="21"/>
          <w:highlight w:val="none"/>
        </w:rPr>
        <w:t>。</w:t>
      </w:r>
      <w:r>
        <w:rPr>
          <w:rFonts w:hint="eastAsia" w:ascii="宋体" w:hAnsi="宋体" w:eastAsia="宋体" w:cs="宋体"/>
          <w:color w:val="auto"/>
          <w:kern w:val="2"/>
          <w:sz w:val="21"/>
          <w:szCs w:val="21"/>
          <w:highlight w:val="none"/>
        </w:rPr>
        <w:t>具体以招标文件第三部分采购需求为准，供应商可点击本公告下方“浏览采购文件”查看采购需求。</w:t>
      </w:r>
    </w:p>
    <w:p w14:paraId="397828D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合同履约期限：</w:t>
      </w:r>
      <w:r>
        <w:rPr>
          <w:rFonts w:hint="eastAsia" w:ascii="宋体" w:hAnsi="宋体" w:eastAsia="宋体" w:cs="宋体"/>
          <w:bCs/>
          <w:color w:val="auto"/>
          <w:sz w:val="21"/>
          <w:szCs w:val="21"/>
          <w:highlight w:val="none"/>
          <w:lang w:eastAsia="zh-CN"/>
        </w:rPr>
        <w:t>自合同签订之日起至项目完满结束且验收通过。</w:t>
      </w:r>
    </w:p>
    <w:p w14:paraId="42FAFC2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b/>
          <w:color w:val="auto"/>
          <w:kern w:val="28"/>
          <w:sz w:val="21"/>
          <w:szCs w:val="21"/>
          <w:highlight w:val="none"/>
          <w:lang w:val="en-US" w:eastAsia="zh-CN" w:bidi="ar-SA"/>
        </w:rPr>
        <w:t>本项目接受联合体投标：</w:t>
      </w:r>
      <w:r>
        <w:rPr>
          <w:rFonts w:hint="eastAsia" w:ascii="宋体" w:hAnsi="宋体" w:eastAsia="宋体" w:cs="宋体"/>
          <w:color w:val="auto"/>
          <w:kern w:val="0"/>
          <w:sz w:val="21"/>
          <w:szCs w:val="21"/>
          <w:highlight w:val="none"/>
          <w:lang w:val="en-US" w:eastAsia="zh-CN" w:bidi="ar-SA"/>
        </w:rPr>
        <w:sym w:font="Wingdings" w:char="00A8"/>
      </w:r>
      <w:r>
        <w:rPr>
          <w:rFonts w:hint="eastAsia" w:ascii="宋体" w:hAnsi="宋体" w:eastAsia="宋体" w:cs="宋体"/>
          <w:b/>
          <w:color w:val="auto"/>
          <w:kern w:val="28"/>
          <w:sz w:val="21"/>
          <w:szCs w:val="21"/>
          <w:highlight w:val="none"/>
          <w:lang w:val="en-US" w:eastAsia="zh-CN" w:bidi="ar-SA"/>
        </w:rPr>
        <w:t>是；</w:t>
      </w: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b/>
          <w:color w:val="auto"/>
          <w:kern w:val="28"/>
          <w:sz w:val="21"/>
          <w:szCs w:val="21"/>
          <w:highlight w:val="none"/>
          <w:lang w:val="en-US" w:eastAsia="zh-CN" w:bidi="ar-SA"/>
        </w:rPr>
        <w:t>否</w:t>
      </w:r>
      <w:r>
        <w:rPr>
          <w:rFonts w:hint="eastAsia" w:ascii="宋体" w:hAnsi="宋体" w:eastAsia="宋体" w:cs="宋体"/>
          <w:color w:val="auto"/>
          <w:kern w:val="0"/>
          <w:sz w:val="21"/>
          <w:szCs w:val="21"/>
          <w:highlight w:val="none"/>
          <w:lang w:val="en-US" w:eastAsia="zh-CN" w:bidi="ar-SA"/>
        </w:rPr>
        <w:t>。</w:t>
      </w:r>
    </w:p>
    <w:p w14:paraId="1E4E615A">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5AE9CB5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02E6C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2.以联合体形式投标的，提供联合协议(本项目不接受联合体投标或者投标人不以联合体形式投标的，则不需要提供)；</w:t>
      </w:r>
    </w:p>
    <w:p w14:paraId="1120BB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42C400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45B7E6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1A9B1B01">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sz w:val="21"/>
          <w:szCs w:val="21"/>
          <w:highlight w:val="none"/>
        </w:rPr>
        <w:t>服务全部由符合政策要求的中小企业承接，提供中小企业声明函；</w:t>
      </w:r>
    </w:p>
    <w:p w14:paraId="0857DDE4">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sz w:val="21"/>
          <w:szCs w:val="21"/>
          <w:highlight w:val="none"/>
        </w:rPr>
        <w:t>服务全部由符合政策要求的小微企业承接，提供中小企业声明函；</w:t>
      </w:r>
    </w:p>
    <w:p w14:paraId="230EFF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484B28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321440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4.本项目的特定资格要求：无；</w:t>
      </w:r>
    </w:p>
    <w:p w14:paraId="3E553C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10D4E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78EB6A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投标截止时间</w:t>
      </w:r>
      <w:r>
        <w:rPr>
          <w:rFonts w:hint="eastAsia" w:ascii="宋体" w:hAnsi="宋体" w:eastAsia="宋体" w:cs="宋体"/>
          <w:color w:val="auto"/>
          <w:sz w:val="21"/>
          <w:szCs w:val="21"/>
          <w:highlight w:val="none"/>
        </w:rPr>
        <w:t>，每天上午00:00至12:00 ，下午12:00至23:59（北京时间，线上获取文件法定节假日均可，线下获取文件法定节假日除外）</w:t>
      </w:r>
    </w:p>
    <w:p w14:paraId="484BC5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政采云平台（https://www.zcygov.cn/）</w:t>
      </w:r>
    </w:p>
    <w:p w14:paraId="459091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255717C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F12C00F">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48378D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lang w:eastAsia="zh-CN"/>
        </w:rPr>
        <w:t>2025年7月24日9：00</w:t>
      </w:r>
      <w:r>
        <w:rPr>
          <w:rFonts w:hint="eastAsia" w:ascii="宋体" w:hAnsi="宋体" w:eastAsia="宋体" w:cs="宋体"/>
          <w:color w:val="auto"/>
          <w:sz w:val="21"/>
          <w:szCs w:val="21"/>
          <w:highlight w:val="none"/>
        </w:rPr>
        <w:t>（北京时间）</w:t>
      </w:r>
    </w:p>
    <w:p w14:paraId="257EF0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请登录政采云投标客户端投标</w:t>
      </w:r>
    </w:p>
    <w:p w14:paraId="1A0573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2025年7月24日9：00</w:t>
      </w:r>
    </w:p>
    <w:p w14:paraId="5E906E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428A47F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C894F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6049190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、其他补充事宜</w:t>
      </w:r>
    </w:p>
    <w:p w14:paraId="0D1441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14:paraId="1462CC2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AEF5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A3EF6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w:t>
      </w:r>
      <w:r>
        <w:rPr>
          <w:rFonts w:hint="eastAsia" w:ascii="宋体" w:hAnsi="宋体" w:eastAsia="宋体" w:cs="宋体"/>
          <w:color w:val="auto"/>
          <w:sz w:val="21"/>
          <w:szCs w:val="21"/>
          <w:highlight w:val="none"/>
          <w:lang w:val="en-US" w:eastAsia="zh-CN"/>
        </w:rPr>
        <w:t>或以</w:t>
      </w:r>
      <w:r>
        <w:rPr>
          <w:rFonts w:hint="eastAsia" w:ascii="宋体" w:hAnsi="宋体" w:eastAsia="宋体" w:cs="宋体"/>
          <w:color w:val="auto"/>
          <w:sz w:val="21"/>
          <w:szCs w:val="21"/>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75CECC">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八、对本次采购提出询问、质疑、投诉，请按以下方式联系</w:t>
      </w:r>
    </w:p>
    <w:p w14:paraId="1DFED1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05840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嘉兴市体育彩票管理服务中心</w:t>
      </w:r>
    </w:p>
    <w:p w14:paraId="3A71446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地址：浙江省嘉兴市南湖区金穗路135号创业大厦五楼</w:t>
      </w:r>
    </w:p>
    <w:p w14:paraId="4DEBE6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项目联系人（询问）：郭俊杰</w:t>
      </w:r>
    </w:p>
    <w:p w14:paraId="2537119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项目联系方式（询问）：0573-82086799</w:t>
      </w:r>
    </w:p>
    <w:p w14:paraId="6E8BE04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质疑联系人：骆永明</w:t>
      </w:r>
    </w:p>
    <w:p w14:paraId="5936A9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质疑联系方式：0573-82086799</w:t>
      </w:r>
    </w:p>
    <w:p w14:paraId="34C90A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57FA890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名称：嘉兴市银建工程咨询评估有限公司</w:t>
      </w:r>
    </w:p>
    <w:p w14:paraId="6CACFAB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地址：嘉兴市洪兴路2399号宝地大厦15楼</w:t>
      </w:r>
    </w:p>
    <w:p w14:paraId="0197291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项目联系人（询问）：易蓉</w:t>
      </w:r>
    </w:p>
    <w:p w14:paraId="292914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项目联系方式（询问）：15068393008</w:t>
      </w:r>
    </w:p>
    <w:p w14:paraId="7511D49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质疑联系人：嘉兴市银建工程咨询评估有限公司</w:t>
      </w:r>
    </w:p>
    <w:p w14:paraId="3C09E6B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质疑联系方式：18069689117</w:t>
      </w:r>
    </w:p>
    <w:p w14:paraId="32192EA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2228EBC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名称：嘉兴市财政局</w:t>
      </w:r>
    </w:p>
    <w:p w14:paraId="095E21B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地址：浙江省嘉兴市南湖区环城西路55号</w:t>
      </w:r>
    </w:p>
    <w:p w14:paraId="400EFC2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联系人：姚先生</w:t>
      </w:r>
    </w:p>
    <w:p w14:paraId="5D79B75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监督投诉电话：0573—82031217</w:t>
      </w:r>
    </w:p>
    <w:p w14:paraId="49DDAA6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14:paraId="39B70C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2F8ED5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2B75F20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284B13A">
      <w:pPr>
        <w:pStyle w:val="3"/>
        <w:bidi w:val="0"/>
        <w:rPr>
          <w:rFonts w:hint="eastAsia" w:ascii="宋体" w:hAnsi="宋体" w:eastAsia="宋体" w:cs="宋体"/>
          <w:color w:val="auto"/>
          <w:highlight w:val="none"/>
          <w:lang w:val="en-US" w:eastAsia="zh-CN"/>
        </w:rPr>
      </w:pPr>
      <w:bookmarkStart w:id="1" w:name="_Toc1569451221"/>
      <w:r>
        <w:rPr>
          <w:rFonts w:hint="eastAsia" w:ascii="宋体" w:hAnsi="宋体" w:eastAsia="宋体" w:cs="宋体"/>
          <w:color w:val="auto"/>
          <w:highlight w:val="none"/>
          <w:lang w:val="en-US" w:eastAsia="zh-CN"/>
        </w:rPr>
        <w:t>第二部分  投标人须知</w:t>
      </w:r>
      <w:bookmarkEnd w:id="1"/>
    </w:p>
    <w:p w14:paraId="0034C6A3">
      <w:pPr>
        <w:pStyle w:val="4"/>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前附表</w:t>
      </w:r>
    </w:p>
    <w:tbl>
      <w:tblPr>
        <w:tblStyle w:val="22"/>
        <w:tblW w:w="10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7612"/>
      </w:tblGrid>
      <w:tr w14:paraId="37651F25">
        <w:trPr>
          <w:trHeight w:val="510" w:hRule="atLeast"/>
          <w:jc w:val="center"/>
        </w:trPr>
        <w:tc>
          <w:tcPr>
            <w:tcW w:w="629" w:type="dxa"/>
            <w:noWrap w:val="0"/>
            <w:vAlign w:val="center"/>
          </w:tcPr>
          <w:p w14:paraId="3F0FA95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noWrap w:val="0"/>
            <w:vAlign w:val="center"/>
          </w:tcPr>
          <w:p w14:paraId="3C5A341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7612" w:type="dxa"/>
            <w:noWrap w:val="0"/>
            <w:vAlign w:val="center"/>
          </w:tcPr>
          <w:p w14:paraId="34B08ED9">
            <w:pPr>
              <w:keepNext w:val="0"/>
              <w:keepLines w:val="0"/>
              <w:pageBreakBefore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3782F9C">
        <w:trPr>
          <w:trHeight w:val="680" w:hRule="atLeast"/>
          <w:jc w:val="center"/>
        </w:trPr>
        <w:tc>
          <w:tcPr>
            <w:tcW w:w="629" w:type="dxa"/>
            <w:noWrap w:val="0"/>
            <w:vAlign w:val="center"/>
          </w:tcPr>
          <w:p w14:paraId="2F16007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14:paraId="0813D31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7612" w:type="dxa"/>
            <w:noWrap w:val="0"/>
            <w:vAlign w:val="center"/>
          </w:tcPr>
          <w:p w14:paraId="49528806">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5831948A">
        <w:trPr>
          <w:trHeight w:val="1681" w:hRule="atLeast"/>
          <w:jc w:val="center"/>
        </w:trPr>
        <w:tc>
          <w:tcPr>
            <w:tcW w:w="629" w:type="dxa"/>
            <w:noWrap w:val="0"/>
            <w:vAlign w:val="center"/>
          </w:tcPr>
          <w:p w14:paraId="4E2DFEC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noWrap w:val="0"/>
            <w:vAlign w:val="center"/>
          </w:tcPr>
          <w:p w14:paraId="0746E1D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7612" w:type="dxa"/>
            <w:noWrap w:val="0"/>
            <w:vAlign w:val="center"/>
          </w:tcPr>
          <w:p w14:paraId="1AD63483">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（1）标的：</w:t>
            </w:r>
            <w:r>
              <w:rPr>
                <w:rFonts w:hint="eastAsia" w:ascii="SimSong Regular" w:hAnsi="SimSong Regular" w:eastAsia="SimSong Regular" w:cs="SimSong Regular"/>
                <w:b/>
                <w:bCs/>
                <w:color w:val="auto"/>
                <w:sz w:val="21"/>
                <w:szCs w:val="21"/>
                <w:highlight w:val="none"/>
                <w:u w:val="single"/>
                <w:lang w:eastAsia="zh-CN"/>
              </w:rPr>
              <w:t>嘉兴市体育彩票管理服务中心2025年嘉兴体彩品牌公益推广系列活动项目</w:t>
            </w:r>
            <w:r>
              <w:rPr>
                <w:rFonts w:hint="eastAsia" w:ascii="SimSong Regular" w:hAnsi="SimSong Regular" w:eastAsia="SimSong Regular" w:cs="SimSong Regular"/>
                <w:color w:val="auto"/>
                <w:kern w:val="0"/>
                <w:sz w:val="21"/>
                <w:szCs w:val="21"/>
                <w:highlight w:val="none"/>
              </w:rPr>
              <w:t>，属于</w:t>
            </w:r>
            <w:r>
              <w:rPr>
                <w:rFonts w:hint="eastAsia" w:ascii="SimSong Regular" w:hAnsi="SimSong Regular" w:eastAsia="SimSong Regular" w:cs="SimSong Regular"/>
                <w:b/>
                <w:bCs/>
                <w:color w:val="auto"/>
                <w:kern w:val="0"/>
                <w:sz w:val="21"/>
                <w:szCs w:val="21"/>
                <w:highlight w:val="none"/>
                <w:u w:val="single"/>
              </w:rPr>
              <w:t>其他未列明行业</w:t>
            </w:r>
            <w:r>
              <w:rPr>
                <w:rFonts w:hint="eastAsia" w:ascii="SimSong Regular" w:hAnsi="SimSong Regular" w:eastAsia="SimSong Regular" w:cs="SimSong Regular"/>
                <w:color w:val="auto"/>
                <w:kern w:val="0"/>
                <w:sz w:val="21"/>
                <w:szCs w:val="21"/>
                <w:highlight w:val="none"/>
              </w:rPr>
              <w:t>；</w:t>
            </w:r>
          </w:p>
          <w:p w14:paraId="1AC6025D">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lang w:val="en-US"/>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说明：其他未列明行业</w:t>
            </w:r>
            <w:r>
              <w:rPr>
                <w:rFonts w:hint="eastAsia" w:ascii="SimSong Regular" w:hAnsi="SimSong Regular" w:eastAsia="SimSong Regular" w:cs="SimSong Regular"/>
                <w:b/>
                <w:bCs/>
                <w:color w:val="auto"/>
                <w:kern w:val="0"/>
                <w:sz w:val="21"/>
                <w:szCs w:val="21"/>
                <w:highlight w:val="none"/>
                <w:lang w:eastAsia="zh-CN"/>
              </w:rPr>
              <w:t>：</w:t>
            </w:r>
            <w:r>
              <w:rPr>
                <w:rFonts w:hint="eastAsia" w:ascii="SimSong Regular" w:hAnsi="SimSong Regular" w:eastAsia="SimSong Regular" w:cs="SimSong Regular"/>
                <w:color w:val="auto"/>
                <w:kern w:val="0"/>
                <w:sz w:val="21"/>
                <w:szCs w:val="21"/>
                <w:highlight w:val="none"/>
              </w:rPr>
              <w:t>从业人员300人以下的为中小微型企业。其中，从业人员100人及以上的为</w:t>
            </w:r>
            <w:r>
              <w:rPr>
                <w:rFonts w:hint="eastAsia" w:ascii="SimSong Regular" w:hAnsi="SimSong Regular" w:eastAsia="SimSong Regular" w:cs="SimSong Regular"/>
                <w:b/>
                <w:bCs/>
                <w:color w:val="auto"/>
                <w:kern w:val="0"/>
                <w:sz w:val="21"/>
                <w:szCs w:val="21"/>
                <w:highlight w:val="none"/>
              </w:rPr>
              <w:t>中型企业</w:t>
            </w:r>
            <w:r>
              <w:rPr>
                <w:rFonts w:hint="eastAsia" w:ascii="SimSong Regular" w:hAnsi="SimSong Regular" w:eastAsia="SimSong Regular" w:cs="SimSong Regular"/>
                <w:color w:val="auto"/>
                <w:kern w:val="0"/>
                <w:sz w:val="21"/>
                <w:szCs w:val="21"/>
                <w:highlight w:val="none"/>
              </w:rPr>
              <w:t>；从业人员10人及以上的为</w:t>
            </w:r>
            <w:r>
              <w:rPr>
                <w:rFonts w:hint="eastAsia" w:ascii="SimSong Regular" w:hAnsi="SimSong Regular" w:eastAsia="SimSong Regular" w:cs="SimSong Regular"/>
                <w:b/>
                <w:bCs/>
                <w:color w:val="auto"/>
                <w:kern w:val="0"/>
                <w:sz w:val="21"/>
                <w:szCs w:val="21"/>
                <w:highlight w:val="none"/>
              </w:rPr>
              <w:t>小型企业</w:t>
            </w:r>
            <w:r>
              <w:rPr>
                <w:rFonts w:hint="eastAsia" w:ascii="SimSong Regular" w:hAnsi="SimSong Regular" w:eastAsia="SimSong Regular" w:cs="SimSong Regular"/>
                <w:color w:val="auto"/>
                <w:kern w:val="0"/>
                <w:sz w:val="21"/>
                <w:szCs w:val="21"/>
                <w:highlight w:val="none"/>
              </w:rPr>
              <w:t>；从业人员10人以下的为</w:t>
            </w:r>
            <w:r>
              <w:rPr>
                <w:rFonts w:hint="eastAsia" w:ascii="SimSong Regular" w:hAnsi="SimSong Regular" w:eastAsia="SimSong Regular" w:cs="SimSong Regular"/>
                <w:b/>
                <w:bCs/>
                <w:color w:val="auto"/>
                <w:kern w:val="0"/>
                <w:sz w:val="21"/>
                <w:szCs w:val="21"/>
                <w:highlight w:val="none"/>
              </w:rPr>
              <w:t>微型企业</w:t>
            </w:r>
            <w:r>
              <w:rPr>
                <w:rFonts w:hint="eastAsia" w:ascii="SimSong Regular" w:hAnsi="SimSong Regular" w:eastAsia="SimSong Regular" w:cs="SimSong Regular"/>
                <w:color w:val="auto"/>
                <w:kern w:val="0"/>
                <w:sz w:val="21"/>
                <w:szCs w:val="21"/>
                <w:highlight w:val="none"/>
              </w:rPr>
              <w:t>。】</w:t>
            </w:r>
          </w:p>
        </w:tc>
      </w:tr>
      <w:tr w14:paraId="42547999">
        <w:trPr>
          <w:trHeight w:val="933" w:hRule="atLeast"/>
          <w:jc w:val="center"/>
        </w:trPr>
        <w:tc>
          <w:tcPr>
            <w:tcW w:w="629" w:type="dxa"/>
            <w:noWrap w:val="0"/>
            <w:vAlign w:val="center"/>
          </w:tcPr>
          <w:p w14:paraId="2ACEC2D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noWrap w:val="0"/>
            <w:vAlign w:val="center"/>
          </w:tcPr>
          <w:p w14:paraId="41B266B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7612" w:type="dxa"/>
            <w:noWrap w:val="0"/>
            <w:vAlign w:val="center"/>
          </w:tcPr>
          <w:p w14:paraId="3706848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本项目不允许采购进口产品。</w:t>
            </w:r>
          </w:p>
          <w:p w14:paraId="646DCE1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14E00E04">
        <w:trPr>
          <w:trHeight w:val="1329" w:hRule="atLeast"/>
          <w:jc w:val="center"/>
        </w:trPr>
        <w:tc>
          <w:tcPr>
            <w:tcW w:w="629" w:type="dxa"/>
            <w:noWrap w:val="0"/>
            <w:vAlign w:val="center"/>
          </w:tcPr>
          <w:p w14:paraId="4B2396F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noWrap w:val="0"/>
            <w:vAlign w:val="center"/>
          </w:tcPr>
          <w:p w14:paraId="4F22999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7612" w:type="dxa"/>
            <w:noWrap w:val="0"/>
            <w:vAlign w:val="center"/>
          </w:tcPr>
          <w:p w14:paraId="2DA8B6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2B1CFC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083AD7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BBF3479">
        <w:trPr>
          <w:trHeight w:val="90" w:hRule="atLeast"/>
          <w:jc w:val="center"/>
        </w:trPr>
        <w:tc>
          <w:tcPr>
            <w:tcW w:w="629" w:type="dxa"/>
            <w:noWrap w:val="0"/>
            <w:vAlign w:val="center"/>
          </w:tcPr>
          <w:p w14:paraId="43271AD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noWrap w:val="0"/>
            <w:vAlign w:val="center"/>
          </w:tcPr>
          <w:p w14:paraId="5E928A7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7612" w:type="dxa"/>
            <w:noWrap w:val="0"/>
            <w:vAlign w:val="center"/>
          </w:tcPr>
          <w:p w14:paraId="5A25578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2D32080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24FC0293">
        <w:trPr>
          <w:trHeight w:val="2105" w:hRule="atLeast"/>
          <w:jc w:val="center"/>
        </w:trPr>
        <w:tc>
          <w:tcPr>
            <w:tcW w:w="629" w:type="dxa"/>
            <w:noWrap w:val="0"/>
            <w:vAlign w:val="center"/>
          </w:tcPr>
          <w:p w14:paraId="3A525CF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noWrap w:val="0"/>
            <w:vAlign w:val="center"/>
          </w:tcPr>
          <w:p w14:paraId="50FA3DF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7612" w:type="dxa"/>
            <w:noWrap w:val="0"/>
            <w:vAlign w:val="center"/>
          </w:tcPr>
          <w:p w14:paraId="6368E5D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5AFE3C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☐B要求提供，</w:t>
            </w:r>
          </w:p>
          <w:p w14:paraId="73FBE04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2429B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4DA6655">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3DEF7E2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D82A8D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634DC88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8243E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17BF85E9">
        <w:trPr>
          <w:trHeight w:val="2105" w:hRule="atLeast"/>
          <w:jc w:val="center"/>
        </w:trPr>
        <w:tc>
          <w:tcPr>
            <w:tcW w:w="629" w:type="dxa"/>
            <w:noWrap w:val="0"/>
            <w:vAlign w:val="center"/>
          </w:tcPr>
          <w:p w14:paraId="2CDC45C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noWrap w:val="0"/>
            <w:vAlign w:val="center"/>
          </w:tcPr>
          <w:p w14:paraId="04BD55D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7612" w:type="dxa"/>
            <w:noWrap w:val="0"/>
            <w:vAlign w:val="center"/>
          </w:tcPr>
          <w:p w14:paraId="59A9600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55BC620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6AB9BA4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FB3B98C">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516D704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方式一：</w:t>
            </w:r>
            <w:r>
              <w:rPr>
                <w:rFonts w:hint="eastAsia" w:ascii="宋体" w:hAnsi="宋体" w:eastAsia="宋体" w:cs="宋体"/>
                <w:color w:val="auto"/>
                <w:kern w:val="0"/>
                <w:sz w:val="21"/>
                <w:szCs w:val="21"/>
                <w:highlight w:val="none"/>
              </w:rPr>
              <w:t>政采云平台在线讲解演示。政采云平台在线讲解需投标人根据政采云平台操作要求做好准备工作，提前完善软硬件配置环境。</w:t>
            </w:r>
          </w:p>
          <w:p w14:paraId="32F2A35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方式二：</w:t>
            </w:r>
            <w:r>
              <w:rPr>
                <w:rFonts w:hint="eastAsia" w:ascii="宋体" w:hAnsi="宋体" w:eastAsia="宋体" w:cs="宋体"/>
                <w:color w:val="auto"/>
                <w:kern w:val="0"/>
                <w:sz w:val="21"/>
                <w:szCs w:val="21"/>
                <w:highlight w:val="none"/>
              </w:rPr>
              <w:t>代理机构评标场所现场讲解演示。现场讲解地点为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，讲解演示所用电脑等设备由投标人自备。现场讲解演示人员进场时提供讲解人员名单（加盖公章）及身份证明，否则不得讲解演示。</w:t>
            </w:r>
          </w:p>
          <w:p w14:paraId="304811F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方式三：</w:t>
            </w:r>
            <w:r>
              <w:rPr>
                <w:rFonts w:hint="eastAsia" w:ascii="宋体" w:hAnsi="宋体" w:eastAsia="宋体" w:cs="宋体"/>
                <w:color w:val="auto"/>
                <w:kern w:val="0"/>
                <w:sz w:val="21"/>
                <w:szCs w:val="21"/>
                <w:highlight w:val="none"/>
              </w:rPr>
              <w:t>采用视频录制方式，用U盘介质储存快递或邮寄至代理机构（公告中列明的地址），视频中演示人应出示身份证。</w:t>
            </w:r>
            <w:r>
              <w:rPr>
                <w:rFonts w:hint="eastAsia" w:ascii="宋体" w:hAnsi="宋体" w:eastAsia="宋体" w:cs="宋体"/>
                <w:b/>
                <w:bCs/>
                <w:color w:val="auto"/>
                <w:kern w:val="0"/>
                <w:sz w:val="21"/>
                <w:szCs w:val="21"/>
                <w:highlight w:val="none"/>
              </w:rPr>
              <w:t>未派遣投标文件中的</w:t>
            </w:r>
            <w:r>
              <w:rPr>
                <w:rFonts w:hint="eastAsia" w:ascii="宋体" w:hAnsi="宋体" w:eastAsia="宋体" w:cs="宋体"/>
                <w:b/>
                <w:bCs/>
                <w:color w:val="auto"/>
                <w:kern w:val="0"/>
                <w:sz w:val="21"/>
                <w:szCs w:val="21"/>
                <w:highlight w:val="none"/>
                <w:u w:val="single"/>
              </w:rPr>
              <w:t>项目组人员</w:t>
            </w:r>
            <w:r>
              <w:rPr>
                <w:rFonts w:hint="eastAsia" w:ascii="宋体" w:hAnsi="宋体" w:eastAsia="宋体" w:cs="宋体"/>
                <w:b/>
                <w:bCs/>
                <w:color w:val="auto"/>
                <w:kern w:val="0"/>
                <w:sz w:val="21"/>
                <w:szCs w:val="21"/>
                <w:highlight w:val="none"/>
              </w:rPr>
              <w:t>进行演示讲解或未提供身份证明的，评分项不得分。</w:t>
            </w:r>
            <w:r>
              <w:rPr>
                <w:rFonts w:hint="eastAsia" w:ascii="宋体" w:hAnsi="宋体" w:eastAsia="宋体" w:cs="宋体"/>
                <w:color w:val="auto"/>
                <w:kern w:val="0"/>
                <w:sz w:val="21"/>
                <w:szCs w:val="21"/>
                <w:highlight w:val="none"/>
              </w:rPr>
              <w:t>若因U盘损坏或打不开则按视为未提交。</w:t>
            </w:r>
          </w:p>
          <w:p w14:paraId="2BC9546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方式四：</w:t>
            </w:r>
            <w:r>
              <w:rPr>
                <w:rFonts w:hint="eastAsia" w:ascii="宋体" w:hAnsi="宋体" w:eastAsia="宋体" w:cs="宋体"/>
                <w:color w:val="auto"/>
                <w:kern w:val="0"/>
                <w:sz w:val="21"/>
                <w:szCs w:val="21"/>
                <w:highlight w:val="none"/>
              </w:rPr>
              <w:t xml:space="preserve">采用现场钉钉直播演示的。开标后，演示人请加钉钉号：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4714B86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8EA1A">
        <w:trPr>
          <w:trHeight w:val="1157" w:hRule="atLeast"/>
          <w:jc w:val="center"/>
        </w:trPr>
        <w:tc>
          <w:tcPr>
            <w:tcW w:w="629" w:type="dxa"/>
            <w:vMerge w:val="restart"/>
            <w:noWrap w:val="0"/>
            <w:vAlign w:val="center"/>
          </w:tcPr>
          <w:p w14:paraId="1B0CCA6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noWrap w:val="0"/>
            <w:vAlign w:val="center"/>
          </w:tcPr>
          <w:p w14:paraId="77AB233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7612" w:type="dxa"/>
            <w:noWrap w:val="0"/>
            <w:vAlign w:val="center"/>
          </w:tcPr>
          <w:p w14:paraId="3594BDC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7A4BA78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4036FA3C">
        <w:trPr>
          <w:trHeight w:val="569" w:hRule="atLeast"/>
          <w:jc w:val="center"/>
        </w:trPr>
        <w:tc>
          <w:tcPr>
            <w:tcW w:w="629" w:type="dxa"/>
            <w:vMerge w:val="continue"/>
            <w:noWrap w:val="0"/>
            <w:vAlign w:val="center"/>
          </w:tcPr>
          <w:p w14:paraId="0015678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843" w:type="dxa"/>
            <w:vMerge w:val="continue"/>
            <w:noWrap w:val="0"/>
            <w:vAlign w:val="center"/>
          </w:tcPr>
          <w:p w14:paraId="15B7F9A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p>
        </w:tc>
        <w:tc>
          <w:tcPr>
            <w:tcW w:w="7612" w:type="dxa"/>
            <w:noWrap w:val="0"/>
            <w:vAlign w:val="center"/>
          </w:tcPr>
          <w:p w14:paraId="3738B55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3BE7E26F">
        <w:trPr>
          <w:trHeight w:val="1311" w:hRule="atLeast"/>
          <w:jc w:val="center"/>
        </w:trPr>
        <w:tc>
          <w:tcPr>
            <w:tcW w:w="629" w:type="dxa"/>
            <w:noWrap w:val="0"/>
            <w:vAlign w:val="center"/>
          </w:tcPr>
          <w:p w14:paraId="5B2A0D3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noWrap w:val="0"/>
            <w:vAlign w:val="center"/>
          </w:tcPr>
          <w:p w14:paraId="5F5D29F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节能产品、环境标志产品</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服务类项目不适用）</w:t>
            </w:r>
          </w:p>
        </w:tc>
        <w:tc>
          <w:tcPr>
            <w:tcW w:w="7612" w:type="dxa"/>
            <w:noWrap w:val="0"/>
            <w:vAlign w:val="center"/>
          </w:tcPr>
          <w:p w14:paraId="6E006D3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148130">
        <w:trPr>
          <w:trHeight w:val="1157" w:hRule="atLeast"/>
          <w:jc w:val="center"/>
        </w:trPr>
        <w:tc>
          <w:tcPr>
            <w:tcW w:w="629" w:type="dxa"/>
            <w:noWrap w:val="0"/>
            <w:vAlign w:val="center"/>
          </w:tcPr>
          <w:p w14:paraId="5B80A5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noWrap w:val="0"/>
            <w:vAlign w:val="center"/>
          </w:tcPr>
          <w:p w14:paraId="1EE9751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7612" w:type="dxa"/>
            <w:noWrap w:val="0"/>
            <w:vAlign w:val="center"/>
          </w:tcPr>
          <w:p w14:paraId="1450E17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3DA4C49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4C304B5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11A04372">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012D9E0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供应商报价低于项目</w:t>
            </w:r>
            <w:r>
              <w:rPr>
                <w:rFonts w:hint="eastAsia" w:ascii="宋体" w:hAnsi="宋体" w:eastAsia="宋体" w:cs="宋体"/>
                <w:b/>
                <w:color w:val="auto"/>
                <w:kern w:val="0"/>
                <w:sz w:val="21"/>
                <w:szCs w:val="21"/>
                <w:highlight w:val="none"/>
                <w:lang w:val="en-US"/>
              </w:rPr>
              <w:t>预算（最高限价）50%</w:t>
            </w:r>
            <w:r>
              <w:rPr>
                <w:rFonts w:hint="eastAsia" w:ascii="宋体" w:hAnsi="宋体" w:eastAsia="宋体" w:cs="宋体"/>
                <w:b/>
                <w:color w:val="auto"/>
                <w:kern w:val="0"/>
                <w:sz w:val="21"/>
                <w:szCs w:val="21"/>
                <w:highlight w:val="none"/>
              </w:rPr>
              <w:t>的，应当在报价文件中详细阐述不影响产品质量或者诚信履约的具体原因。</w:t>
            </w:r>
          </w:p>
          <w:p w14:paraId="320B6C54">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0B6C7A6F">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0519B564">
        <w:trPr>
          <w:trHeight w:val="1182" w:hRule="atLeast"/>
          <w:jc w:val="center"/>
        </w:trPr>
        <w:tc>
          <w:tcPr>
            <w:tcW w:w="629" w:type="dxa"/>
            <w:noWrap w:val="0"/>
            <w:vAlign w:val="center"/>
          </w:tcPr>
          <w:p w14:paraId="3BD9E50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noWrap w:val="0"/>
            <w:vAlign w:val="center"/>
          </w:tcPr>
          <w:p w14:paraId="6F88004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7612" w:type="dxa"/>
            <w:noWrap w:val="0"/>
            <w:vAlign w:val="center"/>
          </w:tcPr>
          <w:p w14:paraId="695644A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惠企政策</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snapToGrid w:val="0"/>
                <w:color w:val="auto"/>
                <w:kern w:val="28"/>
                <w:sz w:val="21"/>
                <w:szCs w:val="21"/>
                <w:highlight w:val="none"/>
              </w:rPr>
              <w:t>本采购项目，中标供应商与采购人签订的政府采购合同适用于嘉兴市政府采购贷款政策（简称“政采贷”），具体内容可参阅政府采购贷款流程：</w:t>
            </w:r>
            <w:r>
              <w:rPr>
                <w:rFonts w:hint="eastAsia" w:ascii="宋体" w:hAnsi="宋体" w:eastAsia="宋体" w:cs="宋体"/>
                <w:snapToGrid w:val="0"/>
                <w:color w:val="auto"/>
                <w:kern w:val="28"/>
                <w:sz w:val="21"/>
                <w:szCs w:val="21"/>
                <w:highlight w:val="none"/>
              </w:rPr>
              <w:fldChar w:fldCharType="begin"/>
            </w:r>
            <w:r>
              <w:rPr>
                <w:rFonts w:hint="eastAsia" w:ascii="宋体" w:hAnsi="宋体" w:eastAsia="宋体" w:cs="宋体"/>
                <w:snapToGrid w:val="0"/>
                <w:color w:val="auto"/>
                <w:kern w:val="28"/>
                <w:sz w:val="21"/>
                <w:szCs w:val="21"/>
                <w:highlight w:val="none"/>
              </w:rPr>
              <w:instrText xml:space="preserve"> HYPERLINK "https://jxszwsjb.jiaxing.gov.cn/art/2024/5/22/art_1229743587_127896.html" </w:instrText>
            </w:r>
            <w:r>
              <w:rPr>
                <w:rFonts w:hint="eastAsia" w:ascii="宋体" w:hAnsi="宋体" w:eastAsia="宋体" w:cs="宋体"/>
                <w:snapToGrid w:val="0"/>
                <w:color w:val="auto"/>
                <w:kern w:val="28"/>
                <w:sz w:val="21"/>
                <w:szCs w:val="21"/>
                <w:highlight w:val="none"/>
              </w:rPr>
              <w:fldChar w:fldCharType="separate"/>
            </w:r>
            <w:r>
              <w:rPr>
                <w:rFonts w:hint="eastAsia" w:ascii="宋体" w:hAnsi="宋体" w:eastAsia="宋体" w:cs="宋体"/>
                <w:snapToGrid w:val="0"/>
                <w:color w:val="auto"/>
                <w:kern w:val="28"/>
                <w:sz w:val="21"/>
                <w:szCs w:val="21"/>
                <w:highlight w:val="none"/>
              </w:rPr>
              <w:t>https://jxszwsjb.jiaxing.gov.cn/art/2024/5/22/art_1229743587_127896.html</w:t>
            </w:r>
            <w:r>
              <w:rPr>
                <w:rFonts w:hint="eastAsia" w:ascii="宋体" w:hAnsi="宋体" w:eastAsia="宋体" w:cs="宋体"/>
                <w:snapToGrid w:val="0"/>
                <w:color w:val="auto"/>
                <w:kern w:val="28"/>
                <w:sz w:val="21"/>
                <w:szCs w:val="21"/>
                <w:highlight w:val="none"/>
              </w:rPr>
              <w:fldChar w:fldCharType="end"/>
            </w:r>
          </w:p>
          <w:p w14:paraId="636F751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0FA890B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43B7C8">
        <w:trPr>
          <w:trHeight w:val="90" w:hRule="atLeast"/>
          <w:jc w:val="center"/>
        </w:trPr>
        <w:tc>
          <w:tcPr>
            <w:tcW w:w="629" w:type="dxa"/>
            <w:noWrap w:val="0"/>
            <w:vAlign w:val="center"/>
          </w:tcPr>
          <w:p w14:paraId="5832101E">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noWrap w:val="0"/>
            <w:vAlign w:val="center"/>
          </w:tcPr>
          <w:p w14:paraId="7768CC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备份投标文件送达地点和签收人员</w:t>
            </w:r>
          </w:p>
        </w:tc>
        <w:tc>
          <w:tcPr>
            <w:tcW w:w="7612" w:type="dxa"/>
            <w:noWrap w:val="0"/>
            <w:vAlign w:val="center"/>
          </w:tcPr>
          <w:p w14:paraId="35914D0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8"/>
                <w:sz w:val="21"/>
                <w:szCs w:val="21"/>
                <w:highlight w:val="none"/>
              </w:rPr>
              <w:t>备份投标文件送达地点：</w:t>
            </w:r>
            <w:r>
              <w:rPr>
                <w:rFonts w:hint="eastAsia" w:ascii="宋体" w:hAnsi="宋体" w:eastAsia="宋体" w:cs="宋体"/>
                <w:snapToGrid w:val="0"/>
                <w:color w:val="auto"/>
                <w:sz w:val="21"/>
                <w:szCs w:val="21"/>
                <w:highlight w:val="none"/>
                <w:u w:val="single"/>
              </w:rPr>
              <w:t>嘉兴市洪兴路2399号宝地大厦15楼1505室</w:t>
            </w:r>
            <w:r>
              <w:rPr>
                <w:rFonts w:hint="eastAsia" w:ascii="宋体" w:hAnsi="宋体" w:eastAsia="宋体" w:cs="宋体"/>
                <w:snapToGrid w:val="0"/>
                <w:color w:val="auto"/>
                <w:kern w:val="28"/>
                <w:sz w:val="21"/>
                <w:szCs w:val="21"/>
                <w:highlight w:val="none"/>
              </w:rPr>
              <w:t>；备份投标文件签收人员联系电话：</w:t>
            </w:r>
            <w:r>
              <w:rPr>
                <w:rFonts w:hint="eastAsia" w:ascii="宋体" w:hAnsi="宋体" w:eastAsia="宋体" w:cs="宋体"/>
                <w:snapToGrid w:val="0"/>
                <w:color w:val="auto"/>
                <w:kern w:val="28"/>
                <w:sz w:val="21"/>
                <w:szCs w:val="21"/>
                <w:highlight w:val="none"/>
                <w:u w:val="single"/>
                <w:lang w:val="en-US" w:eastAsia="zh-CN"/>
              </w:rPr>
              <w:t>易蓉</w:t>
            </w:r>
            <w:r>
              <w:rPr>
                <w:rFonts w:hint="eastAsia" w:ascii="宋体" w:hAnsi="宋体" w:eastAsia="宋体" w:cs="宋体"/>
                <w:snapToGrid w:val="0"/>
                <w:color w:val="auto"/>
                <w:kern w:val="28"/>
                <w:sz w:val="21"/>
                <w:szCs w:val="21"/>
                <w:highlight w:val="none"/>
                <w:u w:val="single"/>
              </w:rPr>
              <w:t>，</w:t>
            </w:r>
            <w:r>
              <w:rPr>
                <w:rFonts w:hint="eastAsia" w:ascii="宋体" w:hAnsi="宋体" w:eastAsia="宋体" w:cs="宋体"/>
                <w:snapToGrid w:val="0"/>
                <w:color w:val="auto"/>
                <w:sz w:val="21"/>
                <w:szCs w:val="21"/>
                <w:highlight w:val="none"/>
                <w:u w:val="single"/>
                <w:lang w:eastAsia="zh-CN"/>
              </w:rPr>
              <w:t>15068393008</w:t>
            </w:r>
            <w:r>
              <w:rPr>
                <w:rFonts w:hint="eastAsia" w:ascii="宋体" w:hAnsi="宋体" w:eastAsia="宋体" w:cs="宋体"/>
                <w:snapToGrid w:val="0"/>
                <w:color w:val="auto"/>
                <w:sz w:val="21"/>
                <w:szCs w:val="21"/>
                <w:highlight w:val="none"/>
              </w:rPr>
              <w:t>。</w:t>
            </w:r>
          </w:p>
          <w:p w14:paraId="064BA3CC">
            <w:pPr>
              <w:keepNext w:val="0"/>
              <w:keepLines w:val="0"/>
              <w:pageBreakBefore w:val="0"/>
              <w:widowControl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采购人、采购机构不强制或变相强制投标人提交备份投标文件。</w:t>
            </w:r>
          </w:p>
        </w:tc>
      </w:tr>
      <w:tr w14:paraId="4679B756">
        <w:trPr>
          <w:trHeight w:val="935" w:hRule="atLeast"/>
          <w:jc w:val="center"/>
        </w:trPr>
        <w:tc>
          <w:tcPr>
            <w:tcW w:w="629" w:type="dxa"/>
            <w:noWrap w:val="0"/>
            <w:vAlign w:val="center"/>
          </w:tcPr>
          <w:p w14:paraId="162AE41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noWrap w:val="0"/>
            <w:vAlign w:val="center"/>
          </w:tcPr>
          <w:p w14:paraId="79F595E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代理服务费</w:t>
            </w:r>
          </w:p>
        </w:tc>
        <w:tc>
          <w:tcPr>
            <w:tcW w:w="7612" w:type="dxa"/>
            <w:noWrap w:val="0"/>
            <w:vAlign w:val="center"/>
          </w:tcPr>
          <w:p w14:paraId="636F803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1、本项目代理服务费收费标准：（服务类）中标金额100万以下</w:t>
            </w:r>
            <w:r>
              <w:rPr>
                <w:rFonts w:hint="eastAsia" w:ascii="宋体" w:hAnsi="宋体" w:eastAsia="宋体" w:cs="宋体"/>
                <w:color w:val="auto"/>
                <w:kern w:val="0"/>
                <w:sz w:val="21"/>
                <w:szCs w:val="21"/>
                <w:highlight w:val="none"/>
                <w:lang w:val="en-US" w:eastAsia="zh-CN"/>
              </w:rPr>
              <w:t>部分</w:t>
            </w:r>
            <w:r>
              <w:rPr>
                <w:rFonts w:hint="eastAsia" w:ascii="宋体" w:hAnsi="宋体" w:eastAsia="宋体" w:cs="宋体"/>
                <w:color w:val="auto"/>
                <w:kern w:val="0"/>
                <w:sz w:val="21"/>
                <w:szCs w:val="21"/>
                <w:highlight w:val="none"/>
              </w:rPr>
              <w:t>费率为中标金额的1.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不足6000元的按6000元收取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由本项目中标人承担，在领取中标通知书时向采购代理机构一次性付清。</w:t>
            </w:r>
          </w:p>
          <w:p w14:paraId="3804A5A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2、代理服务费支付：</w:t>
            </w:r>
          </w:p>
          <w:p w14:paraId="4C698D6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 代理服务费缴纳形式：汇票/支票/电汇/现金</w:t>
            </w:r>
          </w:p>
          <w:p w14:paraId="58F228A3">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 代理服务费汇入以下账户 ：</w:t>
            </w:r>
          </w:p>
          <w:p w14:paraId="01047EF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收款单位（户名）:嘉兴市银建工程咨询评估有限公司</w:t>
            </w:r>
          </w:p>
          <w:p w14:paraId="5644669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银行帐号：33001638047050004370</w:t>
            </w:r>
          </w:p>
          <w:p w14:paraId="058F5B9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t>开户银行：中国建设银行股份有限公司嘉兴分行营业部</w:t>
            </w:r>
          </w:p>
        </w:tc>
      </w:tr>
      <w:tr w14:paraId="0083E6D7">
        <w:trPr>
          <w:trHeight w:val="1129" w:hRule="atLeast"/>
          <w:jc w:val="center"/>
        </w:trPr>
        <w:tc>
          <w:tcPr>
            <w:tcW w:w="629" w:type="dxa"/>
            <w:noWrap w:val="0"/>
            <w:vAlign w:val="center"/>
          </w:tcPr>
          <w:p w14:paraId="60B3C987">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43" w:type="dxa"/>
            <w:noWrap w:val="0"/>
            <w:vAlign w:val="center"/>
          </w:tcPr>
          <w:p w14:paraId="52FE269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履约保证金</w:t>
            </w:r>
          </w:p>
        </w:tc>
        <w:tc>
          <w:tcPr>
            <w:tcW w:w="7612" w:type="dxa"/>
            <w:noWrap w:val="0"/>
            <w:vAlign w:val="center"/>
          </w:tcPr>
          <w:p w14:paraId="74FA8688">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无</w:t>
            </w:r>
          </w:p>
          <w:p w14:paraId="1F04BDCB">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合同签订生效后7个工作日内，中标供应商向采购人缴纳合同总价的1%作为履约保证金。</w:t>
            </w:r>
          </w:p>
        </w:tc>
      </w:tr>
      <w:tr w14:paraId="0B1404AD">
        <w:trPr>
          <w:trHeight w:val="5809" w:hRule="atLeast"/>
          <w:jc w:val="center"/>
        </w:trPr>
        <w:tc>
          <w:tcPr>
            <w:tcW w:w="629" w:type="dxa"/>
            <w:noWrap w:val="0"/>
            <w:vAlign w:val="center"/>
          </w:tcPr>
          <w:p w14:paraId="5C795FA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43" w:type="dxa"/>
            <w:noWrap w:val="0"/>
            <w:vAlign w:val="center"/>
          </w:tcPr>
          <w:p w14:paraId="3765064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7612" w:type="dxa"/>
            <w:noWrap w:val="0"/>
            <w:vAlign w:val="center"/>
          </w:tcPr>
          <w:p w14:paraId="3E176BE3">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本项目是否接受联合体投标：详见公开招标采购公告；</w:t>
            </w:r>
          </w:p>
          <w:p w14:paraId="52EBE9B6">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9241FEC">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sym w:font="Wingdings 2" w:char="00A3"/>
            </w:r>
            <w:r>
              <w:rPr>
                <w:rFonts w:hint="eastAsia" w:ascii="宋体" w:hAnsi="宋体" w:eastAsia="宋体" w:cs="宋体"/>
                <w:color w:val="auto"/>
                <w:kern w:val="0"/>
                <w:sz w:val="21"/>
                <w:szCs w:val="21"/>
                <w:highlight w:val="none"/>
              </w:rPr>
              <w:t>联合体投标的，联合体各方均需按招标文件第四部分评标办法要求提供资信证明文件，否则视为不符合相关要求。</w:t>
            </w:r>
          </w:p>
          <w:p w14:paraId="29148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联合体投标的，联合体中有一方或者联合体成员根据分工按招标文件第四部分评标办法要求提供资信证明文件的，视为符合了相关要求。</w:t>
            </w:r>
          </w:p>
          <w:p w14:paraId="753BB44F">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3、联合体中有同类资质的供应商按照联合体分工承担相同工作的，应当按照资质等级较低的供应商确定资质等级。</w:t>
            </w:r>
          </w:p>
          <w:p w14:paraId="6CC6F357">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4、以联合体形式参加政府采购活动的，联合体各方不得再单独参加或者与其他供应商另外组成联合体参加同一合同项下的政府采购活动。</w:t>
            </w:r>
          </w:p>
          <w:p w14:paraId="20C458DD">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5、若联合体中任一成员单位中途退出，则该联合体的投标无效。</w:t>
            </w:r>
          </w:p>
          <w:p w14:paraId="0DDBF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6、本项目不接受联合体投标时，投标人不得为联合体。</w:t>
            </w:r>
          </w:p>
          <w:p w14:paraId="230B72E4">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7、以联合体形式参与本项目投标的，除联合协议外，其他采购文件要求需盖章的部分，仅由联合体牵头人加盖供应商公章或电子签章即可。</w:t>
            </w:r>
          </w:p>
        </w:tc>
      </w:tr>
    </w:tbl>
    <w:p w14:paraId="50F1BB9B">
      <w:pPr>
        <w:pStyle w:val="4"/>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一、总则</w:t>
      </w:r>
    </w:p>
    <w:p w14:paraId="4A565767">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1DE8A300">
      <w:pPr>
        <w:pageBreakBefore w:val="0"/>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43AE3516">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746AEA7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108E6421">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“采购机构”系指招标公告中载明的本项目的采购代理机构。</w:t>
      </w:r>
    </w:p>
    <w:p w14:paraId="6CF7CBE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4812441E">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111F5269">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w:t>
      </w:r>
    </w:p>
    <w:p w14:paraId="1B763BD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2.6“电子交易平台”是指本项目政府采购活动所依托的政府采购云平台（https://www.zcygov.cn/）。</w:t>
      </w:r>
    </w:p>
    <w:p w14:paraId="65D34CE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“▲”系指实质性要求条款，不满足实行性要求条款的投标文件无效；“★”系指关键服务要求，投标文件响应内容若不满足，评标委员会将作出对其不利的评审；“☑” 系指适用本项目的要求，“” 系指不适用本项目的要求。</w:t>
      </w:r>
    </w:p>
    <w:p w14:paraId="1E607DED">
      <w:pPr>
        <w:pageBreakBefore w:val="0"/>
        <w:kinsoku/>
        <w:wordWrap/>
        <w:overflowPunct/>
        <w:topLinePunct w:val="0"/>
        <w:bidi w:val="0"/>
        <w:adjustRightInd w:val="0"/>
        <w:snapToGrid/>
        <w:spacing w:line="420" w:lineRule="atLeas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3.采购项目需要落实的政府采购政策</w:t>
      </w:r>
    </w:p>
    <w:p w14:paraId="211008E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060C385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1DB12281">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F585269">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58B2A72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A8A11ED">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20995ECD">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828F97">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5A2E1046">
      <w:pPr>
        <w:pageBreakBefore w:val="0"/>
        <w:widowControl/>
        <w:kinsoku/>
        <w:wordWrap/>
        <w:overflowPunct/>
        <w:topLinePunct w:val="0"/>
        <w:bidi w:val="0"/>
        <w:adjustRightInd w:val="0"/>
        <w:snapToGrid/>
        <w:spacing w:line="420" w:lineRule="atLeas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E1A1FC">
      <w:pPr>
        <w:pageBreakBefore w:val="0"/>
        <w:widowControl/>
        <w:kinsoku/>
        <w:wordWrap/>
        <w:overflowPunct/>
        <w:topLinePunct w:val="0"/>
        <w:bidi w:val="0"/>
        <w:adjustRightInd w:val="0"/>
        <w:snapToGrid/>
        <w:spacing w:line="420" w:lineRule="atLeas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51DB9CF1">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7D8C0088">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4A8E566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DD2FD5">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907103">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27E800FE">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3.3.8《政府采购促进中小企业发展管理办法》第四条规定：在货物采购项目中，货物由中小企业生产且使用该中小企业商号或者注册商标，即只有生产厂家和品牌商（制造商）为同一家的中小企业，才能享受政府采购的中小企业扶持政策。如供应商所投产品为委托代加工的，应提供委托代加工的相关证明材料。</w:t>
      </w:r>
    </w:p>
    <w:p w14:paraId="0E120C2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2A4145F0">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3.4.1采购人优先采购被认定为首台套产品和“制造精品”的自主创新产品。</w:t>
      </w:r>
    </w:p>
    <w:p w14:paraId="36B87C64">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3.4.2首台套产品被纳入《首台套产</w:t>
      </w:r>
      <w:r>
        <w:rPr>
          <w:rFonts w:hint="eastAsia" w:ascii="宋体" w:hAnsi="宋体" w:eastAsia="宋体" w:cs="宋体"/>
          <w:bCs/>
          <w:color w:val="auto"/>
          <w:sz w:val="21"/>
          <w:szCs w:val="21"/>
          <w:highlight w:val="none"/>
        </w:rPr>
        <w:t>品推广应用指导目录》之日起3年内，以及产品核心技术高于国内领先水平，并具有明晰自主知识产权的“制造精品”产品，自认定之日起2年内视同已具备相应销售业绩，参加政府采购活动时业绩分值为满分。</w:t>
      </w:r>
    </w:p>
    <w:p w14:paraId="74D15630">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3.4.3 采购人应当贯彻落实知识产权保护相关法律法规，应当采购使用正版软件。</w:t>
      </w:r>
    </w:p>
    <w:p w14:paraId="56369C8E">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3.5平等对待内外资企业和符合条件的破产重整企业</w:t>
      </w:r>
    </w:p>
    <w:p w14:paraId="1F509DD7">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bCs/>
          <w:color w:val="auto"/>
          <w:sz w:val="21"/>
          <w:szCs w:val="21"/>
          <w:highlight w:val="none"/>
        </w:rPr>
        <w:cr/>
      </w:r>
      <w:r>
        <w:rPr>
          <w:rFonts w:hint="eastAsia" w:ascii="宋体" w:hAnsi="宋体" w:eastAsia="宋体" w:cs="宋体"/>
          <w:b/>
          <w:color w:val="auto"/>
          <w:sz w:val="21"/>
          <w:szCs w:val="21"/>
          <w:highlight w:val="none"/>
        </w:rPr>
        <w:t>4. 询问、质疑、投诉、补偿救济</w:t>
      </w:r>
    </w:p>
    <w:p w14:paraId="173ADBCE">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w:t>
      </w:r>
    </w:p>
    <w:p w14:paraId="4120FFB0">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645F12">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2CA8B4B0">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41B966">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2E9EF77D">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4.3</w:t>
      </w:r>
      <w:r>
        <w:rPr>
          <w:rFonts w:hint="eastAsia" w:ascii="宋体" w:hAnsi="宋体" w:eastAsia="宋体" w:cs="宋体"/>
          <w:color w:val="auto"/>
          <w:kern w:val="0"/>
          <w:sz w:val="21"/>
          <w:szCs w:val="21"/>
          <w:highlight w:val="none"/>
          <w:lang w:val="en-US" w:eastAsia="zh-CN"/>
        </w:rPr>
        <w:t>.1提出质疑的供应商应当是参与所质疑项目采购活动的供应商。潜在供应商已依法获取其可质疑的招标文件的，可以对该文件提出质疑。</w:t>
      </w:r>
    </w:p>
    <w:p w14:paraId="1739CC65">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6C6973C">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4.3.2.1对招标文件提出质疑的，质疑期限为供应商获得招标文件之日或者招标文件公告期限届满之日起计算。</w:t>
      </w:r>
    </w:p>
    <w:p w14:paraId="4415DAF9">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4.3.2.2对采购过程提出质疑的，质疑期限为各采购程序环节结束之日起计算。4.3.2.3对采购结果提出质疑的，质疑期限自采购结果公告期限届满之日起计算。</w:t>
      </w:r>
    </w:p>
    <w:p w14:paraId="6AB62B22">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4.3.3供应商提出质疑应当提交质疑函和必要的证明材料。质疑函应当包括下列内容：</w:t>
      </w:r>
    </w:p>
    <w:p w14:paraId="204B3143">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4.3.3.1供应商的姓名或者名称、地址、邮编、联系人及联系电话；</w:t>
      </w:r>
    </w:p>
    <w:p w14:paraId="46EBBB37">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4.3.3.2质疑项目的名称、编号；</w:t>
      </w:r>
    </w:p>
    <w:p w14:paraId="6209B632">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4.3.3.3具体、明确的质疑事项和与质疑事项相关的请求；</w:t>
      </w:r>
    </w:p>
    <w:p w14:paraId="21EA29F6">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4.3.3.4事实依据；</w:t>
      </w:r>
    </w:p>
    <w:p w14:paraId="337A26A3">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4.3.3.5必要的法律依据；</w:t>
      </w:r>
    </w:p>
    <w:p w14:paraId="4D37BB31">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4.3.3.6提出质疑的日期。</w:t>
      </w:r>
    </w:p>
    <w:p w14:paraId="3A71EBE0">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AF9D526">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质疑函范本及制作说明详见附件2。</w:t>
      </w:r>
    </w:p>
    <w:p w14:paraId="785290CF">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4.3.4对同一采购程序环节的质疑，供应商须在法定质疑期内一次性提出。</w:t>
      </w:r>
    </w:p>
    <w:p w14:paraId="49D4A689">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13098395">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4.3.6询问或者质疑事项可能影响采购结果的，采购人应当暂停签订合同，已经签订合同的，应当中止履行合同。</w:t>
      </w:r>
    </w:p>
    <w:p w14:paraId="0F9E94EB">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4.4供应商投诉</w:t>
      </w:r>
    </w:p>
    <w:p w14:paraId="4F4B2364">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056E93B1">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4.4.2供应商投诉的事项不得超出已质疑事项的范围，基于质疑答复内容提出的投诉事项除外。</w:t>
      </w:r>
    </w:p>
    <w:p w14:paraId="4AE09F45">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4.4.3供应商投诉应当有明确的请求和必要的证明材料。</w:t>
      </w:r>
    </w:p>
    <w:p w14:paraId="717BF38C">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4.4.4以联合体形式参加政府采购活动的，其投诉应当由组成联合体的所有供应商共同提出。</w:t>
      </w:r>
    </w:p>
    <w:p w14:paraId="31060E5C">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二、招标文件的构成、澄清、修改</w:t>
      </w:r>
    </w:p>
    <w:p w14:paraId="03F8A3D2">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67BD9238">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5.1招标文件包括下列文件及附件：</w:t>
      </w:r>
    </w:p>
    <w:p w14:paraId="473E8E7B">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5.1.1招标公告；</w:t>
      </w:r>
    </w:p>
    <w:p w14:paraId="299C188F">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5.1.2投标人须知；</w:t>
      </w:r>
    </w:p>
    <w:p w14:paraId="08517021">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5.1.3采购需求；</w:t>
      </w:r>
    </w:p>
    <w:p w14:paraId="51F17282">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5.1.4评标办法；</w:t>
      </w:r>
    </w:p>
    <w:p w14:paraId="3C5F1983">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5.1.5拟签订的合同文本；</w:t>
      </w:r>
    </w:p>
    <w:p w14:paraId="6E041874">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5.1.6应提交的有关格式范例。</w:t>
      </w:r>
    </w:p>
    <w:p w14:paraId="4BDF7CD7">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5.2与本项目有关的</w:t>
      </w:r>
      <w:r>
        <w:rPr>
          <w:rFonts w:hint="eastAsia" w:ascii="宋体" w:hAnsi="宋体" w:eastAsia="宋体" w:cs="宋体"/>
          <w:b/>
          <w:bCs/>
          <w:color w:val="auto"/>
          <w:sz w:val="21"/>
          <w:szCs w:val="21"/>
          <w:highlight w:val="none"/>
        </w:rPr>
        <w:t>澄清或者修改的内容为招标文件的组成部分</w:t>
      </w:r>
      <w:r>
        <w:rPr>
          <w:rFonts w:hint="eastAsia" w:ascii="宋体" w:hAnsi="宋体" w:eastAsia="宋体" w:cs="宋体"/>
          <w:b/>
          <w:color w:val="auto"/>
          <w:sz w:val="21"/>
          <w:szCs w:val="21"/>
          <w:highlight w:val="none"/>
        </w:rPr>
        <w:t>。</w:t>
      </w:r>
    </w:p>
    <w:p w14:paraId="7E31F34F">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4014EA4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6.1已获取招标文件的潜在投标人，若有问题需要澄清，应于投标截止时间前，以书面形式</w:t>
      </w:r>
      <w:r>
        <w:rPr>
          <w:rFonts w:hint="eastAsia" w:ascii="宋体" w:hAnsi="宋体" w:eastAsia="宋体" w:cs="宋体"/>
          <w:b/>
          <w:color w:val="auto"/>
          <w:sz w:val="21"/>
          <w:szCs w:val="21"/>
          <w:highlight w:val="none"/>
          <w:u w:val="single"/>
        </w:rPr>
        <w:t>或政采云线上询问方式</w:t>
      </w:r>
      <w:r>
        <w:rPr>
          <w:rFonts w:hint="eastAsia" w:ascii="宋体" w:hAnsi="宋体" w:eastAsia="宋体" w:cs="宋体"/>
          <w:b/>
          <w:color w:val="auto"/>
          <w:sz w:val="21"/>
          <w:szCs w:val="21"/>
          <w:highlight w:val="none"/>
        </w:rPr>
        <w:t>向采购代理机构提出。</w:t>
      </w:r>
    </w:p>
    <w:p w14:paraId="4CDC5B2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BCB634">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三、投标</w:t>
      </w:r>
    </w:p>
    <w:p w14:paraId="4698D8BF">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7763FD0F">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31BF4AAF">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082A9A8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采购人组织潜在投标人现场考察或者召开开标前答疑会的，潜在投标人按第二部分投标人须知前附表的规定参加现场考察或者开标前答疑会。</w:t>
      </w:r>
    </w:p>
    <w:p w14:paraId="6C404BC7">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9.投标保证金</w:t>
      </w:r>
    </w:p>
    <w:p w14:paraId="3D57CD8D">
      <w:pPr>
        <w:pageBreakBefore w:val="0"/>
        <w:widowControl/>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本项目不需缴纳投标保证金。</w:t>
      </w:r>
    </w:p>
    <w:p w14:paraId="511552F1">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10.投标文件的语言</w:t>
      </w:r>
    </w:p>
    <w:p w14:paraId="24FF4C2C">
      <w:pPr>
        <w:pageBreakBefore w:val="0"/>
        <w:widowControl/>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kern w:val="28"/>
          <w:sz w:val="21"/>
          <w:szCs w:val="21"/>
          <w:highlight w:val="none"/>
          <w:lang w:val="zh-CN"/>
        </w:rPr>
      </w:pPr>
      <w:r>
        <w:rPr>
          <w:rFonts w:hint="eastAsia" w:ascii="宋体" w:hAnsi="宋体" w:eastAsia="宋体" w:cs="宋体"/>
          <w:snapToGrid w:val="0"/>
          <w:color w:val="auto"/>
          <w:kern w:val="28"/>
          <w:sz w:val="21"/>
          <w:szCs w:val="21"/>
          <w:highlight w:val="none"/>
        </w:rPr>
        <w:t>投标文件及投标人与采购有关的来往通知、函件和文件均应使用中文。</w:t>
      </w:r>
    </w:p>
    <w:p w14:paraId="55E47174">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11.投标文件的组成</w:t>
      </w:r>
    </w:p>
    <w:p w14:paraId="3CDCF5DB">
      <w:pPr>
        <w:pageBreakBefore w:val="0"/>
        <w:kinsoku/>
        <w:wordWrap/>
        <w:overflowPunct/>
        <w:topLinePunct w:val="0"/>
        <w:bidi w:val="0"/>
        <w:adjustRightInd w:val="0"/>
        <w:snapToGrid/>
        <w:spacing w:line="420" w:lineRule="atLeast"/>
        <w:ind w:firstLine="420" w:firstLineChars="200"/>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7026CE80">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5162C0A4">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11.1.2供应商（联合体参加的指联合体双方）的营业执照或者其他由国家相关部门出具的具有独立承担民事责任能力的证明文件；</w:t>
      </w:r>
    </w:p>
    <w:p w14:paraId="7C177612">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11.1.3联合协议（</w:t>
      </w:r>
      <w:r>
        <w:rPr>
          <w:rFonts w:hint="eastAsia" w:ascii="宋体" w:hAnsi="宋体" w:eastAsia="宋体" w:cs="宋体"/>
          <w:snapToGrid w:val="0"/>
          <w:color w:val="auto"/>
          <w:kern w:val="28"/>
          <w:sz w:val="21"/>
          <w:szCs w:val="21"/>
          <w:highlight w:val="none"/>
          <w:lang w:eastAsia="zh-CN"/>
        </w:rPr>
        <w:t>联合体参加的提供）</w:t>
      </w:r>
      <w:r>
        <w:rPr>
          <w:rFonts w:hint="eastAsia" w:ascii="宋体" w:hAnsi="宋体" w:eastAsia="宋体" w:cs="宋体"/>
          <w:snapToGrid w:val="0"/>
          <w:color w:val="auto"/>
          <w:kern w:val="28"/>
          <w:sz w:val="21"/>
          <w:szCs w:val="21"/>
          <w:highlight w:val="none"/>
        </w:rPr>
        <w:t>)；</w:t>
      </w:r>
    </w:p>
    <w:p w14:paraId="2AF286A2">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11.1.4落实政府采购政策需满足的资格要求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（专门面向中小企业时提供）。</w:t>
      </w:r>
    </w:p>
    <w:p w14:paraId="44FF91E7">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41CA2FC4">
      <w:pPr>
        <w:pageBreakBefore w:val="0"/>
        <w:kinsoku/>
        <w:wordWrap/>
        <w:overflowPunct/>
        <w:topLinePunct w:val="0"/>
        <w:bidi w:val="0"/>
        <w:adjustRightInd w:val="0"/>
        <w:snapToGrid/>
        <w:spacing w:line="420" w:lineRule="atLeast"/>
        <w:ind w:firstLine="420" w:firstLineChars="200"/>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11.2商务技术文件：</w:t>
      </w:r>
    </w:p>
    <w:p w14:paraId="7B0402F3">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p>
    <w:p w14:paraId="4368D6CC">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4364D295">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11.2.3分包意向协议（如果有)；</w:t>
      </w:r>
    </w:p>
    <w:p w14:paraId="26D94309">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1E20C266">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10713086">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108E5527">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018CFC38">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11.2.8政府采购供应商廉洁自律承诺书；</w:t>
      </w:r>
    </w:p>
    <w:p w14:paraId="2A8677D2">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bookmarkStart w:id="2" w:name="_Hlk125840093"/>
      <w:r>
        <w:rPr>
          <w:rFonts w:hint="eastAsia" w:ascii="宋体" w:hAnsi="宋体" w:eastAsia="宋体" w:cs="宋体"/>
          <w:color w:val="auto"/>
          <w:sz w:val="21"/>
          <w:szCs w:val="21"/>
          <w:highlight w:val="none"/>
        </w:rPr>
        <w:t>11.2.9供应商认为有必要的其他内容。</w:t>
      </w:r>
    </w:p>
    <w:bookmarkEnd w:id="2"/>
    <w:p w14:paraId="56A973AA">
      <w:pPr>
        <w:pageBreakBefore w:val="0"/>
        <w:kinsoku/>
        <w:wordWrap/>
        <w:overflowPunct/>
        <w:topLinePunct w:val="0"/>
        <w:bidi w:val="0"/>
        <w:adjustRightInd w:val="0"/>
        <w:snapToGrid/>
        <w:spacing w:line="420" w:lineRule="atLeast"/>
        <w:ind w:firstLine="420" w:firstLineChars="200"/>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11.3报价文件：</w:t>
      </w:r>
    </w:p>
    <w:p w14:paraId="57617317">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7D1058F9">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 报价情况说明（如供应商报价低于项目预算50%的，应当提交本文档，详细阐述不影响产品质量或者诚信履约的具体原因）；</w:t>
      </w:r>
    </w:p>
    <w:p w14:paraId="62C3052F">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11.3.3中小企业声明函。</w:t>
      </w:r>
      <w:r>
        <w:rPr>
          <w:rFonts w:hint="eastAsia" w:ascii="宋体" w:hAnsi="宋体" w:eastAsia="宋体" w:cs="宋体"/>
          <w:b/>
          <w:bCs/>
          <w:color w:val="auto"/>
          <w:sz w:val="21"/>
          <w:szCs w:val="21"/>
          <w:highlight w:val="none"/>
        </w:rPr>
        <w:t>（非专门面向中小企业时提供）</w:t>
      </w:r>
      <w:r>
        <w:rPr>
          <w:rFonts w:hint="eastAsia" w:ascii="宋体" w:hAnsi="宋体" w:eastAsia="宋体" w:cs="宋体"/>
          <w:color w:val="auto"/>
          <w:sz w:val="21"/>
          <w:szCs w:val="21"/>
          <w:highlight w:val="none"/>
        </w:rPr>
        <w:t>。</w:t>
      </w:r>
    </w:p>
    <w:p w14:paraId="25909F0F">
      <w:pPr>
        <w:pageBreakBefore w:val="0"/>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投标文件含有采购人不能接受的附加条件的，投标无效；</w:t>
      </w:r>
    </w:p>
    <w:p w14:paraId="0E9EA663">
      <w:pPr>
        <w:pageBreakBefore w:val="0"/>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投标人提供虚假材料投标的，投标无效。</w:t>
      </w:r>
    </w:p>
    <w:p w14:paraId="3C0F6213">
      <w:pPr>
        <w:pageBreakBefore w:val="0"/>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投标人应对投标文件中材料的真实性、合法性负责。</w:t>
      </w:r>
    </w:p>
    <w:p w14:paraId="6F30C320">
      <w:pPr>
        <w:pageBreakBefore w:val="0"/>
        <w:kinsoku/>
        <w:wordWrap/>
        <w:overflowPunct/>
        <w:topLinePunct w:val="0"/>
        <w:bidi w:val="0"/>
        <w:adjustRightInd w:val="0"/>
        <w:snapToGrid/>
        <w:spacing w:line="420" w:lineRule="atLeas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12.投标文件的编制</w:t>
      </w:r>
    </w:p>
    <w:p w14:paraId="5B5BAED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85B1CF">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4C1BF5">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164D654">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08D83184">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3DD0088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32C7D9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5E777C19">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14.投标文件的提交、补充、修改、撤回</w:t>
      </w:r>
    </w:p>
    <w:p w14:paraId="72E91752">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F82A3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5A9AF4C">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1EE2A0B4">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0FB99E3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snapToGrid w:val="0"/>
          <w:color w:val="auto"/>
          <w:sz w:val="21"/>
          <w:szCs w:val="21"/>
          <w:highlight w:val="none"/>
        </w:rPr>
        <w:t>15.1投标人在电子交易平台传输递交投标文件后，还可以在投标截止时间前直接提交或以快递方式递交备份投标文件1份，</w:t>
      </w:r>
      <w:r>
        <w:rPr>
          <w:rFonts w:hint="eastAsia" w:ascii="宋体" w:hAnsi="宋体" w:eastAsia="宋体" w:cs="宋体"/>
          <w:b/>
          <w:snapToGrid w:val="0"/>
          <w:color w:val="auto"/>
          <w:sz w:val="21"/>
          <w:szCs w:val="21"/>
          <w:highlight w:val="none"/>
        </w:rPr>
        <w:t>但采购人、采购机构不强制或变相强制投标人提交备份投标文件。</w:t>
      </w:r>
    </w:p>
    <w:p w14:paraId="34169EB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snapToGrid w:val="0"/>
          <w:color w:val="auto"/>
          <w:sz w:val="21"/>
          <w:szCs w:val="21"/>
          <w:highlight w:val="none"/>
        </w:rPr>
        <w:t>15.2备份投标文件须在“政采云投标客户端”制作生成，并储存U盘中。</w:t>
      </w:r>
      <w:r>
        <w:rPr>
          <w:rFonts w:hint="eastAsia" w:ascii="宋体" w:hAnsi="宋体" w:eastAsia="宋体" w:cs="宋体"/>
          <w:b/>
          <w:bCs/>
          <w:snapToGrid w:val="0"/>
          <w:color w:val="auto"/>
          <w:sz w:val="21"/>
          <w:szCs w:val="21"/>
          <w:highlight w:val="none"/>
        </w:rPr>
        <w:t>备份投标文件应当密封包装并在包装上加盖公章并注明投标项目名称，投标人名称</w:t>
      </w:r>
      <w:r>
        <w:rPr>
          <w:rFonts w:hint="eastAsia" w:ascii="宋体" w:hAnsi="宋体" w:eastAsia="宋体" w:cs="宋体"/>
          <w:snapToGrid w:val="0"/>
          <w:color w:val="auto"/>
          <w:sz w:val="21"/>
          <w:szCs w:val="21"/>
          <w:highlight w:val="none"/>
        </w:rPr>
        <w:t>(联合体投标的，包装物封面需注明联合体投标，并注明联合体成员各方的名称和联合协议中约定的牵头人的名称)。</w:t>
      </w:r>
      <w:r>
        <w:rPr>
          <w:rFonts w:hint="eastAsia" w:ascii="宋体" w:hAnsi="宋体" w:eastAsia="宋体" w:cs="宋体"/>
          <w:b/>
          <w:snapToGrid w:val="0"/>
          <w:color w:val="auto"/>
          <w:sz w:val="21"/>
          <w:szCs w:val="21"/>
          <w:highlight w:val="none"/>
        </w:rPr>
        <w:t>不符合上述制作、存储、密封规定的备份投标文件将被视为无效或者被拒绝接收。</w:t>
      </w:r>
    </w:p>
    <w:p w14:paraId="2570D2B4">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15.3直接提交备份投标文件的，投标人应于投标截止时间前在招标公告中载明的开标地点将备份投标文件提交给采购机构，采购机构将拒绝接受逾期送达的备份投标文件。</w:t>
      </w:r>
    </w:p>
    <w:p w14:paraId="6CDB32B0">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15.4以邮政快递方式递交备份投标文件的，投标人应先将备份投标文件按要求密封和标记，再进行邮政快递包装后邮寄。</w:t>
      </w:r>
    </w:p>
    <w:p w14:paraId="43147A61">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15.5备份投标文件须在投标截止时间之前送达</w:t>
      </w:r>
      <w:r>
        <w:rPr>
          <w:rFonts w:hint="eastAsia" w:ascii="宋体" w:hAnsi="宋体" w:eastAsia="宋体" w:cs="宋体"/>
          <w:color w:val="auto"/>
          <w:sz w:val="21"/>
          <w:szCs w:val="21"/>
          <w:highlight w:val="none"/>
        </w:rPr>
        <w:t>采购文件第二部分投标人须知前附表规定的备份投标文件送达地点；</w:t>
      </w:r>
      <w:r>
        <w:rPr>
          <w:rFonts w:hint="eastAsia" w:ascii="宋体" w:hAnsi="宋体" w:eastAsia="宋体" w:cs="宋体"/>
          <w:snapToGrid w:val="0"/>
          <w:color w:val="auto"/>
          <w:sz w:val="21"/>
          <w:szCs w:val="21"/>
          <w:highlight w:val="none"/>
        </w:rPr>
        <w:t>送达时间以签收人签收时间为准。采购机构将拒绝接受逾期送达的备份投标文件。邮寄过程中，电子备份投标文件发生泄露、遗失、损坏或延期送达等情况的，由投标人自行负责。</w:t>
      </w:r>
    </w:p>
    <w:p w14:paraId="520B2EA2">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15.7投标人仅提交备份投标文件，没有在电子交易平台传输递交投标文件的，投标无效。</w:t>
      </w:r>
    </w:p>
    <w:p w14:paraId="1EACE1D9">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2A4599B9">
      <w:pPr>
        <w:pageBreakBefore w:val="0"/>
        <w:widowControl w:val="0"/>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有招标文件第四部分4.2规定的情形之一的，投标无效：</w:t>
      </w:r>
    </w:p>
    <w:p w14:paraId="791920F1">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25E2059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0E4F297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5F785993">
      <w:pPr>
        <w:pageBreakBefore w:val="0"/>
        <w:widowControl/>
        <w:shd w:val="clear" w:color="auto" w:fill="FFFFFF"/>
        <w:kinsoku/>
        <w:wordWrap/>
        <w:overflowPunct/>
        <w:topLinePunct w:val="0"/>
        <w:bidi w:val="0"/>
        <w:adjustRightInd w:val="0"/>
        <w:snapToGrid/>
        <w:spacing w:line="420" w:lineRule="atLeast"/>
        <w:ind w:firstLine="420" w:firstLineChars="200"/>
        <w:contextualSpacing/>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4139C8C">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四、开标、资格审查与信用信息查询</w:t>
      </w:r>
    </w:p>
    <w:p w14:paraId="4ED009C7">
      <w:pPr>
        <w:keepNext w:val="0"/>
        <w:keepLines w:val="0"/>
        <w:pageBreakBefore w:val="0"/>
        <w:widowControl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18.开标</w:t>
      </w:r>
    </w:p>
    <w:p w14:paraId="702D0376">
      <w:pPr>
        <w:keepNext w:val="0"/>
        <w:keepLines w:val="0"/>
        <w:pageBreakBefore w:val="0"/>
        <w:widowControl w:val="0"/>
        <w:kinsoku/>
        <w:wordWrap/>
        <w:overflowPunct/>
        <w:topLinePunct w:val="0"/>
        <w:autoSpaceDE w:val="0"/>
        <w:autoSpaceDN w:val="0"/>
        <w:bidi w:val="0"/>
        <w:adjustRightInd w:val="0"/>
        <w:snapToGrid/>
        <w:spacing w:line="420" w:lineRule="atLeast"/>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18.1采购机构按照招标文件规定的时间通过电子交易平台组织开标，所有投标人均应当准时在线参加。投标人不足3家的，不得开标。</w:t>
      </w:r>
    </w:p>
    <w:p w14:paraId="2039E113">
      <w:pPr>
        <w:keepNext w:val="0"/>
        <w:keepLines w:val="0"/>
        <w:pageBreakBefore w:val="0"/>
        <w:widowControl w:val="0"/>
        <w:kinsoku/>
        <w:wordWrap/>
        <w:overflowPunct/>
        <w:topLinePunct w:val="0"/>
        <w:autoSpaceDE w:val="0"/>
        <w:autoSpaceDN w:val="0"/>
        <w:bidi w:val="0"/>
        <w:adjustRightInd w:val="0"/>
        <w:snapToGrid/>
        <w:spacing w:line="420" w:lineRule="atLeast"/>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18.2开标时，电子交易平台按开标时间自动提取所有投标文件。采购机构依托电子交易平台发起开始解密指令，投标人按照平台提示和招标文件的规定在半小时内完成在线解密。</w:t>
      </w:r>
    </w:p>
    <w:p w14:paraId="3FF5ED9B">
      <w:pPr>
        <w:keepNext w:val="0"/>
        <w:keepLines w:val="0"/>
        <w:pageBreakBefore w:val="0"/>
        <w:widowControl w:val="0"/>
        <w:kinsoku/>
        <w:wordWrap/>
        <w:overflowPunct/>
        <w:topLinePunct w:val="0"/>
        <w:autoSpaceDE w:val="0"/>
        <w:autoSpaceDN w:val="0"/>
        <w:bidi w:val="0"/>
        <w:adjustRightInd w:val="0"/>
        <w:snapToGrid/>
        <w:spacing w:line="420" w:lineRule="atLeast"/>
        <w:ind w:firstLine="420" w:firstLineChars="200"/>
        <w:contextualSpacing/>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18.3</w:t>
      </w:r>
      <w:r>
        <w:rPr>
          <w:rFonts w:hint="eastAsia" w:ascii="宋体" w:hAnsi="宋体" w:eastAsia="宋体" w:cs="宋体"/>
          <w:b/>
          <w:color w:val="auto"/>
          <w:kern w:val="0"/>
          <w:sz w:val="21"/>
          <w:szCs w:val="21"/>
          <w:highlight w:val="none"/>
        </w:rPr>
        <w:t>投标文件未按时解密，投标人提供了备份投标文件的，以备份投标文件作为依据，否则视为投标文件撤回。投标文件已按时解密的，备份投标文件自动失效。</w:t>
      </w:r>
    </w:p>
    <w:p w14:paraId="58D9620C">
      <w:pPr>
        <w:pStyle w:val="12"/>
        <w:pageBreakBefore w:val="0"/>
        <w:kinsoku/>
        <w:wordWrap/>
        <w:overflowPunct/>
        <w:topLinePunct w:val="0"/>
        <w:bidi w:val="0"/>
        <w:adjustRightInd w:val="0"/>
        <w:snapToGrid/>
        <w:spacing w:line="420" w:lineRule="atLeas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kern w:val="0"/>
          <w:sz w:val="21"/>
          <w:szCs w:val="21"/>
          <w:highlight w:val="none"/>
          <w:lang w:val="en-US" w:eastAsia="zh-CN"/>
        </w:rPr>
        <w:t>18.4投标文件解密指令发出后30分钟内，各投标人签署《政府采购活动现场确认声明书》（附件7），如在规定时间内未签署《政府采购活动现场确认声明书》（附件7）并发送至657698277@qq.com，将视同该投标人已如实确认与采购人以及参加本次采购的其他投标人不存在影响公平竞争的利害关系。</w:t>
      </w:r>
    </w:p>
    <w:p w14:paraId="798CA5E6">
      <w:pPr>
        <w:keepNext w:val="0"/>
        <w:keepLines w:val="0"/>
        <w:pageBreakBefore w:val="0"/>
        <w:widowControl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19、资格审查</w:t>
      </w:r>
    </w:p>
    <w:p w14:paraId="62C02921">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19.1</w:t>
      </w:r>
      <w:r>
        <w:rPr>
          <w:rFonts w:hint="eastAsia" w:ascii="宋体" w:hAnsi="宋体" w:eastAsia="宋体" w:cs="宋体"/>
          <w:color w:val="auto"/>
          <w:sz w:val="21"/>
          <w:szCs w:val="21"/>
          <w:highlight w:val="none"/>
        </w:rPr>
        <w:t>采购人或采购机构依据法律法规和招标文件的规定，对投标人的资格进行审查。</w:t>
      </w:r>
    </w:p>
    <w:p w14:paraId="17216C67">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393BF837">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3对未通过资格审查的投标人，采购人或采购机构告知其未通过的原因。</w:t>
      </w:r>
    </w:p>
    <w:p w14:paraId="247931BE">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4合格投标人不足3家的，不再评标。</w:t>
      </w:r>
    </w:p>
    <w:p w14:paraId="2D3BEEED">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69D009">
      <w:pPr>
        <w:keepNext w:val="0"/>
        <w:keepLines w:val="0"/>
        <w:pageBreakBefore w:val="0"/>
        <w:widowControl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34B0FC34">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20.1信用信息查询渠道及截止时间：采购机构将在资格审查时通过“信用中国”网站(www.creditchina.gov.cn)、中国政府采购网(www.ccgp.gov.cn)渠道查询投标人接受资格时的信用记录。</w:t>
      </w:r>
    </w:p>
    <w:p w14:paraId="7336F611">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bookmarkStart w:id="3" w:name="_Hlk125840869"/>
      <w:bookmarkStart w:id="4" w:name="_Toc91899903"/>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70108DF4">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6869BF4">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bookmarkEnd w:id="3"/>
    <w:p w14:paraId="059D6D09">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五、评标</w:t>
      </w:r>
    </w:p>
    <w:p w14:paraId="435412C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6DDF3B86">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六、定标</w:t>
      </w:r>
    </w:p>
    <w:p w14:paraId="5E96E493">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6FD08B99">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E0A327B">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09A54CB8">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23.1自中标人确定之日起2个工作日内，采购机构通过电子交易平台向中标人发出中标通知书，同时编制发布采购结果公告。采购机构也可以以纸质形式进行中标通知。</w:t>
      </w:r>
    </w:p>
    <w:p w14:paraId="12869C6F">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23.2中标结果公告内容包括采购人及其委托的采购机构的名称、地址、联系方式，项目名称和项目编号，中标人名称、地址和中标金额，主要中标标的的名称、规格型号、数量、单价、服务要求，开标记录、</w:t>
      </w:r>
      <w:bookmarkStart w:id="5" w:name="_Hlk101184471"/>
      <w:r>
        <w:rPr>
          <w:rFonts w:hint="eastAsia" w:ascii="宋体" w:hAnsi="宋体" w:eastAsia="宋体" w:cs="宋体"/>
          <w:color w:val="auto"/>
          <w:kern w:val="0"/>
          <w:sz w:val="21"/>
          <w:szCs w:val="21"/>
          <w:highlight w:val="none"/>
          <w:lang w:val="en-US" w:eastAsia="zh-CN" w:bidi="ar-SA"/>
        </w:rPr>
        <w:t>资格审查情况、评审专家抽取规则、符合性审查情况、</w:t>
      </w:r>
      <w:bookmarkEnd w:id="5"/>
      <w:r>
        <w:rPr>
          <w:rFonts w:hint="eastAsia" w:ascii="宋体" w:hAnsi="宋体" w:eastAsia="宋体" w:cs="宋体"/>
          <w:color w:val="auto"/>
          <w:kern w:val="0"/>
          <w:sz w:val="21"/>
          <w:szCs w:val="21"/>
          <w:highlight w:val="none"/>
          <w:lang w:val="en-US" w:eastAsia="zh-CN" w:bidi="ar-SA"/>
        </w:rPr>
        <w:t>未中标情况说明、中标公告期限以及评审专家名单、评分汇总及明细。</w:t>
      </w:r>
    </w:p>
    <w:p w14:paraId="7309BB9C">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23.3公告期限为1个工作日。</w:t>
      </w:r>
    </w:p>
    <w:p w14:paraId="317884CB">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23.4 由于中标、成交供应商原因导致重新采购的【1.中标或者成交后，拒绝签订政府采购合同的；2.投标有效期内撤销投标文件的。】应当承担支付预算金额的2%、代理费和专家评审费等费用在内的赔偿责任。赔偿金额不足以弥补采购人损失的，供应商应继续承担超过部分的损失。</w:t>
      </w:r>
    </w:p>
    <w:p w14:paraId="43B78535">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七、合同授予</w:t>
      </w:r>
    </w:p>
    <w:p w14:paraId="43E035F3">
      <w:pPr>
        <w:pageBreakBefore w:val="0"/>
        <w:kinsoku/>
        <w:wordWrap/>
        <w:overflowPunct/>
        <w:topLinePunct w:val="0"/>
        <w:bidi w:val="0"/>
        <w:adjustRightInd w:val="0"/>
        <w:snapToGrid/>
        <w:spacing w:line="420" w:lineRule="atLeast"/>
        <w:ind w:left="479" w:hanging="418" w:hangingChars="199"/>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 xml:space="preserve">24. </w:t>
      </w:r>
      <w:r>
        <w:rPr>
          <w:rFonts w:hint="eastAsia" w:ascii="宋体" w:hAnsi="宋体" w:eastAsia="宋体" w:cs="宋体"/>
          <w:color w:val="auto"/>
          <w:sz w:val="21"/>
          <w:szCs w:val="21"/>
          <w:highlight w:val="none"/>
          <w:lang w:val="zh-CN"/>
        </w:rPr>
        <w:t>合同主要条款详见第五部分拟签订的合同文本。</w:t>
      </w:r>
    </w:p>
    <w:p w14:paraId="043A1D0E">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0ECB2BAF">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80A697">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281A3B">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1B0CF0F2">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B9F6907">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60BB2E90">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31CCC61C">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u w:val="single"/>
        </w:rPr>
        <w:t>履约保证金的数额不得超过政府采购合同金额的1%</w:t>
      </w:r>
      <w:r>
        <w:rPr>
          <w:rFonts w:hint="eastAsia" w:ascii="宋体" w:hAnsi="宋体" w:eastAsia="宋体" w:cs="宋体"/>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BF3321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bookmarkStart w:id="6" w:name="_Hlk125841185"/>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4B9CA8">
      <w:pPr>
        <w:pageBreakBefore w:val="0"/>
        <w:kinsoku/>
        <w:wordWrap/>
        <w:overflowPunct/>
        <w:topLinePunct w:val="0"/>
        <w:bidi w:val="0"/>
        <w:adjustRightInd w:val="0"/>
        <w:snapToGrid/>
        <w:spacing w:line="420" w:lineRule="atLeas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27.预付款</w:t>
      </w:r>
    </w:p>
    <w:p w14:paraId="3C262129">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bookmarkEnd w:id="6"/>
    </w:p>
    <w:p w14:paraId="19FE3F5A">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八、电子交易活动的中止</w:t>
      </w:r>
    </w:p>
    <w:p w14:paraId="7965FB93">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电子交易活动的中止。</w:t>
      </w:r>
    </w:p>
    <w:p w14:paraId="3B0121E4">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采购过程中出现以下情形，导致电子交易平台无法正常运行，或者无法保证电子交易的公平、公正和安全时，采购机构可中止电子交易活动：</w:t>
      </w:r>
    </w:p>
    <w:p w14:paraId="6C556472">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0FC7D195">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08ADA947">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0970BE8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28.4病毒发作导致不能进行正常操作的；</w:t>
      </w:r>
    </w:p>
    <w:p w14:paraId="5B99B0E9">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7B5AD9A8">
      <w:pPr>
        <w:pageBreakBefore w:val="0"/>
        <w:kinsoku/>
        <w:wordWrap/>
        <w:overflowPunct/>
        <w:topLinePunct w:val="0"/>
        <w:bidi w:val="0"/>
        <w:adjustRightInd w:val="0"/>
        <w:snapToGrid/>
        <w:spacing w:line="420" w:lineRule="atLeas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29.</w:t>
      </w:r>
      <w:r>
        <w:rPr>
          <w:rFonts w:hint="eastAsia" w:ascii="宋体" w:hAnsi="宋体" w:eastAsia="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DBA74F">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九、验收</w:t>
      </w:r>
    </w:p>
    <w:p w14:paraId="2360336B">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bookmarkEnd w:id="4"/>
    <w:p w14:paraId="312CBBA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D01BF">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30.2采购人可以邀请参加本项目的其他投标人或者第三方机构参与验收。参与验收的投标人或者第三方机构的意见作为验收书的参考资料一并存档。</w:t>
      </w:r>
    </w:p>
    <w:p w14:paraId="26AF051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0B10AC">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56220D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bookmarkStart w:id="7" w:name="_Hlt75236101"/>
      <w:bookmarkEnd w:id="7"/>
      <w:bookmarkStart w:id="8" w:name="_Hlt74707468"/>
      <w:bookmarkEnd w:id="8"/>
      <w:bookmarkStart w:id="9" w:name="_Hlt68403820"/>
      <w:bookmarkEnd w:id="9"/>
      <w:bookmarkStart w:id="10" w:name="_Hlt68072990"/>
      <w:bookmarkEnd w:id="10"/>
      <w:bookmarkStart w:id="11" w:name="_Hlt74729768"/>
      <w:bookmarkEnd w:id="11"/>
      <w:bookmarkStart w:id="12" w:name="_Hlt75236011"/>
      <w:bookmarkEnd w:id="12"/>
      <w:bookmarkStart w:id="13" w:name="_Hlt68072998"/>
      <w:bookmarkEnd w:id="13"/>
      <w:bookmarkStart w:id="14" w:name="_Hlt68057669"/>
      <w:bookmarkEnd w:id="14"/>
      <w:bookmarkStart w:id="15" w:name="_Hlt74730295"/>
      <w:bookmarkEnd w:id="15"/>
      <w:bookmarkStart w:id="16" w:name="_Hlt75236290"/>
      <w:bookmarkEnd w:id="16"/>
      <w:bookmarkStart w:id="17" w:name="_Hlt74714665"/>
      <w:bookmarkEnd w:id="17"/>
      <w:bookmarkStart w:id="18" w:name="_Hlt68073093"/>
      <w:bookmarkEnd w:id="18"/>
      <w:r>
        <w:rPr>
          <w:rFonts w:hint="eastAsia" w:ascii="宋体" w:hAnsi="宋体" w:eastAsia="宋体" w:cs="宋体"/>
          <w:color w:val="auto"/>
          <w:sz w:val="21"/>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3A6023">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十、电子交易注意事项</w:t>
      </w:r>
    </w:p>
    <w:p w14:paraId="549979E6">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政府采购项目电子交易活动适用《浙江省政府采购项目电子交易管理暂行办法》，现将相关注意事项告知如下：</w:t>
      </w:r>
    </w:p>
    <w:p w14:paraId="0BCBDF5B">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（一）代理机构按照招标文件规定的时间通过电子交易平台组织开标、开启投标文件，所有供应商均应当准时在线参加，直至评审结束。</w:t>
      </w:r>
    </w:p>
    <w:p w14:paraId="7725A890">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（二）投标文件未按时解密，供应商如提供备份投标文件的，以符合要求的备份投标文件作为依据，否则视为投标文件撤回。投标文件已按时解密的，备份投标文件自动失效。</w:t>
      </w:r>
    </w:p>
    <w:p w14:paraId="6C2947C5">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（三）采购过程中出现以下情形，导致电子交易平台无法正常运行，或者无法保证电子交易的公平、公正和安全时，采购代理机构可中止电子交易活动：</w:t>
      </w:r>
    </w:p>
    <w:p w14:paraId="7CBB5448">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1.电子交易平台发生故障而无法登录访问的。</w:t>
      </w:r>
    </w:p>
    <w:p w14:paraId="4C0EEBEF">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2.电子交易平台应用或数据库出现错误，不能进行正常操作的。</w:t>
      </w:r>
    </w:p>
    <w:p w14:paraId="1C21AC83">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3.电子交易平台发现严重安全漏洞，有潜在泄密危险的。</w:t>
      </w:r>
    </w:p>
    <w:p w14:paraId="415E7B1B">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4.病毒发作导致不能进行正常操作的。 </w:t>
      </w:r>
    </w:p>
    <w:p w14:paraId="414E87A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5.其他无法保证电子交易的公平、公正和安全的情况。</w:t>
      </w:r>
    </w:p>
    <w:p w14:paraId="4C3A9614">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出现前款规定情形，不影响采购公平、公正性的，采购代理机构可以待上述情形消除后继续组织电子交易活动，也可以决定某些环节以纸质形式进行；影响或可能影响采购公平、公正性的，应当重新采购。</w:t>
      </w:r>
    </w:p>
    <w:p w14:paraId="27BEACA0">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9A6EED6">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（四）电子招投标的说明：</w:t>
      </w:r>
    </w:p>
    <w:p w14:paraId="6952D2C0">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①电子招投标：本项目以数据电文形式，依托“政府采购云平台（www.zcygov.cn）”进行招投标活动，不接受纸质投标文件；</w:t>
      </w:r>
    </w:p>
    <w:p w14:paraId="6A70B121">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8AEE23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③招标文件的获取：使用账号登录或者使用CA登录政采云平台；进入“项目采购”应用，在获取采购文件菜单中选择项目，获取招标文件；</w:t>
      </w:r>
    </w:p>
    <w:p w14:paraId="7D7DA5A7">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④投标文件的制作：在“政采云电子交易客户端”中完成“填写基本信息”、“导入投标文件”、“标书关联”、“标书检查”、“电子签名”、“生成电子标书”等操作；</w:t>
      </w:r>
    </w:p>
    <w:p w14:paraId="3DFC120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⑤采购人、采购机构将依托政采云平台完成本项目的电子交易活动，平台不接受未按上述方式获取招标文件的供应商进行投标活动； </w:t>
      </w:r>
    </w:p>
    <w:p w14:paraId="27C1E635">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⑥对未按上述方式获取招标文件的供应商对该文件提出的质疑，采购人或采购代理机构将不予处理；</w:t>
      </w:r>
    </w:p>
    <w:p w14:paraId="7DFA9E2E">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⑦不提供招标文件纸质版；</w:t>
      </w:r>
    </w:p>
    <w:p w14:paraId="453CFB85">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具体规定；</w:t>
      </w:r>
    </w:p>
    <w:p w14:paraId="7A7C8B3D">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8F47B6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⑩具体操作指南：详见政采云平台“服务中心-帮助文档-项目采购-操作流程-电子招投标-政府采购项目电子交易管理操作指南-供应商”。</w:t>
      </w:r>
    </w:p>
    <w:p w14:paraId="45D7C7FE">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5163F403">
      <w:pPr>
        <w:pStyle w:val="3"/>
        <w:bidi w:val="0"/>
        <w:rPr>
          <w:rFonts w:hint="eastAsia" w:ascii="宋体" w:hAnsi="宋体" w:eastAsia="宋体" w:cs="宋体"/>
          <w:color w:val="auto"/>
          <w:highlight w:val="none"/>
        </w:rPr>
      </w:pPr>
      <w:bookmarkStart w:id="19" w:name="_Toc225035246"/>
      <w:r>
        <w:rPr>
          <w:rFonts w:hint="eastAsia" w:ascii="宋体" w:hAnsi="宋体" w:eastAsia="宋体" w:cs="宋体"/>
          <w:color w:val="auto"/>
          <w:highlight w:val="none"/>
        </w:rPr>
        <w:t>第三部分  采购需求</w:t>
      </w:r>
      <w:bookmarkEnd w:id="19"/>
    </w:p>
    <w:p w14:paraId="73D97263">
      <w:pPr>
        <w:pStyle w:val="2"/>
        <w:bidi w:val="0"/>
        <w:rPr>
          <w:rFonts w:hint="eastAsia"/>
          <w:color w:val="auto"/>
          <w:lang w:val="en-US" w:eastAsia="zh-CN"/>
        </w:rPr>
      </w:pPr>
      <w:bookmarkStart w:id="20" w:name="_Toc525976645"/>
      <w:bookmarkStart w:id="21" w:name="_Toc311531489"/>
      <w:bookmarkStart w:id="22" w:name="_Toc27183"/>
      <w:r>
        <w:rPr>
          <w:rFonts w:hint="eastAsia"/>
          <w:color w:val="auto"/>
          <w:lang w:val="en-US" w:eastAsia="zh-CN"/>
        </w:rPr>
        <w:t>一、</w:t>
      </w:r>
      <w:bookmarkEnd w:id="20"/>
      <w:bookmarkEnd w:id="21"/>
      <w:r>
        <w:rPr>
          <w:rFonts w:hint="eastAsia"/>
          <w:color w:val="auto"/>
          <w:lang w:val="en-US" w:eastAsia="zh-CN"/>
        </w:rPr>
        <w:t>项目概况</w:t>
      </w:r>
    </w:p>
    <w:p w14:paraId="0812A4AB">
      <w:pPr>
        <w:pStyle w:val="2"/>
        <w:bidi w:val="0"/>
        <w:rPr>
          <w:rFonts w:hint="eastAsia"/>
          <w:color w:val="auto"/>
          <w:lang w:val="en-US" w:eastAsia="zh-CN"/>
        </w:rPr>
      </w:pPr>
      <w:r>
        <w:rPr>
          <w:rFonts w:hint="eastAsia"/>
          <w:color w:val="auto"/>
          <w:lang w:val="en-US" w:eastAsia="zh-CN"/>
        </w:rPr>
        <w:t>为强化体育彩票负责任、可信赖的品牌形象，进一步提升体育彩票品牌影响力，按照省中心体彩2025年品牌传播工作要求，结合我中心年度体彩品牌宣传工作计划安排，拟开展2025年嘉兴体彩品牌公益推广系列活动项目采购工作。通过开展各类公益主题活动，联合产品品牌传递正向积极的品牌价值，引导年轻人表达奋发向上的生活态度，激发年轻人的集体参与感和情感共鸣，传递体彩与年轻人携手共进、共同筑梦公益的坚定信念，共同塑造体彩负责任、可信赖的社会形象。</w:t>
      </w:r>
    </w:p>
    <w:p w14:paraId="1F77D1C0">
      <w:pPr>
        <w:pStyle w:val="2"/>
        <w:bidi w:val="0"/>
        <w:rPr>
          <w:rFonts w:hint="eastAsia"/>
          <w:color w:val="auto"/>
          <w:lang w:val="en-US" w:eastAsia="zh-CN"/>
        </w:rPr>
      </w:pPr>
      <w:r>
        <w:rPr>
          <w:rFonts w:hint="eastAsia"/>
          <w:color w:val="auto"/>
          <w:lang w:val="en-US" w:eastAsia="zh-CN"/>
        </w:rPr>
        <w:t>二、项目开展期限</w:t>
      </w:r>
    </w:p>
    <w:p w14:paraId="2FFCC0F8">
      <w:pPr>
        <w:pStyle w:val="2"/>
        <w:bidi w:val="0"/>
        <w:rPr>
          <w:rFonts w:hint="eastAsia"/>
          <w:color w:val="auto"/>
          <w:lang w:val="en-US" w:eastAsia="zh-CN"/>
        </w:rPr>
      </w:pPr>
      <w:r>
        <w:rPr>
          <w:rFonts w:hint="eastAsia"/>
          <w:color w:val="auto"/>
          <w:lang w:val="en-US" w:eastAsia="zh-CN"/>
        </w:rPr>
        <w:t>2025年全年，结合体彩品牌营销节点，拟组织在嘉兴全市五县二区内开展不少于7场体彩品牌公益推广系列活动，根据各区县的特色体育产业和文化元素，搭配体彩微公益、责任彩票、体育等元素，涵盖公益助学、赛事冠名、主题快闪、跨界合作、线上直播等多形式、多维度的系列品牌公益主题，以一种全新、有趣的方式打造新颖的体彩公益推广系列活动，展现出昂扬向上的体彩精神，以求达到中国体育彩票品牌传播效果。活动开展的具体时间和地点选择根据省市体彩中心工作需要并结合我中心实际调整确定。</w:t>
      </w:r>
    </w:p>
    <w:p w14:paraId="2F4061FE">
      <w:pPr>
        <w:pStyle w:val="2"/>
        <w:bidi w:val="0"/>
        <w:rPr>
          <w:rFonts w:hint="eastAsia"/>
          <w:color w:val="auto"/>
          <w:lang w:val="en-US" w:eastAsia="zh-CN"/>
        </w:rPr>
      </w:pPr>
      <w:r>
        <w:rPr>
          <w:rFonts w:hint="eastAsia"/>
          <w:color w:val="auto"/>
          <w:lang w:val="en-US" w:eastAsia="zh-CN"/>
        </w:rPr>
        <w:t>三、项目内容</w:t>
      </w:r>
    </w:p>
    <w:p w14:paraId="2BEFB52D">
      <w:pPr>
        <w:pStyle w:val="2"/>
        <w:bidi w:val="0"/>
        <w:rPr>
          <w:rFonts w:hint="eastAsia"/>
          <w:color w:val="auto"/>
          <w:lang w:val="en-US" w:eastAsia="zh-CN"/>
        </w:rPr>
      </w:pPr>
      <w:r>
        <w:rPr>
          <w:rFonts w:hint="eastAsia"/>
          <w:color w:val="auto"/>
          <w:lang w:val="en-US" w:eastAsia="zh-CN"/>
        </w:rPr>
        <w:t>（一）体彩品牌主题快闪互动活动（每场开展时间不少于2天，每天不少于4小时活动时长）</w:t>
      </w:r>
    </w:p>
    <w:p w14:paraId="68126C2E">
      <w:pPr>
        <w:pStyle w:val="2"/>
        <w:bidi w:val="0"/>
        <w:rPr>
          <w:rFonts w:hint="eastAsia"/>
          <w:color w:val="auto"/>
          <w:lang w:val="en-US" w:eastAsia="zh-CN"/>
        </w:rPr>
      </w:pPr>
      <w:r>
        <w:rPr>
          <w:rFonts w:hint="eastAsia"/>
          <w:color w:val="auto"/>
          <w:lang w:val="en-US" w:eastAsia="zh-CN"/>
        </w:rPr>
        <w:t>根据省中心阶段性品牌主题活动和月度宣传重点工作要求，开展体彩主题快闪活动，现场根据总局中心和省中心品牌落地活动设计方案搭建80-100平米的活动区域，开展趣味游戏互动，要求和体彩、运动、乐活、公益等主题相关，根据各区县特色体育文化进行构思，推出具有本地体育特色，集乐活、运动、公益于一体的特色化体彩快闪互动；进行现场彩票售卖，展现体彩品牌形象，合理规划点位，将售卖区域和刮彩票区域明确划分，做到分流，保持现场秩序。</w:t>
      </w:r>
    </w:p>
    <w:p w14:paraId="4D581DC5">
      <w:pPr>
        <w:pStyle w:val="2"/>
        <w:bidi w:val="0"/>
        <w:rPr>
          <w:rFonts w:hint="eastAsia"/>
          <w:color w:val="auto"/>
          <w:lang w:val="en-US" w:eastAsia="zh-CN"/>
        </w:rPr>
      </w:pPr>
      <w:r>
        <w:rPr>
          <w:rFonts w:hint="eastAsia"/>
          <w:color w:val="auto"/>
          <w:lang w:val="en-US" w:eastAsia="zh-CN"/>
        </w:rPr>
        <w:t>（二）公益助学活动</w:t>
      </w:r>
    </w:p>
    <w:p w14:paraId="738C46F4">
      <w:pPr>
        <w:pStyle w:val="2"/>
        <w:bidi w:val="0"/>
        <w:rPr>
          <w:rFonts w:hint="eastAsia"/>
          <w:color w:val="auto"/>
          <w:lang w:val="en-US" w:eastAsia="zh-CN"/>
        </w:rPr>
      </w:pPr>
      <w:r>
        <w:rPr>
          <w:rFonts w:hint="eastAsia"/>
          <w:color w:val="auto"/>
          <w:lang w:val="en-US" w:eastAsia="zh-CN"/>
        </w:rPr>
        <w:t>为响应政府号召，配合总局中心和省中心推动“公益体彩 快乐操场”活动项目，开展公益助学活动，为贫困地区和需要帮扶的中小学儿童提供支持，推动青少年体育事业发展，帮助孩子们在运动中找到快乐，在快乐中健康成长。通过捐赠体育器材、体育支教、体育与健康教育等方式让孩子们在快乐实践中收获健康成长。</w:t>
      </w:r>
    </w:p>
    <w:p w14:paraId="512FA260">
      <w:pPr>
        <w:pStyle w:val="2"/>
        <w:bidi w:val="0"/>
        <w:rPr>
          <w:rFonts w:hint="eastAsia"/>
          <w:color w:val="auto"/>
          <w:lang w:val="en-US" w:eastAsia="zh-CN"/>
        </w:rPr>
      </w:pPr>
      <w:r>
        <w:rPr>
          <w:rFonts w:hint="eastAsia"/>
          <w:color w:val="auto"/>
          <w:lang w:val="en-US" w:eastAsia="zh-CN"/>
        </w:rPr>
        <w:t>（三）品牌赛事活动</w:t>
      </w:r>
    </w:p>
    <w:p w14:paraId="0A8303FE">
      <w:pPr>
        <w:pStyle w:val="2"/>
        <w:bidi w:val="0"/>
        <w:rPr>
          <w:rFonts w:hint="eastAsia"/>
          <w:color w:val="auto"/>
          <w:lang w:val="en-US" w:eastAsia="zh-CN"/>
        </w:rPr>
      </w:pPr>
      <w:r>
        <w:rPr>
          <w:rFonts w:hint="eastAsia"/>
          <w:color w:val="auto"/>
          <w:lang w:val="en-US" w:eastAsia="zh-CN"/>
        </w:rPr>
        <w:t xml:space="preserve">结合全年的大型赛事和热门赛事，开展群众性体彩品牌赛事冠名，通过大赛热带动体彩热，结合时兴新潮元素，嘉年华系列活动以多元丰富的内容 ，吸引广泛体育爱好者和市民共同见参与，提升体彩品牌关注度，同时擦亮“公益体彩”底色，充分彰显嘉兴体彩发挥“体育事业生命线”和“公益事业助推器”的重要作用，全方位、多角度、深入、生动地倡导全民健身，更进一步深化年轻受众对体彩的认知，进一步推广公益体彩，与群众共建共享共荣，践行让快乐和美好发生，进一步彰显体彩责任、公益属性。 </w:t>
      </w:r>
    </w:p>
    <w:p w14:paraId="54858E33">
      <w:pPr>
        <w:pStyle w:val="2"/>
        <w:bidi w:val="0"/>
        <w:rPr>
          <w:rFonts w:hint="eastAsia"/>
          <w:color w:val="auto"/>
          <w:lang w:val="en-US" w:eastAsia="zh-CN"/>
        </w:rPr>
      </w:pPr>
      <w:r>
        <w:rPr>
          <w:rFonts w:hint="eastAsia"/>
          <w:color w:val="auto"/>
          <w:lang w:val="en-US" w:eastAsia="zh-CN"/>
        </w:rPr>
        <w:t>（四）跨界合作</w:t>
      </w:r>
    </w:p>
    <w:p w14:paraId="1B1A02B5">
      <w:pPr>
        <w:pStyle w:val="2"/>
        <w:bidi w:val="0"/>
        <w:rPr>
          <w:rFonts w:hint="eastAsia"/>
          <w:color w:val="auto"/>
          <w:lang w:val="en-US" w:eastAsia="zh-CN"/>
        </w:rPr>
      </w:pPr>
      <w:r>
        <w:rPr>
          <w:rFonts w:hint="eastAsia"/>
          <w:color w:val="auto"/>
          <w:lang w:val="en-US" w:eastAsia="zh-CN"/>
        </w:rPr>
        <w:t>通过体育彩票公益主IP来吸引和联合其他单位（个人）等一起开展公益主题活动，有效整合社会资源，增强社会凝聚力，营造良好的社会氛围，推动社会的可持续发展。</w:t>
      </w:r>
    </w:p>
    <w:p w14:paraId="1689A13A">
      <w:pPr>
        <w:pStyle w:val="2"/>
        <w:bidi w:val="0"/>
        <w:rPr>
          <w:rFonts w:hint="eastAsia"/>
          <w:color w:val="auto"/>
          <w:lang w:val="en-US" w:eastAsia="zh-CN"/>
        </w:rPr>
      </w:pPr>
      <w:r>
        <w:rPr>
          <w:rFonts w:hint="eastAsia"/>
          <w:color w:val="auto"/>
          <w:lang w:val="en-US" w:eastAsia="zh-CN"/>
        </w:rPr>
        <w:t>（五）主题视频直播活动</w:t>
      </w:r>
    </w:p>
    <w:p w14:paraId="35CAF41E">
      <w:pPr>
        <w:pStyle w:val="2"/>
        <w:bidi w:val="0"/>
        <w:rPr>
          <w:rFonts w:hint="default"/>
          <w:color w:val="auto"/>
          <w:lang w:val="en-US" w:eastAsia="zh-CN"/>
        </w:rPr>
      </w:pPr>
      <w:r>
        <w:rPr>
          <w:rFonts w:hint="eastAsia"/>
          <w:color w:val="auto"/>
          <w:lang w:val="en-US" w:eastAsia="zh-CN"/>
        </w:rPr>
        <w:t>围绕体彩主题，通过网络直播平台与观众实时互动的活动形式，借助互联网扩大宣传效应，通过体彩知识讲解、责任彩票宣传、邀请体育冠军线上互动、线上抽奖、活动现场探访等方式来实时分享体育彩票的公益理念，扩大传播范围和提高观众参与度。</w:t>
      </w:r>
    </w:p>
    <w:p w14:paraId="3BE2D015">
      <w:pPr>
        <w:pStyle w:val="2"/>
        <w:bidi w:val="0"/>
        <w:rPr>
          <w:rFonts w:hint="eastAsia"/>
          <w:color w:val="auto"/>
          <w:lang w:val="en-US" w:eastAsia="zh-CN"/>
        </w:rPr>
      </w:pPr>
      <w:r>
        <w:rPr>
          <w:rFonts w:hint="eastAsia"/>
          <w:color w:val="auto"/>
          <w:lang w:val="en-US" w:eastAsia="zh-CN"/>
        </w:rPr>
        <w:t>四、宣传渠道</w:t>
      </w:r>
    </w:p>
    <w:p w14:paraId="426A0F77">
      <w:pPr>
        <w:pStyle w:val="2"/>
        <w:bidi w:val="0"/>
        <w:rPr>
          <w:rFonts w:hint="eastAsia"/>
          <w:color w:val="auto"/>
          <w:highlight w:val="none"/>
          <w:lang w:val="en-US" w:eastAsia="zh-CN"/>
        </w:rPr>
      </w:pPr>
      <w:r>
        <w:rPr>
          <w:rFonts w:hint="eastAsia"/>
          <w:color w:val="auto"/>
          <w:lang w:val="en-US" w:eastAsia="zh-CN"/>
        </w:rPr>
        <w:t>覆盖本市权威主流传统媒体（报纸、新闻网站、电视台、电台广播等）、新媒体（公众号、视频号、微博等）进行活动宣传，形成活动融媒报道矩阵；在活动前中后期进行宣传短视频制作和推广，活动中引入年轻人群体喜爱的KOL、达人等现场打卡宣传方式，并在活动中通过抖音、视频号等平台进行直播互动</w:t>
      </w:r>
      <w:r>
        <w:rPr>
          <w:rFonts w:hint="eastAsia"/>
          <w:color w:val="auto"/>
          <w:highlight w:val="none"/>
          <w:lang w:val="en-US" w:eastAsia="zh-CN"/>
        </w:rPr>
        <w:t xml:space="preserve"> ；通过活动文案撰写、活动通稿、新媒体预热稿件以及各渠道的宣传文案来实现体彩品牌公益宣传。</w:t>
      </w:r>
    </w:p>
    <w:p w14:paraId="6BADA701">
      <w:pPr>
        <w:pStyle w:val="2"/>
        <w:bidi w:val="0"/>
        <w:rPr>
          <w:rFonts w:hint="eastAsia"/>
          <w:color w:val="auto"/>
          <w:highlight w:val="none"/>
          <w:lang w:val="en-US" w:eastAsia="zh-CN"/>
        </w:rPr>
      </w:pPr>
      <w:r>
        <w:rPr>
          <w:rFonts w:hint="eastAsia"/>
          <w:color w:val="auto"/>
          <w:highlight w:val="none"/>
          <w:lang w:val="en-US" w:eastAsia="zh-CN"/>
        </w:rPr>
        <w:t>五、人员配置</w:t>
      </w:r>
    </w:p>
    <w:p w14:paraId="4D85C5EC">
      <w:pPr>
        <w:pStyle w:val="2"/>
        <w:bidi w:val="0"/>
        <w:rPr>
          <w:rFonts w:hint="eastAsia"/>
          <w:color w:val="auto"/>
          <w:highlight w:val="none"/>
          <w:lang w:val="en-US" w:eastAsia="zh-CN"/>
        </w:rPr>
      </w:pPr>
      <w:r>
        <w:rPr>
          <w:rFonts w:hint="eastAsia"/>
          <w:color w:val="auto"/>
          <w:highlight w:val="none"/>
          <w:lang w:val="en-US" w:eastAsia="zh-CN"/>
        </w:rPr>
        <w:t>（一）针对本项目执行团队总人数应不少于10人，需包含项目负责人、活动策划执行、现场主持、现场布展、现场安保、文案编辑、摄影摄像、后期制作、平面设计等岗位；</w:t>
      </w:r>
    </w:p>
    <w:p w14:paraId="70608E2A">
      <w:pPr>
        <w:pStyle w:val="2"/>
        <w:bidi w:val="0"/>
        <w:rPr>
          <w:rFonts w:hint="default"/>
          <w:color w:val="auto"/>
          <w:highlight w:val="none"/>
          <w:lang w:val="en-US" w:eastAsia="zh-CN"/>
        </w:rPr>
      </w:pPr>
      <w:r>
        <w:rPr>
          <w:rFonts w:hint="eastAsia"/>
          <w:color w:val="auto"/>
          <w:highlight w:val="none"/>
          <w:lang w:val="en-US" w:eastAsia="zh-CN"/>
        </w:rPr>
        <w:t>（二）配备架构完善，人员配置合理，岗位职责清晰，人员专业，拥有类似落地活动策划执行经验（提供执行团队人员名单、经验或资质证明材料）；</w:t>
      </w:r>
    </w:p>
    <w:p w14:paraId="7FC42F2E">
      <w:pPr>
        <w:pStyle w:val="2"/>
        <w:bidi w:val="0"/>
        <w:rPr>
          <w:rFonts w:hint="eastAsia"/>
          <w:color w:val="auto"/>
          <w:highlight w:val="none"/>
          <w:lang w:val="en-US" w:eastAsia="zh-CN"/>
        </w:rPr>
      </w:pPr>
      <w:r>
        <w:rPr>
          <w:rFonts w:hint="eastAsia"/>
          <w:color w:val="auto"/>
          <w:highlight w:val="none"/>
          <w:lang w:val="en-US" w:eastAsia="zh-CN"/>
        </w:rPr>
        <w:t>六、服务要求</w:t>
      </w:r>
    </w:p>
    <w:p w14:paraId="7BB95F27">
      <w:pPr>
        <w:pStyle w:val="2"/>
        <w:bidi w:val="0"/>
        <w:rPr>
          <w:rFonts w:hint="default"/>
          <w:color w:val="auto"/>
          <w:lang w:val="en-US" w:eastAsia="zh-CN"/>
        </w:rPr>
      </w:pPr>
      <w:r>
        <w:rPr>
          <w:rFonts w:hint="eastAsia"/>
          <w:color w:val="auto"/>
          <w:lang w:val="en-US" w:eastAsia="zh-CN"/>
        </w:rPr>
        <w:t>（一）</w:t>
      </w:r>
      <w:r>
        <w:rPr>
          <w:rFonts w:hint="default"/>
          <w:color w:val="auto"/>
          <w:lang w:val="en-US" w:eastAsia="zh-CN"/>
        </w:rPr>
        <w:t>负责场地对接</w:t>
      </w:r>
    </w:p>
    <w:p w14:paraId="4ABE9642">
      <w:pPr>
        <w:pStyle w:val="2"/>
        <w:bidi w:val="0"/>
        <w:rPr>
          <w:rFonts w:hint="default"/>
          <w:color w:val="auto"/>
          <w:lang w:val="en-US" w:eastAsia="zh-CN"/>
        </w:rPr>
      </w:pPr>
      <w:r>
        <w:rPr>
          <w:rFonts w:hint="default"/>
          <w:color w:val="auto"/>
          <w:lang w:val="en-US" w:eastAsia="zh-CN"/>
        </w:rPr>
        <w:t>中标</w:t>
      </w:r>
      <w:r>
        <w:rPr>
          <w:rFonts w:hint="eastAsia"/>
          <w:color w:val="auto"/>
          <w:lang w:val="en-US" w:eastAsia="zh-CN"/>
        </w:rPr>
        <w:t>供应商</w:t>
      </w:r>
      <w:r>
        <w:rPr>
          <w:rFonts w:hint="default"/>
          <w:color w:val="auto"/>
          <w:lang w:val="en-US" w:eastAsia="zh-CN"/>
        </w:rPr>
        <w:t>负责</w:t>
      </w:r>
      <w:r>
        <w:rPr>
          <w:rFonts w:hint="eastAsia"/>
          <w:color w:val="auto"/>
          <w:lang w:val="en-US" w:eastAsia="zh-CN"/>
        </w:rPr>
        <w:t>嘉兴</w:t>
      </w:r>
      <w:r>
        <w:rPr>
          <w:rFonts w:hint="default"/>
          <w:color w:val="auto"/>
          <w:lang w:val="en-US" w:eastAsia="zh-CN"/>
        </w:rPr>
        <w:t>全市品牌落地活动的具体场地对接，活动开展前向有关部门申请并获得批复，确保活动顺利进行。</w:t>
      </w:r>
    </w:p>
    <w:p w14:paraId="4C7609A2">
      <w:pPr>
        <w:pStyle w:val="2"/>
        <w:bidi w:val="0"/>
        <w:rPr>
          <w:rFonts w:hint="eastAsia"/>
          <w:color w:val="auto"/>
          <w:lang w:val="en-US" w:eastAsia="zh-CN"/>
        </w:rPr>
      </w:pPr>
      <w:r>
        <w:rPr>
          <w:rFonts w:hint="eastAsia"/>
          <w:color w:val="auto"/>
          <w:lang w:val="en-US" w:eastAsia="zh-CN"/>
        </w:rPr>
        <w:t>（二）组织活动前宣</w:t>
      </w:r>
    </w:p>
    <w:p w14:paraId="559EDD76">
      <w:pPr>
        <w:pStyle w:val="2"/>
        <w:bidi w:val="0"/>
        <w:rPr>
          <w:rFonts w:hint="eastAsia"/>
          <w:color w:val="auto"/>
          <w:lang w:val="en-US" w:eastAsia="zh-CN"/>
        </w:rPr>
      </w:pPr>
      <w:r>
        <w:rPr>
          <w:rFonts w:hint="eastAsia"/>
          <w:color w:val="auto"/>
          <w:lang w:val="en-US" w:eastAsia="zh-CN"/>
        </w:rPr>
        <w:t>每场活动开始前7天至活动当天，需在嘉兴范围内对活动进行连续7天的宣传。</w:t>
      </w:r>
    </w:p>
    <w:p w14:paraId="74B18A04">
      <w:pPr>
        <w:pStyle w:val="2"/>
        <w:bidi w:val="0"/>
        <w:rPr>
          <w:rFonts w:hint="eastAsia"/>
          <w:color w:val="auto"/>
          <w:lang w:val="en-US" w:eastAsia="zh-CN"/>
        </w:rPr>
      </w:pPr>
      <w:r>
        <w:rPr>
          <w:rFonts w:hint="eastAsia"/>
          <w:color w:val="auto"/>
          <w:lang w:val="en-US" w:eastAsia="zh-CN"/>
        </w:rPr>
        <w:t>（三）组织安排体彩售卖</w:t>
      </w:r>
    </w:p>
    <w:p w14:paraId="15D22088">
      <w:pPr>
        <w:pStyle w:val="2"/>
        <w:bidi w:val="0"/>
        <w:rPr>
          <w:rFonts w:hint="eastAsia"/>
          <w:color w:val="auto"/>
          <w:lang w:val="en-US" w:eastAsia="zh-CN"/>
        </w:rPr>
      </w:pPr>
      <w:r>
        <w:rPr>
          <w:rFonts w:hint="eastAsia"/>
          <w:color w:val="auto"/>
          <w:lang w:val="en-US" w:eastAsia="zh-CN"/>
        </w:rPr>
        <w:t>中标供应商应负责组织安排体彩售卖活动。</w:t>
      </w:r>
    </w:p>
    <w:p w14:paraId="3B239CE9">
      <w:pPr>
        <w:pStyle w:val="2"/>
        <w:bidi w:val="0"/>
        <w:rPr>
          <w:rFonts w:hint="eastAsia"/>
          <w:color w:val="auto"/>
          <w:lang w:val="en-US" w:eastAsia="zh-CN"/>
        </w:rPr>
      </w:pPr>
      <w:r>
        <w:rPr>
          <w:rFonts w:hint="eastAsia"/>
          <w:color w:val="auto"/>
          <w:lang w:val="en-US" w:eastAsia="zh-CN"/>
        </w:rPr>
        <w:t>（四）安全应急预案</w:t>
      </w:r>
    </w:p>
    <w:p w14:paraId="4AB95B59">
      <w:pPr>
        <w:pStyle w:val="2"/>
        <w:bidi w:val="0"/>
        <w:rPr>
          <w:rFonts w:hint="default"/>
          <w:color w:val="auto"/>
          <w:lang w:val="en-US" w:eastAsia="zh-CN"/>
        </w:rPr>
      </w:pPr>
      <w:r>
        <w:rPr>
          <w:rFonts w:hint="eastAsia"/>
          <w:color w:val="auto"/>
          <w:lang w:val="en-US" w:eastAsia="zh-CN"/>
        </w:rPr>
        <w:t>活动前应做好安全应急预案，制定应急重保方案与执行流程，明确分工到团体及个人，包含消防、交通、医疗、现场舆情处置措施（如现场配备灭火器药品等）。提交书面安全应急预案给采购人。</w:t>
      </w:r>
    </w:p>
    <w:p w14:paraId="22789DF3">
      <w:pPr>
        <w:pStyle w:val="2"/>
        <w:bidi w:val="0"/>
        <w:rPr>
          <w:rFonts w:hint="eastAsia"/>
          <w:color w:val="auto"/>
          <w:lang w:val="en-US" w:eastAsia="zh-CN"/>
        </w:rPr>
      </w:pPr>
      <w:r>
        <w:rPr>
          <w:rFonts w:hint="eastAsia"/>
          <w:color w:val="auto"/>
          <w:lang w:val="en-US" w:eastAsia="zh-CN"/>
        </w:rPr>
        <w:t xml:space="preserve">（五）风险监控预防 </w:t>
      </w:r>
    </w:p>
    <w:p w14:paraId="748C78DE">
      <w:pPr>
        <w:pStyle w:val="2"/>
        <w:bidi w:val="0"/>
        <w:rPr>
          <w:rFonts w:hint="default"/>
          <w:color w:val="auto"/>
          <w:lang w:val="en-US" w:eastAsia="zh-CN"/>
        </w:rPr>
      </w:pPr>
      <w:r>
        <w:rPr>
          <w:rFonts w:hint="eastAsia"/>
          <w:color w:val="auto"/>
          <w:lang w:val="en-US" w:eastAsia="zh-CN"/>
        </w:rPr>
        <w:t>为确保落地活动顺利开展，活动全程须做好风险监控预防，包含活动设计风险、活动执行风险、落地活动风险、媒介传播风险、活动奖品风险等，同时每场活动期间须对场地范围发生的意外伤害投保公共责任险。</w:t>
      </w:r>
    </w:p>
    <w:p w14:paraId="218F04A3">
      <w:pPr>
        <w:pStyle w:val="2"/>
        <w:bidi w:val="0"/>
        <w:rPr>
          <w:rFonts w:hint="eastAsia"/>
          <w:color w:val="auto"/>
          <w:lang w:val="en-US" w:eastAsia="zh-CN"/>
        </w:rPr>
      </w:pPr>
      <w:r>
        <w:rPr>
          <w:rFonts w:hint="eastAsia"/>
          <w:color w:val="auto"/>
          <w:lang w:val="en-US" w:eastAsia="zh-CN"/>
        </w:rPr>
        <w:t>七、验收要求</w:t>
      </w:r>
    </w:p>
    <w:p w14:paraId="68BECDBE">
      <w:pPr>
        <w:pStyle w:val="2"/>
        <w:bidi w:val="0"/>
        <w:rPr>
          <w:rFonts w:hint="eastAsia"/>
          <w:color w:val="auto"/>
          <w:lang w:val="en-US" w:eastAsia="zh-CN"/>
        </w:rPr>
      </w:pPr>
      <w:r>
        <w:rPr>
          <w:rFonts w:hint="eastAsia"/>
          <w:color w:val="auto"/>
          <w:lang w:val="en-US" w:eastAsia="zh-CN"/>
        </w:rPr>
        <w:t>（一）验收时间：单场活动结束后7个工作日内由采购人组成验收小组进行验收。</w:t>
      </w:r>
    </w:p>
    <w:p w14:paraId="15CD7620">
      <w:pPr>
        <w:pStyle w:val="2"/>
        <w:bidi w:val="0"/>
        <w:rPr>
          <w:rFonts w:hint="eastAsia"/>
          <w:color w:val="auto"/>
          <w:lang w:val="en-US" w:eastAsia="zh-CN"/>
        </w:rPr>
      </w:pPr>
      <w:r>
        <w:rPr>
          <w:rFonts w:hint="eastAsia"/>
          <w:color w:val="auto"/>
          <w:lang w:val="en-US" w:eastAsia="zh-CN"/>
        </w:rPr>
        <w:t>（二）验收方式</w:t>
      </w:r>
    </w:p>
    <w:p w14:paraId="1D64F8E7">
      <w:pPr>
        <w:pStyle w:val="2"/>
        <w:bidi w:val="0"/>
        <w:rPr>
          <w:rFonts w:hint="eastAsia"/>
          <w:color w:val="auto"/>
          <w:lang w:val="en-US" w:eastAsia="zh-CN"/>
        </w:rPr>
      </w:pPr>
      <w:r>
        <w:rPr>
          <w:rFonts w:hint="eastAsia"/>
          <w:color w:val="auto"/>
          <w:lang w:val="en-US" w:eastAsia="zh-CN"/>
        </w:rPr>
        <w:t>1.由采购人统一组织验收，验收标准：符合采购文件规定的质量标准。</w:t>
      </w:r>
    </w:p>
    <w:p w14:paraId="518CDA00">
      <w:pPr>
        <w:pStyle w:val="2"/>
        <w:bidi w:val="0"/>
        <w:rPr>
          <w:rFonts w:hint="eastAsia"/>
          <w:color w:val="auto"/>
          <w:lang w:val="en-US" w:eastAsia="zh-CN"/>
        </w:rPr>
      </w:pPr>
      <w:r>
        <w:rPr>
          <w:rFonts w:hint="eastAsia"/>
          <w:color w:val="auto"/>
          <w:lang w:val="en-US" w:eastAsia="zh-CN"/>
        </w:rPr>
        <w:t>2.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ED5348E">
      <w:pPr>
        <w:pStyle w:val="2"/>
        <w:bidi w:val="0"/>
        <w:rPr>
          <w:rFonts w:hint="eastAsia"/>
          <w:color w:val="auto"/>
          <w:lang w:val="en-US" w:eastAsia="zh-CN"/>
        </w:rPr>
      </w:pPr>
      <w:r>
        <w:rPr>
          <w:rFonts w:hint="eastAsia"/>
          <w:color w:val="auto"/>
          <w:lang w:val="en-US" w:eastAsia="zh-CN"/>
        </w:rPr>
        <w:t>八、报价要求</w:t>
      </w:r>
    </w:p>
    <w:p w14:paraId="21B5CEA4">
      <w:pPr>
        <w:pStyle w:val="2"/>
        <w:bidi w:val="0"/>
        <w:rPr>
          <w:rFonts w:hint="eastAsia"/>
          <w:color w:val="auto"/>
          <w:lang w:val="en-US" w:eastAsia="zh-CN"/>
        </w:rPr>
      </w:pPr>
      <w:r>
        <w:rPr>
          <w:rFonts w:hint="eastAsia"/>
          <w:color w:val="auto"/>
          <w:lang w:val="en-US" w:eastAsia="zh-CN"/>
        </w:rPr>
        <w:t>▲本项目的合同价是完成本项目采购范围及服务期的全部内容，包括本次采购的服务、固定费用（人工成本和管理成本）、利润、税金、政策性文件规定及合同包含的所有风险及责任等本项目实施所需的各项应有费用。供应商须充分考虑实际服务内容和需求，针对自身实际情况，核算所需的成本及合理的利润，自行报价。</w:t>
      </w:r>
    </w:p>
    <w:p w14:paraId="2489424F">
      <w:pPr>
        <w:pStyle w:val="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服务期</w:t>
      </w:r>
    </w:p>
    <w:p w14:paraId="00AF4B47">
      <w:pPr>
        <w:pStyle w:val="2"/>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自合同签订之日起至项目完满结束且验收通过。</w:t>
      </w:r>
    </w:p>
    <w:p w14:paraId="466C9B77">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十、履约保证金：无</w:t>
      </w:r>
    </w:p>
    <w:p w14:paraId="5C5C48EA">
      <w:pPr>
        <w:pStyle w:val="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付款</w:t>
      </w:r>
    </w:p>
    <w:p w14:paraId="6478B0F4">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合同生效</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具备实施条件</w:t>
      </w:r>
      <w:r>
        <w:rPr>
          <w:rFonts w:hint="eastAsia" w:ascii="宋体" w:hAnsi="宋体" w:eastAsia="宋体" w:cs="宋体"/>
          <w:color w:val="auto"/>
          <w:highlight w:val="none"/>
          <w:lang w:val="en-US" w:eastAsia="zh-Hans"/>
        </w:rPr>
        <w:t>且财政资金下达</w:t>
      </w:r>
      <w:r>
        <w:rPr>
          <w:rFonts w:hint="eastAsia" w:ascii="宋体" w:hAnsi="宋体" w:eastAsia="宋体" w:cs="宋体"/>
          <w:color w:val="auto"/>
          <w:highlight w:val="none"/>
        </w:rPr>
        <w:t>后7个工作日内，采购人向中标人支付</w:t>
      </w:r>
      <w:r>
        <w:rPr>
          <w:rFonts w:hint="eastAsia" w:ascii="宋体" w:hAnsi="宋体" w:eastAsia="宋体" w:cs="宋体"/>
          <w:color w:val="auto"/>
          <w:highlight w:val="none"/>
          <w:lang w:val="en-US" w:eastAsia="zh-Hans"/>
        </w:rPr>
        <w:t>合同金额的</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Hans"/>
        </w:rPr>
        <w:t>作为预付款</w:t>
      </w:r>
      <w:r>
        <w:rPr>
          <w:rFonts w:hint="eastAsia" w:ascii="宋体" w:hAnsi="宋体" w:eastAsia="宋体" w:cs="宋体"/>
          <w:color w:val="auto"/>
          <w:highlight w:val="none"/>
          <w:lang w:val="en-US" w:eastAsia="zh-CN"/>
        </w:rPr>
        <w:t>；项目验收合格后7个工作日内，采购人向中标人支付合同金额的30%。</w:t>
      </w:r>
    </w:p>
    <w:p w14:paraId="46639EB8">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十二、其他要求</w:t>
      </w:r>
    </w:p>
    <w:p w14:paraId="17481628">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供应商须按照采购内容和要求编制投标文件，包括但不限于以下内容：</w:t>
      </w:r>
    </w:p>
    <w:p w14:paraId="09B5CC81">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针对本项目的体彩品牌主题快闪互动活动服务方案，包括：1.活动完整策划方案，包括策划动线，覆盖活动前中后期多场景策划内容；2.活动场景设计方案，具有创新性、亮点、影响力，体现品牌推广活动效益；视觉设计方案，包括但不限于活动主视觉、线下宣传内容、线下氛围布置等；3.活动方案，包括但不限于综合体选址、活动区域划分、活动流程建议、现场互动（结合体彩主题内容）、现场物料搭建、物料及设备、现场示意图等；</w:t>
      </w:r>
    </w:p>
    <w:p w14:paraId="6D3D194B">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针对本项目的公益助学活动服务方案，包括：1.活动完整策划方案，包括策划动线，覆盖活动前中后期多场景策划内容；2.活动场景设计方案，具有创新性、亮点、影响力，体现品牌推广活动效益；视觉设计方案，包括但不限于活动主视觉、线下宣传内容、线下氛围布置等；3.活动方案，包括但不限于综合体选址、活动区域划分、活动流程建议、现场互动（结合体彩主题内容）、现场物料搭建、物料及设备、现场示意图等；</w:t>
      </w:r>
    </w:p>
    <w:p w14:paraId="0BC2BF6A">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针对本项目的品牌赛事活动服务方案，包括：1.活动完整策划方案，包括策划动线，覆盖活动前中后期多场景策划内容；2.活动场景设计方案，具有创新性、亮点、影响力，体现品牌推广活动效益；视觉设计方案，包括但不限于活动主视觉、线下宣传内容、线下氛围布置等；3.活动方案，包括但不限于综合体选址、活动区域划分、活动流程建议、现场互动（结合体彩主题内容）、现场物料搭建、物料及设备、现场示意图等；</w:t>
      </w:r>
    </w:p>
    <w:p w14:paraId="1EBFA8FE">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（四）针对本项目的跨界合作、主题视频直播方案；</w:t>
      </w:r>
    </w:p>
    <w:p w14:paraId="6786E9F4">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针对本项目的媒体宣传方案，包括：1.媒体宣传计划；2.盖本市权威主流传统媒体（报纸、新闻网站、电视台、电台广播等）、新媒体（公众号、视频号、微博等）宣传方案；3.在活动前中后期进行宣传短视频制作和推广，活动中引入年轻人群体喜爱的KOL、达人等现场打卡宣传方案；4.通过抖音、视频号等平台进行直播互动方案；5.通过活动文案撰写、活动通稿、新媒体预热稿件以及各渠道的宣传文案来实现体彩品牌公益宣传方案；</w:t>
      </w:r>
    </w:p>
    <w:p w14:paraId="1BCF6DAA">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针对本项目的执行团队，包括：1.针对本项目执行团队总人数应不少于10人，需包含项目负责人、活动策划执行、现场主持、现场布展、现场安保、文案编辑、摄影摄像、后期制作、平面设计等岗位；2.配备架构完善，人员配置合理，岗位职责清晰，人员专业，拥有类似落地活动策划执行经验（提供执行团队人员名单、经验或资质证明材料）；</w:t>
      </w:r>
    </w:p>
    <w:p w14:paraId="3B3041BA">
      <w:pPr>
        <w:pStyle w:val="2"/>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（七）针对本项目的售后服务及应急预案，包括：1.活动场次及活动时长承诺（提供承诺书，格式自拟）；2.安全应急预案、风险监控预防措施；3.服务质量保证措施，后续服务保障；</w:t>
      </w:r>
    </w:p>
    <w:bookmarkEnd w:id="22"/>
    <w:p w14:paraId="407ADBFC">
      <w:pPr>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color w:val="auto"/>
          <w:kern w:val="28"/>
          <w:sz w:val="21"/>
          <w:szCs w:val="21"/>
          <w:highlight w:val="none"/>
          <w:lang w:val="en-US" w:eastAsia="zh-CN" w:bidi="ar-SA"/>
        </w:rPr>
        <w:br w:type="page"/>
      </w:r>
    </w:p>
    <w:p w14:paraId="1F4BAD7A">
      <w:pPr>
        <w:pStyle w:val="3"/>
        <w:bidi w:val="0"/>
        <w:rPr>
          <w:rFonts w:hint="eastAsia" w:ascii="宋体" w:hAnsi="宋体" w:eastAsia="宋体" w:cs="宋体"/>
          <w:color w:val="auto"/>
          <w:highlight w:val="none"/>
          <w:lang w:val="en-US" w:eastAsia="zh-CN"/>
        </w:rPr>
      </w:pPr>
      <w:bookmarkStart w:id="23" w:name="_Toc448677155"/>
      <w:r>
        <w:rPr>
          <w:rFonts w:hint="eastAsia" w:ascii="宋体" w:hAnsi="宋体" w:eastAsia="宋体" w:cs="宋体"/>
          <w:color w:val="auto"/>
          <w:highlight w:val="none"/>
          <w:lang w:val="en-US" w:eastAsia="zh-CN"/>
        </w:rPr>
        <w:t>第四部分  评标办法</w:t>
      </w:r>
      <w:bookmarkEnd w:id="23"/>
    </w:p>
    <w:p w14:paraId="2C1D25CE">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评标办法前附表</w:t>
      </w:r>
    </w:p>
    <w:tbl>
      <w:tblPr>
        <w:tblStyle w:val="70"/>
        <w:tblW w:w="5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732"/>
        <w:gridCol w:w="702"/>
        <w:gridCol w:w="879"/>
        <w:gridCol w:w="1490"/>
      </w:tblGrid>
      <w:tr w14:paraId="1A395468">
        <w:trPr>
          <w:jc w:val="center"/>
        </w:trPr>
        <w:tc>
          <w:tcPr>
            <w:tcW w:w="348" w:type="pct"/>
            <w:noWrap w:val="0"/>
            <w:vAlign w:val="center"/>
          </w:tcPr>
          <w:p w14:paraId="18E5CE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194" w:type="pct"/>
            <w:noWrap w:val="0"/>
            <w:vAlign w:val="center"/>
          </w:tcPr>
          <w:p w14:paraId="4568EE6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c>
          <w:tcPr>
            <w:tcW w:w="333" w:type="pct"/>
            <w:noWrap w:val="0"/>
            <w:vAlign w:val="center"/>
          </w:tcPr>
          <w:p w14:paraId="732B400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417" w:type="pct"/>
            <w:noWrap w:val="0"/>
            <w:vAlign w:val="center"/>
          </w:tcPr>
          <w:p w14:paraId="7579397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c>
          <w:tcPr>
            <w:tcW w:w="707" w:type="pct"/>
            <w:noWrap w:val="0"/>
            <w:vAlign w:val="center"/>
          </w:tcPr>
          <w:p w14:paraId="044D683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中评标标准相应的商务技术资料目录</w:t>
            </w:r>
          </w:p>
        </w:tc>
      </w:tr>
      <w:tr w14:paraId="002C98F1">
        <w:trPr>
          <w:trHeight w:val="1285" w:hRule="atLeast"/>
          <w:jc w:val="center"/>
        </w:trPr>
        <w:tc>
          <w:tcPr>
            <w:tcW w:w="348" w:type="pct"/>
            <w:noWrap w:val="0"/>
            <w:vAlign w:val="center"/>
          </w:tcPr>
          <w:p w14:paraId="37A7A13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94" w:type="pct"/>
            <w:noWrap w:val="0"/>
            <w:vAlign w:val="center"/>
          </w:tcPr>
          <w:p w14:paraId="11A9BA1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投标人自2022年1月1日以来承担过的类似项目业绩，每提供一个业绩得0.5分，最高得1分。</w:t>
            </w:r>
          </w:p>
          <w:p w14:paraId="1233EED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复印件加盖公章，时间认定以合同签订时间为准；若合同中未能反映项目内容的，则须提供业主证明材料，否则不得分】（注：根据浙财采监〔2022〕8号文规定，对省级以上主管部门认定的首台套产品，自纳入《省推广应用指导目录》起三年内参加政府采购活动，视同已具备相应销售业绩，业绩分为满分。投标时提供相关证明材料）</w:t>
            </w:r>
          </w:p>
        </w:tc>
        <w:tc>
          <w:tcPr>
            <w:tcW w:w="333" w:type="pct"/>
            <w:noWrap w:val="0"/>
            <w:vAlign w:val="center"/>
          </w:tcPr>
          <w:p w14:paraId="283D962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17" w:type="pct"/>
            <w:noWrap w:val="0"/>
            <w:vAlign w:val="center"/>
          </w:tcPr>
          <w:p w14:paraId="27F93A7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707" w:type="pct"/>
            <w:noWrap w:val="0"/>
            <w:vAlign w:val="center"/>
          </w:tcPr>
          <w:p w14:paraId="69579B1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1CD30DC1">
        <w:trPr>
          <w:trHeight w:val="442" w:hRule="atLeast"/>
          <w:jc w:val="center"/>
        </w:trPr>
        <w:tc>
          <w:tcPr>
            <w:tcW w:w="348" w:type="pct"/>
            <w:noWrap w:val="0"/>
            <w:vAlign w:val="center"/>
          </w:tcPr>
          <w:p w14:paraId="2A1598D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94" w:type="pct"/>
            <w:shd w:val="clear" w:color="auto" w:fill="auto"/>
            <w:noWrap w:val="0"/>
            <w:vAlign w:val="center"/>
          </w:tcPr>
          <w:p w14:paraId="151D80F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val="en-US" w:eastAsia="zh-CN"/>
              </w:rPr>
              <w:t>针对本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的体彩品牌主题快闪互动活动服务方案</w:t>
            </w:r>
            <w:r>
              <w:rPr>
                <w:rFonts w:hint="eastAsia" w:ascii="宋体" w:hAnsi="宋体" w:eastAsia="宋体" w:cs="宋体"/>
                <w:color w:val="auto"/>
                <w:sz w:val="21"/>
                <w:szCs w:val="21"/>
                <w:highlight w:val="none"/>
              </w:rPr>
              <w:t>，包括：</w:t>
            </w:r>
          </w:p>
          <w:p w14:paraId="47C390B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.活动完整策划方案，包括策划动线，覆盖活动前中后期多场景策划内容；（评分分值：4，3，2，1，0分）</w:t>
            </w:r>
          </w:p>
          <w:p w14:paraId="6ACC1E3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2.活动场景设计方案，具有创新性、亮点、影响力，体现品牌推广活动效益；视觉设计方案，包括但不限于活动主视觉、线下宣传内容、线下氛围布置等；（评分分值：4，3，2，1，0分）</w:t>
            </w:r>
          </w:p>
          <w:p w14:paraId="151A65D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3.活动方案，包括但不限于综合体选址、活动区域划分、活动流程建议、现场互动（结合体彩主题内容）、现场物料搭建、物料及设备、现场示意图等；</w:t>
            </w:r>
            <w:r>
              <w:rPr>
                <w:rFonts w:hint="eastAsia" w:ascii="宋体" w:hAnsi="宋体" w:eastAsia="宋体" w:cs="宋体"/>
                <w:color w:val="auto"/>
                <w:sz w:val="21"/>
                <w:szCs w:val="21"/>
                <w:highlight w:val="none"/>
              </w:rPr>
              <w:t>（评分分值：4，3，2，1，0分）</w:t>
            </w:r>
          </w:p>
          <w:p w14:paraId="1D7CED1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1069896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17" w:type="pct"/>
            <w:shd w:val="clear" w:color="auto" w:fill="auto"/>
            <w:noWrap w:val="0"/>
            <w:vAlign w:val="center"/>
          </w:tcPr>
          <w:p w14:paraId="377A503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5D2ED59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体彩品牌主题快闪互动活动服务方案</w:t>
            </w:r>
          </w:p>
        </w:tc>
      </w:tr>
      <w:tr w14:paraId="7B2B2687">
        <w:trPr>
          <w:trHeight w:val="442" w:hRule="atLeast"/>
          <w:jc w:val="center"/>
        </w:trPr>
        <w:tc>
          <w:tcPr>
            <w:tcW w:w="348" w:type="pct"/>
            <w:noWrap w:val="0"/>
            <w:vAlign w:val="center"/>
          </w:tcPr>
          <w:p w14:paraId="1CCBD85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94" w:type="pct"/>
            <w:shd w:val="clear" w:color="auto" w:fill="auto"/>
            <w:noWrap w:val="0"/>
            <w:vAlign w:val="center"/>
          </w:tcPr>
          <w:p w14:paraId="7507668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根据供应商提供的针对本项目的公益助学活动服务方案，包括：</w:t>
            </w:r>
          </w:p>
          <w:p w14:paraId="5426D2F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1.活动完整策划方案，包括策划动线，覆盖活动前中后期多场景策划内容；（评分分值：4，3，2，1，0分）</w:t>
            </w:r>
          </w:p>
          <w:p w14:paraId="2AAAF02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2.活动场景设计方案，具有创新性、亮点、影响力，体现品牌推广活动效益；视觉设计方案，包括但不限于活动主视觉、线下宣传内容、线下氛围布置等；（评分分值：4，3，2，1，0分）</w:t>
            </w:r>
          </w:p>
          <w:p w14:paraId="35CAEE8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3.活动方案，包括但不限于综合体选址、活动区域划分、活动流程建议、现场互动（结合体彩主题内容）、现场物料搭建、物料及设备、现场示意图等；（评分分值：4，3，2，1，0分）</w:t>
            </w:r>
          </w:p>
          <w:p w14:paraId="55226FC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4719C13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17" w:type="pct"/>
            <w:shd w:val="clear" w:color="auto" w:fill="auto"/>
            <w:noWrap w:val="0"/>
            <w:vAlign w:val="center"/>
          </w:tcPr>
          <w:p w14:paraId="128D614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4F584F0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公益助学活动服务方案</w:t>
            </w:r>
          </w:p>
        </w:tc>
      </w:tr>
      <w:tr w14:paraId="193672A5">
        <w:trPr>
          <w:trHeight w:val="4021" w:hRule="atLeast"/>
          <w:jc w:val="center"/>
        </w:trPr>
        <w:tc>
          <w:tcPr>
            <w:tcW w:w="348" w:type="pct"/>
            <w:noWrap w:val="0"/>
            <w:vAlign w:val="center"/>
          </w:tcPr>
          <w:p w14:paraId="4C69956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94" w:type="pct"/>
            <w:shd w:val="clear" w:color="auto" w:fill="auto"/>
            <w:noWrap w:val="0"/>
            <w:vAlign w:val="center"/>
          </w:tcPr>
          <w:p w14:paraId="5FC8BD0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根据供应商提供的针对本项目的品牌赛事活动服务方案，包括：</w:t>
            </w:r>
          </w:p>
          <w:p w14:paraId="4746162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1.活动完整策划方案，包括策划动线，覆盖活动前中后期多场景策划内容；（评分分值：4，3，2，1，0分）</w:t>
            </w:r>
          </w:p>
          <w:p w14:paraId="35FA52B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2.活动场景设计方案，具有创新性、亮点、影响力，体现品牌推广活动效益；视觉设计方案，包括但不限于活动主视觉、线下宣传内容、线下氛围布置等；（评分分值：4，3，2，1，0分）</w:t>
            </w:r>
          </w:p>
          <w:p w14:paraId="04EEC00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3.活动方案，包括但不限于综合体选址、活动区域划分、活动流程建议、现场互动（结合体彩主题内容）、现场物料搭建、物料及设备、现场示意图等；（评分分值：4，3，2，1，0分）</w:t>
            </w:r>
          </w:p>
          <w:p w14:paraId="08486E4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7E75258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17" w:type="pct"/>
            <w:shd w:val="clear" w:color="auto" w:fill="auto"/>
            <w:noWrap w:val="0"/>
            <w:vAlign w:val="center"/>
          </w:tcPr>
          <w:p w14:paraId="5E1D209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3FF7DD2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品牌赛事活动服务方案</w:t>
            </w:r>
          </w:p>
        </w:tc>
      </w:tr>
      <w:tr w14:paraId="27056720">
        <w:trPr>
          <w:trHeight w:val="442" w:hRule="atLeast"/>
          <w:jc w:val="center"/>
        </w:trPr>
        <w:tc>
          <w:tcPr>
            <w:tcW w:w="348" w:type="pct"/>
            <w:noWrap w:val="0"/>
            <w:vAlign w:val="center"/>
          </w:tcPr>
          <w:p w14:paraId="625F883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94" w:type="pct"/>
            <w:shd w:val="clear" w:color="auto" w:fill="auto"/>
            <w:noWrap w:val="0"/>
            <w:vAlign w:val="center"/>
          </w:tcPr>
          <w:p w14:paraId="690AFD5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根据供应商提供的针对本项目的跨界合作、主题视频直播方案，包括：</w:t>
            </w:r>
          </w:p>
          <w:p w14:paraId="205F5C0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1.跨界合作方案；（评分分值：5，4，3，2，1，0分）</w:t>
            </w:r>
          </w:p>
          <w:p w14:paraId="30124FF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2.主题视频直播宣传方案；（评分分值：5，4，3，2，1，0分）</w:t>
            </w:r>
          </w:p>
          <w:p w14:paraId="047E7E1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5EF874D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17" w:type="pct"/>
            <w:shd w:val="clear" w:color="auto" w:fill="auto"/>
            <w:noWrap w:val="0"/>
            <w:vAlign w:val="center"/>
          </w:tcPr>
          <w:p w14:paraId="594C99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55E9A96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跨界合作、主题视频直播方案</w:t>
            </w:r>
          </w:p>
        </w:tc>
      </w:tr>
      <w:tr w14:paraId="75101919">
        <w:trPr>
          <w:trHeight w:val="442" w:hRule="atLeast"/>
          <w:jc w:val="center"/>
        </w:trPr>
        <w:tc>
          <w:tcPr>
            <w:tcW w:w="348" w:type="pct"/>
            <w:noWrap w:val="0"/>
            <w:vAlign w:val="center"/>
          </w:tcPr>
          <w:p w14:paraId="0A063F8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194" w:type="pct"/>
            <w:shd w:val="clear" w:color="auto" w:fill="auto"/>
            <w:noWrap w:val="0"/>
            <w:vAlign w:val="center"/>
          </w:tcPr>
          <w:p w14:paraId="34C7658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根据供应商提供的针对本项目的媒体宣传方案，包括：</w:t>
            </w:r>
          </w:p>
          <w:p w14:paraId="5374F87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1.媒体宣传计划；（评分分值：4，3，2，1，0分）</w:t>
            </w:r>
          </w:p>
          <w:p w14:paraId="0C21094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覆盖本市权威主流传统媒体（报纸、新闻网站、电视台、电台广播等）、新媒体（公众号、视频号、微博等）宣传方案；（评分分值：5，4，3，2，1，0分）</w:t>
            </w:r>
          </w:p>
          <w:p w14:paraId="151C28C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.在活动前中后期进行宣传短视频制作和推广，活动中引入年轻人群体喜爱的KOL、达人等现场打卡宣传</w:t>
            </w:r>
            <w:r>
              <w:rPr>
                <w:rFonts w:hint="eastAsia" w:ascii="宋体" w:hAnsi="宋体" w:eastAsia="宋体" w:cs="宋体"/>
                <w:color w:val="auto"/>
                <w:sz w:val="21"/>
                <w:szCs w:val="21"/>
                <w:highlight w:val="none"/>
                <w:lang w:val="en-US" w:eastAsia="zh-CN"/>
              </w:rPr>
              <w:t>方案；（评分分值：5，4，3，2，1，0分）</w:t>
            </w:r>
          </w:p>
          <w:p w14:paraId="48941F0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通过抖音、视频号等平台进行直播互动方案；（评分分值：5，4，3，2，1，0分）</w:t>
            </w:r>
          </w:p>
          <w:p w14:paraId="4043CF3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.通过活动文案撰写、活动通稿、新媒体预热稿件以及各渠道的宣传文案来实现体彩品牌公益宣传方案；（评分分值：5，4，3，2，1，0分）</w:t>
            </w:r>
          </w:p>
          <w:p w14:paraId="16094AD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3E2D454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417" w:type="pct"/>
            <w:shd w:val="clear" w:color="auto" w:fill="auto"/>
            <w:noWrap w:val="0"/>
            <w:vAlign w:val="center"/>
          </w:tcPr>
          <w:p w14:paraId="5D193AC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349B3CB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媒体宣传方案</w:t>
            </w:r>
          </w:p>
        </w:tc>
      </w:tr>
      <w:tr w14:paraId="11D5104C">
        <w:trPr>
          <w:trHeight w:val="522" w:hRule="atLeast"/>
          <w:jc w:val="center"/>
        </w:trPr>
        <w:tc>
          <w:tcPr>
            <w:tcW w:w="348" w:type="pct"/>
            <w:noWrap w:val="0"/>
            <w:vAlign w:val="center"/>
          </w:tcPr>
          <w:p w14:paraId="062EC89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194" w:type="pct"/>
            <w:shd w:val="clear" w:color="auto" w:fill="auto"/>
            <w:noWrap w:val="0"/>
            <w:vAlign w:val="center"/>
          </w:tcPr>
          <w:p w14:paraId="06FA45F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根据供应商提供的针对本项目的执行团队，包括：</w:t>
            </w:r>
          </w:p>
          <w:p w14:paraId="1EE1D6B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1.针对本项目执行团队总人数应不少于10人，需包含项目负责人、活动策划执行、现场主持、现场布展、现场安保、文案编辑、摄影摄像、后期制作、平面设计等岗位；（评分分值：5，4，3，2，1，0分）</w:t>
            </w:r>
          </w:p>
          <w:p w14:paraId="744E962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2.配备架构完善，人员配置合理，岗位职责清晰，人员专业，拥有类似落地活动策划执行经验（提供执行团队人员名单、经验或资质证明材料）；（评分分值：4，3，2，1，0分）</w:t>
            </w:r>
          </w:p>
          <w:p w14:paraId="1DD803E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3590DC7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417" w:type="pct"/>
            <w:shd w:val="clear" w:color="auto" w:fill="auto"/>
            <w:noWrap w:val="0"/>
            <w:vAlign w:val="center"/>
          </w:tcPr>
          <w:p w14:paraId="6565832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1BA66D2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执行团队</w:t>
            </w:r>
          </w:p>
        </w:tc>
      </w:tr>
      <w:tr w14:paraId="6E9272C1">
        <w:trPr>
          <w:trHeight w:val="770" w:hRule="atLeast"/>
          <w:jc w:val="center"/>
        </w:trPr>
        <w:tc>
          <w:tcPr>
            <w:tcW w:w="348" w:type="pct"/>
            <w:noWrap w:val="0"/>
            <w:vAlign w:val="center"/>
          </w:tcPr>
          <w:p w14:paraId="201E88D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194" w:type="pct"/>
            <w:noWrap w:val="0"/>
            <w:vAlign w:val="center"/>
          </w:tcPr>
          <w:p w14:paraId="5C1C590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根据供应商提供的针对本项目的</w:t>
            </w:r>
            <w:r>
              <w:rPr>
                <w:rFonts w:hint="eastAsia" w:ascii="宋体" w:hAnsi="宋体" w:eastAsia="宋体" w:cs="宋体"/>
                <w:color w:val="auto"/>
                <w:sz w:val="21"/>
                <w:szCs w:val="21"/>
                <w:highlight w:val="none"/>
                <w:lang w:val="en-US" w:eastAsia="zh-CN"/>
              </w:rPr>
              <w:t>售后服务及应急预案</w:t>
            </w:r>
            <w:r>
              <w:rPr>
                <w:rFonts w:hint="default" w:ascii="宋体" w:hAnsi="宋体" w:eastAsia="宋体" w:cs="宋体"/>
                <w:color w:val="auto"/>
                <w:sz w:val="21"/>
                <w:szCs w:val="21"/>
                <w:highlight w:val="none"/>
                <w:lang w:val="en-US" w:eastAsia="zh-CN"/>
              </w:rPr>
              <w:t>，包括：</w:t>
            </w:r>
          </w:p>
          <w:p w14:paraId="53976F6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活动场次及活动时长承诺（提供承诺书，格式自拟）</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（评分分值：3，2，1，0分）</w:t>
            </w:r>
          </w:p>
          <w:p w14:paraId="2464A6D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2.安全应急预案</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风险监控预防</w:t>
            </w:r>
            <w:r>
              <w:rPr>
                <w:rFonts w:hint="eastAsia" w:ascii="宋体" w:hAnsi="宋体" w:eastAsia="宋体" w:cs="宋体"/>
                <w:color w:val="auto"/>
                <w:sz w:val="21"/>
                <w:szCs w:val="21"/>
                <w:highlight w:val="none"/>
                <w:lang w:val="en-US" w:eastAsia="zh-CN"/>
              </w:rPr>
              <w:t>措施</w:t>
            </w:r>
            <w:r>
              <w:rPr>
                <w:rFonts w:hint="default" w:ascii="宋体" w:hAnsi="宋体" w:eastAsia="宋体" w:cs="宋体"/>
                <w:color w:val="auto"/>
                <w:sz w:val="21"/>
                <w:szCs w:val="21"/>
                <w:highlight w:val="none"/>
                <w:lang w:val="en-US" w:eastAsia="zh-CN"/>
              </w:rPr>
              <w:t>；（评分分值：3，2，1，0分）</w:t>
            </w:r>
          </w:p>
          <w:p w14:paraId="6F3F956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3.服务质量保证措施，后续服务保障</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（评分分值：4，3，2，1，0分）</w:t>
            </w:r>
          </w:p>
          <w:p w14:paraId="1A54308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noWrap w:val="0"/>
            <w:vAlign w:val="center"/>
          </w:tcPr>
          <w:p w14:paraId="15510AC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17" w:type="pct"/>
            <w:noWrap w:val="0"/>
            <w:vAlign w:val="center"/>
          </w:tcPr>
          <w:p w14:paraId="24BC781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707" w:type="pct"/>
            <w:noWrap w:val="0"/>
            <w:vAlign w:val="center"/>
          </w:tcPr>
          <w:p w14:paraId="3C2851A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售后服务及应急预案</w:t>
            </w:r>
          </w:p>
        </w:tc>
      </w:tr>
      <w:tr w14:paraId="40685FCF">
        <w:trPr>
          <w:jc w:val="center"/>
        </w:trPr>
        <w:tc>
          <w:tcPr>
            <w:tcW w:w="348" w:type="pct"/>
            <w:noWrap w:val="0"/>
            <w:vAlign w:val="center"/>
          </w:tcPr>
          <w:p w14:paraId="1DF81DB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194" w:type="pct"/>
            <w:noWrap w:val="0"/>
            <w:vAlign w:val="center"/>
          </w:tcPr>
          <w:p w14:paraId="2F7E583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］的计算公式计算。</w:t>
            </w:r>
          </w:p>
          <w:p w14:paraId="593AC7B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评标过程中，不得去掉报价中的最高报价和最低报价。因落实政府采购政策需要进行价格调整的，以调整后的价格计算评标基准价和投标报价。</w:t>
            </w:r>
          </w:p>
        </w:tc>
        <w:tc>
          <w:tcPr>
            <w:tcW w:w="333" w:type="pct"/>
            <w:noWrap w:val="0"/>
            <w:vAlign w:val="center"/>
          </w:tcPr>
          <w:p w14:paraId="662C2F4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24" w:type="pct"/>
            <w:gridSpan w:val="2"/>
            <w:noWrap w:val="0"/>
            <w:vAlign w:val="center"/>
          </w:tcPr>
          <w:p w14:paraId="5F1DEF5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r>
    </w:tbl>
    <w:p w14:paraId="21548E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w:t>
      </w:r>
    </w:p>
    <w:p w14:paraId="7504C8DC">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3DE742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06619B86">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二、评标标准</w:t>
      </w:r>
    </w:p>
    <w:p w14:paraId="5DA760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2.评标标准：</w:t>
      </w:r>
      <w:r>
        <w:rPr>
          <w:rFonts w:hint="eastAsia" w:ascii="宋体" w:hAnsi="宋体" w:eastAsia="宋体" w:cs="宋体"/>
          <w:color w:val="auto"/>
          <w:kern w:val="0"/>
          <w:sz w:val="21"/>
          <w:szCs w:val="21"/>
          <w:highlight w:val="none"/>
        </w:rPr>
        <w:t>见评标办法前附表。</w:t>
      </w:r>
    </w:p>
    <w:p w14:paraId="340CCE8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3AECACF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93B348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2A65131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评标委员会各成员应当独立对每个投标人的商务和技术文件进行评价，并汇总商务技术得分情况。商务技术得分按照评审小组成员的独立评分结果汇总后的算术平均分计算。</w:t>
      </w:r>
    </w:p>
    <w:p w14:paraId="3EC190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105FB6D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162C70D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0CA96B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3FE2EAE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53BEB3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5C9EC4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D52A1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7CE3662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06E021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85081D">
      <w:pPr>
        <w:pStyle w:val="65"/>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69C4E2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按技术得分由高到低顺序排列，仍不能分出前后的，以投标解密先后顺序确定中标候选供应商。投标文件满足招标文件全部实质性要求，且按照评审因素的量化指标评审得分最高的投标人为排名第一的中标候选人。</w:t>
      </w:r>
    </w:p>
    <w:p w14:paraId="4393A1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技术得分由高到低顺序排列，仍不能分出前后的，以投标解密先后顺序确定确定，其他同品牌投标人不作为中标候选人。</w:t>
      </w:r>
    </w:p>
    <w:p w14:paraId="4D74329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中标候选供应商数量：3</w:t>
      </w:r>
      <w:r>
        <w:rPr>
          <w:rFonts w:hint="eastAsia" w:ascii="宋体" w:hAnsi="宋体" w:eastAsia="宋体" w:cs="宋体"/>
          <w:color w:val="auto"/>
          <w:kern w:val="0"/>
          <w:sz w:val="21"/>
          <w:szCs w:val="21"/>
          <w:highlight w:val="none"/>
          <w:lang w:val="en-US" w:eastAsia="zh-CN"/>
        </w:rPr>
        <w:t>家</w:t>
      </w:r>
      <w:r>
        <w:rPr>
          <w:rFonts w:hint="eastAsia" w:ascii="宋体" w:hAnsi="宋体" w:eastAsia="宋体" w:cs="宋体"/>
          <w:color w:val="auto"/>
          <w:kern w:val="0"/>
          <w:sz w:val="21"/>
          <w:szCs w:val="21"/>
          <w:highlight w:val="none"/>
        </w:rPr>
        <w:t>。采购人应当确定排名第一的中标候选人为中标人，排名第一的中标候选人放弃中标、因不可抗力提出不能履行合同，或者采购文件规定应当提交履约保证金而在规定的期限内未能提交的，或者被查实存在影响中标结果的违法行为等情形，不符合中标条件的，采购人可以按照评标委员会提出的中标候选人名单排序依次确定其他中标候选人为中标人，也可以重新招标。</w:t>
      </w:r>
    </w:p>
    <w:p w14:paraId="1977D5B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17F9E">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7B759B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A0AE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4.2投标无效。</w:t>
      </w:r>
      <w:r>
        <w:rPr>
          <w:rFonts w:hint="eastAsia" w:ascii="宋体" w:hAnsi="宋体" w:eastAsia="宋体" w:cs="宋体"/>
          <w:color w:val="auto"/>
          <w:kern w:val="0"/>
          <w:sz w:val="21"/>
          <w:szCs w:val="21"/>
          <w:highlight w:val="none"/>
          <w:lang w:val="en-US" w:eastAsia="zh-CN" w:bidi="ar-SA"/>
        </w:rPr>
        <w:t>有下列情况之一的，投标无效：</w:t>
      </w:r>
    </w:p>
    <w:p w14:paraId="3F54F9D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FC7A95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4BA983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4.2.3采购人拟采购的产品属于政府强制采购的节能产品品目清单范围的，投标人未按招标文件要求提供国家确定的认证机构出具的、处于有效期之内的节能产品认证证书的；</w:t>
      </w:r>
    </w:p>
    <w:p w14:paraId="33F5E6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4518F98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6D3777F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4.2.6投标文件出现不是唯一的、有选择性投标报价的;</w:t>
      </w:r>
    </w:p>
    <w:p w14:paraId="32023F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2DE684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639B599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4.2.9投标人对根据修正原则修正后的报价不确认的；</w:t>
      </w:r>
    </w:p>
    <w:p w14:paraId="0EE9C3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4.2.10投标人提供虚假材料投标的；</w:t>
      </w:r>
    </w:p>
    <w:p w14:paraId="6010150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4.2.11投标人有恶意串通、妨碍其他投标人的竞争行为、损害采购人或者其他投标人的合法权益情形的；</w:t>
      </w:r>
    </w:p>
    <w:p w14:paraId="518454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4.2.12投标人仅提交备份投标文件，没有在电子交易平台传输递交投标文件的，投标无效；</w:t>
      </w:r>
    </w:p>
    <w:p w14:paraId="1CEEDE1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4.2.13除政府采购法律法规规章规定的属于恶意串通、视为串通投标情形外，在不影响公平竞争的前提下，参与同一个采购包（标段）的供应商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7ED7588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6478A5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4.2.14投标文件不满足招标文件的其它实质性要求的；</w:t>
      </w:r>
    </w:p>
    <w:p w14:paraId="5CE58B3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131C5A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5.废标。</w:t>
      </w:r>
      <w:r>
        <w:rPr>
          <w:rFonts w:hint="eastAsia" w:ascii="宋体" w:hAnsi="宋体" w:eastAsia="宋体" w:cs="宋体"/>
          <w:color w:val="auto"/>
          <w:kern w:val="0"/>
          <w:sz w:val="21"/>
          <w:szCs w:val="21"/>
          <w:highlight w:val="none"/>
          <w:lang w:val="en-US" w:eastAsia="zh-CN" w:bidi="ar-SA"/>
        </w:rPr>
        <w:t>根据《中华人民共和国政府采购法》第三十六条之规定，在采购中，出现下列情形之一的，应予废标：</w:t>
      </w:r>
    </w:p>
    <w:p w14:paraId="289757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5.1符合专业条件的供应商或者对招标文件作实质响应的供应商不足3家的；</w:t>
      </w:r>
    </w:p>
    <w:p w14:paraId="361BC6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5.2出现影响采购公正的违法、违规行为的；</w:t>
      </w:r>
    </w:p>
    <w:p w14:paraId="776F8D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5.3投标人的报价均超过了采购预算，采购人不能支付的；</w:t>
      </w:r>
    </w:p>
    <w:p w14:paraId="2E6388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5.4因重大变故，采购任务取消的。</w:t>
      </w:r>
    </w:p>
    <w:p w14:paraId="2EE2F1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废标后，采购机构应当将废标理由通知所有投标人。</w:t>
      </w:r>
    </w:p>
    <w:p w14:paraId="53F8D5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6.修改招标文件，重新组织采购活动。</w:t>
      </w:r>
      <w:r>
        <w:rPr>
          <w:rFonts w:hint="eastAsia" w:ascii="宋体" w:hAnsi="宋体" w:eastAsia="宋体" w:cs="宋体"/>
          <w:color w:val="auto"/>
          <w:kern w:val="0"/>
          <w:sz w:val="21"/>
          <w:szCs w:val="21"/>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24AE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7.重新开展采购。</w:t>
      </w:r>
      <w:r>
        <w:rPr>
          <w:rFonts w:hint="eastAsia" w:ascii="宋体" w:hAnsi="宋体" w:eastAsia="宋体" w:cs="宋体"/>
          <w:color w:val="auto"/>
          <w:kern w:val="0"/>
          <w:sz w:val="21"/>
          <w:szCs w:val="21"/>
          <w:highlight w:val="none"/>
          <w:lang w:val="en-US" w:eastAsia="zh-CN" w:bidi="ar-SA"/>
        </w:rPr>
        <w:t>有政府采购法第七十一条、第七十二条规定的违法行为之一，影响或者可能影响中标、成交结果的，依照下列规定处理：</w:t>
      </w:r>
    </w:p>
    <w:p w14:paraId="0032958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7.1未确定中标或者中标人的，终止本次政府采购活动，重新开展政府采购活动。</w:t>
      </w:r>
    </w:p>
    <w:p w14:paraId="5A4365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7.2已确定中标供应商但尚未签订政府采购合同的，中标结果无效，从合格的中标候选人中另行确定中标供应商；没有合格的中标候选人的，重新开展政府采购活动。</w:t>
      </w:r>
    </w:p>
    <w:p w14:paraId="2122BA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7.3政府采购合同已签订但尚未履行的，撤销合同，从合格的中标候选人中另行确定中标供应商；没有合格的中标候选人的，重新开展政府采购活动。</w:t>
      </w:r>
    </w:p>
    <w:p w14:paraId="5BDDFE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7.4政府采购合同已经履行，给采购人、供应商造成损失的，由责任人承担赔偿责任。</w:t>
      </w:r>
    </w:p>
    <w:p w14:paraId="2A4B59D4">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3DCD4737">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br w:type="page"/>
      </w:r>
    </w:p>
    <w:p w14:paraId="7A7CCAD1">
      <w:pPr>
        <w:pStyle w:val="3"/>
        <w:bidi w:val="0"/>
        <w:rPr>
          <w:rFonts w:hint="eastAsia" w:ascii="宋体" w:hAnsi="宋体" w:eastAsia="宋体" w:cs="宋体"/>
          <w:color w:val="auto"/>
          <w:highlight w:val="none"/>
          <w:lang w:val="en-US" w:eastAsia="zh-CN"/>
        </w:rPr>
      </w:pPr>
      <w:bookmarkStart w:id="24" w:name="_Toc1101859468"/>
      <w:r>
        <w:rPr>
          <w:rFonts w:hint="eastAsia" w:ascii="宋体" w:hAnsi="宋体" w:eastAsia="宋体" w:cs="宋体"/>
          <w:color w:val="auto"/>
          <w:highlight w:val="none"/>
          <w:lang w:val="en-US" w:eastAsia="zh-CN"/>
        </w:rPr>
        <w:t>第五部分  拟签订的合同文本</w:t>
      </w:r>
      <w:bookmarkEnd w:id="24"/>
    </w:p>
    <w:p w14:paraId="0C931B1D">
      <w:pPr>
        <w:tabs>
          <w:tab w:val="left" w:pos="420"/>
        </w:tabs>
        <w:ind w:left="0" w:leftChars="0" w:right="0" w:rightChars="0"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（供参考，最终以甲乙双方协商签订的合同条款为准）</w:t>
      </w:r>
    </w:p>
    <w:p w14:paraId="40306FBA">
      <w:pPr>
        <w:snapToGrid w:val="0"/>
        <w:spacing w:line="44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一、通用必备条款部分</w:t>
      </w:r>
    </w:p>
    <w:p w14:paraId="50CE83A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JXYJY-2025-10</w:t>
      </w:r>
    </w:p>
    <w:p w14:paraId="6CA09E4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合同编号：</w:t>
      </w:r>
      <w:r>
        <w:rPr>
          <w:rFonts w:hint="eastAsia" w:ascii="宋体" w:hAnsi="宋体" w:eastAsia="宋体" w:cs="宋体"/>
          <w:color w:val="auto"/>
          <w:kern w:val="0"/>
          <w:szCs w:val="21"/>
          <w:highlight w:val="none"/>
          <w:lang w:eastAsia="zh-CN"/>
        </w:rPr>
        <w:t>JXYJY-2025-10</w:t>
      </w:r>
    </w:p>
    <w:p w14:paraId="3DE84F9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政府采购计划（预算）确认</w:t>
      </w:r>
      <w:r>
        <w:rPr>
          <w:rFonts w:hint="eastAsia" w:ascii="宋体" w:hAnsi="宋体" w:eastAsia="宋体" w:cs="宋体"/>
          <w:color w:val="auto"/>
          <w:kern w:val="0"/>
          <w:szCs w:val="21"/>
          <w:highlight w:val="none"/>
          <w:lang w:eastAsia="zh-CN"/>
        </w:rPr>
        <w:t>号：[2025]4320号、[2025]4321号</w:t>
      </w:r>
    </w:p>
    <w:p w14:paraId="4033C4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预算金额：1000000元</w:t>
      </w:r>
    </w:p>
    <w:p w14:paraId="4F688D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采购人（以下称甲方）：</w:t>
      </w:r>
      <w:r>
        <w:rPr>
          <w:rFonts w:hint="eastAsia" w:ascii="宋体" w:hAnsi="宋体" w:eastAsia="宋体" w:cs="宋体"/>
          <w:color w:val="auto"/>
          <w:kern w:val="0"/>
          <w:szCs w:val="21"/>
          <w:highlight w:val="none"/>
          <w:lang w:eastAsia="zh-CN"/>
        </w:rPr>
        <w:t>嘉兴市体育彩票管理服务中心</w:t>
      </w:r>
    </w:p>
    <w:p w14:paraId="61BE04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供应商（以下称乙方）：</w:t>
      </w:r>
    </w:p>
    <w:p w14:paraId="12B7599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采购代理机构：嘉兴市银建工程咨询评估有限公司</w:t>
      </w:r>
    </w:p>
    <w:p w14:paraId="30E2DE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采购方式：公开招标</w:t>
      </w:r>
    </w:p>
    <w:p w14:paraId="072E70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根据《中华人民共和国政府采购法》、《中华人民共和国民法典》等法律法规的规定，甲乙双方按照</w:t>
      </w:r>
      <w:r>
        <w:rPr>
          <w:rFonts w:hint="eastAsia" w:ascii="宋体" w:hAnsi="宋体" w:eastAsia="宋体" w:cs="宋体"/>
          <w:color w:val="auto"/>
          <w:kern w:val="2"/>
          <w:szCs w:val="24"/>
          <w:highlight w:val="none"/>
          <w:u w:val="single"/>
          <w:lang w:eastAsia="zh-CN"/>
        </w:rPr>
        <w:t>嘉兴市体育彩票管理服务中心2025年嘉兴体彩品牌公益推广系列活动项目</w:t>
      </w:r>
      <w:r>
        <w:rPr>
          <w:rFonts w:hint="eastAsia" w:ascii="宋体" w:hAnsi="宋体" w:eastAsia="宋体" w:cs="宋体"/>
          <w:color w:val="auto"/>
          <w:kern w:val="0"/>
          <w:szCs w:val="21"/>
          <w:highlight w:val="none"/>
        </w:rPr>
        <w:t>采购结果签订本合同。</w:t>
      </w:r>
    </w:p>
    <w:p w14:paraId="3EB44F9D">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合同组成</w:t>
      </w:r>
    </w:p>
    <w:p w14:paraId="2643783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本次政府采购活动的相关文件为本合同的组成部分，这些文件包括但不限于：</w:t>
      </w:r>
    </w:p>
    <w:p w14:paraId="77E3571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（1）本合同文本；</w:t>
      </w:r>
    </w:p>
    <w:p w14:paraId="7EB5741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（2）采购文件与采购响应文件；</w:t>
      </w:r>
    </w:p>
    <w:p w14:paraId="62B3983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（3）中标或成交通知书；</w:t>
      </w:r>
    </w:p>
    <w:p w14:paraId="567FBD5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组成本合同的所有文件必须为书面形式。政府采购合同备案时，须提供以上（1）、（3）两项，如由社会中介机构代理，须提供代理协议，合同如有变更的，须提供变更协议。</w:t>
      </w:r>
    </w:p>
    <w:p w14:paraId="01FB270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合同标的与相关属性</w:t>
      </w:r>
    </w:p>
    <w:p w14:paraId="13F4A0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1、本次采购的是</w:t>
      </w:r>
      <w:r>
        <w:rPr>
          <w:rFonts w:hint="eastAsia" w:ascii="宋体" w:hAnsi="宋体" w:eastAsia="宋体" w:cs="宋体"/>
          <w:color w:val="auto"/>
          <w:kern w:val="2"/>
          <w:szCs w:val="24"/>
          <w:highlight w:val="none"/>
          <w:u w:val="single"/>
          <w:lang w:eastAsia="zh-CN"/>
        </w:rPr>
        <w:t>嘉兴市体育彩票管理服务中心2025年嘉兴体彩品牌公益推广系列活动项目</w:t>
      </w:r>
      <w:r>
        <w:rPr>
          <w:rFonts w:hint="eastAsia" w:ascii="宋体" w:hAnsi="宋体" w:eastAsia="宋体" w:cs="宋体"/>
          <w:color w:val="auto"/>
          <w:kern w:val="0"/>
          <w:szCs w:val="21"/>
          <w:highlight w:val="none"/>
        </w:rPr>
        <w:t>。</w:t>
      </w:r>
    </w:p>
    <w:p w14:paraId="1568B50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2、乙方是否属于中小微企业：□是□否</w:t>
      </w:r>
    </w:p>
    <w:p w14:paraId="3706E62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3、本合同项下产品属于（可多选）：□环保产品；□节能产品；□进口产品</w:t>
      </w:r>
    </w:p>
    <w:p w14:paraId="777BBA6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合同价款</w:t>
      </w:r>
    </w:p>
    <w:p w14:paraId="45B1C58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1、本合同项下总价款为人民币（大写）</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      元），</w:t>
      </w:r>
      <w:r>
        <w:rPr>
          <w:rFonts w:hint="eastAsia" w:ascii="宋体" w:hAnsi="宋体" w:eastAsia="宋体" w:cs="宋体"/>
          <w:color w:val="auto"/>
          <w:kern w:val="0"/>
          <w:szCs w:val="21"/>
          <w:highlight w:val="none"/>
        </w:rPr>
        <w:t>分项价款见“价格清单”（如有）”。</w:t>
      </w:r>
    </w:p>
    <w:p w14:paraId="3DED76CA">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2、本合同总价款含所有税费(包括货款、标准附件、备品备件、专用工具、包装、运输、装卸、保险、税金、货到就位以及安装、调试、培训、保修等一切税金和费用。)</w:t>
      </w:r>
    </w:p>
    <w:p w14:paraId="74CCE1B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3、本合同付款方式为以下第</w:t>
      </w:r>
      <w:r>
        <w:rPr>
          <w:rFonts w:hint="eastAsia" w:ascii="宋体" w:hAnsi="宋体" w:eastAsia="宋体" w:cs="宋体"/>
          <w:color w:val="auto"/>
          <w:kern w:val="0"/>
          <w:szCs w:val="21"/>
          <w:highlight w:val="none"/>
          <w:u w:val="single"/>
        </w:rPr>
        <w:t xml:space="preserve">   （2）    </w:t>
      </w:r>
      <w:r>
        <w:rPr>
          <w:rFonts w:hint="eastAsia" w:ascii="宋体" w:hAnsi="宋体" w:eastAsia="宋体" w:cs="宋体"/>
          <w:color w:val="auto"/>
          <w:kern w:val="0"/>
          <w:szCs w:val="21"/>
          <w:highlight w:val="none"/>
        </w:rPr>
        <w:t>项：</w:t>
      </w:r>
    </w:p>
    <w:p w14:paraId="5845A95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（1）本合同项下的采购资金系甲方自行支付，付款程序为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663F5B7">
      <w:pPr>
        <w:keepNext w:val="0"/>
        <w:keepLines w:val="0"/>
        <w:pageBreakBefore w:val="0"/>
        <w:widowControl w:val="0"/>
        <w:kinsoku/>
        <w:wordWrap/>
        <w:overflowPunct/>
        <w:topLinePunct w:val="0"/>
        <w:autoSpaceDE/>
        <w:autoSpaceDN/>
        <w:bidi w:val="0"/>
        <w:adjustRightInd w:val="0"/>
        <w:snapToGrid w:val="0"/>
        <w:spacing w:line="400" w:lineRule="atLeast"/>
        <w:ind w:firstLine="424" w:firstLineChars="202"/>
        <w:jc w:val="both"/>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（2）本合同项下的采购资金须财政直接支付，付款程序为: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2"/>
          <w:szCs w:val="21"/>
          <w:highlight w:val="none"/>
          <w:lang w:val="en-US" w:eastAsia="zh-CN"/>
        </w:rPr>
        <w:t>。</w:t>
      </w:r>
    </w:p>
    <w:p w14:paraId="012DA9F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p>
    <w:p w14:paraId="3BC3B56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4、本合同项下的采购资金付款进度按招投标文件规定，未规定时按以下第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项支付：</w:t>
      </w:r>
    </w:p>
    <w:p w14:paraId="4FFC8E2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（1）一次性付款：乙方合同履行达到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（条件）时，一次性付款；</w:t>
      </w:r>
    </w:p>
    <w:p w14:paraId="7CAA4E1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（2）分期付款</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25800F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若收取了履约保证金，则不应重复设置尾款支付条件。</w:t>
      </w:r>
    </w:p>
    <w:p w14:paraId="559BE49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履约保证金</w:t>
      </w:r>
    </w:p>
    <w:p w14:paraId="0E6D789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按以下第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2</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项处理：</w:t>
      </w:r>
    </w:p>
    <w:p w14:paraId="33C7839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1、本项目设置履约保证金，乙方应于签订合同时向甲方提交履约保证金</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元（本合同金额的/%）。</w:t>
      </w:r>
    </w:p>
    <w:p w14:paraId="15D8740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kern w:val="0"/>
          <w:szCs w:val="21"/>
          <w:highlight w:val="none"/>
        </w:rPr>
        <w:t>2、本项目不设置履约保证金</w:t>
      </w:r>
      <w:r>
        <w:rPr>
          <w:rFonts w:hint="eastAsia" w:ascii="宋体" w:hAnsi="宋体" w:eastAsia="宋体" w:cs="宋体"/>
          <w:color w:val="auto"/>
          <w:kern w:val="0"/>
          <w:szCs w:val="21"/>
          <w:highlight w:val="none"/>
          <w:lang w:val="en-US" w:eastAsia="zh-CN"/>
        </w:rPr>
        <w:t>.</w:t>
      </w:r>
    </w:p>
    <w:p w14:paraId="3275DA2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合同的变更和终止</w:t>
      </w:r>
    </w:p>
    <w:p w14:paraId="1C06A3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436C33A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合同的转让与分包</w:t>
      </w:r>
    </w:p>
    <w:p w14:paraId="33B0F6A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乙方不得擅自部分或全部转让其应履行的合同义务。乙方分包的，应经过甲方书面同意。</w:t>
      </w:r>
    </w:p>
    <w:p w14:paraId="1AC949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第七条 争议的解决</w:t>
      </w:r>
    </w:p>
    <w:p w14:paraId="02E7E76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种方式解决争议：</w:t>
      </w:r>
    </w:p>
    <w:p w14:paraId="461A7F7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（1）向甲方所在地有管辖权的人民法院提起诉讼；</w:t>
      </w:r>
    </w:p>
    <w:p w14:paraId="175722F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w:t>
      </w:r>
      <w:r>
        <w:rPr>
          <w:rFonts w:hint="eastAsia" w:ascii="宋体" w:hAnsi="宋体" w:eastAsia="宋体" w:cs="宋体"/>
          <w:color w:val="auto"/>
          <w:kern w:val="0"/>
          <w:szCs w:val="21"/>
          <w:highlight w:val="none"/>
          <w:u w:val="single"/>
        </w:rPr>
        <w:t xml:space="preserve">  嘉兴 </w:t>
      </w:r>
      <w:r>
        <w:rPr>
          <w:rFonts w:hint="eastAsia" w:ascii="宋体" w:hAnsi="宋体" w:eastAsia="宋体" w:cs="宋体"/>
          <w:color w:val="auto"/>
          <w:kern w:val="0"/>
          <w:szCs w:val="21"/>
          <w:highlight w:val="none"/>
        </w:rPr>
        <w:t>仲裁委员申请仲裁。</w:t>
      </w:r>
    </w:p>
    <w:p w14:paraId="44C06A7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第八条 合同备案及其他</w:t>
      </w:r>
    </w:p>
    <w:p w14:paraId="6E155268">
      <w:pPr>
        <w:keepNext w:val="0"/>
        <w:keepLines w:val="0"/>
        <w:pageBreakBefore w:val="0"/>
        <w:widowControl/>
        <w:kinsoku/>
        <w:wordWrap/>
        <w:overflowPunct/>
        <w:topLinePunct w:val="0"/>
        <w:autoSpaceDE/>
        <w:autoSpaceDN/>
        <w:bidi w:val="0"/>
        <w:adjustRightInd w:val="0"/>
        <w:snapToGrid w:val="0"/>
        <w:spacing w:line="400" w:lineRule="atLeast"/>
        <w:ind w:firstLine="420"/>
        <w:jc w:val="left"/>
        <w:textAlignment w:val="auto"/>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rPr>
        <w:t>本合同一式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份，甲乙双方各执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1507E3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atLeast"/>
        <w:ind w:firstLine="420" w:firstLineChars="200"/>
        <w:jc w:val="left"/>
        <w:rPr>
          <w:rFonts w:hint="eastAsia" w:ascii="宋体" w:hAnsi="宋体" w:eastAsia="宋体" w:cs="宋体"/>
          <w:color w:val="auto"/>
          <w:kern w:val="0"/>
          <w:szCs w:val="21"/>
          <w:highlight w:val="none"/>
        </w:rPr>
      </w:pPr>
    </w:p>
    <w:p w14:paraId="65A8B0FF">
      <w:pPr>
        <w:tabs>
          <w:tab w:val="left" w:pos="3584"/>
        </w:tabs>
        <w:adjustRightInd w:val="0"/>
        <w:snapToGrid w:val="0"/>
        <w:spacing w:line="42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二、特殊专用条款部分</w:t>
      </w:r>
    </w:p>
    <w:p w14:paraId="1DF3DB52">
      <w:pPr>
        <w:adjustRightInd w:val="0"/>
        <w:snapToGrid w:val="0"/>
        <w:spacing w:line="420" w:lineRule="atLeast"/>
        <w:jc w:val="left"/>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第一条 采购内容</w:t>
      </w:r>
    </w:p>
    <w:p w14:paraId="6021DD2B">
      <w:pPr>
        <w:adjustRightInd w:val="0"/>
        <w:snapToGrid w:val="0"/>
        <w:spacing w:line="420" w:lineRule="atLeast"/>
        <w:ind w:firstLine="424" w:firstLineChars="202"/>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p>
    <w:p w14:paraId="703098EE">
      <w:pPr>
        <w:adjustRightInd w:val="0"/>
        <w:snapToGrid w:val="0"/>
        <w:spacing w:line="420" w:lineRule="atLeast"/>
        <w:jc w:val="left"/>
        <w:rPr>
          <w:rFonts w:hint="eastAsia" w:ascii="宋体" w:hAnsi="宋体" w:eastAsia="宋体" w:cs="宋体"/>
          <w:b/>
          <w:bCs/>
          <w:color w:val="auto"/>
          <w:kern w:val="2"/>
          <w:szCs w:val="21"/>
          <w:highlight w:val="none"/>
        </w:rPr>
      </w:pPr>
      <w:r>
        <w:rPr>
          <w:rFonts w:hint="eastAsia" w:ascii="宋体" w:hAnsi="宋体" w:eastAsia="宋体" w:cs="宋体"/>
          <w:b/>
          <w:color w:val="auto"/>
          <w:kern w:val="2"/>
          <w:szCs w:val="21"/>
          <w:highlight w:val="none"/>
        </w:rPr>
        <w:t>第二条</w:t>
      </w:r>
      <w:r>
        <w:rPr>
          <w:rFonts w:hint="eastAsia" w:ascii="宋体" w:hAnsi="宋体" w:eastAsia="宋体" w:cs="宋体"/>
          <w:b/>
          <w:bCs/>
          <w:color w:val="auto"/>
          <w:kern w:val="2"/>
          <w:szCs w:val="21"/>
          <w:highlight w:val="none"/>
        </w:rPr>
        <w:t>税费</w:t>
      </w:r>
    </w:p>
    <w:p w14:paraId="2DA821E7">
      <w:pPr>
        <w:numPr>
          <w:ins w:id="0" w:author="Administrator" w:date="2016-04-07T15:48:00Z"/>
        </w:num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本合同执行中相关的一切税费均由乙方负担。</w:t>
      </w:r>
    </w:p>
    <w:p w14:paraId="1CCCCD2E">
      <w:pPr>
        <w:adjustRightInd w:val="0"/>
        <w:snapToGrid w:val="0"/>
        <w:spacing w:line="420" w:lineRule="atLeast"/>
        <w:jc w:val="left"/>
        <w:rPr>
          <w:rFonts w:hint="eastAsia" w:ascii="宋体" w:hAnsi="宋体" w:eastAsia="宋体" w:cs="宋体"/>
          <w:b/>
          <w:bCs/>
          <w:color w:val="auto"/>
          <w:kern w:val="2"/>
          <w:szCs w:val="21"/>
          <w:highlight w:val="none"/>
        </w:rPr>
      </w:pPr>
      <w:r>
        <w:rPr>
          <w:rFonts w:hint="eastAsia" w:ascii="宋体" w:hAnsi="宋体" w:eastAsia="宋体" w:cs="宋体"/>
          <w:b/>
          <w:color w:val="auto"/>
          <w:kern w:val="2"/>
          <w:szCs w:val="21"/>
          <w:highlight w:val="none"/>
        </w:rPr>
        <w:t xml:space="preserve">第三条 </w:t>
      </w:r>
      <w:r>
        <w:rPr>
          <w:rFonts w:hint="eastAsia" w:ascii="宋体" w:hAnsi="宋体" w:eastAsia="宋体" w:cs="宋体"/>
          <w:b/>
          <w:bCs/>
          <w:color w:val="auto"/>
          <w:kern w:val="2"/>
          <w:szCs w:val="21"/>
          <w:highlight w:val="none"/>
        </w:rPr>
        <w:t>违约责任</w:t>
      </w:r>
    </w:p>
    <w:p w14:paraId="52F63519">
      <w:pPr>
        <w:numPr>
          <w:ins w:id="1" w:author="Administrator" w:date="2016-04-07T15:48:00Z"/>
        </w:num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乙方不能按合同规定的内容提供服务时，甲方有权扣除相应款项；如甲方书面通知要求改正二次乙方仍不执行的，甲方可以终止合同。</w:t>
      </w:r>
    </w:p>
    <w:p w14:paraId="7A2B32B9">
      <w:pPr>
        <w:adjustRightInd w:val="0"/>
        <w:snapToGrid w:val="0"/>
        <w:spacing w:line="420" w:lineRule="atLeast"/>
        <w:jc w:val="left"/>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第四条 不可抗力</w:t>
      </w:r>
    </w:p>
    <w:p w14:paraId="36990965">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1、在合同有效期内，任何一方因不可抗力事件导致不能履行合同，则合同履行期可延长，其延长期与不可抗力影响期相同。</w:t>
      </w:r>
    </w:p>
    <w:p w14:paraId="1A5F759E">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2、不可抗力事件发生后，应立即通知对方，并寄送有关权威机构出具的证明。不可抗力事件延续120天以上，双方应通过友好协商，确定是否继续履行合同。</w:t>
      </w:r>
    </w:p>
    <w:p w14:paraId="00F3FCA4">
      <w:pPr>
        <w:adjustRightInd w:val="0"/>
        <w:snapToGrid w:val="0"/>
        <w:spacing w:line="420" w:lineRule="atLeast"/>
        <w:jc w:val="left"/>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第五条 其它</w:t>
      </w:r>
    </w:p>
    <w:p w14:paraId="56C6AF8D">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1、合同经双方法定代表人或授权代表签字并加盖单位公章后生效。</w:t>
      </w:r>
    </w:p>
    <w:p w14:paraId="3A7B6375">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2、合同在执行过程中出现的未尽事宜，双方在不违背合同和招标文件的原则下协商解决。协商结果以“纪要”方式作为附件，与合同具有同等效力。</w:t>
      </w:r>
    </w:p>
    <w:p w14:paraId="66A0C7E9">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3、本合同未尽事宜，按照《中华人民共和国民法典》有关条文执行。</w:t>
      </w:r>
    </w:p>
    <w:p w14:paraId="0F8077CF">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4、招标文件、投标文件、授权书、服务方案、报价表、中标通知书等均为合同不可分割部分，与合同具体同等效力。</w:t>
      </w:r>
    </w:p>
    <w:p w14:paraId="33A930C3">
      <w:pPr>
        <w:autoSpaceDE w:val="0"/>
        <w:autoSpaceDN w:val="0"/>
        <w:adjustRightInd w:val="0"/>
        <w:snapToGrid w:val="0"/>
        <w:spacing w:line="420" w:lineRule="atLeast"/>
        <w:jc w:val="both"/>
        <w:rPr>
          <w:rFonts w:hint="eastAsia" w:ascii="宋体" w:hAnsi="宋体" w:eastAsia="宋体" w:cs="宋体"/>
          <w:color w:val="auto"/>
          <w:kern w:val="2"/>
          <w:szCs w:val="21"/>
          <w:highlight w:val="none"/>
        </w:rPr>
      </w:pPr>
    </w:p>
    <w:p w14:paraId="76018B00">
      <w:pPr>
        <w:autoSpaceDE w:val="0"/>
        <w:autoSpaceDN w:val="0"/>
        <w:adjustRightInd w:val="0"/>
        <w:snapToGrid w:val="0"/>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甲方：                                  乙方： </w:t>
      </w:r>
    </w:p>
    <w:p w14:paraId="6C2D60C1">
      <w:pPr>
        <w:autoSpaceDE w:val="0"/>
        <w:autoSpaceDN w:val="0"/>
        <w:adjustRightInd w:val="0"/>
        <w:snapToGrid w:val="0"/>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地址：                                  地址： </w:t>
      </w:r>
    </w:p>
    <w:p w14:paraId="2E45066C">
      <w:pPr>
        <w:autoSpaceDE w:val="0"/>
        <w:autoSpaceDN w:val="0"/>
        <w:adjustRightInd w:val="0"/>
        <w:snapToGrid w:val="0"/>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法定代表人：                            法定代表人：</w:t>
      </w:r>
    </w:p>
    <w:p w14:paraId="33048726">
      <w:pPr>
        <w:autoSpaceDE w:val="0"/>
        <w:autoSpaceDN w:val="0"/>
        <w:adjustRightInd w:val="0"/>
        <w:snapToGrid w:val="0"/>
        <w:spacing w:line="440" w:lineRule="atLeast"/>
        <w:ind w:right="42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授权委托代理人：（签字）                 授权委托代理人：（签字）</w:t>
      </w:r>
    </w:p>
    <w:p w14:paraId="646854DC">
      <w:pPr>
        <w:autoSpaceDE w:val="0"/>
        <w:autoSpaceDN w:val="0"/>
        <w:adjustRightInd w:val="0"/>
        <w:snapToGrid w:val="0"/>
        <w:spacing w:line="440" w:lineRule="atLeast"/>
        <w:ind w:right="48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签订地点：嘉兴</w:t>
      </w:r>
    </w:p>
    <w:p w14:paraId="4905582E">
      <w:pPr>
        <w:autoSpaceDE w:val="0"/>
        <w:autoSpaceDN w:val="0"/>
        <w:adjustRightInd w:val="0"/>
        <w:snapToGrid w:val="0"/>
        <w:spacing w:line="440" w:lineRule="atLeast"/>
        <w:jc w:val="righ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签订日期：      年   月   日</w:t>
      </w:r>
    </w:p>
    <w:p w14:paraId="126A2656">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br w:type="page"/>
      </w:r>
    </w:p>
    <w:p w14:paraId="48002BBD">
      <w:pPr>
        <w:widowControl w:val="0"/>
        <w:adjustRightInd w:val="0"/>
        <w:snapToGrid w:val="0"/>
        <w:spacing w:line="440" w:lineRule="atLeast"/>
        <w:jc w:val="both"/>
        <w:rPr>
          <w:rFonts w:hint="eastAsia" w:ascii="宋体" w:hAnsi="宋体" w:eastAsia="宋体" w:cs="宋体"/>
          <w:color w:val="auto"/>
          <w:kern w:val="2"/>
          <w:sz w:val="21"/>
          <w:szCs w:val="21"/>
          <w:highlight w:val="none"/>
          <w:lang w:val="en-US" w:eastAsia="zh-CN" w:bidi="ar-SA"/>
        </w:rPr>
      </w:pPr>
    </w:p>
    <w:tbl>
      <w:tblPr>
        <w:tblStyle w:val="22"/>
        <w:tblW w:w="9285" w:type="dxa"/>
        <w:jc w:val="center"/>
        <w:tblLayout w:type="autofit"/>
        <w:tblCellMar>
          <w:top w:w="0" w:type="dxa"/>
          <w:left w:w="108" w:type="dxa"/>
          <w:bottom w:w="0" w:type="dxa"/>
          <w:right w:w="108" w:type="dxa"/>
        </w:tblCellMar>
      </w:tblPr>
      <w:tblGrid>
        <w:gridCol w:w="2386"/>
        <w:gridCol w:w="2495"/>
        <w:gridCol w:w="868"/>
        <w:gridCol w:w="745"/>
        <w:gridCol w:w="1459"/>
        <w:gridCol w:w="1332"/>
      </w:tblGrid>
      <w:tr w14:paraId="15028CE3">
        <w:trPr>
          <w:trHeight w:val="1126" w:hRule="atLeast"/>
          <w:jc w:val="center"/>
        </w:trPr>
        <w:tc>
          <w:tcPr>
            <w:tcW w:w="9285" w:type="dxa"/>
            <w:gridSpan w:val="6"/>
            <w:tcBorders>
              <w:top w:val="nil"/>
              <w:left w:val="nil"/>
              <w:bottom w:val="nil"/>
              <w:right w:val="nil"/>
            </w:tcBorders>
            <w:noWrap w:val="0"/>
            <w:vAlign w:val="center"/>
          </w:tcPr>
          <w:p w14:paraId="553AF19A">
            <w:pPr>
              <w:widowControl/>
              <w:snapToGrid w:val="0"/>
              <w:spacing w:line="360" w:lineRule="auto"/>
              <w:jc w:val="center"/>
              <w:rPr>
                <w:rFonts w:hint="eastAsia" w:ascii="宋体" w:hAnsi="宋体" w:eastAsia="宋体" w:cs="宋体"/>
                <w:b/>
                <w:bCs/>
                <w:color w:val="auto"/>
                <w:kern w:val="0"/>
                <w:sz w:val="48"/>
                <w:szCs w:val="48"/>
                <w:highlight w:val="none"/>
              </w:rPr>
            </w:pPr>
            <w:r>
              <w:rPr>
                <w:rFonts w:hint="eastAsia" w:ascii="宋体" w:hAnsi="宋体" w:eastAsia="宋体" w:cs="宋体"/>
                <w:b/>
                <w:bCs/>
                <w:color w:val="auto"/>
                <w:kern w:val="0"/>
                <w:sz w:val="48"/>
                <w:szCs w:val="48"/>
                <w:highlight w:val="none"/>
              </w:rPr>
              <w:t>政 府 采 购 项 目 验 收 单</w:t>
            </w:r>
          </w:p>
        </w:tc>
      </w:tr>
      <w:tr w14:paraId="62D92490">
        <w:trPr>
          <w:trHeight w:val="874" w:hRule="atLeast"/>
          <w:jc w:val="center"/>
        </w:trPr>
        <w:tc>
          <w:tcPr>
            <w:tcW w:w="9285" w:type="dxa"/>
            <w:gridSpan w:val="6"/>
            <w:tcBorders>
              <w:top w:val="nil"/>
              <w:left w:val="nil"/>
              <w:bottom w:val="nil"/>
              <w:right w:val="nil"/>
            </w:tcBorders>
            <w:noWrap w:val="0"/>
            <w:vAlign w:val="center"/>
          </w:tcPr>
          <w:p w14:paraId="6803AB49">
            <w:pPr>
              <w:widowControl/>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2"/>
                <w:sz w:val="24"/>
                <w:szCs w:val="24"/>
                <w:highlight w:val="none"/>
              </w:rPr>
              <w:t>政府采购计划书</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0"/>
                <w:sz w:val="24"/>
                <w:szCs w:val="24"/>
                <w:highlight w:val="none"/>
              </w:rPr>
              <w:t>[2025]4320号、[2025]4321号，采购编号：</w:t>
            </w:r>
            <w:r>
              <w:rPr>
                <w:rFonts w:hint="eastAsia" w:ascii="宋体" w:hAnsi="宋体" w:eastAsia="宋体" w:cs="宋体"/>
                <w:color w:val="auto"/>
                <w:kern w:val="0"/>
                <w:sz w:val="24"/>
                <w:szCs w:val="24"/>
                <w:highlight w:val="none"/>
                <w:lang w:val="en-US" w:eastAsia="zh-CN"/>
              </w:rPr>
              <w:t>JXYJY-2025-10</w:t>
            </w:r>
            <w:r>
              <w:rPr>
                <w:rFonts w:hint="eastAsia" w:ascii="宋体" w:hAnsi="宋体" w:eastAsia="宋体" w:cs="宋体"/>
                <w:color w:val="auto"/>
                <w:kern w:val="0"/>
                <w:sz w:val="24"/>
                <w:szCs w:val="24"/>
                <w:highlight w:val="none"/>
              </w:rPr>
              <w:t>,合同号：</w:t>
            </w:r>
            <w:r>
              <w:rPr>
                <w:rFonts w:hint="eastAsia" w:ascii="宋体" w:hAnsi="宋体" w:eastAsia="宋体" w:cs="宋体"/>
                <w:color w:val="auto"/>
                <w:kern w:val="0"/>
                <w:sz w:val="24"/>
                <w:szCs w:val="24"/>
                <w:highlight w:val="none"/>
                <w:lang w:val="en-US" w:eastAsia="zh-CN"/>
              </w:rPr>
              <w:t>JXYJY-2025-10</w:t>
            </w:r>
          </w:p>
        </w:tc>
      </w:tr>
      <w:tr w14:paraId="59814083">
        <w:trPr>
          <w:trHeight w:val="874" w:hRule="atLeast"/>
          <w:jc w:val="center"/>
        </w:trPr>
        <w:tc>
          <w:tcPr>
            <w:tcW w:w="9285" w:type="dxa"/>
            <w:gridSpan w:val="6"/>
            <w:tcBorders>
              <w:top w:val="nil"/>
              <w:left w:val="nil"/>
              <w:bottom w:val="nil"/>
              <w:right w:val="nil"/>
            </w:tcBorders>
            <w:noWrap w:val="0"/>
            <w:vAlign w:val="center"/>
          </w:tcPr>
          <w:p w14:paraId="08D876CA">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以下项目已采购到位并验收合格。</w:t>
            </w:r>
          </w:p>
        </w:tc>
      </w:tr>
      <w:tr w14:paraId="6E222125">
        <w:trPr>
          <w:trHeight w:val="946" w:hRule="atLeast"/>
          <w:jc w:val="center"/>
        </w:trPr>
        <w:tc>
          <w:tcPr>
            <w:tcW w:w="2386" w:type="dxa"/>
            <w:tcBorders>
              <w:top w:val="single" w:color="auto" w:sz="4" w:space="0"/>
              <w:left w:val="single" w:color="auto" w:sz="4" w:space="0"/>
              <w:bottom w:val="nil"/>
              <w:right w:val="single" w:color="auto" w:sz="4" w:space="0"/>
            </w:tcBorders>
            <w:noWrap w:val="0"/>
            <w:vAlign w:val="center"/>
          </w:tcPr>
          <w:p w14:paraId="22A89E35">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采购货物（服务，工程）名称</w:t>
            </w:r>
          </w:p>
        </w:tc>
        <w:tc>
          <w:tcPr>
            <w:tcW w:w="2495" w:type="dxa"/>
            <w:tcBorders>
              <w:top w:val="single" w:color="auto" w:sz="4" w:space="0"/>
              <w:left w:val="nil"/>
              <w:bottom w:val="nil"/>
              <w:right w:val="single" w:color="auto" w:sz="4" w:space="0"/>
            </w:tcBorders>
            <w:noWrap w:val="0"/>
            <w:vAlign w:val="center"/>
          </w:tcPr>
          <w:p w14:paraId="6742F2B3">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1613" w:type="dxa"/>
            <w:gridSpan w:val="2"/>
            <w:tcBorders>
              <w:top w:val="single" w:color="auto" w:sz="4" w:space="0"/>
              <w:left w:val="nil"/>
              <w:bottom w:val="nil"/>
              <w:right w:val="single" w:color="auto" w:sz="4" w:space="0"/>
            </w:tcBorders>
            <w:noWrap w:val="0"/>
            <w:vAlign w:val="center"/>
          </w:tcPr>
          <w:p w14:paraId="74D0E2FB">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459" w:type="dxa"/>
            <w:tcBorders>
              <w:top w:val="single" w:color="auto" w:sz="4" w:space="0"/>
              <w:left w:val="nil"/>
              <w:bottom w:val="nil"/>
              <w:right w:val="single" w:color="auto" w:sz="4" w:space="0"/>
            </w:tcBorders>
            <w:noWrap w:val="0"/>
            <w:vAlign w:val="center"/>
          </w:tcPr>
          <w:p w14:paraId="70B9FAD5">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核定总价</w:t>
            </w:r>
          </w:p>
        </w:tc>
        <w:tc>
          <w:tcPr>
            <w:tcW w:w="1332" w:type="dxa"/>
            <w:tcBorders>
              <w:top w:val="single" w:color="auto" w:sz="4" w:space="0"/>
              <w:left w:val="nil"/>
              <w:bottom w:val="single" w:color="auto" w:sz="4" w:space="0"/>
              <w:right w:val="single" w:color="auto" w:sz="4" w:space="0"/>
            </w:tcBorders>
            <w:noWrap w:val="0"/>
            <w:vAlign w:val="center"/>
          </w:tcPr>
          <w:p w14:paraId="194A418B">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验收意见</w:t>
            </w:r>
          </w:p>
        </w:tc>
      </w:tr>
      <w:tr w14:paraId="73DCE48E">
        <w:trPr>
          <w:trHeight w:val="114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77AE20EC">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2495" w:type="dxa"/>
            <w:tcBorders>
              <w:top w:val="single" w:color="auto" w:sz="4" w:space="0"/>
              <w:left w:val="nil"/>
              <w:bottom w:val="single" w:color="auto" w:sz="4" w:space="0"/>
              <w:right w:val="single" w:color="auto" w:sz="4" w:space="0"/>
            </w:tcBorders>
            <w:noWrap w:val="0"/>
            <w:vAlign w:val="center"/>
          </w:tcPr>
          <w:p w14:paraId="6B60317C">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613" w:type="dxa"/>
            <w:gridSpan w:val="2"/>
            <w:tcBorders>
              <w:top w:val="single" w:color="auto" w:sz="4" w:space="0"/>
              <w:left w:val="nil"/>
              <w:bottom w:val="single" w:color="auto" w:sz="4" w:space="0"/>
              <w:right w:val="single" w:color="auto" w:sz="4" w:space="0"/>
            </w:tcBorders>
            <w:noWrap w:val="0"/>
            <w:vAlign w:val="center"/>
          </w:tcPr>
          <w:p w14:paraId="5B54688F">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459" w:type="dxa"/>
            <w:tcBorders>
              <w:top w:val="single" w:color="auto" w:sz="4" w:space="0"/>
              <w:left w:val="nil"/>
              <w:bottom w:val="single" w:color="auto" w:sz="4" w:space="0"/>
              <w:right w:val="single" w:color="auto" w:sz="4" w:space="0"/>
            </w:tcBorders>
            <w:noWrap w:val="0"/>
            <w:vAlign w:val="center"/>
          </w:tcPr>
          <w:p w14:paraId="01B4FC38">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332" w:type="dxa"/>
            <w:tcBorders>
              <w:top w:val="nil"/>
              <w:left w:val="nil"/>
              <w:bottom w:val="single" w:color="auto" w:sz="4" w:space="0"/>
              <w:right w:val="single" w:color="auto" w:sz="4" w:space="0"/>
            </w:tcBorders>
            <w:noWrap w:val="0"/>
            <w:vAlign w:val="bottom"/>
          </w:tcPr>
          <w:p w14:paraId="058C6386">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66F5C40B">
        <w:trPr>
          <w:trHeight w:val="1150" w:hRule="atLeast"/>
          <w:jc w:val="center"/>
        </w:trPr>
        <w:tc>
          <w:tcPr>
            <w:tcW w:w="2386" w:type="dxa"/>
            <w:tcBorders>
              <w:top w:val="nil"/>
              <w:left w:val="single" w:color="auto" w:sz="4" w:space="0"/>
              <w:bottom w:val="single" w:color="auto" w:sz="4" w:space="0"/>
              <w:right w:val="single" w:color="auto" w:sz="4" w:space="0"/>
            </w:tcBorders>
            <w:noWrap w:val="0"/>
            <w:vAlign w:val="center"/>
          </w:tcPr>
          <w:p w14:paraId="261F6B1D">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合计总价款（人民币）</w:t>
            </w:r>
          </w:p>
        </w:tc>
        <w:tc>
          <w:tcPr>
            <w:tcW w:w="6899" w:type="dxa"/>
            <w:gridSpan w:val="5"/>
            <w:tcBorders>
              <w:top w:val="nil"/>
              <w:left w:val="nil"/>
              <w:bottom w:val="single" w:color="auto" w:sz="4" w:space="0"/>
              <w:right w:val="single" w:color="000000" w:sz="4" w:space="0"/>
            </w:tcBorders>
            <w:noWrap w:val="0"/>
            <w:vAlign w:val="center"/>
          </w:tcPr>
          <w:p w14:paraId="7C3D1532">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c>
      </w:tr>
      <w:tr w14:paraId="1B7C4A16">
        <w:trPr>
          <w:trHeight w:val="1058" w:hRule="atLeast"/>
          <w:jc w:val="center"/>
        </w:trPr>
        <w:tc>
          <w:tcPr>
            <w:tcW w:w="2386" w:type="dxa"/>
            <w:tcBorders>
              <w:top w:val="nil"/>
              <w:left w:val="single" w:color="auto" w:sz="4" w:space="0"/>
              <w:bottom w:val="nil"/>
              <w:right w:val="nil"/>
            </w:tcBorders>
            <w:noWrap w:val="0"/>
            <w:vAlign w:val="bottom"/>
          </w:tcPr>
          <w:p w14:paraId="10E0AFD9">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供货单位（盖章）：</w:t>
            </w:r>
          </w:p>
        </w:tc>
        <w:tc>
          <w:tcPr>
            <w:tcW w:w="3363" w:type="dxa"/>
            <w:gridSpan w:val="2"/>
            <w:tcBorders>
              <w:top w:val="nil"/>
              <w:left w:val="nil"/>
              <w:bottom w:val="nil"/>
              <w:right w:val="nil"/>
            </w:tcBorders>
            <w:noWrap w:val="0"/>
            <w:vAlign w:val="bottom"/>
          </w:tcPr>
          <w:p w14:paraId="5AC4CB2C">
            <w:pPr>
              <w:widowControl/>
              <w:snapToGrid w:val="0"/>
              <w:spacing w:line="360" w:lineRule="auto"/>
              <w:ind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采购人（盖章）:</w:t>
            </w:r>
          </w:p>
        </w:tc>
        <w:tc>
          <w:tcPr>
            <w:tcW w:w="3536" w:type="dxa"/>
            <w:gridSpan w:val="3"/>
            <w:tcBorders>
              <w:top w:val="nil"/>
              <w:left w:val="nil"/>
              <w:bottom w:val="nil"/>
              <w:right w:val="single" w:color="auto" w:sz="4" w:space="0"/>
            </w:tcBorders>
            <w:noWrap w:val="0"/>
            <w:vAlign w:val="bottom"/>
          </w:tcPr>
          <w:p w14:paraId="18AA11BB">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42CEE454">
        <w:trPr>
          <w:trHeight w:val="806" w:hRule="atLeast"/>
          <w:jc w:val="center"/>
        </w:trPr>
        <w:tc>
          <w:tcPr>
            <w:tcW w:w="2386" w:type="dxa"/>
            <w:tcBorders>
              <w:top w:val="nil"/>
              <w:left w:val="single" w:color="auto" w:sz="4" w:space="0"/>
              <w:bottom w:val="nil"/>
              <w:right w:val="nil"/>
            </w:tcBorders>
            <w:noWrap w:val="0"/>
            <w:vAlign w:val="bottom"/>
          </w:tcPr>
          <w:p w14:paraId="5CC7B536">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经办项目负责人：</w:t>
            </w:r>
          </w:p>
        </w:tc>
        <w:tc>
          <w:tcPr>
            <w:tcW w:w="3363" w:type="dxa"/>
            <w:gridSpan w:val="2"/>
            <w:tcBorders>
              <w:top w:val="nil"/>
              <w:left w:val="nil"/>
              <w:bottom w:val="nil"/>
              <w:right w:val="nil"/>
            </w:tcBorders>
            <w:noWrap w:val="0"/>
            <w:vAlign w:val="bottom"/>
          </w:tcPr>
          <w:p w14:paraId="48375638">
            <w:pPr>
              <w:widowControl/>
              <w:snapToGrid w:val="0"/>
              <w:spacing w:line="360" w:lineRule="auto"/>
              <w:ind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项目验收组组长：</w:t>
            </w:r>
          </w:p>
        </w:tc>
        <w:tc>
          <w:tcPr>
            <w:tcW w:w="3536" w:type="dxa"/>
            <w:gridSpan w:val="3"/>
            <w:tcBorders>
              <w:top w:val="nil"/>
              <w:left w:val="nil"/>
              <w:bottom w:val="nil"/>
              <w:right w:val="single" w:color="auto" w:sz="4" w:space="0"/>
            </w:tcBorders>
            <w:noWrap w:val="0"/>
            <w:vAlign w:val="bottom"/>
          </w:tcPr>
          <w:p w14:paraId="7B62D3D0">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0A0E6036">
        <w:trPr>
          <w:trHeight w:val="806" w:hRule="atLeast"/>
          <w:jc w:val="center"/>
        </w:trPr>
        <w:tc>
          <w:tcPr>
            <w:tcW w:w="2386" w:type="dxa"/>
            <w:tcBorders>
              <w:top w:val="nil"/>
              <w:left w:val="single" w:color="auto" w:sz="4" w:space="0"/>
              <w:bottom w:val="nil"/>
              <w:right w:val="nil"/>
            </w:tcBorders>
            <w:noWrap w:val="0"/>
            <w:vAlign w:val="bottom"/>
          </w:tcPr>
          <w:p w14:paraId="789DD21B">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3363" w:type="dxa"/>
            <w:gridSpan w:val="2"/>
            <w:tcBorders>
              <w:top w:val="nil"/>
              <w:left w:val="nil"/>
              <w:bottom w:val="nil"/>
              <w:right w:val="nil"/>
            </w:tcBorders>
            <w:noWrap w:val="0"/>
            <w:vAlign w:val="bottom"/>
          </w:tcPr>
          <w:p w14:paraId="1AEEA540">
            <w:pPr>
              <w:widowControl/>
              <w:snapToGrid w:val="0"/>
              <w:spacing w:line="360" w:lineRule="auto"/>
              <w:ind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联系电话：</w:t>
            </w:r>
          </w:p>
        </w:tc>
        <w:tc>
          <w:tcPr>
            <w:tcW w:w="3536" w:type="dxa"/>
            <w:gridSpan w:val="3"/>
            <w:tcBorders>
              <w:top w:val="nil"/>
              <w:left w:val="nil"/>
              <w:bottom w:val="nil"/>
              <w:right w:val="single" w:color="auto" w:sz="4" w:space="0"/>
            </w:tcBorders>
            <w:noWrap w:val="0"/>
            <w:vAlign w:val="bottom"/>
          </w:tcPr>
          <w:p w14:paraId="364D1570">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62A61744">
        <w:trPr>
          <w:trHeight w:val="828" w:hRule="atLeast"/>
          <w:jc w:val="center"/>
        </w:trPr>
        <w:tc>
          <w:tcPr>
            <w:tcW w:w="2386" w:type="dxa"/>
            <w:tcBorders>
              <w:top w:val="nil"/>
              <w:left w:val="single" w:color="auto" w:sz="4" w:space="0"/>
              <w:bottom w:val="nil"/>
              <w:right w:val="nil"/>
            </w:tcBorders>
            <w:noWrap w:val="0"/>
            <w:vAlign w:val="bottom"/>
          </w:tcPr>
          <w:p w14:paraId="0063B4DD">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6899" w:type="dxa"/>
            <w:gridSpan w:val="5"/>
            <w:tcBorders>
              <w:top w:val="nil"/>
              <w:left w:val="nil"/>
              <w:bottom w:val="nil"/>
              <w:right w:val="single" w:color="auto" w:sz="4" w:space="0"/>
            </w:tcBorders>
            <w:noWrap w:val="0"/>
            <w:vAlign w:val="bottom"/>
          </w:tcPr>
          <w:p w14:paraId="5FCBD2F8">
            <w:pPr>
              <w:widowControl/>
              <w:snapToGrid w:val="0"/>
              <w:spacing w:line="360" w:lineRule="auto"/>
              <w:ind w:right="-727" w:rightChars="-346"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项目验收组成员（签名）：</w:t>
            </w:r>
          </w:p>
        </w:tc>
      </w:tr>
      <w:tr w14:paraId="012D044B">
        <w:trPr>
          <w:trHeight w:val="1036" w:hRule="atLeast"/>
          <w:jc w:val="center"/>
        </w:trPr>
        <w:tc>
          <w:tcPr>
            <w:tcW w:w="2386" w:type="dxa"/>
            <w:tcBorders>
              <w:top w:val="nil"/>
              <w:left w:val="single" w:color="auto" w:sz="4" w:space="0"/>
              <w:bottom w:val="single" w:color="auto" w:sz="4" w:space="0"/>
              <w:right w:val="nil"/>
            </w:tcBorders>
            <w:noWrap w:val="0"/>
            <w:vAlign w:val="center"/>
          </w:tcPr>
          <w:p w14:paraId="32C519D6">
            <w:pPr>
              <w:widowControl/>
              <w:snapToGrid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tc>
        <w:tc>
          <w:tcPr>
            <w:tcW w:w="3363" w:type="dxa"/>
            <w:gridSpan w:val="2"/>
            <w:tcBorders>
              <w:top w:val="nil"/>
              <w:left w:val="nil"/>
              <w:bottom w:val="single" w:color="auto" w:sz="4" w:space="0"/>
              <w:right w:val="nil"/>
            </w:tcBorders>
            <w:noWrap w:val="0"/>
            <w:vAlign w:val="bottom"/>
          </w:tcPr>
          <w:p w14:paraId="29C829AB">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3536" w:type="dxa"/>
            <w:gridSpan w:val="3"/>
            <w:tcBorders>
              <w:top w:val="nil"/>
              <w:left w:val="nil"/>
              <w:bottom w:val="single" w:color="auto" w:sz="4" w:space="0"/>
              <w:right w:val="single" w:color="000000" w:sz="4" w:space="0"/>
            </w:tcBorders>
            <w:noWrap w:val="0"/>
            <w:vAlign w:val="center"/>
          </w:tcPr>
          <w:p w14:paraId="27E754B2">
            <w:pPr>
              <w:widowControl/>
              <w:snapToGrid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验收时间：   年   月   日</w:t>
            </w:r>
          </w:p>
        </w:tc>
      </w:tr>
      <w:tr w14:paraId="73BC2164">
        <w:trPr>
          <w:trHeight w:val="531" w:hRule="atLeast"/>
          <w:jc w:val="center"/>
        </w:trPr>
        <w:tc>
          <w:tcPr>
            <w:tcW w:w="9285" w:type="dxa"/>
            <w:gridSpan w:val="6"/>
            <w:tcBorders>
              <w:top w:val="single" w:color="auto" w:sz="4" w:space="0"/>
              <w:left w:val="nil"/>
              <w:bottom w:val="nil"/>
              <w:right w:val="nil"/>
            </w:tcBorders>
            <w:noWrap w:val="0"/>
            <w:vAlign w:val="center"/>
          </w:tcPr>
          <w:p w14:paraId="76CCBDC4">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本单一式四联：第一联采购人留存，第二联作为财政支付凭证，第三联供货单位留存，第四联采购办存档备查。</w:t>
            </w:r>
          </w:p>
        </w:tc>
      </w:tr>
    </w:tbl>
    <w:p w14:paraId="47474440">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br w:type="page"/>
      </w:r>
    </w:p>
    <w:p w14:paraId="17C81997">
      <w:pPr>
        <w:pStyle w:val="3"/>
        <w:bidi w:val="0"/>
        <w:rPr>
          <w:rFonts w:hint="eastAsia" w:ascii="宋体" w:hAnsi="宋体" w:eastAsia="宋体" w:cs="宋体"/>
          <w:color w:val="auto"/>
          <w:highlight w:val="none"/>
        </w:rPr>
      </w:pPr>
      <w:bookmarkStart w:id="25" w:name="_Toc1200590595"/>
      <w:bookmarkStart w:id="26" w:name="_Hlk125843013"/>
      <w:r>
        <w:rPr>
          <w:rFonts w:hint="eastAsia" w:ascii="宋体" w:hAnsi="宋体" w:eastAsia="宋体" w:cs="宋体"/>
          <w:color w:val="auto"/>
          <w:highlight w:val="none"/>
        </w:rPr>
        <w:t>第六部分  应提交的有关格式范例</w:t>
      </w:r>
      <w:bookmarkEnd w:id="25"/>
    </w:p>
    <w:p w14:paraId="61261379">
      <w:pPr>
        <w:spacing w:line="360" w:lineRule="auto"/>
        <w:jc w:val="center"/>
        <w:rPr>
          <w:rFonts w:hint="eastAsia" w:ascii="宋体" w:hAnsi="宋体" w:eastAsia="宋体" w:cs="宋体"/>
          <w:b/>
          <w:color w:val="auto"/>
          <w:kern w:val="0"/>
          <w:sz w:val="36"/>
          <w:szCs w:val="36"/>
          <w:highlight w:val="none"/>
        </w:rPr>
      </w:pPr>
    </w:p>
    <w:p w14:paraId="090E182C">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9B76681">
      <w:pPr>
        <w:spacing w:line="360" w:lineRule="auto"/>
        <w:jc w:val="center"/>
        <w:rPr>
          <w:rFonts w:hint="eastAsia" w:ascii="宋体" w:hAnsi="宋体" w:eastAsia="宋体" w:cs="宋体"/>
          <w:b/>
          <w:color w:val="auto"/>
          <w:kern w:val="0"/>
          <w:sz w:val="36"/>
          <w:szCs w:val="36"/>
          <w:highlight w:val="none"/>
        </w:rPr>
      </w:pPr>
    </w:p>
    <w:p w14:paraId="444F8105">
      <w:pPr>
        <w:spacing w:line="360" w:lineRule="auto"/>
        <w:jc w:val="center"/>
        <w:outlineLvl w:val="2"/>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59B919C">
      <w:pPr>
        <w:spacing w:line="360" w:lineRule="auto"/>
        <w:jc w:val="center"/>
        <w:rPr>
          <w:rFonts w:hint="eastAsia" w:ascii="宋体" w:hAnsi="宋体" w:eastAsia="宋体" w:cs="宋体"/>
          <w:b/>
          <w:color w:val="auto"/>
          <w:kern w:val="0"/>
          <w:sz w:val="36"/>
          <w:szCs w:val="36"/>
          <w:highlight w:val="none"/>
        </w:rPr>
      </w:pPr>
    </w:p>
    <w:bookmarkEnd w:id="26"/>
    <w:p w14:paraId="652BD6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BB1FC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（2）供应商（联合体参加的指联合体双方）的营业执照或者其他由国家相关部门出具的具有独立承担民事责任能力的证明文件………………………………………（页码）</w:t>
      </w:r>
    </w:p>
    <w:p w14:paraId="7A144E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（3）联合协议（联合体参加的供）…………………………………………（页码）</w:t>
      </w:r>
    </w:p>
    <w:p w14:paraId="4E2091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（4）落实政府采购政策需满足的资格要求…………………………………（页码）</w:t>
      </w:r>
    </w:p>
    <w:p w14:paraId="784D0E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（5）本项目的特定资格要求…………………………………………………（页码）</w:t>
      </w:r>
    </w:p>
    <w:p w14:paraId="5EB8FF80">
      <w:pPr>
        <w:spacing w:line="360" w:lineRule="auto"/>
        <w:ind w:firstLine="480" w:firstLineChars="200"/>
        <w:rPr>
          <w:rFonts w:hint="eastAsia" w:ascii="宋体" w:hAnsi="宋体" w:eastAsia="宋体" w:cs="宋体"/>
          <w:color w:val="auto"/>
          <w:sz w:val="24"/>
          <w:highlight w:val="none"/>
        </w:rPr>
      </w:pPr>
    </w:p>
    <w:p w14:paraId="21ABE0A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2FBB19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嘉兴市体育彩票管理服务中心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嘉兴市银建工程咨询评估有限公司</w:t>
      </w:r>
      <w:r>
        <w:rPr>
          <w:rFonts w:hint="eastAsia" w:ascii="宋体" w:hAnsi="宋体" w:eastAsia="宋体" w:cs="宋体"/>
          <w:color w:val="auto"/>
          <w:sz w:val="24"/>
          <w:highlight w:val="none"/>
        </w:rPr>
        <w:t>：</w:t>
      </w:r>
    </w:p>
    <w:p w14:paraId="66B595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eastAsia="zh-CN"/>
        </w:rPr>
        <w:t>嘉兴市体育彩票管理服务中心2025年嘉兴体彩品牌公益推广系列活动项目</w:t>
      </w:r>
      <w:r>
        <w:rPr>
          <w:rFonts w:hint="eastAsia" w:ascii="宋体" w:hAnsi="宋体" w:eastAsia="宋体" w:cs="宋体"/>
          <w:color w:val="auto"/>
          <w:sz w:val="24"/>
          <w:highlight w:val="none"/>
          <w:u w:val="single"/>
        </w:rPr>
        <w:t>【招标编号：</w:t>
      </w:r>
      <w:r>
        <w:rPr>
          <w:rFonts w:hint="eastAsia" w:ascii="宋体" w:hAnsi="宋体" w:eastAsia="宋体" w:cs="宋体"/>
          <w:color w:val="auto"/>
          <w:sz w:val="24"/>
          <w:highlight w:val="none"/>
          <w:u w:val="single"/>
          <w:lang w:eastAsia="zh-CN"/>
        </w:rPr>
        <w:t>JXYJY-2025-10</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19995C3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0A7AB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06608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9AC17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A8AFB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A5B24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C7FE8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5CF4D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58E25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E0D39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B7DD9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5E0AD12">
      <w:pPr>
        <w:snapToGrid w:val="0"/>
        <w:spacing w:line="360" w:lineRule="auto"/>
        <w:ind w:firstLine="480" w:firstLineChars="200"/>
        <w:rPr>
          <w:rFonts w:hint="eastAsia" w:ascii="宋体" w:hAnsi="宋体" w:eastAsia="宋体" w:cs="宋体"/>
          <w:color w:val="auto"/>
          <w:sz w:val="24"/>
          <w:highlight w:val="none"/>
        </w:rPr>
      </w:pPr>
    </w:p>
    <w:p w14:paraId="7A1A7631">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6E74FA13">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109166">
      <w:pPr>
        <w:snapToGrid w:val="0"/>
        <w:spacing w:line="360" w:lineRule="auto"/>
        <w:ind w:right="480"/>
        <w:jc w:val="center"/>
        <w:rPr>
          <w:rFonts w:hint="eastAsia" w:ascii="宋体" w:hAnsi="宋体" w:eastAsia="宋体" w:cs="宋体"/>
          <w:b/>
          <w:color w:val="auto"/>
          <w:kern w:val="0"/>
          <w:sz w:val="32"/>
          <w:szCs w:val="32"/>
          <w:highlight w:val="none"/>
        </w:rPr>
      </w:pPr>
    </w:p>
    <w:p w14:paraId="5CCEFF61">
      <w:pPr>
        <w:snapToGrid w:val="0"/>
        <w:spacing w:line="360" w:lineRule="auto"/>
        <w:ind w:right="480"/>
        <w:jc w:val="center"/>
        <w:rPr>
          <w:rFonts w:hint="eastAsia" w:ascii="宋体" w:hAnsi="宋体" w:eastAsia="宋体" w:cs="宋体"/>
          <w:b/>
          <w:color w:val="auto"/>
          <w:kern w:val="0"/>
          <w:sz w:val="32"/>
          <w:szCs w:val="32"/>
          <w:highlight w:val="none"/>
        </w:rPr>
      </w:pPr>
    </w:p>
    <w:p w14:paraId="45B6625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备注：联合体投标的，联合体成员均应提供。非牵头人可提供加盖单位公章的原件扫描件。</w:t>
      </w:r>
      <w:r>
        <w:rPr>
          <w:rFonts w:hint="eastAsia" w:ascii="宋体" w:hAnsi="宋体" w:eastAsia="宋体" w:cs="宋体"/>
          <w:b/>
          <w:color w:val="auto"/>
          <w:kern w:val="0"/>
          <w:sz w:val="32"/>
          <w:szCs w:val="32"/>
          <w:highlight w:val="none"/>
        </w:rPr>
        <w:br w:type="page"/>
      </w:r>
    </w:p>
    <w:p w14:paraId="072E6B82">
      <w:pPr>
        <w:snapToGrid w:val="0"/>
        <w:spacing w:line="360" w:lineRule="auto"/>
        <w:jc w:val="center"/>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二、供应商（联合体参加的指联合体双方）的营业执照或者其他由国家相关部门出具的具有独立承担民事责任能力的证明文件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02642EF9">
        <w:trPr>
          <w:trHeight w:val="2576" w:hRule="atLeast"/>
        </w:trPr>
        <w:tc>
          <w:tcPr>
            <w:tcW w:w="9400" w:type="dxa"/>
            <w:vAlign w:val="center"/>
          </w:tcPr>
          <w:p w14:paraId="0C45DBBE">
            <w:pPr>
              <w:widowControl w:val="0"/>
              <w:bidi w:val="0"/>
              <w:spacing w:line="360" w:lineRule="auto"/>
              <w:ind w:left="0" w:leftChars="0" w:right="0" w:rightChars="0" w:firstLine="0" w:firstLineChars="0"/>
              <w:jc w:val="center"/>
              <w:rPr>
                <w:rFonts w:hint="eastAsia" w:ascii="宋体" w:hAnsi="宋体" w:eastAsia="宋体" w:cs="宋体"/>
                <w:color w:val="auto"/>
                <w:kern w:val="0"/>
                <w:highlight w:val="none"/>
                <w:vertAlign w:val="baseline"/>
                <w:lang w:val="en-US" w:eastAsia="zh-CN" w:bidi="ar-SA"/>
              </w:rPr>
            </w:pPr>
            <w:r>
              <w:rPr>
                <w:rFonts w:hint="eastAsia" w:ascii="宋体" w:hAnsi="宋体" w:eastAsia="宋体" w:cs="宋体"/>
                <w:color w:val="auto"/>
                <w:kern w:val="0"/>
                <w:highlight w:val="none"/>
                <w:vertAlign w:val="baseline"/>
                <w:lang w:val="en-US" w:eastAsia="zh-CN" w:bidi="ar-SA"/>
              </w:rPr>
              <w:t>提供证明文件的扫描件或电子证照（加盖公章）</w:t>
            </w:r>
          </w:p>
        </w:tc>
      </w:tr>
    </w:tbl>
    <w:p w14:paraId="61C531D5">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注：①如投标人是企业（包括合伙企业），提供在工商部门注册的有效“企业法人营业执照”或“营业执照”；</w:t>
      </w:r>
    </w:p>
    <w:p w14:paraId="19E91FF6">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②如投标人是事业单位，提供有效的“事业单位法人证书”；</w:t>
      </w:r>
    </w:p>
    <w:p w14:paraId="5BCD6D3F">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③如投标人是非企业专业服务机构的，提供执业许可证等证明文件；</w:t>
      </w:r>
    </w:p>
    <w:p w14:paraId="3DD47534">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④如投标人是个体工商户，提供有效的“个体工商户营业执照”；</w:t>
      </w:r>
    </w:p>
    <w:p w14:paraId="6F5D51B8">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⑤如投标人是自然人，提供有效的自然人身份证明（居民身份证正反面或公安机关出具的临时居民身份证正反面或港澳台胞证或护照）。</w:t>
      </w:r>
    </w:p>
    <w:p w14:paraId="79CA2670">
      <w:pPr>
        <w:widowControl/>
        <w:adjustRightInd/>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26131A6">
      <w:pPr>
        <w:snapToGrid w:val="0"/>
        <w:spacing w:line="360" w:lineRule="auto"/>
        <w:jc w:val="both"/>
        <w:outlineLvl w:val="2"/>
        <w:rPr>
          <w:rFonts w:hint="eastAsia" w:ascii="宋体" w:hAnsi="宋体" w:eastAsia="宋体" w:cs="宋体"/>
          <w:b/>
          <w:color w:val="auto"/>
          <w:kern w:val="0"/>
          <w:sz w:val="32"/>
          <w:szCs w:val="32"/>
          <w:highlight w:val="none"/>
        </w:rPr>
      </w:pPr>
    </w:p>
    <w:p w14:paraId="65E045BC">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、联合协议（联合体参加的提供）</w:t>
      </w:r>
    </w:p>
    <w:p w14:paraId="432C6C71">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）；本项目不接受联合体投标或者投标人不以联合体形式投标的，则不需要提供）]</w:t>
      </w:r>
    </w:p>
    <w:p w14:paraId="46443343">
      <w:pPr>
        <w:widowControl/>
        <w:spacing w:line="360" w:lineRule="auto"/>
        <w:ind w:left="150"/>
        <w:jc w:val="center"/>
        <w:rPr>
          <w:rFonts w:hint="eastAsia" w:ascii="宋体" w:hAnsi="宋体" w:eastAsia="宋体" w:cs="宋体"/>
          <w:b/>
          <w:color w:val="auto"/>
          <w:kern w:val="0"/>
          <w:sz w:val="32"/>
          <w:szCs w:val="32"/>
          <w:highlight w:val="none"/>
        </w:rPr>
      </w:pPr>
    </w:p>
    <w:p w14:paraId="4A676FEC">
      <w:pPr>
        <w:widowControl/>
        <w:spacing w:line="360" w:lineRule="auto"/>
        <w:ind w:left="150"/>
        <w:jc w:val="center"/>
        <w:rPr>
          <w:rFonts w:hint="eastAsia" w:ascii="宋体" w:hAnsi="宋体" w:eastAsia="宋体" w:cs="宋体"/>
          <w:b/>
          <w:color w:val="auto"/>
          <w:kern w:val="0"/>
          <w:sz w:val="32"/>
          <w:szCs w:val="32"/>
          <w:highlight w:val="none"/>
        </w:rPr>
      </w:pPr>
    </w:p>
    <w:p w14:paraId="3FDD3EED">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、落实政府采购政策需满足的资格要求</w:t>
      </w:r>
    </w:p>
    <w:p w14:paraId="578033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543854C">
      <w:pPr>
        <w:snapToGrid w:val="0"/>
        <w:spacing w:before="50" w:after="50" w:line="360" w:lineRule="auto"/>
        <w:ind w:firstLine="471"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A.专门面向中小企业，服务全部由符合政策要求的中小企业（或小微企业）承接的，提供相应的中小企业声明函（附件</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 xml:space="preserve">）。 </w:t>
      </w:r>
    </w:p>
    <w:p w14:paraId="140CC787">
      <w:pPr>
        <w:widowControl/>
        <w:spacing w:line="360" w:lineRule="auto"/>
        <w:ind w:left="150"/>
        <w:jc w:val="center"/>
        <w:rPr>
          <w:rFonts w:hint="eastAsia" w:ascii="宋体" w:hAnsi="宋体" w:eastAsia="宋体" w:cs="宋体"/>
          <w:b/>
          <w:color w:val="auto"/>
          <w:kern w:val="0"/>
          <w:sz w:val="32"/>
          <w:szCs w:val="32"/>
          <w:highlight w:val="none"/>
        </w:rPr>
      </w:pPr>
    </w:p>
    <w:p w14:paraId="380B7F72">
      <w:pPr>
        <w:widowControl/>
        <w:spacing w:line="360" w:lineRule="auto"/>
        <w:ind w:firstLine="471"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0A3DEFD">
      <w:pPr>
        <w:widowControl/>
        <w:spacing w:line="360" w:lineRule="auto"/>
        <w:ind w:left="150"/>
        <w:jc w:val="center"/>
        <w:rPr>
          <w:rFonts w:hint="eastAsia" w:ascii="宋体" w:hAnsi="宋体" w:eastAsia="宋体" w:cs="宋体"/>
          <w:b/>
          <w:color w:val="auto"/>
          <w:kern w:val="0"/>
          <w:sz w:val="32"/>
          <w:szCs w:val="32"/>
          <w:highlight w:val="none"/>
        </w:rPr>
      </w:pPr>
    </w:p>
    <w:p w14:paraId="23A19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72002B9">
      <w:pPr>
        <w:widowControl/>
        <w:spacing w:line="360" w:lineRule="auto"/>
        <w:ind w:left="150"/>
        <w:jc w:val="center"/>
        <w:rPr>
          <w:rFonts w:hint="eastAsia" w:ascii="宋体" w:hAnsi="宋体" w:eastAsia="宋体" w:cs="宋体"/>
          <w:b/>
          <w:color w:val="auto"/>
          <w:kern w:val="0"/>
          <w:sz w:val="32"/>
          <w:szCs w:val="32"/>
          <w:highlight w:val="none"/>
        </w:rPr>
      </w:pPr>
    </w:p>
    <w:p w14:paraId="3E249B28">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、本项目的特定资格要求</w:t>
      </w:r>
    </w:p>
    <w:p w14:paraId="377435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F9BF75F">
      <w:pPr>
        <w:widowControl/>
        <w:spacing w:line="360" w:lineRule="auto"/>
        <w:ind w:left="150"/>
        <w:jc w:val="center"/>
        <w:rPr>
          <w:rFonts w:hint="eastAsia" w:ascii="宋体" w:hAnsi="宋体" w:eastAsia="宋体" w:cs="宋体"/>
          <w:b/>
          <w:color w:val="auto"/>
          <w:kern w:val="0"/>
          <w:sz w:val="32"/>
          <w:szCs w:val="32"/>
          <w:highlight w:val="none"/>
        </w:rPr>
      </w:pPr>
    </w:p>
    <w:p w14:paraId="653404A6">
      <w:pPr>
        <w:widowControl/>
        <w:spacing w:line="360" w:lineRule="auto"/>
        <w:ind w:left="150"/>
        <w:jc w:val="center"/>
        <w:rPr>
          <w:rFonts w:hint="eastAsia" w:ascii="宋体" w:hAnsi="宋体" w:eastAsia="宋体" w:cs="宋体"/>
          <w:b/>
          <w:color w:val="auto"/>
          <w:kern w:val="0"/>
          <w:sz w:val="32"/>
          <w:szCs w:val="32"/>
          <w:highlight w:val="none"/>
        </w:rPr>
      </w:pPr>
    </w:p>
    <w:p w14:paraId="5A5DDED8">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9DF4B2A">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FF2B4FF">
      <w:pPr>
        <w:spacing w:line="360" w:lineRule="auto"/>
        <w:jc w:val="center"/>
        <w:rPr>
          <w:rFonts w:hint="eastAsia" w:ascii="宋体" w:hAnsi="宋体" w:eastAsia="宋体" w:cs="宋体"/>
          <w:b/>
          <w:color w:val="auto"/>
          <w:kern w:val="0"/>
          <w:sz w:val="24"/>
          <w:highlight w:val="none"/>
        </w:rPr>
      </w:pPr>
    </w:p>
    <w:p w14:paraId="4FB10691">
      <w:pPr>
        <w:spacing w:line="360" w:lineRule="auto"/>
        <w:jc w:val="center"/>
        <w:outlineLvl w:val="2"/>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5E1EBFA">
      <w:pPr>
        <w:spacing w:line="360" w:lineRule="auto"/>
        <w:jc w:val="center"/>
        <w:rPr>
          <w:rFonts w:hint="eastAsia" w:ascii="宋体" w:hAnsi="宋体" w:eastAsia="宋体" w:cs="宋体"/>
          <w:b/>
          <w:color w:val="auto"/>
          <w:kern w:val="0"/>
          <w:sz w:val="36"/>
          <w:szCs w:val="36"/>
          <w:highlight w:val="none"/>
        </w:rPr>
      </w:pPr>
    </w:p>
    <w:p w14:paraId="724FC0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w:t>
      </w:r>
    </w:p>
    <w:p w14:paraId="4972124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15EC9A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7A5B0DF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3E416C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w:t>
      </w:r>
    </w:p>
    <w:p w14:paraId="204766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（6）投标标的清单…………………………………………………………………（页码）</w:t>
      </w:r>
    </w:p>
    <w:p w14:paraId="373E3DF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（7）商务技术偏离表………………………………………………………………（页码）</w:t>
      </w:r>
    </w:p>
    <w:p w14:paraId="2DD1C5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（8）政府采购供应商廉洁自律承诺书……………………………………………（页码）</w:t>
      </w:r>
    </w:p>
    <w:p w14:paraId="0E552C6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（9）供应商认为有必要的其他内容………………………………………………（页码）</w:t>
      </w:r>
    </w:p>
    <w:p w14:paraId="478D9073">
      <w:pPr>
        <w:snapToGrid w:val="0"/>
        <w:spacing w:line="360" w:lineRule="auto"/>
        <w:jc w:val="center"/>
        <w:rPr>
          <w:rFonts w:hint="eastAsia" w:ascii="宋体" w:hAnsi="宋体" w:eastAsia="宋体" w:cs="宋体"/>
          <w:b/>
          <w:color w:val="auto"/>
          <w:kern w:val="0"/>
          <w:sz w:val="32"/>
          <w:szCs w:val="32"/>
          <w:highlight w:val="none"/>
        </w:rPr>
      </w:pPr>
    </w:p>
    <w:p w14:paraId="4E02FA6D">
      <w:pPr>
        <w:snapToGrid w:val="0"/>
        <w:spacing w:line="360" w:lineRule="auto"/>
        <w:jc w:val="center"/>
        <w:rPr>
          <w:rFonts w:hint="eastAsia" w:ascii="宋体" w:hAnsi="宋体" w:eastAsia="宋体" w:cs="宋体"/>
          <w:b/>
          <w:color w:val="auto"/>
          <w:kern w:val="0"/>
          <w:sz w:val="32"/>
          <w:szCs w:val="32"/>
          <w:highlight w:val="none"/>
          <w:lang w:val="zh-CN"/>
        </w:rPr>
      </w:pPr>
    </w:p>
    <w:p w14:paraId="61253BDF">
      <w:pPr>
        <w:snapToGrid w:val="0"/>
        <w:spacing w:line="360" w:lineRule="auto"/>
        <w:jc w:val="center"/>
        <w:rPr>
          <w:rFonts w:hint="eastAsia" w:ascii="宋体" w:hAnsi="宋体" w:eastAsia="宋体" w:cs="宋体"/>
          <w:b/>
          <w:color w:val="auto"/>
          <w:kern w:val="0"/>
          <w:sz w:val="32"/>
          <w:szCs w:val="32"/>
          <w:highlight w:val="none"/>
          <w:lang w:val="zh-CN"/>
        </w:rPr>
      </w:pPr>
    </w:p>
    <w:p w14:paraId="16AE81ED">
      <w:pPr>
        <w:snapToGrid w:val="0"/>
        <w:spacing w:line="360" w:lineRule="auto"/>
        <w:jc w:val="center"/>
        <w:rPr>
          <w:rFonts w:hint="eastAsia" w:ascii="宋体" w:hAnsi="宋体" w:eastAsia="宋体" w:cs="宋体"/>
          <w:b/>
          <w:color w:val="auto"/>
          <w:kern w:val="0"/>
          <w:sz w:val="32"/>
          <w:szCs w:val="32"/>
          <w:highlight w:val="none"/>
          <w:lang w:val="zh-CN"/>
        </w:rPr>
      </w:pPr>
    </w:p>
    <w:p w14:paraId="3C2F610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B2B3213">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一、投标函</w:t>
      </w:r>
    </w:p>
    <w:p w14:paraId="75D6F18C">
      <w:pPr>
        <w:keepNext w:val="0"/>
        <w:keepLines w:val="0"/>
        <w:pageBreakBefore w:val="0"/>
        <w:widowControl w:val="0"/>
        <w:kinsoku/>
        <w:wordWrap/>
        <w:overflowPunct/>
        <w:topLinePunct w:val="0"/>
        <w:autoSpaceDE/>
        <w:autoSpaceDN/>
        <w:bidi w:val="0"/>
        <w:adjustRightInd w:val="0"/>
        <w:snapToGrid w:val="0"/>
        <w:spacing w:line="34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嘉兴市体育彩票管理服务中心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嘉兴市银建工程咨询评估有限公司</w:t>
      </w:r>
      <w:r>
        <w:rPr>
          <w:rFonts w:hint="eastAsia" w:ascii="宋体" w:hAnsi="宋体" w:eastAsia="宋体" w:cs="宋体"/>
          <w:color w:val="auto"/>
          <w:sz w:val="21"/>
          <w:szCs w:val="21"/>
          <w:highlight w:val="none"/>
        </w:rPr>
        <w:t>：</w:t>
      </w:r>
    </w:p>
    <w:p w14:paraId="04FF60EF">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eastAsia="宋体" w:cs="宋体"/>
          <w:color w:val="auto"/>
          <w:sz w:val="21"/>
          <w:szCs w:val="21"/>
          <w:highlight w:val="none"/>
          <w:lang w:eastAsia="zh-CN"/>
        </w:rPr>
        <w:t>嘉兴市体育彩票管理服务中心2025年嘉兴体彩品牌公益推广系列活动项目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JXYJY-2025-10</w:t>
      </w:r>
      <w:r>
        <w:rPr>
          <w:rFonts w:hint="eastAsia" w:ascii="宋体" w:hAnsi="宋体" w:eastAsia="宋体" w:cs="宋体"/>
          <w:color w:val="auto"/>
          <w:sz w:val="21"/>
          <w:szCs w:val="21"/>
          <w:highlight w:val="none"/>
        </w:rPr>
        <w:t>】招标的有关活动，并对此项目进行投标。为此：</w:t>
      </w:r>
    </w:p>
    <w:p w14:paraId="4840C79A">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天（不少于90天），本投标文件在投标有效期满之前均具有约束力。</w:t>
      </w:r>
    </w:p>
    <w:p w14:paraId="40AA18C6">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14:paraId="32E9ED9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4037640F">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2.1.1符合参加政府采购活动应当具备的一般条件的承诺函；</w:t>
      </w:r>
    </w:p>
    <w:p w14:paraId="127477A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2.1.2供应商（联合体参加的指联合体双方）的营业执照或者其他由国家相关部门出具的具有独立承担民事责任能力的证明文件</w:t>
      </w:r>
      <w:r>
        <w:rPr>
          <w:rFonts w:hint="eastAsia" w:ascii="宋体" w:hAnsi="宋体" w:eastAsia="宋体" w:cs="宋体"/>
          <w:color w:val="auto"/>
          <w:sz w:val="21"/>
          <w:szCs w:val="21"/>
          <w:highlight w:val="none"/>
          <w:lang w:eastAsia="zh-CN"/>
        </w:rPr>
        <w:t>；</w:t>
      </w:r>
    </w:p>
    <w:p w14:paraId="1666C1C7">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r>
        <w:rPr>
          <w:rFonts w:hint="eastAsia" w:ascii="宋体" w:hAnsi="宋体" w:eastAsia="宋体" w:cs="宋体"/>
          <w:snapToGrid w:val="0"/>
          <w:color w:val="auto"/>
          <w:kern w:val="28"/>
          <w:sz w:val="21"/>
          <w:szCs w:val="21"/>
          <w:highlight w:val="none"/>
        </w:rPr>
        <w:t>联合协议</w:t>
      </w:r>
      <w:bookmarkStart w:id="27" w:name="_Hlk101257010"/>
      <w:r>
        <w:rPr>
          <w:rFonts w:hint="eastAsia" w:ascii="宋体" w:hAnsi="宋体" w:eastAsia="宋体" w:cs="宋体"/>
          <w:color w:val="auto"/>
          <w:sz w:val="21"/>
          <w:szCs w:val="21"/>
          <w:highlight w:val="none"/>
        </w:rPr>
        <w:t>（如果有)</w:t>
      </w:r>
      <w:bookmarkEnd w:id="27"/>
      <w:r>
        <w:rPr>
          <w:rFonts w:hint="eastAsia" w:ascii="宋体" w:hAnsi="宋体" w:eastAsia="宋体" w:cs="宋体"/>
          <w:snapToGrid w:val="0"/>
          <w:color w:val="auto"/>
          <w:kern w:val="28"/>
          <w:sz w:val="21"/>
          <w:szCs w:val="21"/>
          <w:highlight w:val="none"/>
        </w:rPr>
        <w:t>；</w:t>
      </w:r>
    </w:p>
    <w:p w14:paraId="3F2C021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落实政府采购政策需满足的资格要求（如果有）；</w:t>
      </w:r>
    </w:p>
    <w:p w14:paraId="001FA17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本项目的特定资格要求（如果有)。</w:t>
      </w:r>
    </w:p>
    <w:p w14:paraId="20BA2E9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57245C19">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2.2.1投标函；</w:t>
      </w:r>
      <w:r>
        <w:rPr>
          <w:rFonts w:hint="eastAsia" w:ascii="宋体" w:hAnsi="宋体" w:eastAsia="宋体" w:cs="宋体"/>
          <w:color w:val="auto"/>
          <w:sz w:val="21"/>
          <w:szCs w:val="21"/>
          <w:highlight w:val="none"/>
          <w:lang w:val="zh-CN"/>
        </w:rPr>
        <w:t xml:space="preserve"> </w:t>
      </w:r>
    </w:p>
    <w:p w14:paraId="446FAC45">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14:paraId="4721940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2.2.3分包意向协议（如果有)；</w:t>
      </w:r>
    </w:p>
    <w:p w14:paraId="64A6666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2.2.4符合性审查资料；</w:t>
      </w:r>
    </w:p>
    <w:p w14:paraId="60DA140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2.2.5评标标准相应的商务技术资料；</w:t>
      </w:r>
    </w:p>
    <w:p w14:paraId="26D5B76E">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2.2.6投标标的清单；</w:t>
      </w:r>
    </w:p>
    <w:p w14:paraId="48D12B40">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2.2.7商务技术偏离表；</w:t>
      </w:r>
    </w:p>
    <w:p w14:paraId="4A70C49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18BA7AF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2.2.9</w:t>
      </w:r>
      <w:r>
        <w:rPr>
          <w:rFonts w:hint="eastAsia" w:ascii="宋体" w:hAnsi="宋体" w:eastAsia="宋体" w:cs="宋体"/>
          <w:color w:val="auto"/>
          <w:sz w:val="21"/>
          <w:szCs w:val="21"/>
          <w:highlight w:val="none"/>
          <w:lang w:val="zh-CN"/>
        </w:rPr>
        <w:t>供应商认为有必要的其他内容</w:t>
      </w:r>
    </w:p>
    <w:p w14:paraId="6BFDCF2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356F99A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2.3.1开标一览表（报价表）；</w:t>
      </w:r>
    </w:p>
    <w:p w14:paraId="176FBC02">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2.3.2报价情况说明（如果有）</w:t>
      </w:r>
    </w:p>
    <w:p w14:paraId="6DFE499D">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2.3.2中小企业声明函（如果有）。</w:t>
      </w:r>
    </w:p>
    <w:p w14:paraId="51ACAAB8">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31561C40">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069BBAF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0535FE8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654723C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14:paraId="49C33B8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5B9E83BE">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2304DC">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p>
    <w:p w14:paraId="26FC03C9">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sz w:val="21"/>
          <w:szCs w:val="21"/>
          <w:highlight w:val="none"/>
        </w:rPr>
        <w:t>：  年   月   日</w:t>
      </w:r>
    </w:p>
    <w:p w14:paraId="5FE5ABD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3675" w:firstLineChars="1750"/>
        <w:textAlignment w:val="auto"/>
        <w:rPr>
          <w:rFonts w:hint="eastAsia" w:ascii="宋体" w:hAnsi="宋体" w:eastAsia="宋体" w:cs="宋体"/>
          <w:color w:val="auto"/>
          <w:kern w:val="0"/>
          <w:sz w:val="21"/>
          <w:szCs w:val="21"/>
          <w:highlight w:val="none"/>
          <w:u w:val="single"/>
        </w:rPr>
      </w:pPr>
    </w:p>
    <w:p w14:paraId="7A8241EB">
      <w:pPr>
        <w:keepNext w:val="0"/>
        <w:keepLines w:val="0"/>
        <w:pageBreakBefore w:val="0"/>
        <w:widowControl w:val="0"/>
        <w:kinsoku/>
        <w:wordWrap/>
        <w:overflowPunct/>
        <w:topLinePunct w:val="0"/>
        <w:autoSpaceDE/>
        <w:autoSpaceDN/>
        <w:bidi w:val="0"/>
        <w:adjustRightInd w:val="0"/>
        <w:snapToGrid w:val="0"/>
        <w:spacing w:line="340" w:lineRule="atLeast"/>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0DE7B18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F17003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二、授权委托书或法定代表人（单位负责人、自然人本人）身份证明</w:t>
      </w:r>
    </w:p>
    <w:p w14:paraId="2C747B05">
      <w:pPr>
        <w:snapToGrid w:val="0"/>
        <w:spacing w:line="360" w:lineRule="auto"/>
        <w:rPr>
          <w:rFonts w:hint="eastAsia" w:ascii="宋体" w:hAnsi="宋体" w:eastAsia="宋体" w:cs="宋体"/>
          <w:color w:val="auto"/>
          <w:sz w:val="24"/>
          <w:highlight w:val="none"/>
        </w:rPr>
      </w:pPr>
    </w:p>
    <w:p w14:paraId="38417466">
      <w:pPr>
        <w:snapToGrid w:val="0"/>
        <w:spacing w:before="50" w:after="50" w:line="360" w:lineRule="auto"/>
        <w:jc w:val="center"/>
        <w:outlineLvl w:val="3"/>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73F89B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嘉兴市体育彩票管理服务中心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嘉兴市银建工程咨询评估有限公司</w:t>
      </w:r>
      <w:r>
        <w:rPr>
          <w:rFonts w:hint="eastAsia" w:ascii="宋体" w:hAnsi="宋体" w:eastAsia="宋体" w:cs="宋体"/>
          <w:color w:val="auto"/>
          <w:kern w:val="0"/>
          <w:sz w:val="24"/>
          <w:highlight w:val="none"/>
          <w:lang w:val="zh-CN"/>
        </w:rPr>
        <w:t>：</w:t>
      </w:r>
    </w:p>
    <w:p w14:paraId="71C9F02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，所在单位：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嘉兴市体育彩票管理服务中心2025年嘉兴体彩品牌公益推广系列活动项目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JXYJY-2025-10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FEDEF7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BC6C108">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27CA9696">
      <w:pPr>
        <w:snapToGrid w:val="0"/>
        <w:spacing w:line="360" w:lineRule="auto"/>
        <w:ind w:left="4200" w:leftChars="2000"/>
        <w:jc w:val="left"/>
        <w:rPr>
          <w:rFonts w:hint="eastAsia" w:ascii="宋体" w:hAnsi="宋体" w:eastAsia="宋体" w:cs="宋体"/>
          <w:color w:val="auto"/>
          <w:kern w:val="0"/>
          <w:sz w:val="24"/>
          <w:highlight w:val="none"/>
        </w:rPr>
      </w:pPr>
      <w:bookmarkStart w:id="28" w:name="_Hlk125844109"/>
      <w:r>
        <w:rPr>
          <w:rFonts w:hint="eastAsia" w:ascii="宋体" w:hAnsi="宋体" w:eastAsia="宋体" w:cs="宋体"/>
          <w:color w:val="auto"/>
          <w:kern w:val="0"/>
          <w:sz w:val="24"/>
          <w:highlight w:val="none"/>
          <w:lang w:val="zh-CN"/>
        </w:rPr>
        <w:t>投标人名称(电子签名)：</w:t>
      </w:r>
    </w:p>
    <w:p w14:paraId="744C3D84">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签发日期：  年  月   日</w:t>
      </w:r>
    </w:p>
    <w:p w14:paraId="1F32BDCD">
      <w:pPr>
        <w:snapToGrid w:val="0"/>
        <w:spacing w:line="360" w:lineRule="auto"/>
        <w:rPr>
          <w:rFonts w:hint="eastAsia" w:ascii="宋体" w:hAnsi="宋体" w:eastAsia="宋体" w:cs="宋体"/>
          <w:color w:val="auto"/>
          <w:sz w:val="24"/>
          <w:highlight w:val="none"/>
        </w:rPr>
      </w:pPr>
    </w:p>
    <w:p w14:paraId="273CD31F">
      <w:pPr>
        <w:snapToGrid w:val="0"/>
        <w:spacing w:line="360" w:lineRule="auto"/>
        <w:rPr>
          <w:rFonts w:hint="eastAsia" w:ascii="宋体" w:hAnsi="宋体" w:eastAsia="宋体" w:cs="宋体"/>
          <w:color w:val="auto"/>
          <w:sz w:val="24"/>
          <w:highlight w:val="none"/>
        </w:rPr>
      </w:pPr>
    </w:p>
    <w:bookmarkEnd w:id="28"/>
    <w:p w14:paraId="41D5301F">
      <w:pPr>
        <w:snapToGrid w:val="0"/>
        <w:spacing w:before="50" w:after="50" w:line="360" w:lineRule="auto"/>
        <w:jc w:val="center"/>
        <w:outlineLvl w:val="3"/>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47C854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嘉兴市体育彩票管理服务中心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嘉兴市银建工程咨询评估有限公司</w:t>
      </w:r>
      <w:r>
        <w:rPr>
          <w:rFonts w:hint="eastAsia" w:ascii="宋体" w:hAnsi="宋体" w:eastAsia="宋体" w:cs="宋体"/>
          <w:color w:val="auto"/>
          <w:kern w:val="0"/>
          <w:sz w:val="24"/>
          <w:highlight w:val="none"/>
          <w:lang w:val="zh-CN"/>
        </w:rPr>
        <w:t>：</w:t>
      </w:r>
    </w:p>
    <w:p w14:paraId="379B7EC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，所在单位：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嘉兴市体育彩票管理服务中心2025年嘉兴体彩品牌公益推广系列活动项目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JXYJY-2025-10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644CC43">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1C201C">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65EA1563">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8B1BE48">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2C42A4F">
      <w:pPr>
        <w:snapToGrid w:val="0"/>
        <w:spacing w:line="360" w:lineRule="auto"/>
        <w:ind w:left="4200" w:left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0CE181B">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B575FB3">
      <w:pPr>
        <w:snapToGrid w:val="0"/>
        <w:spacing w:before="50" w:after="50" w:line="360" w:lineRule="auto"/>
        <w:ind w:left="-420" w:leftChars="-200" w:right="-420" w:rightChars="-200"/>
        <w:jc w:val="center"/>
        <w:outlineLvl w:val="3"/>
        <w:rPr>
          <w:rFonts w:hint="eastAsia" w:ascii="宋体" w:hAnsi="宋体" w:eastAsia="宋体" w:cs="宋体"/>
          <w:b/>
          <w:color w:val="auto"/>
          <w:kern w:val="0"/>
          <w:sz w:val="32"/>
          <w:szCs w:val="32"/>
          <w:highlight w:val="none"/>
          <w:lang w:val="zh-CN"/>
        </w:rPr>
      </w:pPr>
      <w:r>
        <w:rPr>
          <w:rFonts w:hint="eastAsia" w:ascii="宋体" w:hAnsi="宋体" w:eastAsia="宋体" w:cs="宋体"/>
          <w:color w:val="auto"/>
          <w:highlight w:val="none"/>
        </w:rPr>
        <w:br w:type="page"/>
      </w:r>
      <w:r>
        <w:rPr>
          <w:rFonts w:hint="eastAsia" w:ascii="宋体" w:hAnsi="宋体" w:eastAsia="宋体" w:cs="宋体"/>
          <w:b/>
          <w:color w:val="auto"/>
          <w:kern w:val="0"/>
          <w:sz w:val="32"/>
          <w:szCs w:val="32"/>
          <w:highlight w:val="none"/>
          <w:lang w:val="zh-CN"/>
        </w:rPr>
        <w:t>法定代表人、单位负责人或自然人本人的身份证明</w:t>
      </w:r>
    </w:p>
    <w:p w14:paraId="675F415B">
      <w:pPr>
        <w:snapToGrid w:val="0"/>
        <w:spacing w:before="50" w:after="50" w:line="360" w:lineRule="auto"/>
        <w:ind w:left="-420" w:leftChars="-200" w:right="-420" w:rightChars="-200"/>
        <w:jc w:val="center"/>
        <w:outlineLvl w:val="3"/>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（适用于法定代表人、单位负责人或者自然人本人代表投标人参加投标）</w:t>
      </w:r>
    </w:p>
    <w:p w14:paraId="482AB5D9">
      <w:pPr>
        <w:pStyle w:val="7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7AF7AA">
        <w:trPr>
          <w:trHeight w:val="4812" w:hRule="atLeast"/>
          <w:jc w:val="center"/>
        </w:trPr>
        <w:tc>
          <w:tcPr>
            <w:tcW w:w="9207" w:type="dxa"/>
            <w:noWrap w:val="0"/>
            <w:vAlign w:val="top"/>
          </w:tcPr>
          <w:p w14:paraId="40D42EBC">
            <w:pPr>
              <w:pStyle w:val="7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4822BF3">
            <w:pPr>
              <w:pStyle w:val="71"/>
              <w:adjustRightInd w:val="0"/>
              <w:spacing w:line="360" w:lineRule="auto"/>
              <w:rPr>
                <w:rFonts w:hint="eastAsia" w:ascii="宋体" w:hAnsi="宋体" w:eastAsia="宋体" w:cs="宋体"/>
                <w:bCs/>
                <w:color w:val="auto"/>
                <w:sz w:val="24"/>
                <w:highlight w:val="none"/>
              </w:rPr>
            </w:pPr>
          </w:p>
        </w:tc>
      </w:tr>
    </w:tbl>
    <w:p w14:paraId="105EA849">
      <w:pPr>
        <w:snapToGrid w:val="0"/>
        <w:spacing w:line="360" w:lineRule="auto"/>
        <w:ind w:firstLine="576"/>
        <w:jc w:val="center"/>
        <w:rPr>
          <w:rFonts w:hint="eastAsia" w:ascii="宋体" w:hAnsi="宋体" w:eastAsia="宋体" w:cs="宋体"/>
          <w:color w:val="auto"/>
          <w:kern w:val="0"/>
          <w:sz w:val="24"/>
          <w:highlight w:val="none"/>
          <w:lang w:val="zh-CN"/>
        </w:rPr>
      </w:pPr>
    </w:p>
    <w:p w14:paraId="4BED7348">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7FA47FD3">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B1A39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B8E86FC">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EA004D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109FFF42">
      <w:pPr>
        <w:widowControl/>
        <w:spacing w:line="360" w:lineRule="auto"/>
        <w:ind w:left="150"/>
        <w:jc w:val="center"/>
        <w:rPr>
          <w:rFonts w:hint="eastAsia" w:ascii="宋体" w:hAnsi="宋体" w:eastAsia="宋体" w:cs="宋体"/>
          <w:b/>
          <w:color w:val="auto"/>
          <w:kern w:val="0"/>
          <w:sz w:val="32"/>
          <w:szCs w:val="32"/>
          <w:highlight w:val="none"/>
        </w:rPr>
      </w:pPr>
    </w:p>
    <w:p w14:paraId="593BA6A3">
      <w:pPr>
        <w:widowControl/>
        <w:spacing w:line="360" w:lineRule="auto"/>
        <w:ind w:left="150"/>
        <w:jc w:val="center"/>
        <w:rPr>
          <w:rFonts w:hint="eastAsia" w:ascii="宋体" w:hAnsi="宋体" w:eastAsia="宋体" w:cs="宋体"/>
          <w:b/>
          <w:color w:val="auto"/>
          <w:kern w:val="0"/>
          <w:sz w:val="32"/>
          <w:szCs w:val="32"/>
          <w:highlight w:val="none"/>
        </w:rPr>
      </w:pPr>
    </w:p>
    <w:p w14:paraId="419388B2">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tbl>
      <w:tblPr>
        <w:tblStyle w:val="22"/>
        <w:tblW w:w="979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921"/>
        <w:gridCol w:w="4293"/>
        <w:gridCol w:w="1803"/>
      </w:tblGrid>
      <w:tr w14:paraId="0E580CAE">
        <w:trPr>
          <w:trHeight w:val="878" w:hRule="atLeast"/>
        </w:trPr>
        <w:tc>
          <w:tcPr>
            <w:tcW w:w="781" w:type="dxa"/>
            <w:noWrap w:val="0"/>
            <w:vAlign w:val="center"/>
          </w:tcPr>
          <w:p w14:paraId="6785C4F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921" w:type="dxa"/>
            <w:noWrap w:val="0"/>
            <w:vAlign w:val="center"/>
          </w:tcPr>
          <w:p w14:paraId="3ABC245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4293" w:type="dxa"/>
            <w:noWrap w:val="0"/>
            <w:vAlign w:val="center"/>
          </w:tcPr>
          <w:p w14:paraId="1F53AA2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803" w:type="dxa"/>
            <w:noWrap w:val="0"/>
            <w:vAlign w:val="center"/>
          </w:tcPr>
          <w:p w14:paraId="28482C3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6BDB98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B660668">
        <w:trPr>
          <w:trHeight w:val="1126" w:hRule="atLeast"/>
        </w:trPr>
        <w:tc>
          <w:tcPr>
            <w:tcW w:w="781" w:type="dxa"/>
            <w:noWrap w:val="0"/>
            <w:vAlign w:val="center"/>
          </w:tcPr>
          <w:p w14:paraId="364E5EAB">
            <w:pPr>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21" w:type="dxa"/>
            <w:noWrap w:val="0"/>
            <w:vAlign w:val="center"/>
          </w:tcPr>
          <w:p w14:paraId="2F349481">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4293" w:type="dxa"/>
            <w:noWrap w:val="0"/>
            <w:vAlign w:val="center"/>
          </w:tcPr>
          <w:p w14:paraId="0E67734A">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803" w:type="dxa"/>
            <w:noWrap w:val="0"/>
            <w:vAlign w:val="center"/>
          </w:tcPr>
          <w:p w14:paraId="657B4778">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0752248">
            <w:pPr>
              <w:spacing w:line="36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9F30938">
        <w:trPr>
          <w:trHeight w:val="1392" w:hRule="atLeast"/>
        </w:trPr>
        <w:tc>
          <w:tcPr>
            <w:tcW w:w="781" w:type="dxa"/>
            <w:noWrap w:val="0"/>
            <w:vAlign w:val="center"/>
          </w:tcPr>
          <w:p w14:paraId="399A168D">
            <w:pPr>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21" w:type="dxa"/>
            <w:noWrap w:val="0"/>
            <w:vAlign w:val="center"/>
          </w:tcPr>
          <w:p w14:paraId="671AD5B4">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4293" w:type="dxa"/>
            <w:noWrap w:val="0"/>
            <w:vAlign w:val="center"/>
          </w:tcPr>
          <w:p w14:paraId="45816FE8">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803" w:type="dxa"/>
            <w:noWrap w:val="0"/>
            <w:vAlign w:val="center"/>
          </w:tcPr>
          <w:p w14:paraId="4313C132">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C826E88">
            <w:pPr>
              <w:spacing w:line="36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559ACC4">
        <w:trPr>
          <w:trHeight w:val="1973" w:hRule="atLeast"/>
        </w:trPr>
        <w:tc>
          <w:tcPr>
            <w:tcW w:w="781" w:type="dxa"/>
            <w:noWrap w:val="0"/>
            <w:vAlign w:val="center"/>
          </w:tcPr>
          <w:p w14:paraId="324A48D3">
            <w:pPr>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921" w:type="dxa"/>
            <w:noWrap w:val="0"/>
            <w:vAlign w:val="center"/>
          </w:tcPr>
          <w:p w14:paraId="0A284BE4">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4293" w:type="dxa"/>
            <w:noWrap w:val="0"/>
            <w:vAlign w:val="center"/>
          </w:tcPr>
          <w:p w14:paraId="293DACCC">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招标文件其它实质性要求相应的材料（“▲”系指实质性要求条款，招标文件无其它实质性要求的，无需提供）</w:t>
            </w:r>
          </w:p>
        </w:tc>
        <w:tc>
          <w:tcPr>
            <w:tcW w:w="1803" w:type="dxa"/>
            <w:noWrap w:val="0"/>
            <w:vAlign w:val="center"/>
          </w:tcPr>
          <w:p w14:paraId="4039FC51">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FD84731">
            <w:pPr>
              <w:spacing w:line="36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B8CA9C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C2B9AA2">
      <w:pPr>
        <w:jc w:val="center"/>
        <w:rPr>
          <w:rFonts w:hint="eastAsia" w:ascii="宋体" w:hAnsi="宋体" w:eastAsia="宋体" w:cs="宋体"/>
          <w:b/>
          <w:color w:val="auto"/>
          <w:kern w:val="0"/>
          <w:sz w:val="32"/>
          <w:szCs w:val="32"/>
          <w:highlight w:val="none"/>
        </w:rPr>
      </w:pPr>
    </w:p>
    <w:p w14:paraId="7BBE2CD4">
      <w:pPr>
        <w:jc w:val="center"/>
        <w:rPr>
          <w:rFonts w:hint="eastAsia" w:ascii="宋体" w:hAnsi="宋体" w:eastAsia="宋体" w:cs="宋体"/>
          <w:b/>
          <w:color w:val="auto"/>
          <w:kern w:val="0"/>
          <w:sz w:val="32"/>
          <w:szCs w:val="32"/>
          <w:highlight w:val="none"/>
        </w:rPr>
      </w:pPr>
    </w:p>
    <w:p w14:paraId="3892BA3C">
      <w:pPr>
        <w:jc w:val="center"/>
        <w:rPr>
          <w:rFonts w:hint="eastAsia" w:ascii="宋体" w:hAnsi="宋体" w:eastAsia="宋体" w:cs="宋体"/>
          <w:b/>
          <w:color w:val="auto"/>
          <w:kern w:val="0"/>
          <w:sz w:val="32"/>
          <w:szCs w:val="32"/>
          <w:highlight w:val="none"/>
        </w:rPr>
      </w:pPr>
    </w:p>
    <w:p w14:paraId="437A62EF">
      <w:pPr>
        <w:jc w:val="center"/>
        <w:rPr>
          <w:rFonts w:hint="eastAsia" w:ascii="宋体" w:hAnsi="宋体" w:eastAsia="宋体" w:cs="宋体"/>
          <w:b/>
          <w:color w:val="auto"/>
          <w:kern w:val="0"/>
          <w:sz w:val="32"/>
          <w:szCs w:val="32"/>
          <w:highlight w:val="none"/>
        </w:rPr>
      </w:pPr>
    </w:p>
    <w:p w14:paraId="18C3C9C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2E4482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五、评标标准相应的商务技术资料</w:t>
      </w:r>
    </w:p>
    <w:p w14:paraId="01B66E7C">
      <w:pPr>
        <w:snapToGrid w:val="0"/>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243B064">
      <w:pPr>
        <w:widowControl/>
        <w:spacing w:line="360" w:lineRule="auto"/>
        <w:ind w:left="150"/>
        <w:jc w:val="center"/>
        <w:rPr>
          <w:rFonts w:hint="eastAsia" w:ascii="宋体" w:hAnsi="宋体" w:eastAsia="宋体" w:cs="宋体"/>
          <w:b/>
          <w:color w:val="auto"/>
          <w:kern w:val="0"/>
          <w:sz w:val="32"/>
          <w:szCs w:val="32"/>
          <w:highlight w:val="none"/>
        </w:rPr>
      </w:pPr>
    </w:p>
    <w:p w14:paraId="4CC74E64">
      <w:pPr>
        <w:widowControl/>
        <w:spacing w:line="360" w:lineRule="auto"/>
        <w:ind w:left="150"/>
        <w:jc w:val="center"/>
        <w:rPr>
          <w:rFonts w:hint="eastAsia" w:ascii="宋体" w:hAnsi="宋体" w:eastAsia="宋体" w:cs="宋体"/>
          <w:b/>
          <w:color w:val="auto"/>
          <w:kern w:val="0"/>
          <w:sz w:val="32"/>
          <w:szCs w:val="32"/>
          <w:highlight w:val="none"/>
        </w:rPr>
      </w:pPr>
    </w:p>
    <w:p w14:paraId="0859E581">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19"/>
        <w:gridCol w:w="1600"/>
        <w:gridCol w:w="1508"/>
        <w:gridCol w:w="1352"/>
        <w:gridCol w:w="1526"/>
      </w:tblGrid>
      <w:tr w14:paraId="74A60E28">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B5DDFC2">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BFBB502">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0C9C82DB">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68DAEF5">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7B4B2BE">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3ACDAD3A">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24DFA8">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14:paraId="5279CEAD">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6D5CDD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C1D0F9F">
            <w:pPr>
              <w:snapToGrid w:val="0"/>
              <w:spacing w:line="360" w:lineRule="auto"/>
              <w:jc w:val="center"/>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9582928">
            <w:pPr>
              <w:snapToGrid w:val="0"/>
              <w:spacing w:line="360" w:lineRule="auto"/>
              <w:jc w:val="center"/>
              <w:rPr>
                <w:rFonts w:hint="eastAsia" w:ascii="宋体" w:hAnsi="宋体" w:eastAsia="宋体" w:cs="宋体"/>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6C26644">
            <w:pPr>
              <w:snapToGrid w:val="0"/>
              <w:spacing w:line="360" w:lineRule="auto"/>
              <w:jc w:val="center"/>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CEBA168">
            <w:pPr>
              <w:spacing w:line="360" w:lineRule="auto"/>
              <w:jc w:val="center"/>
              <w:rPr>
                <w:rFonts w:hint="eastAsia" w:ascii="宋体" w:hAnsi="宋体" w:eastAsia="宋体" w:cs="宋体"/>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C1CA3D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81E7E87">
            <w:pPr>
              <w:spacing w:line="360" w:lineRule="auto"/>
              <w:jc w:val="center"/>
              <w:rPr>
                <w:rFonts w:hint="eastAsia" w:ascii="宋体" w:hAnsi="宋体" w:eastAsia="宋体" w:cs="宋体"/>
                <w:color w:val="auto"/>
                <w:sz w:val="24"/>
                <w:highlight w:val="none"/>
              </w:rPr>
            </w:pPr>
          </w:p>
        </w:tc>
      </w:tr>
      <w:tr w14:paraId="52B4BAE9">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A15F2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562DA4F">
            <w:pPr>
              <w:snapToGrid w:val="0"/>
              <w:spacing w:line="360" w:lineRule="auto"/>
              <w:jc w:val="center"/>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29A9982">
            <w:pPr>
              <w:snapToGrid w:val="0"/>
              <w:spacing w:line="360" w:lineRule="auto"/>
              <w:jc w:val="center"/>
              <w:rPr>
                <w:rFonts w:hint="eastAsia" w:ascii="宋体" w:hAnsi="宋体" w:eastAsia="宋体" w:cs="宋体"/>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AC5090F">
            <w:pPr>
              <w:snapToGrid w:val="0"/>
              <w:spacing w:line="360" w:lineRule="auto"/>
              <w:jc w:val="center"/>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CC67B01">
            <w:pPr>
              <w:spacing w:line="360" w:lineRule="auto"/>
              <w:jc w:val="center"/>
              <w:rPr>
                <w:rFonts w:hint="eastAsia" w:ascii="宋体" w:hAnsi="宋体" w:eastAsia="宋体" w:cs="宋体"/>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FDD463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29D0B9">
            <w:pPr>
              <w:spacing w:line="360" w:lineRule="auto"/>
              <w:jc w:val="center"/>
              <w:rPr>
                <w:rFonts w:hint="eastAsia" w:ascii="宋体" w:hAnsi="宋体" w:eastAsia="宋体" w:cs="宋体"/>
                <w:color w:val="auto"/>
                <w:sz w:val="24"/>
                <w:highlight w:val="none"/>
              </w:rPr>
            </w:pPr>
          </w:p>
        </w:tc>
      </w:tr>
      <w:tr w14:paraId="44D5DD5D">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574E2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B789022">
            <w:pPr>
              <w:snapToGrid w:val="0"/>
              <w:spacing w:line="360" w:lineRule="auto"/>
              <w:jc w:val="center"/>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FF46290">
            <w:pPr>
              <w:snapToGrid w:val="0"/>
              <w:spacing w:line="360" w:lineRule="auto"/>
              <w:jc w:val="center"/>
              <w:rPr>
                <w:rFonts w:hint="eastAsia" w:ascii="宋体" w:hAnsi="宋体" w:eastAsia="宋体" w:cs="宋体"/>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F7BD6CF">
            <w:pPr>
              <w:snapToGrid w:val="0"/>
              <w:spacing w:line="360" w:lineRule="auto"/>
              <w:jc w:val="center"/>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F6DB36D">
            <w:pPr>
              <w:spacing w:line="360" w:lineRule="auto"/>
              <w:jc w:val="center"/>
              <w:rPr>
                <w:rFonts w:hint="eastAsia" w:ascii="宋体" w:hAnsi="宋体" w:eastAsia="宋体" w:cs="宋体"/>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7758D9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1767924">
            <w:pPr>
              <w:spacing w:line="360" w:lineRule="auto"/>
              <w:jc w:val="center"/>
              <w:rPr>
                <w:rFonts w:hint="eastAsia" w:ascii="宋体" w:hAnsi="宋体" w:eastAsia="宋体" w:cs="宋体"/>
                <w:color w:val="auto"/>
                <w:sz w:val="24"/>
                <w:highlight w:val="none"/>
              </w:rPr>
            </w:pPr>
          </w:p>
        </w:tc>
      </w:tr>
    </w:tbl>
    <w:p w14:paraId="340FD21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30D350">
      <w:pPr>
        <w:widowControl/>
        <w:spacing w:line="360" w:lineRule="auto"/>
        <w:ind w:left="150"/>
        <w:jc w:val="center"/>
        <w:rPr>
          <w:rFonts w:hint="eastAsia" w:ascii="宋体" w:hAnsi="宋体" w:eastAsia="宋体" w:cs="宋体"/>
          <w:b/>
          <w:color w:val="auto"/>
          <w:kern w:val="0"/>
          <w:sz w:val="32"/>
          <w:szCs w:val="32"/>
          <w:highlight w:val="none"/>
        </w:rPr>
      </w:pPr>
    </w:p>
    <w:p w14:paraId="5E424324">
      <w:pPr>
        <w:widowControl/>
        <w:spacing w:line="360" w:lineRule="auto"/>
        <w:ind w:left="150"/>
        <w:jc w:val="center"/>
        <w:rPr>
          <w:rFonts w:hint="eastAsia" w:ascii="宋体" w:hAnsi="宋体" w:eastAsia="宋体" w:cs="宋体"/>
          <w:b/>
          <w:color w:val="auto"/>
          <w:kern w:val="0"/>
          <w:sz w:val="32"/>
          <w:szCs w:val="32"/>
          <w:highlight w:val="none"/>
        </w:rPr>
      </w:pPr>
    </w:p>
    <w:p w14:paraId="74946F4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2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3402"/>
        <w:gridCol w:w="1361"/>
      </w:tblGrid>
      <w:tr w14:paraId="4E795F6A">
        <w:trPr>
          <w:trHeight w:val="567" w:hRule="atLeast"/>
          <w:jc w:val="center"/>
        </w:trPr>
        <w:tc>
          <w:tcPr>
            <w:tcW w:w="850" w:type="dxa"/>
            <w:noWrap w:val="0"/>
            <w:vAlign w:val="center"/>
          </w:tcPr>
          <w:p w14:paraId="6ED23CB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402" w:type="dxa"/>
            <w:noWrap w:val="0"/>
            <w:vAlign w:val="center"/>
          </w:tcPr>
          <w:p w14:paraId="5CB2C94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02" w:type="dxa"/>
            <w:noWrap w:val="0"/>
            <w:vAlign w:val="center"/>
          </w:tcPr>
          <w:p w14:paraId="4A6BFC6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361" w:type="dxa"/>
            <w:noWrap w:val="0"/>
            <w:vAlign w:val="center"/>
          </w:tcPr>
          <w:p w14:paraId="484EDE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9F5536D">
        <w:trPr>
          <w:trHeight w:val="567" w:hRule="atLeast"/>
          <w:jc w:val="center"/>
        </w:trPr>
        <w:tc>
          <w:tcPr>
            <w:tcW w:w="850" w:type="dxa"/>
            <w:noWrap w:val="0"/>
            <w:vAlign w:val="center"/>
          </w:tcPr>
          <w:p w14:paraId="395D9E5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402" w:type="dxa"/>
            <w:noWrap w:val="0"/>
            <w:vAlign w:val="center"/>
          </w:tcPr>
          <w:p w14:paraId="7A5CD56B">
            <w:pPr>
              <w:jc w:val="center"/>
              <w:rPr>
                <w:rFonts w:hint="eastAsia" w:ascii="宋体" w:hAnsi="宋体" w:eastAsia="宋体" w:cs="宋体"/>
                <w:b/>
                <w:color w:val="auto"/>
                <w:kern w:val="0"/>
                <w:sz w:val="32"/>
                <w:szCs w:val="32"/>
                <w:highlight w:val="none"/>
              </w:rPr>
            </w:pPr>
          </w:p>
        </w:tc>
        <w:tc>
          <w:tcPr>
            <w:tcW w:w="3402" w:type="dxa"/>
            <w:noWrap w:val="0"/>
            <w:vAlign w:val="center"/>
          </w:tcPr>
          <w:p w14:paraId="00456AA3">
            <w:pPr>
              <w:jc w:val="center"/>
              <w:rPr>
                <w:rFonts w:hint="eastAsia" w:ascii="宋体" w:hAnsi="宋体" w:eastAsia="宋体" w:cs="宋体"/>
                <w:b/>
                <w:color w:val="auto"/>
                <w:kern w:val="0"/>
                <w:sz w:val="32"/>
                <w:szCs w:val="32"/>
                <w:highlight w:val="none"/>
              </w:rPr>
            </w:pPr>
          </w:p>
        </w:tc>
        <w:tc>
          <w:tcPr>
            <w:tcW w:w="1361" w:type="dxa"/>
            <w:noWrap w:val="0"/>
            <w:vAlign w:val="center"/>
          </w:tcPr>
          <w:p w14:paraId="16DA5387">
            <w:pPr>
              <w:jc w:val="center"/>
              <w:rPr>
                <w:rFonts w:hint="eastAsia" w:ascii="宋体" w:hAnsi="宋体" w:eastAsia="宋体" w:cs="宋体"/>
                <w:b/>
                <w:color w:val="auto"/>
                <w:kern w:val="0"/>
                <w:sz w:val="32"/>
                <w:szCs w:val="32"/>
                <w:highlight w:val="none"/>
              </w:rPr>
            </w:pPr>
          </w:p>
        </w:tc>
      </w:tr>
      <w:tr w14:paraId="78F3EBB4">
        <w:trPr>
          <w:trHeight w:val="567" w:hRule="atLeast"/>
          <w:jc w:val="center"/>
        </w:trPr>
        <w:tc>
          <w:tcPr>
            <w:tcW w:w="850" w:type="dxa"/>
            <w:noWrap w:val="0"/>
            <w:vAlign w:val="center"/>
          </w:tcPr>
          <w:p w14:paraId="679D808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402" w:type="dxa"/>
            <w:noWrap w:val="0"/>
            <w:vAlign w:val="center"/>
          </w:tcPr>
          <w:p w14:paraId="5A385538">
            <w:pPr>
              <w:jc w:val="center"/>
              <w:rPr>
                <w:rFonts w:hint="eastAsia" w:ascii="宋体" w:hAnsi="宋体" w:eastAsia="宋体" w:cs="宋体"/>
                <w:b/>
                <w:color w:val="auto"/>
                <w:kern w:val="0"/>
                <w:sz w:val="32"/>
                <w:szCs w:val="32"/>
                <w:highlight w:val="none"/>
              </w:rPr>
            </w:pPr>
          </w:p>
        </w:tc>
        <w:tc>
          <w:tcPr>
            <w:tcW w:w="3402" w:type="dxa"/>
            <w:noWrap w:val="0"/>
            <w:vAlign w:val="center"/>
          </w:tcPr>
          <w:p w14:paraId="59A59224">
            <w:pPr>
              <w:jc w:val="center"/>
              <w:rPr>
                <w:rFonts w:hint="eastAsia" w:ascii="宋体" w:hAnsi="宋体" w:eastAsia="宋体" w:cs="宋体"/>
                <w:b/>
                <w:color w:val="auto"/>
                <w:kern w:val="0"/>
                <w:sz w:val="32"/>
                <w:szCs w:val="32"/>
                <w:highlight w:val="none"/>
              </w:rPr>
            </w:pPr>
          </w:p>
        </w:tc>
        <w:tc>
          <w:tcPr>
            <w:tcW w:w="1361" w:type="dxa"/>
            <w:noWrap w:val="0"/>
            <w:vAlign w:val="center"/>
          </w:tcPr>
          <w:p w14:paraId="6FBCF0EF">
            <w:pPr>
              <w:jc w:val="center"/>
              <w:rPr>
                <w:rFonts w:hint="eastAsia" w:ascii="宋体" w:hAnsi="宋体" w:eastAsia="宋体" w:cs="宋体"/>
                <w:b/>
                <w:color w:val="auto"/>
                <w:kern w:val="0"/>
                <w:sz w:val="32"/>
                <w:szCs w:val="32"/>
                <w:highlight w:val="none"/>
              </w:rPr>
            </w:pPr>
          </w:p>
        </w:tc>
      </w:tr>
      <w:tr w14:paraId="647B9034">
        <w:trPr>
          <w:trHeight w:val="567" w:hRule="atLeast"/>
          <w:jc w:val="center"/>
        </w:trPr>
        <w:tc>
          <w:tcPr>
            <w:tcW w:w="850" w:type="dxa"/>
            <w:noWrap w:val="0"/>
            <w:vAlign w:val="center"/>
          </w:tcPr>
          <w:p w14:paraId="1B7DFCF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402" w:type="dxa"/>
            <w:noWrap w:val="0"/>
            <w:vAlign w:val="center"/>
          </w:tcPr>
          <w:p w14:paraId="2A587B91">
            <w:pPr>
              <w:jc w:val="center"/>
              <w:rPr>
                <w:rFonts w:hint="eastAsia" w:ascii="宋体" w:hAnsi="宋体" w:eastAsia="宋体" w:cs="宋体"/>
                <w:b/>
                <w:color w:val="auto"/>
                <w:kern w:val="0"/>
                <w:sz w:val="32"/>
                <w:szCs w:val="32"/>
                <w:highlight w:val="none"/>
              </w:rPr>
            </w:pPr>
          </w:p>
        </w:tc>
        <w:tc>
          <w:tcPr>
            <w:tcW w:w="3402" w:type="dxa"/>
            <w:noWrap w:val="0"/>
            <w:vAlign w:val="center"/>
          </w:tcPr>
          <w:p w14:paraId="7702D39A">
            <w:pPr>
              <w:jc w:val="center"/>
              <w:rPr>
                <w:rFonts w:hint="eastAsia" w:ascii="宋体" w:hAnsi="宋体" w:eastAsia="宋体" w:cs="宋体"/>
                <w:b/>
                <w:color w:val="auto"/>
                <w:kern w:val="0"/>
                <w:sz w:val="32"/>
                <w:szCs w:val="32"/>
                <w:highlight w:val="none"/>
              </w:rPr>
            </w:pPr>
          </w:p>
        </w:tc>
        <w:tc>
          <w:tcPr>
            <w:tcW w:w="1361" w:type="dxa"/>
            <w:noWrap w:val="0"/>
            <w:vAlign w:val="center"/>
          </w:tcPr>
          <w:p w14:paraId="71C8C430">
            <w:pPr>
              <w:jc w:val="center"/>
              <w:rPr>
                <w:rFonts w:hint="eastAsia" w:ascii="宋体" w:hAnsi="宋体" w:eastAsia="宋体" w:cs="宋体"/>
                <w:b/>
                <w:color w:val="auto"/>
                <w:kern w:val="0"/>
                <w:sz w:val="32"/>
                <w:szCs w:val="32"/>
                <w:highlight w:val="none"/>
              </w:rPr>
            </w:pPr>
          </w:p>
        </w:tc>
      </w:tr>
    </w:tbl>
    <w:p w14:paraId="2EC071E7">
      <w:pPr>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E35F97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CB1FCB6">
      <w:pPr>
        <w:ind w:firstLine="1906" w:firstLineChars="595"/>
        <w:rPr>
          <w:rFonts w:hint="eastAsia" w:ascii="宋体" w:hAnsi="宋体" w:eastAsia="宋体" w:cs="宋体"/>
          <w:b/>
          <w:bCs/>
          <w:color w:val="auto"/>
          <w:sz w:val="32"/>
          <w:szCs w:val="32"/>
          <w:highlight w:val="none"/>
        </w:rPr>
      </w:pPr>
    </w:p>
    <w:p w14:paraId="1CE26C5F">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C091770">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八、政府采购供应商廉洁自律承诺书</w:t>
      </w:r>
    </w:p>
    <w:p w14:paraId="66C0D9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嘉兴市体育彩票管理服务中心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嘉兴市银建工程咨询评估有限公司</w:t>
      </w:r>
      <w:r>
        <w:rPr>
          <w:rFonts w:hint="eastAsia" w:ascii="宋体" w:hAnsi="宋体" w:eastAsia="宋体" w:cs="宋体"/>
          <w:color w:val="auto"/>
          <w:kern w:val="0"/>
          <w:sz w:val="24"/>
          <w:highlight w:val="none"/>
          <w:lang w:val="zh-CN"/>
        </w:rPr>
        <w:t>：</w:t>
      </w:r>
    </w:p>
    <w:p w14:paraId="70FDA79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03288E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14:paraId="4A072BC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14:paraId="0F04901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14:paraId="39878C5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354019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56398AC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585D755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3261C7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21C7B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955FE4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E34F8E">
      <w:pPr>
        <w:autoSpaceDE w:val="0"/>
        <w:autoSpaceDN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4470FC90">
      <w:pPr>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E1476D1">
      <w:pPr>
        <w:spacing w:line="360" w:lineRule="auto"/>
        <w:jc w:val="center"/>
        <w:rPr>
          <w:rFonts w:hint="eastAsia" w:ascii="宋体" w:hAnsi="宋体" w:eastAsia="宋体" w:cs="宋体"/>
          <w:b/>
          <w:bCs/>
          <w:color w:val="auto"/>
          <w:sz w:val="24"/>
          <w:highlight w:val="none"/>
        </w:rPr>
      </w:pPr>
    </w:p>
    <w:p w14:paraId="4DDFBAD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BEEDE0">
      <w:pPr>
        <w:widowControl/>
        <w:adjustRightInd/>
        <w:jc w:val="left"/>
        <w:rPr>
          <w:rFonts w:hint="eastAsia" w:ascii="宋体" w:hAnsi="宋体" w:eastAsia="宋体" w:cs="宋体"/>
          <w:b/>
          <w:color w:val="auto"/>
          <w:kern w:val="0"/>
          <w:sz w:val="36"/>
          <w:szCs w:val="36"/>
          <w:highlight w:val="none"/>
        </w:rPr>
      </w:pPr>
    </w:p>
    <w:p w14:paraId="7924B1B4">
      <w:pPr>
        <w:pStyle w:val="11"/>
        <w:rPr>
          <w:rFonts w:hint="eastAsia" w:ascii="宋体" w:hAnsi="宋体" w:eastAsia="宋体" w:cs="宋体"/>
          <w:b/>
          <w:color w:val="auto"/>
          <w:kern w:val="0"/>
          <w:sz w:val="36"/>
          <w:szCs w:val="36"/>
          <w:highlight w:val="none"/>
        </w:rPr>
      </w:pPr>
    </w:p>
    <w:p w14:paraId="05C6F43B">
      <w:pPr>
        <w:pStyle w:val="12"/>
        <w:rPr>
          <w:rFonts w:hint="eastAsia" w:ascii="宋体" w:hAnsi="宋体" w:eastAsia="宋体" w:cs="宋体"/>
          <w:color w:val="auto"/>
          <w:highlight w:val="none"/>
        </w:rPr>
      </w:pPr>
    </w:p>
    <w:p w14:paraId="13B263AD">
      <w:pPr>
        <w:snapToGrid w:val="0"/>
        <w:spacing w:line="360" w:lineRule="auto"/>
        <w:jc w:val="center"/>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九、供应商认为有必要的其他内容</w:t>
      </w:r>
    </w:p>
    <w:p w14:paraId="6B725A4A">
      <w:pPr>
        <w:spacing w:line="360" w:lineRule="auto"/>
        <w:jc w:val="center"/>
        <w:rPr>
          <w:rFonts w:hint="eastAsia" w:ascii="宋体" w:hAnsi="宋体" w:eastAsia="宋体" w:cs="宋体"/>
          <w:b/>
          <w:color w:val="auto"/>
          <w:kern w:val="0"/>
          <w:sz w:val="32"/>
          <w:szCs w:val="32"/>
          <w:highlight w:val="none"/>
        </w:rPr>
      </w:pPr>
    </w:p>
    <w:p w14:paraId="324585D5">
      <w:pPr>
        <w:spacing w:line="360" w:lineRule="auto"/>
        <w:jc w:val="center"/>
        <w:rPr>
          <w:rFonts w:hint="eastAsia" w:ascii="宋体" w:hAnsi="宋体" w:eastAsia="宋体" w:cs="宋体"/>
          <w:b/>
          <w:color w:val="auto"/>
          <w:kern w:val="0"/>
          <w:sz w:val="32"/>
          <w:szCs w:val="32"/>
          <w:highlight w:val="none"/>
        </w:rPr>
      </w:pPr>
    </w:p>
    <w:p w14:paraId="75B19CAC">
      <w:pPr>
        <w:autoSpaceDE w:val="0"/>
        <w:autoSpaceDN w:val="0"/>
        <w:spacing w:line="360" w:lineRule="auto"/>
        <w:ind w:firstLine="420"/>
        <w:rPr>
          <w:rFonts w:hint="eastAsia" w:ascii="宋体" w:hAnsi="宋体" w:eastAsia="宋体" w:cs="宋体"/>
          <w:color w:val="auto"/>
          <w:kern w:val="0"/>
          <w:sz w:val="24"/>
          <w:szCs w:val="20"/>
          <w:highlight w:val="none"/>
          <w:lang w:val="zh-CN"/>
        </w:rPr>
      </w:pPr>
      <w:r>
        <w:rPr>
          <w:rFonts w:hint="eastAsia" w:ascii="宋体" w:hAnsi="宋体" w:eastAsia="宋体" w:cs="宋体"/>
          <w:color w:val="auto"/>
          <w:kern w:val="0"/>
          <w:sz w:val="24"/>
          <w:szCs w:val="20"/>
          <w:highlight w:val="none"/>
          <w:lang w:val="zh-CN"/>
        </w:rPr>
        <w:br w:type="page"/>
      </w:r>
    </w:p>
    <w:p w14:paraId="6711F018">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D22CFCF">
      <w:pPr>
        <w:spacing w:line="360" w:lineRule="auto"/>
        <w:jc w:val="center"/>
        <w:rPr>
          <w:rFonts w:hint="eastAsia" w:ascii="宋体" w:hAnsi="宋体" w:eastAsia="宋体" w:cs="宋体"/>
          <w:b/>
          <w:color w:val="auto"/>
          <w:kern w:val="0"/>
          <w:sz w:val="36"/>
          <w:szCs w:val="36"/>
          <w:highlight w:val="none"/>
        </w:rPr>
      </w:pPr>
    </w:p>
    <w:p w14:paraId="72A6B58F">
      <w:pPr>
        <w:spacing w:line="360" w:lineRule="auto"/>
        <w:jc w:val="center"/>
        <w:outlineLvl w:val="2"/>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3F9388D">
      <w:pPr>
        <w:spacing w:line="360" w:lineRule="auto"/>
        <w:jc w:val="center"/>
        <w:rPr>
          <w:rFonts w:hint="eastAsia" w:ascii="宋体" w:hAnsi="宋体" w:eastAsia="宋体" w:cs="宋体"/>
          <w:b/>
          <w:color w:val="auto"/>
          <w:kern w:val="0"/>
          <w:sz w:val="36"/>
          <w:szCs w:val="36"/>
          <w:highlight w:val="none"/>
        </w:rPr>
      </w:pPr>
    </w:p>
    <w:p w14:paraId="6DF25C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26DCF9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（2）报价情况说明…………………………………………………………………（页码）</w:t>
      </w:r>
    </w:p>
    <w:p w14:paraId="6AE44F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14:paraId="0C17743A">
      <w:pPr>
        <w:snapToGrid w:val="0"/>
        <w:spacing w:line="360" w:lineRule="auto"/>
        <w:ind w:right="480"/>
        <w:jc w:val="center"/>
        <w:rPr>
          <w:rFonts w:hint="eastAsia" w:ascii="宋体" w:hAnsi="宋体" w:eastAsia="宋体" w:cs="宋体"/>
          <w:b/>
          <w:color w:val="auto"/>
          <w:kern w:val="0"/>
          <w:sz w:val="32"/>
          <w:szCs w:val="32"/>
          <w:highlight w:val="none"/>
        </w:rPr>
      </w:pPr>
    </w:p>
    <w:p w14:paraId="0061DD2C">
      <w:pPr>
        <w:snapToGrid w:val="0"/>
        <w:spacing w:line="360" w:lineRule="auto"/>
        <w:ind w:right="480"/>
        <w:jc w:val="center"/>
        <w:rPr>
          <w:rFonts w:hint="eastAsia" w:ascii="宋体" w:hAnsi="宋体" w:eastAsia="宋体" w:cs="宋体"/>
          <w:b/>
          <w:color w:val="auto"/>
          <w:kern w:val="0"/>
          <w:sz w:val="32"/>
          <w:szCs w:val="32"/>
          <w:highlight w:val="none"/>
        </w:rPr>
      </w:pPr>
    </w:p>
    <w:p w14:paraId="1BD3F0C6">
      <w:pPr>
        <w:rPr>
          <w:rFonts w:hint="eastAsia" w:ascii="宋体" w:hAnsi="宋体" w:eastAsia="宋体" w:cs="宋体"/>
          <w:color w:val="auto"/>
          <w:highlight w:val="none"/>
        </w:rPr>
      </w:pPr>
    </w:p>
    <w:p w14:paraId="5641943E">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一、开标一览表（报价表）</w:t>
      </w:r>
    </w:p>
    <w:p w14:paraId="1A4662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嘉兴市体育彩票管理服务中心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嘉兴市银建工程咨询评估有限公司</w:t>
      </w:r>
      <w:r>
        <w:rPr>
          <w:rFonts w:hint="eastAsia" w:ascii="宋体" w:hAnsi="宋体" w:eastAsia="宋体" w:cs="宋体"/>
          <w:color w:val="auto"/>
          <w:kern w:val="0"/>
          <w:sz w:val="24"/>
          <w:highlight w:val="none"/>
          <w:lang w:val="zh-CN"/>
        </w:rPr>
        <w:t>：</w:t>
      </w:r>
    </w:p>
    <w:p w14:paraId="0F1D8C5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lang w:eastAsia="zh-CN"/>
        </w:rPr>
        <w:t>嘉兴市体育彩票管理服务中心2025年嘉兴体彩品牌公益推广系列活动项目</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lang w:eastAsia="zh-CN"/>
        </w:rPr>
        <w:t>JXYJY-2025-10</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43F4B51">
      <w:pPr>
        <w:snapToGrid w:val="0"/>
        <w:spacing w:line="360" w:lineRule="auto"/>
        <w:ind w:left="0" w:leftChars="0" w:right="0" w:rightChars="0" w:firstLine="0" w:firstLineChars="0"/>
        <w:jc w:val="center"/>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2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72"/>
        <w:gridCol w:w="2327"/>
        <w:gridCol w:w="984"/>
        <w:gridCol w:w="754"/>
        <w:gridCol w:w="1339"/>
        <w:gridCol w:w="1247"/>
        <w:gridCol w:w="1087"/>
      </w:tblGrid>
      <w:tr w14:paraId="30DE12D6">
        <w:trPr>
          <w:trHeight w:val="1049" w:hRule="atLeast"/>
        </w:trPr>
        <w:tc>
          <w:tcPr>
            <w:tcW w:w="686" w:type="dxa"/>
            <w:noWrap w:val="0"/>
            <w:vAlign w:val="center"/>
          </w:tcPr>
          <w:p w14:paraId="42A67CDF">
            <w:pPr>
              <w:bidi w:val="0"/>
              <w:ind w:left="0" w:leftChars="0" w:right="0" w:righ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172" w:type="dxa"/>
            <w:noWrap w:val="0"/>
            <w:vAlign w:val="center"/>
          </w:tcPr>
          <w:p w14:paraId="4FD7757A">
            <w:pPr>
              <w:bidi w:val="0"/>
              <w:ind w:left="0" w:leftChars="0" w:right="0" w:righ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服务</w:t>
            </w:r>
            <w:r>
              <w:rPr>
                <w:rFonts w:hint="eastAsia" w:ascii="宋体" w:hAnsi="宋体" w:eastAsia="宋体" w:cs="宋体"/>
                <w:b/>
                <w:bCs/>
                <w:color w:val="auto"/>
                <w:highlight w:val="none"/>
              </w:rPr>
              <w:t>名称</w:t>
            </w:r>
          </w:p>
        </w:tc>
        <w:tc>
          <w:tcPr>
            <w:tcW w:w="2327" w:type="dxa"/>
            <w:noWrap w:val="0"/>
            <w:vAlign w:val="center"/>
          </w:tcPr>
          <w:p w14:paraId="5AB3CEB4">
            <w:pPr>
              <w:bidi w:val="0"/>
              <w:ind w:left="0" w:leftChars="0" w:right="0" w:rightChars="0" w:firstLine="0" w:firstLine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服务</w:t>
            </w:r>
            <w:r>
              <w:rPr>
                <w:rFonts w:hint="eastAsia" w:ascii="宋体" w:hAnsi="宋体" w:eastAsia="宋体" w:cs="宋体"/>
                <w:b/>
                <w:bCs/>
                <w:color w:val="auto"/>
                <w:highlight w:val="none"/>
                <w:lang w:val="en-US" w:eastAsia="zh-CN"/>
              </w:rPr>
              <w:t>内容描述</w:t>
            </w:r>
          </w:p>
        </w:tc>
        <w:tc>
          <w:tcPr>
            <w:tcW w:w="984" w:type="dxa"/>
            <w:noWrap w:val="0"/>
            <w:vAlign w:val="center"/>
          </w:tcPr>
          <w:p w14:paraId="32C66A22">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754" w:type="dxa"/>
            <w:noWrap w:val="0"/>
            <w:vAlign w:val="center"/>
          </w:tcPr>
          <w:p w14:paraId="2D5546B9">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339" w:type="dxa"/>
            <w:noWrap w:val="0"/>
            <w:vAlign w:val="center"/>
          </w:tcPr>
          <w:p w14:paraId="276E350E">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w:t>
            </w:r>
            <w:r>
              <w:rPr>
                <w:rFonts w:hint="eastAsia" w:ascii="宋体" w:hAnsi="宋体" w:eastAsia="宋体" w:cs="宋体"/>
                <w:b/>
                <w:bCs/>
                <w:color w:val="auto"/>
                <w:highlight w:val="none"/>
                <w:lang w:eastAsia="zh-Hans"/>
              </w:rPr>
              <w:t>（</w:t>
            </w:r>
            <w:r>
              <w:rPr>
                <w:rFonts w:hint="eastAsia" w:ascii="宋体" w:hAnsi="宋体" w:eastAsia="宋体" w:cs="宋体"/>
                <w:b/>
                <w:bCs/>
                <w:color w:val="auto"/>
                <w:highlight w:val="none"/>
                <w:lang w:val="en-US" w:eastAsia="zh-Hans"/>
              </w:rPr>
              <w:t>元）</w:t>
            </w:r>
          </w:p>
        </w:tc>
        <w:tc>
          <w:tcPr>
            <w:tcW w:w="1247" w:type="dxa"/>
            <w:noWrap w:val="0"/>
            <w:vAlign w:val="center"/>
          </w:tcPr>
          <w:p w14:paraId="7667A3C1">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合价</w:t>
            </w:r>
            <w:r>
              <w:rPr>
                <w:rFonts w:hint="eastAsia" w:ascii="宋体" w:hAnsi="宋体" w:eastAsia="宋体" w:cs="宋体"/>
                <w:b/>
                <w:bCs/>
                <w:color w:val="auto"/>
                <w:highlight w:val="none"/>
                <w:lang w:eastAsia="zh-Hans"/>
              </w:rPr>
              <w:t>（</w:t>
            </w:r>
            <w:r>
              <w:rPr>
                <w:rFonts w:hint="eastAsia" w:ascii="宋体" w:hAnsi="宋体" w:eastAsia="宋体" w:cs="宋体"/>
                <w:b/>
                <w:bCs/>
                <w:color w:val="auto"/>
                <w:highlight w:val="none"/>
                <w:lang w:val="en-US" w:eastAsia="zh-Hans"/>
              </w:rPr>
              <w:t>元）</w:t>
            </w:r>
          </w:p>
        </w:tc>
        <w:tc>
          <w:tcPr>
            <w:tcW w:w="1087" w:type="dxa"/>
            <w:noWrap w:val="0"/>
            <w:vAlign w:val="center"/>
          </w:tcPr>
          <w:p w14:paraId="5AFEA982">
            <w:pPr>
              <w:bidi w:val="0"/>
              <w:ind w:left="0" w:leftChars="0" w:right="0" w:righ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备注（如果有）</w:t>
            </w:r>
          </w:p>
        </w:tc>
      </w:tr>
      <w:tr w14:paraId="46E5A735">
        <w:trPr>
          <w:trHeight w:val="451" w:hRule="atLeast"/>
        </w:trPr>
        <w:tc>
          <w:tcPr>
            <w:tcW w:w="686" w:type="dxa"/>
            <w:noWrap w:val="0"/>
            <w:vAlign w:val="center"/>
          </w:tcPr>
          <w:p w14:paraId="73D633EE">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5561C9EB">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217B5D74">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7113ABD3">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3AA88006">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743F8FFC">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398D496B">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473361C3">
            <w:pPr>
              <w:bidi w:val="0"/>
              <w:ind w:left="0" w:leftChars="0" w:right="0" w:rightChars="0" w:firstLine="0" w:firstLineChars="0"/>
              <w:jc w:val="center"/>
              <w:rPr>
                <w:rFonts w:hint="eastAsia" w:ascii="宋体" w:hAnsi="宋体" w:eastAsia="宋体" w:cs="宋体"/>
                <w:color w:val="auto"/>
                <w:highlight w:val="none"/>
              </w:rPr>
            </w:pPr>
          </w:p>
        </w:tc>
      </w:tr>
      <w:tr w14:paraId="5FDC9C30">
        <w:trPr>
          <w:trHeight w:val="451" w:hRule="atLeast"/>
        </w:trPr>
        <w:tc>
          <w:tcPr>
            <w:tcW w:w="686" w:type="dxa"/>
            <w:noWrap w:val="0"/>
            <w:vAlign w:val="center"/>
          </w:tcPr>
          <w:p w14:paraId="72FC4125">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7012BD6B">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020BCC50">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0C1FE966">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07EBAB52">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7328A28A">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576BD066">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56C5CCAC">
            <w:pPr>
              <w:bidi w:val="0"/>
              <w:ind w:left="0" w:leftChars="0" w:right="0" w:rightChars="0" w:firstLine="0" w:firstLineChars="0"/>
              <w:jc w:val="center"/>
              <w:rPr>
                <w:rFonts w:hint="eastAsia" w:ascii="宋体" w:hAnsi="宋体" w:eastAsia="宋体" w:cs="宋体"/>
                <w:color w:val="auto"/>
                <w:highlight w:val="none"/>
              </w:rPr>
            </w:pPr>
          </w:p>
        </w:tc>
      </w:tr>
      <w:tr w14:paraId="13621CCB">
        <w:trPr>
          <w:trHeight w:val="451" w:hRule="atLeast"/>
        </w:trPr>
        <w:tc>
          <w:tcPr>
            <w:tcW w:w="686" w:type="dxa"/>
            <w:noWrap w:val="0"/>
            <w:vAlign w:val="center"/>
          </w:tcPr>
          <w:p w14:paraId="0A2CD68C">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4B23493A">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6F15C67F">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5EFCA520">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73D87B25">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1F7EE42D">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29576382">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03D822DC">
            <w:pPr>
              <w:bidi w:val="0"/>
              <w:ind w:left="0" w:leftChars="0" w:right="0" w:rightChars="0" w:firstLine="0" w:firstLineChars="0"/>
              <w:jc w:val="center"/>
              <w:rPr>
                <w:rFonts w:hint="eastAsia" w:ascii="宋体" w:hAnsi="宋体" w:eastAsia="宋体" w:cs="宋体"/>
                <w:color w:val="auto"/>
                <w:highlight w:val="none"/>
              </w:rPr>
            </w:pPr>
          </w:p>
        </w:tc>
      </w:tr>
      <w:tr w14:paraId="64FDAC92">
        <w:trPr>
          <w:trHeight w:val="451" w:hRule="atLeast"/>
        </w:trPr>
        <w:tc>
          <w:tcPr>
            <w:tcW w:w="686" w:type="dxa"/>
            <w:noWrap w:val="0"/>
            <w:vAlign w:val="center"/>
          </w:tcPr>
          <w:p w14:paraId="1BDE0D5B">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54DA1AC4">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61B8B06C">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16E358A0">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2F8ADBE9">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77F09AD8">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2D01B03B">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1EED2B8D">
            <w:pPr>
              <w:bidi w:val="0"/>
              <w:ind w:left="0" w:leftChars="0" w:right="0" w:rightChars="0" w:firstLine="0" w:firstLineChars="0"/>
              <w:jc w:val="center"/>
              <w:rPr>
                <w:rFonts w:hint="eastAsia" w:ascii="宋体" w:hAnsi="宋体" w:eastAsia="宋体" w:cs="宋体"/>
                <w:color w:val="auto"/>
                <w:highlight w:val="none"/>
              </w:rPr>
            </w:pPr>
          </w:p>
        </w:tc>
      </w:tr>
      <w:tr w14:paraId="50502427">
        <w:trPr>
          <w:trHeight w:val="512" w:hRule="atLeast"/>
        </w:trPr>
        <w:tc>
          <w:tcPr>
            <w:tcW w:w="4185" w:type="dxa"/>
            <w:gridSpan w:val="3"/>
            <w:noWrap w:val="0"/>
            <w:vAlign w:val="center"/>
          </w:tcPr>
          <w:p w14:paraId="45C053CE">
            <w:pPr>
              <w:bidi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投标总价报价（小写）</w:t>
            </w:r>
          </w:p>
        </w:tc>
        <w:tc>
          <w:tcPr>
            <w:tcW w:w="5411" w:type="dxa"/>
            <w:gridSpan w:val="5"/>
            <w:noWrap w:val="0"/>
            <w:vAlign w:val="center"/>
          </w:tcPr>
          <w:p w14:paraId="4FAA1096">
            <w:pPr>
              <w:bidi w:val="0"/>
              <w:ind w:left="0" w:leftChars="0" w:right="0" w:rightChars="0" w:firstLine="0" w:firstLineChars="0"/>
              <w:jc w:val="center"/>
              <w:rPr>
                <w:rFonts w:hint="eastAsia" w:ascii="宋体" w:hAnsi="宋体" w:eastAsia="宋体" w:cs="宋体"/>
                <w:color w:val="auto"/>
                <w:highlight w:val="none"/>
              </w:rPr>
            </w:pPr>
          </w:p>
        </w:tc>
      </w:tr>
      <w:tr w14:paraId="64AD9F9F">
        <w:trPr>
          <w:trHeight w:val="530" w:hRule="atLeast"/>
        </w:trPr>
        <w:tc>
          <w:tcPr>
            <w:tcW w:w="4185" w:type="dxa"/>
            <w:gridSpan w:val="3"/>
            <w:noWrap w:val="0"/>
            <w:vAlign w:val="center"/>
          </w:tcPr>
          <w:p w14:paraId="5E4410FA">
            <w:pPr>
              <w:bidi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投标总价报价（大写）</w:t>
            </w:r>
          </w:p>
        </w:tc>
        <w:tc>
          <w:tcPr>
            <w:tcW w:w="5411" w:type="dxa"/>
            <w:gridSpan w:val="5"/>
            <w:noWrap w:val="0"/>
            <w:vAlign w:val="center"/>
          </w:tcPr>
          <w:p w14:paraId="2CE83F03">
            <w:pPr>
              <w:bidi w:val="0"/>
              <w:ind w:left="0" w:leftChars="0" w:right="0" w:rightChars="0" w:firstLine="0" w:firstLineChars="0"/>
              <w:jc w:val="center"/>
              <w:rPr>
                <w:rFonts w:hint="eastAsia" w:ascii="宋体" w:hAnsi="宋体" w:eastAsia="宋体" w:cs="宋体"/>
                <w:color w:val="auto"/>
                <w:highlight w:val="none"/>
              </w:rPr>
            </w:pPr>
          </w:p>
        </w:tc>
      </w:tr>
    </w:tbl>
    <w:p w14:paraId="1807B8AC">
      <w:pPr>
        <w:snapToGrid w:val="0"/>
        <w:spacing w:line="360" w:lineRule="auto"/>
        <w:ind w:left="480"/>
        <w:rPr>
          <w:rFonts w:hint="eastAsia" w:ascii="宋体" w:hAnsi="宋体" w:eastAsia="宋体" w:cs="宋体"/>
          <w:b/>
          <w:color w:val="auto"/>
          <w:kern w:val="0"/>
          <w:sz w:val="18"/>
          <w:szCs w:val="18"/>
          <w:highlight w:val="none"/>
          <w:lang w:val="zh-CN"/>
        </w:rPr>
      </w:pPr>
      <w:r>
        <w:rPr>
          <w:rFonts w:hint="eastAsia" w:ascii="宋体" w:hAnsi="宋体" w:eastAsia="宋体" w:cs="宋体"/>
          <w:b/>
          <w:color w:val="auto"/>
          <w:kern w:val="0"/>
          <w:sz w:val="18"/>
          <w:szCs w:val="18"/>
          <w:highlight w:val="none"/>
          <w:lang w:val="zh-CN"/>
        </w:rPr>
        <w:t>注：</w:t>
      </w:r>
    </w:p>
    <w:p w14:paraId="3517E72E">
      <w:pPr>
        <w:spacing w:line="360" w:lineRule="auto"/>
        <w:ind w:firstLine="360" w:firstLineChars="200"/>
        <w:rPr>
          <w:rFonts w:hint="eastAsia" w:ascii="宋体" w:hAnsi="宋体" w:eastAsia="宋体" w:cs="宋体"/>
          <w:b w:val="0"/>
          <w:bCs/>
          <w:color w:val="auto"/>
          <w:kern w:val="0"/>
          <w:sz w:val="18"/>
          <w:szCs w:val="18"/>
          <w:highlight w:val="none"/>
          <w:lang w:val="zh-CN"/>
        </w:rPr>
      </w:pPr>
      <w:r>
        <w:rPr>
          <w:rFonts w:hint="eastAsia" w:ascii="宋体" w:hAnsi="宋体" w:eastAsia="宋体" w:cs="宋体"/>
          <w:bCs/>
          <w:color w:val="auto"/>
          <w:kern w:val="0"/>
          <w:sz w:val="18"/>
          <w:szCs w:val="18"/>
          <w:highlight w:val="none"/>
          <w:lang w:val="zh-CN"/>
        </w:rPr>
        <w:t>1、投标人需按本表格式填写，</w:t>
      </w:r>
      <w:r>
        <w:rPr>
          <w:rFonts w:hint="eastAsia" w:ascii="宋体" w:hAnsi="宋体" w:eastAsia="宋体" w:cs="宋体"/>
          <w:b/>
          <w:color w:val="auto"/>
          <w:kern w:val="0"/>
          <w:sz w:val="18"/>
          <w:szCs w:val="18"/>
          <w:highlight w:val="none"/>
        </w:rPr>
        <w:t>否则视为投标文件含有采购人不能接受的附加条件，投标无效</w:t>
      </w:r>
      <w:r>
        <w:rPr>
          <w:rFonts w:hint="eastAsia" w:ascii="宋体" w:hAnsi="宋体" w:eastAsia="宋体" w:cs="宋体"/>
          <w:b/>
          <w:color w:val="auto"/>
          <w:kern w:val="0"/>
          <w:sz w:val="18"/>
          <w:szCs w:val="18"/>
          <w:highlight w:val="none"/>
          <w:lang w:val="zh-CN"/>
        </w:rPr>
        <w:t>；</w:t>
      </w:r>
      <w:r>
        <w:rPr>
          <w:rFonts w:hint="eastAsia" w:ascii="宋体" w:hAnsi="宋体" w:eastAsia="宋体" w:cs="宋体"/>
          <w:b w:val="0"/>
          <w:bCs/>
          <w:color w:val="auto"/>
          <w:kern w:val="0"/>
          <w:sz w:val="18"/>
          <w:szCs w:val="18"/>
          <w:highlight w:val="none"/>
          <w:lang w:val="zh-CN"/>
        </w:rPr>
        <w:t>此表在不改变格式要求的情况下，可自行增行</w:t>
      </w:r>
      <w:r>
        <w:rPr>
          <w:rFonts w:hint="eastAsia" w:ascii="宋体" w:hAnsi="宋体" w:eastAsia="宋体" w:cs="宋体"/>
          <w:b w:val="0"/>
          <w:bCs/>
          <w:color w:val="auto"/>
          <w:kern w:val="0"/>
          <w:sz w:val="18"/>
          <w:szCs w:val="18"/>
          <w:highlight w:val="none"/>
          <w:lang w:val="en-US" w:eastAsia="zh-CN"/>
        </w:rPr>
        <w:t>或增列</w:t>
      </w:r>
      <w:r>
        <w:rPr>
          <w:rFonts w:hint="eastAsia" w:ascii="宋体" w:hAnsi="宋体" w:eastAsia="宋体" w:cs="宋体"/>
          <w:b w:val="0"/>
          <w:bCs/>
          <w:color w:val="auto"/>
          <w:kern w:val="0"/>
          <w:sz w:val="18"/>
          <w:szCs w:val="18"/>
          <w:highlight w:val="none"/>
          <w:lang w:val="zh-CN"/>
        </w:rPr>
        <w:t>。</w:t>
      </w:r>
    </w:p>
    <w:p w14:paraId="0AAC446B">
      <w:pPr>
        <w:spacing w:line="360" w:lineRule="auto"/>
        <w:ind w:firstLine="360" w:firstLineChars="200"/>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zh-CN"/>
        </w:rPr>
        <w:t>2、有关本项目实施所涉及的一切费用均计入报价。</w:t>
      </w:r>
      <w:r>
        <w:rPr>
          <w:rFonts w:hint="eastAsia" w:ascii="宋体" w:hAnsi="宋体" w:eastAsia="宋体" w:cs="宋体"/>
          <w:bCs/>
          <w:color w:val="auto"/>
          <w:kern w:val="0"/>
          <w:sz w:val="18"/>
          <w:szCs w:val="18"/>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18"/>
          <w:szCs w:val="18"/>
          <w:highlight w:val="none"/>
          <w:lang w:val="zh-CN"/>
        </w:rPr>
        <w:t>采购内容未包含在《开标一览表（报价表）》名称栏中，投标人不能作出合理解释的，</w:t>
      </w:r>
      <w:r>
        <w:rPr>
          <w:rFonts w:hint="eastAsia" w:ascii="宋体" w:hAnsi="宋体" w:eastAsia="宋体" w:cs="宋体"/>
          <w:b/>
          <w:color w:val="auto"/>
          <w:kern w:val="0"/>
          <w:sz w:val="18"/>
          <w:szCs w:val="18"/>
          <w:highlight w:val="none"/>
        </w:rPr>
        <w:t>视为投标文件含有采购人不能接受的附加条件的，投标无效。</w:t>
      </w:r>
    </w:p>
    <w:p w14:paraId="636B5A9C">
      <w:pPr>
        <w:spacing w:line="360" w:lineRule="auto"/>
        <w:ind w:firstLine="360" w:firstLineChars="200"/>
        <w:rPr>
          <w:rFonts w:hint="eastAsia" w:ascii="宋体" w:hAnsi="宋体" w:eastAsia="宋体" w:cs="宋体"/>
          <w:bCs/>
          <w:color w:val="auto"/>
          <w:kern w:val="0"/>
          <w:sz w:val="18"/>
          <w:szCs w:val="18"/>
          <w:highlight w:val="none"/>
          <w:lang w:val="zh-CN"/>
        </w:rPr>
      </w:pPr>
      <w:r>
        <w:rPr>
          <w:rFonts w:hint="eastAsia" w:ascii="宋体" w:hAnsi="宋体" w:eastAsia="宋体" w:cs="宋体"/>
          <w:bCs/>
          <w:color w:val="auto"/>
          <w:kern w:val="0"/>
          <w:sz w:val="18"/>
          <w:szCs w:val="18"/>
          <w:highlight w:val="none"/>
          <w:lang w:val="zh-CN"/>
        </w:rPr>
        <w:t>3、特别提示：采购代理机构将对项目名称和项目编号，中标供应商名称、地址和中标金额，主要中标标的名称、服务范围、服务要求、服务时间、服务标准等予以公示。</w:t>
      </w:r>
    </w:p>
    <w:p w14:paraId="728D77AA">
      <w:pPr>
        <w:spacing w:line="360" w:lineRule="auto"/>
        <w:ind w:firstLine="36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18"/>
          <w:szCs w:val="18"/>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ABB48A">
      <w:pPr>
        <w:spacing w:line="360" w:lineRule="auto"/>
        <w:ind w:firstLine="360" w:firstLineChars="200"/>
        <w:rPr>
          <w:rFonts w:hint="eastAsia" w:ascii="宋体" w:hAnsi="宋体" w:eastAsia="宋体" w:cs="宋体"/>
          <w:b/>
          <w:bCs w:val="0"/>
          <w:color w:val="auto"/>
          <w:kern w:val="0"/>
          <w:sz w:val="18"/>
          <w:szCs w:val="18"/>
          <w:highlight w:val="none"/>
          <w:lang w:val="en-US" w:eastAsia="zh-CN"/>
        </w:rPr>
      </w:pPr>
    </w:p>
    <w:p w14:paraId="609CF787">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48480885">
      <w:pPr>
        <w:snapToGrid w:val="0"/>
        <w:spacing w:line="360" w:lineRule="auto"/>
        <w:jc w:val="center"/>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二、报价情况说明（如果有）</w:t>
      </w:r>
    </w:p>
    <w:p w14:paraId="7A9CDCAC">
      <w:pPr>
        <w:widowControl/>
        <w:spacing w:line="360" w:lineRule="auto"/>
        <w:ind w:left="0" w:leftChars="0" w:right="0" w:rightChars="0"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（如供应商报价低于项目预算（最高限价）50%的，应当提交本文档，详细阐述不影响产品质量或者诚信履约的具体原因。）</w:t>
      </w:r>
    </w:p>
    <w:p w14:paraId="072C86D1">
      <w:pPr>
        <w:pStyle w:val="11"/>
        <w:rPr>
          <w:rFonts w:hint="eastAsia" w:ascii="宋体" w:hAnsi="宋体" w:eastAsia="宋体" w:cs="宋体"/>
          <w:b/>
          <w:color w:val="auto"/>
          <w:sz w:val="24"/>
          <w:highlight w:val="none"/>
          <w:lang w:val="en-US" w:eastAsia="zh-CN"/>
        </w:rPr>
      </w:pPr>
    </w:p>
    <w:p w14:paraId="6E44FEBB">
      <w:pPr>
        <w:pStyle w:val="12"/>
        <w:rPr>
          <w:rFonts w:hint="eastAsia" w:ascii="宋体" w:hAnsi="宋体" w:eastAsia="宋体" w:cs="宋体"/>
          <w:b/>
          <w:color w:val="auto"/>
          <w:sz w:val="24"/>
          <w:highlight w:val="none"/>
          <w:lang w:val="en-US" w:eastAsia="zh-CN"/>
        </w:rPr>
      </w:pPr>
    </w:p>
    <w:p w14:paraId="16060D9E">
      <w:pPr>
        <w:snapToGrid w:val="0"/>
        <w:spacing w:line="360" w:lineRule="auto"/>
        <w:jc w:val="center"/>
        <w:outlineLvl w:val="9"/>
        <w:rPr>
          <w:rFonts w:hint="eastAsia" w:ascii="宋体" w:hAnsi="宋体" w:eastAsia="宋体" w:cs="宋体"/>
          <w:b/>
          <w:color w:val="auto"/>
          <w:kern w:val="0"/>
          <w:sz w:val="32"/>
          <w:szCs w:val="32"/>
          <w:highlight w:val="none"/>
        </w:rPr>
      </w:pPr>
    </w:p>
    <w:p w14:paraId="39AAEC32">
      <w:pPr>
        <w:snapToGrid w:val="0"/>
        <w:spacing w:line="360" w:lineRule="auto"/>
        <w:jc w:val="center"/>
        <w:outlineLvl w:val="9"/>
        <w:rPr>
          <w:rFonts w:hint="eastAsia" w:ascii="宋体" w:hAnsi="宋体" w:eastAsia="宋体" w:cs="宋体"/>
          <w:b/>
          <w:color w:val="auto"/>
          <w:kern w:val="0"/>
          <w:sz w:val="32"/>
          <w:szCs w:val="32"/>
          <w:highlight w:val="none"/>
        </w:rPr>
      </w:pPr>
    </w:p>
    <w:p w14:paraId="281983B9">
      <w:pPr>
        <w:snapToGrid w:val="0"/>
        <w:spacing w:line="360" w:lineRule="auto"/>
        <w:jc w:val="center"/>
        <w:outlineLvl w:val="9"/>
        <w:rPr>
          <w:rFonts w:hint="eastAsia" w:ascii="宋体" w:hAnsi="宋体" w:eastAsia="宋体" w:cs="宋体"/>
          <w:b/>
          <w:color w:val="auto"/>
          <w:kern w:val="0"/>
          <w:sz w:val="32"/>
          <w:szCs w:val="32"/>
          <w:highlight w:val="none"/>
        </w:rPr>
      </w:pPr>
    </w:p>
    <w:p w14:paraId="1EE8D4A6">
      <w:pPr>
        <w:snapToGrid w:val="0"/>
        <w:spacing w:line="360" w:lineRule="auto"/>
        <w:jc w:val="center"/>
        <w:outlineLvl w:val="9"/>
        <w:rPr>
          <w:rFonts w:hint="eastAsia" w:ascii="宋体" w:hAnsi="宋体" w:eastAsia="宋体" w:cs="宋体"/>
          <w:b/>
          <w:color w:val="auto"/>
          <w:kern w:val="0"/>
          <w:sz w:val="32"/>
          <w:szCs w:val="32"/>
          <w:highlight w:val="none"/>
        </w:rPr>
      </w:pPr>
    </w:p>
    <w:p w14:paraId="1D6D5612">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三、中小企业声明函（如果有）</w:t>
      </w:r>
    </w:p>
    <w:p w14:paraId="3D319B0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w:t>
      </w:r>
    </w:p>
    <w:p w14:paraId="58D04AC0">
      <w:pPr>
        <w:spacing w:line="360" w:lineRule="auto"/>
        <w:ind w:right="420" w:firstLine="3604" w:firstLineChars="1000"/>
        <w:rPr>
          <w:rFonts w:hint="eastAsia" w:ascii="宋体" w:hAnsi="宋体" w:eastAsia="宋体" w:cs="宋体"/>
          <w:b/>
          <w:color w:val="auto"/>
          <w:kern w:val="0"/>
          <w:sz w:val="36"/>
          <w:szCs w:val="36"/>
          <w:highlight w:val="none"/>
        </w:rPr>
      </w:pPr>
    </w:p>
    <w:p w14:paraId="6859F3B2">
      <w:pPr>
        <w:spacing w:line="360" w:lineRule="auto"/>
        <w:ind w:right="420" w:firstLine="3604" w:firstLineChars="1000"/>
        <w:rPr>
          <w:rFonts w:hint="eastAsia" w:ascii="宋体" w:hAnsi="宋体" w:eastAsia="宋体" w:cs="宋体"/>
          <w:b/>
          <w:color w:val="auto"/>
          <w:kern w:val="0"/>
          <w:sz w:val="36"/>
          <w:szCs w:val="36"/>
          <w:highlight w:val="none"/>
        </w:rPr>
      </w:pPr>
    </w:p>
    <w:p w14:paraId="2562CE1F">
      <w:pPr>
        <w:spacing w:line="360" w:lineRule="auto"/>
        <w:ind w:right="420" w:firstLine="3604" w:firstLineChars="1000"/>
        <w:rPr>
          <w:rFonts w:hint="eastAsia" w:ascii="宋体" w:hAnsi="宋体" w:eastAsia="宋体" w:cs="宋体"/>
          <w:b/>
          <w:color w:val="auto"/>
          <w:kern w:val="0"/>
          <w:sz w:val="36"/>
          <w:szCs w:val="36"/>
          <w:highlight w:val="none"/>
        </w:rPr>
      </w:pPr>
    </w:p>
    <w:p w14:paraId="493D9AC8">
      <w:pPr>
        <w:spacing w:line="360" w:lineRule="auto"/>
        <w:ind w:right="420" w:firstLine="3604" w:firstLineChars="1000"/>
        <w:rPr>
          <w:rFonts w:hint="eastAsia" w:ascii="宋体" w:hAnsi="宋体" w:eastAsia="宋体" w:cs="宋体"/>
          <w:b/>
          <w:color w:val="auto"/>
          <w:kern w:val="0"/>
          <w:sz w:val="36"/>
          <w:szCs w:val="36"/>
          <w:highlight w:val="none"/>
        </w:rPr>
      </w:pPr>
    </w:p>
    <w:p w14:paraId="0C1B242D">
      <w:pPr>
        <w:spacing w:line="360" w:lineRule="auto"/>
        <w:ind w:right="420" w:firstLine="3604" w:firstLineChars="1000"/>
        <w:rPr>
          <w:rFonts w:hint="eastAsia" w:ascii="宋体" w:hAnsi="宋体" w:eastAsia="宋体" w:cs="宋体"/>
          <w:b/>
          <w:color w:val="auto"/>
          <w:kern w:val="0"/>
          <w:sz w:val="36"/>
          <w:szCs w:val="36"/>
          <w:highlight w:val="none"/>
        </w:rPr>
      </w:pPr>
    </w:p>
    <w:p w14:paraId="5C25183B">
      <w:pPr>
        <w:spacing w:line="360" w:lineRule="auto"/>
        <w:ind w:right="420" w:firstLine="3604" w:firstLineChars="1000"/>
        <w:rPr>
          <w:rFonts w:hint="eastAsia" w:ascii="宋体" w:hAnsi="宋体" w:eastAsia="宋体" w:cs="宋体"/>
          <w:b/>
          <w:color w:val="auto"/>
          <w:kern w:val="0"/>
          <w:sz w:val="36"/>
          <w:szCs w:val="36"/>
          <w:highlight w:val="none"/>
        </w:rPr>
      </w:pPr>
    </w:p>
    <w:p w14:paraId="4E1B9D57">
      <w:pPr>
        <w:spacing w:line="360" w:lineRule="auto"/>
        <w:ind w:right="420" w:firstLine="3604" w:firstLineChars="1000"/>
        <w:rPr>
          <w:rFonts w:hint="eastAsia" w:ascii="宋体" w:hAnsi="宋体" w:eastAsia="宋体" w:cs="宋体"/>
          <w:b/>
          <w:color w:val="auto"/>
          <w:kern w:val="0"/>
          <w:sz w:val="36"/>
          <w:szCs w:val="36"/>
          <w:highlight w:val="none"/>
        </w:rPr>
      </w:pPr>
    </w:p>
    <w:p w14:paraId="2ADB363F">
      <w:pPr>
        <w:spacing w:line="360" w:lineRule="auto"/>
        <w:ind w:right="420" w:firstLine="3604" w:firstLineChars="1000"/>
        <w:rPr>
          <w:rFonts w:hint="eastAsia" w:ascii="宋体" w:hAnsi="宋体" w:eastAsia="宋体" w:cs="宋体"/>
          <w:b/>
          <w:color w:val="auto"/>
          <w:kern w:val="0"/>
          <w:sz w:val="36"/>
          <w:szCs w:val="36"/>
          <w:highlight w:val="none"/>
        </w:rPr>
      </w:pPr>
    </w:p>
    <w:p w14:paraId="26D1811F">
      <w:pPr>
        <w:spacing w:line="360" w:lineRule="auto"/>
        <w:ind w:right="420" w:firstLine="3604" w:firstLineChars="1000"/>
        <w:rPr>
          <w:rFonts w:hint="eastAsia" w:ascii="宋体" w:hAnsi="宋体" w:eastAsia="宋体" w:cs="宋体"/>
          <w:b/>
          <w:color w:val="auto"/>
          <w:kern w:val="0"/>
          <w:sz w:val="36"/>
          <w:szCs w:val="36"/>
          <w:highlight w:val="none"/>
        </w:rPr>
      </w:pPr>
    </w:p>
    <w:p w14:paraId="3FEE5CFC">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899F377">
      <w:pPr>
        <w:spacing w:line="360" w:lineRule="auto"/>
        <w:jc w:val="center"/>
        <w:outlineLvl w:val="1"/>
        <w:rPr>
          <w:rFonts w:hint="eastAsia" w:ascii="宋体" w:hAnsi="宋体" w:eastAsia="宋体" w:cs="宋体"/>
          <w:b/>
          <w:color w:val="auto"/>
          <w:kern w:val="0"/>
          <w:sz w:val="36"/>
          <w:szCs w:val="36"/>
          <w:highlight w:val="none"/>
        </w:rPr>
      </w:pPr>
      <w:bookmarkStart w:id="29" w:name="_Hlk125845340"/>
      <w:r>
        <w:rPr>
          <w:rFonts w:hint="eastAsia" w:ascii="宋体" w:hAnsi="宋体" w:eastAsia="宋体" w:cs="宋体"/>
          <w:b/>
          <w:color w:val="auto"/>
          <w:kern w:val="0"/>
          <w:sz w:val="36"/>
          <w:szCs w:val="36"/>
          <w:highlight w:val="none"/>
        </w:rPr>
        <w:t>附件</w:t>
      </w:r>
    </w:p>
    <w:p w14:paraId="414BB14C">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附件1：残疾人福利性单位声明函</w:t>
      </w:r>
    </w:p>
    <w:bookmarkEnd w:id="29"/>
    <w:p w14:paraId="76B11F79">
      <w:pPr>
        <w:spacing w:line="360" w:lineRule="auto"/>
        <w:jc w:val="center"/>
        <w:rPr>
          <w:rFonts w:hint="eastAsia" w:ascii="宋体" w:hAnsi="宋体" w:eastAsia="宋体" w:cs="宋体"/>
          <w:b/>
          <w:color w:val="auto"/>
          <w:spacing w:val="6"/>
          <w:sz w:val="32"/>
          <w:szCs w:val="32"/>
          <w:highlight w:val="none"/>
        </w:rPr>
      </w:pPr>
      <w:bookmarkStart w:id="30" w:name="OLE_LINK14"/>
      <w:bookmarkStart w:id="31" w:name="OLE_LINK13"/>
    </w:p>
    <w:p w14:paraId="2CB4124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30"/>
    <w:bookmarkEnd w:id="31"/>
    <w:p w14:paraId="447BA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lang w:eastAsia="zh-CN"/>
        </w:rPr>
        <w:t>嘉兴市体育彩票管理服务中心</w:t>
      </w:r>
      <w:r>
        <w:rPr>
          <w:rFonts w:hint="eastAsia" w:ascii="宋体" w:hAnsi="宋体" w:eastAsia="宋体" w:cs="宋体"/>
          <w:color w:val="auto"/>
          <w:sz w:val="24"/>
          <w:highlight w:val="none"/>
        </w:rPr>
        <w:t>_的_</w:t>
      </w:r>
      <w:r>
        <w:rPr>
          <w:rFonts w:hint="eastAsia" w:ascii="宋体" w:hAnsi="宋体" w:eastAsia="宋体" w:cs="宋体"/>
          <w:color w:val="auto"/>
          <w:sz w:val="24"/>
          <w:highlight w:val="none"/>
          <w:u w:val="single"/>
          <w:lang w:eastAsia="zh-CN"/>
        </w:rPr>
        <w:t>嘉兴市体育彩票管理服务中心2025年嘉兴体彩品牌公益推广系列活动项目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2AB62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78A9540">
      <w:pPr>
        <w:spacing w:line="360" w:lineRule="auto"/>
        <w:ind w:firstLine="480" w:firstLineChars="200"/>
        <w:rPr>
          <w:rFonts w:hint="eastAsia" w:ascii="宋体" w:hAnsi="宋体" w:eastAsia="宋体" w:cs="宋体"/>
          <w:color w:val="auto"/>
          <w:sz w:val="24"/>
          <w:highlight w:val="none"/>
        </w:rPr>
      </w:pPr>
      <w:bookmarkStart w:id="32" w:name="_Hlk125845405"/>
    </w:p>
    <w:p w14:paraId="674E6D3F">
      <w:pPr>
        <w:spacing w:line="360" w:lineRule="auto"/>
        <w:ind w:firstLine="480" w:firstLineChars="200"/>
        <w:rPr>
          <w:rFonts w:hint="eastAsia" w:ascii="宋体" w:hAnsi="宋体" w:eastAsia="宋体" w:cs="宋体"/>
          <w:color w:val="auto"/>
          <w:sz w:val="24"/>
          <w:highlight w:val="none"/>
        </w:rPr>
      </w:pPr>
    </w:p>
    <w:p w14:paraId="1FC6289D">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33149E29">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  期：</w:t>
      </w:r>
    </w:p>
    <w:p w14:paraId="5E051D10">
      <w:pPr>
        <w:spacing w:line="360" w:lineRule="auto"/>
        <w:rPr>
          <w:rFonts w:hint="eastAsia" w:ascii="宋体" w:hAnsi="宋体" w:eastAsia="宋体" w:cs="宋体"/>
          <w:b/>
          <w:color w:val="auto"/>
          <w:sz w:val="24"/>
          <w:highlight w:val="none"/>
        </w:rPr>
      </w:pPr>
    </w:p>
    <w:bookmarkEnd w:id="32"/>
    <w:p w14:paraId="7C2000C3">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附件2：质疑函范本及制作说明</w:t>
      </w:r>
    </w:p>
    <w:p w14:paraId="58B7E89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CAB48F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一、质疑供应商基本信息</w:t>
      </w:r>
    </w:p>
    <w:p w14:paraId="2E06C955">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质疑供应商：</w:t>
      </w:r>
      <w:r>
        <w:rPr>
          <w:rFonts w:hint="eastAsia" w:ascii="宋体" w:hAnsi="宋体" w:eastAsia="宋体" w:cs="宋体"/>
          <w:color w:val="auto"/>
          <w:sz w:val="18"/>
          <w:szCs w:val="18"/>
          <w:highlight w:val="none"/>
          <w:u w:val="dotted"/>
        </w:rPr>
        <w:t xml:space="preserve">                                            </w:t>
      </w:r>
    </w:p>
    <w:p w14:paraId="107BCBC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789EBC0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2814DAAC">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授权代表：</w:t>
      </w:r>
      <w:r>
        <w:rPr>
          <w:rFonts w:hint="eastAsia" w:ascii="宋体" w:hAnsi="宋体" w:eastAsia="宋体" w:cs="宋体"/>
          <w:color w:val="auto"/>
          <w:sz w:val="18"/>
          <w:szCs w:val="18"/>
          <w:highlight w:val="none"/>
          <w:u w:val="dotted"/>
        </w:rPr>
        <w:t xml:space="preserve">                                              </w:t>
      </w:r>
    </w:p>
    <w:p w14:paraId="416980D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4BCD1ABE">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53AF177F">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二、质疑项目基本情况</w:t>
      </w:r>
    </w:p>
    <w:p w14:paraId="56F2240D">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质疑项目的名称：</w:t>
      </w:r>
      <w:r>
        <w:rPr>
          <w:rFonts w:hint="eastAsia" w:ascii="宋体" w:hAnsi="宋体" w:eastAsia="宋体" w:cs="宋体"/>
          <w:color w:val="auto"/>
          <w:sz w:val="18"/>
          <w:szCs w:val="18"/>
          <w:highlight w:val="none"/>
          <w:u w:val="dotted"/>
        </w:rPr>
        <w:t xml:space="preserve">                                        </w:t>
      </w:r>
    </w:p>
    <w:p w14:paraId="2746C7B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质疑项目的编号：：</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包号：</w:t>
      </w:r>
      <w:r>
        <w:rPr>
          <w:rFonts w:hint="eastAsia" w:ascii="宋体" w:hAnsi="宋体" w:eastAsia="宋体" w:cs="宋体"/>
          <w:color w:val="auto"/>
          <w:sz w:val="18"/>
          <w:szCs w:val="18"/>
          <w:highlight w:val="none"/>
          <w:u w:val="dotted"/>
        </w:rPr>
        <w:t xml:space="preserve">                    </w:t>
      </w:r>
    </w:p>
    <w:p w14:paraId="626187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采购人名称：</w:t>
      </w:r>
      <w:r>
        <w:rPr>
          <w:rFonts w:hint="eastAsia" w:ascii="宋体" w:hAnsi="宋体" w:eastAsia="宋体" w:cs="宋体"/>
          <w:color w:val="auto"/>
          <w:sz w:val="18"/>
          <w:szCs w:val="18"/>
          <w:highlight w:val="none"/>
          <w:u w:val="dotted"/>
        </w:rPr>
        <w:t xml:space="preserve">                                            </w:t>
      </w:r>
    </w:p>
    <w:p w14:paraId="676CF69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采购文件获取日期：</w:t>
      </w:r>
      <w:r>
        <w:rPr>
          <w:rFonts w:hint="eastAsia" w:ascii="宋体" w:hAnsi="宋体" w:eastAsia="宋体" w:cs="宋体"/>
          <w:color w:val="auto"/>
          <w:sz w:val="18"/>
          <w:szCs w:val="18"/>
          <w:highlight w:val="none"/>
          <w:u w:val="dotted"/>
        </w:rPr>
        <w:t xml:space="preserve">                                      </w:t>
      </w:r>
    </w:p>
    <w:p w14:paraId="08FA52A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三、质疑事项具体内容</w:t>
      </w:r>
    </w:p>
    <w:p w14:paraId="4F58E2D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质疑事项1：</w:t>
      </w:r>
      <w:r>
        <w:rPr>
          <w:rFonts w:hint="eastAsia" w:ascii="宋体" w:hAnsi="宋体" w:eastAsia="宋体" w:cs="宋体"/>
          <w:color w:val="auto"/>
          <w:sz w:val="18"/>
          <w:szCs w:val="18"/>
          <w:highlight w:val="none"/>
          <w:u w:val="dotted"/>
        </w:rPr>
        <w:t xml:space="preserve">                                             </w:t>
      </w:r>
    </w:p>
    <w:p w14:paraId="46A9475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事实依据：</w:t>
      </w:r>
      <w:r>
        <w:rPr>
          <w:rFonts w:hint="eastAsia" w:ascii="宋体" w:hAnsi="宋体" w:eastAsia="宋体" w:cs="宋体"/>
          <w:color w:val="auto"/>
          <w:sz w:val="18"/>
          <w:szCs w:val="18"/>
          <w:highlight w:val="none"/>
          <w:u w:val="dotted"/>
        </w:rPr>
        <w:t xml:space="preserve">                                              </w:t>
      </w:r>
    </w:p>
    <w:p w14:paraId="364B3F3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 xml:space="preserve">                                                        </w:t>
      </w:r>
    </w:p>
    <w:p w14:paraId="1447192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法律依据：</w:t>
      </w:r>
      <w:r>
        <w:rPr>
          <w:rFonts w:hint="eastAsia" w:ascii="宋体" w:hAnsi="宋体" w:eastAsia="宋体" w:cs="宋体"/>
          <w:color w:val="auto"/>
          <w:sz w:val="18"/>
          <w:szCs w:val="18"/>
          <w:highlight w:val="none"/>
          <w:u w:val="dotted"/>
        </w:rPr>
        <w:t xml:space="preserve">                                              </w:t>
      </w:r>
    </w:p>
    <w:p w14:paraId="587CC8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 xml:space="preserve">                                                        </w:t>
      </w:r>
    </w:p>
    <w:p w14:paraId="2502403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质疑事项2</w:t>
      </w:r>
    </w:p>
    <w:p w14:paraId="2DB0D12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p w14:paraId="5EE3FAF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四、与质疑事项相关的质疑请求</w:t>
      </w:r>
    </w:p>
    <w:p w14:paraId="5974110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请求：</w:t>
      </w:r>
      <w:r>
        <w:rPr>
          <w:rFonts w:hint="eastAsia" w:ascii="宋体" w:hAnsi="宋体" w:eastAsia="宋体" w:cs="宋体"/>
          <w:color w:val="auto"/>
          <w:sz w:val="18"/>
          <w:szCs w:val="18"/>
          <w:highlight w:val="none"/>
          <w:u w:val="dotted"/>
        </w:rPr>
        <w:t xml:space="preserve">                                                  </w:t>
      </w:r>
    </w:p>
    <w:p w14:paraId="5CA16C9C">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签字(签章)：                   公章：                      </w:t>
      </w:r>
    </w:p>
    <w:p w14:paraId="783421DB">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日期：</w:t>
      </w:r>
    </w:p>
    <w:p w14:paraId="17EC32A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p>
    <w:p w14:paraId="4B13780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质疑函制作说明：</w:t>
      </w:r>
    </w:p>
    <w:p w14:paraId="240A2A68">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1.供应商提出质疑时，应提交质疑函和必要的证明材料。</w:t>
      </w:r>
    </w:p>
    <w:p w14:paraId="43E048DA">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18"/>
          <w:szCs w:val="18"/>
          <w:highlight w:val="none"/>
        </w:rPr>
        <w:t>供应商签署的授权委托书。授权委托书应载明代理人的姓名或者名称、代理事项、具体权限、期限和相关事项。</w:t>
      </w:r>
    </w:p>
    <w:p w14:paraId="75A5D915">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3.质疑供应商若对项目的某一分包进行质疑，质疑函中应列明具体分包号。</w:t>
      </w:r>
    </w:p>
    <w:p w14:paraId="03EED141">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4.质疑函的质疑事项应具体、明确，并有必要的事实依据和法律依据。</w:t>
      </w:r>
    </w:p>
    <w:p w14:paraId="28034679">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5.质疑函的质疑请求应与质疑事项相关。</w:t>
      </w:r>
    </w:p>
    <w:p w14:paraId="46F2D847">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6.质疑供应商为自然人的，质疑函应由本人签字；质疑供应商为法人或者其他组织的，质疑函应由法定代表人、主要负责人，或者其授权代表签字或者盖章，并加盖公章。</w:t>
      </w:r>
    </w:p>
    <w:p w14:paraId="6C8AEC1C">
      <w:pPr>
        <w:spacing w:line="360" w:lineRule="auto"/>
        <w:jc w:val="left"/>
        <w:rPr>
          <w:rFonts w:hint="eastAsia" w:ascii="宋体" w:hAnsi="宋体" w:eastAsia="宋体" w:cs="宋体"/>
          <w:b/>
          <w:color w:val="auto"/>
          <w:spacing w:val="6"/>
          <w:sz w:val="32"/>
          <w:szCs w:val="32"/>
          <w:highlight w:val="none"/>
        </w:rPr>
      </w:pPr>
    </w:p>
    <w:p w14:paraId="5DC42A92">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附件3：投诉书范本及制作说明</w:t>
      </w:r>
    </w:p>
    <w:p w14:paraId="4D4D0DE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D26066C">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一、投诉相关主体基本情况</w:t>
      </w:r>
    </w:p>
    <w:p w14:paraId="404EC4D9">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投诉人：</w:t>
      </w:r>
      <w:r>
        <w:rPr>
          <w:rFonts w:hint="eastAsia" w:ascii="宋体" w:hAnsi="宋体" w:eastAsia="宋体" w:cs="宋体"/>
          <w:color w:val="auto"/>
          <w:sz w:val="18"/>
          <w:szCs w:val="18"/>
          <w:highlight w:val="none"/>
          <w:u w:val="dotted"/>
        </w:rPr>
        <w:t xml:space="preserve">                                                        </w:t>
      </w:r>
    </w:p>
    <w:p w14:paraId="5E258AF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32C0C7E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法定代表人/主要负责人：</w:t>
      </w:r>
      <w:r>
        <w:rPr>
          <w:rFonts w:hint="eastAsia" w:ascii="宋体" w:hAnsi="宋体" w:eastAsia="宋体" w:cs="宋体"/>
          <w:color w:val="auto"/>
          <w:sz w:val="18"/>
          <w:szCs w:val="18"/>
          <w:highlight w:val="none"/>
          <w:u w:val="dotted"/>
        </w:rPr>
        <w:t xml:space="preserve">                                         </w:t>
      </w:r>
    </w:p>
    <w:p w14:paraId="7283FAA3">
      <w:pPr>
        <w:keepNext w:val="0"/>
        <w:keepLines w:val="0"/>
        <w:pageBreakBefore w:val="0"/>
        <w:tabs>
          <w:tab w:val="left" w:pos="6510"/>
        </w:tabs>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05F8D923">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授权代表：</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32999E38">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34EB60BA">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被投诉人1：</w:t>
      </w:r>
      <w:r>
        <w:rPr>
          <w:rFonts w:hint="eastAsia" w:ascii="宋体" w:hAnsi="宋体" w:eastAsia="宋体" w:cs="宋体"/>
          <w:color w:val="auto"/>
          <w:sz w:val="18"/>
          <w:szCs w:val="18"/>
          <w:highlight w:val="none"/>
          <w:u w:val="dotted"/>
        </w:rPr>
        <w:t xml:space="preserve">                                                     </w:t>
      </w:r>
    </w:p>
    <w:p w14:paraId="3BEEA19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04EAE2C0">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277116E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被投诉人2</w:t>
      </w:r>
    </w:p>
    <w:p w14:paraId="5F1891A6">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w:t>
      </w:r>
    </w:p>
    <w:p w14:paraId="684BC90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相关供应商：</w:t>
      </w:r>
      <w:r>
        <w:rPr>
          <w:rFonts w:hint="eastAsia" w:ascii="宋体" w:hAnsi="宋体" w:eastAsia="宋体" w:cs="宋体"/>
          <w:color w:val="auto"/>
          <w:sz w:val="18"/>
          <w:szCs w:val="18"/>
          <w:highlight w:val="none"/>
          <w:u w:val="dotted"/>
        </w:rPr>
        <w:t xml:space="preserve">                                                    </w:t>
      </w:r>
    </w:p>
    <w:p w14:paraId="187F915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      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62BE635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65B2B939">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二、投诉项目基本情况</w:t>
      </w:r>
    </w:p>
    <w:p w14:paraId="15EC1DEB">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采购项目名称：</w:t>
      </w:r>
      <w:r>
        <w:rPr>
          <w:rFonts w:hint="eastAsia" w:ascii="宋体" w:hAnsi="宋体" w:eastAsia="宋体" w:cs="宋体"/>
          <w:color w:val="auto"/>
          <w:sz w:val="18"/>
          <w:szCs w:val="18"/>
          <w:highlight w:val="none"/>
          <w:u w:val="dotted"/>
        </w:rPr>
        <w:t xml:space="preserve">                                                  </w:t>
      </w:r>
    </w:p>
    <w:p w14:paraId="348FB8ED">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采购项目编号：</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包号：</w:t>
      </w:r>
      <w:r>
        <w:rPr>
          <w:rFonts w:hint="eastAsia" w:ascii="宋体" w:hAnsi="宋体" w:eastAsia="宋体" w:cs="宋体"/>
          <w:color w:val="auto"/>
          <w:sz w:val="18"/>
          <w:szCs w:val="18"/>
          <w:highlight w:val="none"/>
          <w:u w:val="dotted"/>
        </w:rPr>
        <w:t xml:space="preserve">                      </w:t>
      </w:r>
    </w:p>
    <w:p w14:paraId="478EBC99">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采购人名称：</w:t>
      </w:r>
      <w:r>
        <w:rPr>
          <w:rFonts w:hint="eastAsia" w:ascii="宋体" w:hAnsi="宋体" w:eastAsia="宋体" w:cs="宋体"/>
          <w:color w:val="auto"/>
          <w:sz w:val="18"/>
          <w:szCs w:val="18"/>
          <w:highlight w:val="none"/>
          <w:u w:val="dotted"/>
        </w:rPr>
        <w:t xml:space="preserve">                                                    </w:t>
      </w:r>
    </w:p>
    <w:p w14:paraId="31895332">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代理机构名称：</w:t>
      </w:r>
      <w:r>
        <w:rPr>
          <w:rFonts w:hint="eastAsia" w:ascii="宋体" w:hAnsi="宋体" w:eastAsia="宋体" w:cs="宋体"/>
          <w:color w:val="auto"/>
          <w:sz w:val="18"/>
          <w:szCs w:val="18"/>
          <w:highlight w:val="none"/>
          <w:u w:val="dotted"/>
        </w:rPr>
        <w:t xml:space="preserve">                                                  </w:t>
      </w:r>
    </w:p>
    <w:p w14:paraId="65BDF75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采购文件公告:</w:t>
      </w:r>
      <w:r>
        <w:rPr>
          <w:rFonts w:hint="eastAsia" w:ascii="宋体" w:hAnsi="宋体" w:eastAsia="宋体" w:cs="宋体"/>
          <w:color w:val="auto"/>
          <w:sz w:val="18"/>
          <w:szCs w:val="18"/>
          <w:highlight w:val="none"/>
          <w:u w:val="dotted"/>
        </w:rPr>
        <w:t xml:space="preserve">是/否 </w:t>
      </w:r>
      <w:r>
        <w:rPr>
          <w:rFonts w:hint="eastAsia" w:ascii="宋体" w:hAnsi="宋体" w:eastAsia="宋体" w:cs="宋体"/>
          <w:color w:val="auto"/>
          <w:sz w:val="18"/>
          <w:szCs w:val="18"/>
          <w:highlight w:val="none"/>
        </w:rPr>
        <w:t>公告期限：</w:t>
      </w:r>
      <w:r>
        <w:rPr>
          <w:rFonts w:hint="eastAsia" w:ascii="宋体" w:hAnsi="宋体" w:eastAsia="宋体" w:cs="宋体"/>
          <w:color w:val="auto"/>
          <w:sz w:val="18"/>
          <w:szCs w:val="18"/>
          <w:highlight w:val="none"/>
          <w:u w:val="dotted"/>
        </w:rPr>
        <w:t xml:space="preserve">                                   </w:t>
      </w:r>
    </w:p>
    <w:p w14:paraId="7E6F483C">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采购结果公告:</w:t>
      </w:r>
      <w:r>
        <w:rPr>
          <w:rFonts w:hint="eastAsia" w:ascii="宋体" w:hAnsi="宋体" w:eastAsia="宋体" w:cs="宋体"/>
          <w:color w:val="auto"/>
          <w:sz w:val="18"/>
          <w:szCs w:val="18"/>
          <w:highlight w:val="none"/>
          <w:u w:val="dotted"/>
        </w:rPr>
        <w:t xml:space="preserve">是/否 </w:t>
      </w:r>
      <w:r>
        <w:rPr>
          <w:rFonts w:hint="eastAsia" w:ascii="宋体" w:hAnsi="宋体" w:eastAsia="宋体" w:cs="宋体"/>
          <w:color w:val="auto"/>
          <w:sz w:val="18"/>
          <w:szCs w:val="18"/>
          <w:highlight w:val="none"/>
        </w:rPr>
        <w:t>公告期限：</w:t>
      </w:r>
      <w:r>
        <w:rPr>
          <w:rFonts w:hint="eastAsia" w:ascii="宋体" w:hAnsi="宋体" w:eastAsia="宋体" w:cs="宋体"/>
          <w:color w:val="auto"/>
          <w:sz w:val="18"/>
          <w:szCs w:val="18"/>
          <w:highlight w:val="none"/>
          <w:u w:val="dotted"/>
        </w:rPr>
        <w:t xml:space="preserve">                                   </w:t>
      </w:r>
    </w:p>
    <w:p w14:paraId="6238B271">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三、质疑基本情况</w:t>
      </w:r>
    </w:p>
    <w:p w14:paraId="2C267507">
      <w:pPr>
        <w:keepNext w:val="0"/>
        <w:keepLines w:val="0"/>
        <w:pageBreakBefore w:val="0"/>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投诉人于</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日,向</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提出质疑，质疑事项为：</w:t>
      </w:r>
      <w:r>
        <w:rPr>
          <w:rFonts w:hint="eastAsia" w:ascii="宋体" w:hAnsi="宋体" w:eastAsia="宋体" w:cs="宋体"/>
          <w:color w:val="auto"/>
          <w:sz w:val="18"/>
          <w:szCs w:val="18"/>
          <w:highlight w:val="none"/>
          <w:u w:val="dotted"/>
        </w:rPr>
        <w:t xml:space="preserve">     </w:t>
      </w:r>
    </w:p>
    <w:p w14:paraId="658F31AB">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7F6D7E7D">
      <w:pPr>
        <w:keepNext w:val="0"/>
        <w:keepLines w:val="0"/>
        <w:pageBreakBefore w:val="0"/>
        <w:kinsoku/>
        <w:wordWrap/>
        <w:overflowPunct/>
        <w:topLinePunct w:val="0"/>
        <w:autoSpaceDE/>
        <w:autoSpaceDN/>
        <w:bidi w:val="0"/>
        <w:adjustRightInd w:val="0"/>
        <w:spacing w:line="320" w:lineRule="atLeast"/>
        <w:ind w:firstLine="270" w:firstLineChars="15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采购人/代理机构</w:t>
      </w:r>
      <w:r>
        <w:rPr>
          <w:rFonts w:hint="eastAsia" w:ascii="宋体" w:hAnsi="宋体" w:eastAsia="宋体" w:cs="宋体"/>
          <w:color w:val="auto"/>
          <w:sz w:val="18"/>
          <w:szCs w:val="18"/>
          <w:highlight w:val="none"/>
        </w:rPr>
        <w:t>于</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日,就质疑事项作出了答复/没有在法定期限内作出答复。</w:t>
      </w:r>
    </w:p>
    <w:p w14:paraId="7F2C39BB">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四、投诉事项具体内容</w:t>
      </w:r>
    </w:p>
    <w:p w14:paraId="576FCB99">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投诉事项1：</w:t>
      </w:r>
      <w:r>
        <w:rPr>
          <w:rFonts w:hint="eastAsia" w:ascii="宋体" w:hAnsi="宋体" w:eastAsia="宋体" w:cs="宋体"/>
          <w:color w:val="auto"/>
          <w:sz w:val="18"/>
          <w:szCs w:val="18"/>
          <w:highlight w:val="none"/>
          <w:u w:val="dotted"/>
        </w:rPr>
        <w:t xml:space="preserve">                                                     </w:t>
      </w:r>
    </w:p>
    <w:p w14:paraId="4733932A">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事实依据：</w:t>
      </w:r>
      <w:r>
        <w:rPr>
          <w:rFonts w:hint="eastAsia" w:ascii="宋体" w:hAnsi="宋体" w:eastAsia="宋体" w:cs="宋体"/>
          <w:color w:val="auto"/>
          <w:sz w:val="18"/>
          <w:szCs w:val="18"/>
          <w:highlight w:val="none"/>
          <w:u w:val="dotted"/>
        </w:rPr>
        <w:t xml:space="preserve">                                                      </w:t>
      </w:r>
    </w:p>
    <w:p w14:paraId="05C6BCDF">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55FFD32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法律依据：</w:t>
      </w:r>
      <w:r>
        <w:rPr>
          <w:rFonts w:hint="eastAsia" w:ascii="宋体" w:hAnsi="宋体" w:eastAsia="宋体" w:cs="宋体"/>
          <w:color w:val="auto"/>
          <w:sz w:val="18"/>
          <w:szCs w:val="18"/>
          <w:highlight w:val="none"/>
          <w:u w:val="dotted"/>
        </w:rPr>
        <w:t xml:space="preserve">                                                      </w:t>
      </w:r>
    </w:p>
    <w:p w14:paraId="666AEC4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36B94A6F">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投诉事项2</w:t>
      </w:r>
    </w:p>
    <w:p w14:paraId="6F2CBC63">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w:t>
      </w:r>
    </w:p>
    <w:p w14:paraId="5355C6C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五、与投诉事项相关的投诉请求</w:t>
      </w:r>
    </w:p>
    <w:p w14:paraId="69249B56">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请求：</w:t>
      </w:r>
      <w:r>
        <w:rPr>
          <w:rFonts w:hint="eastAsia" w:ascii="宋体" w:hAnsi="宋体" w:eastAsia="宋体" w:cs="宋体"/>
          <w:color w:val="auto"/>
          <w:sz w:val="18"/>
          <w:szCs w:val="18"/>
          <w:highlight w:val="none"/>
          <w:u w:val="dotted"/>
        </w:rPr>
        <w:t xml:space="preserve">                                                          </w:t>
      </w:r>
    </w:p>
    <w:p w14:paraId="3135B4B6">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p>
    <w:p w14:paraId="6BC772F1">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签字(签章)：                   公章：                      </w:t>
      </w:r>
    </w:p>
    <w:p w14:paraId="06F8EE1D">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日期：</w:t>
      </w:r>
    </w:p>
    <w:p w14:paraId="20B24905">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p>
    <w:p w14:paraId="633BAB2C">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p>
    <w:p w14:paraId="2283726A">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投诉书制作说明：</w:t>
      </w:r>
    </w:p>
    <w:p w14:paraId="7247EF0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1.投诉人提起投诉时，应当提交投诉书和必要的证明材料，并按照被投诉人和与投诉事项有关的供应商数量提供投诉书副本。</w:t>
      </w:r>
    </w:p>
    <w:p w14:paraId="4AD785A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2.投诉人若委托代理人进行投诉的，投诉书应按照要求列明“授权代表”的有关内容，并在附件中提交由</w:t>
      </w:r>
      <w:r>
        <w:rPr>
          <w:rFonts w:hint="eastAsia" w:ascii="宋体" w:hAnsi="宋体" w:eastAsia="宋体" w:cs="宋体"/>
          <w:color w:val="auto"/>
          <w:kern w:val="0"/>
          <w:sz w:val="18"/>
          <w:szCs w:val="18"/>
          <w:highlight w:val="none"/>
        </w:rPr>
        <w:t>投诉人签署的授权委托书。授权委托书应当载明代理人的姓名或者名称、代理事项、具体权限、期限和相关事项。</w:t>
      </w:r>
    </w:p>
    <w:p w14:paraId="5A6009D9">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3.投诉人若对项目的某一分包进行投诉，投诉书应列明具体分包号。</w:t>
      </w:r>
    </w:p>
    <w:p w14:paraId="623C9EFE">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4.投诉书应简要列明质疑事项，质疑函、质疑答复等作为附件材料提供。</w:t>
      </w:r>
    </w:p>
    <w:p w14:paraId="08A901B5">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5.投诉书的投诉事项应具体、明确，并有必要的事实依据和法律依据。</w:t>
      </w:r>
    </w:p>
    <w:p w14:paraId="6B7D1464">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6.投诉书的投诉请求应与投诉事项相关。</w:t>
      </w:r>
    </w:p>
    <w:p w14:paraId="42DD42FA">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18"/>
          <w:szCs w:val="18"/>
          <w:highlight w:val="none"/>
        </w:rPr>
        <w:t>7.投诉人为自然人的，投诉书应当由本人签字；投诉人为法人或者其他组织的，投诉书应当由法定代表人、主要负责人，或者其授权代表签字或者盖章，并加盖公章。</w:t>
      </w:r>
    </w:p>
    <w:p w14:paraId="5905ECE3">
      <w:pPr>
        <w:spacing w:line="360" w:lineRule="auto"/>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附件4：联合协议</w:t>
      </w:r>
    </w:p>
    <w:p w14:paraId="45A3E70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联合协议</w:t>
      </w:r>
    </w:p>
    <w:p w14:paraId="6AA521C1">
      <w:pPr>
        <w:keepNext w:val="0"/>
        <w:keepLines w:val="0"/>
        <w:pageBreakBefore w:val="0"/>
        <w:widowControl/>
        <w:kinsoku/>
        <w:wordWrap/>
        <w:overflowPunct/>
        <w:topLinePunct w:val="0"/>
        <w:autoSpaceDE/>
        <w:autoSpaceDN/>
        <w:bidi w:val="0"/>
        <w:adjustRightInd w:val="0"/>
        <w:spacing w:line="380" w:lineRule="atLeas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（以联合体形式投标的，提供联合协议；本项目不接受联合体投标或者投标人不以联合体形式投标的，则不需要提供）</w:t>
      </w:r>
    </w:p>
    <w:p w14:paraId="60D37F59">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lang w:eastAsia="zh-CN"/>
        </w:rPr>
        <w:t>嘉兴市体育彩票管理服务中心2025年嘉兴体彩品牌公益推广系列活动项目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JXYJY-2025-10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投标。</w:t>
      </w:r>
    </w:p>
    <w:p w14:paraId="7592E5C2">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5C85478C">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36771B0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61D5B8A8">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lang w:val="zh-CN"/>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w:t>
      </w:r>
    </w:p>
    <w:p w14:paraId="78F5D743">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lang w:val="zh-CN"/>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w:t>
      </w:r>
    </w:p>
    <w:p w14:paraId="297C720B">
      <w:pPr>
        <w:keepNext w:val="0"/>
        <w:keepLines w:val="0"/>
        <w:pageBreakBefore w:val="0"/>
        <w:kinsoku/>
        <w:wordWrap/>
        <w:overflowPunct/>
        <w:topLinePunct w:val="0"/>
        <w:autoSpaceDE/>
        <w:autoSpaceDN/>
        <w:bidi w:val="0"/>
        <w:adjustRightInd w:val="0"/>
        <w:snapToGrid w:val="0"/>
        <w:spacing w:line="38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22E94344">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1ECF4EB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33" w:name="_Hlk101131882"/>
      <w:r>
        <w:rPr>
          <w:rFonts w:hint="eastAsia" w:ascii="宋体" w:hAnsi="宋体" w:eastAsia="宋体" w:cs="宋体"/>
          <w:color w:val="auto"/>
          <w:kern w:val="0"/>
          <w:sz w:val="21"/>
          <w:szCs w:val="21"/>
          <w:highlight w:val="none"/>
          <w:u w:val="single"/>
        </w:rPr>
        <w:t>联合体成员X,……</w:t>
      </w:r>
      <w:bookmarkEnd w:id="33"/>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34" w:name="_Hlk101133598"/>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34"/>
      <w:r>
        <w:rPr>
          <w:rFonts w:hint="eastAsia" w:ascii="宋体" w:hAnsi="宋体" w:eastAsia="宋体" w:cs="宋体"/>
          <w:b/>
          <w:color w:val="auto"/>
          <w:kern w:val="0"/>
          <w:sz w:val="21"/>
          <w:szCs w:val="21"/>
          <w:highlight w:val="none"/>
          <w:lang w:val="zh-CN"/>
        </w:rPr>
        <w:t>）</w:t>
      </w:r>
    </w:p>
    <w:p w14:paraId="300C8ED7">
      <w:pPr>
        <w:keepNext w:val="0"/>
        <w:keepLines w:val="0"/>
        <w:pageBreakBefore w:val="0"/>
        <w:kinsoku/>
        <w:wordWrap/>
        <w:overflowPunct/>
        <w:topLinePunct w:val="0"/>
        <w:autoSpaceDE/>
        <w:autoSpaceDN/>
        <w:bidi w:val="0"/>
        <w:adjustRightInd w:val="0"/>
        <w:spacing w:line="380" w:lineRule="atLeast"/>
        <w:ind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35"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35"/>
    </w:p>
    <w:p w14:paraId="6A4556D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15B96B90">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64CAEE61">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37B89DD4">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1DCD988E">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3、本协议提交采购人、采购机构后，联合体各方不得以任何形式对上述内容进行修改或撤销。</w:t>
      </w:r>
    </w:p>
    <w:p w14:paraId="1A965B6A">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53DF8AB7">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327B20E">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12A8F478">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1BDB906D">
      <w:pPr>
        <w:keepNext w:val="0"/>
        <w:keepLines w:val="0"/>
        <w:pageBreakBefore w:val="0"/>
        <w:kinsoku/>
        <w:wordWrap/>
        <w:overflowPunct/>
        <w:topLinePunct w:val="0"/>
        <w:autoSpaceDE/>
        <w:autoSpaceDN/>
        <w:bidi w:val="0"/>
        <w:adjustRightInd w:val="0"/>
        <w:spacing w:line="380" w:lineRule="atLeast"/>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542E47CE">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3BB56B3">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：分包意向协议</w:t>
      </w:r>
    </w:p>
    <w:p w14:paraId="41CD7AF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分包意向协议</w:t>
      </w:r>
    </w:p>
    <w:p w14:paraId="1A883E4F">
      <w:pPr>
        <w:keepNext w:val="0"/>
        <w:keepLines w:val="0"/>
        <w:pageBreakBefore w:val="0"/>
        <w:widowControl/>
        <w:kinsoku/>
        <w:wordWrap/>
        <w:overflowPunct/>
        <w:topLinePunct w:val="0"/>
        <w:autoSpaceDE/>
        <w:autoSpaceDN/>
        <w:bidi w:val="0"/>
        <w:adjustRightInd w:val="0"/>
        <w:spacing w:line="36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24278572">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lang w:eastAsia="zh-CN"/>
        </w:rPr>
        <w:t>嘉兴市体育彩票管理服务中心2025年嘉兴体彩品牌公益推广系列活动项目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JXYJY-2025-10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w:t>
      </w:r>
    </w:p>
    <w:p w14:paraId="6422F556">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49F71BCD">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2CAFC86E">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66BBD8B9">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p>
    <w:p w14:paraId="3C19D863">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6C999A07">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（分包供应商X,……）提供的服务全部由小微企业承接，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7D6EC450">
      <w:pPr>
        <w:keepNext w:val="0"/>
        <w:keepLines w:val="0"/>
        <w:pageBreakBefore w:val="0"/>
        <w:kinsoku/>
        <w:wordWrap/>
        <w:overflowPunct/>
        <w:topLinePunct w:val="0"/>
        <w:autoSpaceDE/>
        <w:autoSpaceDN/>
        <w:bidi w:val="0"/>
        <w:adjustRightInd w:val="0"/>
        <w:spacing w:line="360" w:lineRule="atLeast"/>
        <w:ind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3DBAA73F">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64699E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159C14D1">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7670296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4E12C489">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6A1310B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4E79F8CB">
      <w:pPr>
        <w:keepNext w:val="0"/>
        <w:keepLines w:val="0"/>
        <w:pageBreakBefore w:val="0"/>
        <w:kinsoku/>
        <w:wordWrap/>
        <w:overflowPunct/>
        <w:topLinePunct w:val="0"/>
        <w:autoSpaceDE/>
        <w:autoSpaceDN/>
        <w:bidi w:val="0"/>
        <w:adjustRightInd w:val="0"/>
        <w:snapToGrid w:val="0"/>
        <w:spacing w:line="360" w:lineRule="atLeast"/>
        <w:ind w:left="573" w:leftChars="273"/>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2CF549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64DAE19D">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19D0D733">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7F5B385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14:paraId="4740B217">
      <w:pPr>
        <w:keepNext w:val="0"/>
        <w:keepLines w:val="0"/>
        <w:pageBreakBefore w:val="0"/>
        <w:kinsoku/>
        <w:wordWrap/>
        <w:overflowPunct/>
        <w:topLinePunct w:val="0"/>
        <w:autoSpaceDE/>
        <w:autoSpaceDN/>
        <w:bidi w:val="0"/>
        <w:adjustRightInd w:val="0"/>
        <w:snapToGrid w:val="0"/>
        <w:spacing w:line="36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w:t>
      </w:r>
    </w:p>
    <w:p w14:paraId="74A33816">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投标人名称(电子签名)：</w:t>
      </w:r>
    </w:p>
    <w:p w14:paraId="016D788A">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23DD84EF">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47F96637">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6BD2490E">
      <w:pPr>
        <w:keepNext w:val="0"/>
        <w:keepLines w:val="0"/>
        <w:pageBreakBefore w:val="0"/>
        <w:kinsoku/>
        <w:wordWrap/>
        <w:overflowPunct/>
        <w:topLinePunct w:val="0"/>
        <w:autoSpaceDE/>
        <w:autoSpaceDN/>
        <w:bidi w:val="0"/>
        <w:adjustRightInd w:val="0"/>
        <w:snapToGrid w:val="0"/>
        <w:spacing w:line="360" w:lineRule="atLeast"/>
        <w:ind w:left="5128" w:leftChars="342" w:hanging="4410" w:hangingChars="2100"/>
        <w:textAlignment w:val="auto"/>
        <w:rPr>
          <w:rFonts w:hint="eastAsia" w:ascii="宋体" w:hAnsi="宋体" w:eastAsia="宋体" w:cs="宋体"/>
          <w:b/>
          <w:color w:val="auto"/>
          <w:spacing w:val="6"/>
          <w:sz w:val="32"/>
          <w:szCs w:val="32"/>
          <w:highlight w:val="none"/>
        </w:rPr>
      </w:pPr>
      <w:r>
        <w:rPr>
          <w:rFonts w:hint="eastAsia" w:ascii="宋体" w:hAnsi="宋体" w:eastAsia="宋体" w:cs="宋体"/>
          <w:color w:val="auto"/>
          <w:sz w:val="21"/>
          <w:szCs w:val="21"/>
          <w:highlight w:val="none"/>
        </w:rPr>
        <w:t>注：按本格式和要求提供。</w:t>
      </w:r>
    </w:p>
    <w:p w14:paraId="74ACAD66">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CB5A9D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6</w:t>
      </w:r>
      <w:r>
        <w:rPr>
          <w:rFonts w:hint="eastAsia" w:ascii="宋体" w:hAnsi="宋体" w:eastAsia="宋体" w:cs="宋体"/>
          <w:b/>
          <w:color w:val="auto"/>
          <w:spacing w:val="6"/>
          <w:sz w:val="32"/>
          <w:szCs w:val="32"/>
          <w:highlight w:val="none"/>
        </w:rPr>
        <w:t>：中小企业声明函</w:t>
      </w:r>
    </w:p>
    <w:p w14:paraId="36A2B94E">
      <w:pPr>
        <w:spacing w:line="360" w:lineRule="auto"/>
        <w:jc w:val="center"/>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rPr>
        <w:t>中小企业声明函（</w:t>
      </w:r>
      <w:r>
        <w:rPr>
          <w:rFonts w:hint="eastAsia" w:ascii="宋体" w:hAnsi="宋体" w:eastAsia="宋体" w:cs="宋体"/>
          <w:b/>
          <w:color w:val="auto"/>
          <w:spacing w:val="6"/>
          <w:sz w:val="32"/>
          <w:szCs w:val="32"/>
          <w:highlight w:val="none"/>
          <w:lang w:val="en-US" w:eastAsia="zh-CN"/>
        </w:rPr>
        <w:t>工程、</w:t>
      </w:r>
      <w:r>
        <w:rPr>
          <w:rFonts w:hint="eastAsia" w:ascii="宋体" w:hAnsi="宋体" w:eastAsia="宋体" w:cs="宋体"/>
          <w:b/>
          <w:color w:val="auto"/>
          <w:spacing w:val="6"/>
          <w:sz w:val="32"/>
          <w:szCs w:val="32"/>
          <w:highlight w:val="none"/>
        </w:rPr>
        <w:t>服务）</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适用本项目）</w:t>
      </w:r>
    </w:p>
    <w:p w14:paraId="1E891F4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lang w:eastAsia="zh-CN"/>
        </w:rPr>
        <w:t>嘉兴市体育彩票管理服务中心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嘉兴市体育彩票管理服务中心2025年嘉兴体彩品牌公益推广系列活动项目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85978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（中型企业、小型企业、微型企业） </w:t>
      </w:r>
      <w:r>
        <w:rPr>
          <w:rFonts w:hint="eastAsia" w:ascii="宋体" w:hAnsi="宋体" w:eastAsia="宋体" w:cs="宋体"/>
          <w:color w:val="auto"/>
          <w:sz w:val="21"/>
          <w:szCs w:val="21"/>
          <w:highlight w:val="none"/>
        </w:rPr>
        <w:t>；</w:t>
      </w:r>
    </w:p>
    <w:p w14:paraId="3040877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（中型企业、小型企业、微型企业） </w:t>
      </w:r>
      <w:r>
        <w:rPr>
          <w:rFonts w:hint="eastAsia" w:ascii="宋体" w:hAnsi="宋体" w:eastAsia="宋体" w:cs="宋体"/>
          <w:color w:val="auto"/>
          <w:sz w:val="21"/>
          <w:szCs w:val="21"/>
          <w:highlight w:val="none"/>
        </w:rPr>
        <w:t>；</w:t>
      </w:r>
    </w:p>
    <w:p w14:paraId="694B509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73E87F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60756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3ECBCEA">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3F44257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98FACDE">
      <w:pPr>
        <w:autoSpaceDE w:val="0"/>
        <w:autoSpaceDN w:val="0"/>
        <w:adjustRightInd w:val="0"/>
        <w:snapToGrid/>
        <w:spacing w:line="360" w:lineRule="auto"/>
        <w:ind w:right="157" w:firstLine="642"/>
        <w:jc w:val="center"/>
        <w:rPr>
          <w:rFonts w:hint="eastAsia" w:ascii="宋体" w:hAnsi="宋体" w:eastAsia="宋体" w:cs="宋体"/>
          <w:b/>
          <w:color w:val="auto"/>
          <w:spacing w:val="6"/>
          <w:sz w:val="32"/>
          <w:szCs w:val="32"/>
          <w:highlight w:val="none"/>
        </w:rPr>
      </w:pPr>
    </w:p>
    <w:p w14:paraId="591D8858">
      <w:pPr>
        <w:autoSpaceDE w:val="0"/>
        <w:autoSpaceDN w:val="0"/>
        <w:adjustRightInd w:val="0"/>
        <w:snapToGrid/>
        <w:spacing w:line="360" w:lineRule="auto"/>
        <w:ind w:right="157" w:firstLine="642"/>
        <w:jc w:val="center"/>
        <w:rPr>
          <w:rFonts w:hint="eastAsia" w:ascii="宋体" w:hAnsi="宋体" w:eastAsia="宋体" w:cs="宋体"/>
          <w:color w:val="auto"/>
          <w:kern w:val="0"/>
          <w:sz w:val="28"/>
          <w:szCs w:val="28"/>
          <w:highlight w:val="none"/>
        </w:rPr>
      </w:pPr>
      <w:r>
        <w:rPr>
          <w:rFonts w:hint="eastAsia" w:ascii="宋体" w:hAnsi="宋体" w:eastAsia="宋体" w:cs="宋体"/>
          <w:b/>
          <w:color w:val="auto"/>
          <w:spacing w:val="6"/>
          <w:sz w:val="32"/>
          <w:szCs w:val="32"/>
          <w:highlight w:val="none"/>
        </w:rPr>
        <w:t>中小企业声明函（货物）（</w:t>
      </w:r>
      <w:r>
        <w:rPr>
          <w:rFonts w:hint="eastAsia" w:ascii="宋体" w:hAnsi="宋体" w:eastAsia="宋体" w:cs="宋体"/>
          <w:b/>
          <w:color w:val="auto"/>
          <w:spacing w:val="6"/>
          <w:sz w:val="32"/>
          <w:szCs w:val="32"/>
          <w:highlight w:val="none"/>
          <w:lang w:val="en-US" w:eastAsia="zh-CN"/>
        </w:rPr>
        <w:t>不</w:t>
      </w:r>
      <w:r>
        <w:rPr>
          <w:rFonts w:hint="eastAsia" w:ascii="宋体" w:hAnsi="宋体" w:eastAsia="宋体" w:cs="宋体"/>
          <w:b/>
          <w:color w:val="auto"/>
          <w:spacing w:val="6"/>
          <w:sz w:val="32"/>
          <w:szCs w:val="32"/>
          <w:highlight w:val="none"/>
        </w:rPr>
        <w:t>适用本项目）</w:t>
      </w:r>
    </w:p>
    <w:p w14:paraId="79EE2FF4">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 ﹝2020﹞46号）的规定，本公司参加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181995FB">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，货物由制造商生产且使用该制造商的商号或者注册商标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DD9A112">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，货物由制造商生产且使用该制造商的商号或者注册商标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BA46371">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AB5A1CC">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04C9DBC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61A023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p>
    <w:p w14:paraId="63106540">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29E67DD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65E58E">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945ADAF">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未按采购文件规定填写行业或者行业填写错误的，《中小企业声明函》无效，不享受中小企业扶持政策。如果项目专门面向中小企业的，投标无效。配件、辅料不作为标的，无需在《中小企业声明函》里填列。②从业人员、营业收入、资产总额填报上一年度数据，无上一年度数据的新成立企业可不填报；本年度新成立的公司须对企业类型以及是与大企业的负责人为同一人，或者与大企业存在直接控股、管理关系进行声明，否则《中小企业声明函》无效，不享受中小企业扶持政策。如果项目专门面向中小企业的，投标无效。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如果项目专门面向中小企业的，投标无效。声明内容不实的，属于提供虚假材料谋取中标、成交的，依法承担法律责任。⑤《中小企业声明函》中的制造厂商不得使用他人授权品牌或者授权他人实际生产</w:t>
      </w:r>
      <w:r>
        <w:rPr>
          <w:rFonts w:hint="eastAsia" w:ascii="宋体" w:hAnsi="宋体" w:eastAsia="宋体" w:cs="宋体"/>
          <w:color w:val="auto"/>
          <w:sz w:val="21"/>
          <w:szCs w:val="21"/>
          <w:highlight w:val="none"/>
          <w:lang w:eastAsia="zh-CN"/>
        </w:rPr>
        <w:t>【即生产厂家和品牌商（制造商）为同一家（货物由中小企业生产且使用该中小企业商号或者注册商标）】</w:t>
      </w:r>
      <w:r>
        <w:rPr>
          <w:rFonts w:hint="eastAsia" w:ascii="宋体" w:hAnsi="宋体" w:eastAsia="宋体" w:cs="宋体"/>
          <w:color w:val="auto"/>
          <w:sz w:val="21"/>
          <w:szCs w:val="21"/>
          <w:highlight w:val="none"/>
        </w:rPr>
        <w:t>，否则《中小企业声明函》无效，不享受中小企业扶持政策。如果项目专门面向中小企业的，投标无效。⑥图书类项目的制造商填写注意事项：如A公司（小型）提供了B印刷厂印制的C出版社（大型）出版的图书。在货物类项目中，需要填写出版社。如涉及多个出版社，均需明确。在服务类项目中，填写提供服务的供应商。</w:t>
      </w:r>
    </w:p>
    <w:p w14:paraId="32F28312">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B41B9">
      <w:pPr>
        <w:pStyle w:val="12"/>
        <w:rPr>
          <w:rFonts w:hint="eastAsia" w:ascii="宋体" w:hAnsi="宋体" w:eastAsia="宋体" w:cs="宋体"/>
          <w:color w:val="auto"/>
          <w:sz w:val="21"/>
          <w:szCs w:val="21"/>
          <w:highlight w:val="none"/>
        </w:rPr>
      </w:pPr>
    </w:p>
    <w:p w14:paraId="0F2318F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9BE1EDE">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：政府采购活动现场确认声明书</w:t>
      </w:r>
    </w:p>
    <w:p w14:paraId="7E738B06">
      <w:pPr>
        <w:adjustRightInd/>
        <w:snapToGrid/>
        <w:spacing w:before="50" w:after="50" w:line="360" w:lineRule="auto"/>
        <w:jc w:val="center"/>
        <w:rPr>
          <w:rFonts w:hint="eastAsia" w:ascii="宋体" w:hAnsi="宋体" w:eastAsia="宋体" w:cs="宋体"/>
          <w:b/>
          <w:color w:val="auto"/>
          <w:spacing w:val="6"/>
          <w:kern w:val="2"/>
          <w:sz w:val="44"/>
          <w:szCs w:val="44"/>
          <w:highlight w:val="none"/>
        </w:rPr>
      </w:pPr>
      <w:r>
        <w:rPr>
          <w:rFonts w:hint="eastAsia" w:ascii="宋体" w:hAnsi="宋体" w:eastAsia="宋体" w:cs="宋体"/>
          <w:b/>
          <w:color w:val="auto"/>
          <w:spacing w:val="6"/>
          <w:kern w:val="2"/>
          <w:sz w:val="44"/>
          <w:szCs w:val="44"/>
          <w:highlight w:val="none"/>
        </w:rPr>
        <w:t>政府采购活动现场确认声明书</w:t>
      </w:r>
    </w:p>
    <w:p w14:paraId="52C0FFAA">
      <w:pPr>
        <w:snapToGrid/>
        <w:spacing w:line="460" w:lineRule="atLeast"/>
        <w:jc w:val="both"/>
        <w:textAlignment w:val="baseline"/>
        <w:rPr>
          <w:rFonts w:hint="eastAsia" w:ascii="宋体" w:hAnsi="宋体" w:eastAsia="宋体" w:cs="宋体"/>
          <w:b/>
          <w:color w:val="auto"/>
          <w:kern w:val="2"/>
          <w:szCs w:val="21"/>
          <w:highlight w:val="none"/>
        </w:rPr>
      </w:pPr>
      <w:r>
        <w:rPr>
          <w:rFonts w:hint="eastAsia" w:ascii="宋体" w:hAnsi="宋体" w:eastAsia="宋体" w:cs="宋体"/>
          <w:color w:val="auto"/>
          <w:kern w:val="0"/>
          <w:szCs w:val="21"/>
          <w:highlight w:val="none"/>
          <w:u w:val="single"/>
        </w:rPr>
        <w:t>嘉兴市银建工程咨询评估有限公司</w:t>
      </w:r>
      <w:r>
        <w:rPr>
          <w:rFonts w:hint="eastAsia" w:ascii="宋体" w:hAnsi="宋体" w:eastAsia="宋体" w:cs="宋体"/>
          <w:color w:val="auto"/>
          <w:kern w:val="0"/>
          <w:szCs w:val="21"/>
          <w:highlight w:val="none"/>
        </w:rPr>
        <w:t>：</w:t>
      </w:r>
    </w:p>
    <w:p w14:paraId="25B88478">
      <w:pPr>
        <w:snapToGrid/>
        <w:spacing w:line="460" w:lineRule="atLeast"/>
        <w:ind w:firstLine="444"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本人经由</w:t>
      </w:r>
      <w:r>
        <w:rPr>
          <w:rFonts w:hint="eastAsia" w:ascii="宋体" w:hAnsi="宋体" w:eastAsia="宋体" w:cs="宋体"/>
          <w:color w:val="auto"/>
          <w:spacing w:val="6"/>
          <w:kern w:val="2"/>
          <w:szCs w:val="21"/>
          <w:highlight w:val="none"/>
          <w:u w:val="single"/>
        </w:rPr>
        <w:t xml:space="preserve">          （单位）</w:t>
      </w:r>
      <w:r>
        <w:rPr>
          <w:rFonts w:hint="eastAsia" w:ascii="宋体" w:hAnsi="宋体" w:eastAsia="宋体" w:cs="宋体"/>
          <w:color w:val="auto"/>
          <w:spacing w:val="6"/>
          <w:kern w:val="2"/>
          <w:szCs w:val="21"/>
          <w:highlight w:val="none"/>
        </w:rPr>
        <w:t>负责人</w:t>
      </w:r>
      <w:r>
        <w:rPr>
          <w:rFonts w:hint="eastAsia" w:ascii="宋体" w:hAnsi="宋体" w:eastAsia="宋体" w:cs="宋体"/>
          <w:color w:val="auto"/>
          <w:spacing w:val="6"/>
          <w:kern w:val="2"/>
          <w:szCs w:val="21"/>
          <w:highlight w:val="none"/>
          <w:u w:val="single"/>
        </w:rPr>
        <w:t xml:space="preserve">        （姓名）</w:t>
      </w:r>
      <w:r>
        <w:rPr>
          <w:rFonts w:hint="eastAsia" w:ascii="宋体" w:hAnsi="宋体" w:eastAsia="宋体" w:cs="宋体"/>
          <w:color w:val="auto"/>
          <w:spacing w:val="6"/>
          <w:kern w:val="2"/>
          <w:szCs w:val="21"/>
          <w:highlight w:val="none"/>
        </w:rPr>
        <w:t>合法授权参加</w:t>
      </w:r>
      <w:r>
        <w:rPr>
          <w:rFonts w:hint="eastAsia" w:ascii="宋体" w:hAnsi="宋体" w:eastAsia="宋体" w:cs="宋体"/>
          <w:color w:val="auto"/>
          <w:spacing w:val="6"/>
          <w:kern w:val="2"/>
          <w:szCs w:val="21"/>
          <w:highlight w:val="none"/>
          <w:u w:val="single"/>
        </w:rPr>
        <w:t xml:space="preserve">          </w:t>
      </w:r>
      <w:r>
        <w:rPr>
          <w:rFonts w:hint="eastAsia" w:ascii="宋体" w:hAnsi="宋体" w:eastAsia="宋体" w:cs="宋体"/>
          <w:color w:val="auto"/>
          <w:spacing w:val="6"/>
          <w:kern w:val="2"/>
          <w:szCs w:val="21"/>
          <w:highlight w:val="none"/>
        </w:rPr>
        <w:t>项目（编号：</w:t>
      </w:r>
      <w:r>
        <w:rPr>
          <w:rFonts w:hint="eastAsia" w:ascii="宋体" w:hAnsi="宋体" w:eastAsia="宋体" w:cs="宋体"/>
          <w:color w:val="auto"/>
          <w:spacing w:val="6"/>
          <w:kern w:val="2"/>
          <w:szCs w:val="21"/>
          <w:highlight w:val="none"/>
          <w:u w:val="single"/>
        </w:rPr>
        <w:t xml:space="preserve">       </w:t>
      </w:r>
      <w:r>
        <w:rPr>
          <w:rFonts w:hint="eastAsia" w:ascii="宋体" w:hAnsi="宋体" w:eastAsia="宋体" w:cs="宋体"/>
          <w:color w:val="auto"/>
          <w:spacing w:val="6"/>
          <w:kern w:val="2"/>
          <w:szCs w:val="21"/>
          <w:highlight w:val="none"/>
        </w:rPr>
        <w:t>）政府采购活动，经与本单位法人代表（负责人）联系确认，现就有关公平竞争事项郑重声明如下（请在对应的□内打</w:t>
      </w:r>
      <w:r>
        <w:rPr>
          <w:rFonts w:hint="eastAsia" w:ascii="宋体" w:hAnsi="宋体" w:eastAsia="宋体" w:cs="宋体"/>
          <w:b/>
          <w:bCs/>
          <w:color w:val="auto"/>
          <w:spacing w:val="6"/>
          <w:kern w:val="2"/>
          <w:szCs w:val="21"/>
          <w:highlight w:val="none"/>
        </w:rPr>
        <w:t>“√”</w:t>
      </w:r>
      <w:r>
        <w:rPr>
          <w:rFonts w:hint="eastAsia" w:ascii="宋体" w:hAnsi="宋体" w:eastAsia="宋体" w:cs="宋体"/>
          <w:color w:val="auto"/>
          <w:spacing w:val="6"/>
          <w:kern w:val="2"/>
          <w:szCs w:val="21"/>
          <w:highlight w:val="none"/>
        </w:rPr>
        <w:t xml:space="preserve">）：  </w:t>
      </w:r>
    </w:p>
    <w:p w14:paraId="3958D686">
      <w:pPr>
        <w:pStyle w:val="75"/>
        <w:widowControl/>
        <w:numPr>
          <w:ilvl w:val="0"/>
          <w:numId w:val="3"/>
        </w:numPr>
        <w:adjustRightInd w:val="0"/>
        <w:snapToGrid w:val="0"/>
        <w:spacing w:line="460"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本单位与采购人之间 </w:t>
      </w:r>
      <w:r>
        <w:rPr>
          <w:rFonts w:hint="eastAsia" w:ascii="宋体" w:hAnsi="宋体" w:eastAsia="宋体" w:cs="宋体"/>
          <w:b/>
          <w:bCs/>
          <w:color w:val="auto"/>
          <w:kern w:val="0"/>
          <w:szCs w:val="21"/>
          <w:highlight w:val="none"/>
        </w:rPr>
        <w:t>□不存在利害关系</w:t>
      </w:r>
      <w:r>
        <w:rPr>
          <w:rFonts w:hint="eastAsia" w:ascii="宋体" w:hAnsi="宋体" w:eastAsia="宋体" w:cs="宋体"/>
          <w:color w:val="auto"/>
          <w:kern w:val="0"/>
          <w:szCs w:val="21"/>
          <w:highlight w:val="none"/>
        </w:rPr>
        <w:t xml:space="preserve"> □存在下列利害关系：</w:t>
      </w:r>
    </w:p>
    <w:p w14:paraId="2645A6A1">
      <w:pPr>
        <w:pStyle w:val="75"/>
        <w:widowControl/>
        <w:adjustRightInd w:val="0"/>
        <w:snapToGrid w:val="0"/>
        <w:spacing w:line="460"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    B.行政隶属关系    C.业务指导关系</w:t>
      </w:r>
    </w:p>
    <w:p w14:paraId="461827F4">
      <w:pPr>
        <w:pStyle w:val="75"/>
        <w:widowControl/>
        <w:adjustRightInd w:val="0"/>
        <w:snapToGrid w:val="0"/>
        <w:spacing w:line="460"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05134698">
      <w:pPr>
        <w:pStyle w:val="75"/>
        <w:widowControl/>
        <w:adjustRightInd w:val="0"/>
        <w:snapToGrid w:val="0"/>
        <w:spacing w:line="460" w:lineRule="atLeast"/>
        <w:ind w:firstLine="444"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二、</w:t>
      </w:r>
      <w:r>
        <w:rPr>
          <w:rFonts w:hint="eastAsia" w:ascii="宋体" w:hAnsi="宋体" w:eastAsia="宋体" w:cs="宋体"/>
          <w:color w:val="auto"/>
          <w:kern w:val="0"/>
          <w:szCs w:val="21"/>
          <w:highlight w:val="none"/>
        </w:rPr>
        <w:t>现已清楚知道参加本项目采购活动的其他所有</w:t>
      </w:r>
      <w:r>
        <w:rPr>
          <w:rFonts w:hint="eastAsia" w:ascii="宋体" w:hAnsi="宋体" w:eastAsia="宋体" w:cs="宋体"/>
          <w:b/>
          <w:color w:val="auto"/>
          <w:kern w:val="0"/>
          <w:szCs w:val="21"/>
          <w:highlight w:val="none"/>
        </w:rPr>
        <w:t>供应商</w:t>
      </w:r>
      <w:r>
        <w:rPr>
          <w:rFonts w:hint="eastAsia" w:ascii="宋体" w:hAnsi="宋体" w:eastAsia="宋体" w:cs="宋体"/>
          <w:color w:val="auto"/>
          <w:kern w:val="0"/>
          <w:szCs w:val="21"/>
          <w:highlight w:val="none"/>
        </w:rPr>
        <w:t>名称，本单位</w:t>
      </w:r>
      <w:r>
        <w:rPr>
          <w:rFonts w:hint="eastAsia" w:ascii="宋体" w:hAnsi="宋体" w:eastAsia="宋体" w:cs="宋体"/>
          <w:b/>
          <w:bCs/>
          <w:color w:val="auto"/>
          <w:kern w:val="0"/>
          <w:szCs w:val="21"/>
          <w:highlight w:val="none"/>
        </w:rPr>
        <w:t xml:space="preserve"> □与所有供应商之间均不存在利害关系</w:t>
      </w:r>
      <w:r>
        <w:rPr>
          <w:rFonts w:hint="eastAsia" w:ascii="宋体" w:hAnsi="宋体" w:eastAsia="宋体" w:cs="宋体"/>
          <w:color w:val="auto"/>
          <w:kern w:val="0"/>
          <w:szCs w:val="21"/>
          <w:highlight w:val="none"/>
        </w:rPr>
        <w:t xml:space="preserve"> □与</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kern w:val="0"/>
          <w:szCs w:val="21"/>
          <w:highlight w:val="none"/>
          <w:u w:val="single"/>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之间存在下列利害关系：</w:t>
      </w:r>
    </w:p>
    <w:p w14:paraId="5C016C3F">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A.法定代表人或负责人或实际控制人是同一人</w:t>
      </w:r>
    </w:p>
    <w:p w14:paraId="6D1DDD42">
      <w:pPr>
        <w:snapToGrid/>
        <w:spacing w:line="460" w:lineRule="atLeast"/>
        <w:ind w:firstLine="420"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kern w:val="0"/>
          <w:szCs w:val="21"/>
          <w:highlight w:val="none"/>
        </w:rPr>
        <w:t>B.法定代表人或负责人或实际控制人是夫妻关系</w:t>
      </w:r>
    </w:p>
    <w:p w14:paraId="2AF24191">
      <w:pPr>
        <w:snapToGrid/>
        <w:spacing w:line="460" w:lineRule="atLeast"/>
        <w:ind w:firstLine="420"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kern w:val="0"/>
          <w:szCs w:val="21"/>
          <w:highlight w:val="none"/>
        </w:rPr>
        <w:t>C.法定代表人或负责人或实际控制人是直系血亲关系</w:t>
      </w:r>
    </w:p>
    <w:p w14:paraId="6291777F">
      <w:pPr>
        <w:snapToGrid/>
        <w:spacing w:line="460" w:lineRule="atLeast"/>
        <w:ind w:firstLine="420"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kern w:val="0"/>
          <w:szCs w:val="21"/>
          <w:highlight w:val="none"/>
        </w:rPr>
        <w:t>D.法定代表人或负责人或实际控制人存在三代以内旁系血亲关系</w:t>
      </w:r>
    </w:p>
    <w:p w14:paraId="2EA3A4D4">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E.法定代表人或负责人或实际控制人存在近姻亲关系</w:t>
      </w:r>
    </w:p>
    <w:p w14:paraId="1ACDC491">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F.法定代表人或负责人或实际控制人存在股份控制或实际控制关系</w:t>
      </w:r>
    </w:p>
    <w:p w14:paraId="76509F24">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G.存在共同直接或间接投资设立子公司、联营企业和合营企业情况</w:t>
      </w:r>
    </w:p>
    <w:p w14:paraId="45ED1079">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H.存在分级代理或代销关系、同一生产制造商关系、管理关系、重要业务（占主营业务收入50%以上）或重要财务往来关系（如融资）等其他实质性控制关系</w:t>
      </w:r>
    </w:p>
    <w:p w14:paraId="702E1420">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I.其他可能影响采购公正的利害关系情况</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DDF44FF">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三、现已清楚知道并严格遵守政府采购法律法规和现场纪律。</w:t>
      </w:r>
    </w:p>
    <w:p w14:paraId="61350546">
      <w:pPr>
        <w:snapToGrid/>
        <w:spacing w:line="240" w:lineRule="auto"/>
        <w:jc w:val="both"/>
        <w:textAlignment w:val="baseline"/>
        <w:rPr>
          <w:rFonts w:hint="eastAsia" w:ascii="宋体" w:hAnsi="宋体" w:eastAsia="宋体" w:cs="宋体"/>
          <w:color w:val="auto"/>
          <w:kern w:val="2"/>
          <w:szCs w:val="21"/>
          <w:highlight w:val="none"/>
        </w:rPr>
      </w:pPr>
    </w:p>
    <w:p w14:paraId="7531B194">
      <w:pPr>
        <w:snapToGrid/>
        <w:spacing w:line="460" w:lineRule="atLeast"/>
        <w:ind w:firstLine="6046" w:firstLineChars="2876"/>
        <w:jc w:val="both"/>
        <w:textAlignment w:val="baseline"/>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供应商</w:t>
      </w:r>
      <w:r>
        <w:rPr>
          <w:rFonts w:hint="eastAsia" w:ascii="宋体" w:hAnsi="宋体" w:eastAsia="宋体" w:cs="宋体"/>
          <w:color w:val="auto"/>
          <w:kern w:val="0"/>
          <w:szCs w:val="21"/>
          <w:highlight w:val="none"/>
        </w:rPr>
        <w:t>代表签名：</w:t>
      </w:r>
    </w:p>
    <w:p w14:paraId="185DACDF">
      <w:pPr>
        <w:snapToGrid/>
        <w:spacing w:line="460" w:lineRule="atLeast"/>
        <w:ind w:firstLine="6039" w:firstLineChars="2876"/>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2EEDB96C">
      <w:pPr>
        <w:pStyle w:val="76"/>
        <w:spacing w:line="360" w:lineRule="auto"/>
        <w:rPr>
          <w:rFonts w:hint="eastAsia" w:ascii="宋体" w:hAnsi="宋体" w:eastAsia="宋体" w:cs="宋体"/>
          <w:color w:val="auto"/>
          <w:szCs w:val="21"/>
          <w:highlight w:val="none"/>
        </w:rPr>
      </w:pPr>
    </w:p>
    <w:p w14:paraId="5092FB25">
      <w:pPr>
        <w:pStyle w:val="12"/>
        <w:rPr>
          <w:rFonts w:hint="eastAsia" w:ascii="宋体" w:hAnsi="宋体" w:eastAsia="宋体" w:cs="宋体"/>
          <w:color w:val="auto"/>
          <w:highlight w:val="none"/>
          <w:lang w:val="en-US" w:eastAsia="zh-CN"/>
        </w:rPr>
      </w:pPr>
      <w:r>
        <w:rPr>
          <w:rFonts w:hint="eastAsia" w:ascii="宋体" w:hAnsi="宋体" w:eastAsia="宋体" w:cs="宋体"/>
          <w:b/>
          <w:color w:val="auto"/>
          <w:sz w:val="18"/>
          <w:szCs w:val="18"/>
          <w:highlight w:val="none"/>
          <w:lang w:eastAsia="zh-Hans"/>
        </w:rPr>
        <w:t>注：</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eastAsia="zh-Hans"/>
        </w:rPr>
        <w:t>供应商认为有利害关系和需要回避的人员，应提供相关证明材料，与本声明书一同提交。由采购代理机构和财政监督部门负责询问核查。</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eastAsia="zh-Hans"/>
        </w:rPr>
        <w:t>投标人填写《政府采购活动现场确认声明书》后通过邮件发送方式递交，发送至657698277@qq.com，递交时间为解密指令发出后30分钟内。未</w:t>
      </w:r>
      <w:r>
        <w:rPr>
          <w:rFonts w:hint="eastAsia" w:ascii="宋体" w:hAnsi="宋体" w:eastAsia="宋体" w:cs="宋体"/>
          <w:b/>
          <w:color w:val="auto"/>
          <w:sz w:val="18"/>
          <w:szCs w:val="18"/>
          <w:highlight w:val="none"/>
        </w:rPr>
        <w:t>递交</w:t>
      </w:r>
      <w:r>
        <w:rPr>
          <w:rFonts w:hint="eastAsia" w:ascii="宋体" w:hAnsi="宋体" w:eastAsia="宋体" w:cs="宋体"/>
          <w:b/>
          <w:color w:val="auto"/>
          <w:sz w:val="18"/>
          <w:szCs w:val="18"/>
          <w:highlight w:val="none"/>
          <w:lang w:eastAsia="zh-CN"/>
        </w:rPr>
        <w:t>《政府采购活动现场确认声明书》</w:t>
      </w:r>
      <w:r>
        <w:rPr>
          <w:rFonts w:hint="eastAsia" w:ascii="宋体" w:hAnsi="宋体" w:eastAsia="宋体" w:cs="宋体"/>
          <w:b/>
          <w:color w:val="auto"/>
          <w:sz w:val="18"/>
          <w:szCs w:val="18"/>
          <w:highlight w:val="none"/>
          <w:lang w:eastAsia="zh-Hans"/>
        </w:rPr>
        <w:t>的，将视为均无利害关系。</w:t>
      </w:r>
    </w:p>
    <w:sectPr>
      <w:footerReference r:id="rId5" w:type="default"/>
      <w:pgSz w:w="11906" w:h="16838"/>
      <w:pgMar w:top="1361" w:right="1361" w:bottom="1361" w:left="1361"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ong">
    <w:panose1 w:val="02020300000000000000"/>
    <w:charset w:val="86"/>
    <w:family w:val="auto"/>
    <w:pitch w:val="default"/>
    <w:sig w:usb0="800002BF" w:usb1="38CF7CFA" w:usb2="00000016" w:usb3="00000000" w:csb0="0004000D" w:csb1="00000000"/>
  </w:font>
  <w:font w:name="Times New Roman Bold">
    <w:panose1 w:val="02020503050405090304"/>
    <w:charset w:val="00"/>
    <w:family w:val="auto"/>
    <w:pitch w:val="default"/>
    <w:sig w:usb0="E0000AFF" w:usb1="00007843" w:usb2="00000001" w:usb3="00000000" w:csb0="400001BF" w:csb1="DFF70000"/>
  </w:font>
  <w:font w:name="SimSong Bold">
    <w:panose1 w:val="02020300000000000000"/>
    <w:charset w:val="86"/>
    <w:family w:val="auto"/>
    <w:pitch w:val="default"/>
    <w:sig w:usb0="800002BF" w:usb1="38CF7CFA" w:usb2="00000016" w:usb3="00000000" w:csb0="0004000D" w:csb1="00000000"/>
  </w:font>
  <w:font w:name="STSong">
    <w:panose1 w:val="02010600040101010101"/>
    <w:charset w:val="86"/>
    <w:family w:val="auto"/>
    <w:pitch w:val="default"/>
    <w:sig w:usb0="80000287" w:usb1="280F3C52" w:usb2="00000016" w:usb3="00000000" w:csb0="0004001F" w:csb1="00000000"/>
  </w:font>
  <w:font w:name="Tahoma">
    <w:panose1 w:val="020B0604030504040204"/>
    <w:charset w:val="00"/>
    <w:family w:val="swiss"/>
    <w:pitch w:val="default"/>
    <w:sig w:usb0="E1002AFF" w:usb1="C000605B" w:usb2="00000029" w:usb3="00000000" w:csb0="200101FF" w:csb1="20280000"/>
  </w:font>
  <w:font w:name="Songti SC">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Light">
    <w:altName w:val="汉仪中黑KW"/>
    <w:panose1 w:val="020B0502040204020203"/>
    <w:charset w:val="86"/>
    <w:family w:val="swiss"/>
    <w:pitch w:val="default"/>
    <w:sig w:usb0="00000000" w:usb1="00000000" w:usb2="00000016" w:usb3="00000000" w:csb0="0004001F" w:csb1="00000000"/>
  </w:font>
  <w:font w:name="SimSong Regular">
    <w:panose1 w:val="02020300000000000000"/>
    <w:charset w:val="86"/>
    <w:family w:val="auto"/>
    <w:pitch w:val="default"/>
    <w:sig w:usb0="800002BF" w:usb1="38CF7CFA" w:usb2="00000016" w:usb3="00000000" w:csb0="0004000D"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B4A7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1C75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01C75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BE92F"/>
    <w:multiLevelType w:val="singleLevel"/>
    <w:tmpl w:val="CEFBE92F"/>
    <w:lvl w:ilvl="0" w:tentative="0">
      <w:start w:val="1"/>
      <w:numFmt w:val="chineseCounting"/>
      <w:pStyle w:val="61"/>
      <w:suff w:val="nothing"/>
      <w:lvlText w:val="%1、"/>
      <w:lvlJc w:val="left"/>
      <w:rPr>
        <w:rFonts w:hint="eastAsia"/>
      </w:rPr>
    </w:lvl>
  </w:abstractNum>
  <w:abstractNum w:abstractNumId="1">
    <w:nsid w:val="E5F7C11E"/>
    <w:multiLevelType w:val="singleLevel"/>
    <w:tmpl w:val="E5F7C11E"/>
    <w:lvl w:ilvl="0" w:tentative="0">
      <w:start w:val="1"/>
      <w:numFmt w:val="chineseCounting"/>
      <w:pStyle w:val="60"/>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OTI0NDZhZmZmNjllMjRiYjk1ZTdiMjk0Mjc5MjMifQ=="/>
  </w:docVars>
  <w:rsids>
    <w:rsidRoot w:val="7F3FDA85"/>
    <w:rsid w:val="05FFF761"/>
    <w:rsid w:val="07EF42E2"/>
    <w:rsid w:val="0A359C28"/>
    <w:rsid w:val="0AF750F5"/>
    <w:rsid w:val="0BDF8FC2"/>
    <w:rsid w:val="0D3FF4D2"/>
    <w:rsid w:val="0E38FB4B"/>
    <w:rsid w:val="0F5F31EE"/>
    <w:rsid w:val="0F6E0052"/>
    <w:rsid w:val="1177AC59"/>
    <w:rsid w:val="12F76F60"/>
    <w:rsid w:val="133FF4F9"/>
    <w:rsid w:val="157297F0"/>
    <w:rsid w:val="15F8E109"/>
    <w:rsid w:val="160B6B83"/>
    <w:rsid w:val="166E405A"/>
    <w:rsid w:val="167FFAB3"/>
    <w:rsid w:val="16F94D55"/>
    <w:rsid w:val="16F97138"/>
    <w:rsid w:val="17BD9725"/>
    <w:rsid w:val="19FE5003"/>
    <w:rsid w:val="1A9DBEA0"/>
    <w:rsid w:val="1B79BECB"/>
    <w:rsid w:val="1B7B9A50"/>
    <w:rsid w:val="1B7D6392"/>
    <w:rsid w:val="1BFB55D9"/>
    <w:rsid w:val="1BFF4804"/>
    <w:rsid w:val="1CFF95D2"/>
    <w:rsid w:val="1D40469E"/>
    <w:rsid w:val="1D6FB842"/>
    <w:rsid w:val="1DCEFFF8"/>
    <w:rsid w:val="1EA57F01"/>
    <w:rsid w:val="1EDCD6FB"/>
    <w:rsid w:val="1EFF2BCB"/>
    <w:rsid w:val="1F2B5C08"/>
    <w:rsid w:val="1F8DAFBB"/>
    <w:rsid w:val="1FBC684B"/>
    <w:rsid w:val="1FDF4338"/>
    <w:rsid w:val="1FDF8F26"/>
    <w:rsid w:val="1FE762F6"/>
    <w:rsid w:val="1FEBC32E"/>
    <w:rsid w:val="1FF39297"/>
    <w:rsid w:val="1FFB36C6"/>
    <w:rsid w:val="1FFE7E84"/>
    <w:rsid w:val="1FFED5A8"/>
    <w:rsid w:val="1FFF01DC"/>
    <w:rsid w:val="1FFF87C3"/>
    <w:rsid w:val="277F9B1F"/>
    <w:rsid w:val="27FF3051"/>
    <w:rsid w:val="27FFECB8"/>
    <w:rsid w:val="296E8C5C"/>
    <w:rsid w:val="29DF8E8E"/>
    <w:rsid w:val="29F56F7B"/>
    <w:rsid w:val="2AA78D91"/>
    <w:rsid w:val="2B31A544"/>
    <w:rsid w:val="2B572571"/>
    <w:rsid w:val="2B57D6B9"/>
    <w:rsid w:val="2BB7990D"/>
    <w:rsid w:val="2BCE00DB"/>
    <w:rsid w:val="2BEB9182"/>
    <w:rsid w:val="2BF5C698"/>
    <w:rsid w:val="2BFD1D75"/>
    <w:rsid w:val="2DBF3244"/>
    <w:rsid w:val="2F350559"/>
    <w:rsid w:val="2F7F8C97"/>
    <w:rsid w:val="2FBFBC6F"/>
    <w:rsid w:val="2FD5C971"/>
    <w:rsid w:val="2FFE108F"/>
    <w:rsid w:val="2FFEB87D"/>
    <w:rsid w:val="2FFFC9F9"/>
    <w:rsid w:val="336DE4B1"/>
    <w:rsid w:val="33EE39AB"/>
    <w:rsid w:val="35AD41C4"/>
    <w:rsid w:val="36DFADEE"/>
    <w:rsid w:val="36EFF383"/>
    <w:rsid w:val="372643F3"/>
    <w:rsid w:val="3771B197"/>
    <w:rsid w:val="377E521A"/>
    <w:rsid w:val="377FD432"/>
    <w:rsid w:val="37BFD247"/>
    <w:rsid w:val="37EFB35B"/>
    <w:rsid w:val="37F129E0"/>
    <w:rsid w:val="37F5A554"/>
    <w:rsid w:val="37FCDFA2"/>
    <w:rsid w:val="37FDD885"/>
    <w:rsid w:val="37FDD9C9"/>
    <w:rsid w:val="37FE162A"/>
    <w:rsid w:val="37FFE975"/>
    <w:rsid w:val="39B7BDFD"/>
    <w:rsid w:val="39DE63E0"/>
    <w:rsid w:val="39ED86BA"/>
    <w:rsid w:val="39EF9ACD"/>
    <w:rsid w:val="39FD755D"/>
    <w:rsid w:val="3A2F6C92"/>
    <w:rsid w:val="3ADBA71F"/>
    <w:rsid w:val="3AEF9FC4"/>
    <w:rsid w:val="3B523101"/>
    <w:rsid w:val="3B5D63AE"/>
    <w:rsid w:val="3B5FB929"/>
    <w:rsid w:val="3B73D2DB"/>
    <w:rsid w:val="3BCF702F"/>
    <w:rsid w:val="3BD20AC9"/>
    <w:rsid w:val="3BDF8F2E"/>
    <w:rsid w:val="3BF327F5"/>
    <w:rsid w:val="3BFBE64A"/>
    <w:rsid w:val="3BFD08D2"/>
    <w:rsid w:val="3BFE4C31"/>
    <w:rsid w:val="3BFFEA6F"/>
    <w:rsid w:val="3C271BE1"/>
    <w:rsid w:val="3CEB8926"/>
    <w:rsid w:val="3CF38377"/>
    <w:rsid w:val="3CFAA55B"/>
    <w:rsid w:val="3D72F8D4"/>
    <w:rsid w:val="3DB0BEA4"/>
    <w:rsid w:val="3DBE692D"/>
    <w:rsid w:val="3DBF3840"/>
    <w:rsid w:val="3DF9885F"/>
    <w:rsid w:val="3DFB1218"/>
    <w:rsid w:val="3E78C936"/>
    <w:rsid w:val="3E7DB8D7"/>
    <w:rsid w:val="3E8F3A15"/>
    <w:rsid w:val="3ECF14AC"/>
    <w:rsid w:val="3ED7CEED"/>
    <w:rsid w:val="3EEF6C7B"/>
    <w:rsid w:val="3EF41F7C"/>
    <w:rsid w:val="3EFB3A43"/>
    <w:rsid w:val="3EFDF616"/>
    <w:rsid w:val="3F769918"/>
    <w:rsid w:val="3F7FF664"/>
    <w:rsid w:val="3F903B1A"/>
    <w:rsid w:val="3F97832D"/>
    <w:rsid w:val="3F9B8736"/>
    <w:rsid w:val="3F9F1E25"/>
    <w:rsid w:val="3F9F305C"/>
    <w:rsid w:val="3FA5A1E3"/>
    <w:rsid w:val="3FAD63F0"/>
    <w:rsid w:val="3FAFC679"/>
    <w:rsid w:val="3FB7F149"/>
    <w:rsid w:val="3FBC3423"/>
    <w:rsid w:val="3FBDA4BF"/>
    <w:rsid w:val="3FBF0C38"/>
    <w:rsid w:val="3FBF7B46"/>
    <w:rsid w:val="3FCD32B9"/>
    <w:rsid w:val="3FCF9E85"/>
    <w:rsid w:val="3FD8D328"/>
    <w:rsid w:val="3FDBD68E"/>
    <w:rsid w:val="3FDF296F"/>
    <w:rsid w:val="3FE71BFF"/>
    <w:rsid w:val="3FEDFDBF"/>
    <w:rsid w:val="3FEE9F63"/>
    <w:rsid w:val="3FEF41E5"/>
    <w:rsid w:val="3FEF8687"/>
    <w:rsid w:val="3FF70590"/>
    <w:rsid w:val="3FF769BA"/>
    <w:rsid w:val="3FFAC540"/>
    <w:rsid w:val="3FFC580A"/>
    <w:rsid w:val="3FFDED2D"/>
    <w:rsid w:val="3FFE735A"/>
    <w:rsid w:val="3FFED1ED"/>
    <w:rsid w:val="3FFF626E"/>
    <w:rsid w:val="3FFF6446"/>
    <w:rsid w:val="3FFFAC52"/>
    <w:rsid w:val="43D095B7"/>
    <w:rsid w:val="44E24535"/>
    <w:rsid w:val="455B590C"/>
    <w:rsid w:val="46BEAB35"/>
    <w:rsid w:val="46C82ED6"/>
    <w:rsid w:val="46D9F6ED"/>
    <w:rsid w:val="4767DF68"/>
    <w:rsid w:val="47F9883F"/>
    <w:rsid w:val="47FE0BBA"/>
    <w:rsid w:val="48417919"/>
    <w:rsid w:val="487A6C0B"/>
    <w:rsid w:val="49E53874"/>
    <w:rsid w:val="49FF4281"/>
    <w:rsid w:val="4B6F2D7B"/>
    <w:rsid w:val="4BDF1860"/>
    <w:rsid w:val="4BE937BF"/>
    <w:rsid w:val="4C7FD66C"/>
    <w:rsid w:val="4CB79D80"/>
    <w:rsid w:val="4CFF9D48"/>
    <w:rsid w:val="4D96C733"/>
    <w:rsid w:val="4DDF55B5"/>
    <w:rsid w:val="4DF2C71D"/>
    <w:rsid w:val="4E7DC31F"/>
    <w:rsid w:val="4E7F812A"/>
    <w:rsid w:val="4E8F1821"/>
    <w:rsid w:val="4EB730E2"/>
    <w:rsid w:val="4EDF4220"/>
    <w:rsid w:val="4EEE15B9"/>
    <w:rsid w:val="4F6BA24B"/>
    <w:rsid w:val="4F749ABA"/>
    <w:rsid w:val="4FD4DDFE"/>
    <w:rsid w:val="4FF09541"/>
    <w:rsid w:val="4FF3AC0C"/>
    <w:rsid w:val="4FFF92DA"/>
    <w:rsid w:val="4FFFA913"/>
    <w:rsid w:val="4FFFD56D"/>
    <w:rsid w:val="4FFFE378"/>
    <w:rsid w:val="50FF3860"/>
    <w:rsid w:val="517D3FCB"/>
    <w:rsid w:val="51BBB2B4"/>
    <w:rsid w:val="51DB8AEF"/>
    <w:rsid w:val="51F9AB63"/>
    <w:rsid w:val="521165E7"/>
    <w:rsid w:val="534F98C2"/>
    <w:rsid w:val="536DCF18"/>
    <w:rsid w:val="53D90061"/>
    <w:rsid w:val="53EE167C"/>
    <w:rsid w:val="53F5C563"/>
    <w:rsid w:val="53FE70DB"/>
    <w:rsid w:val="546F27BD"/>
    <w:rsid w:val="54776D0B"/>
    <w:rsid w:val="548350B3"/>
    <w:rsid w:val="54A3F230"/>
    <w:rsid w:val="54FEEDA5"/>
    <w:rsid w:val="5516A4F3"/>
    <w:rsid w:val="55E73B9B"/>
    <w:rsid w:val="55F8E81F"/>
    <w:rsid w:val="55F97E5E"/>
    <w:rsid w:val="55FE078F"/>
    <w:rsid w:val="565E874B"/>
    <w:rsid w:val="5679E80B"/>
    <w:rsid w:val="56A5E221"/>
    <w:rsid w:val="57537401"/>
    <w:rsid w:val="57E0217C"/>
    <w:rsid w:val="57E5960D"/>
    <w:rsid w:val="595F201F"/>
    <w:rsid w:val="5A7F0F14"/>
    <w:rsid w:val="5AFDA9B6"/>
    <w:rsid w:val="5B3EA68F"/>
    <w:rsid w:val="5BAB07FF"/>
    <w:rsid w:val="5BB4CD92"/>
    <w:rsid w:val="5BB722D9"/>
    <w:rsid w:val="5BCF6BF3"/>
    <w:rsid w:val="5BDF6D32"/>
    <w:rsid w:val="5BDFE5E4"/>
    <w:rsid w:val="5BF081BF"/>
    <w:rsid w:val="5BF5E3F1"/>
    <w:rsid w:val="5BF7FB25"/>
    <w:rsid w:val="5C6B15DB"/>
    <w:rsid w:val="5C9F2EF9"/>
    <w:rsid w:val="5CBD81D7"/>
    <w:rsid w:val="5CE37554"/>
    <w:rsid w:val="5CEEC104"/>
    <w:rsid w:val="5CFD5215"/>
    <w:rsid w:val="5D7D91D0"/>
    <w:rsid w:val="5D7F3FE9"/>
    <w:rsid w:val="5DDF85FA"/>
    <w:rsid w:val="5DF59B9C"/>
    <w:rsid w:val="5DFA3914"/>
    <w:rsid w:val="5DFF1765"/>
    <w:rsid w:val="5E3BDB82"/>
    <w:rsid w:val="5E6CC756"/>
    <w:rsid w:val="5E7F23A5"/>
    <w:rsid w:val="5EBE682F"/>
    <w:rsid w:val="5ED7F5A0"/>
    <w:rsid w:val="5EED9B33"/>
    <w:rsid w:val="5EFAC586"/>
    <w:rsid w:val="5F132F39"/>
    <w:rsid w:val="5F3913F0"/>
    <w:rsid w:val="5F774F1A"/>
    <w:rsid w:val="5F7C0B79"/>
    <w:rsid w:val="5F7F9FB8"/>
    <w:rsid w:val="5FA5AF2A"/>
    <w:rsid w:val="5FB29D29"/>
    <w:rsid w:val="5FBD9C20"/>
    <w:rsid w:val="5FD90F2D"/>
    <w:rsid w:val="5FDF6D5E"/>
    <w:rsid w:val="5FEF0AE9"/>
    <w:rsid w:val="5FEF3740"/>
    <w:rsid w:val="5FF00059"/>
    <w:rsid w:val="5FF660F4"/>
    <w:rsid w:val="5FF739E2"/>
    <w:rsid w:val="5FFB7D51"/>
    <w:rsid w:val="5FFB8B9E"/>
    <w:rsid w:val="5FFCA1EB"/>
    <w:rsid w:val="5FFD0BBB"/>
    <w:rsid w:val="5FFEE48D"/>
    <w:rsid w:val="5FFF523A"/>
    <w:rsid w:val="5FFFCC4B"/>
    <w:rsid w:val="601E4200"/>
    <w:rsid w:val="6085266D"/>
    <w:rsid w:val="6133AF3E"/>
    <w:rsid w:val="626D949E"/>
    <w:rsid w:val="62C6F83F"/>
    <w:rsid w:val="62CDD4CF"/>
    <w:rsid w:val="62E7943D"/>
    <w:rsid w:val="63B713C9"/>
    <w:rsid w:val="63F7F790"/>
    <w:rsid w:val="63FE0C71"/>
    <w:rsid w:val="657FC37C"/>
    <w:rsid w:val="65E23C43"/>
    <w:rsid w:val="65FB3CDF"/>
    <w:rsid w:val="65FB549C"/>
    <w:rsid w:val="65FE67AE"/>
    <w:rsid w:val="66162F9F"/>
    <w:rsid w:val="66ACB0C1"/>
    <w:rsid w:val="66FF0DF4"/>
    <w:rsid w:val="671AE46A"/>
    <w:rsid w:val="67CD7264"/>
    <w:rsid w:val="67DAEFC8"/>
    <w:rsid w:val="67DBD7B7"/>
    <w:rsid w:val="67DCC300"/>
    <w:rsid w:val="68DEB7D9"/>
    <w:rsid w:val="6A1923EC"/>
    <w:rsid w:val="6AAE81F1"/>
    <w:rsid w:val="6AB05185"/>
    <w:rsid w:val="6B5FA994"/>
    <w:rsid w:val="6BD768FB"/>
    <w:rsid w:val="6BDF078A"/>
    <w:rsid w:val="6BFFB71B"/>
    <w:rsid w:val="6C7D1562"/>
    <w:rsid w:val="6CEAB224"/>
    <w:rsid w:val="6D2B85BD"/>
    <w:rsid w:val="6D2F90C0"/>
    <w:rsid w:val="6D71B4CE"/>
    <w:rsid w:val="6D7B007E"/>
    <w:rsid w:val="6D999919"/>
    <w:rsid w:val="6DDF2D3D"/>
    <w:rsid w:val="6DF67B2F"/>
    <w:rsid w:val="6DF780F9"/>
    <w:rsid w:val="6DF90685"/>
    <w:rsid w:val="6E2322A7"/>
    <w:rsid w:val="6E2EC6CA"/>
    <w:rsid w:val="6E5EB5C4"/>
    <w:rsid w:val="6E652B1B"/>
    <w:rsid w:val="6E6C4D71"/>
    <w:rsid w:val="6E9F132D"/>
    <w:rsid w:val="6EBA143A"/>
    <w:rsid w:val="6EBFD2B8"/>
    <w:rsid w:val="6EBFF9A2"/>
    <w:rsid w:val="6EDBF7C6"/>
    <w:rsid w:val="6EDFDA1C"/>
    <w:rsid w:val="6EFB0C63"/>
    <w:rsid w:val="6EFE9856"/>
    <w:rsid w:val="6EFF0611"/>
    <w:rsid w:val="6F5F30A8"/>
    <w:rsid w:val="6F694EBB"/>
    <w:rsid w:val="6F755AAA"/>
    <w:rsid w:val="6F768B39"/>
    <w:rsid w:val="6F7A6BEB"/>
    <w:rsid w:val="6F7F02A0"/>
    <w:rsid w:val="6F9B70D0"/>
    <w:rsid w:val="6F9FB18C"/>
    <w:rsid w:val="6FA96D99"/>
    <w:rsid w:val="6FAF3A92"/>
    <w:rsid w:val="6FBBF5FB"/>
    <w:rsid w:val="6FBD6D09"/>
    <w:rsid w:val="6FBE6949"/>
    <w:rsid w:val="6FBFBD2E"/>
    <w:rsid w:val="6FC7B970"/>
    <w:rsid w:val="6FD576C0"/>
    <w:rsid w:val="6FDBD5FD"/>
    <w:rsid w:val="6FDF93A5"/>
    <w:rsid w:val="6FDFB5C2"/>
    <w:rsid w:val="6FE7A956"/>
    <w:rsid w:val="6FEE2A00"/>
    <w:rsid w:val="6FF38FC2"/>
    <w:rsid w:val="6FF79D3E"/>
    <w:rsid w:val="6FFA8471"/>
    <w:rsid w:val="6FFB02E2"/>
    <w:rsid w:val="6FFB9E05"/>
    <w:rsid w:val="6FFDCDE1"/>
    <w:rsid w:val="6FFE1B73"/>
    <w:rsid w:val="6FFF046E"/>
    <w:rsid w:val="71BF4E48"/>
    <w:rsid w:val="71CCAAB9"/>
    <w:rsid w:val="72D69143"/>
    <w:rsid w:val="730B5700"/>
    <w:rsid w:val="733FF69B"/>
    <w:rsid w:val="739794D2"/>
    <w:rsid w:val="73BF743C"/>
    <w:rsid w:val="73D7614E"/>
    <w:rsid w:val="73D7DA4E"/>
    <w:rsid w:val="73F68F83"/>
    <w:rsid w:val="73F7821D"/>
    <w:rsid w:val="73FD904A"/>
    <w:rsid w:val="73FE7D77"/>
    <w:rsid w:val="747D8831"/>
    <w:rsid w:val="74DAE1D4"/>
    <w:rsid w:val="74FD4F1D"/>
    <w:rsid w:val="753E843F"/>
    <w:rsid w:val="75BA7804"/>
    <w:rsid w:val="75D75B8C"/>
    <w:rsid w:val="75D7BE0C"/>
    <w:rsid w:val="75EE29B5"/>
    <w:rsid w:val="75F76964"/>
    <w:rsid w:val="767F264B"/>
    <w:rsid w:val="76BBFBAC"/>
    <w:rsid w:val="76DF1876"/>
    <w:rsid w:val="76E95222"/>
    <w:rsid w:val="76EE64DE"/>
    <w:rsid w:val="76F783C5"/>
    <w:rsid w:val="76FA0280"/>
    <w:rsid w:val="76FAACB7"/>
    <w:rsid w:val="76FAC9CF"/>
    <w:rsid w:val="76FF5A77"/>
    <w:rsid w:val="76FFAAD0"/>
    <w:rsid w:val="77265EC9"/>
    <w:rsid w:val="7734775B"/>
    <w:rsid w:val="773F375B"/>
    <w:rsid w:val="7778BBA0"/>
    <w:rsid w:val="777E4FB9"/>
    <w:rsid w:val="7797316E"/>
    <w:rsid w:val="779D9FB0"/>
    <w:rsid w:val="77A76DE7"/>
    <w:rsid w:val="77AAC4FB"/>
    <w:rsid w:val="77BB780C"/>
    <w:rsid w:val="77BF9E9F"/>
    <w:rsid w:val="77DF2F0A"/>
    <w:rsid w:val="77E4EC81"/>
    <w:rsid w:val="77E732A2"/>
    <w:rsid w:val="77EE9457"/>
    <w:rsid w:val="77EF4F8C"/>
    <w:rsid w:val="77F6AF0C"/>
    <w:rsid w:val="77F7E5F4"/>
    <w:rsid w:val="77FD87A5"/>
    <w:rsid w:val="77FF96D1"/>
    <w:rsid w:val="77FFEE7C"/>
    <w:rsid w:val="78BA6D3A"/>
    <w:rsid w:val="78ED760F"/>
    <w:rsid w:val="78F70A17"/>
    <w:rsid w:val="78F75D70"/>
    <w:rsid w:val="790BA4C4"/>
    <w:rsid w:val="797F05E6"/>
    <w:rsid w:val="799F124F"/>
    <w:rsid w:val="79D156DB"/>
    <w:rsid w:val="79DF7E5D"/>
    <w:rsid w:val="79DFE682"/>
    <w:rsid w:val="79ED9BCF"/>
    <w:rsid w:val="79F27852"/>
    <w:rsid w:val="79F568B1"/>
    <w:rsid w:val="79F63DD1"/>
    <w:rsid w:val="79F6DEE0"/>
    <w:rsid w:val="79FDF3B3"/>
    <w:rsid w:val="7A3F85F3"/>
    <w:rsid w:val="7A43C6BC"/>
    <w:rsid w:val="7AFA209A"/>
    <w:rsid w:val="7AFCE110"/>
    <w:rsid w:val="7AFF1C17"/>
    <w:rsid w:val="7B23EB07"/>
    <w:rsid w:val="7B3DFD34"/>
    <w:rsid w:val="7BBD0BA3"/>
    <w:rsid w:val="7BBF8D15"/>
    <w:rsid w:val="7BBF9426"/>
    <w:rsid w:val="7BC7579A"/>
    <w:rsid w:val="7BD3EE9B"/>
    <w:rsid w:val="7BD65361"/>
    <w:rsid w:val="7BEF6CA6"/>
    <w:rsid w:val="7BF7C0D7"/>
    <w:rsid w:val="7BFBB34C"/>
    <w:rsid w:val="7BFD2EFB"/>
    <w:rsid w:val="7BFF21B3"/>
    <w:rsid w:val="7BFF8032"/>
    <w:rsid w:val="7BFFB11F"/>
    <w:rsid w:val="7C3C5B09"/>
    <w:rsid w:val="7C4759FE"/>
    <w:rsid w:val="7C6EC6D7"/>
    <w:rsid w:val="7CE76847"/>
    <w:rsid w:val="7CFE580E"/>
    <w:rsid w:val="7D7660EC"/>
    <w:rsid w:val="7D7707C1"/>
    <w:rsid w:val="7D973EB2"/>
    <w:rsid w:val="7D97E529"/>
    <w:rsid w:val="7D9F36EE"/>
    <w:rsid w:val="7DB6FA1B"/>
    <w:rsid w:val="7DBF6AB0"/>
    <w:rsid w:val="7DCF1714"/>
    <w:rsid w:val="7DD78E7E"/>
    <w:rsid w:val="7DE63064"/>
    <w:rsid w:val="7DE740A9"/>
    <w:rsid w:val="7DF1F705"/>
    <w:rsid w:val="7DF7B42E"/>
    <w:rsid w:val="7DFAF0F5"/>
    <w:rsid w:val="7DFB4285"/>
    <w:rsid w:val="7DFD5316"/>
    <w:rsid w:val="7DFF1835"/>
    <w:rsid w:val="7DFF301F"/>
    <w:rsid w:val="7DFF98EE"/>
    <w:rsid w:val="7E2F5241"/>
    <w:rsid w:val="7E4B9933"/>
    <w:rsid w:val="7E6F2F25"/>
    <w:rsid w:val="7E7A394B"/>
    <w:rsid w:val="7E7BE9A4"/>
    <w:rsid w:val="7E7E2C57"/>
    <w:rsid w:val="7E7FB16B"/>
    <w:rsid w:val="7E9F1491"/>
    <w:rsid w:val="7EAE7CAD"/>
    <w:rsid w:val="7EBB89F9"/>
    <w:rsid w:val="7EBBBFB5"/>
    <w:rsid w:val="7EBD53B4"/>
    <w:rsid w:val="7EBE55A7"/>
    <w:rsid w:val="7EBFCC72"/>
    <w:rsid w:val="7EC87608"/>
    <w:rsid w:val="7ECF6F60"/>
    <w:rsid w:val="7ED51E44"/>
    <w:rsid w:val="7ED98C1B"/>
    <w:rsid w:val="7EDD2E66"/>
    <w:rsid w:val="7EDF8327"/>
    <w:rsid w:val="7EDF9FDC"/>
    <w:rsid w:val="7EE93AB5"/>
    <w:rsid w:val="7EEF26DC"/>
    <w:rsid w:val="7EF3EDF1"/>
    <w:rsid w:val="7EF4DDBC"/>
    <w:rsid w:val="7EF4F5CB"/>
    <w:rsid w:val="7EF76916"/>
    <w:rsid w:val="7EF7A492"/>
    <w:rsid w:val="7EF97011"/>
    <w:rsid w:val="7EFAFBD1"/>
    <w:rsid w:val="7EFEE817"/>
    <w:rsid w:val="7EFF6945"/>
    <w:rsid w:val="7EFF9398"/>
    <w:rsid w:val="7F0FF003"/>
    <w:rsid w:val="7F1B28B1"/>
    <w:rsid w:val="7F1D9BBB"/>
    <w:rsid w:val="7F3710E0"/>
    <w:rsid w:val="7F3FDA85"/>
    <w:rsid w:val="7F45CDF3"/>
    <w:rsid w:val="7F4DA757"/>
    <w:rsid w:val="7F4E15C9"/>
    <w:rsid w:val="7F51637B"/>
    <w:rsid w:val="7F6B9A2A"/>
    <w:rsid w:val="7F6F3079"/>
    <w:rsid w:val="7F6FB107"/>
    <w:rsid w:val="7F777150"/>
    <w:rsid w:val="7F791E64"/>
    <w:rsid w:val="7F7B3F2A"/>
    <w:rsid w:val="7F7D1481"/>
    <w:rsid w:val="7F7EB470"/>
    <w:rsid w:val="7F7FA188"/>
    <w:rsid w:val="7F8FDBE3"/>
    <w:rsid w:val="7F9BAD2C"/>
    <w:rsid w:val="7F9EFB35"/>
    <w:rsid w:val="7FAD1BC8"/>
    <w:rsid w:val="7FAF0F10"/>
    <w:rsid w:val="7FB4AF18"/>
    <w:rsid w:val="7FB9996F"/>
    <w:rsid w:val="7FB9FC36"/>
    <w:rsid w:val="7FBB0EF5"/>
    <w:rsid w:val="7FBC1F68"/>
    <w:rsid w:val="7FBE09D6"/>
    <w:rsid w:val="7FBF1D91"/>
    <w:rsid w:val="7FBF7EF1"/>
    <w:rsid w:val="7FBF84F5"/>
    <w:rsid w:val="7FC59D39"/>
    <w:rsid w:val="7FCD37D3"/>
    <w:rsid w:val="7FD54A5D"/>
    <w:rsid w:val="7FD56190"/>
    <w:rsid w:val="7FD5C215"/>
    <w:rsid w:val="7FD73923"/>
    <w:rsid w:val="7FD88229"/>
    <w:rsid w:val="7FD946E9"/>
    <w:rsid w:val="7FDB08A4"/>
    <w:rsid w:val="7FDF1EB6"/>
    <w:rsid w:val="7FDFC7BC"/>
    <w:rsid w:val="7FDFC897"/>
    <w:rsid w:val="7FE72BD8"/>
    <w:rsid w:val="7FE77EE3"/>
    <w:rsid w:val="7FE7DE4F"/>
    <w:rsid w:val="7FEBEA45"/>
    <w:rsid w:val="7FEF4D04"/>
    <w:rsid w:val="7FEFCF7A"/>
    <w:rsid w:val="7FF3BB09"/>
    <w:rsid w:val="7FF6E46C"/>
    <w:rsid w:val="7FF73A67"/>
    <w:rsid w:val="7FF747ED"/>
    <w:rsid w:val="7FF7F7FD"/>
    <w:rsid w:val="7FF95150"/>
    <w:rsid w:val="7FFA960A"/>
    <w:rsid w:val="7FFB128B"/>
    <w:rsid w:val="7FFB27A6"/>
    <w:rsid w:val="7FFB455A"/>
    <w:rsid w:val="7FFB47F6"/>
    <w:rsid w:val="7FFB707A"/>
    <w:rsid w:val="7FFBCB26"/>
    <w:rsid w:val="7FFC3F97"/>
    <w:rsid w:val="7FFC440F"/>
    <w:rsid w:val="7FFC9EA9"/>
    <w:rsid w:val="7FFE269C"/>
    <w:rsid w:val="7FFEB9A5"/>
    <w:rsid w:val="7FFF0A12"/>
    <w:rsid w:val="7FFF0CD4"/>
    <w:rsid w:val="7FFF198F"/>
    <w:rsid w:val="7FFF58F8"/>
    <w:rsid w:val="7FFFAE11"/>
    <w:rsid w:val="7FFFB8C8"/>
    <w:rsid w:val="7FFFC7D1"/>
    <w:rsid w:val="81F7924F"/>
    <w:rsid w:val="84ED7C12"/>
    <w:rsid w:val="87D67266"/>
    <w:rsid w:val="87E4D617"/>
    <w:rsid w:val="8AED2F61"/>
    <w:rsid w:val="8BE9F071"/>
    <w:rsid w:val="8CF74ED9"/>
    <w:rsid w:val="8DBFA477"/>
    <w:rsid w:val="8DEF6694"/>
    <w:rsid w:val="8EEFC41A"/>
    <w:rsid w:val="8F7A6952"/>
    <w:rsid w:val="8F7F8D77"/>
    <w:rsid w:val="8FAFC357"/>
    <w:rsid w:val="8FDF03F0"/>
    <w:rsid w:val="8FEDA062"/>
    <w:rsid w:val="8FF753F7"/>
    <w:rsid w:val="93520ABB"/>
    <w:rsid w:val="93FB73C5"/>
    <w:rsid w:val="969B310E"/>
    <w:rsid w:val="96CF2844"/>
    <w:rsid w:val="97B9C227"/>
    <w:rsid w:val="97F949DE"/>
    <w:rsid w:val="97FDA90D"/>
    <w:rsid w:val="99B56B26"/>
    <w:rsid w:val="9A5F74D6"/>
    <w:rsid w:val="9AFEE5D3"/>
    <w:rsid w:val="9B3DAFA9"/>
    <w:rsid w:val="9BDD645B"/>
    <w:rsid w:val="9C755E4B"/>
    <w:rsid w:val="9DEF612C"/>
    <w:rsid w:val="9E7F1909"/>
    <w:rsid w:val="9EDF957A"/>
    <w:rsid w:val="9EE5BE0E"/>
    <w:rsid w:val="9EF73B00"/>
    <w:rsid w:val="9F6DF855"/>
    <w:rsid w:val="9F7EA217"/>
    <w:rsid w:val="9FBE3542"/>
    <w:rsid w:val="9FC29AB0"/>
    <w:rsid w:val="9FF51C24"/>
    <w:rsid w:val="9FFBD76E"/>
    <w:rsid w:val="9FFE152A"/>
    <w:rsid w:val="9FFF7EAD"/>
    <w:rsid w:val="9FFFEC54"/>
    <w:rsid w:val="A39AED52"/>
    <w:rsid w:val="A3EF56EC"/>
    <w:rsid w:val="A5EFF3EE"/>
    <w:rsid w:val="A7F58689"/>
    <w:rsid w:val="A7FDA51B"/>
    <w:rsid w:val="A8F7A947"/>
    <w:rsid w:val="ABBD24CB"/>
    <w:rsid w:val="ABEFD763"/>
    <w:rsid w:val="ABF72684"/>
    <w:rsid w:val="ABFB5FAE"/>
    <w:rsid w:val="ACE7ED75"/>
    <w:rsid w:val="AD6D13EB"/>
    <w:rsid w:val="AD9D5A22"/>
    <w:rsid w:val="ADBAE736"/>
    <w:rsid w:val="ADFE7FF1"/>
    <w:rsid w:val="AEB0212F"/>
    <w:rsid w:val="AEFFDB45"/>
    <w:rsid w:val="AF776007"/>
    <w:rsid w:val="AF77AB5A"/>
    <w:rsid w:val="AFB22240"/>
    <w:rsid w:val="AFB6F71D"/>
    <w:rsid w:val="AFDFA435"/>
    <w:rsid w:val="AFF5E5F6"/>
    <w:rsid w:val="AFF6474B"/>
    <w:rsid w:val="AFFF1217"/>
    <w:rsid w:val="B26F5ABA"/>
    <w:rsid w:val="B2BD16A9"/>
    <w:rsid w:val="B3BD4EAE"/>
    <w:rsid w:val="B3DFD409"/>
    <w:rsid w:val="B3EDC9F7"/>
    <w:rsid w:val="B3EE481E"/>
    <w:rsid w:val="B4AE0331"/>
    <w:rsid w:val="B4EF4B8F"/>
    <w:rsid w:val="B5CD0567"/>
    <w:rsid w:val="B5DF2C3E"/>
    <w:rsid w:val="B63C3C77"/>
    <w:rsid w:val="B6D3136E"/>
    <w:rsid w:val="B6FE6017"/>
    <w:rsid w:val="B73D24A4"/>
    <w:rsid w:val="B7F1A56D"/>
    <w:rsid w:val="B7F58FF7"/>
    <w:rsid w:val="B7FB2FEA"/>
    <w:rsid w:val="B7FF883A"/>
    <w:rsid w:val="B97E643C"/>
    <w:rsid w:val="B9CB1CB1"/>
    <w:rsid w:val="B9FF4D21"/>
    <w:rsid w:val="BB514D19"/>
    <w:rsid w:val="BB5B3D6C"/>
    <w:rsid w:val="BB762A7A"/>
    <w:rsid w:val="BBDEA106"/>
    <w:rsid w:val="BBDFE2D3"/>
    <w:rsid w:val="BBEB6467"/>
    <w:rsid w:val="BBEBCC54"/>
    <w:rsid w:val="BBF2A6A9"/>
    <w:rsid w:val="BBFF3523"/>
    <w:rsid w:val="BBFFDAE4"/>
    <w:rsid w:val="BC7F9D76"/>
    <w:rsid w:val="BCF750E0"/>
    <w:rsid w:val="BCFBF6A8"/>
    <w:rsid w:val="BD7E71BE"/>
    <w:rsid w:val="BD8F8105"/>
    <w:rsid w:val="BD905325"/>
    <w:rsid w:val="BDB5AFAD"/>
    <w:rsid w:val="BDDD806A"/>
    <w:rsid w:val="BDDF1F01"/>
    <w:rsid w:val="BDDF7100"/>
    <w:rsid w:val="BDDFB8A6"/>
    <w:rsid w:val="BDF7D41C"/>
    <w:rsid w:val="BDFF42FC"/>
    <w:rsid w:val="BE65DBED"/>
    <w:rsid w:val="BE65F558"/>
    <w:rsid w:val="BEBE3E81"/>
    <w:rsid w:val="BEDFC48F"/>
    <w:rsid w:val="BEF93B91"/>
    <w:rsid w:val="BEFB79E9"/>
    <w:rsid w:val="BEFF08EF"/>
    <w:rsid w:val="BEFFC63C"/>
    <w:rsid w:val="BF0D7F59"/>
    <w:rsid w:val="BF53946D"/>
    <w:rsid w:val="BF7B403D"/>
    <w:rsid w:val="BF7B8D7B"/>
    <w:rsid w:val="BF7D056E"/>
    <w:rsid w:val="BF7F444F"/>
    <w:rsid w:val="BF7F7077"/>
    <w:rsid w:val="BFAD36B1"/>
    <w:rsid w:val="BFAF4DDC"/>
    <w:rsid w:val="BFBFBABC"/>
    <w:rsid w:val="BFCB6729"/>
    <w:rsid w:val="BFDB78FA"/>
    <w:rsid w:val="BFDFF666"/>
    <w:rsid w:val="BFE5025F"/>
    <w:rsid w:val="BFE73338"/>
    <w:rsid w:val="BFE7A966"/>
    <w:rsid w:val="BFE98F40"/>
    <w:rsid w:val="BFEF9CBB"/>
    <w:rsid w:val="BFF707D3"/>
    <w:rsid w:val="BFF80540"/>
    <w:rsid w:val="BFFB117A"/>
    <w:rsid w:val="BFFB9437"/>
    <w:rsid w:val="BFFDFE42"/>
    <w:rsid w:val="BFFF0756"/>
    <w:rsid w:val="BFFF0C32"/>
    <w:rsid w:val="BFFFBE7F"/>
    <w:rsid w:val="C1D7604D"/>
    <w:rsid w:val="C3B73543"/>
    <w:rsid w:val="C72F9B29"/>
    <w:rsid w:val="C7D91FB1"/>
    <w:rsid w:val="C7F59C88"/>
    <w:rsid w:val="C9A9F894"/>
    <w:rsid w:val="CA6F68DE"/>
    <w:rsid w:val="CA7E7A3F"/>
    <w:rsid w:val="CA7FC210"/>
    <w:rsid w:val="CBEF7B86"/>
    <w:rsid w:val="CC2FF384"/>
    <w:rsid w:val="CC5F7FAF"/>
    <w:rsid w:val="CCEF17F7"/>
    <w:rsid w:val="CDBFE7E2"/>
    <w:rsid w:val="CDE1F084"/>
    <w:rsid w:val="CE75898A"/>
    <w:rsid w:val="CEBD2743"/>
    <w:rsid w:val="CEE7F460"/>
    <w:rsid w:val="CEE99FF2"/>
    <w:rsid w:val="CEFD9143"/>
    <w:rsid w:val="CEFFEEC5"/>
    <w:rsid w:val="CF7B8CCB"/>
    <w:rsid w:val="CF9C7161"/>
    <w:rsid w:val="CFBFBE84"/>
    <w:rsid w:val="CFD8A67E"/>
    <w:rsid w:val="D1577B8E"/>
    <w:rsid w:val="D17D2849"/>
    <w:rsid w:val="D17E29A0"/>
    <w:rsid w:val="D2936D24"/>
    <w:rsid w:val="D3570285"/>
    <w:rsid w:val="D37F5350"/>
    <w:rsid w:val="D3FF6B16"/>
    <w:rsid w:val="D3FF7B3F"/>
    <w:rsid w:val="D43FC814"/>
    <w:rsid w:val="D4BF54A0"/>
    <w:rsid w:val="D5FC1B7C"/>
    <w:rsid w:val="D67767EC"/>
    <w:rsid w:val="D6A34438"/>
    <w:rsid w:val="D6BCCA8B"/>
    <w:rsid w:val="D6DD258F"/>
    <w:rsid w:val="D757A86A"/>
    <w:rsid w:val="D75BFC1F"/>
    <w:rsid w:val="D7775413"/>
    <w:rsid w:val="D77DE357"/>
    <w:rsid w:val="D7B7818B"/>
    <w:rsid w:val="D7BF0D88"/>
    <w:rsid w:val="D7E78CAC"/>
    <w:rsid w:val="D7E98147"/>
    <w:rsid w:val="D7EFB6AC"/>
    <w:rsid w:val="D7F12E97"/>
    <w:rsid w:val="D7FE6F57"/>
    <w:rsid w:val="D7FFB490"/>
    <w:rsid w:val="D7FFDE98"/>
    <w:rsid w:val="D97E0273"/>
    <w:rsid w:val="D9D9DF8D"/>
    <w:rsid w:val="DA6D57B6"/>
    <w:rsid w:val="DA6DF725"/>
    <w:rsid w:val="DA7E8E91"/>
    <w:rsid w:val="DA7F95B2"/>
    <w:rsid w:val="DB1EBCB4"/>
    <w:rsid w:val="DB5DE4BA"/>
    <w:rsid w:val="DB6C3C1A"/>
    <w:rsid w:val="DB8D17C2"/>
    <w:rsid w:val="DB8F524B"/>
    <w:rsid w:val="DB95E749"/>
    <w:rsid w:val="DB9E6712"/>
    <w:rsid w:val="DBBF6B0A"/>
    <w:rsid w:val="DBDEDB29"/>
    <w:rsid w:val="DBE54F66"/>
    <w:rsid w:val="DBEE1ED2"/>
    <w:rsid w:val="DBF73EB0"/>
    <w:rsid w:val="DC2E2FE1"/>
    <w:rsid w:val="DCBBE2D7"/>
    <w:rsid w:val="DCDD5F9A"/>
    <w:rsid w:val="DCFE90E9"/>
    <w:rsid w:val="DD5FD186"/>
    <w:rsid w:val="DD68EC51"/>
    <w:rsid w:val="DD6A0A90"/>
    <w:rsid w:val="DD6FC473"/>
    <w:rsid w:val="DD73ECDD"/>
    <w:rsid w:val="DDDE70FC"/>
    <w:rsid w:val="DDDF6B64"/>
    <w:rsid w:val="DDDFE788"/>
    <w:rsid w:val="DDE55210"/>
    <w:rsid w:val="DDF3FB9C"/>
    <w:rsid w:val="DDFDC736"/>
    <w:rsid w:val="DE2FF976"/>
    <w:rsid w:val="DE3B506B"/>
    <w:rsid w:val="DE3B98CD"/>
    <w:rsid w:val="DE5D939B"/>
    <w:rsid w:val="DE794410"/>
    <w:rsid w:val="DEB75963"/>
    <w:rsid w:val="DECFE04B"/>
    <w:rsid w:val="DEE7C7C1"/>
    <w:rsid w:val="DEFAEB3B"/>
    <w:rsid w:val="DF46C366"/>
    <w:rsid w:val="DF4F11C5"/>
    <w:rsid w:val="DF6A99C7"/>
    <w:rsid w:val="DF6C59D1"/>
    <w:rsid w:val="DF6F2DA8"/>
    <w:rsid w:val="DF6FAB2F"/>
    <w:rsid w:val="DF7A3FD0"/>
    <w:rsid w:val="DF8F93CE"/>
    <w:rsid w:val="DF9E05E0"/>
    <w:rsid w:val="DFB39101"/>
    <w:rsid w:val="DFBB7511"/>
    <w:rsid w:val="DFBEC220"/>
    <w:rsid w:val="DFBFE06E"/>
    <w:rsid w:val="DFCE896F"/>
    <w:rsid w:val="DFCFE6A9"/>
    <w:rsid w:val="DFD9A83F"/>
    <w:rsid w:val="DFD9ADBE"/>
    <w:rsid w:val="DFDB1F66"/>
    <w:rsid w:val="DFDFF420"/>
    <w:rsid w:val="DFEB1305"/>
    <w:rsid w:val="DFEE2ED8"/>
    <w:rsid w:val="DFEF154D"/>
    <w:rsid w:val="DFEF1D78"/>
    <w:rsid w:val="DFF1B7A5"/>
    <w:rsid w:val="DFF78141"/>
    <w:rsid w:val="DFFD906C"/>
    <w:rsid w:val="DFFFE875"/>
    <w:rsid w:val="DFFFF473"/>
    <w:rsid w:val="E00F2882"/>
    <w:rsid w:val="E14F8CE6"/>
    <w:rsid w:val="E1E5C761"/>
    <w:rsid w:val="E2F54EA3"/>
    <w:rsid w:val="E3EDBC84"/>
    <w:rsid w:val="E3F99BF4"/>
    <w:rsid w:val="E3FD4946"/>
    <w:rsid w:val="E4B200CA"/>
    <w:rsid w:val="E57972A5"/>
    <w:rsid w:val="E5B33676"/>
    <w:rsid w:val="E5DB8810"/>
    <w:rsid w:val="E6CE5C67"/>
    <w:rsid w:val="E72DCBEA"/>
    <w:rsid w:val="E77B41DB"/>
    <w:rsid w:val="E7D7ED81"/>
    <w:rsid w:val="E7DB056B"/>
    <w:rsid w:val="E7EE7C87"/>
    <w:rsid w:val="E7EF75DF"/>
    <w:rsid w:val="E7F9FF47"/>
    <w:rsid w:val="E7FD7F36"/>
    <w:rsid w:val="E7FFE265"/>
    <w:rsid w:val="E88FEDFA"/>
    <w:rsid w:val="E95FAAB7"/>
    <w:rsid w:val="E97F45BA"/>
    <w:rsid w:val="E99FCA0A"/>
    <w:rsid w:val="E9FEF663"/>
    <w:rsid w:val="E9FF9ED8"/>
    <w:rsid w:val="EA2E4ACD"/>
    <w:rsid w:val="EA3E0F9B"/>
    <w:rsid w:val="EABFDB8B"/>
    <w:rsid w:val="EACFD5BD"/>
    <w:rsid w:val="EACFFD53"/>
    <w:rsid w:val="EAE36206"/>
    <w:rsid w:val="EAFD04EF"/>
    <w:rsid w:val="EBDFCAC6"/>
    <w:rsid w:val="EBE7DFEE"/>
    <w:rsid w:val="EBFD8644"/>
    <w:rsid w:val="ECBF9501"/>
    <w:rsid w:val="ECD93783"/>
    <w:rsid w:val="ED2FB9A8"/>
    <w:rsid w:val="ED670331"/>
    <w:rsid w:val="ED7DD803"/>
    <w:rsid w:val="EDBCECF4"/>
    <w:rsid w:val="EDBFD415"/>
    <w:rsid w:val="EDF99D7A"/>
    <w:rsid w:val="EDFBB7A4"/>
    <w:rsid w:val="EDFD280B"/>
    <w:rsid w:val="EDFE3BB8"/>
    <w:rsid w:val="EDFED924"/>
    <w:rsid w:val="EDFFAF7F"/>
    <w:rsid w:val="EDFFE3E1"/>
    <w:rsid w:val="EE6D8EAC"/>
    <w:rsid w:val="EE6FF75F"/>
    <w:rsid w:val="EECDF911"/>
    <w:rsid w:val="EEE7E25F"/>
    <w:rsid w:val="EEFF0D95"/>
    <w:rsid w:val="EEFF3A1E"/>
    <w:rsid w:val="EEFFB078"/>
    <w:rsid w:val="EF3944D4"/>
    <w:rsid w:val="EF4D910C"/>
    <w:rsid w:val="EF4E4ACD"/>
    <w:rsid w:val="EF59DC33"/>
    <w:rsid w:val="EF5F3B14"/>
    <w:rsid w:val="EF6B1952"/>
    <w:rsid w:val="EF6DCF21"/>
    <w:rsid w:val="EF6EC0EF"/>
    <w:rsid w:val="EF6F102B"/>
    <w:rsid w:val="EF7F8E33"/>
    <w:rsid w:val="EFB66018"/>
    <w:rsid w:val="EFB91A31"/>
    <w:rsid w:val="EFBF07D2"/>
    <w:rsid w:val="EFBFC488"/>
    <w:rsid w:val="EFCFF232"/>
    <w:rsid w:val="EFD5FC3F"/>
    <w:rsid w:val="EFDB8BBF"/>
    <w:rsid w:val="EFDF914A"/>
    <w:rsid w:val="EFDF9F0B"/>
    <w:rsid w:val="EFE57D23"/>
    <w:rsid w:val="EFF72B11"/>
    <w:rsid w:val="EFF796DE"/>
    <w:rsid w:val="EFF7B8E1"/>
    <w:rsid w:val="EFF7E2F7"/>
    <w:rsid w:val="EFFCC073"/>
    <w:rsid w:val="EFFEB618"/>
    <w:rsid w:val="EFFF0BDC"/>
    <w:rsid w:val="EFFF4DF4"/>
    <w:rsid w:val="EFFF6762"/>
    <w:rsid w:val="EFFFA193"/>
    <w:rsid w:val="EFFFC2D2"/>
    <w:rsid w:val="EFFFFABD"/>
    <w:rsid w:val="EFFFFE79"/>
    <w:rsid w:val="EFFFFF00"/>
    <w:rsid w:val="F0BF4332"/>
    <w:rsid w:val="F0E71A6B"/>
    <w:rsid w:val="F0FA7896"/>
    <w:rsid w:val="F16EBB54"/>
    <w:rsid w:val="F18F8411"/>
    <w:rsid w:val="F1D41082"/>
    <w:rsid w:val="F1F7DCEA"/>
    <w:rsid w:val="F1FF05F0"/>
    <w:rsid w:val="F1FF54EA"/>
    <w:rsid w:val="F24E2786"/>
    <w:rsid w:val="F2AE58CB"/>
    <w:rsid w:val="F2BF8B5E"/>
    <w:rsid w:val="F2EB11D4"/>
    <w:rsid w:val="F2FD2485"/>
    <w:rsid w:val="F39D0013"/>
    <w:rsid w:val="F3D7744B"/>
    <w:rsid w:val="F3DB8A4F"/>
    <w:rsid w:val="F3DF7B7F"/>
    <w:rsid w:val="F3DFB24B"/>
    <w:rsid w:val="F3EED870"/>
    <w:rsid w:val="F3EFB0B7"/>
    <w:rsid w:val="F3F2A3CC"/>
    <w:rsid w:val="F3F711EF"/>
    <w:rsid w:val="F3FB0F94"/>
    <w:rsid w:val="F3FD86F7"/>
    <w:rsid w:val="F3FE9D85"/>
    <w:rsid w:val="F3FF9C94"/>
    <w:rsid w:val="F4CB0FFD"/>
    <w:rsid w:val="F4FE2EED"/>
    <w:rsid w:val="F4FF7960"/>
    <w:rsid w:val="F55705A9"/>
    <w:rsid w:val="F57D7AF2"/>
    <w:rsid w:val="F5E70A30"/>
    <w:rsid w:val="F5F5488A"/>
    <w:rsid w:val="F5FF6090"/>
    <w:rsid w:val="F5FF6956"/>
    <w:rsid w:val="F67EEA3E"/>
    <w:rsid w:val="F6D6DEBA"/>
    <w:rsid w:val="F6DD2BB6"/>
    <w:rsid w:val="F6F6A021"/>
    <w:rsid w:val="F6F91F11"/>
    <w:rsid w:val="F6FF2DA4"/>
    <w:rsid w:val="F7392FAF"/>
    <w:rsid w:val="F757C96B"/>
    <w:rsid w:val="F7776667"/>
    <w:rsid w:val="F77F3672"/>
    <w:rsid w:val="F78A17D5"/>
    <w:rsid w:val="F7AEDD63"/>
    <w:rsid w:val="F7BFCB57"/>
    <w:rsid w:val="F7D29A43"/>
    <w:rsid w:val="F7DB5EB5"/>
    <w:rsid w:val="F7DF0DC0"/>
    <w:rsid w:val="F7DFE8F3"/>
    <w:rsid w:val="F7E78797"/>
    <w:rsid w:val="F7ED32CC"/>
    <w:rsid w:val="F7F32DD8"/>
    <w:rsid w:val="F7FB26B7"/>
    <w:rsid w:val="F7FBAD75"/>
    <w:rsid w:val="F7FF45C8"/>
    <w:rsid w:val="F7FF90ED"/>
    <w:rsid w:val="F7FFC71B"/>
    <w:rsid w:val="F8776138"/>
    <w:rsid w:val="F8FD96C3"/>
    <w:rsid w:val="F8FFFAD8"/>
    <w:rsid w:val="F91788B0"/>
    <w:rsid w:val="F976768F"/>
    <w:rsid w:val="F97F0D8D"/>
    <w:rsid w:val="F97FAC49"/>
    <w:rsid w:val="F9ED4FE5"/>
    <w:rsid w:val="F9FF0639"/>
    <w:rsid w:val="F9FFDF2B"/>
    <w:rsid w:val="FA5E23D5"/>
    <w:rsid w:val="FA7F7377"/>
    <w:rsid w:val="FA7F9D96"/>
    <w:rsid w:val="FA8F69A1"/>
    <w:rsid w:val="FB3FD2ED"/>
    <w:rsid w:val="FB4E892D"/>
    <w:rsid w:val="FB5AD2D4"/>
    <w:rsid w:val="FB5F5C82"/>
    <w:rsid w:val="FB6AFD97"/>
    <w:rsid w:val="FB6BCCC5"/>
    <w:rsid w:val="FB74AA61"/>
    <w:rsid w:val="FB7B0C2A"/>
    <w:rsid w:val="FB7F7F56"/>
    <w:rsid w:val="FB7FB632"/>
    <w:rsid w:val="FB83FC0D"/>
    <w:rsid w:val="FBBF2A82"/>
    <w:rsid w:val="FBD77E68"/>
    <w:rsid w:val="FBDB7D81"/>
    <w:rsid w:val="FBDF680C"/>
    <w:rsid w:val="FBDF750C"/>
    <w:rsid w:val="FBDF95F2"/>
    <w:rsid w:val="FBE7E8F6"/>
    <w:rsid w:val="FBED90F4"/>
    <w:rsid w:val="FBF6E55F"/>
    <w:rsid w:val="FBF7D540"/>
    <w:rsid w:val="FBFBD5D6"/>
    <w:rsid w:val="FBFD9675"/>
    <w:rsid w:val="FBFD9878"/>
    <w:rsid w:val="FBFEBEA2"/>
    <w:rsid w:val="FBFF53AD"/>
    <w:rsid w:val="FBFF718B"/>
    <w:rsid w:val="FBFFDBB3"/>
    <w:rsid w:val="FC3F6E77"/>
    <w:rsid w:val="FC679B8A"/>
    <w:rsid w:val="FC7FB1F7"/>
    <w:rsid w:val="FCD74EB5"/>
    <w:rsid w:val="FCDFAFE9"/>
    <w:rsid w:val="FCEE7EF4"/>
    <w:rsid w:val="FCF6F317"/>
    <w:rsid w:val="FCF9468D"/>
    <w:rsid w:val="FCFC4D06"/>
    <w:rsid w:val="FD06825E"/>
    <w:rsid w:val="FD2F70D5"/>
    <w:rsid w:val="FD37CB6D"/>
    <w:rsid w:val="FD7F7124"/>
    <w:rsid w:val="FD7FFA22"/>
    <w:rsid w:val="FD87B46E"/>
    <w:rsid w:val="FD951E01"/>
    <w:rsid w:val="FD97CECF"/>
    <w:rsid w:val="FDBF2176"/>
    <w:rsid w:val="FDE7323F"/>
    <w:rsid w:val="FDEB9061"/>
    <w:rsid w:val="FDEBE854"/>
    <w:rsid w:val="FDEEE7C0"/>
    <w:rsid w:val="FDF3E785"/>
    <w:rsid w:val="FDF6AD75"/>
    <w:rsid w:val="FDFB8804"/>
    <w:rsid w:val="FDFBA5DE"/>
    <w:rsid w:val="FDFBF533"/>
    <w:rsid w:val="FDFDC1F4"/>
    <w:rsid w:val="FDFE20AB"/>
    <w:rsid w:val="FDFE8890"/>
    <w:rsid w:val="FDFF54F4"/>
    <w:rsid w:val="FDFF58D8"/>
    <w:rsid w:val="FE3BEA08"/>
    <w:rsid w:val="FE5DC83A"/>
    <w:rsid w:val="FE6D4949"/>
    <w:rsid w:val="FE6DBBA6"/>
    <w:rsid w:val="FE6E6EE1"/>
    <w:rsid w:val="FE6F100C"/>
    <w:rsid w:val="FE7719D0"/>
    <w:rsid w:val="FE791BF5"/>
    <w:rsid w:val="FE7BDABC"/>
    <w:rsid w:val="FE7DEE5A"/>
    <w:rsid w:val="FE7F0E01"/>
    <w:rsid w:val="FE9D6FBB"/>
    <w:rsid w:val="FEADF1CC"/>
    <w:rsid w:val="FEB3E210"/>
    <w:rsid w:val="FEBB5591"/>
    <w:rsid w:val="FEBD9F89"/>
    <w:rsid w:val="FEBDB920"/>
    <w:rsid w:val="FEBF8FD5"/>
    <w:rsid w:val="FEC60806"/>
    <w:rsid w:val="FEDA8564"/>
    <w:rsid w:val="FEE2BD0A"/>
    <w:rsid w:val="FEE612B3"/>
    <w:rsid w:val="FEE727AD"/>
    <w:rsid w:val="FEEF255F"/>
    <w:rsid w:val="FEEF94EB"/>
    <w:rsid w:val="FEEFBB9A"/>
    <w:rsid w:val="FEF3EB4C"/>
    <w:rsid w:val="FEFE64B8"/>
    <w:rsid w:val="FEFEB476"/>
    <w:rsid w:val="FF0DFE37"/>
    <w:rsid w:val="FF349299"/>
    <w:rsid w:val="FF37ABCE"/>
    <w:rsid w:val="FF37BC26"/>
    <w:rsid w:val="FF3BBD54"/>
    <w:rsid w:val="FF3FE7AE"/>
    <w:rsid w:val="FF5C7ADB"/>
    <w:rsid w:val="FF5D95A6"/>
    <w:rsid w:val="FF6FE700"/>
    <w:rsid w:val="FF760202"/>
    <w:rsid w:val="FF7B015E"/>
    <w:rsid w:val="FF7BDD60"/>
    <w:rsid w:val="FF7C5650"/>
    <w:rsid w:val="FF7D326E"/>
    <w:rsid w:val="FF7E764A"/>
    <w:rsid w:val="FF7E8A5C"/>
    <w:rsid w:val="FF7F30DF"/>
    <w:rsid w:val="FF7F31B3"/>
    <w:rsid w:val="FF7F444F"/>
    <w:rsid w:val="FF7F7616"/>
    <w:rsid w:val="FF8B4B4D"/>
    <w:rsid w:val="FF90A2C2"/>
    <w:rsid w:val="FF97C159"/>
    <w:rsid w:val="FFA986E3"/>
    <w:rsid w:val="FFADAFAA"/>
    <w:rsid w:val="FFADED34"/>
    <w:rsid w:val="FFB6097C"/>
    <w:rsid w:val="FFB70FD1"/>
    <w:rsid w:val="FFB72465"/>
    <w:rsid w:val="FFB7BA24"/>
    <w:rsid w:val="FFB7FC15"/>
    <w:rsid w:val="FFBDCA27"/>
    <w:rsid w:val="FFBDFF00"/>
    <w:rsid w:val="FFC5430C"/>
    <w:rsid w:val="FFC728C1"/>
    <w:rsid w:val="FFCE6C3E"/>
    <w:rsid w:val="FFCEE432"/>
    <w:rsid w:val="FFCFF148"/>
    <w:rsid w:val="FFD549B8"/>
    <w:rsid w:val="FFD74FA5"/>
    <w:rsid w:val="FFD8B423"/>
    <w:rsid w:val="FFDA37ED"/>
    <w:rsid w:val="FFDA799A"/>
    <w:rsid w:val="FFDD9D10"/>
    <w:rsid w:val="FFDDC1E6"/>
    <w:rsid w:val="FFDE0863"/>
    <w:rsid w:val="FFDE3A84"/>
    <w:rsid w:val="FFDE81FA"/>
    <w:rsid w:val="FFDF7841"/>
    <w:rsid w:val="FFE6FCF7"/>
    <w:rsid w:val="FFE77D99"/>
    <w:rsid w:val="FFE78EF5"/>
    <w:rsid w:val="FFEAA3CD"/>
    <w:rsid w:val="FFEBB887"/>
    <w:rsid w:val="FFEBDD7C"/>
    <w:rsid w:val="FFEDA59C"/>
    <w:rsid w:val="FFEDA80F"/>
    <w:rsid w:val="FFEDE46D"/>
    <w:rsid w:val="FFEECF35"/>
    <w:rsid w:val="FFF1A5FD"/>
    <w:rsid w:val="FFF624B8"/>
    <w:rsid w:val="FFF6715A"/>
    <w:rsid w:val="FFF79600"/>
    <w:rsid w:val="FFF7B600"/>
    <w:rsid w:val="FFF7DB9A"/>
    <w:rsid w:val="FFFB2550"/>
    <w:rsid w:val="FFFB671A"/>
    <w:rsid w:val="FFFB93B7"/>
    <w:rsid w:val="FFFC89D1"/>
    <w:rsid w:val="FFFD423E"/>
    <w:rsid w:val="FFFDD59C"/>
    <w:rsid w:val="FFFDDA62"/>
    <w:rsid w:val="FFFDF3EA"/>
    <w:rsid w:val="FFFE41A2"/>
    <w:rsid w:val="FFFED38D"/>
    <w:rsid w:val="FFFEDD73"/>
    <w:rsid w:val="FFFF1BC7"/>
    <w:rsid w:val="FFFF2F52"/>
    <w:rsid w:val="FFFF4DD8"/>
    <w:rsid w:val="FFFF4DD9"/>
    <w:rsid w:val="FFFF54F1"/>
    <w:rsid w:val="FFFF8395"/>
    <w:rsid w:val="FFFFCD20"/>
    <w:rsid w:val="FFFFF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spacing w:line="420" w:lineRule="atLeast"/>
      <w:jc w:val="left"/>
    </w:pPr>
    <w:rPr>
      <w:rFonts w:ascii="SimSong" w:hAnsi="SimSong" w:eastAsia="SimSong" w:cs="SimSong"/>
      <w:kern w:val="0"/>
      <w:sz w:val="21"/>
      <w:szCs w:val="21"/>
      <w:lang w:val="en-US" w:eastAsia="zh-CN" w:bidi="ar-SA"/>
    </w:rPr>
  </w:style>
  <w:style w:type="paragraph" w:styleId="3">
    <w:name w:val="heading 1"/>
    <w:basedOn w:val="1"/>
    <w:next w:val="1"/>
    <w:link w:val="64"/>
    <w:qFormat/>
    <w:uiPriority w:val="0"/>
    <w:pPr>
      <w:keepNext/>
      <w:keepLines/>
      <w:tabs>
        <w:tab w:val="left" w:pos="1440"/>
      </w:tabs>
      <w:adjustRightInd w:val="0"/>
      <w:snapToGrid w:val="0"/>
      <w:spacing w:before="160" w:after="160" w:line="600" w:lineRule="atLeast"/>
      <w:ind w:firstLine="0" w:firstLineChars="0"/>
      <w:jc w:val="center"/>
      <w:outlineLvl w:val="0"/>
    </w:pPr>
    <w:rPr>
      <w:rFonts w:ascii="华文宋体" w:hAnsi="华文宋体" w:eastAsia="SimSong Bold"/>
      <w:b/>
      <w:bCs/>
      <w:kern w:val="44"/>
      <w:sz w:val="44"/>
      <w:szCs w:val="44"/>
    </w:rPr>
  </w:style>
  <w:style w:type="paragraph" w:styleId="4">
    <w:name w:val="heading 2"/>
    <w:basedOn w:val="1"/>
    <w:next w:val="1"/>
    <w:link w:val="28"/>
    <w:unhideWhenUsed/>
    <w:qFormat/>
    <w:uiPriority w:val="0"/>
    <w:pPr>
      <w:keepNext/>
      <w:keepLines/>
      <w:tabs>
        <w:tab w:val="left" w:pos="420"/>
      </w:tabs>
      <w:spacing w:before="100" w:after="100" w:line="360" w:lineRule="auto"/>
      <w:ind w:firstLine="0" w:firstLineChars="0"/>
      <w:jc w:val="center"/>
      <w:outlineLvl w:val="1"/>
    </w:pPr>
    <w:rPr>
      <w:rFonts w:eastAsia="SimSong Bold"/>
      <w:b/>
      <w:snapToGrid w:val="0"/>
      <w:sz w:val="32"/>
      <w:szCs w:val="32"/>
    </w:rPr>
  </w:style>
  <w:style w:type="paragraph" w:styleId="5">
    <w:name w:val="heading 3"/>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2"/>
    </w:pPr>
    <w:rPr>
      <w:rFonts w:cs="宋体"/>
      <w:b/>
      <w:sz w:val="30"/>
    </w:rPr>
  </w:style>
  <w:style w:type="paragraph" w:styleId="6">
    <w:name w:val="heading 4"/>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3"/>
    </w:pPr>
    <w:rPr>
      <w:rFonts w:ascii="华文宋体" w:hAnsi="华文宋体" w:eastAsia="SimSong Bold"/>
      <w:b/>
      <w:sz w:val="28"/>
    </w:rPr>
  </w:style>
  <w:style w:type="paragraph" w:styleId="7">
    <w:name w:val="heading 5"/>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20" w:firstLineChars="200"/>
      <w:jc w:val="left"/>
      <w:outlineLvl w:val="4"/>
    </w:pPr>
    <w:rPr>
      <w:b/>
    </w:rPr>
  </w:style>
  <w:style w:type="paragraph" w:styleId="8">
    <w:name w:val="heading 6"/>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82"/>
      <w:outlineLvl w:val="5"/>
    </w:pPr>
    <w:rPr>
      <w:rFonts w:ascii="Arial" w:hAnsi="Arial"/>
      <w:b/>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Normal Indent"/>
    <w:basedOn w:val="1"/>
    <w:link w:val="62"/>
    <w:qFormat/>
    <w:uiPriority w:val="0"/>
    <w:pPr>
      <w:tabs>
        <w:tab w:val="left" w:pos="420"/>
      </w:tabs>
      <w:spacing w:line="420" w:lineRule="atLeast"/>
      <w:ind w:firstLine="420" w:firstLineChars="200"/>
    </w:pPr>
  </w:style>
  <w:style w:type="paragraph" w:styleId="9">
    <w:name w:val="annotation text"/>
    <w:basedOn w:val="1"/>
    <w:qFormat/>
    <w:uiPriority w:val="0"/>
    <w:pPr>
      <w:jc w:val="left"/>
    </w:pPr>
  </w:style>
  <w:style w:type="paragraph" w:styleId="10">
    <w:name w:val="Body Text 3"/>
    <w:basedOn w:val="1"/>
    <w:link w:val="32"/>
    <w:qFormat/>
    <w:uiPriority w:val="0"/>
    <w:pPr>
      <w:tabs>
        <w:tab w:val="left" w:pos="420"/>
      </w:tabs>
      <w:spacing w:line="400" w:lineRule="atLeast"/>
      <w:ind w:firstLine="480" w:firstLineChars="200"/>
    </w:pPr>
    <w:rPr>
      <w:rFonts w:ascii="SimSong" w:hAnsi="SimSong" w:eastAsia="SimSong"/>
      <w:color w:val="023CF5"/>
      <w:kern w:val="2"/>
      <w:sz w:val="21"/>
      <w:szCs w:val="21"/>
    </w:rPr>
  </w:style>
  <w:style w:type="paragraph" w:styleId="11">
    <w:name w:val="Body Text"/>
    <w:basedOn w:val="1"/>
    <w:next w:val="12"/>
    <w:qFormat/>
    <w:uiPriority w:val="0"/>
    <w:pPr>
      <w:tabs>
        <w:tab w:val="left" w:pos="420"/>
      </w:tabs>
      <w:spacing w:afterLines="0" w:line="400" w:lineRule="atLeast"/>
      <w:ind w:firstLine="560" w:firstLineChars="200"/>
      <w:jc w:val="left"/>
    </w:pPr>
    <w:rPr>
      <w:sz w:val="24"/>
    </w:rPr>
  </w:style>
  <w:style w:type="paragraph" w:styleId="12">
    <w:name w:val="Body Text First Indent"/>
    <w:basedOn w:val="11"/>
    <w:next w:val="1"/>
    <w:qFormat/>
    <w:uiPriority w:val="0"/>
    <w:pPr>
      <w:ind w:firstLine="480" w:firstLineChars="200"/>
    </w:pPr>
  </w:style>
  <w:style w:type="paragraph" w:styleId="13">
    <w:name w:val="Body Text Indent"/>
    <w:basedOn w:val="1"/>
    <w:next w:val="2"/>
    <w:qFormat/>
    <w:uiPriority w:val="0"/>
    <w:pPr>
      <w:widowControl/>
      <w:tabs>
        <w:tab w:val="left" w:pos="420"/>
      </w:tabs>
      <w:autoSpaceDE/>
      <w:autoSpaceDN/>
      <w:snapToGrid w:val="0"/>
      <w:spacing w:line="400" w:lineRule="atLeast"/>
      <w:ind w:firstLine="480" w:firstLineChars="200"/>
      <w:textAlignment w:val="bottom"/>
    </w:pPr>
    <w:rPr>
      <w:rFonts w:ascii="宋体" w:hAnsi="宋体" w:eastAsia="SimSong" w:cstheme="minorBidi"/>
      <w:sz w:val="21"/>
      <w:szCs w:val="20"/>
    </w:rPr>
  </w:style>
  <w:style w:type="paragraph" w:styleId="14">
    <w:name w:val="Plain Text"/>
    <w:basedOn w:val="1"/>
    <w:next w:val="1"/>
    <w:link w:val="34"/>
    <w:qFormat/>
    <w:uiPriority w:val="0"/>
    <w:pPr>
      <w:tabs>
        <w:tab w:val="left" w:pos="420"/>
      </w:tabs>
      <w:adjustRightInd w:val="0"/>
      <w:snapToGrid w:val="0"/>
      <w:spacing w:line="400" w:lineRule="atLeast"/>
      <w:ind w:firstLine="480" w:firstLineChars="200"/>
    </w:pPr>
    <w:rPr>
      <w:rFonts w:ascii="宋体" w:hAnsi="宋体" w:eastAsia="SimSong"/>
      <w:sz w:val="21"/>
      <w:szCs w:val="20"/>
    </w:rPr>
  </w:style>
  <w:style w:type="paragraph" w:styleId="15">
    <w:name w:val="footer"/>
    <w:qFormat/>
    <w:uiPriority w:val="99"/>
    <w:pPr>
      <w:widowControl w:val="0"/>
      <w:tabs>
        <w:tab w:val="center" w:pos="4153"/>
        <w:tab w:val="right" w:pos="8306"/>
      </w:tabs>
      <w:adjustRightInd w:val="0"/>
      <w:snapToGrid w:val="0"/>
      <w:spacing w:line="360" w:lineRule="auto"/>
      <w:jc w:val="left"/>
    </w:pPr>
    <w:rPr>
      <w:rFonts w:ascii="SimSong" w:hAnsi="SimSong" w:eastAsia="SimSong" w:cs="SimSong"/>
      <w:kern w:val="0"/>
      <w:sz w:val="18"/>
      <w:szCs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footnote text"/>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19">
    <w:name w:val="toc 6"/>
    <w:next w:val="1"/>
    <w:qFormat/>
    <w:uiPriority w:val="0"/>
    <w:pPr>
      <w:widowControl w:val="0"/>
      <w:ind w:left="1400"/>
      <w:jc w:val="left"/>
    </w:pPr>
    <w:rPr>
      <w:rFonts w:ascii="Calibri" w:hAnsi="Calibri" w:eastAsia="宋体" w:cs="Times New Roman"/>
      <w:kern w:val="2"/>
      <w:sz w:val="18"/>
      <w:szCs w:val="20"/>
      <w:lang w:val="en-US" w:eastAsia="zh-CN" w:bidi="ar-SA"/>
    </w:rPr>
  </w:style>
  <w:style w:type="paragraph" w:styleId="20">
    <w:name w:val="Normal (Web)"/>
    <w:basedOn w:val="1"/>
    <w:link w:val="31"/>
    <w:qFormat/>
    <w:uiPriority w:val="0"/>
    <w:pPr>
      <w:widowControl/>
      <w:tabs>
        <w:tab w:val="left" w:pos="420"/>
      </w:tabs>
      <w:spacing w:beforeAutospacing="0" w:afterAutospacing="0" w:line="360" w:lineRule="atLeast"/>
      <w:jc w:val="left"/>
    </w:pPr>
    <w:rPr>
      <w:rFonts w:ascii="宋体" w:hAnsi="宋体" w:cs="Times New Roman" w:eastAsiaTheme="minorEastAsia"/>
      <w:kern w:val="0"/>
    </w:rPr>
  </w:style>
  <w:style w:type="paragraph" w:styleId="21">
    <w:name w:val="Body Text First Indent 2"/>
    <w:basedOn w:val="13"/>
    <w:next w:val="11"/>
    <w:qFormat/>
    <w:uiPriority w:val="0"/>
    <w:pPr>
      <w:ind w:firstLine="420" w:firstLineChars="200"/>
    </w:pPr>
  </w:style>
  <w:style w:type="table" w:styleId="23">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Arial" w:hAnsi="Arial" w:eastAsia="黑体" w:cs="Arial"/>
      <w:snapToGrid/>
      <w:kern w:val="0"/>
      <w:szCs w:val="21"/>
    </w:rPr>
  </w:style>
  <w:style w:type="character" w:styleId="26">
    <w:name w:val="Hyperlink"/>
    <w:basedOn w:val="24"/>
    <w:qFormat/>
    <w:uiPriority w:val="0"/>
    <w:rPr>
      <w:color w:val="0000FF"/>
      <w:u w:val="single"/>
    </w:rPr>
  </w:style>
  <w:style w:type="character" w:styleId="27">
    <w:name w:val="footnote reference"/>
    <w:qFormat/>
    <w:uiPriority w:val="0"/>
    <w:rPr>
      <w:vertAlign w:val="superscript"/>
    </w:rPr>
  </w:style>
  <w:style w:type="character" w:customStyle="1" w:styleId="28">
    <w:name w:val="标题 2 Char"/>
    <w:link w:val="4"/>
    <w:qFormat/>
    <w:uiPriority w:val="0"/>
    <w:rPr>
      <w:rFonts w:ascii="华文宋体" w:hAnsi="华文宋体" w:eastAsia="SimSong Bold" w:cs="Tahoma"/>
      <w:b/>
      <w:bCs/>
      <w:snapToGrid w:val="0"/>
      <w:w w:val="80"/>
      <w:kern w:val="0"/>
      <w:sz w:val="30"/>
      <w:szCs w:val="32"/>
      <w:lang w:val="en-US" w:bidi="ar-SA"/>
    </w:rPr>
  </w:style>
  <w:style w:type="character" w:customStyle="1" w:styleId="29">
    <w:name w:val="标题 1 Char"/>
    <w:link w:val="3"/>
    <w:qFormat/>
    <w:uiPriority w:val="0"/>
    <w:rPr>
      <w:rFonts w:ascii="华文宋体" w:hAnsi="华文宋体" w:eastAsia="SimSong Bold"/>
      <w:b/>
      <w:bCs/>
      <w:kern w:val="44"/>
      <w:sz w:val="44"/>
      <w:szCs w:val="44"/>
    </w:rPr>
  </w:style>
  <w:style w:type="paragraph" w:customStyle="1" w:styleId="30">
    <w:name w:val="段后正文"/>
    <w:basedOn w:val="1"/>
    <w:qFormat/>
    <w:uiPriority w:val="0"/>
    <w:pPr>
      <w:widowControl w:val="0"/>
      <w:tabs>
        <w:tab w:val="left" w:pos="420"/>
      </w:tabs>
      <w:adjustRightInd w:val="0"/>
      <w:snapToGrid w:val="0"/>
      <w:spacing w:line="440" w:lineRule="atLeast"/>
      <w:jc w:val="left"/>
    </w:pPr>
    <w:rPr>
      <w:rFonts w:ascii="Calibri" w:hAnsi="Calibri" w:eastAsia="华文宋体" w:cs="Times New Roman"/>
      <w:sz w:val="21"/>
      <w:szCs w:val="22"/>
    </w:rPr>
  </w:style>
  <w:style w:type="character" w:customStyle="1" w:styleId="31">
    <w:name w:val="普通(网站) 字符"/>
    <w:link w:val="20"/>
    <w:qFormat/>
    <w:uiPriority w:val="0"/>
    <w:rPr>
      <w:rFonts w:ascii="宋体" w:hAnsi="宋体" w:cs="Times New Roman" w:eastAsiaTheme="minorEastAsia"/>
      <w:sz w:val="21"/>
      <w:szCs w:val="24"/>
    </w:rPr>
  </w:style>
  <w:style w:type="character" w:customStyle="1" w:styleId="32">
    <w:name w:val=" Char Char11"/>
    <w:link w:val="10"/>
    <w:qFormat/>
    <w:uiPriority w:val="0"/>
    <w:rPr>
      <w:rFonts w:ascii="SimSong" w:hAnsi="SimSong" w:eastAsia="SimSong" w:cs="SimSong"/>
      <w:color w:val="023CF5"/>
      <w:kern w:val="2"/>
      <w:sz w:val="21"/>
      <w:szCs w:val="21"/>
    </w:rPr>
  </w:style>
  <w:style w:type="paragraph" w:customStyle="1" w:styleId="33">
    <w:name w:val="加粗20"/>
    <w:basedOn w:val="1"/>
    <w:qFormat/>
    <w:uiPriority w:val="0"/>
    <w:pPr>
      <w:widowControl w:val="0"/>
      <w:tabs>
        <w:tab w:val="left" w:pos="420"/>
      </w:tabs>
      <w:adjustRightInd w:val="0"/>
      <w:snapToGrid w:val="0"/>
      <w:spacing w:line="400" w:lineRule="atLeast"/>
      <w:jc w:val="left"/>
    </w:pPr>
    <w:rPr>
      <w:rFonts w:ascii="Calibri" w:hAnsi="Calibri" w:eastAsia="SimSong" w:cs="Times New Roman"/>
      <w:b/>
      <w:szCs w:val="22"/>
    </w:rPr>
  </w:style>
  <w:style w:type="character" w:customStyle="1" w:styleId="34">
    <w:name w:val="纯文本 Char"/>
    <w:link w:val="14"/>
    <w:qFormat/>
    <w:uiPriority w:val="0"/>
    <w:rPr>
      <w:rFonts w:ascii="宋体" w:hAnsi="宋体" w:eastAsia="SimSong"/>
      <w:kern w:val="2"/>
      <w:sz w:val="21"/>
    </w:rPr>
  </w:style>
  <w:style w:type="paragraph" w:customStyle="1" w:styleId="35">
    <w:name w:val="正文0"/>
    <w:basedOn w:val="1"/>
    <w:qFormat/>
    <w:uiPriority w:val="0"/>
    <w:pPr>
      <w:tabs>
        <w:tab w:val="left" w:pos="420"/>
      </w:tabs>
      <w:ind w:firstLine="420" w:firstLineChars="200"/>
    </w:pPr>
    <w:rPr>
      <w:rFonts w:hint="eastAsia" w:ascii="Calibri" w:hAnsi="Calibri" w:eastAsia="Songti SC" w:cs="Times New Roman"/>
      <w:szCs w:val="22"/>
    </w:rPr>
  </w:style>
  <w:style w:type="paragraph" w:customStyle="1" w:styleId="36">
    <w:name w:val="缩进2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ongti SC Bold" w:cs="Times New Roman"/>
      <w:b/>
      <w:szCs w:val="22"/>
    </w:rPr>
  </w:style>
  <w:style w:type="paragraph" w:customStyle="1" w:styleId="37">
    <w:name w:val="居中"/>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38">
    <w:name w:val="表文字"/>
    <w:basedOn w:val="1"/>
    <w:qFormat/>
    <w:uiPriority w:val="0"/>
    <w:pPr>
      <w:tabs>
        <w:tab w:val="left" w:pos="420"/>
      </w:tabs>
      <w:spacing w:line="400" w:lineRule="atLeast"/>
    </w:pPr>
    <w:rPr>
      <w:rFonts w:ascii="宋体" w:hAnsi="宋体" w:eastAsia="SimSong"/>
      <w:kern w:val="2"/>
      <w:sz w:val="21"/>
    </w:rPr>
  </w:style>
  <w:style w:type="paragraph" w:customStyle="1" w:styleId="39">
    <w:name w:val="表文字居中"/>
    <w:basedOn w:val="1"/>
    <w:qFormat/>
    <w:uiPriority w:val="0"/>
    <w:pPr>
      <w:tabs>
        <w:tab w:val="left" w:pos="420"/>
      </w:tabs>
      <w:spacing w:line="360" w:lineRule="atLeast"/>
      <w:jc w:val="center"/>
    </w:pPr>
    <w:rPr>
      <w:rFonts w:ascii="宋体" w:hAnsi="宋体"/>
      <w:kern w:val="2"/>
      <w:sz w:val="21"/>
    </w:rPr>
  </w:style>
  <w:style w:type="paragraph" w:customStyle="1" w:styleId="40">
    <w:name w:val="缩进2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1">
    <w:name w:val="缩进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2">
    <w:name w:val="居中加粗小四"/>
    <w:basedOn w:val="1"/>
    <w:next w:val="2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43">
    <w:name w:val="居中小四"/>
    <w:basedOn w:val="1"/>
    <w:qFormat/>
    <w:uiPriority w:val="0"/>
    <w:pPr>
      <w:tabs>
        <w:tab w:val="left" w:pos="420"/>
      </w:tabs>
      <w:spacing w:line="400" w:lineRule="atLeast"/>
      <w:jc w:val="center"/>
    </w:pPr>
    <w:rPr>
      <w:rFonts w:ascii="宋体" w:hAnsi="宋体"/>
      <w:kern w:val="2"/>
      <w:sz w:val="24"/>
    </w:rPr>
  </w:style>
  <w:style w:type="paragraph" w:customStyle="1" w:styleId="44">
    <w:name w:val="居中五号"/>
    <w:basedOn w:val="1"/>
    <w:qFormat/>
    <w:uiPriority w:val="0"/>
    <w:pPr>
      <w:tabs>
        <w:tab w:val="left" w:pos="420"/>
      </w:tabs>
      <w:spacing w:afterLines="0" w:line="360" w:lineRule="atLeast"/>
      <w:ind w:firstLine="0" w:firstLineChars="0"/>
    </w:pPr>
    <w:rPr>
      <w:rFonts w:hint="eastAsia"/>
      <w:sz w:val="21"/>
    </w:rPr>
  </w:style>
  <w:style w:type="paragraph" w:customStyle="1" w:styleId="45">
    <w:name w:val="居中加粗五号"/>
    <w:basedOn w:val="1"/>
    <w:next w:val="12"/>
    <w:qFormat/>
    <w:uiPriority w:val="0"/>
    <w:pPr>
      <w:tabs>
        <w:tab w:val="left" w:pos="420"/>
      </w:tabs>
      <w:spacing w:afterLines="0" w:line="400" w:lineRule="atLeast"/>
      <w:jc w:val="center"/>
    </w:pPr>
    <w:rPr>
      <w:rFonts w:hint="eastAsia"/>
      <w:b/>
      <w:sz w:val="21"/>
    </w:rPr>
  </w:style>
  <w:style w:type="paragraph" w:customStyle="1" w:styleId="46">
    <w:name w:val="缩进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imSong" w:cs="Times New Roman"/>
      <w:b/>
      <w:szCs w:val="22"/>
    </w:rPr>
  </w:style>
  <w:style w:type="paragraph" w:customStyle="1" w:styleId="47">
    <w:name w:val="缩进正文22"/>
    <w:basedOn w:val="1"/>
    <w:qFormat/>
    <w:uiPriority w:val="0"/>
    <w:pPr>
      <w:tabs>
        <w:tab w:val="left" w:pos="420"/>
      </w:tabs>
      <w:ind w:firstLine="420" w:firstLineChars="200"/>
    </w:pPr>
    <w:rPr>
      <w:rFonts w:hint="eastAsia" w:ascii="Calibri" w:hAnsi="Calibri" w:eastAsia="SimSong" w:cs="Times New Roman"/>
      <w:szCs w:val="22"/>
    </w:rPr>
  </w:style>
  <w:style w:type="paragraph" w:customStyle="1" w:styleId="48">
    <w:name w:val="表文字靠左"/>
    <w:basedOn w:val="1"/>
    <w:qFormat/>
    <w:uiPriority w:val="0"/>
    <w:pPr>
      <w:tabs>
        <w:tab w:val="left" w:pos="420"/>
      </w:tabs>
      <w:spacing w:line="400" w:lineRule="atLeast"/>
    </w:pPr>
    <w:rPr>
      <w:rFonts w:ascii="宋体" w:hAnsi="宋体"/>
      <w:kern w:val="2"/>
      <w:sz w:val="21"/>
    </w:rPr>
  </w:style>
  <w:style w:type="paragraph" w:customStyle="1" w:styleId="49">
    <w:name w:val="表文字居中20"/>
    <w:basedOn w:val="1"/>
    <w:qFormat/>
    <w:uiPriority w:val="0"/>
    <w:pPr>
      <w:tabs>
        <w:tab w:val="left" w:pos="420"/>
      </w:tabs>
      <w:spacing w:line="400" w:lineRule="atLeast"/>
      <w:jc w:val="center"/>
    </w:pPr>
    <w:rPr>
      <w:rFonts w:ascii="宋体" w:hAnsi="宋体"/>
      <w:kern w:val="2"/>
      <w:sz w:val="21"/>
    </w:rPr>
  </w:style>
  <w:style w:type="paragraph" w:customStyle="1" w:styleId="50">
    <w:name w:val="表文字靠左20"/>
    <w:basedOn w:val="1"/>
    <w:qFormat/>
    <w:uiPriority w:val="0"/>
    <w:pPr>
      <w:tabs>
        <w:tab w:val="left" w:pos="420"/>
      </w:tabs>
      <w:spacing w:line="400" w:lineRule="atLeast"/>
    </w:pPr>
    <w:rPr>
      <w:rFonts w:ascii="宋体" w:hAnsi="宋体"/>
      <w:kern w:val="2"/>
      <w:sz w:val="21"/>
    </w:rPr>
  </w:style>
  <w:style w:type="paragraph" w:customStyle="1" w:styleId="51">
    <w:name w:val="居中小四20"/>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52">
    <w:name w:val="居中五号18"/>
    <w:basedOn w:val="1"/>
    <w:qFormat/>
    <w:uiPriority w:val="0"/>
    <w:pPr>
      <w:tabs>
        <w:tab w:val="left" w:pos="420"/>
      </w:tabs>
      <w:spacing w:afterLines="0" w:line="360" w:lineRule="atLeast"/>
      <w:ind w:firstLine="0" w:firstLineChars="0"/>
      <w:jc w:val="center"/>
    </w:pPr>
    <w:rPr>
      <w:rFonts w:hint="eastAsia"/>
      <w:sz w:val="21"/>
    </w:rPr>
  </w:style>
  <w:style w:type="paragraph" w:customStyle="1" w:styleId="53">
    <w:name w:val="居中加粗五号20"/>
    <w:basedOn w:val="1"/>
    <w:qFormat/>
    <w:uiPriority w:val="0"/>
    <w:pPr>
      <w:tabs>
        <w:tab w:val="left" w:pos="420"/>
      </w:tabs>
      <w:spacing w:afterLines="0" w:line="400" w:lineRule="atLeast"/>
      <w:jc w:val="center"/>
    </w:pPr>
    <w:rPr>
      <w:rFonts w:hint="eastAsia"/>
      <w:b/>
      <w:sz w:val="21"/>
    </w:rPr>
  </w:style>
  <w:style w:type="paragraph" w:customStyle="1" w:styleId="54">
    <w:name w:val="居中加粗小四20"/>
    <w:basedOn w:val="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55">
    <w:name w:val="缩进小四加粗20"/>
    <w:basedOn w:val="1"/>
    <w:next w:val="2"/>
    <w:qFormat/>
    <w:uiPriority w:val="0"/>
    <w:pPr>
      <w:widowControl w:val="0"/>
      <w:tabs>
        <w:tab w:val="left" w:pos="420"/>
      </w:tabs>
      <w:adjustRightInd w:val="0"/>
      <w:snapToGrid w:val="0"/>
      <w:spacing w:line="400" w:lineRule="atLeast"/>
      <w:ind w:firstLine="420" w:firstLineChars="200"/>
      <w:jc w:val="left"/>
    </w:pPr>
    <w:rPr>
      <w:rFonts w:ascii="Songti SC Bold" w:hAnsi="Songti SC Bold" w:cs="Times New Roman"/>
      <w:b/>
      <w:szCs w:val="22"/>
    </w:rPr>
  </w:style>
  <w:style w:type="paragraph" w:customStyle="1" w:styleId="56">
    <w:name w:val="左小四加粗20"/>
    <w:basedOn w:val="1"/>
    <w:qFormat/>
    <w:uiPriority w:val="0"/>
    <w:pPr>
      <w:widowControl w:val="0"/>
      <w:tabs>
        <w:tab w:val="left" w:pos="420"/>
      </w:tabs>
      <w:adjustRightInd w:val="0"/>
      <w:snapToGrid w:val="0"/>
      <w:spacing w:line="400" w:lineRule="atLeast"/>
      <w:jc w:val="left"/>
    </w:pPr>
    <w:rPr>
      <w:rFonts w:ascii="Calibri" w:hAnsi="Calibri" w:cs="Times New Roman"/>
      <w:b/>
      <w:szCs w:val="22"/>
    </w:rPr>
  </w:style>
  <w:style w:type="paragraph" w:customStyle="1" w:styleId="57">
    <w:name w:val="缩进小四22"/>
    <w:basedOn w:val="1"/>
    <w:qFormat/>
    <w:uiPriority w:val="0"/>
    <w:pPr>
      <w:tabs>
        <w:tab w:val="left" w:pos="420"/>
      </w:tabs>
      <w:ind w:firstLine="420" w:firstLineChars="200"/>
    </w:pPr>
    <w:rPr>
      <w:rFonts w:hint="eastAsia" w:ascii="Calibri" w:hAnsi="Calibri" w:cs="Times New Roman"/>
      <w:szCs w:val="22"/>
    </w:rPr>
  </w:style>
  <w:style w:type="paragraph" w:customStyle="1" w:styleId="58">
    <w:name w:val="左四号加粗25"/>
    <w:basedOn w:val="1"/>
    <w:qFormat/>
    <w:uiPriority w:val="0"/>
    <w:pPr>
      <w:tabs>
        <w:tab w:val="left" w:pos="420"/>
      </w:tabs>
      <w:spacing w:line="500" w:lineRule="atLeast"/>
    </w:pPr>
    <w:rPr>
      <w:rFonts w:hint="eastAsia"/>
      <w:b/>
      <w:sz w:val="28"/>
    </w:rPr>
  </w:style>
  <w:style w:type="paragraph" w:customStyle="1" w:styleId="59">
    <w:name w:val="左四号加粗30"/>
    <w:basedOn w:val="1"/>
    <w:qFormat/>
    <w:uiPriority w:val="0"/>
    <w:pPr>
      <w:tabs>
        <w:tab w:val="left" w:pos="420"/>
      </w:tabs>
      <w:spacing w:line="600" w:lineRule="atLeast"/>
    </w:pPr>
    <w:rPr>
      <w:rFonts w:hint="eastAsia"/>
      <w:b/>
      <w:sz w:val="28"/>
    </w:rPr>
  </w:style>
  <w:style w:type="paragraph" w:customStyle="1" w:styleId="60">
    <w:name w:val="右四号25"/>
    <w:basedOn w:val="1"/>
    <w:qFormat/>
    <w:uiPriority w:val="0"/>
    <w:pPr>
      <w:numPr>
        <w:ilvl w:val="0"/>
        <w:numId w:val="1"/>
      </w:numPr>
      <w:tabs>
        <w:tab w:val="left" w:pos="420"/>
      </w:tabs>
      <w:spacing w:line="500" w:lineRule="atLeast"/>
      <w:jc w:val="right"/>
    </w:pPr>
    <w:rPr>
      <w:rFonts w:hint="eastAsia"/>
      <w:sz w:val="28"/>
    </w:rPr>
  </w:style>
  <w:style w:type="paragraph" w:customStyle="1" w:styleId="61">
    <w:name w:val="左四号加粗35"/>
    <w:basedOn w:val="1"/>
    <w:qFormat/>
    <w:uiPriority w:val="0"/>
    <w:pPr>
      <w:numPr>
        <w:ilvl w:val="0"/>
        <w:numId w:val="2"/>
      </w:numPr>
      <w:tabs>
        <w:tab w:val="left" w:pos="420"/>
      </w:tabs>
      <w:spacing w:line="700" w:lineRule="atLeast"/>
      <w:jc w:val="left"/>
    </w:pPr>
    <w:rPr>
      <w:rFonts w:hint="eastAsia"/>
      <w:sz w:val="28"/>
    </w:rPr>
  </w:style>
  <w:style w:type="character" w:customStyle="1" w:styleId="62">
    <w:name w:val="正文缩进 Char"/>
    <w:link w:val="2"/>
    <w:qFormat/>
    <w:uiPriority w:val="0"/>
    <w:rPr>
      <w:rFonts w:eastAsia="SimSong"/>
    </w:rPr>
  </w:style>
  <w:style w:type="paragraph" w:customStyle="1" w:styleId="63">
    <w:name w:val="蓝色"/>
    <w:basedOn w:val="1"/>
    <w:qFormat/>
    <w:uiPriority w:val="0"/>
    <w:pPr>
      <w:tabs>
        <w:tab w:val="left" w:pos="0"/>
        <w:tab w:val="left" w:pos="420"/>
      </w:tabs>
      <w:snapToGrid/>
      <w:ind w:firstLine="0" w:firstLineChars="0"/>
    </w:pPr>
    <w:rPr>
      <w:rFonts w:ascii="华文宋体" w:hAnsi="华文宋体" w:eastAsia="SimSong" w:cs="华文宋体"/>
      <w:color w:val="023CF5"/>
    </w:rPr>
  </w:style>
  <w:style w:type="character" w:customStyle="1" w:styleId="64">
    <w:name w:val="标题 1 字符1"/>
    <w:link w:val="3"/>
    <w:qFormat/>
    <w:uiPriority w:val="9"/>
    <w:rPr>
      <w:rFonts w:eastAsia="SimSong"/>
      <w:bCs/>
      <w:kern w:val="44"/>
      <w:sz w:val="44"/>
      <w:szCs w:val="44"/>
    </w:rPr>
  </w:style>
  <w:style w:type="paragraph" w:customStyle="1" w:styleId="65">
    <w:name w:val="正文2"/>
    <w:qFormat/>
    <w:uiPriority w:val="0"/>
    <w:pPr>
      <w:widowControl w:val="0"/>
      <w:adjustRightInd w:val="0"/>
      <w:spacing w:before="156" w:line="360" w:lineRule="auto"/>
      <w:ind w:firstLine="510" w:firstLineChars="200"/>
      <w:jc w:val="left"/>
    </w:pPr>
    <w:rPr>
      <w:rFonts w:ascii="SimSong" w:hAnsi="SimSong" w:eastAsia="SimSong" w:cs="SimSong"/>
      <w:kern w:val="0"/>
      <w:sz w:val="24"/>
      <w:szCs w:val="20"/>
      <w:lang w:val="en-US" w:eastAsia="zh-CN" w:bidi="ar-SA"/>
    </w:rPr>
  </w:style>
  <w:style w:type="paragraph" w:customStyle="1" w:styleId="66">
    <w:name w:val="样式1"/>
    <w:qFormat/>
    <w:uiPriority w:val="0"/>
    <w:pPr>
      <w:widowControl/>
      <w:tabs>
        <w:tab w:val="left" w:pos="1212"/>
        <w:tab w:val="left" w:pos="3888"/>
      </w:tabs>
      <w:adjustRightInd w:val="0"/>
      <w:snapToGrid w:val="0"/>
      <w:spacing w:line="336" w:lineRule="auto"/>
      <w:ind w:firstLine="432"/>
      <w:jc w:val="left"/>
    </w:pPr>
    <w:rPr>
      <w:rFonts w:ascii="宋体" w:hAnsi="宋体" w:eastAsia="SimSong" w:cs="SimSong"/>
      <w:kern w:val="0"/>
      <w:sz w:val="24"/>
      <w:szCs w:val="20"/>
      <w:lang w:val="en-US" w:eastAsia="zh-CN" w:bidi="ar-SA"/>
    </w:rPr>
  </w:style>
  <w:style w:type="paragraph" w:customStyle="1" w:styleId="67">
    <w:name w:val="trs_editor"/>
    <w:qFormat/>
    <w:uiPriority w:val="0"/>
    <w:pPr>
      <w:widowControl/>
      <w:adjustRightInd/>
      <w:spacing w:before="100" w:beforeAutospacing="1" w:after="100" w:afterAutospacing="1" w:line="360" w:lineRule="auto"/>
      <w:jc w:val="left"/>
    </w:pPr>
    <w:rPr>
      <w:rFonts w:ascii="宋体" w:hAnsi="宋体" w:eastAsia="SimSong" w:cs="宋体"/>
      <w:kern w:val="0"/>
      <w:sz w:val="24"/>
      <w:szCs w:val="21"/>
      <w:lang w:val="en-US" w:eastAsia="zh-CN" w:bidi="ar-SA"/>
    </w:rPr>
  </w:style>
  <w:style w:type="paragraph" w:customStyle="1" w:styleId="68">
    <w:name w:val="正文空2字"/>
    <w:qFormat/>
    <w:uiPriority w:val="99"/>
    <w:pPr>
      <w:widowControl w:val="0"/>
      <w:snapToGrid w:val="0"/>
      <w:spacing w:line="560" w:lineRule="exact"/>
      <w:ind w:firstLine="640" w:firstLineChars="200"/>
    </w:pPr>
    <w:rPr>
      <w:rFonts w:ascii="仿宋_GB2312" w:hAnsi="仿宋_GB2312" w:eastAsia="仿宋_GB2312" w:cs="仿宋_GB2312"/>
      <w:kern w:val="2"/>
      <w:sz w:val="32"/>
      <w:szCs w:val="32"/>
      <w:lang w:val="zh-TW" w:eastAsia="zh-CN" w:bidi="ar-SA"/>
    </w:rPr>
  </w:style>
  <w:style w:type="paragraph" w:customStyle="1" w:styleId="69">
    <w:name w:val="左对齐正文"/>
    <w:qFormat/>
    <w:uiPriority w:val="99"/>
    <w:rPr>
      <w:rFonts w:ascii="Calibri" w:hAnsi="Calibri" w:eastAsia="仿宋_GB2312" w:cs="Calibri"/>
      <w:kern w:val="2"/>
      <w:sz w:val="32"/>
      <w:szCs w:val="32"/>
      <w:lang w:val="en-US" w:eastAsia="zh-CN" w:bidi="ar-SA"/>
    </w:rPr>
  </w:style>
  <w:style w:type="table" w:customStyle="1" w:styleId="70">
    <w:name w:val="网格型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部分1"/>
    <w:qFormat/>
    <w:uiPriority w:val="0"/>
    <w:pPr>
      <w:keepNext/>
      <w:pageBreakBefore/>
      <w:widowControl w:val="0"/>
      <w:tabs>
        <w:tab w:val="left" w:pos="720"/>
      </w:tabs>
      <w:adjustRightInd w:val="0"/>
      <w:spacing w:line="360" w:lineRule="auto"/>
      <w:jc w:val="center"/>
      <w:outlineLvl w:val="0"/>
    </w:pPr>
    <w:rPr>
      <w:rFonts w:ascii="SimSong" w:hAnsi="SimSong" w:eastAsia="黑体" w:cs="SimSong"/>
      <w:b/>
      <w:kern w:val="44"/>
      <w:sz w:val="36"/>
      <w:szCs w:val="20"/>
      <w:lang w:val="en-US" w:eastAsia="zh-CN" w:bidi="ar-SA"/>
    </w:rPr>
  </w:style>
  <w:style w:type="paragraph" w:customStyle="1" w:styleId="74">
    <w:name w:val="WPSOffice手动目录 1"/>
    <w:qFormat/>
    <w:uiPriority w:val="0"/>
    <w:pPr>
      <w:ind w:leftChars="0"/>
    </w:pPr>
    <w:rPr>
      <w:rFonts w:asciiTheme="minorHAnsi" w:hAnsiTheme="minorHAnsi" w:eastAsiaTheme="minorEastAsia" w:cstheme="minorBidi"/>
      <w:sz w:val="20"/>
      <w:szCs w:val="20"/>
    </w:rPr>
  </w:style>
  <w:style w:type="paragraph" w:customStyle="1" w:styleId="75">
    <w:name w:val="正文4"/>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6">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styleId="77">
    <w:name w:val="List Paragraph"/>
    <w:qFormat/>
    <w:uiPriority w:val="34"/>
    <w:pPr>
      <w:ind w:firstLine="420" w:firstLineChars="20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21934</Words>
  <Characters>23537</Characters>
  <Lines>0</Lines>
  <Paragraphs>0</Paragraphs>
  <TotalTime>9</TotalTime>
  <ScaleCrop>false</ScaleCrop>
  <LinksUpToDate>false</LinksUpToDate>
  <CharactersWithSpaces>23773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2024-11-18T09:36:00Z</dcterms:created>
  <dc:creator>暴拽龍</dc:creator>
  <cp:lastModifiedBy>Alex</cp:lastModifiedBy>
  <dcterms:modified xsi:type="dcterms:W3CDTF">2025-07-03T09:30:50Z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E9DADE2EC145580871F6DC67192B65C3_43</vt:lpwstr>
  </property>
  <property fmtid="{D5CDD505-2E9C-101B-9397-08002B2CF9AE}" pid="4" name="KSOTemplateDocerSaveRecord">
    <vt:lpwstr>eyJoZGlkIjoiNDI1NGQ4MDY4NjMxYWVlMzc3ODM2NDE0MmU1ODUxYzYiLCJ1c2VySWQiOiIzNjkyOTg1ODgifQ==</vt:lpwstr>
  </property>
</Properties>
</file>