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E2D86">
      <w:pPr>
        <w:pageBreakBefore w:val="0"/>
        <w:kinsoku/>
        <w:overflowPunct/>
        <w:topLinePunct w:val="0"/>
        <w:bidi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p>
    <w:p w14:paraId="18526CE9">
      <w:pPr>
        <w:pageBreakBefore w:val="0"/>
        <w:kinsoku/>
        <w:overflowPunct/>
        <w:topLinePunct w:val="0"/>
        <w:bidi w:val="0"/>
        <w:adjustRightInd/>
        <w:spacing w:line="360" w:lineRule="auto"/>
        <w:jc w:val="center"/>
        <w:rPr>
          <w:rFonts w:hint="eastAsia" w:ascii="宋体" w:hAnsi="宋体" w:eastAsia="宋体" w:cs="宋体"/>
          <w:b/>
          <w:color w:val="000000" w:themeColor="text1"/>
          <w:w w:val="95"/>
          <w:sz w:val="44"/>
          <w:szCs w:val="44"/>
          <w:highlight w:val="none"/>
          <w:lang w:val="zh-CN" w:eastAsia="zh-CN"/>
          <w14:textFill>
            <w14:solidFill>
              <w14:schemeClr w14:val="tx1"/>
            </w14:solidFill>
          </w14:textFill>
        </w:rPr>
      </w:pPr>
      <w:r>
        <w:rPr>
          <w:rFonts w:hint="eastAsia" w:ascii="宋体" w:hAnsi="宋体" w:cs="宋体"/>
          <w:b/>
          <w:color w:val="000000" w:themeColor="text1"/>
          <w:w w:val="95"/>
          <w:sz w:val="44"/>
          <w:szCs w:val="44"/>
          <w:highlight w:val="none"/>
          <w:lang w:val="zh-CN" w:eastAsia="zh-CN"/>
          <w14:textFill>
            <w14:solidFill>
              <w14:schemeClr w14:val="tx1"/>
            </w14:solidFill>
          </w14:textFill>
        </w:rPr>
        <w:t>南湖区“精康融合行动”实施服务项目</w:t>
      </w:r>
    </w:p>
    <w:p w14:paraId="089CA3B2">
      <w:pPr>
        <w:pageBreakBefore w:val="0"/>
        <w:kinsoku/>
        <w:overflowPunct/>
        <w:topLinePunct w:val="0"/>
        <w:bidi w:val="0"/>
        <w:adjustRightInd/>
        <w:spacing w:line="360" w:lineRule="auto"/>
        <w:jc w:val="center"/>
        <w:rPr>
          <w:rFonts w:hint="eastAsia" w:ascii="宋体" w:hAnsi="宋体" w:eastAsia="宋体" w:cs="宋体"/>
          <w:b/>
          <w:color w:val="000000" w:themeColor="text1"/>
          <w:w w:val="95"/>
          <w:sz w:val="48"/>
          <w:szCs w:val="48"/>
          <w:highlight w:val="none"/>
          <w:lang w:val="zh-CN"/>
          <w14:textFill>
            <w14:solidFill>
              <w14:schemeClr w14:val="tx1"/>
            </w14:solidFill>
          </w14:textFill>
        </w:rPr>
      </w:pPr>
    </w:p>
    <w:p w14:paraId="34CA1696">
      <w:pPr>
        <w:pageBreakBefore w:val="0"/>
        <w:kinsoku/>
        <w:overflowPunct/>
        <w:topLinePunct w:val="0"/>
        <w:bidi w:val="0"/>
        <w:adjustRightInd/>
        <w:spacing w:line="360" w:lineRule="auto"/>
        <w:jc w:val="center"/>
        <w:rPr>
          <w:rFonts w:hint="eastAsia" w:ascii="宋体" w:hAnsi="宋体" w:eastAsia="宋体" w:cs="宋体"/>
          <w:b/>
          <w:color w:val="000000" w:themeColor="text1"/>
          <w:w w:val="95"/>
          <w:sz w:val="48"/>
          <w:szCs w:val="48"/>
          <w:highlight w:val="none"/>
          <w:lang w:val="zh-CN"/>
          <w14:textFill>
            <w14:solidFill>
              <w14:schemeClr w14:val="tx1"/>
            </w14:solidFill>
          </w14:textFill>
        </w:rPr>
      </w:pPr>
    </w:p>
    <w:p w14:paraId="5AB49828">
      <w:pPr>
        <w:pageBreakBefore w:val="0"/>
        <w:kinsoku/>
        <w:overflowPunct/>
        <w:topLinePunct w:val="0"/>
        <w:bidi w:val="0"/>
        <w:adjustRightInd/>
        <w:spacing w:line="360" w:lineRule="auto"/>
        <w:jc w:val="both"/>
        <w:rPr>
          <w:rFonts w:hint="eastAsia" w:ascii="宋体" w:hAnsi="宋体" w:eastAsia="宋体" w:cs="宋体"/>
          <w:b/>
          <w:color w:val="000000" w:themeColor="text1"/>
          <w:w w:val="95"/>
          <w:sz w:val="48"/>
          <w:szCs w:val="48"/>
          <w:highlight w:val="none"/>
          <w:lang w:val="zh-CN"/>
          <w14:textFill>
            <w14:solidFill>
              <w14:schemeClr w14:val="tx1"/>
            </w14:solidFill>
          </w14:textFill>
        </w:rPr>
      </w:pPr>
    </w:p>
    <w:p w14:paraId="2D480954">
      <w:pPr>
        <w:pageBreakBefore w:val="0"/>
        <w:kinsoku/>
        <w:overflowPunct/>
        <w:topLinePunct w:val="0"/>
        <w:bidi w:val="0"/>
        <w:adjustRightInd/>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w w:val="95"/>
          <w:sz w:val="44"/>
          <w:szCs w:val="44"/>
          <w:highlight w:val="none"/>
          <w:lang w:val="zh-CN"/>
          <w14:textFill>
            <w14:solidFill>
              <w14:schemeClr w14:val="tx1"/>
            </w14:solidFill>
          </w14:textFill>
        </w:rPr>
        <w:t>竞争性磋商</w:t>
      </w:r>
      <w:r>
        <w:rPr>
          <w:rFonts w:hint="eastAsia" w:ascii="宋体" w:hAnsi="宋体" w:eastAsia="宋体" w:cs="宋体"/>
          <w:b/>
          <w:color w:val="000000" w:themeColor="text1"/>
          <w:sz w:val="44"/>
          <w:szCs w:val="44"/>
          <w:highlight w:val="none"/>
          <w14:textFill>
            <w14:solidFill>
              <w14:schemeClr w14:val="tx1"/>
            </w14:solidFill>
          </w14:textFill>
        </w:rPr>
        <w:t>文件</w:t>
      </w:r>
    </w:p>
    <w:p w14:paraId="1CAB99EB">
      <w:pPr>
        <w:pageBreakBefore w:val="0"/>
        <w:kinsoku/>
        <w:overflowPunct/>
        <w:topLinePunct w:val="0"/>
        <w:bidi w:val="0"/>
        <w:adjustRightInd/>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（电子交易）</w:t>
      </w:r>
    </w:p>
    <w:p w14:paraId="481D7570">
      <w:pPr>
        <w:pageBreakBefore w:val="0"/>
        <w:kinsoku/>
        <w:overflowPunct/>
        <w:topLinePunct w:val="0"/>
        <w:bidi w:val="0"/>
        <w:adjustRightInd/>
        <w:spacing w:line="360" w:lineRule="auto"/>
        <w:jc w:val="center"/>
        <w:rPr>
          <w:rFonts w:hint="eastAsia" w:ascii="宋体" w:hAnsi="宋体" w:eastAsia="宋体" w:cs="宋体"/>
          <w:b/>
          <w:color w:val="000000" w:themeColor="text1"/>
          <w:w w:val="95"/>
          <w:sz w:val="48"/>
          <w:szCs w:val="48"/>
          <w:highlight w:val="none"/>
          <w:lang w:val="zh-CN"/>
          <w14:textFill>
            <w14:solidFill>
              <w14:schemeClr w14:val="tx1"/>
            </w14:solidFill>
          </w14:textFill>
        </w:rPr>
      </w:pPr>
    </w:p>
    <w:p w14:paraId="4348A56D">
      <w:pPr>
        <w:pageBreakBefore w:val="0"/>
        <w:kinsoku/>
        <w:overflowPunct/>
        <w:topLinePunct w:val="0"/>
        <w:bidi w:val="0"/>
        <w:adjustRightInd/>
        <w:spacing w:line="360" w:lineRule="auto"/>
        <w:jc w:val="center"/>
        <w:rPr>
          <w:rFonts w:hint="eastAsia" w:ascii="宋体" w:hAnsi="宋体" w:eastAsia="宋体" w:cs="宋体"/>
          <w:b/>
          <w:color w:val="000000" w:themeColor="text1"/>
          <w:w w:val="95"/>
          <w:sz w:val="48"/>
          <w:szCs w:val="48"/>
          <w:highlight w:val="none"/>
          <w:lang w:val="zh-CN"/>
          <w14:textFill>
            <w14:solidFill>
              <w14:schemeClr w14:val="tx1"/>
            </w14:solidFill>
          </w14:textFill>
        </w:rPr>
      </w:pPr>
    </w:p>
    <w:p w14:paraId="5351581D">
      <w:pPr>
        <w:pageBreakBefore w:val="0"/>
        <w:kinsoku/>
        <w:overflowPunct/>
        <w:topLinePunct w:val="0"/>
        <w:bidi w:val="0"/>
        <w:adjustRightInd/>
        <w:spacing w:line="360" w:lineRule="auto"/>
        <w:jc w:val="center"/>
        <w:rPr>
          <w:rFonts w:hint="eastAsia" w:ascii="宋体" w:hAnsi="宋体" w:eastAsia="宋体" w:cs="宋体"/>
          <w:b/>
          <w:color w:val="000000" w:themeColor="text1"/>
          <w:w w:val="95"/>
          <w:sz w:val="48"/>
          <w:szCs w:val="48"/>
          <w:highlight w:val="none"/>
          <w:lang w:val="zh-CN"/>
          <w14:textFill>
            <w14:solidFill>
              <w14:schemeClr w14:val="tx1"/>
            </w14:solidFill>
          </w14:textFill>
        </w:rPr>
      </w:pPr>
    </w:p>
    <w:p w14:paraId="0041761E">
      <w:pPr>
        <w:pageBreakBefore w:val="0"/>
        <w:kinsoku/>
        <w:overflowPunct/>
        <w:topLinePunct w:val="0"/>
        <w:bidi w:val="0"/>
        <w:adjustRightInd/>
        <w:spacing w:line="360" w:lineRule="auto"/>
        <w:jc w:val="both"/>
        <w:rPr>
          <w:rFonts w:hint="eastAsia" w:ascii="宋体" w:hAnsi="宋体" w:eastAsia="宋体" w:cs="宋体"/>
          <w:b/>
          <w:color w:val="000000" w:themeColor="text1"/>
          <w:w w:val="95"/>
          <w:sz w:val="48"/>
          <w:szCs w:val="48"/>
          <w:highlight w:val="none"/>
          <w:lang w:val="zh-CN"/>
          <w14:textFill>
            <w14:solidFill>
              <w14:schemeClr w14:val="tx1"/>
            </w14:solidFill>
          </w14:textFill>
        </w:rPr>
      </w:pPr>
      <w:r>
        <w:rPr>
          <w:rFonts w:hint="eastAsia" w:ascii="宋体" w:hAnsi="宋体" w:eastAsia="宋体" w:cs="宋体"/>
          <w:b/>
          <w:color w:val="000000" w:themeColor="text1"/>
          <w:w w:val="95"/>
          <w:sz w:val="48"/>
          <w:szCs w:val="48"/>
          <w:highlight w:val="none"/>
          <w:lang w:val="zh-CN"/>
          <w14:textFill>
            <w14:solidFill>
              <w14:schemeClr w14:val="tx1"/>
            </w14:solidFill>
          </w14:textFill>
        </w:rPr>
        <w:t xml:space="preserve">                              </w:t>
      </w:r>
    </w:p>
    <w:p w14:paraId="1C1C8271">
      <w:pPr>
        <w:pageBreakBefore w:val="0"/>
        <w:kinsoku/>
        <w:overflowPunct/>
        <w:topLinePunct w:val="0"/>
        <w:bidi w:val="0"/>
        <w:adjustRightInd/>
        <w:spacing w:line="360" w:lineRule="auto"/>
        <w:jc w:val="center"/>
        <w:rPr>
          <w:rFonts w:hint="eastAsia" w:ascii="宋体" w:hAnsi="宋体" w:eastAsia="宋体" w:cs="宋体"/>
          <w:b/>
          <w:color w:val="000000" w:themeColor="text1"/>
          <w:w w:val="95"/>
          <w:sz w:val="48"/>
          <w:szCs w:val="48"/>
          <w:highlight w:val="none"/>
          <w:lang w:val="zh-CN"/>
          <w14:textFill>
            <w14:solidFill>
              <w14:schemeClr w14:val="tx1"/>
            </w14:solidFill>
          </w14:textFill>
        </w:rPr>
      </w:pPr>
    </w:p>
    <w:p w14:paraId="2A7F2B67">
      <w:pPr>
        <w:pageBreakBefore w:val="0"/>
        <w:kinsoku/>
        <w:overflowPunct/>
        <w:topLinePunct w:val="0"/>
        <w:bidi w:val="0"/>
        <w:adjustRightInd/>
        <w:spacing w:line="360" w:lineRule="auto"/>
        <w:jc w:val="left"/>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项目编号：</w:t>
      </w:r>
      <w:r>
        <w:rPr>
          <w:rFonts w:hint="eastAsia" w:ascii="宋体" w:hAnsi="宋体" w:cs="宋体"/>
          <w:b/>
          <w:color w:val="000000" w:themeColor="text1"/>
          <w:sz w:val="32"/>
          <w:szCs w:val="32"/>
          <w:highlight w:val="none"/>
          <w:lang w:eastAsia="zh-CN"/>
          <w14:textFill>
            <w14:solidFill>
              <w14:schemeClr w14:val="tx1"/>
            </w14:solidFill>
          </w14:textFill>
        </w:rPr>
        <w:t>JXSJ-2025-47</w:t>
      </w:r>
    </w:p>
    <w:p w14:paraId="49C7A6FF">
      <w:pPr>
        <w:pageBreakBefore w:val="0"/>
        <w:kinsoku/>
        <w:overflowPunct/>
        <w:topLinePunct w:val="0"/>
        <w:bidi w:val="0"/>
        <w:adjustRightInd/>
        <w:spacing w:line="360" w:lineRule="auto"/>
        <w:jc w:val="left"/>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采购单位：</w:t>
      </w:r>
      <w:r>
        <w:rPr>
          <w:rFonts w:hint="eastAsia" w:ascii="宋体" w:hAnsi="宋体" w:cs="宋体"/>
          <w:b/>
          <w:color w:val="000000" w:themeColor="text1"/>
          <w:sz w:val="32"/>
          <w:szCs w:val="32"/>
          <w:highlight w:val="none"/>
          <w:lang w:eastAsia="zh-CN"/>
          <w14:textFill>
            <w14:solidFill>
              <w14:schemeClr w14:val="tx1"/>
            </w14:solidFill>
          </w14:textFill>
        </w:rPr>
        <w:t>嘉兴市南湖区民政局</w:t>
      </w:r>
    </w:p>
    <w:p w14:paraId="55C5FEAD">
      <w:pPr>
        <w:pageBreakBefore w:val="0"/>
        <w:kinsoku/>
        <w:overflowPunct/>
        <w:topLinePunct w:val="0"/>
        <w:bidi w:val="0"/>
        <w:adjustRightInd/>
        <w:spacing w:line="360" w:lineRule="auto"/>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招标代理：嘉兴市建新工程造价咨询事务所有限公司</w:t>
      </w:r>
    </w:p>
    <w:p w14:paraId="7A4BEDA8">
      <w:pPr>
        <w:pageBreakBefore w:val="0"/>
        <w:kinsoku/>
        <w:overflowPunct/>
        <w:topLinePunct w:val="0"/>
        <w:bidi w:val="0"/>
        <w:adjustRightInd/>
        <w:spacing w:line="360" w:lineRule="auto"/>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lang w:eastAsia="zh-CN"/>
          <w14:textFill>
            <w14:solidFill>
              <w14:schemeClr w14:val="tx1"/>
            </w14:solidFill>
          </w14:textFill>
        </w:rPr>
        <w:t>2025年</w:t>
      </w:r>
      <w:r>
        <w:rPr>
          <w:rFonts w:hint="eastAsia" w:ascii="宋体" w:hAnsi="宋体" w:cs="宋体"/>
          <w:b/>
          <w:color w:val="000000" w:themeColor="text1"/>
          <w:sz w:val="32"/>
          <w:szCs w:val="32"/>
          <w:highlight w:val="none"/>
          <w:lang w:val="en-US" w:eastAsia="zh-CN"/>
          <w14:textFill>
            <w14:solidFill>
              <w14:schemeClr w14:val="tx1"/>
            </w14:solidFill>
          </w14:textFill>
        </w:rPr>
        <w:t>07</w:t>
      </w:r>
      <w:r>
        <w:rPr>
          <w:rFonts w:hint="eastAsia" w:ascii="宋体" w:hAnsi="宋体" w:eastAsia="宋体" w:cs="宋体"/>
          <w:b/>
          <w:color w:val="000000" w:themeColor="text1"/>
          <w:sz w:val="32"/>
          <w:szCs w:val="32"/>
          <w:highlight w:val="none"/>
          <w14:textFill>
            <w14:solidFill>
              <w14:schemeClr w14:val="tx1"/>
            </w14:solidFill>
          </w14:textFill>
        </w:rPr>
        <w:t>月</w:t>
      </w:r>
    </w:p>
    <w:p w14:paraId="74E66608">
      <w:pPr>
        <w:pageBreakBefore w:val="0"/>
        <w:kinsoku/>
        <w:overflowPunct/>
        <w:topLinePunct w:val="0"/>
        <w:bidi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bookmarkStart w:id="0" w:name="_Hlt67893495"/>
      <w:bookmarkEnd w:id="0"/>
    </w:p>
    <w:p w14:paraId="44ACD5D8">
      <w:pPr>
        <w:pageBreakBefore w:val="0"/>
        <w:kinsoku/>
        <w:overflowPunct/>
        <w:topLinePunct w:val="0"/>
        <w:bidi w:val="0"/>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目  录</w:t>
      </w:r>
    </w:p>
    <w:p w14:paraId="2AC531D2">
      <w:pPr>
        <w:pageBreakBefore w:val="0"/>
        <w:kinsoku/>
        <w:overflowPunct/>
        <w:topLinePunct w:val="0"/>
        <w:bidi w:val="0"/>
        <w:spacing w:line="360" w:lineRule="auto"/>
        <w:rPr>
          <w:rFonts w:hint="eastAsia" w:ascii="宋体" w:hAnsi="宋体" w:eastAsia="宋体" w:cs="宋体"/>
          <w:color w:val="000000" w:themeColor="text1"/>
          <w:szCs w:val="21"/>
          <w:highlight w:val="none"/>
          <w14:textFill>
            <w14:solidFill>
              <w14:schemeClr w14:val="tx1"/>
            </w14:solidFill>
          </w14:textFill>
        </w:rPr>
      </w:pPr>
    </w:p>
    <w:p w14:paraId="78FB1110">
      <w:pPr>
        <w:pageBreakBefore w:val="0"/>
        <w:kinsoku/>
        <w:overflowPunct/>
        <w:topLinePunct w:val="0"/>
        <w:bidi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p>
    <w:p w14:paraId="6A48AC7B">
      <w:pPr>
        <w:pageBreakBefore w:val="0"/>
        <w:kinsoku/>
        <w:overflowPunct/>
        <w:topLinePunct w:val="0"/>
        <w:bidi w:val="0"/>
        <w:spacing w:line="360" w:lineRule="auto"/>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第一部分      竞争性磋商公告</w:t>
      </w:r>
    </w:p>
    <w:p w14:paraId="278462EA">
      <w:pPr>
        <w:pageBreakBefore w:val="0"/>
        <w:kinsoku/>
        <w:overflowPunct/>
        <w:topLinePunct w:val="0"/>
        <w:bidi w:val="0"/>
        <w:spacing w:line="360" w:lineRule="auto"/>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第二部分      竞争性磋商流程</w:t>
      </w:r>
    </w:p>
    <w:p w14:paraId="5D26345A">
      <w:pPr>
        <w:pageBreakBefore w:val="0"/>
        <w:kinsoku/>
        <w:overflowPunct/>
        <w:topLinePunct w:val="0"/>
        <w:bidi w:val="0"/>
        <w:spacing w:line="360" w:lineRule="auto"/>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第三部分      供应商须知</w:t>
      </w:r>
    </w:p>
    <w:p w14:paraId="0E6B7A97">
      <w:pPr>
        <w:pageBreakBefore w:val="0"/>
        <w:kinsoku/>
        <w:overflowPunct/>
        <w:topLinePunct w:val="0"/>
        <w:bidi w:val="0"/>
        <w:spacing w:line="360" w:lineRule="auto"/>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第四部分      采购需求</w:t>
      </w:r>
    </w:p>
    <w:p w14:paraId="13868581">
      <w:pPr>
        <w:pageBreakBefore w:val="0"/>
        <w:kinsoku/>
        <w:overflowPunct/>
        <w:topLinePunct w:val="0"/>
        <w:bidi w:val="0"/>
        <w:spacing w:line="360" w:lineRule="auto"/>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第五部分      评审方法及评审标准</w:t>
      </w:r>
    </w:p>
    <w:p w14:paraId="3D8815F5">
      <w:pPr>
        <w:pageBreakBefore w:val="0"/>
        <w:kinsoku/>
        <w:overflowPunct/>
        <w:topLinePunct w:val="0"/>
        <w:bidi w:val="0"/>
        <w:spacing w:line="360" w:lineRule="auto"/>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第六部分      拟签订的合同文本</w:t>
      </w:r>
    </w:p>
    <w:p w14:paraId="047FF6CF">
      <w:pPr>
        <w:pageBreakBefore w:val="0"/>
        <w:kinsoku/>
        <w:overflowPunct/>
        <w:topLinePunct w:val="0"/>
        <w:bidi w:val="0"/>
        <w:spacing w:line="360" w:lineRule="auto"/>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第七部分      应提交的有关格式范例</w:t>
      </w:r>
    </w:p>
    <w:p w14:paraId="3B5390C5">
      <w:pPr>
        <w:pageBreakBefore w:val="0"/>
        <w:kinsoku/>
        <w:overflowPunct/>
        <w:topLinePunct w:val="0"/>
        <w:bidi w:val="0"/>
        <w:spacing w:line="360" w:lineRule="auto"/>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第八部分      最后报价格式</w:t>
      </w:r>
    </w:p>
    <w:p w14:paraId="697541DC">
      <w:pPr>
        <w:pageBreakBefore w:val="0"/>
        <w:kinsoku/>
        <w:overflowPunct/>
        <w:topLinePunct w:val="0"/>
        <w:bidi w:val="0"/>
        <w:spacing w:line="360" w:lineRule="auto"/>
        <w:ind w:firstLine="480" w:firstLineChars="229"/>
        <w:rPr>
          <w:rFonts w:hint="eastAsia" w:ascii="宋体" w:hAnsi="宋体" w:eastAsia="宋体" w:cs="宋体"/>
          <w:color w:val="000000" w:themeColor="text1"/>
          <w:szCs w:val="21"/>
          <w:highlight w:val="none"/>
          <w14:textFill>
            <w14:solidFill>
              <w14:schemeClr w14:val="tx1"/>
            </w14:solidFill>
          </w14:textFill>
        </w:rPr>
      </w:pPr>
      <w:bookmarkStart w:id="1" w:name="_Hlt91233176"/>
      <w:bookmarkEnd w:id="1"/>
      <w:bookmarkStart w:id="2" w:name="_Toc91899869"/>
    </w:p>
    <w:p w14:paraId="327A8672">
      <w:pPr>
        <w:pageBreakBefore w:val="0"/>
        <w:kinsoku/>
        <w:overflowPunct/>
        <w:topLinePunct w:val="0"/>
        <w:bidi w:val="0"/>
        <w:spacing w:line="360" w:lineRule="auto"/>
        <w:ind w:firstLine="480" w:firstLineChars="229"/>
        <w:rPr>
          <w:rFonts w:hint="eastAsia" w:ascii="宋体" w:hAnsi="宋体" w:eastAsia="宋体" w:cs="宋体"/>
          <w:color w:val="000000" w:themeColor="text1"/>
          <w:szCs w:val="21"/>
          <w:highlight w:val="none"/>
          <w14:textFill>
            <w14:solidFill>
              <w14:schemeClr w14:val="tx1"/>
            </w14:solidFill>
          </w14:textFill>
        </w:rPr>
      </w:pPr>
    </w:p>
    <w:p w14:paraId="7105D7C9">
      <w:pPr>
        <w:pageBreakBefore w:val="0"/>
        <w:kinsoku/>
        <w:overflowPunct/>
        <w:topLinePunct w:val="0"/>
        <w:bidi w:val="0"/>
        <w:spacing w:line="360" w:lineRule="auto"/>
        <w:ind w:firstLine="480" w:firstLineChars="229"/>
        <w:rPr>
          <w:rFonts w:hint="eastAsia" w:ascii="宋体" w:hAnsi="宋体" w:eastAsia="宋体" w:cs="宋体"/>
          <w:color w:val="000000" w:themeColor="text1"/>
          <w:szCs w:val="21"/>
          <w:highlight w:val="none"/>
          <w14:textFill>
            <w14:solidFill>
              <w14:schemeClr w14:val="tx1"/>
            </w14:solidFill>
          </w14:textFill>
        </w:rPr>
      </w:pPr>
    </w:p>
    <w:p w14:paraId="619A2E38">
      <w:pPr>
        <w:pageBreakBefore w:val="0"/>
        <w:kinsoku/>
        <w:overflowPunct/>
        <w:topLinePunct w:val="0"/>
        <w:bidi w:val="0"/>
        <w:spacing w:line="360" w:lineRule="auto"/>
        <w:ind w:firstLine="480" w:firstLineChars="229"/>
        <w:rPr>
          <w:rFonts w:hint="eastAsia" w:ascii="宋体" w:hAnsi="宋体" w:eastAsia="宋体" w:cs="宋体"/>
          <w:color w:val="000000" w:themeColor="text1"/>
          <w:szCs w:val="21"/>
          <w:highlight w:val="none"/>
          <w14:textFill>
            <w14:solidFill>
              <w14:schemeClr w14:val="tx1"/>
            </w14:solidFill>
          </w14:textFill>
        </w:rPr>
      </w:pPr>
    </w:p>
    <w:p w14:paraId="47145E91">
      <w:pPr>
        <w:pageBreakBefore w:val="0"/>
        <w:kinsoku/>
        <w:overflowPunct/>
        <w:topLinePunct w:val="0"/>
        <w:bidi w:val="0"/>
        <w:spacing w:line="360" w:lineRule="auto"/>
        <w:ind w:firstLine="480" w:firstLineChars="229"/>
        <w:rPr>
          <w:rFonts w:hint="eastAsia" w:ascii="宋体" w:hAnsi="宋体" w:eastAsia="宋体" w:cs="宋体"/>
          <w:color w:val="000000" w:themeColor="text1"/>
          <w:szCs w:val="21"/>
          <w:highlight w:val="none"/>
          <w14:textFill>
            <w14:solidFill>
              <w14:schemeClr w14:val="tx1"/>
            </w14:solidFill>
          </w14:textFill>
        </w:rPr>
      </w:pPr>
    </w:p>
    <w:p w14:paraId="4D6BDF20">
      <w:pPr>
        <w:pageBreakBefore w:val="0"/>
        <w:kinsoku/>
        <w:overflowPunct/>
        <w:topLinePunct w:val="0"/>
        <w:bidi w:val="0"/>
        <w:spacing w:line="360" w:lineRule="auto"/>
        <w:ind w:firstLine="480" w:firstLineChars="229"/>
        <w:rPr>
          <w:rFonts w:hint="eastAsia" w:ascii="宋体" w:hAnsi="宋体" w:eastAsia="宋体" w:cs="宋体"/>
          <w:color w:val="000000" w:themeColor="text1"/>
          <w:szCs w:val="21"/>
          <w:highlight w:val="none"/>
          <w14:textFill>
            <w14:solidFill>
              <w14:schemeClr w14:val="tx1"/>
            </w14:solidFill>
          </w14:textFill>
        </w:rPr>
      </w:pPr>
    </w:p>
    <w:p w14:paraId="4D62614D">
      <w:pPr>
        <w:pageBreakBefore w:val="0"/>
        <w:kinsoku/>
        <w:overflowPunct/>
        <w:topLinePunct w:val="0"/>
        <w:bidi w:val="0"/>
        <w:spacing w:line="360" w:lineRule="auto"/>
        <w:ind w:firstLine="480" w:firstLineChars="229"/>
        <w:rPr>
          <w:rFonts w:hint="eastAsia" w:ascii="宋体" w:hAnsi="宋体" w:eastAsia="宋体" w:cs="宋体"/>
          <w:color w:val="000000" w:themeColor="text1"/>
          <w:szCs w:val="21"/>
          <w:highlight w:val="none"/>
          <w14:textFill>
            <w14:solidFill>
              <w14:schemeClr w14:val="tx1"/>
            </w14:solidFill>
          </w14:textFill>
        </w:rPr>
      </w:pPr>
    </w:p>
    <w:p w14:paraId="01CFCE15">
      <w:pPr>
        <w:pageBreakBefore w:val="0"/>
        <w:kinsoku/>
        <w:overflowPunct/>
        <w:topLinePunct w:val="0"/>
        <w:bidi w:val="0"/>
        <w:spacing w:line="360" w:lineRule="auto"/>
        <w:ind w:firstLine="480" w:firstLineChars="229"/>
        <w:rPr>
          <w:rFonts w:hint="eastAsia" w:ascii="宋体" w:hAnsi="宋体" w:eastAsia="宋体" w:cs="宋体"/>
          <w:color w:val="000000" w:themeColor="text1"/>
          <w:szCs w:val="21"/>
          <w:highlight w:val="none"/>
          <w14:textFill>
            <w14:solidFill>
              <w14:schemeClr w14:val="tx1"/>
            </w14:solidFill>
          </w14:textFill>
        </w:rPr>
      </w:pPr>
    </w:p>
    <w:p w14:paraId="4B24F1EB">
      <w:pPr>
        <w:pageBreakBefore w:val="0"/>
        <w:kinsoku/>
        <w:overflowPunct/>
        <w:topLinePunct w:val="0"/>
        <w:bidi w:val="0"/>
        <w:spacing w:line="360" w:lineRule="auto"/>
        <w:ind w:firstLine="480" w:firstLineChars="229"/>
        <w:rPr>
          <w:rFonts w:hint="eastAsia" w:ascii="宋体" w:hAnsi="宋体" w:eastAsia="宋体" w:cs="宋体"/>
          <w:color w:val="000000" w:themeColor="text1"/>
          <w:szCs w:val="21"/>
          <w:highlight w:val="none"/>
          <w14:textFill>
            <w14:solidFill>
              <w14:schemeClr w14:val="tx1"/>
            </w14:solidFill>
          </w14:textFill>
        </w:rPr>
      </w:pPr>
    </w:p>
    <w:p w14:paraId="2323EC78">
      <w:pPr>
        <w:pageBreakBefore w:val="0"/>
        <w:kinsoku/>
        <w:overflowPunct/>
        <w:topLinePunct w:val="0"/>
        <w:bidi w:val="0"/>
        <w:spacing w:line="360" w:lineRule="auto"/>
        <w:ind w:firstLine="480" w:firstLineChars="229"/>
        <w:rPr>
          <w:rFonts w:hint="eastAsia" w:ascii="宋体" w:hAnsi="宋体" w:eastAsia="宋体" w:cs="宋体"/>
          <w:color w:val="000000" w:themeColor="text1"/>
          <w:szCs w:val="21"/>
          <w:highlight w:val="none"/>
          <w14:textFill>
            <w14:solidFill>
              <w14:schemeClr w14:val="tx1"/>
            </w14:solidFill>
          </w14:textFill>
        </w:rPr>
      </w:pPr>
    </w:p>
    <w:p w14:paraId="24B14C8E">
      <w:pPr>
        <w:pageBreakBefore w:val="0"/>
        <w:kinsoku/>
        <w:overflowPunct/>
        <w:topLinePunct w:val="0"/>
        <w:bidi w:val="0"/>
        <w:spacing w:line="360" w:lineRule="auto"/>
        <w:ind w:firstLine="480" w:firstLineChars="229"/>
        <w:rPr>
          <w:rFonts w:hint="eastAsia" w:ascii="宋体" w:hAnsi="宋体" w:eastAsia="宋体" w:cs="宋体"/>
          <w:color w:val="000000" w:themeColor="text1"/>
          <w:szCs w:val="21"/>
          <w:highlight w:val="none"/>
          <w14:textFill>
            <w14:solidFill>
              <w14:schemeClr w14:val="tx1"/>
            </w14:solidFill>
          </w14:textFill>
        </w:rPr>
      </w:pPr>
    </w:p>
    <w:p w14:paraId="69B6F4DC">
      <w:pPr>
        <w:pageBreakBefore w:val="0"/>
        <w:kinsoku/>
        <w:overflowPunct/>
        <w:topLinePunct w:val="0"/>
        <w:bidi w:val="0"/>
        <w:spacing w:line="360" w:lineRule="auto"/>
        <w:ind w:firstLine="480" w:firstLineChars="229"/>
        <w:rPr>
          <w:rFonts w:hint="eastAsia" w:ascii="宋体" w:hAnsi="宋体" w:eastAsia="宋体" w:cs="宋体"/>
          <w:color w:val="000000" w:themeColor="text1"/>
          <w:szCs w:val="21"/>
          <w:highlight w:val="none"/>
          <w14:textFill>
            <w14:solidFill>
              <w14:schemeClr w14:val="tx1"/>
            </w14:solidFill>
          </w14:textFill>
        </w:rPr>
      </w:pPr>
    </w:p>
    <w:p w14:paraId="51DFB0EF">
      <w:pPr>
        <w:pageBreakBefore w:val="0"/>
        <w:kinsoku/>
        <w:overflowPunct/>
        <w:topLinePunct w:val="0"/>
        <w:bidi w:val="0"/>
        <w:spacing w:line="360" w:lineRule="auto"/>
        <w:ind w:firstLine="480" w:firstLineChars="229"/>
        <w:rPr>
          <w:rFonts w:hint="eastAsia" w:ascii="宋体" w:hAnsi="宋体" w:eastAsia="宋体" w:cs="宋体"/>
          <w:color w:val="000000" w:themeColor="text1"/>
          <w:szCs w:val="21"/>
          <w:highlight w:val="none"/>
          <w14:textFill>
            <w14:solidFill>
              <w14:schemeClr w14:val="tx1"/>
            </w14:solidFill>
          </w14:textFill>
        </w:rPr>
      </w:pPr>
    </w:p>
    <w:p w14:paraId="53A655E6">
      <w:pPr>
        <w:pageBreakBefore w:val="0"/>
        <w:kinsoku/>
        <w:overflowPunct/>
        <w:topLinePunct w:val="0"/>
        <w:bidi w:val="0"/>
        <w:spacing w:line="360" w:lineRule="auto"/>
        <w:rPr>
          <w:rFonts w:hint="eastAsia" w:ascii="宋体" w:hAnsi="宋体" w:eastAsia="宋体" w:cs="宋体"/>
          <w:color w:val="000000" w:themeColor="text1"/>
          <w:szCs w:val="21"/>
          <w:highlight w:val="none"/>
          <w14:textFill>
            <w14:solidFill>
              <w14:schemeClr w14:val="tx1"/>
            </w14:solidFill>
          </w14:textFill>
        </w:rPr>
      </w:pPr>
    </w:p>
    <w:p w14:paraId="4664CA14">
      <w:pPr>
        <w:pageBreakBefore w:val="0"/>
        <w:kinsoku/>
        <w:overflowPunct/>
        <w:topLinePunct w:val="0"/>
        <w:bidi w:val="0"/>
        <w:adjustRightInd/>
        <w:spacing w:line="36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bookmarkStart w:id="3" w:name="第一部分"/>
      <w:r>
        <w:rPr>
          <w:rFonts w:hint="eastAsia" w:ascii="宋体" w:hAnsi="宋体" w:eastAsia="宋体" w:cs="宋体"/>
          <w:b/>
          <w:color w:val="000000" w:themeColor="text1"/>
          <w:szCs w:val="21"/>
          <w:highlight w:val="none"/>
          <w14:textFill>
            <w14:solidFill>
              <w14:schemeClr w14:val="tx1"/>
            </w14:solidFill>
          </w14:textFill>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000000" w:themeColor="text1"/>
          <w:sz w:val="32"/>
          <w:szCs w:val="32"/>
          <w:highlight w:val="none"/>
          <w14:textFill>
            <w14:solidFill>
              <w14:schemeClr w14:val="tx1"/>
            </w14:solidFill>
          </w14:textFill>
        </w:rPr>
        <w:t>第一部分 竞争性磋商公告</w:t>
      </w:r>
    </w:p>
    <w:p w14:paraId="4EB9F3C4">
      <w:pPr>
        <w:pageBreakBefore w:val="0"/>
        <w:pBdr>
          <w:top w:val="single" w:color="auto" w:sz="4" w:space="1"/>
          <w:left w:val="single" w:color="auto" w:sz="4" w:space="4"/>
          <w:bottom w:val="single" w:color="auto" w:sz="4" w:space="1"/>
          <w:right w:val="single" w:color="auto" w:sz="4" w:space="4"/>
        </w:pBdr>
        <w:kinsoku/>
        <w:overflowPunct/>
        <w:topLinePunct w:val="0"/>
        <w:bidi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项目概况</w:t>
      </w:r>
    </w:p>
    <w:p w14:paraId="55857315">
      <w:pPr>
        <w:pageBreakBefore w:val="0"/>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南湖区“精康融合行动”实施服务项目</w:t>
      </w:r>
      <w:r>
        <w:rPr>
          <w:rFonts w:hint="eastAsia" w:ascii="宋体" w:hAnsi="宋体" w:eastAsia="宋体" w:cs="宋体"/>
          <w:color w:val="000000" w:themeColor="text1"/>
          <w:szCs w:val="21"/>
          <w:highlight w:val="none"/>
          <w14:textFill>
            <w14:solidFill>
              <w14:schemeClr w14:val="tx1"/>
            </w14:solidFill>
          </w14:textFill>
        </w:rPr>
        <w:t>的潜在供应商应在</w:t>
      </w:r>
      <w:r>
        <w:rPr>
          <w:rFonts w:hint="eastAsia" w:ascii="宋体" w:hAnsi="宋体" w:eastAsia="宋体" w:cs="宋体"/>
          <w:color w:val="000000" w:themeColor="text1"/>
          <w:szCs w:val="21"/>
          <w:highlight w:val="none"/>
          <w:u w:val="single"/>
          <w14:textFill>
            <w14:solidFill>
              <w14:schemeClr w14:val="tx1"/>
            </w14:solidFill>
          </w14:textFill>
        </w:rPr>
        <w:t>政采云平台（</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"https://www.zcygov.cn/"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70"/>
          <w:rFonts w:hint="eastAsia" w:ascii="宋体" w:hAnsi="宋体" w:eastAsia="宋体" w:cs="宋体"/>
          <w:color w:val="000000" w:themeColor="text1"/>
          <w:sz w:val="21"/>
          <w:szCs w:val="21"/>
          <w:highlight w:val="none"/>
          <w:u w:val="single"/>
          <w14:textFill>
            <w14:solidFill>
              <w14:schemeClr w14:val="tx1"/>
            </w14:solidFill>
          </w14:textFill>
        </w:rPr>
        <w:t>https://www.zcygov.cn/</w:t>
      </w:r>
      <w:r>
        <w:rPr>
          <w:rStyle w:val="70"/>
          <w:rFonts w:hint="eastAsia" w:ascii="宋体" w:hAnsi="宋体" w:eastAsia="宋体" w:cs="宋体"/>
          <w:color w:val="000000" w:themeColor="text1"/>
          <w:sz w:val="21"/>
          <w:szCs w:val="21"/>
          <w:highlight w:val="none"/>
          <w:u w:val="single"/>
          <w14:textFill>
            <w14:solidFill>
              <w14:schemeClr w14:val="tx1"/>
            </w14:solidFill>
          </w14:textFill>
        </w:rPr>
        <w:fldChar w:fldCharType="end"/>
      </w:r>
      <w:r>
        <w:rPr>
          <w:rFonts w:hint="eastAsia" w:ascii="宋体" w:hAnsi="宋体" w:eastAsia="宋体" w:cs="宋体"/>
          <w:color w:val="000000" w:themeColor="text1"/>
          <w:szCs w:val="21"/>
          <w:highlight w:val="none"/>
          <w:u w:val="singl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获取采购文件，并于</w:t>
      </w:r>
      <w:r>
        <w:rPr>
          <w:rFonts w:hint="eastAsia" w:ascii="宋体" w:hAnsi="宋体" w:eastAsia="宋体" w:cs="宋体"/>
          <w:b/>
          <w:bCs/>
          <w:color w:val="000000" w:themeColor="text1"/>
          <w:szCs w:val="21"/>
          <w:highlight w:val="none"/>
          <w:u w:val="single"/>
          <w14:textFill>
            <w14:solidFill>
              <w14:schemeClr w14:val="tx1"/>
            </w14:solidFill>
          </w14:textFill>
        </w:rPr>
        <w:t xml:space="preserve"> </w:t>
      </w:r>
      <w:r>
        <w:rPr>
          <w:rFonts w:hint="eastAsia" w:ascii="宋体" w:hAnsi="宋体" w:cs="宋体"/>
          <w:b/>
          <w:bCs/>
          <w:color w:val="000000" w:themeColor="text1"/>
          <w:szCs w:val="21"/>
          <w:highlight w:val="none"/>
          <w:u w:val="single"/>
          <w:lang w:eastAsia="zh-CN"/>
          <w14:textFill>
            <w14:solidFill>
              <w14:schemeClr w14:val="tx1"/>
            </w14:solidFill>
          </w14:textFill>
        </w:rPr>
        <w:t>2025年</w:t>
      </w:r>
      <w:r>
        <w:rPr>
          <w:rFonts w:hint="eastAsia" w:ascii="宋体" w:hAnsi="宋体" w:cs="宋体"/>
          <w:b/>
          <w:bCs/>
          <w:color w:val="000000" w:themeColor="text1"/>
          <w:szCs w:val="21"/>
          <w:highlight w:val="none"/>
          <w:u w:val="single"/>
          <w:lang w:val="en-US" w:eastAsia="zh-CN"/>
          <w14:textFill>
            <w14:solidFill>
              <w14:schemeClr w14:val="tx1"/>
            </w14:solidFill>
          </w14:textFill>
        </w:rPr>
        <w:t>07</w:t>
      </w:r>
      <w:r>
        <w:rPr>
          <w:rFonts w:hint="eastAsia" w:ascii="宋体" w:hAnsi="宋体" w:eastAsia="宋体" w:cs="宋体"/>
          <w:b/>
          <w:bCs/>
          <w:color w:val="000000" w:themeColor="text1"/>
          <w:szCs w:val="21"/>
          <w:highlight w:val="none"/>
          <w:u w:val="single"/>
          <w14:textFill>
            <w14:solidFill>
              <w14:schemeClr w14:val="tx1"/>
            </w14:solidFill>
          </w14:textFill>
        </w:rPr>
        <w:t>月</w:t>
      </w:r>
      <w:r>
        <w:rPr>
          <w:rFonts w:hint="eastAsia" w:ascii="宋体" w:hAnsi="宋体" w:cs="宋体"/>
          <w:b/>
          <w:bCs/>
          <w:color w:val="000000" w:themeColor="text1"/>
          <w:szCs w:val="21"/>
          <w:highlight w:val="none"/>
          <w:u w:val="single"/>
          <w:lang w:val="en-US" w:eastAsia="zh-CN"/>
          <w14:textFill>
            <w14:solidFill>
              <w14:schemeClr w14:val="tx1"/>
            </w14:solidFill>
          </w14:textFill>
        </w:rPr>
        <w:t>18</w:t>
      </w:r>
      <w:r>
        <w:rPr>
          <w:rFonts w:hint="eastAsia" w:ascii="宋体" w:hAnsi="宋体" w:eastAsia="宋体" w:cs="宋体"/>
          <w:b/>
          <w:bCs/>
          <w:color w:val="000000" w:themeColor="text1"/>
          <w:szCs w:val="21"/>
          <w:highlight w:val="none"/>
          <w:u w:val="single"/>
          <w14:textFill>
            <w14:solidFill>
              <w14:schemeClr w14:val="tx1"/>
            </w14:solidFill>
          </w14:textFill>
        </w:rPr>
        <w:t>日</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14</w:t>
      </w:r>
      <w:r>
        <w:rPr>
          <w:rFonts w:hint="eastAsia" w:ascii="宋体" w:hAnsi="宋体" w:eastAsia="宋体" w:cs="宋体"/>
          <w:b/>
          <w:bCs/>
          <w:color w:val="000000" w:themeColor="text1"/>
          <w:szCs w:val="21"/>
          <w:highlight w:val="none"/>
          <w:u w:val="single"/>
          <w14:textFill>
            <w14:solidFill>
              <w14:schemeClr w14:val="tx1"/>
            </w14:solidFill>
          </w14:textFill>
        </w:rPr>
        <w:t>点</w:t>
      </w:r>
      <w:r>
        <w:rPr>
          <w:rFonts w:hint="eastAsia" w:ascii="宋体" w:hAnsi="宋体" w:cs="宋体"/>
          <w:b/>
          <w:bCs/>
          <w:color w:val="000000" w:themeColor="text1"/>
          <w:szCs w:val="21"/>
          <w:highlight w:val="none"/>
          <w:u w:val="single"/>
          <w:lang w:val="en-US" w:eastAsia="zh-CN"/>
          <w14:textFill>
            <w14:solidFill>
              <w14:schemeClr w14:val="tx1"/>
            </w14:solidFill>
          </w14:textFill>
        </w:rPr>
        <w:t>30</w:t>
      </w:r>
      <w:r>
        <w:rPr>
          <w:rFonts w:hint="eastAsia" w:ascii="宋体" w:hAnsi="宋体" w:eastAsia="宋体" w:cs="宋体"/>
          <w:b/>
          <w:bCs/>
          <w:color w:val="000000" w:themeColor="text1"/>
          <w:szCs w:val="21"/>
          <w:highlight w:val="none"/>
          <w:u w:val="single"/>
          <w14:textFill>
            <w14:solidFill>
              <w14:schemeClr w14:val="tx1"/>
            </w14:solidFill>
          </w14:textFill>
        </w:rPr>
        <w:t>分00秒</w:t>
      </w:r>
      <w:r>
        <w:rPr>
          <w:rFonts w:hint="eastAsia" w:ascii="宋体" w:hAnsi="宋体" w:eastAsia="宋体" w:cs="宋体"/>
          <w:bCs/>
          <w:color w:val="000000" w:themeColor="text1"/>
          <w:szCs w:val="21"/>
          <w:highlight w:val="none"/>
          <w14:textFill>
            <w14:solidFill>
              <w14:schemeClr w14:val="tx1"/>
            </w14:solidFill>
          </w14:textFill>
        </w:rPr>
        <w:t>（北京时间）前提交响应文件</w:t>
      </w:r>
      <w:r>
        <w:rPr>
          <w:rFonts w:hint="eastAsia" w:ascii="宋体" w:hAnsi="宋体" w:eastAsia="宋体" w:cs="宋体"/>
          <w:color w:val="000000" w:themeColor="text1"/>
          <w:szCs w:val="21"/>
          <w:highlight w:val="none"/>
          <w14:textFill>
            <w14:solidFill>
              <w14:schemeClr w14:val="tx1"/>
            </w14:solidFill>
          </w14:textFill>
        </w:rPr>
        <w:t>。</w:t>
      </w:r>
    </w:p>
    <w:p w14:paraId="6BD59D04">
      <w:pPr>
        <w:pStyle w:val="5"/>
        <w:pageBreakBefore w:val="0"/>
        <w:numPr>
          <w:ilvl w:val="0"/>
          <w:numId w:val="0"/>
        </w:numPr>
        <w:kinsoku/>
        <w:overflowPunct/>
        <w:topLinePunct w:val="0"/>
        <w:bidi w:val="0"/>
        <w:spacing w:line="360" w:lineRule="auto"/>
        <w:ind w:left="432" w:hanging="432"/>
        <w:rPr>
          <w:rFonts w:hint="eastAsia" w:ascii="宋体" w:hAnsi="宋体" w:eastAsia="宋体" w:cs="宋体"/>
          <w:b/>
          <w:bCs/>
          <w:color w:val="000000" w:themeColor="text1"/>
          <w:sz w:val="21"/>
          <w:szCs w:val="21"/>
          <w:highlight w:val="none"/>
          <w14:textFill>
            <w14:solidFill>
              <w14:schemeClr w14:val="tx1"/>
            </w14:solidFill>
          </w14:textFill>
        </w:rPr>
      </w:pPr>
      <w:bookmarkStart w:id="11" w:name="_Toc28359089"/>
      <w:bookmarkStart w:id="12" w:name="_Toc28359012"/>
      <w:bookmarkStart w:id="13" w:name="_Toc35393798"/>
      <w:bookmarkStart w:id="14" w:name="_Toc35393629"/>
      <w:r>
        <w:rPr>
          <w:rFonts w:hint="eastAsia" w:ascii="宋体" w:hAnsi="宋体" w:eastAsia="宋体" w:cs="宋体"/>
          <w:b/>
          <w:bCs/>
          <w:color w:val="000000" w:themeColor="text1"/>
          <w:sz w:val="21"/>
          <w:szCs w:val="21"/>
          <w:highlight w:val="none"/>
          <w14:textFill>
            <w14:solidFill>
              <w14:schemeClr w14:val="tx1"/>
            </w14:solidFill>
          </w14:textFill>
        </w:rPr>
        <w:t>一、项目基本情况</w:t>
      </w:r>
      <w:bookmarkEnd w:id="11"/>
      <w:bookmarkEnd w:id="12"/>
      <w:bookmarkEnd w:id="13"/>
      <w:bookmarkEnd w:id="14"/>
    </w:p>
    <w:p w14:paraId="32E67251">
      <w:pPr>
        <w:pageBreakBefore w:val="0"/>
        <w:kinsoku/>
        <w:overflowPunct/>
        <w:topLinePunct w:val="0"/>
        <w:bidi w:val="0"/>
        <w:spacing w:line="360" w:lineRule="auto"/>
        <w:ind w:firstLine="422"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项目编号：</w:t>
      </w:r>
      <w:r>
        <w:rPr>
          <w:rFonts w:hint="eastAsia" w:ascii="宋体" w:hAnsi="宋体" w:cs="宋体"/>
          <w:color w:val="000000" w:themeColor="text1"/>
          <w:szCs w:val="21"/>
          <w:highlight w:val="none"/>
          <w:lang w:eastAsia="zh-CN"/>
          <w14:textFill>
            <w14:solidFill>
              <w14:schemeClr w14:val="tx1"/>
            </w14:solidFill>
          </w14:textFill>
        </w:rPr>
        <w:t>JXSJ-2025-47</w:t>
      </w:r>
    </w:p>
    <w:p w14:paraId="47CF7023">
      <w:pPr>
        <w:pageBreakBefore w:val="0"/>
        <w:kinsoku/>
        <w:overflowPunct/>
        <w:topLinePunct w:val="0"/>
        <w:bidi w:val="0"/>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lang w:eastAsia="zh-CN"/>
          <w14:textFill>
            <w14:solidFill>
              <w14:schemeClr w14:val="tx1"/>
            </w14:solidFill>
          </w14:textFill>
        </w:rPr>
        <w:t>南湖区“精康融合行动”实施服务项目</w:t>
      </w:r>
    </w:p>
    <w:p w14:paraId="171F929D">
      <w:pPr>
        <w:pageBreakBefore w:val="0"/>
        <w:kinsoku/>
        <w:overflowPunct/>
        <w:topLinePunct w:val="0"/>
        <w:bidi w:val="0"/>
        <w:spacing w:line="360" w:lineRule="auto"/>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采购方式：</w:t>
      </w:r>
      <w:r>
        <w:rPr>
          <w:rFonts w:hint="eastAsia" w:ascii="宋体" w:hAnsi="宋体" w:eastAsia="宋体" w:cs="宋体"/>
          <w:color w:val="000000" w:themeColor="text1"/>
          <w:szCs w:val="21"/>
          <w:highlight w:val="none"/>
          <w14:textFill>
            <w14:solidFill>
              <w14:schemeClr w14:val="tx1"/>
            </w14:solidFill>
          </w14:textFill>
        </w:rPr>
        <w:t>竞争性磋商</w:t>
      </w:r>
    </w:p>
    <w:p w14:paraId="67EBE75C">
      <w:pPr>
        <w:pageBreakBefore w:val="0"/>
        <w:kinsoku/>
        <w:overflowPunct/>
        <w:topLinePunct w:val="0"/>
        <w:bidi w:val="0"/>
        <w:spacing w:line="360" w:lineRule="auto"/>
        <w:ind w:firstLine="422"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预算金额：</w:t>
      </w:r>
      <w:r>
        <w:rPr>
          <w:rFonts w:hint="eastAsia" w:ascii="宋体" w:hAnsi="宋体" w:cs="宋体"/>
          <w:color w:val="000000" w:themeColor="text1"/>
          <w:szCs w:val="21"/>
          <w:highlight w:val="none"/>
          <w:lang w:val="en-US" w:eastAsia="zh-CN"/>
          <w14:textFill>
            <w14:solidFill>
              <w14:schemeClr w14:val="tx1"/>
            </w14:solidFill>
          </w14:textFill>
        </w:rPr>
        <w:t>40万元</w:t>
      </w:r>
    </w:p>
    <w:p w14:paraId="70FE5E1B">
      <w:pPr>
        <w:pageBreakBefore w:val="0"/>
        <w:kinsoku/>
        <w:overflowPunct/>
        <w:topLinePunct w:val="0"/>
        <w:bidi w:val="0"/>
        <w:spacing w:line="360" w:lineRule="auto"/>
        <w:ind w:firstLine="422"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政府采购计划编号：</w:t>
      </w:r>
      <w:r>
        <w:rPr>
          <w:rFonts w:hint="eastAsia" w:ascii="宋体" w:hAnsi="宋体" w:cs="宋体"/>
          <w:color w:val="000000" w:themeColor="text1"/>
          <w:szCs w:val="21"/>
          <w:highlight w:val="none"/>
          <w:lang w:val="en-US" w:eastAsia="zh-CN"/>
          <w14:textFill>
            <w14:solidFill>
              <w14:schemeClr w14:val="tx1"/>
            </w14:solidFill>
          </w14:textFill>
        </w:rPr>
        <w:t>临[2025]1406号</w:t>
      </w:r>
    </w:p>
    <w:p w14:paraId="236383E9">
      <w:pPr>
        <w:pageBreakBefore w:val="0"/>
        <w:kinsoku/>
        <w:overflowPunct/>
        <w:topLinePunct w:val="0"/>
        <w:bidi w:val="0"/>
        <w:spacing w:line="360" w:lineRule="auto"/>
        <w:ind w:firstLine="422" w:firstLineChars="200"/>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采购需求：</w:t>
      </w:r>
      <w:r>
        <w:rPr>
          <w:rFonts w:hint="eastAsia" w:ascii="宋体" w:hAnsi="宋体" w:cs="宋体"/>
          <w:b w:val="0"/>
          <w:bCs w:val="0"/>
          <w:color w:val="000000" w:themeColor="text1"/>
          <w:szCs w:val="21"/>
          <w:highlight w:val="none"/>
          <w:lang w:eastAsia="zh-CN"/>
          <w14:textFill>
            <w14:solidFill>
              <w14:schemeClr w14:val="tx1"/>
            </w14:solidFill>
          </w14:textFill>
        </w:rPr>
        <w:t>南湖区“精康融合行动”实施服务</w:t>
      </w:r>
      <w:r>
        <w:rPr>
          <w:rFonts w:hint="eastAsia" w:ascii="宋体" w:hAnsi="宋体" w:cs="宋体"/>
          <w:b w:val="0"/>
          <w:bCs w:val="0"/>
          <w:color w:val="000000" w:themeColor="text1"/>
          <w:szCs w:val="21"/>
          <w:highlight w:val="none"/>
          <w:lang w:val="en-US" w:eastAsia="zh-CN"/>
          <w14:textFill>
            <w14:solidFill>
              <w14:schemeClr w14:val="tx1"/>
            </w14:solidFill>
          </w14:textFill>
        </w:rPr>
        <w:t>工作，</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具体要求详见磋商文件。</w:t>
      </w:r>
    </w:p>
    <w:p w14:paraId="4C9CBAD5">
      <w:pPr>
        <w:pageBreakBefore w:val="0"/>
        <w:kinsoku/>
        <w:overflowPunct/>
        <w:topLinePunct w:val="0"/>
        <w:bidi w:val="0"/>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本项目接受联合体投标：</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sym w:font="Wingdings" w:char="00A8"/>
      </w:r>
      <w:r>
        <w:rPr>
          <w:rFonts w:hint="eastAsia" w:ascii="宋体" w:hAnsi="宋体" w:eastAsia="宋体" w:cs="宋体"/>
          <w:b/>
          <w:color w:val="000000" w:themeColor="text1"/>
          <w:szCs w:val="21"/>
          <w:highlight w:val="none"/>
          <w14:textFill>
            <w14:solidFill>
              <w14:schemeClr w14:val="tx1"/>
            </w14:solidFill>
          </w14:textFill>
        </w:rPr>
        <w:t>是，</w:t>
      </w:r>
      <w:sdt>
        <w:sdtPr>
          <w:rPr>
            <w:rFonts w:hint="eastAsia" w:ascii="宋体" w:hAnsi="宋体" w:eastAsia="宋体" w:cs="宋体"/>
            <w:b/>
            <w:color w:val="000000" w:themeColor="text1"/>
            <w:szCs w:val="21"/>
            <w:highlight w:val="none"/>
            <w14:textFill>
              <w14:solidFill>
                <w14:schemeClr w14:val="tx1"/>
              </w14:solidFill>
            </w14:textFill>
          </w:rPr>
          <w:id w:val="-1765526721"/>
        </w:sdtPr>
        <w:sdtEndPr>
          <w:rPr>
            <w:rFonts w:hint="eastAsia" w:ascii="宋体" w:hAnsi="宋体" w:eastAsia="宋体" w:cs="宋体"/>
            <w:b/>
            <w:color w:val="000000" w:themeColor="text1"/>
            <w:szCs w:val="21"/>
            <w:highlight w:val="none"/>
            <w14:textFill>
              <w14:solidFill>
                <w14:schemeClr w14:val="tx1"/>
              </w14:solidFill>
            </w14:textFill>
          </w:rPr>
        </w:sdtEndPr>
        <w:sdtContent>
          <w:sdt>
            <w:sdtPr>
              <w:rPr>
                <w:rFonts w:hint="eastAsia" w:ascii="宋体" w:hAnsi="宋体" w:eastAsia="宋体" w:cs="宋体"/>
                <w:b/>
                <w:color w:val="000000" w:themeColor="text1"/>
                <w:szCs w:val="21"/>
                <w:highlight w:val="none"/>
                <w14:textFill>
                  <w14:solidFill>
                    <w14:schemeClr w14:val="tx1"/>
                  </w14:solidFill>
                </w14:textFill>
              </w:rPr>
              <w:id w:val="2035453831"/>
            </w:sdtPr>
            <w:sdtEndPr>
              <w:rPr>
                <w:rFonts w:hint="eastAsia" w:ascii="宋体" w:hAnsi="宋体" w:eastAsia="宋体" w:cs="宋体"/>
                <w:b/>
                <w:color w:val="000000" w:themeColor="text1"/>
                <w:szCs w:val="21"/>
                <w:highlight w:val="none"/>
                <w14:textFill>
                  <w14:solidFill>
                    <w14:schemeClr w14:val="tx1"/>
                  </w14:solidFill>
                </w14:textFill>
              </w:rPr>
            </w:sdtEndPr>
            <w:sdtContent>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sym w:font="Wingdings" w:char="00FE"/>
              </w:r>
            </w:sdtContent>
          </w:sdt>
        </w:sdtContent>
      </w:sdt>
      <w:r>
        <w:rPr>
          <w:rFonts w:hint="eastAsia" w:ascii="宋体" w:hAnsi="宋体" w:eastAsia="宋体" w:cs="宋体"/>
          <w:b/>
          <w:color w:val="000000" w:themeColor="text1"/>
          <w:szCs w:val="21"/>
          <w:highlight w:val="none"/>
          <w14:textFill>
            <w14:solidFill>
              <w14:schemeClr w14:val="tx1"/>
            </w14:solidFill>
          </w14:textFill>
        </w:rPr>
        <w:t>否。</w:t>
      </w:r>
    </w:p>
    <w:p w14:paraId="4D63131F">
      <w:pPr>
        <w:pageBreakBefore w:val="0"/>
        <w:kinsoku/>
        <w:overflowPunct/>
        <w:topLinePunct w:val="0"/>
        <w:bidi w:val="0"/>
        <w:spacing w:line="360" w:lineRule="auto"/>
        <w:rPr>
          <w:rFonts w:hint="eastAsia" w:ascii="宋体" w:hAnsi="宋体" w:eastAsia="宋体" w:cs="宋体"/>
          <w:b/>
          <w:bCs/>
          <w:color w:val="000000" w:themeColor="text1"/>
          <w:szCs w:val="21"/>
          <w:highlight w:val="none"/>
          <w14:textFill>
            <w14:solidFill>
              <w14:schemeClr w14:val="tx1"/>
            </w14:solidFill>
          </w14:textFill>
        </w:rPr>
      </w:pPr>
      <w:bookmarkStart w:id="15" w:name="_Toc28359013"/>
      <w:bookmarkStart w:id="16" w:name="_Toc35393630"/>
      <w:bookmarkStart w:id="17" w:name="_Toc35393799"/>
      <w:bookmarkStart w:id="18" w:name="_Toc28359090"/>
      <w:r>
        <w:rPr>
          <w:rFonts w:hint="eastAsia" w:ascii="宋体" w:hAnsi="宋体" w:eastAsia="宋体" w:cs="宋体"/>
          <w:b/>
          <w:bCs/>
          <w:color w:val="000000" w:themeColor="text1"/>
          <w:szCs w:val="21"/>
          <w:highlight w:val="none"/>
          <w14:textFill>
            <w14:solidFill>
              <w14:schemeClr w14:val="tx1"/>
            </w14:solidFill>
          </w14:textFill>
        </w:rPr>
        <w:t>二、申请人的资格要求：</w:t>
      </w:r>
      <w:bookmarkEnd w:id="15"/>
      <w:bookmarkEnd w:id="16"/>
      <w:bookmarkEnd w:id="17"/>
      <w:bookmarkEnd w:id="18"/>
    </w:p>
    <w:p w14:paraId="217B49D8">
      <w:pPr>
        <w:pageBreakBefore w:val="0"/>
        <w:kinsoku/>
        <w:overflowPunct/>
        <w:topLinePunct w:val="0"/>
        <w:bidi w:val="0"/>
        <w:spacing w:line="360" w:lineRule="auto"/>
        <w:ind w:firstLine="480"/>
        <w:rPr>
          <w:rFonts w:hint="eastAsia" w:ascii="宋体" w:hAnsi="宋体" w:eastAsia="宋体" w:cs="宋体"/>
          <w:snapToGrid w:val="0"/>
          <w:color w:val="000000" w:themeColor="text1"/>
          <w:kern w:val="28"/>
          <w:szCs w:val="21"/>
          <w:highlight w:val="none"/>
          <w14:textFill>
            <w14:solidFill>
              <w14:schemeClr w14:val="tx1"/>
            </w14:solidFill>
          </w14:textFill>
        </w:rPr>
      </w:pPr>
      <w:r>
        <w:rPr>
          <w:rFonts w:hint="eastAsia" w:ascii="宋体" w:hAnsi="宋体" w:eastAsia="宋体" w:cs="宋体"/>
          <w:snapToGrid w:val="0"/>
          <w:color w:val="000000" w:themeColor="text1"/>
          <w:kern w:val="28"/>
          <w:szCs w:val="21"/>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2B09FD9D">
      <w:pPr>
        <w:pageBreakBefore w:val="0"/>
        <w:kinsoku/>
        <w:overflowPunct/>
        <w:topLinePunct w:val="0"/>
        <w:bidi w:val="0"/>
        <w:spacing w:line="360" w:lineRule="auto"/>
        <w:ind w:firstLine="480"/>
        <w:rPr>
          <w:rFonts w:hint="default" w:ascii="宋体" w:hAnsi="宋体" w:eastAsia="宋体" w:cs="宋体"/>
          <w:b/>
          <w:bCs/>
          <w:snapToGrid w:val="0"/>
          <w:color w:val="000000" w:themeColor="text1"/>
          <w:kern w:val="28"/>
          <w:szCs w:val="21"/>
          <w:highlight w:val="none"/>
          <w:u w:val="single"/>
          <w:lang w:val="en-US" w:eastAsia="zh-CN"/>
          <w14:textFill>
            <w14:solidFill>
              <w14:schemeClr w14:val="tx1"/>
            </w14:solidFill>
          </w14:textFill>
        </w:rPr>
      </w:pPr>
      <w:r>
        <w:rPr>
          <w:rFonts w:hint="eastAsia" w:ascii="宋体" w:hAnsi="宋体" w:eastAsia="宋体" w:cs="宋体"/>
          <w:b/>
          <w:bCs/>
          <w:snapToGrid w:val="0"/>
          <w:color w:val="000000" w:themeColor="text1"/>
          <w:kern w:val="28"/>
          <w:szCs w:val="21"/>
          <w:highlight w:val="none"/>
          <w:u w:val="none"/>
          <w:lang w:val="en-US" w:eastAsia="zh-CN"/>
          <w14:textFill>
            <w14:solidFill>
              <w14:schemeClr w14:val="tx1"/>
            </w14:solidFill>
          </w14:textFill>
        </w:rPr>
        <w:t>2.本项目允许</w:t>
      </w:r>
      <w:r>
        <w:rPr>
          <w:rFonts w:hint="eastAsia" w:ascii="宋体" w:hAnsi="宋体" w:eastAsia="宋体" w:cs="宋体"/>
          <w:b/>
          <w:bCs/>
          <w:snapToGrid w:val="0"/>
          <w:color w:val="000000" w:themeColor="text1"/>
          <w:kern w:val="28"/>
          <w:szCs w:val="21"/>
          <w:highlight w:val="none"/>
          <w:u w:val="none"/>
          <w14:textFill>
            <w14:solidFill>
              <w14:schemeClr w14:val="tx1"/>
            </w14:solidFill>
          </w14:textFill>
        </w:rPr>
        <w:t>民办非企业单位</w:t>
      </w:r>
      <w:r>
        <w:rPr>
          <w:rFonts w:hint="eastAsia" w:ascii="宋体" w:hAnsi="宋体" w:eastAsia="宋体" w:cs="宋体"/>
          <w:b/>
          <w:bCs/>
          <w:snapToGrid w:val="0"/>
          <w:color w:val="000000" w:themeColor="text1"/>
          <w:kern w:val="28"/>
          <w:szCs w:val="21"/>
          <w:highlight w:val="none"/>
          <w:u w:val="none"/>
          <w:lang w:val="en-US" w:eastAsia="zh-CN"/>
          <w14:textFill>
            <w14:solidFill>
              <w14:schemeClr w14:val="tx1"/>
            </w14:solidFill>
          </w14:textFill>
        </w:rPr>
        <w:t>投标。(提供民办非企业登记证书）</w:t>
      </w:r>
    </w:p>
    <w:p w14:paraId="54574EF8">
      <w:pPr>
        <w:pageBreakBefore w:val="0"/>
        <w:kinsoku/>
        <w:overflowPunct/>
        <w:topLinePunct w:val="0"/>
        <w:bidi w:val="0"/>
        <w:spacing w:line="360" w:lineRule="auto"/>
        <w:ind w:firstLine="422" w:firstLineChars="200"/>
        <w:rPr>
          <w:rFonts w:hint="eastAsia" w:ascii="宋体" w:hAnsi="宋体" w:eastAsia="宋体" w:cs="宋体"/>
          <w:b/>
          <w:bCs/>
          <w:snapToGrid w:val="0"/>
          <w:color w:val="000000" w:themeColor="text1"/>
          <w:kern w:val="28"/>
          <w:szCs w:val="21"/>
          <w:highlight w:val="none"/>
          <w:lang w:val="en-US" w:eastAsia="zh-CN"/>
          <w14:textFill>
            <w14:solidFill>
              <w14:schemeClr w14:val="tx1"/>
            </w14:solidFill>
          </w14:textFill>
        </w:rPr>
      </w:pPr>
      <w:r>
        <w:rPr>
          <w:rFonts w:hint="eastAsia" w:ascii="宋体" w:hAnsi="宋体" w:cs="宋体"/>
          <w:b/>
          <w:bCs/>
          <w:snapToGrid w:val="0"/>
          <w:color w:val="000000" w:themeColor="text1"/>
          <w:kern w:val="28"/>
          <w:szCs w:val="21"/>
          <w:highlight w:val="none"/>
          <w:lang w:val="en-US" w:eastAsia="zh-CN"/>
          <w14:textFill>
            <w14:solidFill>
              <w14:schemeClr w14:val="tx1"/>
            </w14:solidFill>
          </w14:textFill>
        </w:rPr>
        <w:t>3</w:t>
      </w:r>
      <w:r>
        <w:rPr>
          <w:rFonts w:hint="eastAsia" w:ascii="宋体" w:hAnsi="宋体" w:eastAsia="宋体" w:cs="宋体"/>
          <w:b/>
          <w:bCs/>
          <w:snapToGrid w:val="0"/>
          <w:color w:val="000000" w:themeColor="text1"/>
          <w:kern w:val="28"/>
          <w:szCs w:val="21"/>
          <w:highlight w:val="none"/>
          <w14:textFill>
            <w14:solidFill>
              <w14:schemeClr w14:val="tx1"/>
            </w14:solidFill>
          </w14:textFill>
        </w:rPr>
        <w:t>.落实政府采购政策需满足的资格要求：</w:t>
      </w:r>
      <w:r>
        <w:rPr>
          <w:rFonts w:hint="eastAsia" w:ascii="宋体" w:hAnsi="宋体" w:cs="宋体"/>
          <w:b/>
          <w:bCs/>
          <w:snapToGrid w:val="0"/>
          <w:color w:val="000000" w:themeColor="text1"/>
          <w:kern w:val="28"/>
          <w:szCs w:val="21"/>
          <w:highlight w:val="none"/>
          <w:u w:val="none"/>
          <w:lang w:val="en-US" w:eastAsia="zh-CN"/>
          <w14:textFill>
            <w14:solidFill>
              <w14:schemeClr w14:val="tx1"/>
            </w14:solidFill>
          </w14:textFill>
        </w:rPr>
        <w:t>否</w:t>
      </w:r>
      <w:r>
        <w:rPr>
          <w:rFonts w:hint="eastAsia" w:ascii="宋体" w:hAnsi="宋体" w:eastAsia="宋体" w:cs="宋体"/>
          <w:b/>
          <w:bCs/>
          <w:snapToGrid w:val="0"/>
          <w:color w:val="000000" w:themeColor="text1"/>
          <w:kern w:val="28"/>
          <w:szCs w:val="21"/>
          <w:highlight w:val="none"/>
          <w:u w:val="none"/>
          <w:lang w:val="en-US" w:eastAsia="zh-CN"/>
          <w14:textFill>
            <w14:solidFill>
              <w14:schemeClr w14:val="tx1"/>
            </w14:solidFill>
          </w14:textFill>
        </w:rPr>
        <w:t>。</w:t>
      </w:r>
    </w:p>
    <w:sdt>
      <w:sdtPr>
        <w:rPr>
          <w:rFonts w:hint="default" w:ascii="宋体" w:hAnsi="宋体" w:eastAsia="宋体" w:cs="宋体"/>
          <w:b/>
          <w:bCs/>
          <w:color w:val="000000" w:themeColor="text1"/>
          <w:kern w:val="0"/>
          <w:szCs w:val="21"/>
          <w:highlight w:val="none"/>
          <w:lang w:val="en-US"/>
          <w14:textFill>
            <w14:solidFill>
              <w14:schemeClr w14:val="tx1"/>
            </w14:solidFill>
          </w14:textFill>
        </w:rPr>
        <w:id w:val="1928616923"/>
      </w:sdtPr>
      <w:sdtEndPr>
        <w:rPr>
          <w:rFonts w:hint="eastAsia" w:ascii="宋体" w:hAnsi="宋体" w:eastAsia="宋体" w:cs="宋体"/>
          <w:b/>
          <w:bCs/>
          <w:color w:val="000000" w:themeColor="text1"/>
          <w:kern w:val="0"/>
          <w:szCs w:val="21"/>
          <w:highlight w:val="none"/>
          <w:lang w:val="en-US"/>
          <w14:textFill>
            <w14:solidFill>
              <w14:schemeClr w14:val="tx1"/>
            </w14:solidFill>
          </w14:textFill>
        </w:rPr>
      </w:sdtEndPr>
      <w:sdtContent>
        <w:p w14:paraId="6E9406B9">
          <w:pPr>
            <w:pageBreakBefore w:val="0"/>
            <w:kinsoku/>
            <w:overflowPunct/>
            <w:topLinePunct w:val="0"/>
            <w:bidi w:val="0"/>
            <w:spacing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
              <w:bCs/>
              <w:color w:val="000000" w:themeColor="text1"/>
              <w:szCs w:val="21"/>
              <w:highlight w:val="none"/>
              <w14:textFill>
                <w14:solidFill>
                  <w14:schemeClr w14:val="tx1"/>
                </w14:solidFill>
              </w14:textFill>
            </w:rPr>
            <w:t>.2</w:t>
          </w:r>
          <w:r>
            <w:rPr>
              <w:rFonts w:hint="eastAsia" w:ascii="宋体" w:hAnsi="宋体" w:eastAsia="宋体" w:cs="宋体"/>
              <w:b/>
              <w:bCs/>
              <w:color w:val="000000" w:themeColor="text1"/>
              <w:kern w:val="0"/>
              <w:szCs w:val="21"/>
              <w:highlight w:val="none"/>
              <w14:textFill>
                <w14:solidFill>
                  <w14:schemeClr w14:val="tx1"/>
                </w14:solidFill>
              </w14:textFill>
            </w:rPr>
            <w:sym w:font="Wingdings" w:char="00A8"/>
          </w:r>
          <w:r>
            <w:rPr>
              <w:rFonts w:hint="eastAsia" w:ascii="宋体" w:hAnsi="宋体" w:eastAsia="宋体" w:cs="宋体"/>
              <w:b/>
              <w:bCs/>
              <w:color w:val="000000" w:themeColor="text1"/>
              <w:kern w:val="0"/>
              <w:szCs w:val="21"/>
              <w:highlight w:val="none"/>
              <w14:textFill>
                <w14:solidFill>
                  <w14:schemeClr w14:val="tx1"/>
                </w14:solidFill>
              </w14:textFill>
            </w:rPr>
            <w:t xml:space="preserve"> </w:t>
          </w:r>
          <w:r>
            <w:rPr>
              <w:rFonts w:hint="eastAsia" w:ascii="宋体" w:hAnsi="宋体" w:eastAsia="宋体" w:cs="宋体"/>
              <w:b/>
              <w:bCs/>
              <w:color w:val="000000" w:themeColor="text1"/>
              <w:szCs w:val="21"/>
              <w:highlight w:val="none"/>
              <w14:textFill>
                <w14:solidFill>
                  <w14:schemeClr w14:val="tx1"/>
                </w14:solidFill>
              </w14:textFill>
            </w:rPr>
            <w:t>需要落实：</w:t>
          </w:r>
        </w:p>
        <w:p w14:paraId="1D2B80CE">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.2.1专门面向中小企业</w:t>
          </w:r>
        </w:p>
        <w:p w14:paraId="039EF132">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sym w:font="Wingdings" w:char="00A8"/>
          </w: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货物全部由符合政策要求的中小企业制造，提供中小企业声明函；</w:t>
          </w:r>
        </w:p>
        <w:p w14:paraId="2D84BD3E">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sym w:font="Wingdings" w:char="00A8"/>
          </w: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货物全部由符合政策要求的小微企业制造，提供中小企业声明函；</w:t>
          </w:r>
        </w:p>
        <w:p w14:paraId="20A60545">
          <w:pPr>
            <w:pageBreakBefore w:val="0"/>
            <w:kinsoku/>
            <w:overflowPunct/>
            <w:topLinePunct w:val="0"/>
            <w:bidi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 xml:space="preserve"> </w:t>
          </w:r>
          <w:r>
            <w:rPr>
              <w:rFonts w:hint="eastAsia" w:ascii="宋体" w:hAnsi="宋体" w:eastAsia="宋体" w:cs="宋体"/>
              <w:b w:val="0"/>
              <w:bCs w:val="0"/>
              <w:color w:val="000000" w:themeColor="text1"/>
              <w:kern w:val="0"/>
              <w:szCs w:val="21"/>
              <w:highlight w:val="none"/>
              <w14:textFill>
                <w14:solidFill>
                  <w14:schemeClr w14:val="tx1"/>
                </w14:solidFill>
              </w14:textFill>
            </w:rPr>
            <w:sym w:font="Wingdings" w:char="00A8"/>
          </w:r>
          <w:r>
            <w:rPr>
              <w:rFonts w:hint="eastAsia" w:ascii="宋体" w:hAnsi="宋体" w:eastAsia="宋体" w:cs="宋体"/>
              <w:b w:val="0"/>
              <w:bCs w:val="0"/>
              <w:color w:val="000000" w:themeColor="text1"/>
              <w:kern w:val="0"/>
              <w:szCs w:val="21"/>
              <w:highlight w:val="none"/>
              <w14:textFill>
                <w14:solidFill>
                  <w14:schemeClr w14:val="tx1"/>
                </w14:solidFill>
              </w14:textFill>
            </w:rPr>
            <w:t xml:space="preserve"> </w:t>
          </w:r>
          <w:r>
            <w:rPr>
              <w:rFonts w:hint="eastAsia" w:ascii="宋体" w:hAnsi="宋体" w:eastAsia="宋体" w:cs="宋体"/>
              <w:b w:val="0"/>
              <w:bCs w:val="0"/>
              <w:color w:val="000000" w:themeColor="text1"/>
              <w:szCs w:val="21"/>
              <w:highlight w:val="none"/>
              <w14:textFill>
                <w14:solidFill>
                  <w14:schemeClr w14:val="tx1"/>
                </w14:solidFill>
              </w14:textFill>
            </w:rPr>
            <w:t xml:space="preserve">服务全部由符合政策要求的中小企业承接，提供中小企业声明函； </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0EB8FF8B">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sym w:font="Wingdings" w:char="00A8"/>
          </w: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服务全部由符合政策要求的小微企业承接，提供中小企业声明函；</w:t>
          </w:r>
        </w:p>
        <w:p w14:paraId="77EC1010">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.2.2</w:t>
          </w:r>
          <w:r>
            <w:rPr>
              <w:rFonts w:hint="eastAsia" w:ascii="宋体" w:hAnsi="宋体" w:eastAsia="宋体" w:cs="宋体"/>
              <w:color w:val="000000" w:themeColor="text1"/>
              <w:kern w:val="0"/>
              <w:szCs w:val="21"/>
              <w:highlight w:val="none"/>
              <w14:textFill>
                <w14:solidFill>
                  <w14:schemeClr w14:val="tx1"/>
                </w14:solidFill>
              </w14:textFill>
            </w:rPr>
            <w:sym w:font="Wingdings" w:char="00A8"/>
          </w: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%（不得低于40%），其中小微企业合同金额应当达到</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%（不得低于70%）;如果供应商本身提供所有标的均由中小企业制造、承建或承接，视同符合了资格条件，无需再与其他中小企业组成联合体参加政府采购活动，无需提供联合协议；</w:t>
          </w:r>
        </w:p>
        <w:p w14:paraId="04261D62">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.2.3</w:t>
          </w:r>
          <w:r>
            <w:rPr>
              <w:rFonts w:hint="eastAsia" w:ascii="宋体" w:hAnsi="宋体" w:eastAsia="宋体" w:cs="宋体"/>
              <w:color w:val="000000" w:themeColor="text1"/>
              <w:szCs w:val="21"/>
              <w:highlight w:val="none"/>
              <w14:textFill>
                <w14:solidFill>
                  <w14:schemeClr w14:val="tx1"/>
                </w14:solidFill>
              </w14:textFill>
            </w:rPr>
            <w:sym w:font="Wingdings" w:char="00A8"/>
          </w:r>
          <w:r>
            <w:rPr>
              <w:rFonts w:hint="eastAsia" w:ascii="宋体" w:hAnsi="宋体" w:eastAsia="宋体" w:cs="宋体"/>
              <w:color w:val="000000" w:themeColor="text1"/>
              <w:szCs w:val="21"/>
              <w:highlight w:val="none"/>
              <w14:textFill>
                <w14:solidFill>
                  <w14:schemeClr w14:val="tx1"/>
                </w14:solidFill>
              </w14:textFill>
            </w:rPr>
            <w:t>要求合同分包，提供分包意向协议和中小企业声明函，分包意向协议中中小企业合同金额应当达到</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（不得低于40%），其中小微企业合同金额应当达到</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（不得低于70%）</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如果供应商本身提供所有标的均由中小企业制造、承建或承接，视同符合了资格条件，无需再向中小企业分包，无需提供分包意向协议；</w:t>
          </w:r>
        </w:p>
        <w:p w14:paraId="4BDD0585">
          <w:pPr>
            <w:pageBreakBefore w:val="0"/>
            <w:kinsoku/>
            <w:overflowPunct/>
            <w:topLinePunct w:val="0"/>
            <w:bidi w:val="0"/>
            <w:spacing w:line="360" w:lineRule="auto"/>
            <w:ind w:firstLine="422" w:firstLineChars="200"/>
            <w:rPr>
              <w:rFonts w:hint="eastAsia" w:ascii="宋体" w:hAnsi="宋体" w:eastAsia="宋体" w:cs="宋体"/>
              <w:color w:val="000000" w:themeColor="text1"/>
              <w:szCs w:val="21"/>
              <w:highlight w:val="none"/>
              <w14:textFill>
                <w14:solidFill>
                  <w14:schemeClr w14:val="tx1"/>
                </w14:solidFill>
              </w14:textFill>
            </w:rPr>
          </w:pPr>
        </w:p>
      </w:sdtContent>
    </w:sdt>
    <w:p w14:paraId="2D9F5F35">
      <w:pPr>
        <w:pageBreakBefore w:val="0"/>
        <w:kinsoku/>
        <w:overflowPunct/>
        <w:topLinePunct w:val="0"/>
        <w:bidi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4D6163D">
      <w:pPr>
        <w:pageBreakBefore w:val="0"/>
        <w:kinsoku/>
        <w:overflowPunct/>
        <w:topLinePunct w:val="0"/>
        <w:bidi w:val="0"/>
        <w:spacing w:line="360" w:lineRule="auto"/>
        <w:rPr>
          <w:rFonts w:hint="eastAsia" w:ascii="宋体" w:hAnsi="宋体" w:eastAsia="宋体" w:cs="宋体"/>
          <w:b/>
          <w:bCs/>
          <w:color w:val="000000" w:themeColor="text1"/>
          <w:szCs w:val="21"/>
          <w:highlight w:val="none"/>
          <w14:textFill>
            <w14:solidFill>
              <w14:schemeClr w14:val="tx1"/>
            </w14:solidFill>
          </w14:textFill>
        </w:rPr>
      </w:pPr>
      <w:bookmarkStart w:id="19" w:name="_Toc35393800"/>
      <w:bookmarkStart w:id="20" w:name="_Toc35393631"/>
      <w:bookmarkStart w:id="21" w:name="_Toc28359091"/>
      <w:bookmarkStart w:id="22" w:name="_Toc28359014"/>
      <w:r>
        <w:rPr>
          <w:rFonts w:hint="eastAsia" w:ascii="宋体" w:hAnsi="宋体" w:eastAsia="宋体" w:cs="宋体"/>
          <w:b/>
          <w:bCs/>
          <w:color w:val="000000" w:themeColor="text1"/>
          <w:szCs w:val="21"/>
          <w:highlight w:val="none"/>
          <w14:textFill>
            <w14:solidFill>
              <w14:schemeClr w14:val="tx1"/>
            </w14:solidFill>
          </w14:textFill>
        </w:rPr>
        <w:t>三、获取（下载）采购文件</w:t>
      </w:r>
      <w:bookmarkEnd w:id="19"/>
      <w:bookmarkEnd w:id="20"/>
      <w:bookmarkEnd w:id="21"/>
      <w:bookmarkEnd w:id="22"/>
    </w:p>
    <w:p w14:paraId="60AA0CBD">
      <w:pPr>
        <w:pageBreakBefore w:val="0"/>
        <w:kinsoku/>
        <w:overflowPunct/>
        <w:topLinePunct w:val="0"/>
        <w:bidi w:val="0"/>
        <w:spacing w:line="360" w:lineRule="auto"/>
        <w:ind w:firstLine="54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时间：</w:t>
      </w:r>
      <w:r>
        <w:rPr>
          <w:rFonts w:hint="eastAsia" w:ascii="宋体" w:hAnsi="宋体" w:eastAsia="宋体" w:cs="宋体"/>
          <w:b/>
          <w:bCs/>
          <w:color w:val="000000" w:themeColor="text1"/>
          <w:szCs w:val="21"/>
          <w:highlight w:val="none"/>
          <w:u w:val="single"/>
          <w14:textFill>
            <w14:solidFill>
              <w14:schemeClr w14:val="tx1"/>
            </w14:solidFill>
          </w14:textFill>
        </w:rPr>
        <w:t xml:space="preserve"> </w:t>
      </w:r>
      <w:r>
        <w:rPr>
          <w:rFonts w:hint="eastAsia" w:ascii="宋体" w:hAnsi="宋体" w:cs="宋体"/>
          <w:b/>
          <w:bCs/>
          <w:color w:val="000000" w:themeColor="text1"/>
          <w:szCs w:val="21"/>
          <w:highlight w:val="none"/>
          <w:u w:val="single"/>
          <w:lang w:eastAsia="zh-CN"/>
          <w14:textFill>
            <w14:solidFill>
              <w14:schemeClr w14:val="tx1"/>
            </w14:solidFill>
          </w14:textFill>
        </w:rPr>
        <w:t>2025年</w:t>
      </w:r>
      <w:r>
        <w:rPr>
          <w:rFonts w:hint="eastAsia" w:ascii="宋体" w:hAnsi="宋体" w:cs="宋体"/>
          <w:b/>
          <w:bCs/>
          <w:color w:val="000000" w:themeColor="text1"/>
          <w:szCs w:val="21"/>
          <w:highlight w:val="none"/>
          <w:u w:val="single"/>
          <w:lang w:val="en-US" w:eastAsia="zh-CN"/>
          <w14:textFill>
            <w14:solidFill>
              <w14:schemeClr w14:val="tx1"/>
            </w14:solidFill>
          </w14:textFill>
        </w:rPr>
        <w:t>07</w:t>
      </w:r>
      <w:r>
        <w:rPr>
          <w:rFonts w:hint="eastAsia" w:ascii="宋体" w:hAnsi="宋体" w:eastAsia="宋体" w:cs="宋体"/>
          <w:b/>
          <w:bCs/>
          <w:color w:val="000000" w:themeColor="text1"/>
          <w:szCs w:val="21"/>
          <w:highlight w:val="none"/>
          <w:u w:val="single"/>
          <w14:textFill>
            <w14:solidFill>
              <w14:schemeClr w14:val="tx1"/>
            </w14:solidFill>
          </w14:textFill>
        </w:rPr>
        <w:t>月</w:t>
      </w:r>
      <w:r>
        <w:rPr>
          <w:rFonts w:hint="eastAsia" w:ascii="宋体" w:hAnsi="宋体" w:cs="宋体"/>
          <w:b/>
          <w:bCs/>
          <w:color w:val="000000" w:themeColor="text1"/>
          <w:szCs w:val="21"/>
          <w:highlight w:val="none"/>
          <w:u w:val="single"/>
          <w:lang w:val="en-US" w:eastAsia="zh-CN"/>
          <w14:textFill>
            <w14:solidFill>
              <w14:schemeClr w14:val="tx1"/>
            </w14:solidFill>
          </w14:textFill>
        </w:rPr>
        <w:t>18</w:t>
      </w:r>
      <w:r>
        <w:rPr>
          <w:rFonts w:hint="eastAsia" w:ascii="宋体" w:hAnsi="宋体" w:eastAsia="宋体" w:cs="宋体"/>
          <w:b/>
          <w:bCs/>
          <w:color w:val="000000" w:themeColor="text1"/>
          <w:szCs w:val="21"/>
          <w:highlight w:val="none"/>
          <w:u w:val="single"/>
          <w14:textFill>
            <w14:solidFill>
              <w14:schemeClr w14:val="tx1"/>
            </w14:solidFill>
          </w14:textFill>
        </w:rPr>
        <w:t>日</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14</w:t>
      </w:r>
      <w:r>
        <w:rPr>
          <w:rFonts w:hint="eastAsia" w:ascii="宋体" w:hAnsi="宋体" w:eastAsia="宋体" w:cs="宋体"/>
          <w:b/>
          <w:bCs/>
          <w:color w:val="000000" w:themeColor="text1"/>
          <w:szCs w:val="21"/>
          <w:highlight w:val="none"/>
          <w:u w:val="single"/>
          <w14:textFill>
            <w14:solidFill>
              <w14:schemeClr w14:val="tx1"/>
            </w14:solidFill>
          </w14:textFill>
        </w:rPr>
        <w:t>点</w:t>
      </w:r>
      <w:r>
        <w:rPr>
          <w:rFonts w:hint="eastAsia" w:ascii="宋体" w:hAnsi="宋体" w:cs="宋体"/>
          <w:b/>
          <w:bCs/>
          <w:color w:val="000000" w:themeColor="text1"/>
          <w:szCs w:val="21"/>
          <w:highlight w:val="none"/>
          <w:u w:val="single"/>
          <w:lang w:val="en-US" w:eastAsia="zh-CN"/>
          <w14:textFill>
            <w14:solidFill>
              <w14:schemeClr w14:val="tx1"/>
            </w14:solidFill>
          </w14:textFill>
        </w:rPr>
        <w:t>30</w:t>
      </w:r>
      <w:r>
        <w:rPr>
          <w:rFonts w:hint="eastAsia" w:ascii="宋体" w:hAnsi="宋体" w:eastAsia="宋体" w:cs="宋体"/>
          <w:b/>
          <w:bCs/>
          <w:color w:val="000000" w:themeColor="text1"/>
          <w:szCs w:val="21"/>
          <w:highlight w:val="none"/>
          <w:u w:val="single"/>
          <w14:textFill>
            <w14:solidFill>
              <w14:schemeClr w14:val="tx1"/>
            </w14:solidFill>
          </w14:textFill>
        </w:rPr>
        <w:t>分00秒</w:t>
      </w:r>
      <w:r>
        <w:rPr>
          <w:rFonts w:hint="eastAsia" w:ascii="宋体" w:hAnsi="宋体" w:eastAsia="宋体" w:cs="宋体"/>
          <w:b/>
          <w:bCs/>
          <w:color w:val="000000" w:themeColor="text1"/>
          <w:szCs w:val="21"/>
          <w:highlight w:val="none"/>
          <w14:textFill>
            <w14:solidFill>
              <w14:schemeClr w14:val="tx1"/>
            </w14:solidFill>
          </w14:textFill>
        </w:rPr>
        <w:t>前</w:t>
      </w:r>
      <w:r>
        <w:rPr>
          <w:rFonts w:hint="eastAsia" w:ascii="宋体" w:hAnsi="宋体" w:eastAsia="宋体" w:cs="宋体"/>
          <w:color w:val="000000" w:themeColor="text1"/>
          <w:szCs w:val="21"/>
          <w:highlight w:val="none"/>
          <w14:textFill>
            <w14:solidFill>
              <w14:schemeClr w14:val="tx1"/>
            </w14:solidFill>
          </w14:textFill>
        </w:rPr>
        <w:t>（北京时间，线上获取法定节假日均可，线下获取文件法定节假日除外）；</w:t>
      </w:r>
    </w:p>
    <w:p w14:paraId="490AD7D7">
      <w:pPr>
        <w:pageBreakBefore w:val="0"/>
        <w:kinsoku/>
        <w:overflowPunct/>
        <w:topLinePunct w:val="0"/>
        <w:bidi w:val="0"/>
        <w:spacing w:line="360" w:lineRule="auto"/>
        <w:ind w:firstLine="54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地点（网址）：政采云平台（</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"https://www.zcygov.cn/"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70"/>
          <w:rFonts w:hint="eastAsia" w:ascii="宋体" w:hAnsi="宋体" w:eastAsia="宋体" w:cs="宋体"/>
          <w:b/>
          <w:color w:val="000000" w:themeColor="text1"/>
          <w:sz w:val="21"/>
          <w:szCs w:val="21"/>
          <w:highlight w:val="none"/>
          <w14:textFill>
            <w14:solidFill>
              <w14:schemeClr w14:val="tx1"/>
            </w14:solidFill>
          </w14:textFill>
        </w:rPr>
        <w:t>https://www.zcygov.cn/</w:t>
      </w:r>
      <w:r>
        <w:rPr>
          <w:rStyle w:val="70"/>
          <w:rFonts w:hint="eastAsia" w:ascii="宋体" w:hAnsi="宋体" w:eastAsia="宋体" w:cs="宋体"/>
          <w:b/>
          <w:color w:val="000000" w:themeColor="text1"/>
          <w:sz w:val="21"/>
          <w:szCs w:val="21"/>
          <w:highlight w:val="none"/>
          <w14:textFill>
            <w14:solidFill>
              <w14:schemeClr w14:val="tx1"/>
            </w14:solidFill>
          </w14:textFill>
        </w:rPr>
        <w:fldChar w:fldCharType="end"/>
      </w:r>
      <w:r>
        <w:rPr>
          <w:rFonts w:hint="eastAsia" w:ascii="宋体" w:hAnsi="宋体" w:eastAsia="宋体" w:cs="宋体"/>
          <w:b/>
          <w:color w:val="000000" w:themeColor="text1"/>
          <w:szCs w:val="21"/>
          <w:highlight w:val="none"/>
          <w14:textFill>
            <w14:solidFill>
              <w14:schemeClr w14:val="tx1"/>
            </w14:solidFill>
          </w14:textFill>
        </w:rPr>
        <w:t>）</w:t>
      </w:r>
    </w:p>
    <w:p w14:paraId="19865BAF">
      <w:pPr>
        <w:pageBreakBefore w:val="0"/>
        <w:kinsoku/>
        <w:overflowPunct/>
        <w:topLinePunct w:val="0"/>
        <w:bidi w:val="0"/>
        <w:spacing w:line="360" w:lineRule="auto"/>
        <w:ind w:firstLine="54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方式：</w:t>
      </w:r>
      <w:r>
        <w:rPr>
          <w:rFonts w:hint="eastAsia" w:ascii="宋体" w:hAnsi="宋体" w:eastAsia="宋体" w:cs="宋体"/>
          <w:color w:val="000000" w:themeColor="text1"/>
          <w:szCs w:val="21"/>
          <w:highlight w:val="none"/>
          <w14:textFill>
            <w14:solidFill>
              <w14:schemeClr w14:val="tx1"/>
            </w14:solidFill>
          </w14:textFill>
        </w:rPr>
        <w:t>供应商登录政采云平台https://www.zcygov.cn/在线申请获取采购文件（进入“项目采购”应用，在获取采购文件菜单中选择项目，申请获取采购文件）。</w:t>
      </w:r>
    </w:p>
    <w:p w14:paraId="3A507763">
      <w:pPr>
        <w:pageBreakBefore w:val="0"/>
        <w:kinsoku/>
        <w:overflowPunct/>
        <w:topLinePunct w:val="0"/>
        <w:bidi w:val="0"/>
        <w:spacing w:line="360" w:lineRule="auto"/>
        <w:ind w:firstLine="54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售价：</w:t>
      </w:r>
      <w:r>
        <w:rPr>
          <w:rFonts w:hint="eastAsia" w:ascii="宋体" w:hAnsi="宋体" w:eastAsia="宋体" w:cs="宋体"/>
          <w:color w:val="000000" w:themeColor="text1"/>
          <w:szCs w:val="21"/>
          <w:highlight w:val="none"/>
          <w14:textFill>
            <w14:solidFill>
              <w14:schemeClr w14:val="tx1"/>
            </w14:solidFill>
          </w14:textFill>
        </w:rPr>
        <w:t>免费。</w:t>
      </w:r>
    </w:p>
    <w:p w14:paraId="1286BC8B">
      <w:pPr>
        <w:pStyle w:val="5"/>
        <w:pageBreakBefore w:val="0"/>
        <w:numPr>
          <w:ilvl w:val="0"/>
          <w:numId w:val="0"/>
        </w:numPr>
        <w:kinsoku/>
        <w:overflowPunct/>
        <w:topLinePunct w:val="0"/>
        <w:bidi w:val="0"/>
        <w:spacing w:line="360" w:lineRule="auto"/>
        <w:ind w:left="432" w:hanging="432"/>
        <w:rPr>
          <w:rFonts w:hint="eastAsia" w:ascii="宋体" w:hAnsi="宋体" w:eastAsia="宋体" w:cs="宋体"/>
          <w:b/>
          <w:bCs/>
          <w:color w:val="000000" w:themeColor="text1"/>
          <w:sz w:val="21"/>
          <w:szCs w:val="21"/>
          <w:highlight w:val="none"/>
          <w14:textFill>
            <w14:solidFill>
              <w14:schemeClr w14:val="tx1"/>
            </w14:solidFill>
          </w14:textFill>
        </w:rPr>
      </w:pPr>
      <w:bookmarkStart w:id="23" w:name="_Toc35393632"/>
      <w:bookmarkStart w:id="24" w:name="_Toc35393801"/>
      <w:bookmarkStart w:id="25" w:name="_Toc28359092"/>
      <w:bookmarkStart w:id="26" w:name="_Toc28359015"/>
      <w:r>
        <w:rPr>
          <w:rFonts w:hint="eastAsia" w:ascii="宋体" w:hAnsi="宋体" w:eastAsia="宋体" w:cs="宋体"/>
          <w:b/>
          <w:bCs/>
          <w:color w:val="000000" w:themeColor="text1"/>
          <w:sz w:val="21"/>
          <w:szCs w:val="21"/>
          <w:highlight w:val="none"/>
          <w14:textFill>
            <w14:solidFill>
              <w14:schemeClr w14:val="tx1"/>
            </w14:solidFill>
          </w14:textFill>
        </w:rPr>
        <w:t>四、响应文件提交</w:t>
      </w:r>
      <w:bookmarkEnd w:id="23"/>
      <w:bookmarkEnd w:id="24"/>
      <w:bookmarkEnd w:id="25"/>
      <w:bookmarkEnd w:id="26"/>
      <w:r>
        <w:rPr>
          <w:rFonts w:hint="eastAsia" w:ascii="宋体" w:hAnsi="宋体" w:eastAsia="宋体" w:cs="宋体"/>
          <w:b/>
          <w:bCs/>
          <w:color w:val="000000" w:themeColor="text1"/>
          <w:sz w:val="21"/>
          <w:szCs w:val="21"/>
          <w:highlight w:val="none"/>
          <w14:textFill>
            <w14:solidFill>
              <w14:schemeClr w14:val="tx1"/>
            </w14:solidFill>
          </w14:textFill>
        </w:rPr>
        <w:t>（上传）</w:t>
      </w:r>
    </w:p>
    <w:p w14:paraId="27D0CD86">
      <w:pPr>
        <w:pageBreakBefore w:val="0"/>
        <w:kinsoku/>
        <w:overflowPunct/>
        <w:topLinePunct w:val="0"/>
        <w:bidi w:val="0"/>
        <w:spacing w:line="360" w:lineRule="auto"/>
        <w:ind w:firstLine="422" w:firstLineChars="200"/>
        <w:rPr>
          <w:rFonts w:hint="eastAsia" w:ascii="宋体" w:hAnsi="宋体" w:eastAsia="宋体" w:cs="宋体"/>
          <w:b/>
          <w:bCs/>
          <w:color w:val="000000" w:themeColor="text1"/>
          <w:szCs w:val="21"/>
          <w:highlight w:val="none"/>
          <w:u w:val="singl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截止时间：</w:t>
      </w:r>
      <w:r>
        <w:rPr>
          <w:rFonts w:hint="eastAsia" w:ascii="宋体" w:hAnsi="宋体" w:eastAsia="宋体" w:cs="宋体"/>
          <w:b/>
          <w:bCs/>
          <w:color w:val="000000" w:themeColor="text1"/>
          <w:szCs w:val="21"/>
          <w:highlight w:val="none"/>
          <w:u w:val="single"/>
          <w14:textFill>
            <w14:solidFill>
              <w14:schemeClr w14:val="tx1"/>
            </w14:solidFill>
          </w14:textFill>
        </w:rPr>
        <w:t xml:space="preserve"> </w:t>
      </w:r>
      <w:r>
        <w:rPr>
          <w:rFonts w:hint="eastAsia" w:ascii="宋体" w:hAnsi="宋体" w:cs="宋体"/>
          <w:b/>
          <w:bCs/>
          <w:color w:val="000000" w:themeColor="text1"/>
          <w:szCs w:val="21"/>
          <w:highlight w:val="none"/>
          <w:u w:val="single"/>
          <w:lang w:eastAsia="zh-CN"/>
          <w14:textFill>
            <w14:solidFill>
              <w14:schemeClr w14:val="tx1"/>
            </w14:solidFill>
          </w14:textFill>
        </w:rPr>
        <w:t>2025年</w:t>
      </w:r>
      <w:r>
        <w:rPr>
          <w:rFonts w:hint="eastAsia" w:ascii="宋体" w:hAnsi="宋体" w:cs="宋体"/>
          <w:b/>
          <w:bCs/>
          <w:color w:val="000000" w:themeColor="text1"/>
          <w:szCs w:val="21"/>
          <w:highlight w:val="none"/>
          <w:u w:val="single"/>
          <w:lang w:val="en-US" w:eastAsia="zh-CN"/>
          <w14:textFill>
            <w14:solidFill>
              <w14:schemeClr w14:val="tx1"/>
            </w14:solidFill>
          </w14:textFill>
        </w:rPr>
        <w:t>07</w:t>
      </w:r>
      <w:r>
        <w:rPr>
          <w:rFonts w:hint="eastAsia" w:ascii="宋体" w:hAnsi="宋体" w:eastAsia="宋体" w:cs="宋体"/>
          <w:b/>
          <w:bCs/>
          <w:color w:val="000000" w:themeColor="text1"/>
          <w:szCs w:val="21"/>
          <w:highlight w:val="none"/>
          <w:u w:val="single"/>
          <w14:textFill>
            <w14:solidFill>
              <w14:schemeClr w14:val="tx1"/>
            </w14:solidFill>
          </w14:textFill>
        </w:rPr>
        <w:t>月</w:t>
      </w:r>
      <w:r>
        <w:rPr>
          <w:rFonts w:hint="eastAsia" w:ascii="宋体" w:hAnsi="宋体" w:cs="宋体"/>
          <w:b/>
          <w:bCs/>
          <w:color w:val="000000" w:themeColor="text1"/>
          <w:szCs w:val="21"/>
          <w:highlight w:val="none"/>
          <w:u w:val="single"/>
          <w:lang w:val="en-US" w:eastAsia="zh-CN"/>
          <w14:textFill>
            <w14:solidFill>
              <w14:schemeClr w14:val="tx1"/>
            </w14:solidFill>
          </w14:textFill>
        </w:rPr>
        <w:t>18</w:t>
      </w:r>
      <w:r>
        <w:rPr>
          <w:rFonts w:hint="eastAsia" w:ascii="宋体" w:hAnsi="宋体" w:eastAsia="宋体" w:cs="宋体"/>
          <w:b/>
          <w:bCs/>
          <w:color w:val="000000" w:themeColor="text1"/>
          <w:szCs w:val="21"/>
          <w:highlight w:val="none"/>
          <w:u w:val="single"/>
          <w14:textFill>
            <w14:solidFill>
              <w14:schemeClr w14:val="tx1"/>
            </w14:solidFill>
          </w14:textFill>
        </w:rPr>
        <w:t>日</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14</w:t>
      </w:r>
      <w:r>
        <w:rPr>
          <w:rFonts w:hint="eastAsia" w:ascii="宋体" w:hAnsi="宋体" w:eastAsia="宋体" w:cs="宋体"/>
          <w:b/>
          <w:bCs/>
          <w:color w:val="000000" w:themeColor="text1"/>
          <w:szCs w:val="21"/>
          <w:highlight w:val="none"/>
          <w:u w:val="single"/>
          <w14:textFill>
            <w14:solidFill>
              <w14:schemeClr w14:val="tx1"/>
            </w14:solidFill>
          </w14:textFill>
        </w:rPr>
        <w:t>点</w:t>
      </w:r>
      <w:r>
        <w:rPr>
          <w:rFonts w:hint="eastAsia" w:ascii="宋体" w:hAnsi="宋体" w:cs="宋体"/>
          <w:b/>
          <w:bCs/>
          <w:color w:val="000000" w:themeColor="text1"/>
          <w:szCs w:val="21"/>
          <w:highlight w:val="none"/>
          <w:u w:val="single"/>
          <w:lang w:val="en-US" w:eastAsia="zh-CN"/>
          <w14:textFill>
            <w14:solidFill>
              <w14:schemeClr w14:val="tx1"/>
            </w14:solidFill>
          </w14:textFill>
        </w:rPr>
        <w:t>30</w:t>
      </w:r>
      <w:r>
        <w:rPr>
          <w:rFonts w:hint="eastAsia" w:ascii="宋体" w:hAnsi="宋体" w:eastAsia="宋体" w:cs="宋体"/>
          <w:b/>
          <w:bCs/>
          <w:color w:val="000000" w:themeColor="text1"/>
          <w:szCs w:val="21"/>
          <w:highlight w:val="none"/>
          <w:u w:val="single"/>
          <w14:textFill>
            <w14:solidFill>
              <w14:schemeClr w14:val="tx1"/>
            </w14:solidFill>
          </w14:textFill>
        </w:rPr>
        <w:t>分00秒</w:t>
      </w:r>
      <w:r>
        <w:rPr>
          <w:rFonts w:hint="eastAsia" w:ascii="宋体" w:hAnsi="宋体" w:eastAsia="宋体" w:cs="宋体"/>
          <w:b/>
          <w:bCs/>
          <w:color w:val="000000" w:themeColor="text1"/>
          <w:szCs w:val="21"/>
          <w:highlight w:val="none"/>
          <w14:textFill>
            <w14:solidFill>
              <w14:schemeClr w14:val="tx1"/>
            </w14:solidFill>
          </w14:textFill>
        </w:rPr>
        <w:t>（北京时间）</w:t>
      </w:r>
    </w:p>
    <w:p w14:paraId="63A9BD41">
      <w:pPr>
        <w:pageBreakBefore w:val="0"/>
        <w:kinsoku/>
        <w:overflowPunct/>
        <w:topLinePunct w:val="0"/>
        <w:bidi w:val="0"/>
        <w:spacing w:line="360" w:lineRule="auto"/>
        <w:ind w:firstLine="422" w:firstLineChars="200"/>
        <w:rPr>
          <w:rFonts w:hint="eastAsia" w:ascii="宋体" w:hAnsi="宋体" w:eastAsia="宋体" w:cs="宋体"/>
          <w:b/>
          <w:bCs/>
          <w:color w:val="000000" w:themeColor="text1"/>
          <w:szCs w:val="21"/>
          <w:highlight w:val="none"/>
          <w:u w:val="singl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地点：政采云平台（</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"https://www.zcygov.cn/"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70"/>
          <w:rFonts w:hint="eastAsia" w:ascii="宋体" w:hAnsi="宋体" w:eastAsia="宋体" w:cs="宋体"/>
          <w:b/>
          <w:bCs/>
          <w:color w:val="000000" w:themeColor="text1"/>
          <w:kern w:val="2"/>
          <w:sz w:val="21"/>
          <w:szCs w:val="21"/>
          <w:highlight w:val="none"/>
          <w14:textFill>
            <w14:solidFill>
              <w14:schemeClr w14:val="tx1"/>
            </w14:solidFill>
          </w14:textFill>
        </w:rPr>
        <w:t>https://www.zcygov.cn/</w:t>
      </w:r>
      <w:r>
        <w:rPr>
          <w:rStyle w:val="70"/>
          <w:rFonts w:hint="eastAsia" w:ascii="宋体" w:hAnsi="宋体" w:eastAsia="宋体" w:cs="宋体"/>
          <w:b/>
          <w:bCs/>
          <w:color w:val="000000" w:themeColor="text1"/>
          <w:kern w:val="2"/>
          <w:sz w:val="21"/>
          <w:szCs w:val="21"/>
          <w:highlight w:val="none"/>
          <w14:textFill>
            <w14:solidFill>
              <w14:schemeClr w14:val="tx1"/>
            </w14:solidFill>
          </w14:textFill>
        </w:rPr>
        <w:fldChar w:fldCharType="end"/>
      </w:r>
      <w:r>
        <w:rPr>
          <w:rFonts w:hint="eastAsia" w:ascii="宋体" w:hAnsi="宋体" w:eastAsia="宋体" w:cs="宋体"/>
          <w:b/>
          <w:bCs/>
          <w:color w:val="000000" w:themeColor="text1"/>
          <w:szCs w:val="21"/>
          <w:highlight w:val="none"/>
          <w14:textFill>
            <w14:solidFill>
              <w14:schemeClr w14:val="tx1"/>
            </w14:solidFill>
          </w14:textFill>
        </w:rPr>
        <w:t>）。</w:t>
      </w:r>
    </w:p>
    <w:p w14:paraId="5DD575E7">
      <w:pPr>
        <w:pStyle w:val="5"/>
        <w:pageBreakBefore w:val="0"/>
        <w:numPr>
          <w:ilvl w:val="0"/>
          <w:numId w:val="0"/>
        </w:numPr>
        <w:kinsoku/>
        <w:overflowPunct/>
        <w:topLinePunct w:val="0"/>
        <w:bidi w:val="0"/>
        <w:spacing w:line="360" w:lineRule="auto"/>
        <w:ind w:left="432" w:hanging="432"/>
        <w:rPr>
          <w:rFonts w:hint="eastAsia" w:ascii="宋体" w:hAnsi="宋体" w:eastAsia="宋体" w:cs="宋体"/>
          <w:b/>
          <w:bCs/>
          <w:color w:val="000000" w:themeColor="text1"/>
          <w:sz w:val="21"/>
          <w:szCs w:val="21"/>
          <w:highlight w:val="none"/>
          <w14:textFill>
            <w14:solidFill>
              <w14:schemeClr w14:val="tx1"/>
            </w14:solidFill>
          </w14:textFill>
        </w:rPr>
      </w:pPr>
      <w:bookmarkStart w:id="27" w:name="_Toc28359016"/>
      <w:bookmarkStart w:id="28" w:name="_Toc28359093"/>
      <w:bookmarkStart w:id="29" w:name="_Toc35393802"/>
      <w:bookmarkStart w:id="30" w:name="_Toc35393633"/>
      <w:r>
        <w:rPr>
          <w:rFonts w:hint="eastAsia" w:ascii="宋体" w:hAnsi="宋体" w:eastAsia="宋体" w:cs="宋体"/>
          <w:b/>
          <w:bCs/>
          <w:color w:val="000000" w:themeColor="text1"/>
          <w:sz w:val="21"/>
          <w:szCs w:val="21"/>
          <w:highlight w:val="none"/>
          <w14:textFill>
            <w14:solidFill>
              <w14:schemeClr w14:val="tx1"/>
            </w14:solidFill>
          </w14:textFill>
        </w:rPr>
        <w:t>五、响应文件开启</w:t>
      </w:r>
      <w:bookmarkEnd w:id="27"/>
      <w:bookmarkEnd w:id="28"/>
      <w:bookmarkEnd w:id="29"/>
      <w:bookmarkEnd w:id="30"/>
    </w:p>
    <w:p w14:paraId="76D202EB">
      <w:pPr>
        <w:pageBreakBefore w:val="0"/>
        <w:kinsoku/>
        <w:overflowPunct/>
        <w:topLinePunct w:val="0"/>
        <w:bidi w:val="0"/>
        <w:spacing w:line="360" w:lineRule="auto"/>
        <w:ind w:firstLine="422" w:firstLineChars="200"/>
        <w:rPr>
          <w:rFonts w:hint="eastAsia" w:ascii="宋体" w:hAnsi="宋体" w:eastAsia="宋体" w:cs="宋体"/>
          <w:b/>
          <w:bCs/>
          <w:color w:val="000000" w:themeColor="text1"/>
          <w:szCs w:val="21"/>
          <w:highlight w:val="none"/>
          <w:u w:val="singl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时间：</w:t>
      </w:r>
      <w:r>
        <w:rPr>
          <w:rFonts w:hint="eastAsia" w:ascii="宋体" w:hAnsi="宋体" w:eastAsia="宋体" w:cs="宋体"/>
          <w:b/>
          <w:bCs/>
          <w:color w:val="000000" w:themeColor="text1"/>
          <w:szCs w:val="21"/>
          <w:highlight w:val="none"/>
          <w:u w:val="single"/>
          <w14:textFill>
            <w14:solidFill>
              <w14:schemeClr w14:val="tx1"/>
            </w14:solidFill>
          </w14:textFill>
        </w:rPr>
        <w:t xml:space="preserve"> </w:t>
      </w:r>
      <w:r>
        <w:rPr>
          <w:rFonts w:hint="eastAsia" w:ascii="宋体" w:hAnsi="宋体" w:cs="宋体"/>
          <w:b/>
          <w:bCs/>
          <w:color w:val="000000" w:themeColor="text1"/>
          <w:szCs w:val="21"/>
          <w:highlight w:val="none"/>
          <w:u w:val="single"/>
          <w:lang w:eastAsia="zh-CN"/>
          <w14:textFill>
            <w14:solidFill>
              <w14:schemeClr w14:val="tx1"/>
            </w14:solidFill>
          </w14:textFill>
        </w:rPr>
        <w:t>2025年</w:t>
      </w:r>
      <w:r>
        <w:rPr>
          <w:rFonts w:hint="eastAsia" w:ascii="宋体" w:hAnsi="宋体" w:cs="宋体"/>
          <w:b/>
          <w:bCs/>
          <w:color w:val="000000" w:themeColor="text1"/>
          <w:szCs w:val="21"/>
          <w:highlight w:val="none"/>
          <w:u w:val="single"/>
          <w:lang w:val="en-US" w:eastAsia="zh-CN"/>
          <w14:textFill>
            <w14:solidFill>
              <w14:schemeClr w14:val="tx1"/>
            </w14:solidFill>
          </w14:textFill>
        </w:rPr>
        <w:t>07</w:t>
      </w:r>
      <w:r>
        <w:rPr>
          <w:rFonts w:hint="eastAsia" w:ascii="宋体" w:hAnsi="宋体" w:eastAsia="宋体" w:cs="宋体"/>
          <w:b/>
          <w:bCs/>
          <w:color w:val="000000" w:themeColor="text1"/>
          <w:szCs w:val="21"/>
          <w:highlight w:val="none"/>
          <w:u w:val="single"/>
          <w14:textFill>
            <w14:solidFill>
              <w14:schemeClr w14:val="tx1"/>
            </w14:solidFill>
          </w14:textFill>
        </w:rPr>
        <w:t>月</w:t>
      </w:r>
      <w:r>
        <w:rPr>
          <w:rFonts w:hint="eastAsia" w:ascii="宋体" w:hAnsi="宋体" w:cs="宋体"/>
          <w:b/>
          <w:bCs/>
          <w:color w:val="000000" w:themeColor="text1"/>
          <w:szCs w:val="21"/>
          <w:highlight w:val="none"/>
          <w:u w:val="single"/>
          <w:lang w:val="en-US" w:eastAsia="zh-CN"/>
          <w14:textFill>
            <w14:solidFill>
              <w14:schemeClr w14:val="tx1"/>
            </w14:solidFill>
          </w14:textFill>
        </w:rPr>
        <w:t>18</w:t>
      </w:r>
      <w:r>
        <w:rPr>
          <w:rFonts w:hint="eastAsia" w:ascii="宋体" w:hAnsi="宋体" w:eastAsia="宋体" w:cs="宋体"/>
          <w:b/>
          <w:bCs/>
          <w:color w:val="000000" w:themeColor="text1"/>
          <w:szCs w:val="21"/>
          <w:highlight w:val="none"/>
          <w:u w:val="single"/>
          <w14:textFill>
            <w14:solidFill>
              <w14:schemeClr w14:val="tx1"/>
            </w14:solidFill>
          </w14:textFill>
        </w:rPr>
        <w:t>日</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14</w:t>
      </w:r>
      <w:r>
        <w:rPr>
          <w:rFonts w:hint="eastAsia" w:ascii="宋体" w:hAnsi="宋体" w:eastAsia="宋体" w:cs="宋体"/>
          <w:b/>
          <w:bCs/>
          <w:color w:val="000000" w:themeColor="text1"/>
          <w:szCs w:val="21"/>
          <w:highlight w:val="none"/>
          <w:u w:val="single"/>
          <w14:textFill>
            <w14:solidFill>
              <w14:schemeClr w14:val="tx1"/>
            </w14:solidFill>
          </w14:textFill>
        </w:rPr>
        <w:t>点</w:t>
      </w:r>
      <w:r>
        <w:rPr>
          <w:rFonts w:hint="eastAsia" w:ascii="宋体" w:hAnsi="宋体" w:cs="宋体"/>
          <w:b/>
          <w:bCs/>
          <w:color w:val="000000" w:themeColor="text1"/>
          <w:szCs w:val="21"/>
          <w:highlight w:val="none"/>
          <w:u w:val="single"/>
          <w:lang w:val="en-US" w:eastAsia="zh-CN"/>
          <w14:textFill>
            <w14:solidFill>
              <w14:schemeClr w14:val="tx1"/>
            </w14:solidFill>
          </w14:textFill>
        </w:rPr>
        <w:t>30</w:t>
      </w:r>
      <w:r>
        <w:rPr>
          <w:rFonts w:hint="eastAsia" w:ascii="宋体" w:hAnsi="宋体" w:eastAsia="宋体" w:cs="宋体"/>
          <w:b/>
          <w:bCs/>
          <w:color w:val="000000" w:themeColor="text1"/>
          <w:szCs w:val="21"/>
          <w:highlight w:val="none"/>
          <w:u w:val="single"/>
          <w14:textFill>
            <w14:solidFill>
              <w14:schemeClr w14:val="tx1"/>
            </w14:solidFill>
          </w14:textFill>
        </w:rPr>
        <w:t>分00秒</w:t>
      </w:r>
      <w:r>
        <w:rPr>
          <w:rFonts w:hint="eastAsia" w:ascii="宋体" w:hAnsi="宋体" w:eastAsia="宋体" w:cs="宋体"/>
          <w:b/>
          <w:bCs/>
          <w:color w:val="000000" w:themeColor="text1"/>
          <w:szCs w:val="21"/>
          <w:highlight w:val="none"/>
          <w14:textFill>
            <w14:solidFill>
              <w14:schemeClr w14:val="tx1"/>
            </w14:solidFill>
          </w14:textFill>
        </w:rPr>
        <w:t>（北京时间）</w:t>
      </w:r>
    </w:p>
    <w:p w14:paraId="6CCBFB30">
      <w:pPr>
        <w:pageBreakBefore w:val="0"/>
        <w:kinsoku/>
        <w:overflowPunct/>
        <w:topLinePunct w:val="0"/>
        <w:bidi w:val="0"/>
        <w:spacing w:line="360" w:lineRule="auto"/>
        <w:ind w:firstLine="422" w:firstLineChars="200"/>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地点：政采云平台（https://www.zcygov.cn/）</w:t>
      </w:r>
      <w:r>
        <w:rPr>
          <w:rFonts w:hint="eastAsia" w:ascii="宋体" w:hAnsi="宋体" w:eastAsia="宋体" w:cs="宋体"/>
          <w:b/>
          <w:bCs/>
          <w:color w:val="000000" w:themeColor="text1"/>
          <w:szCs w:val="21"/>
          <w:highlight w:val="none"/>
          <w:lang w:eastAsia="zh-CN"/>
          <w14:textFill>
            <w14:solidFill>
              <w14:schemeClr w14:val="tx1"/>
            </w14:solidFill>
          </w14:textFill>
        </w:rPr>
        <w:t>。</w:t>
      </w:r>
    </w:p>
    <w:p w14:paraId="1B11E367">
      <w:pPr>
        <w:pageBreakBefore w:val="0"/>
        <w:kinsoku/>
        <w:overflowPunct/>
        <w:topLinePunct w:val="0"/>
        <w:bidi w:val="0"/>
        <w:spacing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 xml:space="preserve">评审地点：嘉兴市建新工程造价咨询事务所有限公司三楼321室（会展路207号嘉宇商务楼3楼） </w:t>
      </w:r>
    </w:p>
    <w:p w14:paraId="5B914BC4">
      <w:pPr>
        <w:pStyle w:val="5"/>
        <w:pageBreakBefore w:val="0"/>
        <w:numPr>
          <w:ilvl w:val="0"/>
          <w:numId w:val="0"/>
        </w:numPr>
        <w:kinsoku/>
        <w:overflowPunct/>
        <w:topLinePunct w:val="0"/>
        <w:bidi w:val="0"/>
        <w:spacing w:line="360" w:lineRule="auto"/>
        <w:ind w:left="432" w:hanging="432"/>
        <w:rPr>
          <w:rFonts w:hint="eastAsia" w:ascii="宋体" w:hAnsi="宋体" w:eastAsia="宋体" w:cs="宋体"/>
          <w:b/>
          <w:bCs/>
          <w:color w:val="000000" w:themeColor="text1"/>
          <w:sz w:val="21"/>
          <w:szCs w:val="21"/>
          <w:highlight w:val="none"/>
          <w14:textFill>
            <w14:solidFill>
              <w14:schemeClr w14:val="tx1"/>
            </w14:solidFill>
          </w14:textFill>
        </w:rPr>
      </w:pPr>
      <w:bookmarkStart w:id="31" w:name="_Toc35393634"/>
      <w:bookmarkStart w:id="32" w:name="_Toc28359017"/>
      <w:bookmarkStart w:id="33" w:name="_Toc35393803"/>
      <w:bookmarkStart w:id="34" w:name="_Toc28359094"/>
      <w:r>
        <w:rPr>
          <w:rFonts w:hint="eastAsia" w:ascii="宋体" w:hAnsi="宋体" w:eastAsia="宋体" w:cs="宋体"/>
          <w:b/>
          <w:bCs/>
          <w:color w:val="000000" w:themeColor="text1"/>
          <w:sz w:val="21"/>
          <w:szCs w:val="21"/>
          <w:highlight w:val="none"/>
          <w14:textFill>
            <w14:solidFill>
              <w14:schemeClr w14:val="tx1"/>
            </w14:solidFill>
          </w14:textFill>
        </w:rPr>
        <w:t>六、公告期限</w:t>
      </w:r>
      <w:bookmarkEnd w:id="31"/>
      <w:bookmarkEnd w:id="32"/>
      <w:bookmarkEnd w:id="33"/>
      <w:bookmarkEnd w:id="34"/>
    </w:p>
    <w:p w14:paraId="5B74FCEB">
      <w:pPr>
        <w:pageBreakBefore w:val="0"/>
        <w:kinsoku/>
        <w:overflowPunct/>
        <w:topLinePunct w:val="0"/>
        <w:bidi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自本公告发布之日起3个工作日。</w:t>
      </w:r>
    </w:p>
    <w:p w14:paraId="60D8B143">
      <w:pPr>
        <w:pStyle w:val="5"/>
        <w:pageBreakBefore w:val="0"/>
        <w:numPr>
          <w:ilvl w:val="0"/>
          <w:numId w:val="0"/>
        </w:numPr>
        <w:kinsoku/>
        <w:overflowPunct/>
        <w:topLinePunct w:val="0"/>
        <w:bidi w:val="0"/>
        <w:spacing w:line="360" w:lineRule="auto"/>
        <w:ind w:left="432" w:hanging="432"/>
        <w:rPr>
          <w:rFonts w:hint="eastAsia" w:ascii="宋体" w:hAnsi="宋体" w:eastAsia="宋体" w:cs="宋体"/>
          <w:b/>
          <w:bCs/>
          <w:color w:val="000000" w:themeColor="text1"/>
          <w:sz w:val="21"/>
          <w:szCs w:val="21"/>
          <w:highlight w:val="none"/>
          <w14:textFill>
            <w14:solidFill>
              <w14:schemeClr w14:val="tx1"/>
            </w14:solidFill>
          </w14:textFill>
        </w:rPr>
      </w:pPr>
      <w:bookmarkStart w:id="35" w:name="_Toc35393804"/>
      <w:bookmarkStart w:id="36" w:name="_Toc35393635"/>
      <w:r>
        <w:rPr>
          <w:rFonts w:hint="eastAsia" w:ascii="宋体" w:hAnsi="宋体" w:eastAsia="宋体" w:cs="宋体"/>
          <w:b/>
          <w:bCs/>
          <w:color w:val="000000" w:themeColor="text1"/>
          <w:sz w:val="21"/>
          <w:szCs w:val="21"/>
          <w:highlight w:val="none"/>
          <w14:textFill>
            <w14:solidFill>
              <w14:schemeClr w14:val="tx1"/>
            </w14:solidFill>
          </w14:textFill>
        </w:rPr>
        <w:t>七、其他补充事宜</w:t>
      </w:r>
      <w:bookmarkEnd w:id="35"/>
      <w:bookmarkEnd w:id="36"/>
    </w:p>
    <w:p w14:paraId="6E984FDA">
      <w:pPr>
        <w:pageBreakBefore w:val="0"/>
        <w:kinsoku/>
        <w:overflowPunct/>
        <w:topLinePunct w:val="0"/>
        <w:bidi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DA3C3E6">
      <w:pPr>
        <w:pageBreakBefore w:val="0"/>
        <w:kinsoku/>
        <w:overflowPunct/>
        <w:topLinePunct w:val="0"/>
        <w:bidi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47DF6B">
      <w:pPr>
        <w:pageBreakBefore w:val="0"/>
        <w:kinsoku/>
        <w:overflowPunct/>
        <w:topLinePunct w:val="0"/>
        <w:bidi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8524A99">
      <w:pPr>
        <w:pageBreakBefore w:val="0"/>
        <w:kinsoku/>
        <w:overflowPunct/>
        <w:topLinePunct w:val="0"/>
        <w:bidi w:val="0"/>
        <w:spacing w:line="360" w:lineRule="auto"/>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b/>
          <w:kern w:val="0"/>
          <w:szCs w:val="21"/>
        </w:rPr>
        <w:t>4. 其他事项：（1）需要落实的政府采购政策：</w:t>
      </w:r>
      <w:r>
        <w:rPr>
          <w:rFonts w:hint="eastAsia" w:ascii="宋体" w:hAnsi="宋体" w:cs="宋体"/>
          <w:kern w:val="0"/>
          <w:szCs w:val="21"/>
        </w:rPr>
        <w:t>包括节约资源、保护环境、</w:t>
      </w:r>
      <w:r>
        <w:rPr>
          <w:rFonts w:hint="eastAsia" w:ascii="宋体" w:hAnsi="宋体" w:cs="宋体"/>
          <w:szCs w:val="21"/>
        </w:rPr>
        <w:t>支持创新、</w:t>
      </w:r>
      <w:r>
        <w:rPr>
          <w:rFonts w:hint="eastAsia" w:ascii="宋体" w:hAnsi="宋体" w:cs="宋体"/>
          <w:kern w:val="0"/>
          <w:szCs w:val="21"/>
        </w:rPr>
        <w:t>促进中小企业发展等，详见磋商文件第三部分。</w:t>
      </w:r>
      <w:r>
        <w:rPr>
          <w:rFonts w:hint="eastAsia" w:ascii="宋体" w:hAnsi="宋体" w:cs="宋体"/>
          <w:b/>
          <w:kern w:val="0"/>
          <w:szCs w:val="21"/>
        </w:rPr>
        <w:t>（2）</w:t>
      </w:r>
      <w:r>
        <w:rPr>
          <w:rFonts w:hint="eastAsia" w:ascii="宋体" w:hAnsi="宋体" w:cs="宋体"/>
          <w:b/>
          <w:szCs w:val="21"/>
        </w:rPr>
        <w:t>电子交易的说明: 1）电子交易：</w:t>
      </w:r>
      <w:r>
        <w:rPr>
          <w:rFonts w:hint="eastAsia" w:ascii="宋体" w:hAnsi="宋体" w:cs="宋体"/>
          <w:szCs w:val="21"/>
        </w:rPr>
        <w:t>本项目以数据电文形式，依托“政府采购云平台（www.zcygov.cn）”进行采购活动，不接受纸质响应文件。</w:t>
      </w:r>
      <w:r>
        <w:rPr>
          <w:rFonts w:hint="eastAsia" w:ascii="宋体" w:hAnsi="宋体" w:cs="宋体"/>
          <w:b/>
          <w:szCs w:val="21"/>
        </w:rPr>
        <w:t>2）响应准备：</w:t>
      </w:r>
      <w:r>
        <w:rPr>
          <w:rFonts w:hint="eastAsia" w:ascii="宋体" w:hAnsi="宋体" w:cs="宋体"/>
          <w:szCs w:val="21"/>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cs="宋体"/>
          <w:b/>
          <w:szCs w:val="21"/>
        </w:rPr>
        <w:t>3）磋商文件的获取：</w:t>
      </w:r>
      <w:r>
        <w:rPr>
          <w:rFonts w:hint="eastAsia" w:ascii="宋体" w:hAnsi="宋体" w:cs="宋体"/>
          <w:szCs w:val="21"/>
        </w:rPr>
        <w:t>使用账号登录或者使用CA登录政采云平台；进入“项目采购”应用，在获取采购文件菜单中选择项目，获取磋商文件。</w:t>
      </w:r>
      <w:r>
        <w:rPr>
          <w:rFonts w:hint="eastAsia" w:ascii="宋体" w:hAnsi="宋体" w:cs="宋体"/>
          <w:b/>
          <w:szCs w:val="21"/>
        </w:rPr>
        <w:t>4）响应文件的制作：</w:t>
      </w:r>
      <w:r>
        <w:rPr>
          <w:rFonts w:hint="eastAsia" w:ascii="宋体" w:hAnsi="宋体" w:cs="宋体"/>
          <w:szCs w:val="21"/>
        </w:rPr>
        <w:t>在“政采云电子交易客户端”中完成“填写基本信息”、“导入投标文件”、“标书关联”、“标书检查”、“电子签名”、“生成电子标书”等操作。</w:t>
      </w:r>
      <w:r>
        <w:rPr>
          <w:rFonts w:hint="eastAsia" w:ascii="宋体" w:hAnsi="宋体" w:cs="宋体"/>
          <w:b/>
          <w:szCs w:val="21"/>
        </w:rPr>
        <w:t>5）</w:t>
      </w:r>
      <w:r>
        <w:rPr>
          <w:rFonts w:hint="eastAsia" w:ascii="宋体" w:hAnsi="宋体" w:cs="宋体"/>
          <w:szCs w:val="21"/>
        </w:rPr>
        <w:t>采购人、采购代理机构将依托政采云平台完成本项目的电子交易活动，平台不接受未按本公告约定方式获取磋商文件的供应商进行响应活动；</w:t>
      </w:r>
      <w:r>
        <w:rPr>
          <w:rFonts w:hint="eastAsia" w:ascii="宋体" w:hAnsi="宋体" w:cs="宋体"/>
          <w:b/>
          <w:szCs w:val="21"/>
        </w:rPr>
        <w:t>6）</w:t>
      </w:r>
      <w:r>
        <w:rPr>
          <w:rFonts w:hint="eastAsia" w:ascii="宋体" w:hAnsi="宋体" w:cs="宋体"/>
          <w:szCs w:val="21"/>
        </w:rPr>
        <w:t>对未按上述方式获取磋商文件的供应商对该文件提出的质疑，采购人或采购代理机构将不予处理</w:t>
      </w:r>
      <w:r>
        <w:rPr>
          <w:rFonts w:hint="eastAsia" w:ascii="宋体" w:hAnsi="宋体" w:cs="宋体"/>
          <w:b/>
          <w:szCs w:val="21"/>
        </w:rPr>
        <w:t>；7）</w:t>
      </w:r>
      <w:r>
        <w:rPr>
          <w:rFonts w:hint="eastAsia" w:ascii="宋体" w:hAnsi="宋体" w:cs="宋体"/>
          <w:szCs w:val="21"/>
        </w:rPr>
        <w:t>不提供磋商文件纸质版；</w:t>
      </w:r>
      <w:r>
        <w:rPr>
          <w:rFonts w:hint="eastAsia" w:ascii="宋体" w:hAnsi="宋体" w:cs="宋体"/>
          <w:b/>
          <w:szCs w:val="21"/>
        </w:rPr>
        <w:t>8）响应文件的传输提交：</w:t>
      </w:r>
      <w:r>
        <w:rPr>
          <w:rFonts w:hint="eastAsia" w:ascii="宋体" w:hAnsi="宋体" w:cs="宋体"/>
          <w:szCs w:val="21"/>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cs="宋体"/>
          <w:b/>
          <w:szCs w:val="21"/>
        </w:rPr>
        <w:t>9）响应文件的解密：</w:t>
      </w:r>
      <w:r>
        <w:rPr>
          <w:rFonts w:hint="eastAsia" w:ascii="宋体" w:hAnsi="宋体" w:cs="宋体"/>
          <w:szCs w:val="21"/>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cs="宋体"/>
          <w:b/>
          <w:szCs w:val="21"/>
        </w:rPr>
        <w:t>）具体操作指南</w:t>
      </w:r>
      <w:r>
        <w:rPr>
          <w:rFonts w:hint="eastAsia" w:ascii="宋体" w:hAnsi="宋体" w:cs="宋体"/>
          <w:szCs w:val="21"/>
        </w:rPr>
        <w:t>：详见政采云平台“服务中心-帮助文档-项目采购-操作流程-电子招投标-政府采购项目电子交易管理操作指南-供应商”。</w:t>
      </w:r>
      <w:r>
        <w:rPr>
          <w:rFonts w:hint="eastAsia" w:ascii="宋体" w:hAnsi="宋体" w:eastAsia="宋体" w:cs="宋体"/>
          <w:szCs w:val="21"/>
          <w:lang w:val="en-US" w:eastAsia="zh-CN"/>
        </w:rPr>
        <w:t>11）</w:t>
      </w:r>
      <w:r>
        <w:rPr>
          <w:rFonts w:hint="eastAsia" w:ascii="宋体" w:hAnsi="宋体" w:cs="宋体"/>
          <w:szCs w:val="21"/>
        </w:rPr>
        <w:t>磋商文件公告期限与磋商公告的公告期限一致。</w:t>
      </w:r>
      <w:r>
        <w:rPr>
          <w:rFonts w:hint="eastAsia" w:ascii="宋体" w:hAnsi="宋体" w:cs="宋体"/>
          <w:b/>
          <w:bCs/>
          <w:kern w:val="0"/>
          <w:szCs w:val="21"/>
          <w:highlight w:val="none"/>
          <w:u w:val="none"/>
          <w:lang w:val="en-US" w:eastAsia="zh-CN"/>
        </w:rPr>
        <w:t>12）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在资格审查或评审过程中，发现供应商有采购文件约定的上述情形的，应当根据采购文件认定其投标（响应）无效。</w:t>
      </w:r>
    </w:p>
    <w:p w14:paraId="049D4316">
      <w:pPr>
        <w:pStyle w:val="5"/>
        <w:pageBreakBefore w:val="0"/>
        <w:numPr>
          <w:ilvl w:val="0"/>
          <w:numId w:val="0"/>
        </w:numPr>
        <w:kinsoku/>
        <w:overflowPunct/>
        <w:topLinePunct w:val="0"/>
        <w:bidi w:val="0"/>
        <w:spacing w:line="360" w:lineRule="auto"/>
        <w:ind w:left="432" w:hanging="432"/>
        <w:rPr>
          <w:rFonts w:hint="eastAsia" w:ascii="宋体" w:hAnsi="宋体" w:eastAsia="宋体" w:cs="宋体"/>
          <w:b/>
          <w:bCs/>
          <w:color w:val="000000" w:themeColor="text1"/>
          <w:sz w:val="21"/>
          <w:szCs w:val="21"/>
          <w:highlight w:val="none"/>
          <w14:textFill>
            <w14:solidFill>
              <w14:schemeClr w14:val="tx1"/>
            </w14:solidFill>
          </w14:textFill>
        </w:rPr>
      </w:pPr>
      <w:bookmarkStart w:id="37" w:name="_Toc28359018"/>
      <w:bookmarkStart w:id="38" w:name="_Toc28359095"/>
      <w:bookmarkStart w:id="39" w:name="_Toc35393636"/>
      <w:bookmarkStart w:id="40" w:name="_Toc35393805"/>
      <w:r>
        <w:rPr>
          <w:rFonts w:hint="eastAsia" w:ascii="宋体" w:hAnsi="宋体" w:eastAsia="宋体" w:cs="宋体"/>
          <w:b/>
          <w:bCs/>
          <w:color w:val="000000" w:themeColor="text1"/>
          <w:sz w:val="21"/>
          <w:szCs w:val="21"/>
          <w:highlight w:val="none"/>
          <w14:textFill>
            <w14:solidFill>
              <w14:schemeClr w14:val="tx1"/>
            </w14:solidFill>
          </w14:textFill>
        </w:rPr>
        <w:t>八、凡对本次采购提出询问、质疑、投诉，请按以下方式联系</w:t>
      </w:r>
      <w:bookmarkEnd w:id="37"/>
      <w:bookmarkEnd w:id="38"/>
      <w:bookmarkEnd w:id="39"/>
      <w:bookmarkEnd w:id="40"/>
    </w:p>
    <w:p w14:paraId="1B6B04BF">
      <w:pPr>
        <w:pageBreakBefore w:val="0"/>
        <w:kinsoku/>
        <w:overflowPunct/>
        <w:topLinePunct w:val="0"/>
        <w:bidi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1.采购人信息</w:t>
      </w:r>
    </w:p>
    <w:p w14:paraId="1DA70D56">
      <w:pPr>
        <w:pageBreakBefore w:val="0"/>
        <w:kinsoku/>
        <w:overflowPunct/>
        <w:topLinePunct w:val="0"/>
        <w:bidi w:val="0"/>
        <w:spacing w:line="360" w:lineRule="auto"/>
        <w:ind w:firstLine="48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名    称：嘉兴市南湖区民政局</w:t>
      </w:r>
    </w:p>
    <w:p w14:paraId="1FEAB25F">
      <w:pPr>
        <w:pageBreakBefore w:val="0"/>
        <w:kinsoku/>
        <w:overflowPunct/>
        <w:topLinePunct w:val="0"/>
        <w:bidi w:val="0"/>
        <w:spacing w:line="360" w:lineRule="auto"/>
        <w:ind w:firstLine="48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地    址：湘溪路22号南湖区第二行政中心11层     </w:t>
      </w:r>
    </w:p>
    <w:p w14:paraId="1C3DEBC1">
      <w:pPr>
        <w:pageBreakBefore w:val="0"/>
        <w:kinsoku/>
        <w:overflowPunct/>
        <w:topLinePunct w:val="0"/>
        <w:bidi w:val="0"/>
        <w:spacing w:line="360" w:lineRule="auto"/>
        <w:ind w:firstLine="48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传    真： /</w:t>
      </w:r>
    </w:p>
    <w:p w14:paraId="38EC53C6">
      <w:pPr>
        <w:pageBreakBefore w:val="0"/>
        <w:kinsoku/>
        <w:overflowPunct/>
        <w:topLinePunct w:val="0"/>
        <w:bidi w:val="0"/>
        <w:spacing w:line="360" w:lineRule="auto"/>
        <w:ind w:firstLine="48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项目联系人（询问）：诸女士 </w:t>
      </w:r>
    </w:p>
    <w:p w14:paraId="74C57DBA">
      <w:pPr>
        <w:pageBreakBefore w:val="0"/>
        <w:kinsoku/>
        <w:overflowPunct/>
        <w:topLinePunct w:val="0"/>
        <w:bidi w:val="0"/>
        <w:spacing w:line="360" w:lineRule="auto"/>
        <w:ind w:firstLine="48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项目联系方式（询问）：0573-</w:t>
      </w:r>
      <w:r>
        <w:rPr>
          <w:rFonts w:hint="eastAsia" w:ascii="宋体" w:hAnsi="宋体" w:eastAsia="宋体" w:cs="宋体"/>
          <w:color w:val="000000" w:themeColor="text1"/>
          <w:szCs w:val="21"/>
          <w:highlight w:val="none"/>
          <w:lang w:val="en-US" w:eastAsia="zh-CN"/>
          <w14:textFill>
            <w14:solidFill>
              <w14:schemeClr w14:val="tx1"/>
            </w14:solidFill>
          </w14:textFill>
        </w:rPr>
        <w:t>82571265</w:t>
      </w:r>
    </w:p>
    <w:p w14:paraId="4C4829EE">
      <w:pPr>
        <w:pageBreakBefore w:val="0"/>
        <w:kinsoku/>
        <w:overflowPunct/>
        <w:topLinePunct w:val="0"/>
        <w:bidi w:val="0"/>
        <w:spacing w:line="360" w:lineRule="auto"/>
        <w:ind w:firstLine="48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质疑联系人：诸女士  </w:t>
      </w:r>
    </w:p>
    <w:p w14:paraId="48D093F6">
      <w:pPr>
        <w:pageBreakBefore w:val="0"/>
        <w:kinsoku/>
        <w:overflowPunct/>
        <w:topLinePunct w:val="0"/>
        <w:bidi w:val="0"/>
        <w:spacing w:line="360" w:lineRule="auto"/>
        <w:ind w:firstLine="48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质疑联系方式：0573-</w:t>
      </w:r>
      <w:r>
        <w:rPr>
          <w:rFonts w:hint="eastAsia" w:ascii="宋体" w:hAnsi="宋体" w:eastAsia="宋体" w:cs="宋体"/>
          <w:color w:val="000000" w:themeColor="text1"/>
          <w:szCs w:val="21"/>
          <w:highlight w:val="none"/>
          <w:lang w:val="en-US" w:eastAsia="zh-CN"/>
          <w14:textFill>
            <w14:solidFill>
              <w14:schemeClr w14:val="tx1"/>
            </w14:solidFill>
          </w14:textFill>
        </w:rPr>
        <w:t>82571265</w:t>
      </w:r>
    </w:p>
    <w:p w14:paraId="34A5E22E">
      <w:pPr>
        <w:pageBreakBefore w:val="0"/>
        <w:kinsoku/>
        <w:overflowPunct/>
        <w:topLinePunct w:val="0"/>
        <w:bidi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2.采购代理机构信息            </w:t>
      </w:r>
    </w:p>
    <w:p w14:paraId="1D07212F">
      <w:pPr>
        <w:pageBreakBefore w:val="0"/>
        <w:kinsoku/>
        <w:overflowPunct/>
        <w:topLinePunct w:val="0"/>
        <w:bidi w:val="0"/>
        <w:spacing w:line="360" w:lineRule="auto"/>
        <w:ind w:firstLine="48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名    称：嘉兴市建新工程造价咨询事务所有限公司</w:t>
      </w:r>
    </w:p>
    <w:p w14:paraId="4A714FE2">
      <w:pPr>
        <w:pageBreakBefore w:val="0"/>
        <w:kinsoku/>
        <w:overflowPunct/>
        <w:topLinePunct w:val="0"/>
        <w:bidi w:val="0"/>
        <w:spacing w:line="360" w:lineRule="auto"/>
        <w:ind w:firstLine="48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    址：</w:t>
      </w:r>
      <w:r>
        <w:rPr>
          <w:rFonts w:hint="eastAsia" w:ascii="宋体" w:hAnsi="宋体" w:eastAsia="宋体" w:cs="宋体"/>
          <w:color w:val="000000" w:themeColor="text1"/>
          <w:szCs w:val="21"/>
          <w:highlight w:val="none"/>
          <w:lang w:val="en-US" w:eastAsia="zh-CN"/>
          <w14:textFill>
            <w14:solidFill>
              <w14:schemeClr w14:val="tx1"/>
            </w14:solidFill>
          </w14:textFill>
        </w:rPr>
        <w:t>嘉兴市</w:t>
      </w:r>
      <w:r>
        <w:rPr>
          <w:rFonts w:hint="eastAsia" w:ascii="宋体" w:hAnsi="宋体" w:eastAsia="宋体" w:cs="宋体"/>
          <w:color w:val="000000" w:themeColor="text1"/>
          <w:szCs w:val="21"/>
          <w:highlight w:val="none"/>
          <w14:textFill>
            <w14:solidFill>
              <w14:schemeClr w14:val="tx1"/>
            </w14:solidFill>
          </w14:textFill>
        </w:rPr>
        <w:t>会展路207号323室</w:t>
      </w:r>
    </w:p>
    <w:p w14:paraId="2F54C98D">
      <w:pPr>
        <w:pageBreakBefore w:val="0"/>
        <w:kinsoku/>
        <w:overflowPunct/>
        <w:topLinePunct w:val="0"/>
        <w:bidi w:val="0"/>
        <w:spacing w:line="360" w:lineRule="auto"/>
        <w:ind w:firstLine="48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传    真： /</w:t>
      </w:r>
    </w:p>
    <w:p w14:paraId="55FF7DAF">
      <w:pPr>
        <w:pageBreakBefore w:val="0"/>
        <w:kinsoku/>
        <w:overflowPunct/>
        <w:topLinePunct w:val="0"/>
        <w:bidi w:val="0"/>
        <w:spacing w:line="360" w:lineRule="auto"/>
        <w:ind w:firstLine="48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项目联系人（询问）： 高张燕</w:t>
      </w:r>
    </w:p>
    <w:p w14:paraId="40C60892">
      <w:pPr>
        <w:pageBreakBefore w:val="0"/>
        <w:kinsoku/>
        <w:overflowPunct/>
        <w:topLinePunct w:val="0"/>
        <w:bidi w:val="0"/>
        <w:spacing w:line="360" w:lineRule="auto"/>
        <w:ind w:firstLine="48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项目联系方式（询问）：0573-82031391/15157400827</w:t>
      </w:r>
    </w:p>
    <w:p w14:paraId="61B88776">
      <w:pPr>
        <w:pageBreakBefore w:val="0"/>
        <w:kinsoku/>
        <w:overflowPunct/>
        <w:topLinePunct w:val="0"/>
        <w:bidi w:val="0"/>
        <w:spacing w:line="360" w:lineRule="auto"/>
        <w:ind w:firstLine="48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质疑联系人：陆燕</w:t>
      </w:r>
    </w:p>
    <w:p w14:paraId="22620935">
      <w:pPr>
        <w:pageBreakBefore w:val="0"/>
        <w:kinsoku/>
        <w:overflowPunct/>
        <w:topLinePunct w:val="0"/>
        <w:bidi w:val="0"/>
        <w:spacing w:line="360" w:lineRule="auto"/>
        <w:ind w:firstLine="48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质疑联系方式：0573-82031391</w:t>
      </w:r>
    </w:p>
    <w:p w14:paraId="6BE6FE01">
      <w:pPr>
        <w:pageBreakBefore w:val="0"/>
        <w:kinsoku/>
        <w:overflowPunct/>
        <w:topLinePunct w:val="0"/>
        <w:bidi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3.同级政府采购监督管理部门            </w:t>
      </w:r>
    </w:p>
    <w:p w14:paraId="7D28E77D">
      <w:pPr>
        <w:pageBreakBefore w:val="0"/>
        <w:kinsoku/>
        <w:overflowPunct/>
        <w:topLinePunct w:val="0"/>
        <w:bidi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名    称：嘉兴市南湖区财政局</w:t>
      </w:r>
    </w:p>
    <w:p w14:paraId="5E5F745F">
      <w:pPr>
        <w:pageBreakBefore w:val="0"/>
        <w:kinsoku/>
        <w:overflowPunct/>
        <w:topLinePunct w:val="0"/>
        <w:bidi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地    址：凌公塘路1260号南湖区行政中心  </w:t>
      </w:r>
    </w:p>
    <w:p w14:paraId="4B423EBE">
      <w:pPr>
        <w:pageBreakBefore w:val="0"/>
        <w:kinsoku/>
        <w:overflowPunct/>
        <w:topLinePunct w:val="0"/>
        <w:bidi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传    真： /</w:t>
      </w:r>
    </w:p>
    <w:p w14:paraId="5BE8CC57">
      <w:pPr>
        <w:pageBreakBefore w:val="0"/>
        <w:kinsoku/>
        <w:overflowPunct/>
        <w:topLinePunct w:val="0"/>
        <w:bidi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联系人 ：</w:t>
      </w:r>
      <w:r>
        <w:rPr>
          <w:rFonts w:hint="eastAsia" w:ascii="宋体" w:hAnsi="宋体" w:cs="宋体"/>
          <w:color w:val="000000" w:themeColor="text1"/>
          <w:szCs w:val="21"/>
          <w:highlight w:val="none"/>
          <w:lang w:val="en-US" w:eastAsia="zh-CN"/>
          <w14:textFill>
            <w14:solidFill>
              <w14:schemeClr w14:val="tx1"/>
            </w14:solidFill>
          </w14:textFill>
        </w:rPr>
        <w:t>张</w:t>
      </w:r>
      <w:r>
        <w:rPr>
          <w:rFonts w:hint="eastAsia" w:ascii="宋体" w:hAnsi="宋体" w:eastAsia="宋体" w:cs="宋体"/>
          <w:color w:val="000000" w:themeColor="text1"/>
          <w:szCs w:val="21"/>
          <w:highlight w:val="none"/>
          <w14:textFill>
            <w14:solidFill>
              <w14:schemeClr w14:val="tx1"/>
            </w14:solidFill>
          </w14:textFill>
        </w:rPr>
        <w:t>先生</w:t>
      </w:r>
    </w:p>
    <w:p w14:paraId="78F55DF2">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监督投诉电话：0573-82832019</w:t>
      </w:r>
    </w:p>
    <w:p w14:paraId="27915A71">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02CD06AA">
      <w:pPr>
        <w:pageBreakBefore w:val="0"/>
        <w:kinsoku/>
        <w:overflowPunct/>
        <w:topLinePunct w:val="0"/>
        <w:bidi w:val="0"/>
        <w:adjustRightInd/>
        <w:spacing w:line="360" w:lineRule="auto"/>
        <w:jc w:val="both"/>
        <w:outlineLvl w:val="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p>
    <w:p w14:paraId="3DBC1672">
      <w:pPr>
        <w:pageBreakBefore w:val="0"/>
        <w:kinsoku/>
        <w:overflowPunct/>
        <w:topLinePunct w:val="0"/>
        <w:bidi w:val="0"/>
        <w:adjustRightInd/>
        <w:spacing w:line="360" w:lineRule="auto"/>
        <w:jc w:val="center"/>
        <w:outlineLvl w:val="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第二部分 竞争性磋商流程</w:t>
      </w:r>
    </w:p>
    <w:p w14:paraId="5AAF2223">
      <w:pPr>
        <w:pStyle w:val="396"/>
        <w:pageBreakBefore w:val="0"/>
        <w:kinsoku/>
        <w:overflowPunct/>
        <w:topLinePunct w:val="0"/>
        <w:bidi w:val="0"/>
        <w:spacing w:before="0" w:line="360" w:lineRule="auto"/>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1.响应文件开启与信用信息查询</w:t>
      </w:r>
    </w:p>
    <w:p w14:paraId="7C1446FA">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1.1供应商依据“提交响应文件的截止时间与地点”通过政采云平台在线提交响应文件。供应商在提交响应文件的截止时间前，可以补充、修改或撤回响应文件。</w:t>
      </w:r>
    </w:p>
    <w:p w14:paraId="72F0BD01">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r>
        <w:rPr>
          <w:rFonts w:hint="eastAsia" w:ascii="宋体" w:hAnsi="宋体" w:eastAsia="宋体" w:cs="宋体"/>
          <w:color w:val="000000" w:themeColor="text1"/>
          <w:kern w:val="0"/>
          <w:sz w:val="21"/>
          <w:szCs w:val="21"/>
          <w:highlight w:val="none"/>
          <w14:textFill>
            <w14:solidFill>
              <w14:schemeClr w14:val="tx1"/>
            </w14:solidFill>
          </w14:textFill>
        </w:rPr>
        <w:t>采购代理机构将通过“信用中国”网站(</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"http://www.creditchina.gov.cn"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70"/>
          <w:rFonts w:hint="eastAsia" w:ascii="宋体" w:hAnsi="宋体" w:eastAsia="宋体" w:cs="宋体"/>
          <w:snapToGrid/>
          <w:color w:val="000000" w:themeColor="text1"/>
          <w:sz w:val="21"/>
          <w:szCs w:val="21"/>
          <w:highlight w:val="none"/>
          <w14:textFill>
            <w14:solidFill>
              <w14:schemeClr w14:val="tx1"/>
            </w14:solidFill>
          </w14:textFill>
        </w:rPr>
        <w:t>www.creditchina.gov.cn</w:t>
      </w:r>
      <w:r>
        <w:rPr>
          <w:rStyle w:val="70"/>
          <w:rFonts w:hint="eastAsia" w:ascii="宋体" w:hAnsi="宋体" w:eastAsia="宋体" w:cs="宋体"/>
          <w:snapToGrid/>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kern w:val="0"/>
          <w:sz w:val="21"/>
          <w:szCs w:val="21"/>
          <w:highlight w:val="none"/>
          <w14:textFill>
            <w14:solidFill>
              <w14:schemeClr w14:val="tx1"/>
            </w14:solidFill>
          </w14:textFill>
        </w:rPr>
        <w:t>)和中国政府采购网(www.ccgp.gov.cn)渠道查询供应商响应截止时间当日的信用记录。</w:t>
      </w:r>
    </w:p>
    <w:p w14:paraId="540C7491">
      <w:pPr>
        <w:pStyle w:val="396"/>
        <w:pageBreakBefore w:val="0"/>
        <w:kinsoku/>
        <w:overflowPunct/>
        <w:topLinePunct w:val="0"/>
        <w:bidi w:val="0"/>
        <w:spacing w:before="0" w:line="360" w:lineRule="auto"/>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2.磋商与评审</w:t>
      </w:r>
    </w:p>
    <w:p w14:paraId="4CB4E950">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2.1磋商小组签到。</w:t>
      </w:r>
    </w:p>
    <w:p w14:paraId="603D7333">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2.2采购代理机构宣布有关纪律以及磋商、评审工作程序。</w:t>
      </w:r>
    </w:p>
    <w:p w14:paraId="5260DB69">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2.3磋商小组审查确认磋商文件。磋商文件内容违反国家有关强制性规定的，磋商小组应当停止评审并向采购代理机构说明情况。</w:t>
      </w:r>
    </w:p>
    <w:p w14:paraId="559659BD">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2.4磋商小组对供应商的资格进行审查。</w:t>
      </w:r>
    </w:p>
    <w:p w14:paraId="2FF8FB08">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2.5磋商小组审查响应文件。</w:t>
      </w:r>
    </w:p>
    <w:p w14:paraId="7AABF852">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2.6对于未实质性响应磋商文件的响应文件由磋商小组认定响应无效，并告知该供应商。</w:t>
      </w:r>
    </w:p>
    <w:p w14:paraId="18B2E6A5">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4CA514F">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4楼讲标室通过视频会议系统或自备CA数字证书、笔记本电脑等开展磋商活动。</w:t>
      </w:r>
    </w:p>
    <w:p w14:paraId="659A72CA">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2.9经磋商确定磋商文件的变动情况。对磋商文件作出的实质性变动是磋商文件的有效组成部分，磋商小组应当及时以书面形式同时通知所有参加磋商的供应商。</w:t>
      </w:r>
    </w:p>
    <w:p w14:paraId="15DE8E15">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23C7DD3">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2.11磋商小组按照下列方式确定提交最后报价的供应商，有特殊规定的从其规定：</w:t>
      </w:r>
    </w:p>
    <w:p w14:paraId="15E68C79">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磋商文件能够详细列明采购标的的技术、服务要求的，磋商结束后，磋商小组应当要求所有实质性响应的供应商在规定时间内在电子交易平台提交最后报价，提交最后报价的供应商不得少于3家。</w:t>
      </w:r>
    </w:p>
    <w:p w14:paraId="07DB2DAD">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ACC20BC">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2.12确定进入最后报价的供应商在规定时间内提交最后报价。</w:t>
      </w:r>
    </w:p>
    <w:p w14:paraId="643819BE">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2.13采购代理机构唱价。</w:t>
      </w:r>
    </w:p>
    <w:p w14:paraId="50C71978">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CB0B147">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2.15磋商小组应当根据综合评分情况，按照评审得分由高到低顺序推荐3名以上成交候选供应商，并编写评审报告。</w:t>
      </w:r>
    </w:p>
    <w:p w14:paraId="5EF2C848">
      <w:pPr>
        <w:pStyle w:val="396"/>
        <w:pageBreakBefore w:val="0"/>
        <w:kinsoku/>
        <w:overflowPunct/>
        <w:topLinePunct w:val="0"/>
        <w:bidi w:val="0"/>
        <w:spacing w:before="0" w:line="360" w:lineRule="auto"/>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 成交</w:t>
      </w:r>
    </w:p>
    <w:p w14:paraId="659BD8DA">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637AF678">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175B5B39">
      <w:pPr>
        <w:pStyle w:val="396"/>
        <w:pageBreakBefore w:val="0"/>
        <w:kinsoku/>
        <w:overflowPunct/>
        <w:topLinePunct w:val="0"/>
        <w:bidi w:val="0"/>
        <w:spacing w:before="0" w:line="360" w:lineRule="auto"/>
        <w:ind w:firstLine="0" w:firstLineChars="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4.合同及履约验收</w:t>
      </w:r>
    </w:p>
    <w:p w14:paraId="10F8D930">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4.1采购人与成交供应商应当在成交通知书发出之日起10个工作日内签订政府采购合同。</w:t>
      </w:r>
    </w:p>
    <w:p w14:paraId="2D4B0DEE">
      <w:pPr>
        <w:pageBreakBefore w:val="0"/>
        <w:tabs>
          <w:tab w:val="left" w:pos="0"/>
        </w:tabs>
        <w:kinsoku/>
        <w:overflowPunct/>
        <w:topLinePunct w:val="0"/>
        <w:bidi w:val="0"/>
        <w:spacing w:line="360" w:lineRule="auto"/>
        <w:ind w:firstLine="48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4.2成交供应商按照政策要求及合同约定。</w:t>
      </w:r>
    </w:p>
    <w:p w14:paraId="2E85C976">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4.3合同履约。</w:t>
      </w:r>
    </w:p>
    <w:p w14:paraId="71B9AB50">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4.4采购人组织验收。</w:t>
      </w:r>
    </w:p>
    <w:p w14:paraId="4C7187D1">
      <w:pPr>
        <w:pageBreakBefore w:val="0"/>
        <w:widowControl/>
        <w:kinsoku/>
        <w:overflowPunct/>
        <w:topLinePunct w:val="0"/>
        <w:bidi w:val="0"/>
        <w:adjustRightInd/>
        <w:spacing w:line="360" w:lineRule="auto"/>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p>
    <w:p w14:paraId="503D65CB">
      <w:pPr>
        <w:pageBreakBefore w:val="0"/>
        <w:kinsoku/>
        <w:overflowPunct/>
        <w:topLinePunct w:val="0"/>
        <w:bidi w:val="0"/>
        <w:adjustRightInd/>
        <w:spacing w:line="360" w:lineRule="auto"/>
        <w:jc w:val="center"/>
        <w:outlineLvl w:val="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第三部分</w:t>
      </w:r>
      <w:bookmarkEnd w:id="8"/>
      <w:r>
        <w:rPr>
          <w:rFonts w:hint="eastAsia" w:ascii="宋体" w:hAnsi="宋体" w:eastAsia="宋体" w:cs="宋体"/>
          <w:b/>
          <w:color w:val="000000" w:themeColor="text1"/>
          <w:sz w:val="32"/>
          <w:szCs w:val="32"/>
          <w:highlight w:val="none"/>
          <w14:textFill>
            <w14:solidFill>
              <w14:schemeClr w14:val="tx1"/>
            </w14:solidFill>
          </w14:textFill>
        </w:rPr>
        <w:t xml:space="preserve">  供应商须知</w:t>
      </w:r>
      <w:bookmarkEnd w:id="9"/>
    </w:p>
    <w:p w14:paraId="1C62EE7D">
      <w:pPr>
        <w:pageBreakBefore w:val="0"/>
        <w:kinsoku/>
        <w:overflowPunct/>
        <w:topLinePunct w:val="0"/>
        <w:bidi w:val="0"/>
        <w:adjustRightInd/>
        <w:spacing w:line="360" w:lineRule="auto"/>
        <w:jc w:val="center"/>
        <w:outlineLvl w:val="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一、前附表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2385"/>
        <w:gridCol w:w="5553"/>
      </w:tblGrid>
      <w:tr w14:paraId="19C9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1490B41B">
            <w:pPr>
              <w:pageBreakBefore w:val="0"/>
              <w:kinsoku/>
              <w:overflowPunct/>
              <w:topLinePunct w:val="0"/>
              <w:bidi w:val="0"/>
              <w:snapToGrid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2385" w:type="dxa"/>
            <w:vAlign w:val="center"/>
          </w:tcPr>
          <w:p w14:paraId="575BC80F">
            <w:pPr>
              <w:pageBreakBefore w:val="0"/>
              <w:kinsoku/>
              <w:overflowPunct/>
              <w:topLinePunct w:val="0"/>
              <w:bidi w:val="0"/>
              <w:snapToGrid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事项</w:t>
            </w:r>
          </w:p>
        </w:tc>
        <w:tc>
          <w:tcPr>
            <w:tcW w:w="5553" w:type="dxa"/>
            <w:vAlign w:val="center"/>
          </w:tcPr>
          <w:p w14:paraId="283D07FF">
            <w:pPr>
              <w:pageBreakBefore w:val="0"/>
              <w:kinsoku/>
              <w:overflowPunct/>
              <w:topLinePunct w:val="0"/>
              <w:bidi w:val="0"/>
              <w:snapToGrid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本项目的特别规定</w:t>
            </w:r>
          </w:p>
        </w:tc>
      </w:tr>
      <w:tr w14:paraId="032D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0" w:hRule="atLeast"/>
          <w:tblHeader/>
        </w:trPr>
        <w:tc>
          <w:tcPr>
            <w:tcW w:w="629" w:type="dxa"/>
            <w:vAlign w:val="center"/>
          </w:tcPr>
          <w:p w14:paraId="3326F98B">
            <w:pPr>
              <w:pageBreakBefore w:val="0"/>
              <w:kinsoku/>
              <w:overflowPunct/>
              <w:topLinePunct w:val="0"/>
              <w:bidi w:val="0"/>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2385" w:type="dxa"/>
            <w:vAlign w:val="center"/>
          </w:tcPr>
          <w:p w14:paraId="21D822F1">
            <w:pPr>
              <w:pageBreakBefore w:val="0"/>
              <w:kinsoku/>
              <w:overflowPunct/>
              <w:topLinePunct w:val="0"/>
              <w:bidi w:val="0"/>
              <w:snapToGrid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项目属性</w:t>
            </w:r>
          </w:p>
        </w:tc>
        <w:tc>
          <w:tcPr>
            <w:tcW w:w="5553" w:type="dxa"/>
            <w:vAlign w:val="center"/>
          </w:tcPr>
          <w:p w14:paraId="2F934012">
            <w:pPr>
              <w:pageBreakBefore w:val="0"/>
              <w:kinsoku/>
              <w:overflowPunct/>
              <w:topLinePunct w:val="0"/>
              <w:bidi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服务类。</w:t>
            </w:r>
          </w:p>
        </w:tc>
      </w:tr>
      <w:tr w14:paraId="7202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154A1165">
            <w:pPr>
              <w:pageBreakBefore w:val="0"/>
              <w:kinsoku/>
              <w:overflowPunct/>
              <w:topLinePunct w:val="0"/>
              <w:bidi w:val="0"/>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2385" w:type="dxa"/>
            <w:vAlign w:val="center"/>
          </w:tcPr>
          <w:p w14:paraId="235B8A30">
            <w:pPr>
              <w:pageBreakBefore w:val="0"/>
              <w:kinsoku/>
              <w:overflowPunct/>
              <w:topLinePunct w:val="0"/>
              <w:bidi w:val="0"/>
              <w:snapToGrid w:val="0"/>
              <w:spacing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采购标的及其对应的中小企业划分标准所属行业</w:t>
            </w:r>
          </w:p>
        </w:tc>
        <w:tc>
          <w:tcPr>
            <w:tcW w:w="5553" w:type="dxa"/>
            <w:vAlign w:val="center"/>
          </w:tcPr>
          <w:p w14:paraId="5A6F4F76">
            <w:pPr>
              <w:pageBreakBefore w:val="0"/>
              <w:kinsoku/>
              <w:overflowPunct/>
              <w:topLinePunct w:val="0"/>
              <w:bidi w:val="0"/>
              <w:snapToGri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p>
          <w:p w14:paraId="17E89300">
            <w:pPr>
              <w:pageBreakBefore w:val="0"/>
              <w:kinsoku/>
              <w:overflowPunct/>
              <w:topLinePunct w:val="0"/>
              <w:bidi w:val="0"/>
              <w:snapToGri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本项目属于：</w:t>
            </w:r>
            <w:r>
              <w:rPr>
                <w:rFonts w:hint="eastAsia" w:ascii="宋体" w:hAnsi="宋体" w:cs="宋体"/>
                <w:b w:val="0"/>
                <w:bCs w:val="0"/>
                <w:color w:val="000000" w:themeColor="text1"/>
                <w:szCs w:val="21"/>
                <w:u w:val="single"/>
                <w:lang w:val="zh-CN"/>
                <w14:textFill>
                  <w14:solidFill>
                    <w14:schemeClr w14:val="tx1"/>
                  </w14:solidFill>
                </w14:textFill>
              </w:rPr>
              <w:t>其他未列明行业</w:t>
            </w:r>
            <w:r>
              <w:rPr>
                <w:rFonts w:hint="eastAsia" w:ascii="宋体" w:hAnsi="宋体" w:cs="宋体"/>
                <w:b w:val="0"/>
                <w:bCs w:val="0"/>
                <w:color w:val="000000" w:themeColor="text1"/>
                <w:szCs w:val="21"/>
                <w:lang w:val="zh-CN"/>
                <w14:textFill>
                  <w14:solidFill>
                    <w14:schemeClr w14:val="tx1"/>
                  </w14:solidFill>
                </w14:textFill>
              </w:rPr>
              <w:t>。</w:t>
            </w:r>
          </w:p>
        </w:tc>
      </w:tr>
      <w:tr w14:paraId="3984D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7" w:hRule="atLeast"/>
          <w:tblHeader/>
        </w:trPr>
        <w:tc>
          <w:tcPr>
            <w:tcW w:w="629" w:type="dxa"/>
            <w:vAlign w:val="center"/>
          </w:tcPr>
          <w:p w14:paraId="70D17FBA">
            <w:pPr>
              <w:pageBreakBefore w:val="0"/>
              <w:kinsoku/>
              <w:overflowPunct/>
              <w:topLinePunct w:val="0"/>
              <w:bidi w:val="0"/>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2385" w:type="dxa"/>
            <w:vAlign w:val="center"/>
          </w:tcPr>
          <w:p w14:paraId="03C85640">
            <w:pPr>
              <w:pageBreakBefore w:val="0"/>
              <w:kinsoku/>
              <w:overflowPunct/>
              <w:topLinePunct w:val="0"/>
              <w:bidi w:val="0"/>
              <w:snapToGrid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是否允许采购</w:t>
            </w:r>
          </w:p>
          <w:p w14:paraId="122A87F5">
            <w:pPr>
              <w:pageBreakBefore w:val="0"/>
              <w:kinsoku/>
              <w:overflowPunct/>
              <w:topLinePunct w:val="0"/>
              <w:bidi w:val="0"/>
              <w:snapToGrid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进口产品</w:t>
            </w:r>
          </w:p>
        </w:tc>
        <w:tc>
          <w:tcPr>
            <w:tcW w:w="5553" w:type="dxa"/>
            <w:vAlign w:val="center"/>
          </w:tcPr>
          <w:p w14:paraId="7CB573FD">
            <w:pPr>
              <w:pageBreakBefore w:val="0"/>
              <w:kinsoku/>
              <w:overflowPunct/>
              <w:topLinePunct w:val="0"/>
              <w:bidi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sdt>
              <w:sdtPr>
                <w:rPr>
                  <w:rFonts w:hint="eastAsia" w:ascii="宋体" w:hAnsi="宋体" w:eastAsia="宋体" w:cs="宋体"/>
                  <w:color w:val="000000" w:themeColor="text1"/>
                  <w:kern w:val="0"/>
                  <w:szCs w:val="21"/>
                  <w:highlight w:val="none"/>
                  <w14:textFill>
                    <w14:solidFill>
                      <w14:schemeClr w14:val="tx1"/>
                    </w14:solidFill>
                  </w14:textFill>
                </w:rPr>
                <w:id w:val="-1828425707"/>
              </w:sdtPr>
              <w:sdtEndPr>
                <w:rPr>
                  <w:rFonts w:hint="eastAsia" w:ascii="宋体" w:hAnsi="宋体" w:eastAsia="宋体" w:cs="宋体"/>
                  <w:color w:val="000000" w:themeColor="text1"/>
                  <w:kern w:val="0"/>
                  <w:szCs w:val="21"/>
                  <w:highlight w:val="none"/>
                  <w14:textFill>
                    <w14:solidFill>
                      <w14:schemeClr w14:val="tx1"/>
                    </w14:solidFill>
                  </w14:textFill>
                </w:rPr>
              </w:sdtEndPr>
              <w:sdtContent>
                <w:r>
                  <w:rPr>
                    <w:rFonts w:hint="eastAsia" w:ascii="宋体" w:hAnsi="宋体" w:eastAsia="宋体" w:cs="宋体"/>
                    <w:color w:val="000000" w:themeColor="text1"/>
                    <w:kern w:val="0"/>
                    <w:szCs w:val="21"/>
                    <w:highlight w:val="none"/>
                    <w14:textFill>
                      <w14:solidFill>
                        <w14:schemeClr w14:val="tx1"/>
                      </w14:solidFill>
                    </w14:textFill>
                  </w:rPr>
                  <w:sym w:font="Wingdings" w:char="00FE"/>
                </w:r>
              </w:sdtContent>
            </w:sdt>
            <w:r>
              <w:rPr>
                <w:rFonts w:hint="eastAsia" w:ascii="宋体" w:hAnsi="宋体" w:eastAsia="宋体" w:cs="宋体"/>
                <w:color w:val="000000" w:themeColor="text1"/>
                <w:kern w:val="0"/>
                <w:szCs w:val="21"/>
                <w:highlight w:val="none"/>
                <w14:textFill>
                  <w14:solidFill>
                    <w14:schemeClr w14:val="tx1"/>
                  </w14:solidFill>
                </w14:textFill>
              </w:rPr>
              <w:t>本项目不允许采购进口产品。</w:t>
            </w:r>
          </w:p>
          <w:p w14:paraId="07EFA697">
            <w:pPr>
              <w:pageBreakBefore w:val="0"/>
              <w:kinsoku/>
              <w:overflowPunct/>
              <w:topLinePunct w:val="0"/>
              <w:bidi w:val="0"/>
              <w:spacing w:line="360" w:lineRule="auto"/>
              <w:rPr>
                <w:rFonts w:hint="eastAsia" w:ascii="宋体" w:hAnsi="宋体" w:eastAsia="宋体" w:cs="宋体"/>
                <w:color w:val="000000" w:themeColor="text1"/>
                <w:szCs w:val="21"/>
                <w:highlight w:val="none"/>
                <w14:textFill>
                  <w14:solidFill>
                    <w14:schemeClr w14:val="tx1"/>
                  </w14:solidFill>
                </w14:textFill>
              </w:rPr>
            </w:pPr>
            <w:sdt>
              <w:sdtPr>
                <w:rPr>
                  <w:rFonts w:hint="eastAsia" w:ascii="宋体" w:hAnsi="宋体" w:eastAsia="宋体" w:cs="宋体"/>
                  <w:color w:val="000000" w:themeColor="text1"/>
                  <w:kern w:val="0"/>
                  <w:szCs w:val="21"/>
                  <w:highlight w:val="none"/>
                  <w14:textFill>
                    <w14:solidFill>
                      <w14:schemeClr w14:val="tx1"/>
                    </w14:solidFill>
                  </w14:textFill>
                </w:rPr>
                <w:id w:val="-52852824"/>
              </w:sdtPr>
              <w:sdtEndPr>
                <w:rPr>
                  <w:rFonts w:hint="eastAsia" w:ascii="宋体" w:hAnsi="宋体" w:eastAsia="宋体" w:cs="宋体"/>
                  <w:color w:val="000000" w:themeColor="text1"/>
                  <w:kern w:val="0"/>
                  <w:szCs w:val="21"/>
                  <w:highlight w:val="none"/>
                  <w14:textFill>
                    <w14:solidFill>
                      <w14:schemeClr w14:val="tx1"/>
                    </w14:solidFill>
                  </w14:textFill>
                </w:rPr>
              </w:sdtEndPr>
              <w:sdtContent>
                <w:r>
                  <w:rPr>
                    <w:rFonts w:hint="eastAsia" w:ascii="宋体" w:hAnsi="宋体" w:eastAsia="宋体" w:cs="宋体"/>
                    <w:color w:val="000000" w:themeColor="text1"/>
                    <w:kern w:val="0"/>
                    <w:szCs w:val="21"/>
                    <w:highlight w:val="none"/>
                    <w14:textFill>
                      <w14:solidFill>
                        <w14:schemeClr w14:val="tx1"/>
                      </w14:solidFill>
                    </w14:textFill>
                  </w:rPr>
                  <w:t>☐</w:t>
                </w:r>
              </w:sdtContent>
            </w:sdt>
            <w:r>
              <w:rPr>
                <w:rFonts w:hint="eastAsia" w:ascii="宋体" w:hAnsi="宋体" w:eastAsia="宋体" w:cs="宋体"/>
                <w:color w:val="000000" w:themeColor="text1"/>
                <w:kern w:val="0"/>
                <w:szCs w:val="21"/>
                <w:highlight w:val="none"/>
                <w14:textFill>
                  <w14:solidFill>
                    <w14:schemeClr w14:val="tx1"/>
                  </w14:solidFill>
                </w14:textFill>
              </w:rPr>
              <w:t>可以就</w:t>
            </w:r>
            <w:r>
              <w:rPr>
                <w:rFonts w:hint="eastAsia" w:ascii="宋体" w:hAnsi="宋体" w:eastAsia="宋体" w:cs="宋体"/>
                <w:color w:val="000000" w:themeColor="text1"/>
                <w:szCs w:val="21"/>
                <w:highlight w:val="none"/>
                <w:u w:val="single"/>
                <w14:textFill>
                  <w14:solidFill>
                    <w14:schemeClr w14:val="tx1"/>
                  </w14:solidFill>
                </w14:textFill>
              </w:rPr>
              <w:t xml:space="preserve">  /  </w:t>
            </w:r>
            <w:r>
              <w:rPr>
                <w:rFonts w:hint="eastAsia" w:ascii="宋体" w:hAnsi="宋体" w:eastAsia="宋体" w:cs="宋体"/>
                <w:color w:val="000000" w:themeColor="text1"/>
                <w:kern w:val="0"/>
                <w:szCs w:val="21"/>
                <w:highlight w:val="none"/>
                <w14:textFill>
                  <w14:solidFill>
                    <w14:schemeClr w14:val="tx1"/>
                  </w14:solidFill>
                </w14:textFill>
              </w:rPr>
              <w:t>采购进口产品。</w:t>
            </w:r>
          </w:p>
        </w:tc>
      </w:tr>
      <w:tr w14:paraId="51C0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3" w:hRule="atLeast"/>
          <w:tblHeader/>
        </w:trPr>
        <w:tc>
          <w:tcPr>
            <w:tcW w:w="629" w:type="dxa"/>
            <w:vAlign w:val="center"/>
          </w:tcPr>
          <w:p w14:paraId="096717C0">
            <w:pPr>
              <w:pageBreakBefore w:val="0"/>
              <w:kinsoku/>
              <w:overflowPunct/>
              <w:topLinePunct w:val="0"/>
              <w:bidi w:val="0"/>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2385" w:type="dxa"/>
            <w:vAlign w:val="center"/>
          </w:tcPr>
          <w:p w14:paraId="5E5F0569">
            <w:pPr>
              <w:pageBreakBefore w:val="0"/>
              <w:kinsoku/>
              <w:overflowPunct/>
              <w:topLinePunct w:val="0"/>
              <w:bidi w:val="0"/>
              <w:snapToGrid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分包</w:t>
            </w:r>
          </w:p>
        </w:tc>
        <w:tc>
          <w:tcPr>
            <w:tcW w:w="5553" w:type="dxa"/>
            <w:vAlign w:val="center"/>
          </w:tcPr>
          <w:p w14:paraId="0FABFCC5">
            <w:pPr>
              <w:pageBreakBefore w:val="0"/>
              <w:kinsoku/>
              <w:overflowPunct/>
              <w:topLinePunct w:val="0"/>
              <w:bidi w:val="0"/>
              <w:spacing w:line="360" w:lineRule="auto"/>
              <w:rPr>
                <w:rFonts w:hint="eastAsia" w:ascii="宋体" w:hAnsi="宋体" w:eastAsia="宋体" w:cs="宋体"/>
                <w:color w:val="000000" w:themeColor="text1"/>
                <w:szCs w:val="21"/>
                <w:highlight w:val="none"/>
                <w14:textFill>
                  <w14:solidFill>
                    <w14:schemeClr w14:val="tx1"/>
                  </w14:solidFill>
                </w14:textFill>
              </w:rPr>
            </w:pPr>
            <w:sdt>
              <w:sdtPr>
                <w:rPr>
                  <w:rFonts w:hint="eastAsia" w:ascii="宋体" w:hAnsi="宋体" w:eastAsia="宋体" w:cs="宋体"/>
                  <w:color w:val="000000" w:themeColor="text1"/>
                  <w:kern w:val="0"/>
                  <w:szCs w:val="21"/>
                  <w:highlight w:val="none"/>
                  <w14:textFill>
                    <w14:solidFill>
                      <w14:schemeClr w14:val="tx1"/>
                    </w14:solidFill>
                  </w14:textFill>
                </w:rPr>
                <w:id w:val="-1477286927"/>
              </w:sdtPr>
              <w:sdtEndPr>
                <w:rPr>
                  <w:rFonts w:hint="eastAsia" w:ascii="宋体" w:hAnsi="宋体" w:eastAsia="宋体" w:cs="宋体"/>
                  <w:color w:val="000000" w:themeColor="text1"/>
                  <w:kern w:val="0"/>
                  <w:szCs w:val="21"/>
                  <w:highlight w:val="none"/>
                  <w14:textFill>
                    <w14:solidFill>
                      <w14:schemeClr w14:val="tx1"/>
                    </w14:solidFill>
                  </w14:textFill>
                </w:rPr>
              </w:sdtEndPr>
              <w:sdtContent>
                <w:r>
                  <w:rPr>
                    <w:rFonts w:hint="eastAsia" w:ascii="宋体" w:hAnsi="宋体" w:eastAsia="宋体" w:cs="宋体"/>
                    <w:color w:val="000000" w:themeColor="text1"/>
                    <w:kern w:val="0"/>
                    <w:szCs w:val="21"/>
                    <w:highlight w:val="none"/>
                    <w14:textFill>
                      <w14:solidFill>
                        <w14:schemeClr w14:val="tx1"/>
                      </w14:solidFill>
                    </w14:textFill>
                  </w:rPr>
                  <w:sym w:font="Wingdings" w:char="00A8"/>
                </w:r>
              </w:sdtContent>
            </w:sdt>
            <w:r>
              <w:rPr>
                <w:rFonts w:hint="eastAsia" w:ascii="宋体" w:hAnsi="宋体" w:eastAsia="宋体" w:cs="宋体"/>
                <w:color w:val="000000" w:themeColor="text1"/>
                <w:kern w:val="0"/>
                <w:szCs w:val="21"/>
                <w:highlight w:val="none"/>
                <w14:textFill>
                  <w14:solidFill>
                    <w14:schemeClr w14:val="tx1"/>
                  </w14:solidFill>
                </w14:textFill>
              </w:rPr>
              <w:t xml:space="preserve"> A</w:t>
            </w:r>
            <w:r>
              <w:rPr>
                <w:rFonts w:hint="eastAsia" w:ascii="宋体" w:hAnsi="宋体" w:eastAsia="宋体" w:cs="宋体"/>
                <w:color w:val="000000" w:themeColor="text1"/>
                <w:szCs w:val="21"/>
                <w:highlight w:val="none"/>
                <w14:textFill>
                  <w14:solidFill>
                    <w14:schemeClr w14:val="tx1"/>
                  </w14:solidFill>
                </w14:textFill>
              </w:rPr>
              <w:t>同意将非主体、非关键性的</w:t>
            </w:r>
            <w:r>
              <w:rPr>
                <w:rFonts w:hint="eastAsia" w:ascii="宋体" w:hAnsi="宋体" w:eastAsia="宋体" w:cs="宋体"/>
                <w:color w:val="000000" w:themeColor="text1"/>
                <w:szCs w:val="21"/>
                <w:highlight w:val="none"/>
                <w:u w:val="single"/>
                <w14:textFill>
                  <w14:solidFill>
                    <w14:schemeClr w14:val="tx1"/>
                  </w14:solidFill>
                </w14:textFill>
              </w:rPr>
              <w:t xml:space="preserve">    /     </w:t>
            </w:r>
            <w:r>
              <w:rPr>
                <w:rFonts w:hint="eastAsia" w:ascii="宋体" w:hAnsi="宋体" w:eastAsia="宋体" w:cs="宋体"/>
                <w:color w:val="000000" w:themeColor="text1"/>
                <w:szCs w:val="21"/>
                <w:highlight w:val="none"/>
                <w14:textFill>
                  <w14:solidFill>
                    <w14:schemeClr w14:val="tx1"/>
                  </w14:solidFill>
                </w14:textFill>
              </w:rPr>
              <w:t>工作分包。</w:t>
            </w:r>
          </w:p>
          <w:p w14:paraId="406D91CC">
            <w:pPr>
              <w:pageBreakBefore w:val="0"/>
              <w:kinsoku/>
              <w:overflowPunct/>
              <w:topLinePunct w:val="0"/>
              <w:bidi w:val="0"/>
              <w:spacing w:line="360" w:lineRule="auto"/>
              <w:rPr>
                <w:rFonts w:hint="eastAsia" w:ascii="宋体" w:hAnsi="宋体" w:eastAsia="宋体" w:cs="宋体"/>
                <w:color w:val="000000" w:themeColor="text1"/>
                <w:szCs w:val="21"/>
                <w:highlight w:val="none"/>
                <w14:textFill>
                  <w14:solidFill>
                    <w14:schemeClr w14:val="tx1"/>
                  </w14:solidFill>
                </w14:textFill>
              </w:rPr>
            </w:pPr>
            <w:sdt>
              <w:sdtPr>
                <w:rPr>
                  <w:rFonts w:hint="eastAsia" w:ascii="宋体" w:hAnsi="宋体" w:eastAsia="宋体" w:cs="宋体"/>
                  <w:color w:val="000000" w:themeColor="text1"/>
                  <w:kern w:val="0"/>
                  <w:szCs w:val="21"/>
                  <w:highlight w:val="none"/>
                  <w14:textFill>
                    <w14:solidFill>
                      <w14:schemeClr w14:val="tx1"/>
                    </w14:solidFill>
                  </w14:textFill>
                </w:rPr>
                <w:id w:val="-1276331357"/>
              </w:sdtPr>
              <w:sdtEndPr>
                <w:rPr>
                  <w:rFonts w:hint="eastAsia" w:ascii="宋体" w:hAnsi="宋体" w:eastAsia="宋体" w:cs="宋体"/>
                  <w:color w:val="000000" w:themeColor="text1"/>
                  <w:kern w:val="0"/>
                  <w:szCs w:val="21"/>
                  <w:highlight w:val="none"/>
                  <w14:textFill>
                    <w14:solidFill>
                      <w14:schemeClr w14:val="tx1"/>
                    </w14:solidFill>
                  </w14:textFill>
                </w:rPr>
              </w:sdtEndPr>
              <w:sdtContent>
                <w:r>
                  <w:rPr>
                    <w:rFonts w:hint="eastAsia" w:ascii="宋体" w:hAnsi="宋体" w:eastAsia="宋体" w:cs="宋体"/>
                    <w:color w:val="000000" w:themeColor="text1"/>
                    <w:kern w:val="0"/>
                    <w:szCs w:val="21"/>
                    <w:highlight w:val="none"/>
                    <w14:textFill>
                      <w14:solidFill>
                        <w14:schemeClr w14:val="tx1"/>
                      </w14:solidFill>
                    </w14:textFill>
                  </w:rPr>
                  <w:sym w:font="Wingdings" w:char="00FE"/>
                </w:r>
              </w:sdtContent>
            </w:sdt>
            <w:r>
              <w:rPr>
                <w:rFonts w:hint="eastAsia" w:ascii="宋体" w:hAnsi="宋体" w:eastAsia="宋体" w:cs="宋体"/>
                <w:color w:val="000000" w:themeColor="text1"/>
                <w:kern w:val="0"/>
                <w:szCs w:val="21"/>
                <w:highlight w:val="none"/>
                <w14:textFill>
                  <w14:solidFill>
                    <w14:schemeClr w14:val="tx1"/>
                  </w14:solidFill>
                </w14:textFill>
              </w:rPr>
              <w:t xml:space="preserve"> B</w:t>
            </w:r>
            <w:r>
              <w:rPr>
                <w:rFonts w:hint="eastAsia" w:ascii="宋体" w:hAnsi="宋体" w:eastAsia="宋体" w:cs="宋体"/>
                <w:color w:val="000000" w:themeColor="text1"/>
                <w:szCs w:val="21"/>
                <w:highlight w:val="none"/>
                <w14:textFill>
                  <w14:solidFill>
                    <w14:schemeClr w14:val="tx1"/>
                  </w14:solidFill>
                </w14:textFill>
              </w:rPr>
              <w:t>不同意分包。</w:t>
            </w:r>
          </w:p>
        </w:tc>
      </w:tr>
      <w:tr w14:paraId="14D2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27" w:hRule="atLeast"/>
          <w:tblHeader/>
        </w:trPr>
        <w:tc>
          <w:tcPr>
            <w:tcW w:w="629" w:type="dxa"/>
            <w:vAlign w:val="center"/>
          </w:tcPr>
          <w:p w14:paraId="667420CF">
            <w:pPr>
              <w:pageBreakBefore w:val="0"/>
              <w:kinsoku/>
              <w:overflowPunct/>
              <w:topLinePunct w:val="0"/>
              <w:bidi w:val="0"/>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p>
        </w:tc>
        <w:tc>
          <w:tcPr>
            <w:tcW w:w="2385" w:type="dxa"/>
            <w:vAlign w:val="center"/>
          </w:tcPr>
          <w:p w14:paraId="1D4E83A2">
            <w:pPr>
              <w:pageBreakBefore w:val="0"/>
              <w:kinsoku/>
              <w:overflowPunct/>
              <w:topLinePunct w:val="0"/>
              <w:bidi w:val="0"/>
              <w:snapToGrid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开标前答疑会或现场考察</w:t>
            </w:r>
          </w:p>
        </w:tc>
        <w:tc>
          <w:tcPr>
            <w:tcW w:w="5553" w:type="dxa"/>
            <w:vAlign w:val="center"/>
          </w:tcPr>
          <w:p w14:paraId="3ED98973">
            <w:pPr>
              <w:pageBreakBefore w:val="0"/>
              <w:kinsoku/>
              <w:overflowPunct/>
              <w:topLinePunct w:val="0"/>
              <w:bidi w:val="0"/>
              <w:spacing w:line="360" w:lineRule="auto"/>
              <w:rPr>
                <w:rFonts w:hint="eastAsia" w:ascii="宋体" w:hAnsi="宋体" w:eastAsia="宋体" w:cs="宋体"/>
                <w:color w:val="000000" w:themeColor="text1"/>
                <w:szCs w:val="21"/>
                <w:highlight w:val="none"/>
                <w14:textFill>
                  <w14:solidFill>
                    <w14:schemeClr w14:val="tx1"/>
                  </w14:solidFill>
                </w14:textFill>
              </w:rPr>
            </w:pPr>
            <w:sdt>
              <w:sdtPr>
                <w:rPr>
                  <w:rFonts w:hint="eastAsia" w:ascii="宋体" w:hAnsi="宋体" w:eastAsia="宋体" w:cs="宋体"/>
                  <w:color w:val="000000" w:themeColor="text1"/>
                  <w:kern w:val="0"/>
                  <w:szCs w:val="21"/>
                  <w:highlight w:val="none"/>
                  <w14:textFill>
                    <w14:solidFill>
                      <w14:schemeClr w14:val="tx1"/>
                    </w14:solidFill>
                  </w14:textFill>
                </w:rPr>
                <w:id w:val="-212966419"/>
              </w:sdtPr>
              <w:sdtEndPr>
                <w:rPr>
                  <w:rFonts w:hint="eastAsia" w:ascii="宋体" w:hAnsi="宋体" w:eastAsia="宋体" w:cs="宋体"/>
                  <w:color w:val="000000" w:themeColor="text1"/>
                  <w:kern w:val="0"/>
                  <w:szCs w:val="21"/>
                  <w:highlight w:val="none"/>
                  <w14:textFill>
                    <w14:solidFill>
                      <w14:schemeClr w14:val="tx1"/>
                    </w14:solidFill>
                  </w14:textFill>
                </w:rPr>
              </w:sdtEndPr>
              <w:sdtContent>
                <w:r>
                  <w:rPr>
                    <w:rFonts w:hint="eastAsia" w:ascii="宋体" w:hAnsi="宋体" w:eastAsia="宋体" w:cs="宋体"/>
                    <w:color w:val="000000" w:themeColor="text1"/>
                    <w:kern w:val="0"/>
                    <w:szCs w:val="21"/>
                    <w:highlight w:val="none"/>
                    <w14:textFill>
                      <w14:solidFill>
                        <w14:schemeClr w14:val="tx1"/>
                      </w14:solidFill>
                    </w14:textFill>
                  </w:rPr>
                  <w:sym w:font="Wingdings" w:char="00FE"/>
                </w:r>
                <w:r>
                  <w:rPr>
                    <w:rFonts w:hint="eastAsia" w:ascii="宋体" w:hAnsi="宋体" w:eastAsia="宋体" w:cs="宋体"/>
                    <w:color w:val="000000" w:themeColor="text1"/>
                    <w:kern w:val="0"/>
                    <w:szCs w:val="21"/>
                    <w:highlight w:val="none"/>
                    <w14:textFill>
                      <w14:solidFill>
                        <w14:schemeClr w14:val="tx1"/>
                      </w14:solidFill>
                    </w14:textFill>
                  </w:rPr>
                  <w:t></w:t>
                </w:r>
              </w:sdtContent>
            </w:sdt>
            <w:r>
              <w:rPr>
                <w:rFonts w:hint="eastAsia" w:ascii="宋体" w:hAnsi="宋体" w:eastAsia="宋体" w:cs="宋体"/>
                <w:color w:val="000000" w:themeColor="text1"/>
                <w:kern w:val="0"/>
                <w:szCs w:val="21"/>
                <w:highlight w:val="none"/>
                <w14:textFill>
                  <w14:solidFill>
                    <w14:schemeClr w14:val="tx1"/>
                  </w14:solidFill>
                </w14:textFill>
              </w:rPr>
              <w:t>A</w:t>
            </w:r>
            <w:r>
              <w:rPr>
                <w:rFonts w:hint="eastAsia" w:ascii="宋体" w:hAnsi="宋体" w:eastAsia="宋体" w:cs="宋体"/>
                <w:color w:val="000000" w:themeColor="text1"/>
                <w:szCs w:val="21"/>
                <w:highlight w:val="none"/>
                <w14:textFill>
                  <w14:solidFill>
                    <w14:schemeClr w14:val="tx1"/>
                  </w14:solidFill>
                </w14:textFill>
              </w:rPr>
              <w:t>不组织。</w:t>
            </w:r>
          </w:p>
          <w:p w14:paraId="7EC35E44">
            <w:pPr>
              <w:pageBreakBefore w:val="0"/>
              <w:kinsoku/>
              <w:overflowPunct/>
              <w:topLinePunct w:val="0"/>
              <w:bidi w:val="0"/>
              <w:spacing w:line="360" w:lineRule="auto"/>
              <w:rPr>
                <w:rFonts w:hint="eastAsia" w:ascii="宋体" w:hAnsi="宋体" w:eastAsia="宋体" w:cs="宋体"/>
                <w:color w:val="000000" w:themeColor="text1"/>
                <w:szCs w:val="21"/>
                <w:highlight w:val="none"/>
                <w14:textFill>
                  <w14:solidFill>
                    <w14:schemeClr w14:val="tx1"/>
                  </w14:solidFill>
                </w14:textFill>
              </w:rPr>
            </w:pPr>
            <w:sdt>
              <w:sdtPr>
                <w:rPr>
                  <w:rFonts w:hint="eastAsia" w:ascii="宋体" w:hAnsi="宋体" w:eastAsia="宋体" w:cs="宋体"/>
                  <w:color w:val="000000" w:themeColor="text1"/>
                  <w:kern w:val="0"/>
                  <w:szCs w:val="21"/>
                  <w:highlight w:val="none"/>
                  <w14:textFill>
                    <w14:solidFill>
                      <w14:schemeClr w14:val="tx1"/>
                    </w14:solidFill>
                  </w14:textFill>
                </w:rPr>
                <w:id w:val="-999802974"/>
              </w:sdtPr>
              <w:sdtEndPr>
                <w:rPr>
                  <w:rFonts w:hint="eastAsia" w:ascii="宋体" w:hAnsi="宋体" w:eastAsia="宋体" w:cs="宋体"/>
                  <w:color w:val="000000" w:themeColor="text1"/>
                  <w:kern w:val="0"/>
                  <w:szCs w:val="21"/>
                  <w:highlight w:val="none"/>
                  <w14:textFill>
                    <w14:solidFill>
                      <w14:schemeClr w14:val="tx1"/>
                    </w14:solidFill>
                  </w14:textFill>
                </w:rPr>
              </w:sdtEndPr>
              <w:sdtContent>
                <w:r>
                  <w:rPr>
                    <w:rFonts w:hint="eastAsia" w:ascii="宋体" w:hAnsi="宋体" w:eastAsia="宋体" w:cs="宋体"/>
                    <w:color w:val="000000" w:themeColor="text1"/>
                    <w:kern w:val="0"/>
                    <w:szCs w:val="21"/>
                    <w:highlight w:val="none"/>
                    <w14:textFill>
                      <w14:solidFill>
                        <w14:schemeClr w14:val="tx1"/>
                      </w14:solidFill>
                    </w14:textFill>
                  </w:rPr>
                  <w:sym w:font="Wingdings" w:char="00A8"/>
                </w:r>
                <w:r>
                  <w:rPr>
                    <w:rFonts w:hint="eastAsia" w:ascii="宋体" w:hAnsi="宋体" w:eastAsia="宋体" w:cs="宋体"/>
                    <w:color w:val="000000" w:themeColor="text1"/>
                    <w:kern w:val="0"/>
                    <w:szCs w:val="21"/>
                    <w:highlight w:val="none"/>
                    <w14:textFill>
                      <w14:solidFill>
                        <w14:schemeClr w14:val="tx1"/>
                      </w14:solidFill>
                    </w14:textFill>
                  </w:rPr>
                  <w:t xml:space="preserve">  </w:t>
                </w:r>
              </w:sdtContent>
            </w:sdt>
            <w:r>
              <w:rPr>
                <w:rFonts w:hint="eastAsia" w:ascii="宋体" w:hAnsi="宋体" w:eastAsia="宋体" w:cs="宋体"/>
                <w:color w:val="000000" w:themeColor="text1"/>
                <w:kern w:val="0"/>
                <w:szCs w:val="21"/>
                <w:highlight w:val="none"/>
                <w14:textFill>
                  <w14:solidFill>
                    <w14:schemeClr w14:val="tx1"/>
                  </w14:solidFill>
                </w14:textFill>
              </w:rPr>
              <w:t>B组织</w:t>
            </w:r>
            <w:r>
              <w:rPr>
                <w:rFonts w:hint="eastAsia" w:ascii="宋体" w:hAnsi="宋体" w:eastAsia="宋体" w:cs="宋体"/>
                <w:color w:val="000000" w:themeColor="text1"/>
                <w:szCs w:val="21"/>
                <w:highlight w:val="none"/>
                <w14:textFill>
                  <w14:solidFill>
                    <w14:schemeClr w14:val="tx1"/>
                  </w14:solidFill>
                </w14:textFill>
              </w:rPr>
              <w:t>。</w:t>
            </w:r>
          </w:p>
        </w:tc>
      </w:tr>
      <w:tr w14:paraId="5AE7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0" w:hRule="atLeast"/>
          <w:tblHeader/>
        </w:trPr>
        <w:tc>
          <w:tcPr>
            <w:tcW w:w="629" w:type="dxa"/>
            <w:vAlign w:val="center"/>
          </w:tcPr>
          <w:p w14:paraId="31A8B977">
            <w:pPr>
              <w:pageBreakBefore w:val="0"/>
              <w:kinsoku/>
              <w:overflowPunct/>
              <w:topLinePunct w:val="0"/>
              <w:bidi w:val="0"/>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p>
        </w:tc>
        <w:tc>
          <w:tcPr>
            <w:tcW w:w="2385" w:type="dxa"/>
            <w:vAlign w:val="center"/>
          </w:tcPr>
          <w:p w14:paraId="647BE392">
            <w:pPr>
              <w:pageBreakBefore w:val="0"/>
              <w:kinsoku/>
              <w:overflowPunct/>
              <w:topLinePunct w:val="0"/>
              <w:bidi w:val="0"/>
              <w:snapToGrid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样品提供</w:t>
            </w:r>
          </w:p>
        </w:tc>
        <w:tc>
          <w:tcPr>
            <w:tcW w:w="5553" w:type="dxa"/>
            <w:vAlign w:val="center"/>
          </w:tcPr>
          <w:p w14:paraId="092B41CF">
            <w:pPr>
              <w:pageBreakBefore w:val="0"/>
              <w:kinsoku/>
              <w:overflowPunct/>
              <w:topLinePunct w:val="0"/>
              <w:bidi w:val="0"/>
              <w:spacing w:line="360" w:lineRule="auto"/>
              <w:rPr>
                <w:rFonts w:hint="eastAsia" w:ascii="宋体" w:hAnsi="宋体" w:eastAsia="宋体" w:cs="宋体"/>
                <w:color w:val="000000" w:themeColor="text1"/>
                <w:szCs w:val="21"/>
                <w:highlight w:val="none"/>
                <w14:textFill>
                  <w14:solidFill>
                    <w14:schemeClr w14:val="tx1"/>
                  </w14:solidFill>
                </w14:textFill>
              </w:rPr>
            </w:pPr>
            <w:sdt>
              <w:sdtPr>
                <w:rPr>
                  <w:rFonts w:hint="eastAsia" w:ascii="宋体" w:hAnsi="宋体" w:eastAsia="宋体" w:cs="宋体"/>
                  <w:color w:val="000000" w:themeColor="text1"/>
                  <w:kern w:val="0"/>
                  <w:szCs w:val="21"/>
                  <w:highlight w:val="none"/>
                  <w14:textFill>
                    <w14:solidFill>
                      <w14:schemeClr w14:val="tx1"/>
                    </w14:solidFill>
                  </w14:textFill>
                </w:rPr>
                <w:id w:val="-1639946486"/>
              </w:sdtPr>
              <w:sdtEndPr>
                <w:rPr>
                  <w:rFonts w:hint="eastAsia" w:ascii="宋体" w:hAnsi="宋体" w:eastAsia="宋体" w:cs="宋体"/>
                  <w:color w:val="000000" w:themeColor="text1"/>
                  <w:kern w:val="0"/>
                  <w:szCs w:val="21"/>
                  <w:highlight w:val="none"/>
                  <w14:textFill>
                    <w14:solidFill>
                      <w14:schemeClr w14:val="tx1"/>
                    </w14:solidFill>
                  </w14:textFill>
                </w:rPr>
              </w:sdtEndPr>
              <w:sdtContent>
                <w:r>
                  <w:rPr>
                    <w:rFonts w:hint="eastAsia" w:ascii="宋体" w:hAnsi="宋体" w:eastAsia="宋体" w:cs="宋体"/>
                    <w:color w:val="000000" w:themeColor="text1"/>
                    <w:kern w:val="0"/>
                    <w:szCs w:val="21"/>
                    <w:highlight w:val="none"/>
                    <w14:textFill>
                      <w14:solidFill>
                        <w14:schemeClr w14:val="tx1"/>
                      </w14:solidFill>
                    </w14:textFill>
                  </w:rPr>
                  <w:sym w:font="Wingdings" w:char="00FE"/>
                </w:r>
              </w:sdtContent>
            </w:sdt>
            <w:r>
              <w:rPr>
                <w:rFonts w:hint="eastAsia" w:ascii="宋体" w:hAnsi="宋体" w:eastAsia="宋体" w:cs="宋体"/>
                <w:color w:val="000000" w:themeColor="text1"/>
                <w:kern w:val="0"/>
                <w:szCs w:val="21"/>
                <w:highlight w:val="none"/>
                <w14:textFill>
                  <w14:solidFill>
                    <w14:schemeClr w14:val="tx1"/>
                  </w14:solidFill>
                </w14:textFill>
              </w:rPr>
              <w:t>A</w:t>
            </w:r>
            <w:r>
              <w:rPr>
                <w:rFonts w:hint="eastAsia" w:ascii="宋体" w:hAnsi="宋体" w:eastAsia="宋体" w:cs="宋体"/>
                <w:color w:val="000000" w:themeColor="text1"/>
                <w:szCs w:val="21"/>
                <w:highlight w:val="none"/>
                <w14:textFill>
                  <w14:solidFill>
                    <w14:schemeClr w14:val="tx1"/>
                  </w14:solidFill>
                </w14:textFill>
              </w:rPr>
              <w:t>不要求提供。</w:t>
            </w:r>
          </w:p>
          <w:p w14:paraId="11164561">
            <w:pPr>
              <w:pageBreakBefore w:val="0"/>
              <w:kinsoku/>
              <w:overflowPunct/>
              <w:topLinePunct w:val="0"/>
              <w:bidi w:val="0"/>
              <w:spacing w:line="360" w:lineRule="auto"/>
              <w:rPr>
                <w:rFonts w:hint="eastAsia" w:ascii="宋体" w:hAnsi="宋体" w:eastAsia="宋体" w:cs="宋体"/>
                <w:b/>
                <w:color w:val="000000" w:themeColor="text1"/>
                <w:szCs w:val="21"/>
                <w:highlight w:val="none"/>
                <w14:textFill>
                  <w14:solidFill>
                    <w14:schemeClr w14:val="tx1"/>
                  </w14:solidFill>
                </w14:textFill>
              </w:rPr>
            </w:pPr>
            <w:sdt>
              <w:sdtPr>
                <w:rPr>
                  <w:rFonts w:hint="eastAsia" w:ascii="宋体" w:hAnsi="宋体" w:eastAsia="宋体" w:cs="宋体"/>
                  <w:color w:val="000000" w:themeColor="text1"/>
                  <w:kern w:val="0"/>
                  <w:szCs w:val="21"/>
                  <w:highlight w:val="none"/>
                  <w14:textFill>
                    <w14:solidFill>
                      <w14:schemeClr w14:val="tx1"/>
                    </w14:solidFill>
                  </w14:textFill>
                </w:rPr>
                <w:id w:val="1026831988"/>
              </w:sdtPr>
              <w:sdtEndPr>
                <w:rPr>
                  <w:rFonts w:hint="eastAsia" w:ascii="宋体" w:hAnsi="宋体" w:eastAsia="宋体" w:cs="宋体"/>
                  <w:color w:val="000000" w:themeColor="text1"/>
                  <w:kern w:val="0"/>
                  <w:szCs w:val="21"/>
                  <w:highlight w:val="none"/>
                  <w14:textFill>
                    <w14:solidFill>
                      <w14:schemeClr w14:val="tx1"/>
                    </w14:solidFill>
                  </w14:textFill>
                </w:rPr>
              </w:sdtEndPr>
              <w:sdtContent>
                <w:r>
                  <w:rPr>
                    <w:rFonts w:hint="eastAsia" w:ascii="宋体" w:hAnsi="宋体" w:eastAsia="宋体" w:cs="宋体"/>
                    <w:color w:val="000000" w:themeColor="text1"/>
                    <w:kern w:val="0"/>
                    <w:szCs w:val="21"/>
                    <w:highlight w:val="none"/>
                    <w14:textFill>
                      <w14:solidFill>
                        <w14:schemeClr w14:val="tx1"/>
                      </w14:solidFill>
                    </w14:textFill>
                  </w:rPr>
                  <w:t>☐</w:t>
                </w:r>
              </w:sdtContent>
            </w:sdt>
            <w:r>
              <w:rPr>
                <w:rFonts w:hint="eastAsia" w:ascii="宋体" w:hAnsi="宋体" w:eastAsia="宋体" w:cs="宋体"/>
                <w:color w:val="000000" w:themeColor="text1"/>
                <w:kern w:val="0"/>
                <w:szCs w:val="21"/>
                <w:highlight w:val="none"/>
                <w14:textFill>
                  <w14:solidFill>
                    <w14:schemeClr w14:val="tx1"/>
                  </w14:solidFill>
                </w14:textFill>
              </w:rPr>
              <w:t>B要求提供，</w:t>
            </w:r>
          </w:p>
        </w:tc>
      </w:tr>
      <w:tr w14:paraId="3B55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9" w:hRule="atLeast"/>
          <w:tblHeader/>
        </w:trPr>
        <w:tc>
          <w:tcPr>
            <w:tcW w:w="629" w:type="dxa"/>
            <w:vAlign w:val="center"/>
          </w:tcPr>
          <w:p w14:paraId="47697AB4">
            <w:pPr>
              <w:pageBreakBefore w:val="0"/>
              <w:kinsoku/>
              <w:overflowPunct/>
              <w:topLinePunct w:val="0"/>
              <w:bidi w:val="0"/>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p>
        </w:tc>
        <w:tc>
          <w:tcPr>
            <w:tcW w:w="2385" w:type="dxa"/>
            <w:vAlign w:val="center"/>
          </w:tcPr>
          <w:p w14:paraId="19F50890">
            <w:pPr>
              <w:pageBreakBefore w:val="0"/>
              <w:kinsoku/>
              <w:overflowPunct/>
              <w:topLinePunct w:val="0"/>
              <w:bidi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方案讲解演示</w:t>
            </w:r>
          </w:p>
        </w:tc>
        <w:tc>
          <w:tcPr>
            <w:tcW w:w="5553" w:type="dxa"/>
            <w:vAlign w:val="center"/>
          </w:tcPr>
          <w:p w14:paraId="4571A7C1">
            <w:pPr>
              <w:pageBreakBefore w:val="0"/>
              <w:kinsoku/>
              <w:overflowPunct/>
              <w:topLinePunct w:val="0"/>
              <w:bidi w:val="0"/>
              <w:spacing w:line="360" w:lineRule="auto"/>
              <w:rPr>
                <w:rFonts w:hint="eastAsia" w:ascii="宋体" w:hAnsi="宋体" w:eastAsia="宋体" w:cs="宋体"/>
                <w:color w:val="000000" w:themeColor="text1"/>
                <w:szCs w:val="21"/>
                <w:highlight w:val="none"/>
                <w14:textFill>
                  <w14:solidFill>
                    <w14:schemeClr w14:val="tx1"/>
                  </w14:solidFill>
                </w14:textFill>
              </w:rPr>
            </w:pPr>
            <w:sdt>
              <w:sdtPr>
                <w:rPr>
                  <w:rFonts w:hint="eastAsia" w:ascii="宋体" w:hAnsi="宋体" w:eastAsia="宋体" w:cs="宋体"/>
                  <w:color w:val="000000" w:themeColor="text1"/>
                  <w:kern w:val="0"/>
                  <w:szCs w:val="21"/>
                  <w:highlight w:val="none"/>
                  <w14:textFill>
                    <w14:solidFill>
                      <w14:schemeClr w14:val="tx1"/>
                    </w14:solidFill>
                  </w14:textFill>
                </w:rPr>
                <w:id w:val="-1859348549"/>
              </w:sdtPr>
              <w:sdtEndPr>
                <w:rPr>
                  <w:rFonts w:hint="eastAsia" w:ascii="宋体" w:hAnsi="宋体" w:eastAsia="宋体" w:cs="宋体"/>
                  <w:color w:val="000000" w:themeColor="text1"/>
                  <w:kern w:val="0"/>
                  <w:szCs w:val="21"/>
                  <w:highlight w:val="none"/>
                  <w14:textFill>
                    <w14:solidFill>
                      <w14:schemeClr w14:val="tx1"/>
                    </w14:solidFill>
                  </w14:textFill>
                </w:rPr>
              </w:sdtEndPr>
              <w:sdtContent>
                <w:r>
                  <w:rPr>
                    <w:rFonts w:hint="eastAsia" w:ascii="宋体" w:hAnsi="宋体" w:eastAsia="宋体" w:cs="宋体"/>
                    <w:b/>
                    <w:bCs/>
                    <w:color w:val="000000" w:themeColor="text1"/>
                    <w:kern w:val="0"/>
                    <w:szCs w:val="21"/>
                    <w:highlight w:val="none"/>
                    <w14:textFill>
                      <w14:solidFill>
                        <w14:schemeClr w14:val="tx1"/>
                      </w14:solidFill>
                    </w14:textFill>
                  </w:rPr>
                  <w:sym w:font="Wingdings" w:char="00FE"/>
                </w:r>
                <w:r>
                  <w:rPr>
                    <w:rFonts w:hint="eastAsia" w:ascii="宋体" w:hAnsi="宋体" w:eastAsia="宋体" w:cs="宋体"/>
                    <w:color w:val="000000" w:themeColor="text1"/>
                    <w:kern w:val="0"/>
                    <w:szCs w:val="21"/>
                    <w:highlight w:val="none"/>
                    <w14:textFill>
                      <w14:solidFill>
                        <w14:schemeClr w14:val="tx1"/>
                      </w14:solidFill>
                    </w14:textFill>
                  </w:rPr>
                  <w:t></w:t>
                </w:r>
              </w:sdtContent>
            </w:sdt>
            <w:r>
              <w:rPr>
                <w:rFonts w:hint="eastAsia" w:ascii="宋体" w:hAnsi="宋体" w:eastAsia="宋体" w:cs="宋体"/>
                <w:color w:val="000000" w:themeColor="text1"/>
                <w:kern w:val="0"/>
                <w:szCs w:val="21"/>
                <w:highlight w:val="none"/>
                <w14:textFill>
                  <w14:solidFill>
                    <w14:schemeClr w14:val="tx1"/>
                  </w14:solidFill>
                </w14:textFill>
              </w:rPr>
              <w:t>A</w:t>
            </w:r>
            <w:r>
              <w:rPr>
                <w:rFonts w:hint="eastAsia" w:ascii="宋体" w:hAnsi="宋体" w:eastAsia="宋体" w:cs="宋体"/>
                <w:color w:val="000000" w:themeColor="text1"/>
                <w:szCs w:val="21"/>
                <w:highlight w:val="none"/>
                <w14:textFill>
                  <w14:solidFill>
                    <w14:schemeClr w14:val="tx1"/>
                  </w14:solidFill>
                </w14:textFill>
              </w:rPr>
              <w:t>不组织。</w:t>
            </w:r>
          </w:p>
          <w:p w14:paraId="4E85EAE0">
            <w:pPr>
              <w:pageBreakBefore w:val="0"/>
              <w:kinsoku/>
              <w:overflowPunct/>
              <w:topLinePunct w:val="0"/>
              <w:bidi w:val="0"/>
              <w:spacing w:line="360" w:lineRule="auto"/>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sym w:font="Wingdings" w:char="00A8"/>
            </w:r>
            <w:r>
              <w:rPr>
                <w:rFonts w:hint="eastAsia" w:ascii="宋体" w:hAnsi="宋体" w:eastAsia="宋体" w:cs="宋体"/>
                <w:color w:val="000000" w:themeColor="text1"/>
                <w:kern w:val="0"/>
                <w:szCs w:val="21"/>
                <w:highlight w:val="none"/>
                <w14:textFill>
                  <w14:solidFill>
                    <w14:schemeClr w14:val="tx1"/>
                  </w14:solidFill>
                </w14:textFill>
              </w:rPr>
              <w:t xml:space="preserve">  B组织。</w:t>
            </w:r>
          </w:p>
        </w:tc>
      </w:tr>
      <w:tr w14:paraId="1317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14:paraId="7AE703BF">
            <w:pPr>
              <w:pageBreakBefore w:val="0"/>
              <w:kinsoku/>
              <w:overflowPunct/>
              <w:topLinePunct w:val="0"/>
              <w:bidi w:val="0"/>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w:t>
            </w:r>
          </w:p>
        </w:tc>
        <w:tc>
          <w:tcPr>
            <w:tcW w:w="2385" w:type="dxa"/>
            <w:vMerge w:val="restart"/>
            <w:vAlign w:val="center"/>
          </w:tcPr>
          <w:p w14:paraId="5C4616B2">
            <w:pPr>
              <w:pageBreakBefore w:val="0"/>
              <w:kinsoku/>
              <w:overflowPunct/>
              <w:topLinePunct w:val="0"/>
              <w:bidi w:val="0"/>
              <w:snapToGrid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供应商应当提供的资格、资信证明文件</w:t>
            </w:r>
          </w:p>
        </w:tc>
        <w:tc>
          <w:tcPr>
            <w:tcW w:w="5553" w:type="dxa"/>
            <w:vAlign w:val="center"/>
          </w:tcPr>
          <w:p w14:paraId="367795CD">
            <w:pPr>
              <w:pageBreakBefore w:val="0"/>
              <w:kinsoku/>
              <w:overflowPunct/>
              <w:topLinePunct w:val="0"/>
              <w:bidi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（1）资格证明文件：见招标文件第二部分11.1。</w:t>
            </w:r>
          </w:p>
          <w:p w14:paraId="751BF3D5">
            <w:pPr>
              <w:pageBreakBefore w:val="0"/>
              <w:kinsoku/>
              <w:overflowPunct/>
              <w:topLinePunct w:val="0"/>
              <w:bidi w:val="0"/>
              <w:spacing w:line="360" w:lineRule="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供应商未提供有效的资格证明文件的，视为供应商不具备磋商文件中规定的资格要求，响应无效。</w:t>
            </w:r>
          </w:p>
        </w:tc>
      </w:tr>
      <w:tr w14:paraId="0643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center"/>
          </w:tcPr>
          <w:p w14:paraId="1814674B">
            <w:pPr>
              <w:pageBreakBefore w:val="0"/>
              <w:kinsoku/>
              <w:overflowPunct/>
              <w:topLinePunct w:val="0"/>
              <w:bidi w:val="0"/>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385" w:type="dxa"/>
            <w:vMerge w:val="continue"/>
            <w:vAlign w:val="center"/>
          </w:tcPr>
          <w:p w14:paraId="3A2CC4B5">
            <w:pPr>
              <w:pageBreakBefore w:val="0"/>
              <w:kinsoku/>
              <w:overflowPunct/>
              <w:topLinePunct w:val="0"/>
              <w:bidi w:val="0"/>
              <w:snapToGrid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p>
        </w:tc>
        <w:tc>
          <w:tcPr>
            <w:tcW w:w="5553" w:type="dxa"/>
            <w:vAlign w:val="center"/>
          </w:tcPr>
          <w:p w14:paraId="4D926F5D">
            <w:pPr>
              <w:pageBreakBefore w:val="0"/>
              <w:kinsoku/>
              <w:overflowPunct/>
              <w:topLinePunct w:val="0"/>
              <w:bidi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（2）资信证明文件：根据磋商文件第五部分评审标准提供。</w:t>
            </w:r>
          </w:p>
        </w:tc>
      </w:tr>
      <w:tr w14:paraId="041E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5BF5D8DD">
            <w:pPr>
              <w:pageBreakBefore w:val="0"/>
              <w:kinsoku/>
              <w:overflowPunct/>
              <w:topLinePunct w:val="0"/>
              <w:bidi w:val="0"/>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w:t>
            </w:r>
          </w:p>
        </w:tc>
        <w:tc>
          <w:tcPr>
            <w:tcW w:w="2385" w:type="dxa"/>
            <w:vAlign w:val="center"/>
          </w:tcPr>
          <w:p w14:paraId="1BD793E0">
            <w:pPr>
              <w:pageBreakBefore w:val="0"/>
              <w:kinsoku/>
              <w:overflowPunct/>
              <w:topLinePunct w:val="0"/>
              <w:bidi w:val="0"/>
              <w:snapToGrid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节能产品、环境标志产品</w:t>
            </w:r>
          </w:p>
        </w:tc>
        <w:tc>
          <w:tcPr>
            <w:tcW w:w="5553" w:type="dxa"/>
            <w:vAlign w:val="center"/>
          </w:tcPr>
          <w:p w14:paraId="56974E77">
            <w:pPr>
              <w:pageBreakBefore w:val="0"/>
              <w:kinsoku/>
              <w:overflowPunct/>
              <w:topLinePunct w:val="0"/>
              <w:bidi w:val="0"/>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68F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1DEE319A">
            <w:pPr>
              <w:pageBreakBefore w:val="0"/>
              <w:kinsoku/>
              <w:overflowPunct/>
              <w:topLinePunct w:val="0"/>
              <w:bidi w:val="0"/>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p>
        </w:tc>
        <w:tc>
          <w:tcPr>
            <w:tcW w:w="2385" w:type="dxa"/>
            <w:vAlign w:val="center"/>
          </w:tcPr>
          <w:p w14:paraId="48956DEF">
            <w:pPr>
              <w:pageBreakBefore w:val="0"/>
              <w:kinsoku/>
              <w:overflowPunct/>
              <w:topLinePunct w:val="0"/>
              <w:bidi w:val="0"/>
              <w:snapToGrid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最后报价要求</w:t>
            </w:r>
          </w:p>
        </w:tc>
        <w:tc>
          <w:tcPr>
            <w:tcW w:w="5553" w:type="dxa"/>
            <w:vAlign w:val="center"/>
          </w:tcPr>
          <w:p w14:paraId="7A263BF0">
            <w:pPr>
              <w:pageBreakBefore w:val="0"/>
              <w:kinsoku/>
              <w:overflowPunct/>
              <w:topLinePunct w:val="0"/>
              <w:bidi w:val="0"/>
              <w:snapToGrid w:val="0"/>
              <w:spacing w:line="360" w:lineRule="auto"/>
              <w:jc w:val="left"/>
              <w:rPr>
                <w:rFonts w:hint="eastAsia"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有关本项目实施所需的所有费用（含税费）均计入最后报价。《最后报价</w:t>
            </w:r>
            <w:r>
              <w:rPr>
                <w:rFonts w:hint="eastAsia" w:ascii="宋体" w:hAnsi="宋体" w:eastAsia="宋体" w:cs="宋体"/>
                <w:color w:val="000000" w:themeColor="text1"/>
                <w:szCs w:val="21"/>
                <w:highlight w:val="none"/>
                <w14:textFill>
                  <w14:solidFill>
                    <w14:schemeClr w14:val="tx1"/>
                  </w14:solidFill>
                </w14:textFill>
              </w:rPr>
              <w:t>一览表（报价表）</w:t>
            </w: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是最后报价的唯一载体</w:t>
            </w:r>
            <w:r>
              <w:rPr>
                <w:rFonts w:hint="eastAsia" w:ascii="宋体" w:hAnsi="宋体" w:eastAsia="宋体" w:cs="宋体"/>
                <w:color w:val="000000" w:themeColor="text1"/>
                <w:kern w:val="0"/>
                <w:szCs w:val="21"/>
                <w:highlight w:val="none"/>
                <w:lang w:val="zh-CN"/>
                <w14:textFill>
                  <w14:solidFill>
                    <w14:schemeClr w14:val="tx1"/>
                  </w14:solidFill>
                </w14:textFill>
              </w:rPr>
              <w:t>。磋商文件中价格全部采用人民币报价。磋商文件未列明，而供应商认为必需的费用也需列入报价。</w:t>
            </w:r>
          </w:p>
          <w:p w14:paraId="4F7AF027">
            <w:pPr>
              <w:pageBreakBefore w:val="0"/>
              <w:kinsoku/>
              <w:overflowPunct/>
              <w:topLinePunct w:val="0"/>
              <w:bidi w:val="0"/>
              <w:snapToGrid w:val="0"/>
              <w:spacing w:line="360" w:lineRule="auto"/>
              <w:jc w:val="left"/>
              <w:rPr>
                <w:rFonts w:hint="eastAsia"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最后报价出现下列情形的，响应无效：</w:t>
            </w:r>
          </w:p>
          <w:p w14:paraId="4818C07C">
            <w:pPr>
              <w:pageBreakBefore w:val="0"/>
              <w:kinsoku/>
              <w:overflowPunct/>
              <w:topLinePunct w:val="0"/>
              <w:bidi w:val="0"/>
              <w:snapToGrid w:val="0"/>
              <w:spacing w:line="360" w:lineRule="auto"/>
              <w:jc w:val="left"/>
              <w:rPr>
                <w:rFonts w:hint="eastAsia"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响应文件出现不是唯一的、有选择性的最后报价的；</w:t>
            </w:r>
          </w:p>
          <w:p w14:paraId="7B47AFB2">
            <w:pPr>
              <w:pageBreakBefore w:val="0"/>
              <w:kinsoku/>
              <w:overflowPunct/>
              <w:topLinePunct w:val="0"/>
              <w:bidi w:val="0"/>
              <w:snapToGrid w:val="0"/>
              <w:spacing w:line="360" w:lineRule="auto"/>
              <w:jc w:val="left"/>
              <w:rPr>
                <w:rFonts w:hint="eastAsia"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最后报价超过磋商文件中规定的预算金额或者最高限价的;</w:t>
            </w:r>
          </w:p>
          <w:p w14:paraId="12CD01CC">
            <w:pPr>
              <w:pageBreakBefore w:val="0"/>
              <w:kinsoku/>
              <w:overflowPunct/>
              <w:topLinePunct w:val="0"/>
              <w:bidi w:val="0"/>
              <w:snapToGrid w:val="0"/>
              <w:spacing w:line="360" w:lineRule="auto"/>
              <w:jc w:val="left"/>
              <w:rPr>
                <w:rFonts w:hint="eastAsia"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最后报价明显低于其他通过符合性审查供应商的报价，有可能影响产品质量或者不能诚信履约的，未能按要求提供书面说明或者提交相关证明材料证明其报价合理性的;</w:t>
            </w:r>
          </w:p>
          <w:p w14:paraId="039079D2">
            <w:pPr>
              <w:pageBreakBefore w:val="0"/>
              <w:kinsoku/>
              <w:overflowPunct/>
              <w:topLinePunct w:val="0"/>
              <w:bidi w:val="0"/>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供应商对根据修正原则修正后的报价不确认的。</w:t>
            </w:r>
          </w:p>
        </w:tc>
      </w:tr>
      <w:tr w14:paraId="4053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68" w:hRule="atLeast"/>
          <w:tblHeader/>
        </w:trPr>
        <w:tc>
          <w:tcPr>
            <w:tcW w:w="629" w:type="dxa"/>
            <w:vAlign w:val="center"/>
          </w:tcPr>
          <w:p w14:paraId="4650E434">
            <w:pPr>
              <w:pageBreakBefore w:val="0"/>
              <w:kinsoku/>
              <w:overflowPunct/>
              <w:topLinePunct w:val="0"/>
              <w:bidi w:val="0"/>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w:t>
            </w:r>
          </w:p>
        </w:tc>
        <w:tc>
          <w:tcPr>
            <w:tcW w:w="2385" w:type="dxa"/>
            <w:vAlign w:val="center"/>
          </w:tcPr>
          <w:p w14:paraId="07879F62">
            <w:pPr>
              <w:pageBreakBefore w:val="0"/>
              <w:kinsoku/>
              <w:overflowPunct/>
              <w:topLinePunct w:val="0"/>
              <w:bidi w:val="0"/>
              <w:snapToGrid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中小企业信用融资</w:t>
            </w:r>
          </w:p>
        </w:tc>
        <w:tc>
          <w:tcPr>
            <w:tcW w:w="5553" w:type="dxa"/>
            <w:vAlign w:val="center"/>
          </w:tcPr>
          <w:p w14:paraId="6C4F52DF">
            <w:pPr>
              <w:pageBreakBefore w:val="0"/>
              <w:kinsoku/>
              <w:overflowPunct/>
              <w:topLinePunct w:val="0"/>
              <w:bidi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kern w:val="28"/>
                <w:szCs w:val="21"/>
                <w:highlight w:val="none"/>
                <w14:textFill>
                  <w14:solidFill>
                    <w14:schemeClr w14:val="tx1"/>
                  </w14:solidFill>
                </w14:textFill>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DB4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76872C70">
            <w:pPr>
              <w:pageBreakBefore w:val="0"/>
              <w:kinsoku/>
              <w:overflowPunct/>
              <w:topLinePunct w:val="0"/>
              <w:bidi w:val="0"/>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w:t>
            </w:r>
          </w:p>
        </w:tc>
        <w:tc>
          <w:tcPr>
            <w:tcW w:w="2385" w:type="dxa"/>
            <w:vAlign w:val="center"/>
          </w:tcPr>
          <w:p w14:paraId="4D453206">
            <w:pPr>
              <w:pageBreakBefore w:val="0"/>
              <w:kinsoku/>
              <w:overflowPunct/>
              <w:topLinePunct w:val="0"/>
              <w:bidi w:val="0"/>
              <w:snapToGrid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备份响应文件送达地点和签收人员 </w:t>
            </w:r>
          </w:p>
        </w:tc>
        <w:tc>
          <w:tcPr>
            <w:tcW w:w="5553" w:type="dxa"/>
            <w:vAlign w:val="center"/>
          </w:tcPr>
          <w:p w14:paraId="7F8EA91D">
            <w:pPr>
              <w:pStyle w:val="35"/>
              <w:pageBreakBefore w:val="0"/>
              <w:kinsoku/>
              <w:overflowPunct/>
              <w:topLinePunct w:val="0"/>
              <w:bidi w:val="0"/>
              <w:spacing w:line="360" w:lineRule="auto"/>
              <w:rPr>
                <w:rFonts w:hint="eastAsia" w:ascii="宋体" w:hAnsi="宋体" w:eastAsia="宋体" w:cs="宋体"/>
                <w:color w:val="000000" w:themeColor="text1"/>
                <w:kern w:val="28"/>
                <w:szCs w:val="21"/>
                <w:highlight w:val="none"/>
                <w14:textFill>
                  <w14:solidFill>
                    <w14:schemeClr w14:val="tx1"/>
                  </w14:solidFill>
                </w14:textFill>
              </w:rPr>
            </w:pPr>
            <w:r>
              <w:rPr>
                <w:rFonts w:hint="eastAsia" w:ascii="宋体" w:hAnsi="宋体" w:eastAsia="宋体" w:cs="宋体"/>
                <w:color w:val="000000" w:themeColor="text1"/>
                <w:kern w:val="28"/>
                <w:szCs w:val="21"/>
                <w:highlight w:val="none"/>
                <w14:textFill>
                  <w14:solidFill>
                    <w14:schemeClr w14:val="tx1"/>
                  </w14:solidFill>
                </w14:textFill>
              </w:rPr>
              <w:t>备份响应文件送达地点：</w:t>
            </w:r>
            <w:r>
              <w:rPr>
                <w:rFonts w:hint="eastAsia" w:ascii="宋体" w:hAnsi="宋体" w:eastAsia="宋体" w:cs="宋体"/>
                <w:color w:val="000000" w:themeColor="text1"/>
                <w:szCs w:val="21"/>
                <w:highlight w:val="none"/>
                <w:u w:val="single"/>
                <w14:textFill>
                  <w14:solidFill>
                    <w14:schemeClr w14:val="tx1"/>
                  </w14:solidFill>
                </w14:textFill>
              </w:rPr>
              <w:t xml:space="preserve">嘉兴市建新工程造价咨询事务所有限公司三楼323室（会展路207号嘉宇商务楼3楼） </w:t>
            </w:r>
            <w:r>
              <w:rPr>
                <w:rFonts w:hint="eastAsia" w:ascii="宋体" w:hAnsi="宋体" w:eastAsia="宋体" w:cs="宋体"/>
                <w:color w:val="000000" w:themeColor="text1"/>
                <w:kern w:val="28"/>
                <w:szCs w:val="21"/>
                <w:highlight w:val="none"/>
                <w14:textFill>
                  <w14:solidFill>
                    <w14:schemeClr w14:val="tx1"/>
                  </w14:solidFill>
                </w14:textFill>
              </w:rPr>
              <w:t>；备份响应文件签收人员联系电话：</w:t>
            </w:r>
            <w:r>
              <w:rPr>
                <w:rFonts w:hint="eastAsia" w:ascii="宋体" w:hAnsi="宋体" w:eastAsia="宋体" w:cs="宋体"/>
                <w:color w:val="000000" w:themeColor="text1"/>
                <w:szCs w:val="21"/>
                <w:highlight w:val="none"/>
                <w:u w:val="single"/>
                <w14:textFill>
                  <w14:solidFill>
                    <w14:schemeClr w14:val="tx1"/>
                  </w14:solidFill>
                </w14:textFill>
              </w:rPr>
              <w:t xml:space="preserve">高张燕，15157400827 </w:t>
            </w:r>
            <w:r>
              <w:rPr>
                <w:rFonts w:hint="eastAsia" w:ascii="宋体" w:hAnsi="宋体" w:eastAsia="宋体" w:cs="宋体"/>
                <w:color w:val="000000" w:themeColor="text1"/>
                <w:szCs w:val="21"/>
                <w:highlight w:val="none"/>
                <w14:textFill>
                  <w14:solidFill>
                    <w14:schemeClr w14:val="tx1"/>
                  </w14:solidFill>
                </w14:textFill>
              </w:rPr>
              <w:t>。（非强制性要求）</w:t>
            </w:r>
          </w:p>
        </w:tc>
      </w:tr>
    </w:tbl>
    <w:p w14:paraId="7DE92D54">
      <w:pPr>
        <w:pageBreakBefore w:val="0"/>
        <w:kinsoku/>
        <w:overflowPunct/>
        <w:topLinePunct w:val="0"/>
        <w:bidi w:val="0"/>
        <w:snapToGrid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p>
    <w:p w14:paraId="627596AC">
      <w:pPr>
        <w:pageBreakBefore w:val="0"/>
        <w:kinsoku/>
        <w:overflowPunct/>
        <w:topLinePunct w:val="0"/>
        <w:bidi w:val="0"/>
        <w:adjustRightInd/>
        <w:spacing w:line="360" w:lineRule="auto"/>
        <w:outlineLvl w:val="0"/>
        <w:rPr>
          <w:rFonts w:hint="eastAsia" w:ascii="宋体" w:hAnsi="宋体" w:eastAsia="宋体" w:cs="宋体"/>
          <w:b/>
          <w:color w:val="000000" w:themeColor="text1"/>
          <w:szCs w:val="21"/>
          <w:highlight w:val="none"/>
          <w14:textFill>
            <w14:solidFill>
              <w14:schemeClr w14:val="tx1"/>
            </w14:solidFill>
          </w14:textFill>
        </w:rPr>
      </w:pPr>
    </w:p>
    <w:p w14:paraId="35C5B2C2">
      <w:pPr>
        <w:pageBreakBefore w:val="0"/>
        <w:kinsoku/>
        <w:overflowPunct/>
        <w:topLinePunct w:val="0"/>
        <w:bidi w:val="0"/>
        <w:adjustRightInd/>
        <w:spacing w:line="360" w:lineRule="auto"/>
        <w:jc w:val="center"/>
        <w:outlineLvl w:val="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二、总则</w:t>
      </w:r>
    </w:p>
    <w:p w14:paraId="2888C988">
      <w:pPr>
        <w:pageBreakBefore w:val="0"/>
        <w:kinsoku/>
        <w:overflowPunct/>
        <w:topLinePunct w:val="0"/>
        <w:bidi w:val="0"/>
        <w:snapToGrid w:val="0"/>
        <w:spacing w:line="360" w:lineRule="auto"/>
        <w:jc w:val="left"/>
        <w:outlineLvl w:val="1"/>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 适用范围</w:t>
      </w:r>
    </w:p>
    <w:p w14:paraId="0B82EA95">
      <w:pPr>
        <w:pageBreakBefore w:val="0"/>
        <w:kinsoku/>
        <w:overflowPunct/>
        <w:topLinePunct w:val="0"/>
        <w:bidi w:val="0"/>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本磋商文件适用于该项目的邀请、响应、开启响应文件、信用信息查询、资格性审查、评审、成交、合同、验收等行为（法律、法规另有规定的，从其规定）。</w:t>
      </w:r>
    </w:p>
    <w:p w14:paraId="6706B15A">
      <w:pPr>
        <w:pageBreakBefore w:val="0"/>
        <w:kinsoku/>
        <w:overflowPunct/>
        <w:topLinePunct w:val="0"/>
        <w:bidi w:val="0"/>
        <w:adjustRightInd/>
        <w:spacing w:line="360" w:lineRule="auto"/>
        <w:outlineLvl w:val="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2.定义</w:t>
      </w:r>
    </w:p>
    <w:p w14:paraId="0FB8097F">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 “采购人”系指磋商公告中载明的本项目的采购人。</w:t>
      </w:r>
    </w:p>
    <w:p w14:paraId="654F8F54">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 “采购代理机构”系指磋商邀请公告中载明的本项目的采购代理机构。</w:t>
      </w:r>
    </w:p>
    <w:p w14:paraId="177FF0C4">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 “供应商”系指响应磋商、参加本次竞争的法人、其他组织或自然人。</w:t>
      </w:r>
    </w:p>
    <w:p w14:paraId="5A5B9599">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 “负责人”系指法人企业的法定负责人，或其他组织为法律、行政法规规定代表单位行使职权的主要负责人，或自然人本人。</w:t>
      </w:r>
    </w:p>
    <w:p w14:paraId="24F066F3">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 “成交人”系指经评审确定的成交供应商。</w:t>
      </w:r>
    </w:p>
    <w:p w14:paraId="262CB3A0">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2.6“响应文件”系指供应商提交的商务技术文件。供应商提交最后报价后，最后报价是供应商响应文件的有效组成部分。</w:t>
      </w:r>
    </w:p>
    <w:p w14:paraId="5EB2C896">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2.7“电子交易平台”系指本项目政府采购活动所依托的政府采购云平台（</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"https://www.zcygov.cn/"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70"/>
          <w:rFonts w:hint="eastAsia" w:ascii="宋体" w:hAnsi="宋体" w:eastAsia="宋体" w:cs="宋体"/>
          <w:snapToGrid/>
          <w:color w:val="000000" w:themeColor="text1"/>
          <w:kern w:val="2"/>
          <w:sz w:val="21"/>
          <w:szCs w:val="21"/>
          <w:highlight w:val="none"/>
          <w14:textFill>
            <w14:solidFill>
              <w14:schemeClr w14:val="tx1"/>
            </w14:solidFill>
          </w14:textFill>
        </w:rPr>
        <w:t>https://www.zcygov.cn/</w:t>
      </w:r>
      <w:r>
        <w:rPr>
          <w:rStyle w:val="70"/>
          <w:rFonts w:hint="eastAsia" w:ascii="宋体" w:hAnsi="宋体" w:eastAsia="宋体" w:cs="宋体"/>
          <w:snapToGrid/>
          <w:color w:val="000000" w:themeColor="text1"/>
          <w:kern w:val="2"/>
          <w:sz w:val="2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t>）。</w:t>
      </w:r>
    </w:p>
    <w:p w14:paraId="75A5F0E5">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2.8“电子签名”系指数据电文中以电子形式所含、所附用于识别签名人身份并表明签名人认可其中内容的数据；“公章”系指单位法定名称章。</w:t>
      </w:r>
    </w:p>
    <w:p w14:paraId="1C84B88A">
      <w:pPr>
        <w:pageBreakBefore w:val="0"/>
        <w:kinsoku/>
        <w:overflowPunct/>
        <w:topLinePunct w:val="0"/>
        <w:bidi w:val="0"/>
        <w:spacing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 xml:space="preserve">2.9 </w:t>
      </w:r>
      <w:r>
        <w:rPr>
          <w:rFonts w:hint="eastAsia" w:ascii="宋体" w:hAnsi="宋体" w:eastAsia="宋体" w:cs="宋体"/>
          <w:b/>
          <w:bCs/>
          <w:color w:val="000000" w:themeColor="text1"/>
          <w:szCs w:val="21"/>
          <w:highlight w:val="none"/>
          <w:u w:val="single"/>
          <w14:textFill>
            <w14:solidFill>
              <w14:schemeClr w14:val="tx1"/>
            </w14:solidFill>
          </w14:textFill>
        </w:rPr>
        <w:t>“书面形式”包括数据电文形式与纸质形式。数据电文形式与纸质形式的采购活动具有同等法律效力。</w:t>
      </w:r>
    </w:p>
    <w:p w14:paraId="00AC62FB">
      <w:pPr>
        <w:pageBreakBefore w:val="0"/>
        <w:kinsoku/>
        <w:overflowPunct/>
        <w:topLinePunct w:val="0"/>
        <w:bidi w:val="0"/>
        <w:snapToGrid w:val="0"/>
        <w:spacing w:line="360" w:lineRule="auto"/>
        <w:ind w:firstLine="420"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2.10 “▲” 系指实质性要求条款， “※”系指磋商过程中可能实质性变动的内容， “</w:t>
      </w:r>
      <w:sdt>
        <w:sdtPr>
          <w:rPr>
            <w:rFonts w:hint="eastAsia" w:ascii="宋体" w:hAnsi="宋体" w:eastAsia="宋体" w:cs="宋体"/>
            <w:color w:val="000000" w:themeColor="text1"/>
            <w:kern w:val="0"/>
            <w:szCs w:val="21"/>
            <w:highlight w:val="none"/>
            <w14:textFill>
              <w14:solidFill>
                <w14:schemeClr w14:val="tx1"/>
              </w14:solidFill>
            </w14:textFill>
          </w:rPr>
          <w:id w:val="512970236"/>
        </w:sdtPr>
        <w:sdtEndPr>
          <w:rPr>
            <w:rFonts w:hint="eastAsia" w:ascii="宋体" w:hAnsi="宋体" w:eastAsia="宋体" w:cs="宋体"/>
            <w:color w:val="000000" w:themeColor="text1"/>
            <w:kern w:val="0"/>
            <w:szCs w:val="21"/>
            <w:highlight w:val="none"/>
            <w14:textFill>
              <w14:solidFill>
                <w14:schemeClr w14:val="tx1"/>
              </w14:solidFill>
            </w14:textFill>
          </w:rPr>
        </w:sdtEndPr>
        <w:sdtContent>
          <w:sdt>
            <w:sdtPr>
              <w:rPr>
                <w:rFonts w:hint="eastAsia" w:ascii="宋体" w:hAnsi="宋体" w:eastAsia="宋体" w:cs="宋体"/>
                <w:color w:val="000000" w:themeColor="text1"/>
                <w:kern w:val="0"/>
                <w:szCs w:val="21"/>
                <w:highlight w:val="none"/>
                <w14:textFill>
                  <w14:solidFill>
                    <w14:schemeClr w14:val="tx1"/>
                  </w14:solidFill>
                </w14:textFill>
              </w:rPr>
              <w:id w:val="3513163"/>
            </w:sdtPr>
            <w:sdtEndPr>
              <w:rPr>
                <w:rFonts w:hint="eastAsia" w:ascii="宋体" w:hAnsi="宋体" w:eastAsia="宋体" w:cs="宋体"/>
                <w:color w:val="000000" w:themeColor="text1"/>
                <w:kern w:val="0"/>
                <w:szCs w:val="21"/>
                <w:highlight w:val="none"/>
                <w14:textFill>
                  <w14:solidFill>
                    <w14:schemeClr w14:val="tx1"/>
                  </w14:solidFill>
                </w14:textFill>
              </w:rPr>
            </w:sdtEndPr>
            <w:sdtContent>
              <w:sdt>
                <w:sdtPr>
                  <w:rPr>
                    <w:rFonts w:hint="eastAsia" w:ascii="宋体" w:hAnsi="宋体" w:eastAsia="宋体" w:cs="宋体"/>
                    <w:color w:val="000000" w:themeColor="text1"/>
                    <w:kern w:val="0"/>
                    <w:szCs w:val="21"/>
                    <w:highlight w:val="none"/>
                    <w14:textFill>
                      <w14:solidFill>
                        <w14:schemeClr w14:val="tx1"/>
                      </w14:solidFill>
                    </w14:textFill>
                  </w:rPr>
                  <w:id w:val="1174071719"/>
                </w:sdtPr>
                <w:sdtEndPr>
                  <w:rPr>
                    <w:rFonts w:hint="eastAsia" w:ascii="宋体" w:hAnsi="宋体" w:eastAsia="宋体" w:cs="宋体"/>
                    <w:color w:val="000000" w:themeColor="text1"/>
                    <w:kern w:val="0"/>
                    <w:szCs w:val="21"/>
                    <w:highlight w:val="none"/>
                    <w14:textFill>
                      <w14:solidFill>
                        <w14:schemeClr w14:val="tx1"/>
                      </w14:solidFill>
                    </w14:textFill>
                  </w:rPr>
                </w:sdtEndPr>
                <w:sdtContent>
                  <w:sdt>
                    <w:sdtPr>
                      <w:rPr>
                        <w:rFonts w:hint="eastAsia" w:ascii="宋体" w:hAnsi="宋体" w:eastAsia="宋体" w:cs="宋体"/>
                        <w:color w:val="000000" w:themeColor="text1"/>
                        <w:kern w:val="0"/>
                        <w:szCs w:val="21"/>
                        <w:highlight w:val="none"/>
                        <w14:textFill>
                          <w14:solidFill>
                            <w14:schemeClr w14:val="tx1"/>
                          </w14:solidFill>
                        </w14:textFill>
                      </w:rPr>
                      <w:id w:val="3513160"/>
                    </w:sdtPr>
                    <w:sdtEndPr>
                      <w:rPr>
                        <w:rFonts w:hint="eastAsia" w:ascii="宋体" w:hAnsi="宋体" w:eastAsia="宋体" w:cs="宋体"/>
                        <w:color w:val="000000" w:themeColor="text1"/>
                        <w:kern w:val="0"/>
                        <w:szCs w:val="21"/>
                        <w:highlight w:val="none"/>
                        <w14:textFill>
                          <w14:solidFill>
                            <w14:schemeClr w14:val="tx1"/>
                          </w14:solidFill>
                        </w14:textFill>
                      </w:rPr>
                    </w:sdtEndPr>
                    <w:sdtContent>
                      <w:r>
                        <w:rPr>
                          <w:rFonts w:hint="eastAsia" w:ascii="宋体" w:hAnsi="宋体" w:eastAsia="宋体" w:cs="宋体"/>
                          <w:color w:val="000000" w:themeColor="text1"/>
                          <w:kern w:val="0"/>
                          <w:szCs w:val="21"/>
                          <w:highlight w:val="none"/>
                          <w14:textFill>
                            <w14:solidFill>
                              <w14:schemeClr w14:val="tx1"/>
                            </w14:solidFill>
                          </w14:textFill>
                        </w:rPr>
                        <w:sym w:font="Wingdings" w:char="00FE"/>
                      </w:r>
                      <w:r>
                        <w:rPr>
                          <w:rFonts w:hint="eastAsia" w:ascii="宋体" w:hAnsi="宋体" w:eastAsia="宋体" w:cs="宋体"/>
                          <w:color w:val="000000" w:themeColor="text1"/>
                          <w:kern w:val="0"/>
                          <w:szCs w:val="21"/>
                          <w:highlight w:val="none"/>
                          <w14:textFill>
                            <w14:solidFill>
                              <w14:schemeClr w14:val="tx1"/>
                            </w14:solidFill>
                          </w14:textFill>
                        </w:rPr>
                        <w:t xml:space="preserve"> </w:t>
                      </w:r>
                    </w:sdtContent>
                  </w:sdt>
                </w:sdtContent>
              </w:sdt>
            </w:sdtContent>
          </w:sdt>
        </w:sdtContent>
      </w:sdt>
      <w:r>
        <w:rPr>
          <w:rFonts w:hint="eastAsia" w:ascii="宋体" w:hAnsi="宋体" w:eastAsia="宋体" w:cs="宋体"/>
          <w:color w:val="000000" w:themeColor="text1"/>
          <w:szCs w:val="21"/>
          <w:highlight w:val="none"/>
          <w14:textFill>
            <w14:solidFill>
              <w14:schemeClr w14:val="tx1"/>
            </w14:solidFill>
          </w14:textFill>
        </w:rPr>
        <w:t>” 系指适用本项目的要求，“</w:t>
      </w:r>
      <w:sdt>
        <w:sdtPr>
          <w:rPr>
            <w:rFonts w:hint="eastAsia" w:ascii="宋体" w:hAnsi="宋体" w:eastAsia="宋体" w:cs="宋体"/>
            <w:color w:val="000000" w:themeColor="text1"/>
            <w:kern w:val="0"/>
            <w:szCs w:val="21"/>
            <w:highlight w:val="none"/>
            <w14:textFill>
              <w14:solidFill>
                <w14:schemeClr w14:val="tx1"/>
              </w14:solidFill>
            </w14:textFill>
          </w:rPr>
          <w:id w:val="404888855"/>
        </w:sdtPr>
        <w:sdtEndPr>
          <w:rPr>
            <w:rFonts w:hint="eastAsia" w:ascii="宋体" w:hAnsi="宋体" w:eastAsia="宋体" w:cs="宋体"/>
            <w:color w:val="000000" w:themeColor="text1"/>
            <w:kern w:val="0"/>
            <w:szCs w:val="21"/>
            <w:highlight w:val="none"/>
            <w14:textFill>
              <w14:solidFill>
                <w14:schemeClr w14:val="tx1"/>
              </w14:solidFill>
            </w14:textFill>
          </w:rPr>
        </w:sdtEndPr>
        <w:sdtContent>
          <w:r>
            <w:rPr>
              <w:rFonts w:hint="eastAsia" w:ascii="宋体" w:hAnsi="宋体" w:eastAsia="宋体" w:cs="宋体"/>
              <w:color w:val="000000" w:themeColor="text1"/>
              <w:kern w:val="0"/>
              <w:szCs w:val="21"/>
              <w:highlight w:val="none"/>
              <w14:textFill>
                <w14:solidFill>
                  <w14:schemeClr w14:val="tx1"/>
                </w14:solidFill>
              </w14:textFill>
            </w:rPr>
            <w:t>☐</w:t>
          </w:r>
        </w:sdtContent>
      </w:sdt>
      <w:r>
        <w:rPr>
          <w:rFonts w:hint="eastAsia" w:ascii="宋体" w:hAnsi="宋体" w:eastAsia="宋体" w:cs="宋体"/>
          <w:color w:val="000000" w:themeColor="text1"/>
          <w:szCs w:val="21"/>
          <w:highlight w:val="none"/>
          <w14:textFill>
            <w14:solidFill>
              <w14:schemeClr w14:val="tx1"/>
            </w14:solidFill>
          </w14:textFill>
        </w:rPr>
        <w:t>” 系指不适用本项目的要求。</w:t>
      </w:r>
    </w:p>
    <w:p w14:paraId="4D4955C3">
      <w:pPr>
        <w:pageBreakBefore w:val="0"/>
        <w:kinsoku/>
        <w:overflowPunct/>
        <w:topLinePunct w:val="0"/>
        <w:bidi w:val="0"/>
        <w:adjustRightInd/>
        <w:spacing w:line="360" w:lineRule="auto"/>
        <w:outlineLvl w:val="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 响应有效期</w:t>
      </w:r>
    </w:p>
    <w:p w14:paraId="374DCA25">
      <w:pPr>
        <w:pageBreakBefore w:val="0"/>
        <w:kinsoku/>
        <w:overflowPunct/>
        <w:topLinePunct w:val="0"/>
        <w:bidi w:val="0"/>
        <w:spacing w:line="360" w:lineRule="auto"/>
        <w:ind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w:t>
      </w:r>
      <w:r>
        <w:rPr>
          <w:rFonts w:hint="eastAsia" w:ascii="宋体" w:hAnsi="宋体" w:eastAsia="宋体" w:cs="宋体"/>
          <w:b/>
          <w:color w:val="000000" w:themeColor="text1"/>
          <w:szCs w:val="21"/>
          <w:highlight w:val="none"/>
          <w14:textFill>
            <w14:solidFill>
              <w14:schemeClr w14:val="tx1"/>
            </w14:solidFill>
          </w14:textFill>
        </w:rPr>
        <w:t>响应有效期为从提交响应文件的截止之日起90天。供应商的响应文件中承诺的响应有效期少于磋商文件中载明的磋商有效期的，响应无效。</w:t>
      </w:r>
    </w:p>
    <w:p w14:paraId="7BB041CF">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3.2响应文件合格提交后，自响应截止日期起，在响应有效期内有效。</w:t>
      </w:r>
    </w:p>
    <w:p w14:paraId="62D66B69">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在原定响应有效期满之前，如果出现特殊情况，采购代理机构可以以书面形式通知供应商延长响应有效期。供应商同意延长的，不得要求或被允许修改其响应文件;供应商拒绝延长的，其响应无效。拒绝延长磋商有效期的供应商不得再参与该项目后续采购活动。</w:t>
      </w:r>
    </w:p>
    <w:p w14:paraId="1C02723E">
      <w:pPr>
        <w:pageBreakBefore w:val="0"/>
        <w:tabs>
          <w:tab w:val="left" w:pos="3780"/>
        </w:tabs>
        <w:kinsoku/>
        <w:overflowPunct/>
        <w:topLinePunct w:val="0"/>
        <w:bidi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4．响应费用</w:t>
      </w:r>
    </w:p>
    <w:p w14:paraId="4885CD08">
      <w:pPr>
        <w:pStyle w:val="35"/>
        <w:pageBreakBefore w:val="0"/>
        <w:kinsoku/>
        <w:overflowPunct/>
        <w:topLinePunct w:val="0"/>
        <w:bidi w:val="0"/>
        <w:spacing w:line="360" w:lineRule="auto"/>
        <w:ind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供应商需自行承担涉及响应的一切费用</w:t>
      </w:r>
      <w:r>
        <w:rPr>
          <w:rFonts w:hint="eastAsia" w:ascii="宋体" w:hAnsi="宋体" w:eastAsia="宋体" w:cs="宋体"/>
          <w:color w:val="000000" w:themeColor="text1"/>
          <w:szCs w:val="21"/>
          <w:highlight w:val="none"/>
          <w:lang w:val="zh-CN"/>
          <w14:textFill>
            <w14:solidFill>
              <w14:schemeClr w14:val="tx1"/>
            </w14:solidFill>
          </w14:textFill>
        </w:rPr>
        <w:t>。</w:t>
      </w:r>
    </w:p>
    <w:p w14:paraId="3D2808F9">
      <w:pPr>
        <w:pageBreakBefore w:val="0"/>
        <w:kinsoku/>
        <w:overflowPunct/>
        <w:topLinePunct w:val="0"/>
        <w:bidi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p>
    <w:p w14:paraId="2E2BE6E6">
      <w:pPr>
        <w:pageBreakBefore w:val="0"/>
        <w:kinsoku/>
        <w:overflowPunct/>
        <w:topLinePunct w:val="0"/>
        <w:bidi w:val="0"/>
        <w:adjustRightInd/>
        <w:spacing w:line="360" w:lineRule="auto"/>
        <w:jc w:val="center"/>
        <w:outlineLvl w:val="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三、需要落实的政府采购政策</w:t>
      </w:r>
    </w:p>
    <w:p w14:paraId="4BA014C2">
      <w:pPr>
        <w:pStyle w:val="396"/>
        <w:pageBreakBefore w:val="0"/>
        <w:kinsoku/>
        <w:overflowPunct/>
        <w:topLinePunct w:val="0"/>
        <w:bidi w:val="0"/>
        <w:spacing w:before="0" w:line="360" w:lineRule="auto"/>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1.是否允许采购进口产品要求</w:t>
      </w:r>
    </w:p>
    <w:p w14:paraId="7E0C217F">
      <w:pPr>
        <w:pStyle w:val="35"/>
        <w:pageBreakBefore w:val="0"/>
        <w:kinsoku/>
        <w:overflowPunct/>
        <w:topLinePunct w:val="0"/>
        <w:bidi w:val="0"/>
        <w:spacing w:line="360" w:lineRule="auto"/>
        <w:ind w:firstLine="315" w:firstLine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000000" w:themeColor="text1"/>
          <w:kern w:val="0"/>
          <w:szCs w:val="21"/>
          <w:highlight w:val="none"/>
          <w14:textFill>
            <w14:solidFill>
              <w14:schemeClr w14:val="tx1"/>
            </w14:solidFill>
          </w14:textFill>
        </w:rPr>
        <w:t>优先采购向我国企业转让技术、与我国企业签订消化吸收再创新方案的供应商的进口产品</w:t>
      </w:r>
      <w:r>
        <w:rPr>
          <w:rFonts w:hint="eastAsia" w:ascii="宋体" w:hAnsi="宋体" w:eastAsia="宋体" w:cs="宋体"/>
          <w:color w:val="000000" w:themeColor="text1"/>
          <w:szCs w:val="21"/>
          <w:highlight w:val="none"/>
          <w14:textFill>
            <w14:solidFill>
              <w14:schemeClr w14:val="tx1"/>
            </w14:solidFill>
          </w14:textFill>
        </w:rPr>
        <w:t>。</w:t>
      </w:r>
    </w:p>
    <w:p w14:paraId="2D4C165F">
      <w:pPr>
        <w:pageBreakBefore w:val="0"/>
        <w:kinsoku/>
        <w:overflowPunct/>
        <w:topLinePunct w:val="0"/>
        <w:bidi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2.支持绿色发展</w:t>
      </w:r>
    </w:p>
    <w:p w14:paraId="1AED9599">
      <w:pPr>
        <w:pageBreakBefore w:val="0"/>
        <w:kinsoku/>
        <w:overflowPunct/>
        <w:topLinePunct w:val="0"/>
        <w:bidi w:val="0"/>
        <w:spacing w:line="360" w:lineRule="auto"/>
        <w:ind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color w:val="000000" w:themeColor="text1"/>
          <w:szCs w:val="21"/>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7F79DA7B">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2.2纳入政府采购管理的修缮、装修类项目采购建材的，鼓励采购单位将绿色建材性能、指标等作为实质性条件纳入采购文件和合同，具体性能指标要求参考相关绿色建材政府采购需求标准。</w:t>
      </w:r>
    </w:p>
    <w:p w14:paraId="6E69C706">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D6677D7">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F902B11">
      <w:pPr>
        <w:pStyle w:val="35"/>
        <w:pageBreakBefore w:val="0"/>
        <w:kinsoku/>
        <w:overflowPunct/>
        <w:topLinePunct w:val="0"/>
        <w:bidi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3.支持中小企业发展。</w:t>
      </w:r>
    </w:p>
    <w:p w14:paraId="2BA2A4FF">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50597DA">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符合中小企业划分标准的个体工商户，在政府采购活动中视同中小企业。</w:t>
      </w:r>
    </w:p>
    <w:p w14:paraId="74445428">
      <w:pPr>
        <w:pageBreakBefore w:val="0"/>
        <w:widowControl/>
        <w:kinsoku/>
        <w:overflowPunct/>
        <w:topLinePunct w:val="0"/>
        <w:bidi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3.2</w:t>
      </w:r>
      <w:r>
        <w:rPr>
          <w:rFonts w:hint="eastAsia" w:ascii="宋体" w:hAnsi="宋体" w:eastAsia="宋体" w:cs="宋体"/>
          <w:color w:val="000000" w:themeColor="text1"/>
          <w:kern w:val="0"/>
          <w:szCs w:val="21"/>
          <w:highlight w:val="none"/>
          <w14:textFill>
            <w14:solidFill>
              <w14:schemeClr w14:val="tx1"/>
            </w14:solidFill>
          </w14:textFill>
        </w:rPr>
        <w:t>在政府采购活动中，服务类项目采购，服务由中小企业承接，即提供服务的人员为中小企业依照《中华人民共和国劳动合同法》订立劳动合同的从业人员，享受中小企业扶持政策。</w:t>
      </w:r>
    </w:p>
    <w:p w14:paraId="1C53917A">
      <w:pPr>
        <w:pageBreakBefore w:val="0"/>
        <w:widowControl/>
        <w:kinsoku/>
        <w:overflowPunct/>
        <w:topLinePunct w:val="0"/>
        <w:bidi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2E4F6A0D">
      <w:pPr>
        <w:pageBreakBefore w:val="0"/>
        <w:kinsoku/>
        <w:overflowPunct/>
        <w:topLinePunct w:val="0"/>
        <w:bidi w:val="0"/>
        <w:spacing w:line="360" w:lineRule="auto"/>
        <w:ind w:firstLine="420" w:firstLineChars="200"/>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3.3对于未预留份额专门面向中小企业的政府采购服务项目，以及预留份额政府采购服务项目中的非预留部分标项，对小型和微型企业的最后报价给予</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10</w:t>
      </w:r>
      <w:r>
        <w:rPr>
          <w:rFonts w:hint="eastAsia" w:ascii="宋体" w:hAnsi="宋体" w:eastAsia="宋体" w:cs="宋体"/>
          <w:b w:val="0"/>
          <w:bCs w:val="0"/>
          <w:color w:val="000000" w:themeColor="text1"/>
          <w:szCs w:val="21"/>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7C346C72">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3.4符合《关于促进残疾人就业政府采购政策的通知》（财库〔2017〕141号）规定的条件并提供《残疾人福利性单位声明函》（附件3）的残疾人福利性单位视同小型、微型企业；</w:t>
      </w:r>
    </w:p>
    <w:p w14:paraId="0FF659D8">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C4EB47F">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01CEBBA">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3.7中小企业享受扶持政策获得政府采购合同的，小微企业不得将合同分包给大中型企业，中型企业不得将合同分包给大型企业。</w:t>
      </w:r>
    </w:p>
    <w:p w14:paraId="1E279DE0">
      <w:pPr>
        <w:pageBreakBefore w:val="0"/>
        <w:kinsoku/>
        <w:overflowPunct/>
        <w:topLinePunct w:val="0"/>
        <w:bidi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w:t>
      </w:r>
      <w:r>
        <w:rPr>
          <w:rFonts w:hint="eastAsia" w:ascii="宋体" w:hAnsi="宋体" w:eastAsia="宋体" w:cs="宋体"/>
          <w:b/>
          <w:bCs/>
          <w:color w:val="000000" w:themeColor="text1"/>
          <w:szCs w:val="21"/>
          <w:highlight w:val="none"/>
          <w14:textFill>
            <w14:solidFill>
              <w14:schemeClr w14:val="tx1"/>
            </w14:solidFill>
          </w14:textFill>
        </w:rPr>
        <w:t>支持创新发展</w:t>
      </w:r>
    </w:p>
    <w:p w14:paraId="44C6E1C8">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4.1 采购人优先采购被认定为首台套产品和“制造精品”的自主创新产品。</w:t>
      </w:r>
    </w:p>
    <w:p w14:paraId="090CC5CF">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569FCED">
      <w:pPr>
        <w:pageBreakBefore w:val="0"/>
        <w:kinsoku/>
        <w:overflowPunct/>
        <w:topLinePunct w:val="0"/>
        <w:bidi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5.平等对待内外资企业和符合条件的破产重整企业</w:t>
      </w:r>
    </w:p>
    <w:p w14:paraId="36F721ED">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平等对待内外资企业和符合条件的破产重整企业，切实保障企业公平竞争，平等维护企业的合法利益。</w:t>
      </w:r>
    </w:p>
    <w:p w14:paraId="14B9C3C1">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7F2CC6ED">
      <w:pPr>
        <w:pageBreakBefore w:val="0"/>
        <w:kinsoku/>
        <w:overflowPunct/>
        <w:topLinePunct w:val="0"/>
        <w:bidi w:val="0"/>
        <w:adjustRightInd/>
        <w:spacing w:line="360" w:lineRule="auto"/>
        <w:jc w:val="center"/>
        <w:outlineLvl w:val="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四、询问、质疑与投诉</w:t>
      </w:r>
    </w:p>
    <w:p w14:paraId="2D055200">
      <w:pPr>
        <w:pStyle w:val="35"/>
        <w:pageBreakBefore w:val="0"/>
        <w:kinsoku/>
        <w:overflowPunct/>
        <w:topLinePunct w:val="0"/>
        <w:bidi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1.在线询问、质疑、投诉</w:t>
      </w:r>
    </w:p>
    <w:p w14:paraId="677234E7">
      <w:pPr>
        <w:pStyle w:val="35"/>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719CAD">
      <w:pPr>
        <w:pageBreakBefore w:val="0"/>
        <w:kinsoku/>
        <w:overflowPunct/>
        <w:topLinePunct w:val="0"/>
        <w:bidi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 供应商询问</w:t>
      </w:r>
    </w:p>
    <w:p w14:paraId="7717CF6D">
      <w:pPr>
        <w:pageBreakBefore w:val="0"/>
        <w:kinsoku/>
        <w:overflowPunct/>
        <w:topLinePunct w:val="0"/>
        <w:autoSpaceDE w:val="0"/>
        <w:autoSpaceDN w:val="0"/>
        <w:bidi w:val="0"/>
        <w:spacing w:line="360" w:lineRule="auto"/>
        <w:ind w:firstLine="420" w:firstLineChars="200"/>
        <w:jc w:val="left"/>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F30BAAF">
      <w:pPr>
        <w:pageBreakBefore w:val="0"/>
        <w:kinsoku/>
        <w:overflowPunct/>
        <w:topLinePunct w:val="0"/>
        <w:bidi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 供应商质疑</w:t>
      </w:r>
    </w:p>
    <w:p w14:paraId="23F864DC">
      <w:pPr>
        <w:pStyle w:val="35"/>
        <w:pageBreakBefore w:val="0"/>
        <w:kinsoku/>
        <w:overflowPunct/>
        <w:topLinePunct w:val="0"/>
        <w:bidi w:val="0"/>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3</w:t>
      </w:r>
      <w:r>
        <w:rPr>
          <w:rFonts w:hint="eastAsia" w:ascii="宋体" w:hAnsi="宋体" w:eastAsia="宋体" w:cs="宋体"/>
          <w:b/>
          <w:color w:val="000000" w:themeColor="text1"/>
          <w:szCs w:val="21"/>
          <w:highlight w:val="none"/>
          <w14:textFill>
            <w14:solidFill>
              <w14:schemeClr w14:val="tx1"/>
            </w14:solidFill>
          </w14:textFill>
        </w:rPr>
        <w:t>.1质疑提出时效</w:t>
      </w:r>
    </w:p>
    <w:p w14:paraId="3172C575">
      <w:pPr>
        <w:pStyle w:val="35"/>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3.1.1提出质疑的供应商应当是参与所质疑项目采购活动的供应商。潜在供应商已依法获取其可质疑的采购文件的，可以对该文件提出质疑。</w:t>
      </w:r>
    </w:p>
    <w:p w14:paraId="65668DCF">
      <w:pPr>
        <w:pStyle w:val="35"/>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927E312">
      <w:pPr>
        <w:pStyle w:val="17"/>
        <w:pageBreakBefore w:val="0"/>
        <w:kinsoku/>
        <w:overflowPunct/>
        <w:topLinePunct w:val="0"/>
        <w:bidi w:val="0"/>
        <w:spacing w:line="360" w:lineRule="auto"/>
        <w:ind w:firstLine="380" w:firstLineChars="181"/>
        <w:rPr>
          <w:rFonts w:hint="eastAsia" w:ascii="宋体" w:hAnsi="宋体" w:eastAsia="宋体" w:cs="宋体"/>
          <w:snapToGrid/>
          <w:color w:val="000000" w:themeColor="text1"/>
          <w:kern w:val="2"/>
          <w:sz w:val="21"/>
          <w:szCs w:val="21"/>
          <w:highlight w:val="none"/>
          <w14:textFill>
            <w14:solidFill>
              <w14:schemeClr w14:val="tx1"/>
            </w14:solidFill>
          </w14:textFill>
        </w:rPr>
      </w:pPr>
      <w:r>
        <w:rPr>
          <w:rFonts w:hint="eastAsia" w:ascii="宋体" w:hAnsi="宋体" w:eastAsia="宋体" w:cs="宋体"/>
          <w:snapToGrid/>
          <w:color w:val="000000" w:themeColor="text1"/>
          <w:kern w:val="2"/>
          <w:sz w:val="21"/>
          <w:szCs w:val="21"/>
          <w:highlight w:val="none"/>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14:paraId="4EB8B3D8">
      <w:pPr>
        <w:pStyle w:val="35"/>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3.1.2.2对采购过程提出质疑的，质疑期限为各采购程序环节结束之日起计算。</w:t>
      </w:r>
    </w:p>
    <w:p w14:paraId="7052BBEF">
      <w:pPr>
        <w:pStyle w:val="35"/>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3.1.2.3对采购结果提出质疑的，质疑期限自采购结果公告期限届满之日起计算。</w:t>
      </w:r>
    </w:p>
    <w:p w14:paraId="0A7B0F16">
      <w:pPr>
        <w:pStyle w:val="35"/>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3.1.2.4对同一采购程序环节的质疑，供应商须一次性提出。</w:t>
      </w:r>
    </w:p>
    <w:p w14:paraId="46CEBFEC">
      <w:pPr>
        <w:pStyle w:val="35"/>
        <w:pageBreakBefore w:val="0"/>
        <w:kinsoku/>
        <w:overflowPunct/>
        <w:topLinePunct w:val="0"/>
        <w:bidi w:val="0"/>
        <w:spacing w:line="360" w:lineRule="auto"/>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3.2质疑答复</w:t>
      </w:r>
    </w:p>
    <w:p w14:paraId="485523EC">
      <w:pPr>
        <w:pStyle w:val="35"/>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3.2.1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1EDE24D1">
      <w:pPr>
        <w:pStyle w:val="35"/>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 2.1询问或者质疑事项可能影响采购结果的，采购人应当暂停签订合同，已经签订合同的，应当中止履行合同。</w:t>
      </w:r>
    </w:p>
    <w:p w14:paraId="44C8DB42">
      <w:pPr>
        <w:pStyle w:val="35"/>
        <w:pageBreakBefore w:val="0"/>
        <w:kinsoku/>
        <w:overflowPunct/>
        <w:topLinePunct w:val="0"/>
        <w:bidi w:val="0"/>
        <w:spacing w:line="360" w:lineRule="auto"/>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3.3质疑函</w:t>
      </w:r>
    </w:p>
    <w:p w14:paraId="14F913C5">
      <w:pPr>
        <w:pStyle w:val="35"/>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3.3.1供应商提出质疑应当提交质疑函和必要的证明材料。质疑函应当包括下列内容：</w:t>
      </w:r>
    </w:p>
    <w:p w14:paraId="2743F007">
      <w:pPr>
        <w:pStyle w:val="35"/>
        <w:pageBreakBefore w:val="0"/>
        <w:numPr>
          <w:ilvl w:val="0"/>
          <w:numId w:val="4"/>
        </w:numPr>
        <w:tabs>
          <w:tab w:val="left" w:pos="426"/>
          <w:tab w:val="clear" w:pos="840"/>
        </w:tabs>
        <w:kinsoku/>
        <w:overflowPunct/>
        <w:topLinePunct w:val="0"/>
        <w:bidi w:val="0"/>
        <w:spacing w:line="360" w:lineRule="auto"/>
        <w:ind w:left="284"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供应商的姓名或者名称、地址、邮编、联系人及联系电话；</w:t>
      </w:r>
    </w:p>
    <w:p w14:paraId="3BDCC3D6">
      <w:pPr>
        <w:pStyle w:val="35"/>
        <w:pageBreakBefore w:val="0"/>
        <w:numPr>
          <w:ilvl w:val="0"/>
          <w:numId w:val="4"/>
        </w:numPr>
        <w:tabs>
          <w:tab w:val="left" w:pos="426"/>
          <w:tab w:val="clear" w:pos="840"/>
        </w:tabs>
        <w:kinsoku/>
        <w:overflowPunct/>
        <w:topLinePunct w:val="0"/>
        <w:bidi w:val="0"/>
        <w:spacing w:line="360" w:lineRule="auto"/>
        <w:ind w:left="284"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质疑项目的名称、编号；</w:t>
      </w:r>
    </w:p>
    <w:p w14:paraId="4A880FC2">
      <w:pPr>
        <w:pStyle w:val="35"/>
        <w:pageBreakBefore w:val="0"/>
        <w:numPr>
          <w:ilvl w:val="0"/>
          <w:numId w:val="4"/>
        </w:numPr>
        <w:tabs>
          <w:tab w:val="left" w:pos="426"/>
          <w:tab w:val="clear" w:pos="840"/>
        </w:tabs>
        <w:kinsoku/>
        <w:overflowPunct/>
        <w:topLinePunct w:val="0"/>
        <w:bidi w:val="0"/>
        <w:spacing w:line="360" w:lineRule="auto"/>
        <w:ind w:left="284"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具体、明确的质疑事项和与质疑事项相关的请求；</w:t>
      </w:r>
    </w:p>
    <w:p w14:paraId="5548D3D7">
      <w:pPr>
        <w:pStyle w:val="35"/>
        <w:pageBreakBefore w:val="0"/>
        <w:numPr>
          <w:ilvl w:val="0"/>
          <w:numId w:val="4"/>
        </w:numPr>
        <w:tabs>
          <w:tab w:val="left" w:pos="426"/>
          <w:tab w:val="clear" w:pos="840"/>
        </w:tabs>
        <w:kinsoku/>
        <w:overflowPunct/>
        <w:topLinePunct w:val="0"/>
        <w:bidi w:val="0"/>
        <w:spacing w:line="360" w:lineRule="auto"/>
        <w:ind w:left="284"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事实依据；</w:t>
      </w:r>
    </w:p>
    <w:p w14:paraId="60CAE396">
      <w:pPr>
        <w:pStyle w:val="35"/>
        <w:pageBreakBefore w:val="0"/>
        <w:numPr>
          <w:ilvl w:val="0"/>
          <w:numId w:val="4"/>
        </w:numPr>
        <w:tabs>
          <w:tab w:val="left" w:pos="426"/>
          <w:tab w:val="clear" w:pos="840"/>
        </w:tabs>
        <w:kinsoku/>
        <w:overflowPunct/>
        <w:topLinePunct w:val="0"/>
        <w:bidi w:val="0"/>
        <w:spacing w:line="360" w:lineRule="auto"/>
        <w:ind w:left="284"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必要的法律依据；</w:t>
      </w:r>
    </w:p>
    <w:p w14:paraId="367F78B9">
      <w:pPr>
        <w:pStyle w:val="35"/>
        <w:pageBreakBefore w:val="0"/>
        <w:numPr>
          <w:ilvl w:val="0"/>
          <w:numId w:val="4"/>
        </w:numPr>
        <w:tabs>
          <w:tab w:val="left" w:pos="426"/>
          <w:tab w:val="clear" w:pos="840"/>
        </w:tabs>
        <w:kinsoku/>
        <w:overflowPunct/>
        <w:topLinePunct w:val="0"/>
        <w:bidi w:val="0"/>
        <w:spacing w:line="360" w:lineRule="auto"/>
        <w:ind w:left="284"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提出质疑的日期。</w:t>
      </w:r>
    </w:p>
    <w:p w14:paraId="290773ED">
      <w:pPr>
        <w:pStyle w:val="35"/>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48A62B0B">
      <w:pPr>
        <w:pageBreakBefore w:val="0"/>
        <w:kinsoku/>
        <w:overflowPunct/>
        <w:topLinePunct w:val="0"/>
        <w:bidi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4.供应商投诉</w:t>
      </w:r>
    </w:p>
    <w:p w14:paraId="1F5BDAB4">
      <w:pPr>
        <w:pStyle w:val="35"/>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4.1质疑供应商对采购人、采购代理机构的答复不满意或者采购人、采购代理机构未在规定的时间内作出答复的，可以在答复期满后十五个工作日内向同级政府采购监督管理部门提出投诉。</w:t>
      </w:r>
    </w:p>
    <w:p w14:paraId="5BE6EFD6">
      <w:pPr>
        <w:pStyle w:val="35"/>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4.2供应商投诉的事项不得超出已质疑事项的范围，基于质疑答复内容提出的投诉事项除外。</w:t>
      </w:r>
    </w:p>
    <w:p w14:paraId="4508116E">
      <w:pPr>
        <w:pStyle w:val="35"/>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4.3供应商投诉应当有明确的请求和必要的证明材料。</w:t>
      </w:r>
    </w:p>
    <w:p w14:paraId="47D9CA94">
      <w:pPr>
        <w:pStyle w:val="35"/>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09161764">
      <w:pPr>
        <w:pageBreakBefore w:val="0"/>
        <w:kinsoku/>
        <w:overflowPunct/>
        <w:topLinePunct w:val="0"/>
        <w:bidi w:val="0"/>
        <w:adjustRightInd/>
        <w:spacing w:line="360" w:lineRule="auto"/>
        <w:jc w:val="center"/>
        <w:outlineLvl w:val="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五、磋商文件构成、修改、解释</w:t>
      </w:r>
    </w:p>
    <w:p w14:paraId="090B2C08">
      <w:pPr>
        <w:pageBreakBefore w:val="0"/>
        <w:kinsoku/>
        <w:overflowPunct/>
        <w:topLinePunct w:val="0"/>
        <w:autoSpaceDE w:val="0"/>
        <w:autoSpaceDN w:val="0"/>
        <w:bidi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1．磋商文件的构成</w:t>
      </w:r>
    </w:p>
    <w:p w14:paraId="20A83732">
      <w:pPr>
        <w:pStyle w:val="35"/>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 磋商文件包括下列文件及附件</w:t>
      </w:r>
    </w:p>
    <w:p w14:paraId="3D44BEA0">
      <w:pPr>
        <w:pStyle w:val="35"/>
        <w:pageBreakBefore w:val="0"/>
        <w:numPr>
          <w:ilvl w:val="0"/>
          <w:numId w:val="4"/>
        </w:numPr>
        <w:kinsoku/>
        <w:overflowPunct/>
        <w:topLinePunct w:val="0"/>
        <w:bidi w:val="0"/>
        <w:spacing w:line="360" w:lineRule="auto"/>
        <w:ind w:left="839"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第一部分  供应商邀请</w:t>
      </w:r>
    </w:p>
    <w:p w14:paraId="5E1BEC32">
      <w:pPr>
        <w:pStyle w:val="35"/>
        <w:pageBreakBefore w:val="0"/>
        <w:numPr>
          <w:ilvl w:val="0"/>
          <w:numId w:val="4"/>
        </w:numPr>
        <w:kinsoku/>
        <w:overflowPunct/>
        <w:topLinePunct w:val="0"/>
        <w:bidi w:val="0"/>
        <w:spacing w:line="360" w:lineRule="auto"/>
        <w:ind w:left="839"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第二部分  竞争性磋商流程</w:t>
      </w:r>
    </w:p>
    <w:p w14:paraId="426C10C9">
      <w:pPr>
        <w:pStyle w:val="35"/>
        <w:pageBreakBefore w:val="0"/>
        <w:numPr>
          <w:ilvl w:val="0"/>
          <w:numId w:val="4"/>
        </w:numPr>
        <w:kinsoku/>
        <w:overflowPunct/>
        <w:topLinePunct w:val="0"/>
        <w:bidi w:val="0"/>
        <w:spacing w:line="360" w:lineRule="auto"/>
        <w:ind w:left="839"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第三部分  供应商须知</w:t>
      </w:r>
    </w:p>
    <w:p w14:paraId="6A5CAB34">
      <w:pPr>
        <w:pStyle w:val="35"/>
        <w:pageBreakBefore w:val="0"/>
        <w:numPr>
          <w:ilvl w:val="0"/>
          <w:numId w:val="4"/>
        </w:numPr>
        <w:kinsoku/>
        <w:overflowPunct/>
        <w:topLinePunct w:val="0"/>
        <w:bidi w:val="0"/>
        <w:spacing w:line="360" w:lineRule="auto"/>
        <w:ind w:left="839"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第四部分  采购需求</w:t>
      </w:r>
    </w:p>
    <w:p w14:paraId="0B32BB88">
      <w:pPr>
        <w:pStyle w:val="35"/>
        <w:pageBreakBefore w:val="0"/>
        <w:numPr>
          <w:ilvl w:val="0"/>
          <w:numId w:val="4"/>
        </w:numPr>
        <w:kinsoku/>
        <w:overflowPunct/>
        <w:topLinePunct w:val="0"/>
        <w:bidi w:val="0"/>
        <w:spacing w:line="360" w:lineRule="auto"/>
        <w:ind w:left="839"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第五部分  评审方法及评审标准</w:t>
      </w:r>
    </w:p>
    <w:p w14:paraId="0C28F5CB">
      <w:pPr>
        <w:pStyle w:val="35"/>
        <w:pageBreakBefore w:val="0"/>
        <w:numPr>
          <w:ilvl w:val="0"/>
          <w:numId w:val="4"/>
        </w:numPr>
        <w:kinsoku/>
        <w:overflowPunct/>
        <w:topLinePunct w:val="0"/>
        <w:bidi w:val="0"/>
        <w:spacing w:line="360" w:lineRule="auto"/>
        <w:ind w:left="839"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第六部分  拟签订的合同文本</w:t>
      </w:r>
    </w:p>
    <w:p w14:paraId="1408413B">
      <w:pPr>
        <w:pStyle w:val="35"/>
        <w:pageBreakBefore w:val="0"/>
        <w:numPr>
          <w:ilvl w:val="0"/>
          <w:numId w:val="4"/>
        </w:numPr>
        <w:kinsoku/>
        <w:overflowPunct/>
        <w:topLinePunct w:val="0"/>
        <w:bidi w:val="0"/>
        <w:spacing w:line="360" w:lineRule="auto"/>
        <w:ind w:left="839"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第七部分  应提交的有关格式范例</w:t>
      </w:r>
    </w:p>
    <w:p w14:paraId="3955B4BA">
      <w:pPr>
        <w:pStyle w:val="35"/>
        <w:pageBreakBefore w:val="0"/>
        <w:numPr>
          <w:ilvl w:val="0"/>
          <w:numId w:val="4"/>
        </w:numPr>
        <w:kinsoku/>
        <w:overflowPunct/>
        <w:topLinePunct w:val="0"/>
        <w:bidi w:val="0"/>
        <w:spacing w:line="360" w:lineRule="auto"/>
        <w:ind w:left="839"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第八部分  最后报价格式</w:t>
      </w:r>
    </w:p>
    <w:p w14:paraId="5B0D5068">
      <w:pPr>
        <w:pStyle w:val="35"/>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 与本项目有关的</w:t>
      </w:r>
      <w:r>
        <w:rPr>
          <w:rFonts w:hint="eastAsia" w:ascii="宋体" w:hAnsi="宋体" w:eastAsia="宋体" w:cs="宋体"/>
          <w:bCs/>
          <w:color w:val="000000" w:themeColor="text1"/>
          <w:szCs w:val="21"/>
          <w:highlight w:val="none"/>
          <w14:textFill>
            <w14:solidFill>
              <w14:schemeClr w14:val="tx1"/>
            </w14:solidFill>
          </w14:textFill>
        </w:rPr>
        <w:t>澄清或者修改的内容为磋商文件的组成部分</w:t>
      </w:r>
      <w:r>
        <w:rPr>
          <w:rFonts w:hint="eastAsia" w:ascii="宋体" w:hAnsi="宋体" w:eastAsia="宋体" w:cs="宋体"/>
          <w:color w:val="000000" w:themeColor="text1"/>
          <w:szCs w:val="21"/>
          <w:highlight w:val="none"/>
          <w14:textFill>
            <w14:solidFill>
              <w14:schemeClr w14:val="tx1"/>
            </w14:solidFill>
          </w14:textFill>
        </w:rPr>
        <w:t>。</w:t>
      </w:r>
    </w:p>
    <w:p w14:paraId="3D4F97C0">
      <w:pPr>
        <w:pStyle w:val="35"/>
        <w:pageBreakBefore w:val="0"/>
        <w:kinsoku/>
        <w:overflowPunct/>
        <w:topLinePunct w:val="0"/>
        <w:bidi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 磋商文件的澄清、修改</w:t>
      </w:r>
    </w:p>
    <w:p w14:paraId="4D087F36">
      <w:pPr>
        <w:pStyle w:val="396"/>
        <w:pageBreakBefore w:val="0"/>
        <w:kinsoku/>
        <w:overflowPunct/>
        <w:topLinePunct w:val="0"/>
        <w:bidi w:val="0"/>
        <w:snapToGrid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2.1已获取磋商文件的潜在供应商，若有问题需要澄清，应于提交首次响应文件截止时间前，以书面形式向采购代理机构提出。</w:t>
      </w:r>
    </w:p>
    <w:p w14:paraId="173305A6">
      <w:pPr>
        <w:pStyle w:val="396"/>
        <w:pageBreakBefore w:val="0"/>
        <w:kinsoku/>
        <w:overflowPunct/>
        <w:topLinePunct w:val="0"/>
        <w:bidi w:val="0"/>
        <w:snapToGrid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004DA5E3">
      <w:pPr>
        <w:pStyle w:val="396"/>
        <w:pageBreakBefore w:val="0"/>
        <w:kinsoku/>
        <w:overflowPunct/>
        <w:topLinePunct w:val="0"/>
        <w:bidi w:val="0"/>
        <w:snapToGrid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34637323">
      <w:pPr>
        <w:pStyle w:val="396"/>
        <w:pageBreakBefore w:val="0"/>
        <w:kinsoku/>
        <w:overflowPunct/>
        <w:topLinePunct w:val="0"/>
        <w:bidi w:val="0"/>
        <w:snapToGrid w:val="0"/>
        <w:spacing w:before="0" w:line="360" w:lineRule="auto"/>
        <w:ind w:firstLine="42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▲响应文件未按磋商文件的澄清、修改的内容编制，又不符合实质性要求的，响应无效。</w:t>
      </w:r>
    </w:p>
    <w:p w14:paraId="4E5EC56A">
      <w:pPr>
        <w:pStyle w:val="25"/>
        <w:pageBreakBefore w:val="0"/>
        <w:kinsoku/>
        <w:overflowPunct/>
        <w:topLinePunct w:val="0"/>
        <w:bidi w:val="0"/>
        <w:spacing w:line="360" w:lineRule="auto"/>
        <w:rPr>
          <w:rFonts w:hint="eastAsia" w:ascii="宋体" w:hAnsi="宋体" w:eastAsia="宋体" w:cs="宋体"/>
          <w:color w:val="000000" w:themeColor="text1"/>
          <w:sz w:val="21"/>
          <w:highlight w:val="none"/>
          <w:lang w:val="en-US"/>
          <w14:textFill>
            <w14:solidFill>
              <w14:schemeClr w14:val="tx1"/>
            </w14:solidFill>
          </w14:textFill>
        </w:rPr>
      </w:pPr>
      <w:r>
        <w:rPr>
          <w:rFonts w:hint="eastAsia" w:ascii="宋体" w:hAnsi="宋体" w:eastAsia="宋体" w:cs="宋体"/>
          <w:color w:val="000000" w:themeColor="text1"/>
          <w:sz w:val="21"/>
          <w:highlight w:val="none"/>
          <w:lang w:val="en-US"/>
          <w14:textFill>
            <w14:solidFill>
              <w14:schemeClr w14:val="tx1"/>
            </w14:solidFill>
          </w14:textFill>
        </w:rPr>
        <w:t xml:space="preserve">    </w:t>
      </w:r>
    </w:p>
    <w:p w14:paraId="09CB3AA5">
      <w:pPr>
        <w:pageBreakBefore w:val="0"/>
        <w:kinsoku/>
        <w:overflowPunct/>
        <w:topLinePunct w:val="0"/>
        <w:bidi w:val="0"/>
        <w:adjustRightInd/>
        <w:spacing w:line="360" w:lineRule="auto"/>
        <w:jc w:val="center"/>
        <w:outlineLvl w:val="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六、响应文件的编制</w:t>
      </w:r>
    </w:p>
    <w:p w14:paraId="44DBDF75">
      <w:pPr>
        <w:pStyle w:val="35"/>
        <w:pageBreakBefore w:val="0"/>
        <w:kinsoku/>
        <w:overflowPunct/>
        <w:topLinePunct w:val="0"/>
        <w:bidi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 响应文件的语言</w:t>
      </w:r>
    </w:p>
    <w:p w14:paraId="36EDBFBF">
      <w:pPr>
        <w:pStyle w:val="35"/>
        <w:pageBreakBefore w:val="0"/>
        <w:kinsoku/>
        <w:overflowPunct/>
        <w:topLinePunct w:val="0"/>
        <w:bidi w:val="0"/>
        <w:spacing w:line="360" w:lineRule="auto"/>
        <w:ind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响应文件及供应商与采购有关的来往通知、函件和文件均应使用中文。</w:t>
      </w:r>
    </w:p>
    <w:p w14:paraId="30247ABC">
      <w:pPr>
        <w:pStyle w:val="35"/>
        <w:pageBreakBefore w:val="0"/>
        <w:kinsoku/>
        <w:overflowPunct/>
        <w:topLinePunct w:val="0"/>
        <w:bidi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 响应文件的组成</w:t>
      </w:r>
    </w:p>
    <w:p w14:paraId="30829675">
      <w:pPr>
        <w:pStyle w:val="35"/>
        <w:pageBreakBefore w:val="0"/>
        <w:kinsoku/>
        <w:overflowPunct/>
        <w:topLinePunct w:val="0"/>
        <w:bidi w:val="0"/>
        <w:spacing w:line="360" w:lineRule="auto"/>
        <w:ind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响应文件应当包括以下主要内容：</w:t>
      </w:r>
    </w:p>
    <w:p w14:paraId="38A7B3B3">
      <w:pPr>
        <w:pStyle w:val="35"/>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（1）响应函</w:t>
      </w:r>
    </w:p>
    <w:p w14:paraId="62D4E190">
      <w:pPr>
        <w:pStyle w:val="35"/>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（2）资格文件</w:t>
      </w:r>
    </w:p>
    <w:p w14:paraId="3EE33EAA">
      <w:pPr>
        <w:pStyle w:val="35"/>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资信技术文件</w:t>
      </w:r>
    </w:p>
    <w:p w14:paraId="36D30D03">
      <w:pPr>
        <w:pStyle w:val="35"/>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（4）报价文件</w:t>
      </w:r>
    </w:p>
    <w:p w14:paraId="64457717">
      <w:pPr>
        <w:pStyle w:val="35"/>
        <w:pageBreakBefore w:val="0"/>
        <w:kinsoku/>
        <w:overflowPunct/>
        <w:topLinePunct w:val="0"/>
        <w:bidi w:val="0"/>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 响应文件的编制和签署</w:t>
      </w:r>
    </w:p>
    <w:p w14:paraId="0A89FABC">
      <w:pPr>
        <w:pageBreakBefore w:val="0"/>
        <w:kinsoku/>
        <w:overflowPunct/>
        <w:topLinePunct w:val="0"/>
        <w:bidi w:val="0"/>
        <w:spacing w:line="360" w:lineRule="auto"/>
        <w:ind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3.1各供应商在编制响应文件时请按照磋商文件第七部分规定的格式进行，混乱的编排导致响应文件被误读或磋商小组查找不到有效文件是供应商的风险。</w:t>
      </w:r>
    </w:p>
    <w:p w14:paraId="071A5266">
      <w:pPr>
        <w:pageBreakBefore w:val="0"/>
        <w:kinsoku/>
        <w:overflowPunct/>
        <w:topLinePunct w:val="0"/>
        <w:bidi w:val="0"/>
        <w:spacing w:line="360" w:lineRule="auto"/>
        <w:ind w:firstLine="420" w:firstLineChars="200"/>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3.2供应商进行电子交易应安装客户端软件—“政采云电子交易客户端”，并按照磋商文件和电子交易平台的要求编制并加密响应文件。供应商未按规定加密的响应文件，电子交易平台将拒收并提示。</w:t>
      </w:r>
    </w:p>
    <w:p w14:paraId="7592786F">
      <w:pPr>
        <w:pageBreakBefore w:val="0"/>
        <w:kinsoku/>
        <w:overflowPunct/>
        <w:topLinePunct w:val="0"/>
        <w:bidi w:val="0"/>
        <w:spacing w:line="360" w:lineRule="auto"/>
        <w:ind w:firstLine="420" w:firstLineChars="200"/>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3.3使用“政采云电子交易客户端”需要提前申领CA数字证书，申领流程请自行前往“浙江政府采购网-下载专区-电子交易客户端-CA驱动和申领流程”进行查阅。</w:t>
      </w:r>
    </w:p>
    <w:p w14:paraId="17B4E877">
      <w:pPr>
        <w:pStyle w:val="396"/>
        <w:pageBreakBefore w:val="0"/>
        <w:kinsoku/>
        <w:overflowPunct/>
        <w:topLinePunct w:val="0"/>
        <w:bidi w:val="0"/>
        <w:snapToGrid w:val="0"/>
        <w:spacing w:before="0" w:line="360" w:lineRule="auto"/>
        <w:ind w:firstLine="42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3.4响应文件按照磋商文件第七部分格式要求进行签署、盖章。</w:t>
      </w:r>
      <w:r>
        <w:rPr>
          <w:rFonts w:hint="eastAsia" w:ascii="宋体" w:hAnsi="宋体" w:eastAsia="宋体" w:cs="宋体"/>
          <w:b/>
          <w:color w:val="000000" w:themeColor="text1"/>
          <w:sz w:val="21"/>
          <w:szCs w:val="21"/>
          <w:highlight w:val="none"/>
          <w14:textFill>
            <w14:solidFill>
              <w14:schemeClr w14:val="tx1"/>
            </w14:solidFill>
          </w14:textFill>
        </w:rPr>
        <w:t>▲供应商的响应文件未按照磋商文件要求签署、盖章的，其响应无效</w:t>
      </w:r>
      <w:r>
        <w:rPr>
          <w:rFonts w:hint="eastAsia" w:ascii="宋体" w:hAnsi="宋体" w:eastAsia="宋体" w:cs="宋体"/>
          <w:color w:val="000000" w:themeColor="text1"/>
          <w:sz w:val="21"/>
          <w:szCs w:val="21"/>
          <w:highlight w:val="none"/>
          <w14:textFill>
            <w14:solidFill>
              <w14:schemeClr w14:val="tx1"/>
            </w14:solidFill>
          </w14:textFill>
        </w:rPr>
        <w:t>。</w:t>
      </w:r>
    </w:p>
    <w:p w14:paraId="00C5F2F9">
      <w:pPr>
        <w:pStyle w:val="396"/>
        <w:pageBreakBefore w:val="0"/>
        <w:kinsoku/>
        <w:overflowPunct/>
        <w:topLinePunct w:val="0"/>
        <w:bidi w:val="0"/>
        <w:snapToGrid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3.5为确保网上操作合法、有效和安全，供应商应当在响应截止时间前完成在“政府采购云平台”的身份认证，确保在电子交易过程中能够对相关数据电文进行加密和使用电子签名。</w:t>
      </w:r>
    </w:p>
    <w:p w14:paraId="21A3C66E">
      <w:pPr>
        <w:pStyle w:val="396"/>
        <w:pageBreakBefore w:val="0"/>
        <w:kinsoku/>
        <w:overflowPunct/>
        <w:topLinePunct w:val="0"/>
        <w:bidi w:val="0"/>
        <w:snapToGrid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3.6磋商文件对响应文件签署、盖章的要求适用于电子签名。</w:t>
      </w:r>
    </w:p>
    <w:p w14:paraId="52E8AB48">
      <w:pPr>
        <w:pageBreakBefore w:val="0"/>
        <w:kinsoku/>
        <w:overflowPunct/>
        <w:topLinePunct w:val="0"/>
        <w:bidi w:val="0"/>
        <w:adjustRightInd/>
        <w:spacing w:line="360" w:lineRule="auto"/>
        <w:jc w:val="both"/>
        <w:outlineLvl w:val="0"/>
        <w:rPr>
          <w:rFonts w:hint="eastAsia" w:ascii="宋体" w:hAnsi="宋体" w:eastAsia="宋体" w:cs="宋体"/>
          <w:b/>
          <w:color w:val="000000" w:themeColor="text1"/>
          <w:szCs w:val="21"/>
          <w:highlight w:val="none"/>
          <w14:textFill>
            <w14:solidFill>
              <w14:schemeClr w14:val="tx1"/>
            </w14:solidFill>
          </w14:textFill>
        </w:rPr>
      </w:pPr>
    </w:p>
    <w:p w14:paraId="6B372B69">
      <w:pPr>
        <w:pageBreakBefore w:val="0"/>
        <w:kinsoku/>
        <w:overflowPunct/>
        <w:topLinePunct w:val="0"/>
        <w:bidi w:val="0"/>
        <w:adjustRightInd/>
        <w:spacing w:line="360" w:lineRule="auto"/>
        <w:jc w:val="center"/>
        <w:outlineLvl w:val="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七、响应文件的提交和备份</w:t>
      </w:r>
    </w:p>
    <w:p w14:paraId="2FECC37C">
      <w:pPr>
        <w:pStyle w:val="396"/>
        <w:pageBreakBefore w:val="0"/>
        <w:kinsoku/>
        <w:overflowPunct/>
        <w:topLinePunct w:val="0"/>
        <w:bidi w:val="0"/>
        <w:spacing w:before="0" w:line="360" w:lineRule="auto"/>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p>
    <w:p w14:paraId="309055DC">
      <w:pPr>
        <w:pStyle w:val="396"/>
        <w:pageBreakBefore w:val="0"/>
        <w:kinsoku/>
        <w:overflowPunct/>
        <w:topLinePunct w:val="0"/>
        <w:bidi w:val="0"/>
        <w:spacing w:before="0" w:line="360" w:lineRule="auto"/>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1.响应文件的提交、补充、修改、撤回</w:t>
      </w:r>
    </w:p>
    <w:p w14:paraId="6C275CC3">
      <w:pPr>
        <w:pStyle w:val="396"/>
        <w:pageBreakBefore w:val="0"/>
        <w:kinsoku/>
        <w:overflowPunct/>
        <w:topLinePunct w:val="0"/>
        <w:bidi w:val="0"/>
        <w:spacing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9176303">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 在响应截止时间以后，不能补充、修改响应文件。</w:t>
      </w:r>
    </w:p>
    <w:p w14:paraId="32739D7A">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 在提交“最后报价”后，供应商不能退出磋商。</w:t>
      </w:r>
    </w:p>
    <w:p w14:paraId="70773532">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 电子交易平台收到响应文件，将妥善保存并即时向供应商发出确认回执通知。在响应截止时间前，除供应商补充、修改或者撤回响应文件外，任何单位和个人不得解密或提取响应文件。</w:t>
      </w:r>
    </w:p>
    <w:p w14:paraId="089901A8">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 采购代理机构可以视情况延长提交响应文件的截止时间。在上述情况下，采购代理机构与供应商以前在响应截止期方面的全部权利、责任和义务，将适用于延长至新的响应截止期。</w:t>
      </w:r>
    </w:p>
    <w:p w14:paraId="0D3FC936">
      <w:pPr>
        <w:pStyle w:val="35"/>
        <w:pageBreakBefore w:val="0"/>
        <w:kinsoku/>
        <w:overflowPunct/>
        <w:topLinePunct w:val="0"/>
        <w:bidi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2.备份响应文件</w:t>
      </w:r>
    </w:p>
    <w:p w14:paraId="71F99900">
      <w:pPr>
        <w:pStyle w:val="35"/>
        <w:pageBreakBefore w:val="0"/>
        <w:kinsoku/>
        <w:overflowPunct/>
        <w:topLinePunct w:val="0"/>
        <w:bidi w:val="0"/>
        <w:spacing w:line="360" w:lineRule="auto"/>
        <w:ind w:firstLine="315" w:firstLineChars="15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 供应商在电子交易平台传输提交响应文件后，还可以在响应截止时间前直接提交或者以邮政快递方式递交备份响应文件1份，</w:t>
      </w:r>
      <w:r>
        <w:rPr>
          <w:rFonts w:hint="eastAsia" w:ascii="宋体" w:hAnsi="宋体" w:eastAsia="宋体" w:cs="宋体"/>
          <w:b/>
          <w:color w:val="000000" w:themeColor="text1"/>
          <w:szCs w:val="21"/>
          <w:highlight w:val="none"/>
          <w14:textFill>
            <w14:solidFill>
              <w14:schemeClr w14:val="tx1"/>
            </w14:solidFill>
          </w14:textFill>
        </w:rPr>
        <w:t>不强制供应商提交备份响应文件。</w:t>
      </w:r>
    </w:p>
    <w:p w14:paraId="1D29AF7C">
      <w:pPr>
        <w:pStyle w:val="35"/>
        <w:pageBreakBefore w:val="0"/>
        <w:kinsoku/>
        <w:overflowPunct/>
        <w:topLinePunct w:val="0"/>
        <w:bidi w:val="0"/>
        <w:spacing w:line="360" w:lineRule="auto"/>
        <w:ind w:firstLine="315" w:firstLineChars="15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 备份响应文件须在“政采云投标客户端”制作生成，并储存在不可修改的</w:t>
      </w:r>
      <w:r>
        <w:rPr>
          <w:rFonts w:hint="eastAsia" w:ascii="宋体" w:hAnsi="宋体" w:eastAsia="宋体" w:cs="宋体"/>
          <w:b/>
          <w:color w:val="000000" w:themeColor="text1"/>
          <w:szCs w:val="21"/>
          <w:highlight w:val="none"/>
          <w:u w:val="single"/>
          <w14:textFill>
            <w14:solidFill>
              <w14:schemeClr w14:val="tx1"/>
            </w14:solidFill>
          </w14:textFill>
        </w:rPr>
        <w:t>电子光盘等存储介质</w:t>
      </w:r>
      <w:r>
        <w:rPr>
          <w:rFonts w:hint="eastAsia" w:ascii="宋体" w:hAnsi="宋体" w:eastAsia="宋体" w:cs="宋体"/>
          <w:color w:val="000000" w:themeColor="text1"/>
          <w:szCs w:val="21"/>
          <w:highlight w:val="none"/>
          <w14:textFill>
            <w14:solidFill>
              <w14:schemeClr w14:val="tx1"/>
            </w14:solidFill>
          </w14:textFill>
        </w:rPr>
        <w:t>中。备份响应文件应当密封包装并在包装上加盖公章并注明响应项目名称，供应商名称。</w:t>
      </w:r>
      <w:r>
        <w:rPr>
          <w:rFonts w:hint="eastAsia" w:ascii="宋体" w:hAnsi="宋体" w:eastAsia="宋体" w:cs="宋体"/>
          <w:b/>
          <w:color w:val="000000" w:themeColor="text1"/>
          <w:szCs w:val="21"/>
          <w:highlight w:val="none"/>
          <w14:textFill>
            <w14:solidFill>
              <w14:schemeClr w14:val="tx1"/>
            </w14:solidFill>
          </w14:textFill>
        </w:rPr>
        <w:t>▲不符合上述制作、存储、密封规定的备份响应文件将被视为无效或者被拒绝接收。</w:t>
      </w:r>
    </w:p>
    <w:p w14:paraId="0064C7AA">
      <w:pPr>
        <w:pStyle w:val="35"/>
        <w:pageBreakBefore w:val="0"/>
        <w:kinsoku/>
        <w:overflowPunct/>
        <w:topLinePunct w:val="0"/>
        <w:bidi w:val="0"/>
        <w:spacing w:line="360" w:lineRule="auto"/>
        <w:ind w:firstLine="315" w:firstLine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 直接提交备份响应文件的，供应商应于响应截止时间前在磋商公告中载明的开启响应文件的地点将备份响应文件提交给采购代理机构，采购代理机构将拒绝接受逾期送达的备份响应文件。</w:t>
      </w:r>
    </w:p>
    <w:p w14:paraId="6D58F536">
      <w:pPr>
        <w:pStyle w:val="35"/>
        <w:pageBreakBefore w:val="0"/>
        <w:kinsoku/>
        <w:overflowPunct/>
        <w:topLinePunct w:val="0"/>
        <w:bidi w:val="0"/>
        <w:spacing w:line="360" w:lineRule="auto"/>
        <w:ind w:firstLine="315" w:firstLine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6A1A6CED">
      <w:pPr>
        <w:pStyle w:val="35"/>
        <w:pageBreakBefore w:val="0"/>
        <w:kinsoku/>
        <w:overflowPunct/>
        <w:topLinePunct w:val="0"/>
        <w:bidi w:val="0"/>
        <w:spacing w:line="360" w:lineRule="auto"/>
        <w:ind w:firstLine="316" w:firstLine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2.5 ▲供应商仅提交备份响应文件，未在电子交易平台传输提交响应文件的，响应无效。</w:t>
      </w:r>
    </w:p>
    <w:p w14:paraId="56E68F95">
      <w:pPr>
        <w:pageBreakBefore w:val="0"/>
        <w:kinsoku/>
        <w:overflowPunct/>
        <w:topLinePunct w:val="0"/>
        <w:bidi w:val="0"/>
        <w:adjustRightInd/>
        <w:spacing w:line="360" w:lineRule="auto"/>
        <w:jc w:val="center"/>
        <w:outlineLvl w:val="0"/>
        <w:rPr>
          <w:rFonts w:hint="eastAsia" w:ascii="宋体" w:hAnsi="宋体" w:eastAsia="宋体" w:cs="宋体"/>
          <w:b/>
          <w:color w:val="000000" w:themeColor="text1"/>
          <w:szCs w:val="21"/>
          <w:highlight w:val="none"/>
          <w14:textFill>
            <w14:solidFill>
              <w14:schemeClr w14:val="tx1"/>
            </w14:solidFill>
          </w14:textFill>
        </w:rPr>
      </w:pPr>
    </w:p>
    <w:p w14:paraId="4BB33D54">
      <w:pPr>
        <w:pageBreakBefore w:val="0"/>
        <w:kinsoku/>
        <w:overflowPunct/>
        <w:topLinePunct w:val="0"/>
        <w:bidi w:val="0"/>
        <w:adjustRightInd/>
        <w:spacing w:line="360" w:lineRule="auto"/>
        <w:jc w:val="center"/>
        <w:outlineLvl w:val="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八、开启响应文件与信用信息查询</w:t>
      </w:r>
    </w:p>
    <w:p w14:paraId="57BACB68">
      <w:pPr>
        <w:pStyle w:val="35"/>
        <w:pageBreakBefore w:val="0"/>
        <w:kinsoku/>
        <w:overflowPunct/>
        <w:topLinePunct w:val="0"/>
        <w:bidi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 开启响应文件</w:t>
      </w:r>
    </w:p>
    <w:p w14:paraId="27F3C9A3">
      <w:pPr>
        <w:pStyle w:val="35"/>
        <w:pageBreakBefore w:val="0"/>
        <w:kinsoku/>
        <w:overflowPunct/>
        <w:topLinePunct w:val="0"/>
        <w:bidi w:val="0"/>
        <w:spacing w:line="360" w:lineRule="auto"/>
        <w:ind w:firstLine="315" w:firstLine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 采购代理机构按照磋商文件规定的时间通过电子交易平台组织响应文件开启，所有供应商均应当准时在线参加。</w:t>
      </w:r>
      <w:r>
        <w:rPr>
          <w:rFonts w:hint="eastAsia" w:ascii="宋体" w:hAnsi="宋体" w:eastAsia="宋体" w:cs="宋体"/>
          <w:b/>
          <w:color w:val="000000" w:themeColor="text1"/>
          <w:szCs w:val="21"/>
          <w:highlight w:val="none"/>
          <w14:textFill>
            <w14:solidFill>
              <w14:schemeClr w14:val="tx1"/>
            </w14:solidFill>
          </w14:textFill>
        </w:rPr>
        <w:t>供应商数量不符合规定的，不得开启响应文件。</w:t>
      </w:r>
    </w:p>
    <w:p w14:paraId="5E51C610">
      <w:pPr>
        <w:pStyle w:val="35"/>
        <w:pageBreakBefore w:val="0"/>
        <w:kinsoku/>
        <w:overflowPunct/>
        <w:topLinePunct w:val="0"/>
        <w:bidi w:val="0"/>
        <w:spacing w:line="360" w:lineRule="auto"/>
        <w:ind w:firstLine="315" w:firstLine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1.2开启响应文件时，电子交易平台按开启响应文件时间自动提取所有响应文件。采购代理机构依托电子交易平台发起开始解密指令，供应商按照平台提示和磋商文件的规定在半小时内完成在线解密。</w:t>
      </w:r>
    </w:p>
    <w:p w14:paraId="3C8402A7">
      <w:pPr>
        <w:pStyle w:val="35"/>
        <w:pageBreakBefore w:val="0"/>
        <w:kinsoku/>
        <w:overflowPunct/>
        <w:topLinePunct w:val="0"/>
        <w:bidi w:val="0"/>
        <w:spacing w:line="360" w:lineRule="auto"/>
        <w:ind w:firstLine="316" w:firstLineChars="15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1.3响应文件未在规定时间内成功解密的供应商，如提交了备份响应文件的，以备份响应文件作为依据，否则视为响应文件撤回。响应文件解密成功的供应商，其备份响应文件自动失效。</w:t>
      </w:r>
    </w:p>
    <w:p w14:paraId="31CEDBA3">
      <w:pPr>
        <w:pStyle w:val="396"/>
        <w:pageBreakBefore w:val="0"/>
        <w:kinsoku/>
        <w:overflowPunct/>
        <w:topLinePunct w:val="0"/>
        <w:bidi w:val="0"/>
        <w:spacing w:before="0" w:line="360" w:lineRule="auto"/>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2.信用信息查询</w:t>
      </w:r>
    </w:p>
    <w:p w14:paraId="0A284F24">
      <w:pPr>
        <w:pStyle w:val="396"/>
        <w:pageBreakBefore w:val="0"/>
        <w:kinsoku/>
        <w:overflowPunct/>
        <w:topLinePunct w:val="0"/>
        <w:bidi w:val="0"/>
        <w:spacing w:before="0" w:line="360" w:lineRule="auto"/>
        <w:ind w:firstLine="495" w:firstLineChars="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2.1信用信息查询渠道及截止时间：采购代理机构将通过“信用中国”网站(</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"http://www.creditchina.gov.cn"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70"/>
          <w:rFonts w:hint="eastAsia" w:ascii="宋体" w:hAnsi="宋体" w:eastAsia="宋体" w:cs="宋体"/>
          <w:snapToGrid/>
          <w:color w:val="000000" w:themeColor="text1"/>
          <w:sz w:val="21"/>
          <w:szCs w:val="21"/>
          <w:highlight w:val="none"/>
          <w14:textFill>
            <w14:solidFill>
              <w14:schemeClr w14:val="tx1"/>
            </w14:solidFill>
          </w14:textFill>
        </w:rPr>
        <w:t>www.creditchina.gov.cn</w:t>
      </w:r>
      <w:r>
        <w:rPr>
          <w:rStyle w:val="70"/>
          <w:rFonts w:hint="eastAsia" w:ascii="宋体" w:hAnsi="宋体" w:eastAsia="宋体" w:cs="宋体"/>
          <w:snapToGrid/>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kern w:val="0"/>
          <w:sz w:val="21"/>
          <w:szCs w:val="21"/>
          <w:highlight w:val="none"/>
          <w14:textFill>
            <w14:solidFill>
              <w14:schemeClr w14:val="tx1"/>
            </w14:solidFill>
          </w14:textFill>
        </w:rPr>
        <w:t>)、中国政府采购网(www.ccgp.gov.cn)渠道查询供应商响应截止时间前的信用记录。</w:t>
      </w:r>
    </w:p>
    <w:p w14:paraId="3E7990BD">
      <w:pPr>
        <w:pStyle w:val="396"/>
        <w:pageBreakBefore w:val="0"/>
        <w:kinsoku/>
        <w:overflowPunct/>
        <w:topLinePunct w:val="0"/>
        <w:bidi w:val="0"/>
        <w:spacing w:before="0" w:line="360" w:lineRule="auto"/>
        <w:ind w:firstLine="495" w:firstLineChars="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2.2信用信息查询记录和证据留存的具体方式：现场查询的供应商的信用记录、查询结果经确认后存档。</w:t>
      </w:r>
    </w:p>
    <w:p w14:paraId="1D4C7110">
      <w:pPr>
        <w:pStyle w:val="396"/>
        <w:pageBreakBefore w:val="0"/>
        <w:kinsoku/>
        <w:overflowPunct/>
        <w:topLinePunct w:val="0"/>
        <w:bidi w:val="0"/>
        <w:spacing w:before="0" w:line="360" w:lineRule="auto"/>
        <w:ind w:firstLine="495" w:firstLineChars="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2.3信用信息的使用规则：经查询列入失信被执行人名单、重大税收违法案件当事人名单、政府采购严重违法失信行为记录名单的供应商将被拒绝参与政府采购活动。</w:t>
      </w:r>
    </w:p>
    <w:p w14:paraId="0521378D">
      <w:pPr>
        <w:pStyle w:val="35"/>
        <w:pageBreakBefore w:val="0"/>
        <w:kinsoku/>
        <w:overflowPunct/>
        <w:topLinePunct w:val="0"/>
        <w:bidi w:val="0"/>
        <w:spacing w:line="360" w:lineRule="auto"/>
        <w:rPr>
          <w:rFonts w:hint="eastAsia" w:ascii="宋体" w:hAnsi="宋体" w:eastAsia="宋体" w:cs="宋体"/>
          <w:b/>
          <w:color w:val="000000" w:themeColor="text1"/>
          <w:szCs w:val="21"/>
          <w:highlight w:val="none"/>
          <w14:textFill>
            <w14:solidFill>
              <w14:schemeClr w14:val="tx1"/>
            </w14:solidFill>
          </w14:textFill>
        </w:rPr>
      </w:pPr>
    </w:p>
    <w:p w14:paraId="0CB4B8DB">
      <w:pPr>
        <w:pageBreakBefore w:val="0"/>
        <w:kinsoku/>
        <w:overflowPunct/>
        <w:topLinePunct w:val="0"/>
        <w:bidi w:val="0"/>
        <w:adjustRightInd/>
        <w:spacing w:line="360" w:lineRule="auto"/>
        <w:jc w:val="center"/>
        <w:outlineLvl w:val="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九、提交最后报价</w:t>
      </w:r>
    </w:p>
    <w:p w14:paraId="2B4BF3B9">
      <w:pPr>
        <w:pageBreakBefore w:val="0"/>
        <w:kinsoku/>
        <w:overflowPunct/>
        <w:topLinePunct w:val="0"/>
        <w:bidi w:val="0"/>
        <w:snapToGrid w:val="0"/>
        <w:spacing w:line="360" w:lineRule="auto"/>
        <w:rPr>
          <w:rFonts w:hint="eastAsia" w:ascii="宋体" w:hAnsi="宋体" w:eastAsia="宋体" w:cs="宋体"/>
          <w:color w:val="000000" w:themeColor="text1"/>
          <w:szCs w:val="21"/>
          <w:highlight w:val="none"/>
          <w:u w:val="single"/>
          <w:lang w:val="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供应商的</w:t>
      </w:r>
      <w:r>
        <w:rPr>
          <w:rFonts w:hint="eastAsia" w:ascii="宋体" w:hAnsi="宋体" w:eastAsia="宋体" w:cs="宋体"/>
          <w:b/>
          <w:color w:val="000000" w:themeColor="text1"/>
          <w:szCs w:val="21"/>
          <w:highlight w:val="none"/>
          <w14:textFill>
            <w14:solidFill>
              <w14:schemeClr w14:val="tx1"/>
            </w14:solidFill>
          </w14:textFill>
        </w:rPr>
        <w:t>最后报价文件</w:t>
      </w:r>
      <w:r>
        <w:rPr>
          <w:rFonts w:hint="eastAsia" w:ascii="宋体" w:hAnsi="宋体" w:eastAsia="宋体" w:cs="宋体"/>
          <w:color w:val="000000" w:themeColor="text1"/>
          <w:szCs w:val="21"/>
          <w:highlight w:val="none"/>
          <w14:textFill>
            <w14:solidFill>
              <w14:schemeClr w14:val="tx1"/>
            </w14:solidFill>
          </w14:textFill>
        </w:rPr>
        <w:t>应包括以下内容（均需使用电子签名）：</w:t>
      </w:r>
    </w:p>
    <w:p w14:paraId="38827F2D">
      <w:pPr>
        <w:pStyle w:val="35"/>
        <w:pageBreakBefore w:val="0"/>
        <w:kinsoku/>
        <w:overflowPunct/>
        <w:topLinePunct w:val="0"/>
        <w:bidi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1.1最后报价一览表；</w:t>
      </w:r>
    </w:p>
    <w:p w14:paraId="3B1B45FF">
      <w:pPr>
        <w:pStyle w:val="35"/>
        <w:pageBreakBefore w:val="0"/>
        <w:kinsoku/>
        <w:overflowPunct/>
        <w:topLinePunct w:val="0"/>
        <w:bidi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1.2中小企业声明函（如果有）。</w:t>
      </w:r>
    </w:p>
    <w:p w14:paraId="016F104D">
      <w:pPr>
        <w:pageBreakBefore w:val="0"/>
        <w:kinsoku/>
        <w:overflowPunct/>
        <w:topLinePunct w:val="0"/>
        <w:bidi w:val="0"/>
        <w:adjustRightInd/>
        <w:spacing w:line="360" w:lineRule="auto"/>
        <w:jc w:val="center"/>
        <w:outlineLvl w:val="0"/>
        <w:rPr>
          <w:rFonts w:hint="eastAsia" w:ascii="宋体" w:hAnsi="宋体" w:eastAsia="宋体" w:cs="宋体"/>
          <w:b/>
          <w:color w:val="000000" w:themeColor="text1"/>
          <w:szCs w:val="21"/>
          <w:highlight w:val="none"/>
          <w14:textFill>
            <w14:solidFill>
              <w14:schemeClr w14:val="tx1"/>
            </w14:solidFill>
          </w14:textFill>
        </w:rPr>
      </w:pPr>
    </w:p>
    <w:p w14:paraId="6B19E85B">
      <w:pPr>
        <w:pageBreakBefore w:val="0"/>
        <w:kinsoku/>
        <w:overflowPunct/>
        <w:topLinePunct w:val="0"/>
        <w:bidi w:val="0"/>
        <w:adjustRightInd/>
        <w:spacing w:line="360" w:lineRule="auto"/>
        <w:jc w:val="center"/>
        <w:outlineLvl w:val="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十、评审</w:t>
      </w:r>
    </w:p>
    <w:p w14:paraId="03D8E2CE">
      <w:pPr>
        <w:pStyle w:val="35"/>
        <w:pageBreakBefore w:val="0"/>
        <w:kinsoku/>
        <w:overflowPunct/>
        <w:topLinePunct w:val="0"/>
        <w:bidi w:val="0"/>
        <w:snapToGrid w:val="0"/>
        <w:spacing w:beforeLines="0" w:afterLines="0" w:line="360" w:lineRule="auto"/>
        <w:rPr>
          <w:rFonts w:hint="eastAsia" w:ascii="宋体" w:hAnsi="宋体" w:eastAsia="宋体" w:cs="宋体"/>
          <w:b/>
          <w:color w:val="000000" w:themeColor="text1"/>
          <w:sz w:val="21"/>
          <w:szCs w:val="21"/>
          <w:highlight w:val="none"/>
          <w:u w:val="none"/>
          <w14:textFill>
            <w14:solidFill>
              <w14:schemeClr w14:val="tx1"/>
            </w14:solidFill>
          </w14:textFill>
        </w:rPr>
      </w:pPr>
      <w:r>
        <w:rPr>
          <w:rFonts w:hint="eastAsia" w:ascii="宋体" w:hAnsi="宋体" w:eastAsia="宋体" w:cs="宋体"/>
          <w:b/>
          <w:bCs/>
          <w:color w:val="000000" w:themeColor="text1"/>
          <w:kern w:val="0"/>
          <w:sz w:val="21"/>
          <w:szCs w:val="21"/>
          <w:highlight w:val="none"/>
          <w:u w:val="none"/>
          <w:lang w:val="en-US" w:eastAsia="zh-CN"/>
          <w14:textFill>
            <w14:solidFill>
              <w14:schemeClr w14:val="tx1"/>
            </w14:solidFill>
          </w14:textFill>
        </w:rPr>
        <w:t>1.</w:t>
      </w:r>
      <w:r>
        <w:rPr>
          <w:rFonts w:hint="eastAsia" w:ascii="宋体" w:hAnsi="宋体" w:eastAsia="宋体" w:cs="宋体"/>
          <w:b/>
          <w:bCs/>
          <w:color w:val="000000" w:themeColor="text1"/>
          <w:kern w:val="0"/>
          <w:sz w:val="21"/>
          <w:szCs w:val="21"/>
          <w:highlight w:val="none"/>
          <w:u w:val="none"/>
          <w14:textFill>
            <w14:solidFill>
              <w14:schemeClr w14:val="tx1"/>
            </w14:solidFill>
          </w14:textFill>
        </w:rPr>
        <w:t>评标委员会由采购人代表和评审专家组成，</w:t>
      </w:r>
      <w:r>
        <w:rPr>
          <w:rFonts w:hint="eastAsia" w:ascii="宋体" w:hAnsi="宋体" w:eastAsia="宋体" w:cs="宋体"/>
          <w:b/>
          <w:bCs/>
          <w:color w:val="000000" w:themeColor="text1"/>
          <w:sz w:val="21"/>
          <w:szCs w:val="21"/>
          <w:highlight w:val="none"/>
          <w:u w:val="none"/>
          <w14:textFill>
            <w14:solidFill>
              <w14:schemeClr w14:val="tx1"/>
            </w14:solidFill>
          </w14:textFill>
        </w:rPr>
        <w:t>政府采购评审专家</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b/>
          <w:bCs/>
          <w:color w:val="000000" w:themeColor="text1"/>
          <w:sz w:val="21"/>
          <w:szCs w:val="21"/>
          <w:highlight w:val="none"/>
          <w:u w:val="single"/>
          <w14:textFill>
            <w14:solidFill>
              <w14:schemeClr w14:val="tx1"/>
            </w14:solidFill>
          </w14:textFill>
        </w:rPr>
        <w:t>人</w:t>
      </w:r>
      <w:r>
        <w:rPr>
          <w:rFonts w:hint="eastAsia" w:ascii="宋体" w:hAnsi="宋体" w:eastAsia="宋体" w:cs="宋体"/>
          <w:b/>
          <w:bCs/>
          <w:color w:val="000000" w:themeColor="text1"/>
          <w:sz w:val="21"/>
          <w:szCs w:val="21"/>
          <w:highlight w:val="none"/>
          <w:u w:val="none"/>
          <w14:textFill>
            <w14:solidFill>
              <w14:schemeClr w14:val="tx1"/>
            </w14:solidFill>
          </w14:textFill>
        </w:rPr>
        <w:t>和采购人代表</w:t>
      </w:r>
      <w:r>
        <w:rPr>
          <w:rFonts w:hint="eastAsia" w:ascii="宋体" w:hAnsi="宋体" w:eastAsia="宋体" w:cs="宋体"/>
          <w:b/>
          <w:bCs/>
          <w:color w:val="000000" w:themeColor="text1"/>
          <w:sz w:val="21"/>
          <w:szCs w:val="21"/>
          <w:highlight w:val="none"/>
          <w:u w:val="single"/>
          <w14:textFill>
            <w14:solidFill>
              <w14:schemeClr w14:val="tx1"/>
            </w14:solidFill>
          </w14:textFill>
        </w:rPr>
        <w:t>1人</w:t>
      </w:r>
      <w:r>
        <w:rPr>
          <w:rFonts w:hint="eastAsia" w:ascii="宋体" w:hAnsi="宋体" w:eastAsia="宋体" w:cs="宋体"/>
          <w:b/>
          <w:bCs/>
          <w:color w:val="000000" w:themeColor="text1"/>
          <w:sz w:val="21"/>
          <w:szCs w:val="21"/>
          <w:highlight w:val="none"/>
          <w:u w:val="none"/>
          <w14:textFill>
            <w14:solidFill>
              <w14:schemeClr w14:val="tx1"/>
            </w14:solidFill>
          </w14:textFill>
        </w:rPr>
        <w:t xml:space="preserve">,共 </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single"/>
          <w14:textFill>
            <w14:solidFill>
              <w14:schemeClr w14:val="tx1"/>
            </w14:solidFill>
          </w14:textFill>
        </w:rPr>
        <w:t>人</w:t>
      </w:r>
      <w:r>
        <w:rPr>
          <w:rFonts w:hint="eastAsia" w:ascii="宋体" w:hAnsi="宋体" w:eastAsia="宋体" w:cs="宋体"/>
          <w:b/>
          <w:bCs/>
          <w:color w:val="000000" w:themeColor="text1"/>
          <w:sz w:val="21"/>
          <w:szCs w:val="21"/>
          <w:highlight w:val="none"/>
          <w:u w:val="none"/>
          <w14:textFill>
            <w14:solidFill>
              <w14:schemeClr w14:val="tx1"/>
            </w14:solidFill>
          </w14:textFill>
        </w:rPr>
        <w:t>组成。</w:t>
      </w:r>
    </w:p>
    <w:p w14:paraId="2AC5E621">
      <w:pPr>
        <w:pStyle w:val="396"/>
        <w:pageBreakBefore w:val="0"/>
        <w:kinsoku/>
        <w:overflowPunct/>
        <w:topLinePunct w:val="0"/>
        <w:bidi w:val="0"/>
        <w:spacing w:before="0" w:line="360" w:lineRule="auto"/>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color w:val="000000" w:themeColor="text1"/>
          <w:sz w:val="21"/>
          <w:szCs w:val="21"/>
          <w:highlight w:val="none"/>
          <w14:textFill>
            <w14:solidFill>
              <w14:schemeClr w14:val="tx1"/>
            </w14:solidFill>
          </w14:textFill>
        </w:rPr>
        <w:t>. 评审方法：</w:t>
      </w:r>
      <w:r>
        <w:rPr>
          <w:rFonts w:hint="eastAsia" w:ascii="宋体" w:hAnsi="宋体" w:eastAsia="宋体" w:cs="宋体"/>
          <w:color w:val="000000" w:themeColor="text1"/>
          <w:sz w:val="21"/>
          <w:szCs w:val="21"/>
          <w:highlight w:val="none"/>
          <w14:textFill>
            <w14:solidFill>
              <w14:schemeClr w14:val="tx1"/>
            </w14:solidFill>
          </w14:textFill>
        </w:rPr>
        <w:t>综合评分法。</w:t>
      </w:r>
    </w:p>
    <w:p w14:paraId="0EA3184A">
      <w:pPr>
        <w:pStyle w:val="396"/>
        <w:pageBreakBefore w:val="0"/>
        <w:kinsoku/>
        <w:overflowPunct/>
        <w:topLinePunct w:val="0"/>
        <w:bidi w:val="0"/>
        <w:spacing w:before="0" w:line="360" w:lineRule="auto"/>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color w:val="000000" w:themeColor="text1"/>
          <w:sz w:val="21"/>
          <w:szCs w:val="21"/>
          <w:highlight w:val="none"/>
          <w14:textFill>
            <w14:solidFill>
              <w14:schemeClr w14:val="tx1"/>
            </w14:solidFill>
          </w14:textFill>
        </w:rPr>
        <w:t>. 价格分计算方法：</w:t>
      </w:r>
      <w:r>
        <w:rPr>
          <w:rFonts w:hint="eastAsia" w:ascii="宋体" w:hAnsi="宋体" w:eastAsia="宋体" w:cs="宋体"/>
          <w:color w:val="000000" w:themeColor="text1"/>
          <w:sz w:val="21"/>
          <w:szCs w:val="21"/>
          <w:highlight w:val="none"/>
          <w14:textFill>
            <w14:solidFill>
              <w14:schemeClr w14:val="tx1"/>
            </w14:solidFill>
          </w14:textFill>
        </w:rPr>
        <w:t>低价优先法。</w:t>
      </w:r>
    </w:p>
    <w:p w14:paraId="266E1D36">
      <w:pPr>
        <w:pStyle w:val="396"/>
        <w:pageBreakBefore w:val="0"/>
        <w:kinsoku/>
        <w:overflowPunct/>
        <w:topLinePunct w:val="0"/>
        <w:bidi w:val="0"/>
        <w:spacing w:before="0" w:line="360" w:lineRule="auto"/>
        <w:ind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color w:val="000000" w:themeColor="text1"/>
          <w:sz w:val="21"/>
          <w:szCs w:val="21"/>
          <w:highlight w:val="none"/>
          <w14:textFill>
            <w14:solidFill>
              <w14:schemeClr w14:val="tx1"/>
            </w14:solidFill>
          </w14:textFill>
        </w:rPr>
        <w:t>. 评审要求：</w:t>
      </w:r>
      <w:r>
        <w:rPr>
          <w:rFonts w:hint="eastAsia" w:ascii="宋体" w:hAnsi="宋体" w:eastAsia="宋体" w:cs="宋体"/>
          <w:color w:val="000000" w:themeColor="text1"/>
          <w:sz w:val="21"/>
          <w:szCs w:val="21"/>
          <w:highlight w:val="none"/>
          <w14:textFill>
            <w14:solidFill>
              <w14:schemeClr w14:val="tx1"/>
            </w14:solidFill>
          </w14:textFill>
        </w:rPr>
        <w:t>详见磋商文件第五部分“评审方法及评审标准”。</w:t>
      </w:r>
    </w:p>
    <w:p w14:paraId="0177B05B">
      <w:pPr>
        <w:pageBreakBefore w:val="0"/>
        <w:kinsoku/>
        <w:overflowPunct/>
        <w:topLinePunct w:val="0"/>
        <w:bidi w:val="0"/>
        <w:adjustRightInd/>
        <w:spacing w:line="36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p w14:paraId="76CC8DDD">
      <w:pPr>
        <w:pageBreakBefore w:val="0"/>
        <w:kinsoku/>
        <w:overflowPunct/>
        <w:topLinePunct w:val="0"/>
        <w:bidi w:val="0"/>
        <w:adjustRightInd/>
        <w:spacing w:line="360" w:lineRule="auto"/>
        <w:jc w:val="center"/>
        <w:outlineLvl w:val="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十一、成交</w:t>
      </w:r>
    </w:p>
    <w:p w14:paraId="7C5507B4">
      <w:pPr>
        <w:pStyle w:val="35"/>
        <w:pageBreakBefore w:val="0"/>
        <w:kinsoku/>
        <w:overflowPunct/>
        <w:topLinePunct w:val="0"/>
        <w:bidi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 推荐成交候选供应商</w:t>
      </w:r>
    </w:p>
    <w:p w14:paraId="24ADAD51">
      <w:pPr>
        <w:pageBreakBefore w:val="0"/>
        <w:kinsoku/>
        <w:overflowPunct/>
        <w:topLinePunct w:val="0"/>
        <w:bidi w:val="0"/>
        <w:spacing w:line="360" w:lineRule="auto"/>
        <w:ind w:firstLine="407" w:firstLineChars="19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3D4E340">
      <w:pPr>
        <w:pStyle w:val="35"/>
        <w:pageBreakBefore w:val="0"/>
        <w:kinsoku/>
        <w:overflowPunct/>
        <w:topLinePunct w:val="0"/>
        <w:bidi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 确定成交供应商</w:t>
      </w:r>
    </w:p>
    <w:p w14:paraId="4E6C37FE">
      <w:pPr>
        <w:pageBreakBefore w:val="0"/>
        <w:kinsoku/>
        <w:overflowPunct/>
        <w:topLinePunct w:val="0"/>
        <w:bidi w:val="0"/>
        <w:spacing w:line="360" w:lineRule="auto"/>
        <w:ind w:firstLine="315" w:firstLine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6B4228EC">
      <w:pPr>
        <w:pageBreakBefore w:val="0"/>
        <w:tabs>
          <w:tab w:val="left" w:pos="0"/>
        </w:tabs>
        <w:kinsoku/>
        <w:overflowPunct/>
        <w:topLinePunct w:val="0"/>
        <w:bidi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3．成交通知及成交结果公告</w:t>
      </w:r>
    </w:p>
    <w:p w14:paraId="4F66612B">
      <w:pPr>
        <w:pageBreakBefore w:val="0"/>
        <w:kinsoku/>
        <w:overflowPunct/>
        <w:topLinePunct w:val="0"/>
        <w:bidi w:val="0"/>
        <w:spacing w:line="360" w:lineRule="auto"/>
        <w:ind w:firstLine="315" w:firstLine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3.1自成交人确定之日起2个工作日内，采购代理机构通过电子交易平台向成交人发出成交通知书，同时编制发布采购成交结果公告。采购代理机构也可以以纸质形式进行成交通知。</w:t>
      </w:r>
    </w:p>
    <w:p w14:paraId="0A6C3FE4">
      <w:pPr>
        <w:pageBreakBefore w:val="0"/>
        <w:kinsoku/>
        <w:overflowPunct/>
        <w:topLinePunct w:val="0"/>
        <w:bidi w:val="0"/>
        <w:spacing w:line="360" w:lineRule="auto"/>
        <w:ind w:firstLine="315" w:firstLine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3.2成交结果公告内容包括采购人及其委托的采购代理机构的名称、地址、联系方式，项目名称和项目编号，成交人名称、地址和成交金额，主要中标标的的名称、规格型号、数量、单价、服务要求，开标记录、</w:t>
      </w:r>
      <w:bookmarkStart w:id="41" w:name="_Hlk101184471"/>
      <w:r>
        <w:rPr>
          <w:rFonts w:hint="eastAsia" w:ascii="宋体" w:hAnsi="宋体" w:eastAsia="宋体" w:cs="宋体"/>
          <w:color w:val="000000" w:themeColor="text1"/>
          <w:szCs w:val="21"/>
          <w:highlight w:val="none"/>
          <w14:textFill>
            <w14:solidFill>
              <w14:schemeClr w14:val="tx1"/>
            </w14:solidFill>
          </w14:textFill>
        </w:rPr>
        <w:t>资格审查情况、评审专家抽取规则、符合性审查情况、</w:t>
      </w:r>
      <w:bookmarkEnd w:id="41"/>
      <w:r>
        <w:rPr>
          <w:rFonts w:hint="eastAsia" w:ascii="宋体" w:hAnsi="宋体" w:eastAsia="宋体" w:cs="宋体"/>
          <w:color w:val="000000" w:themeColor="text1"/>
          <w:szCs w:val="21"/>
          <w:highlight w:val="none"/>
          <w14:textFill>
            <w14:solidFill>
              <w14:schemeClr w14:val="tx1"/>
            </w14:solidFill>
          </w14:textFill>
        </w:rPr>
        <w:t>未成交情况说明、成交公告期限以及评审专家名单、评分汇总及明细。</w:t>
      </w:r>
    </w:p>
    <w:p w14:paraId="091E377E">
      <w:pPr>
        <w:pageBreakBefore w:val="0"/>
        <w:kinsoku/>
        <w:overflowPunct/>
        <w:topLinePunct w:val="0"/>
        <w:bidi w:val="0"/>
        <w:spacing w:line="360" w:lineRule="auto"/>
        <w:ind w:firstLine="315" w:firstLine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3.3公告期限为1个工作日。</w:t>
      </w:r>
    </w:p>
    <w:p w14:paraId="51BDB8BC">
      <w:pPr>
        <w:pageBreakBefore w:val="0"/>
        <w:kinsoku/>
        <w:overflowPunct/>
        <w:topLinePunct w:val="0"/>
        <w:bidi w:val="0"/>
        <w:snapToGrid w:val="0"/>
        <w:spacing w:line="360" w:lineRule="auto"/>
        <w:jc w:val="center"/>
        <w:outlineLvl w:val="0"/>
        <w:rPr>
          <w:rFonts w:hint="eastAsia" w:ascii="宋体" w:hAnsi="宋体" w:eastAsia="宋体" w:cs="宋体"/>
          <w:b/>
          <w:color w:val="000000" w:themeColor="text1"/>
          <w:szCs w:val="21"/>
          <w:highlight w:val="none"/>
          <w14:textFill>
            <w14:solidFill>
              <w14:schemeClr w14:val="tx1"/>
            </w14:solidFill>
          </w14:textFill>
        </w:rPr>
      </w:pPr>
    </w:p>
    <w:p w14:paraId="23E9386E">
      <w:pPr>
        <w:pageBreakBefore w:val="0"/>
        <w:kinsoku/>
        <w:overflowPunct/>
        <w:topLinePunct w:val="0"/>
        <w:bidi w:val="0"/>
        <w:snapToGrid w:val="0"/>
        <w:spacing w:line="360" w:lineRule="auto"/>
        <w:jc w:val="center"/>
        <w:outlineLvl w:val="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十二、合同</w:t>
      </w:r>
    </w:p>
    <w:p w14:paraId="79BF812B">
      <w:pPr>
        <w:pageBreakBefore w:val="0"/>
        <w:tabs>
          <w:tab w:val="left" w:pos="0"/>
        </w:tabs>
        <w:kinsoku/>
        <w:overflowPunct/>
        <w:topLinePunct w:val="0"/>
        <w:bidi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1.合同主要条款：</w:t>
      </w:r>
      <w:r>
        <w:rPr>
          <w:rFonts w:hint="eastAsia" w:ascii="宋体" w:hAnsi="宋体" w:eastAsia="宋体" w:cs="宋体"/>
          <w:color w:val="000000" w:themeColor="text1"/>
          <w:szCs w:val="21"/>
          <w:highlight w:val="none"/>
          <w14:textFill>
            <w14:solidFill>
              <w14:schemeClr w14:val="tx1"/>
            </w14:solidFill>
          </w14:textFill>
        </w:rPr>
        <w:t>详见“第六部分拟签订的合同文本”。</w:t>
      </w:r>
    </w:p>
    <w:p w14:paraId="73232D68">
      <w:pPr>
        <w:pageBreakBefore w:val="0"/>
        <w:tabs>
          <w:tab w:val="left" w:pos="0"/>
        </w:tabs>
        <w:kinsoku/>
        <w:overflowPunct/>
        <w:topLinePunct w:val="0"/>
        <w:bidi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2.合同的签订</w:t>
      </w:r>
    </w:p>
    <w:p w14:paraId="017B3E88">
      <w:pPr>
        <w:pageBreakBefore w:val="0"/>
        <w:widowControl/>
        <w:shd w:val="clear" w:color="auto" w:fill="FFFFFF"/>
        <w:kinsoku/>
        <w:overflowPunct/>
        <w:topLinePunct w:val="0"/>
        <w:bidi w:val="0"/>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w:t>
      </w:r>
      <w:r>
        <w:rPr>
          <w:rFonts w:hint="eastAsia" w:ascii="宋体" w:hAnsi="宋体" w:eastAsia="宋体" w:cs="宋体"/>
          <w:color w:val="000000" w:themeColor="text1"/>
          <w:kern w:val="0"/>
          <w:szCs w:val="21"/>
          <w:highlight w:val="none"/>
          <w14:textFill>
            <w14:solidFill>
              <w14:schemeClr w14:val="tx1"/>
            </w14:solidFill>
          </w14:textFill>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w:t>
      </w:r>
    </w:p>
    <w:p w14:paraId="56CABC8D">
      <w:pPr>
        <w:pStyle w:val="396"/>
        <w:pageBreakBefore w:val="0"/>
        <w:kinsoku/>
        <w:overflowPunct/>
        <w:topLinePunct w:val="0"/>
        <w:bidi w:val="0"/>
        <w:snapToGrid w:val="0"/>
        <w:spacing w:before="0" w:line="360" w:lineRule="auto"/>
        <w:ind w:firstLine="42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2.2成交人按规定的日期、时间、地点，由法定代表人或其授权代表与采购人代表签订合同。</w:t>
      </w:r>
    </w:p>
    <w:p w14:paraId="4C195DC9">
      <w:pPr>
        <w:pageBreakBefore w:val="0"/>
        <w:kinsoku/>
        <w:overflowPunct/>
        <w:topLinePunct w:val="0"/>
        <w:bidi w:val="0"/>
        <w:spacing w:line="360" w:lineRule="auto"/>
        <w:ind w:firstLine="407" w:firstLineChars="19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DC7D1FE">
      <w:pPr>
        <w:pageBreakBefore w:val="0"/>
        <w:kinsoku/>
        <w:overflowPunct/>
        <w:topLinePunct w:val="0"/>
        <w:bidi w:val="0"/>
        <w:spacing w:line="360" w:lineRule="auto"/>
        <w:ind w:firstLine="407" w:firstLineChars="19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1D6A0D2">
      <w:pPr>
        <w:pageBreakBefore w:val="0"/>
        <w:kinsoku/>
        <w:overflowPunct/>
        <w:topLinePunct w:val="0"/>
        <w:bidi w:val="0"/>
        <w:spacing w:line="360" w:lineRule="auto"/>
        <w:ind w:firstLine="407" w:firstLineChars="19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2.5如签订合同并生效后，供应商无故拒绝或延期，除按照合同条款处理外，列入不良行为记录一次，并给予通报。</w:t>
      </w:r>
    </w:p>
    <w:p w14:paraId="51DE2909">
      <w:pPr>
        <w:pStyle w:val="396"/>
        <w:pageBreakBefore w:val="0"/>
        <w:kinsoku/>
        <w:overflowPunct/>
        <w:topLinePunct w:val="0"/>
        <w:bidi w:val="0"/>
        <w:snapToGrid w:val="0"/>
        <w:spacing w:before="0" w:after="12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2.6采购合同由采购人与成交供应商根据磋商文件、响应文件等内容通过政府采购电子交易平台在线签订，自动备案。</w:t>
      </w:r>
    </w:p>
    <w:p w14:paraId="2B32111D">
      <w:pPr>
        <w:pageBreakBefore w:val="0"/>
        <w:tabs>
          <w:tab w:val="left" w:pos="0"/>
        </w:tabs>
        <w:kinsoku/>
        <w:overflowPunct/>
        <w:topLinePunct w:val="0"/>
        <w:bidi w:val="0"/>
        <w:spacing w:line="360" w:lineRule="auto"/>
        <w:rPr>
          <w:rFonts w:hint="eastAsia" w:ascii="宋体" w:hAnsi="宋体" w:eastAsia="宋体" w:cs="宋体"/>
          <w:snapToGrid w:val="0"/>
          <w:color w:val="000000" w:themeColor="text1"/>
          <w:kern w:val="28"/>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3．履约保证金：无</w:t>
      </w:r>
    </w:p>
    <w:p w14:paraId="65FBCE20">
      <w:pPr>
        <w:pageBreakBefore w:val="0"/>
        <w:kinsoku/>
        <w:overflowPunct/>
        <w:topLinePunct w:val="0"/>
        <w:bidi w:val="0"/>
        <w:snapToGrid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p>
    <w:p w14:paraId="21A00EE0">
      <w:pPr>
        <w:pageBreakBefore w:val="0"/>
        <w:kinsoku/>
        <w:overflowPunct/>
        <w:topLinePunct w:val="0"/>
        <w:bidi w:val="0"/>
        <w:snapToGrid w:val="0"/>
        <w:spacing w:line="360" w:lineRule="auto"/>
        <w:jc w:val="center"/>
        <w:outlineLvl w:val="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十三、验收</w:t>
      </w:r>
    </w:p>
    <w:p w14:paraId="3AFD162B">
      <w:pPr>
        <w:pStyle w:val="27"/>
        <w:pageBreakBefore w:val="0"/>
        <w:kinsoku/>
        <w:overflowPunct/>
        <w:topLinePunct w:val="0"/>
        <w:bidi w:val="0"/>
        <w:spacing w:line="360" w:lineRule="auto"/>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1.验收</w:t>
      </w:r>
    </w:p>
    <w:p w14:paraId="22BA60E3">
      <w:pPr>
        <w:pageBreakBefore w:val="0"/>
        <w:tabs>
          <w:tab w:val="left" w:pos="0"/>
        </w:tabs>
        <w:kinsoku/>
        <w:overflowPunct/>
        <w:topLinePunct w:val="0"/>
        <w:bidi w:val="0"/>
        <w:spacing w:line="360" w:lineRule="auto"/>
        <w:ind w:firstLine="48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3872A08">
      <w:pPr>
        <w:pageBreakBefore w:val="0"/>
        <w:tabs>
          <w:tab w:val="left" w:pos="0"/>
        </w:tabs>
        <w:kinsoku/>
        <w:overflowPunct/>
        <w:topLinePunct w:val="0"/>
        <w:bidi w:val="0"/>
        <w:spacing w:line="360" w:lineRule="auto"/>
        <w:ind w:firstLine="48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1.2采购人可以邀请参加本项目的其他供应商或者第三方机构参与验收。参与验收的供应商或者第三方机构的意见作为验收书的参考资料一并存档。</w:t>
      </w:r>
    </w:p>
    <w:p w14:paraId="45847DCA">
      <w:pPr>
        <w:pageBreakBefore w:val="0"/>
        <w:tabs>
          <w:tab w:val="left" w:pos="0"/>
        </w:tabs>
        <w:kinsoku/>
        <w:overflowPunct/>
        <w:topLinePunct w:val="0"/>
        <w:bidi w:val="0"/>
        <w:spacing w:line="360" w:lineRule="auto"/>
        <w:ind w:firstLine="48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9E9E459">
      <w:pPr>
        <w:pageBreakBefore w:val="0"/>
        <w:tabs>
          <w:tab w:val="left" w:pos="0"/>
        </w:tabs>
        <w:kinsoku/>
        <w:overflowPunct/>
        <w:topLinePunct w:val="0"/>
        <w:bidi w:val="0"/>
        <w:spacing w:line="360" w:lineRule="auto"/>
        <w:ind w:firstLine="48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DAF463C">
      <w:pPr>
        <w:pageBreakBefore w:val="0"/>
        <w:kinsoku/>
        <w:overflowPunct/>
        <w:topLinePunct w:val="0"/>
        <w:bidi w:val="0"/>
        <w:snapToGrid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p>
    <w:p w14:paraId="6A2E368C">
      <w:pPr>
        <w:pageBreakBefore w:val="0"/>
        <w:kinsoku/>
        <w:overflowPunct/>
        <w:topLinePunct w:val="0"/>
        <w:bidi w:val="0"/>
        <w:snapToGrid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十四、电子交易活动的中止</w:t>
      </w:r>
    </w:p>
    <w:p w14:paraId="368331FC">
      <w:pPr>
        <w:pageBreakBefore w:val="0"/>
        <w:tabs>
          <w:tab w:val="left" w:pos="0"/>
        </w:tabs>
        <w:kinsoku/>
        <w:overflowPunct/>
        <w:topLinePunct w:val="0"/>
        <w:bidi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 电子交易活动的中止</w:t>
      </w:r>
    </w:p>
    <w:p w14:paraId="1B74F929">
      <w:pPr>
        <w:pageBreakBefore w:val="0"/>
        <w:tabs>
          <w:tab w:val="left" w:pos="0"/>
        </w:tabs>
        <w:kinsoku/>
        <w:overflowPunct/>
        <w:topLinePunct w:val="0"/>
        <w:bidi w:val="0"/>
        <w:spacing w:line="360" w:lineRule="auto"/>
        <w:ind w:firstLine="48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0E4AD367">
      <w:pPr>
        <w:pageBreakBefore w:val="0"/>
        <w:tabs>
          <w:tab w:val="left" w:pos="0"/>
        </w:tabs>
        <w:kinsoku/>
        <w:overflowPunct/>
        <w:topLinePunct w:val="0"/>
        <w:bidi w:val="0"/>
        <w:spacing w:line="360" w:lineRule="auto"/>
        <w:ind w:firstLine="48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1.1电子交易平台发生故障而无法登录访问的； </w:t>
      </w:r>
    </w:p>
    <w:p w14:paraId="519AD7A8">
      <w:pPr>
        <w:pageBreakBefore w:val="0"/>
        <w:tabs>
          <w:tab w:val="left" w:pos="0"/>
        </w:tabs>
        <w:kinsoku/>
        <w:overflowPunct/>
        <w:topLinePunct w:val="0"/>
        <w:bidi w:val="0"/>
        <w:spacing w:line="360" w:lineRule="auto"/>
        <w:ind w:firstLine="48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1.2电子交易平台应用或数据库出现错误，不能进行正常操作的；</w:t>
      </w:r>
    </w:p>
    <w:p w14:paraId="61647C0D">
      <w:pPr>
        <w:pageBreakBefore w:val="0"/>
        <w:tabs>
          <w:tab w:val="left" w:pos="0"/>
        </w:tabs>
        <w:kinsoku/>
        <w:overflowPunct/>
        <w:topLinePunct w:val="0"/>
        <w:bidi w:val="0"/>
        <w:spacing w:line="360" w:lineRule="auto"/>
        <w:ind w:firstLine="48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1.3电子交易平台发现严重安全漏洞，有潜在泄密危险的；</w:t>
      </w:r>
    </w:p>
    <w:p w14:paraId="62D2F538">
      <w:pPr>
        <w:pageBreakBefore w:val="0"/>
        <w:tabs>
          <w:tab w:val="left" w:pos="0"/>
        </w:tabs>
        <w:kinsoku/>
        <w:overflowPunct/>
        <w:topLinePunct w:val="0"/>
        <w:bidi w:val="0"/>
        <w:spacing w:line="360" w:lineRule="auto"/>
        <w:ind w:firstLine="48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1.4病毒发作导致不能进行正常操作的； </w:t>
      </w:r>
    </w:p>
    <w:p w14:paraId="05DE0A7F">
      <w:pPr>
        <w:pageBreakBefore w:val="0"/>
        <w:tabs>
          <w:tab w:val="left" w:pos="0"/>
        </w:tabs>
        <w:kinsoku/>
        <w:overflowPunct/>
        <w:topLinePunct w:val="0"/>
        <w:bidi w:val="0"/>
        <w:spacing w:line="360" w:lineRule="auto"/>
        <w:ind w:firstLine="48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1.5其他无法保证电子交易的公平、公正和安全的情况。</w:t>
      </w:r>
    </w:p>
    <w:p w14:paraId="32FB98FC">
      <w:pPr>
        <w:pageBreakBefore w:val="0"/>
        <w:numPr>
          <w:ilvl w:val="0"/>
          <w:numId w:val="7"/>
        </w:numPr>
        <w:tabs>
          <w:tab w:val="left" w:pos="0"/>
          <w:tab w:val="clear" w:pos="312"/>
        </w:tabs>
        <w:kinsoku/>
        <w:overflowPunct/>
        <w:topLinePunct w:val="0"/>
        <w:bidi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42" w:name="_Hlt74730295"/>
      <w:bookmarkEnd w:id="42"/>
      <w:bookmarkStart w:id="43" w:name="_Hlt75236290"/>
      <w:bookmarkEnd w:id="43"/>
      <w:bookmarkStart w:id="44" w:name="_Hlt74707468"/>
      <w:bookmarkEnd w:id="44"/>
      <w:bookmarkStart w:id="45" w:name="_Hlt75236011"/>
      <w:bookmarkEnd w:id="45"/>
      <w:bookmarkStart w:id="46" w:name="_Hlt68057669"/>
      <w:bookmarkEnd w:id="46"/>
      <w:bookmarkStart w:id="47" w:name="_Hlt74729768"/>
      <w:bookmarkEnd w:id="47"/>
      <w:bookmarkStart w:id="48" w:name="_Hlt74714665"/>
      <w:bookmarkEnd w:id="48"/>
      <w:bookmarkStart w:id="49" w:name="_Hlt75236101"/>
      <w:bookmarkEnd w:id="49"/>
      <w:bookmarkStart w:id="50" w:name="_Hlt68072990"/>
      <w:bookmarkEnd w:id="50"/>
      <w:bookmarkStart w:id="51" w:name="_Toc164416483"/>
      <w:bookmarkStart w:id="52" w:name="第三部分"/>
    </w:p>
    <w:p w14:paraId="59710745">
      <w:pPr>
        <w:pageBreakBefore w:val="0"/>
        <w:tabs>
          <w:tab w:val="left" w:pos="0"/>
        </w:tabs>
        <w:kinsoku/>
        <w:overflowPunct/>
        <w:topLinePunct w:val="0"/>
        <w:bidi w:val="0"/>
        <w:spacing w:line="360" w:lineRule="auto"/>
        <w:rPr>
          <w:rFonts w:hint="eastAsia" w:ascii="宋体" w:hAnsi="宋体" w:eastAsia="宋体" w:cs="宋体"/>
          <w:b/>
          <w:color w:val="000000" w:themeColor="text1"/>
          <w:szCs w:val="21"/>
          <w:highlight w:val="none"/>
          <w14:textFill>
            <w14:solidFill>
              <w14:schemeClr w14:val="tx1"/>
            </w14:solidFill>
          </w14:textFill>
        </w:rPr>
      </w:pPr>
    </w:p>
    <w:p w14:paraId="614CC1DE">
      <w:pPr>
        <w:pageBreakBefore w:val="0"/>
        <w:kinsoku/>
        <w:overflowPunct/>
        <w:topLinePunct w:val="0"/>
        <w:bidi w:val="0"/>
        <w:snapToGrid w:val="0"/>
        <w:spacing w:line="360" w:lineRule="auto"/>
        <w:ind w:left="120" w:leftChars="57" w:firstLine="316" w:firstLineChars="15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十五  代理费</w:t>
      </w:r>
    </w:p>
    <w:p w14:paraId="1C49ECC2">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1.招标代理机构向中标人收取招标代理服务费，中标人应在收取《中标通知书》时向采购代理机构交纳招标代理服务费，服务费的收费标准按浙价服〔2003〕77号文规定计算。</w:t>
      </w:r>
    </w:p>
    <w:tbl>
      <w:tblPr>
        <w:tblStyle w:val="62"/>
        <w:tblW w:w="878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2197"/>
        <w:gridCol w:w="2197"/>
        <w:gridCol w:w="2197"/>
      </w:tblGrid>
      <w:tr w14:paraId="6A8D22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2197" w:type="dxa"/>
            <w:tcBorders>
              <w:top w:val="double" w:color="auto" w:sz="4" w:space="0"/>
              <w:left w:val="double" w:color="auto" w:sz="4" w:space="0"/>
              <w:bottom w:val="single" w:color="auto" w:sz="6" w:space="0"/>
              <w:right w:val="single" w:color="auto" w:sz="6" w:space="0"/>
            </w:tcBorders>
            <w:shd w:val="clear" w:color="auto" w:fill="D9D9D9"/>
            <w:vAlign w:val="center"/>
          </w:tcPr>
          <w:p w14:paraId="1A1B1A21">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中标金额（万元）</w:t>
            </w:r>
          </w:p>
        </w:tc>
        <w:tc>
          <w:tcPr>
            <w:tcW w:w="2197" w:type="dxa"/>
            <w:tcBorders>
              <w:top w:val="double" w:color="auto" w:sz="4" w:space="0"/>
              <w:left w:val="single" w:color="auto" w:sz="6" w:space="0"/>
              <w:bottom w:val="single" w:color="auto" w:sz="6" w:space="0"/>
              <w:right w:val="double" w:color="auto" w:sz="4" w:space="0"/>
            </w:tcBorders>
            <w:shd w:val="clear" w:color="auto" w:fill="D9D9D9"/>
          </w:tcPr>
          <w:p w14:paraId="49EEEDBC">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服务收费费率</w:t>
            </w:r>
          </w:p>
        </w:tc>
        <w:tc>
          <w:tcPr>
            <w:tcW w:w="2197" w:type="dxa"/>
            <w:tcBorders>
              <w:top w:val="double" w:color="auto" w:sz="4" w:space="0"/>
              <w:left w:val="single" w:color="auto" w:sz="6" w:space="0"/>
              <w:bottom w:val="single" w:color="auto" w:sz="6" w:space="0"/>
              <w:right w:val="single" w:color="auto" w:sz="6" w:space="0"/>
            </w:tcBorders>
            <w:shd w:val="clear" w:color="auto" w:fill="D9D9D9"/>
            <w:vAlign w:val="center"/>
          </w:tcPr>
          <w:p w14:paraId="76C310BE">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货物收费费率</w:t>
            </w:r>
          </w:p>
        </w:tc>
        <w:tc>
          <w:tcPr>
            <w:tcW w:w="2197" w:type="dxa"/>
            <w:tcBorders>
              <w:top w:val="double" w:color="auto" w:sz="4" w:space="0"/>
              <w:left w:val="single" w:color="auto" w:sz="6" w:space="0"/>
              <w:bottom w:val="single" w:color="auto" w:sz="6" w:space="0"/>
              <w:right w:val="single" w:color="auto" w:sz="6" w:space="0"/>
            </w:tcBorders>
            <w:shd w:val="clear" w:color="auto" w:fill="D9D9D9"/>
            <w:vAlign w:val="center"/>
          </w:tcPr>
          <w:p w14:paraId="4B29E948">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工程收费费率</w:t>
            </w:r>
          </w:p>
        </w:tc>
      </w:tr>
      <w:tr w14:paraId="15C811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2197" w:type="dxa"/>
            <w:tcBorders>
              <w:top w:val="single" w:color="auto" w:sz="6" w:space="0"/>
              <w:left w:val="double" w:color="auto" w:sz="4" w:space="0"/>
              <w:bottom w:val="single" w:color="auto" w:sz="6" w:space="0"/>
              <w:right w:val="single" w:color="auto" w:sz="6" w:space="0"/>
            </w:tcBorders>
          </w:tcPr>
          <w:p w14:paraId="513D6EE1">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100以下</w:t>
            </w:r>
          </w:p>
        </w:tc>
        <w:tc>
          <w:tcPr>
            <w:tcW w:w="2197" w:type="dxa"/>
            <w:tcBorders>
              <w:top w:val="single" w:color="auto" w:sz="6" w:space="0"/>
              <w:left w:val="single" w:color="auto" w:sz="6" w:space="0"/>
              <w:bottom w:val="single" w:color="auto" w:sz="6" w:space="0"/>
              <w:right w:val="double" w:color="auto" w:sz="4" w:space="0"/>
            </w:tcBorders>
            <w:vAlign w:val="center"/>
          </w:tcPr>
          <w:p w14:paraId="06731475">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c>
          <w:tcPr>
            <w:tcW w:w="2197" w:type="dxa"/>
            <w:tcBorders>
              <w:top w:val="single" w:color="auto" w:sz="6" w:space="0"/>
              <w:left w:val="single" w:color="auto" w:sz="6" w:space="0"/>
              <w:bottom w:val="single" w:color="auto" w:sz="6" w:space="0"/>
              <w:right w:val="single" w:color="auto" w:sz="6" w:space="0"/>
            </w:tcBorders>
            <w:vAlign w:val="center"/>
          </w:tcPr>
          <w:p w14:paraId="128ABF2E">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c>
          <w:tcPr>
            <w:tcW w:w="2197" w:type="dxa"/>
            <w:tcBorders>
              <w:top w:val="single" w:color="auto" w:sz="6" w:space="0"/>
              <w:left w:val="single" w:color="auto" w:sz="6" w:space="0"/>
              <w:bottom w:val="single" w:color="auto" w:sz="6" w:space="0"/>
              <w:right w:val="single" w:color="auto" w:sz="6" w:space="0"/>
            </w:tcBorders>
            <w:vAlign w:val="center"/>
          </w:tcPr>
          <w:p w14:paraId="5205355D">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r>
      <w:tr w14:paraId="64DC3E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2197" w:type="dxa"/>
            <w:tcBorders>
              <w:top w:val="single" w:color="auto" w:sz="6" w:space="0"/>
              <w:left w:val="double" w:color="auto" w:sz="4" w:space="0"/>
              <w:bottom w:val="single" w:color="auto" w:sz="6" w:space="0"/>
              <w:right w:val="single" w:color="auto" w:sz="6" w:space="0"/>
            </w:tcBorders>
          </w:tcPr>
          <w:p w14:paraId="742026CA">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100-500</w:t>
            </w:r>
          </w:p>
        </w:tc>
        <w:tc>
          <w:tcPr>
            <w:tcW w:w="2197" w:type="dxa"/>
            <w:tcBorders>
              <w:top w:val="single" w:color="auto" w:sz="6" w:space="0"/>
              <w:left w:val="single" w:color="auto" w:sz="6" w:space="0"/>
              <w:bottom w:val="single" w:color="auto" w:sz="6" w:space="0"/>
              <w:right w:val="double" w:color="auto" w:sz="4" w:space="0"/>
            </w:tcBorders>
            <w:vAlign w:val="center"/>
          </w:tcPr>
          <w:p w14:paraId="299254E9">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w:t>
            </w:r>
          </w:p>
        </w:tc>
        <w:tc>
          <w:tcPr>
            <w:tcW w:w="2197" w:type="dxa"/>
            <w:tcBorders>
              <w:top w:val="single" w:color="auto" w:sz="6" w:space="0"/>
              <w:left w:val="single" w:color="auto" w:sz="6" w:space="0"/>
              <w:bottom w:val="single" w:color="auto" w:sz="6" w:space="0"/>
              <w:right w:val="single" w:color="auto" w:sz="6" w:space="0"/>
            </w:tcBorders>
            <w:vAlign w:val="center"/>
          </w:tcPr>
          <w:p w14:paraId="255EB1BF">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197" w:type="dxa"/>
            <w:tcBorders>
              <w:top w:val="single" w:color="auto" w:sz="6" w:space="0"/>
              <w:left w:val="single" w:color="auto" w:sz="6" w:space="0"/>
              <w:bottom w:val="single" w:color="auto" w:sz="6" w:space="0"/>
              <w:right w:val="single" w:color="auto" w:sz="6" w:space="0"/>
            </w:tcBorders>
            <w:vAlign w:val="center"/>
          </w:tcPr>
          <w:p w14:paraId="6AEFA134">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w:t>
            </w:r>
          </w:p>
        </w:tc>
      </w:tr>
      <w:tr w14:paraId="6F5CE1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2197" w:type="dxa"/>
            <w:tcBorders>
              <w:top w:val="single" w:color="auto" w:sz="6" w:space="0"/>
              <w:left w:val="double" w:color="auto" w:sz="4" w:space="0"/>
              <w:bottom w:val="single" w:color="auto" w:sz="6" w:space="0"/>
              <w:right w:val="single" w:color="auto" w:sz="6" w:space="0"/>
            </w:tcBorders>
          </w:tcPr>
          <w:p w14:paraId="400FF4BF">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500-1000</w:t>
            </w:r>
          </w:p>
        </w:tc>
        <w:tc>
          <w:tcPr>
            <w:tcW w:w="2197" w:type="dxa"/>
            <w:tcBorders>
              <w:top w:val="single" w:color="auto" w:sz="6" w:space="0"/>
              <w:left w:val="single" w:color="auto" w:sz="6" w:space="0"/>
              <w:bottom w:val="single" w:color="auto" w:sz="6" w:space="0"/>
              <w:right w:val="double" w:color="auto" w:sz="4" w:space="0"/>
            </w:tcBorders>
            <w:vAlign w:val="center"/>
          </w:tcPr>
          <w:p w14:paraId="7808E1AA">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0.45％</w:t>
            </w:r>
          </w:p>
        </w:tc>
        <w:tc>
          <w:tcPr>
            <w:tcW w:w="2197" w:type="dxa"/>
            <w:tcBorders>
              <w:top w:val="single" w:color="auto" w:sz="6" w:space="0"/>
              <w:left w:val="single" w:color="auto" w:sz="6" w:space="0"/>
              <w:bottom w:val="single" w:color="auto" w:sz="6" w:space="0"/>
              <w:right w:val="single" w:color="auto" w:sz="6" w:space="0"/>
            </w:tcBorders>
            <w:vAlign w:val="center"/>
          </w:tcPr>
          <w:p w14:paraId="7470C5B3">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w:t>
            </w:r>
          </w:p>
        </w:tc>
        <w:tc>
          <w:tcPr>
            <w:tcW w:w="2197" w:type="dxa"/>
            <w:tcBorders>
              <w:top w:val="single" w:color="auto" w:sz="6" w:space="0"/>
              <w:left w:val="single" w:color="auto" w:sz="6" w:space="0"/>
              <w:bottom w:val="single" w:color="auto" w:sz="6" w:space="0"/>
              <w:right w:val="single" w:color="auto" w:sz="6" w:space="0"/>
            </w:tcBorders>
            <w:vAlign w:val="center"/>
          </w:tcPr>
          <w:p w14:paraId="7EC6C415">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0.55％</w:t>
            </w:r>
          </w:p>
        </w:tc>
      </w:tr>
      <w:tr w14:paraId="4AE5DF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2197" w:type="dxa"/>
            <w:tcBorders>
              <w:top w:val="single" w:color="auto" w:sz="6" w:space="0"/>
              <w:left w:val="double" w:color="auto" w:sz="4" w:space="0"/>
              <w:bottom w:val="double" w:color="auto" w:sz="4" w:space="0"/>
              <w:right w:val="single" w:color="auto" w:sz="6" w:space="0"/>
            </w:tcBorders>
          </w:tcPr>
          <w:p w14:paraId="364B9772">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1000-5000</w:t>
            </w:r>
          </w:p>
        </w:tc>
        <w:tc>
          <w:tcPr>
            <w:tcW w:w="2197" w:type="dxa"/>
            <w:tcBorders>
              <w:top w:val="single" w:color="auto" w:sz="6" w:space="0"/>
              <w:left w:val="single" w:color="auto" w:sz="6" w:space="0"/>
              <w:bottom w:val="double" w:color="auto" w:sz="4" w:space="0"/>
              <w:right w:val="double" w:color="auto" w:sz="4" w:space="0"/>
            </w:tcBorders>
            <w:vAlign w:val="center"/>
          </w:tcPr>
          <w:p w14:paraId="72DB85EC">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0.25％</w:t>
            </w:r>
          </w:p>
        </w:tc>
        <w:tc>
          <w:tcPr>
            <w:tcW w:w="2197" w:type="dxa"/>
            <w:tcBorders>
              <w:top w:val="single" w:color="auto" w:sz="6" w:space="0"/>
              <w:left w:val="single" w:color="auto" w:sz="6" w:space="0"/>
              <w:bottom w:val="double" w:color="auto" w:sz="4" w:space="0"/>
              <w:right w:val="single" w:color="auto" w:sz="6" w:space="0"/>
            </w:tcBorders>
            <w:vAlign w:val="center"/>
          </w:tcPr>
          <w:p w14:paraId="36B7F7CB">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0.5％</w:t>
            </w:r>
          </w:p>
        </w:tc>
        <w:tc>
          <w:tcPr>
            <w:tcW w:w="2197" w:type="dxa"/>
            <w:tcBorders>
              <w:top w:val="single" w:color="auto" w:sz="6" w:space="0"/>
              <w:left w:val="single" w:color="auto" w:sz="6" w:space="0"/>
              <w:bottom w:val="double" w:color="auto" w:sz="4" w:space="0"/>
              <w:right w:val="single" w:color="auto" w:sz="6" w:space="0"/>
            </w:tcBorders>
            <w:vAlign w:val="center"/>
          </w:tcPr>
          <w:p w14:paraId="21CB05C5">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0.35％</w:t>
            </w:r>
          </w:p>
        </w:tc>
      </w:tr>
    </w:tbl>
    <w:p w14:paraId="0DD97593">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招标代理服务收费按差额定率累进法计算。</w:t>
      </w:r>
    </w:p>
    <w:p w14:paraId="7180FDB9">
      <w:pPr>
        <w:snapToGrid w:val="0"/>
        <w:spacing w:line="360" w:lineRule="auto"/>
        <w:ind w:firstLine="316" w:firstLineChars="150"/>
        <w:jc w:val="left"/>
        <w:rPr>
          <w:rFonts w:hint="eastAsia" w:ascii="宋体" w:hAnsi="宋体" w:cs="宋体"/>
          <w:b/>
          <w:bCs w:val="0"/>
          <w:color w:val="000000" w:themeColor="text1"/>
          <w:szCs w:val="21"/>
          <w:lang w:val="en-US" w:eastAsia="zh-CN"/>
          <w14:textFill>
            <w14:solidFill>
              <w14:schemeClr w14:val="tx1"/>
            </w14:solidFill>
          </w14:textFill>
        </w:rPr>
      </w:pPr>
      <w:r>
        <w:rPr>
          <w:rFonts w:hint="eastAsia" w:ascii="宋体" w:hAnsi="宋体" w:cs="宋体"/>
          <w:b/>
          <w:bCs w:val="0"/>
          <w:color w:val="000000" w:themeColor="text1"/>
          <w:szCs w:val="21"/>
          <w:lang w:val="en-US" w:eastAsia="zh-CN"/>
          <w14:textFill>
            <w14:solidFill>
              <w14:schemeClr w14:val="tx1"/>
            </w14:solidFill>
          </w14:textFill>
        </w:rPr>
        <w:t>2.投标单位以服务类招标收费标准打七折收取中标服务费，</w:t>
      </w:r>
      <w:r>
        <w:rPr>
          <w:rFonts w:hint="eastAsia" w:ascii="宋体" w:hAnsi="宋体" w:cs="宋体"/>
          <w:b/>
          <w:bCs w:val="0"/>
          <w:color w:val="000000" w:themeColor="text1"/>
          <w:szCs w:val="21"/>
          <w:lang w:val="zh-CN" w:eastAsia="zh-CN"/>
          <w14:textFill>
            <w14:solidFill>
              <w14:schemeClr w14:val="tx1"/>
            </w14:solidFill>
          </w14:textFill>
        </w:rPr>
        <w:t>对于招标代理服务费不足</w:t>
      </w:r>
      <w:r>
        <w:rPr>
          <w:rFonts w:hint="eastAsia" w:ascii="宋体" w:hAnsi="宋体" w:cs="宋体"/>
          <w:b/>
          <w:bCs w:val="0"/>
          <w:color w:val="000000" w:themeColor="text1"/>
          <w:szCs w:val="21"/>
          <w:lang w:val="en-US" w:eastAsia="zh-CN"/>
          <w14:textFill>
            <w14:solidFill>
              <w14:schemeClr w14:val="tx1"/>
            </w14:solidFill>
          </w14:textFill>
        </w:rPr>
        <w:t>5000</w:t>
      </w:r>
      <w:r>
        <w:rPr>
          <w:rFonts w:hint="eastAsia" w:ascii="宋体" w:hAnsi="宋体" w:cs="宋体"/>
          <w:b/>
          <w:bCs w:val="0"/>
          <w:color w:val="000000" w:themeColor="text1"/>
          <w:szCs w:val="21"/>
          <w:lang w:val="zh-CN" w:eastAsia="zh-CN"/>
          <w14:textFill>
            <w14:solidFill>
              <w14:schemeClr w14:val="tx1"/>
            </w14:solidFill>
          </w14:textFill>
        </w:rPr>
        <w:t>元的按</w:t>
      </w:r>
      <w:r>
        <w:rPr>
          <w:rFonts w:hint="eastAsia" w:ascii="宋体" w:hAnsi="宋体" w:cs="宋体"/>
          <w:b/>
          <w:bCs w:val="0"/>
          <w:color w:val="000000" w:themeColor="text1"/>
          <w:szCs w:val="21"/>
          <w:lang w:val="en-US" w:eastAsia="zh-CN"/>
          <w14:textFill>
            <w14:solidFill>
              <w14:schemeClr w14:val="tx1"/>
            </w14:solidFill>
          </w14:textFill>
        </w:rPr>
        <w:t>5000</w:t>
      </w:r>
      <w:r>
        <w:rPr>
          <w:rFonts w:hint="eastAsia" w:ascii="宋体" w:hAnsi="宋体" w:cs="宋体"/>
          <w:b/>
          <w:bCs w:val="0"/>
          <w:color w:val="000000" w:themeColor="text1"/>
          <w:szCs w:val="21"/>
          <w:lang w:val="zh-CN" w:eastAsia="zh-CN"/>
          <w14:textFill>
            <w14:solidFill>
              <w14:schemeClr w14:val="tx1"/>
            </w14:solidFill>
          </w14:textFill>
        </w:rPr>
        <w:t>元计取招标代理服务费。</w:t>
      </w:r>
    </w:p>
    <w:p w14:paraId="13231743">
      <w:pPr>
        <w:snapToGrid w:val="0"/>
        <w:spacing w:line="360" w:lineRule="auto"/>
        <w:ind w:firstLine="315" w:firstLineChars="15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3.代理费支付方式：一次性以银行划账、现金或支票的形式支付。</w:t>
      </w:r>
    </w:p>
    <w:p w14:paraId="1B2F39B3">
      <w:pPr>
        <w:snapToGrid w:val="0"/>
        <w:spacing w:line="360" w:lineRule="auto"/>
        <w:ind w:firstLine="315" w:firstLineChars="15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4.代理费以银行划账方式按下列要求提交：</w:t>
      </w:r>
    </w:p>
    <w:p w14:paraId="287B24D7">
      <w:pPr>
        <w:snapToGrid w:val="0"/>
        <w:spacing w:line="360" w:lineRule="auto"/>
        <w:ind w:firstLine="316" w:firstLineChars="150"/>
        <w:rPr>
          <w:rFonts w:ascii="宋体" w:hAnsi="宋体" w:cs="宋体"/>
          <w:b/>
          <w:bCs w:val="0"/>
          <w:color w:val="000000" w:themeColor="text1"/>
          <w:szCs w:val="21"/>
          <w14:textFill>
            <w14:solidFill>
              <w14:schemeClr w14:val="tx1"/>
            </w14:solidFill>
          </w14:textFill>
        </w:rPr>
      </w:pPr>
      <w:r>
        <w:rPr>
          <w:rFonts w:hint="eastAsia" w:ascii="宋体" w:hAnsi="宋体" w:cs="宋体"/>
          <w:b/>
          <w:bCs w:val="0"/>
          <w:color w:val="000000" w:themeColor="text1"/>
          <w:szCs w:val="21"/>
          <w14:textFill>
            <w14:solidFill>
              <w14:schemeClr w14:val="tx1"/>
            </w14:solidFill>
          </w14:textFill>
        </w:rPr>
        <w:t>单位名称：嘉兴市建新工程造价咨询事务所有限公司</w:t>
      </w:r>
    </w:p>
    <w:p w14:paraId="37C0E95A">
      <w:pPr>
        <w:snapToGrid w:val="0"/>
        <w:spacing w:line="360" w:lineRule="auto"/>
        <w:ind w:firstLine="316" w:firstLineChars="150"/>
        <w:jc w:val="left"/>
        <w:rPr>
          <w:rFonts w:ascii="宋体" w:hAnsi="宋体" w:cs="宋体"/>
          <w:b/>
          <w:bCs w:val="0"/>
          <w:color w:val="000000" w:themeColor="text1"/>
          <w:szCs w:val="21"/>
          <w14:textFill>
            <w14:solidFill>
              <w14:schemeClr w14:val="tx1"/>
            </w14:solidFill>
          </w14:textFill>
        </w:rPr>
      </w:pPr>
      <w:r>
        <w:rPr>
          <w:rFonts w:hint="eastAsia" w:ascii="宋体" w:hAnsi="宋体" w:cs="宋体"/>
          <w:b/>
          <w:bCs w:val="0"/>
          <w:color w:val="000000" w:themeColor="text1"/>
          <w:szCs w:val="21"/>
          <w14:textFill>
            <w14:solidFill>
              <w14:schemeClr w14:val="tx1"/>
            </w14:solidFill>
          </w14:textFill>
        </w:rPr>
        <w:t>开户银行：浙江泰隆商业银行股份有限公司嘉兴南湖支行</w:t>
      </w:r>
    </w:p>
    <w:p w14:paraId="22C8D685">
      <w:pPr>
        <w:snapToGrid w:val="0"/>
        <w:spacing w:line="360" w:lineRule="auto"/>
        <w:ind w:firstLine="316" w:firstLineChars="150"/>
        <w:jc w:val="left"/>
        <w:rPr>
          <w:rFonts w:ascii="宋体" w:hAnsi="宋体" w:cs="宋体"/>
          <w:b/>
          <w:bCs w:val="0"/>
          <w:color w:val="000000" w:themeColor="text1"/>
          <w:szCs w:val="21"/>
          <w14:textFill>
            <w14:solidFill>
              <w14:schemeClr w14:val="tx1"/>
            </w14:solidFill>
          </w14:textFill>
        </w:rPr>
      </w:pPr>
      <w:r>
        <w:rPr>
          <w:rFonts w:hint="eastAsia" w:ascii="宋体" w:hAnsi="宋体" w:cs="宋体"/>
          <w:b/>
          <w:bCs w:val="0"/>
          <w:color w:val="000000" w:themeColor="text1"/>
          <w:szCs w:val="21"/>
          <w14:textFill>
            <w14:solidFill>
              <w14:schemeClr w14:val="tx1"/>
            </w14:solidFill>
          </w14:textFill>
        </w:rPr>
        <w:t>银行账号：33090260201000004623</w:t>
      </w:r>
    </w:p>
    <w:p w14:paraId="7C87484F">
      <w:pPr>
        <w:snapToGrid w:val="0"/>
        <w:spacing w:line="360" w:lineRule="auto"/>
        <w:ind w:firstLine="315" w:firstLineChars="15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地址：嘉兴市会展路207号三楼(新气象路和会展路十字路口嘉宇商务楼)</w:t>
      </w:r>
    </w:p>
    <w:p w14:paraId="76143734">
      <w:pPr>
        <w:snapToGrid w:val="0"/>
        <w:spacing w:line="360" w:lineRule="auto"/>
        <w:ind w:firstLine="315" w:firstLineChars="15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5.服务费不在投标报价中单列。</w:t>
      </w:r>
    </w:p>
    <w:p w14:paraId="0CE996D0">
      <w:pPr>
        <w:pageBreakBefore w:val="0"/>
        <w:kinsoku/>
        <w:overflowPunct/>
        <w:topLinePunct w:val="0"/>
        <w:bidi w:val="0"/>
        <w:adjustRightInd/>
        <w:spacing w:line="360" w:lineRule="auto"/>
        <w:jc w:val="center"/>
        <w:outlineLvl w:val="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第四部分  采购需求</w:t>
      </w:r>
    </w:p>
    <w:p w14:paraId="479DB27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aps w:val="0"/>
          <w:color w:val="333333"/>
          <w:spacing w:val="0"/>
          <w:sz w:val="21"/>
          <w:szCs w:val="21"/>
          <w:highlight w:val="none"/>
          <w:shd w:val="clear" w:color="auto" w:fill="FFFFFF"/>
          <w:lang w:val="en-US" w:eastAsia="zh-CN"/>
        </w:rPr>
      </w:pPr>
      <w:r>
        <w:rPr>
          <w:rFonts w:hint="eastAsia" w:ascii="宋体" w:hAnsi="宋体" w:eastAsia="宋体" w:cs="宋体"/>
          <w:b/>
          <w:bCs/>
          <w:i w:val="0"/>
          <w:iCs w:val="0"/>
          <w:caps w:val="0"/>
          <w:color w:val="333333"/>
          <w:spacing w:val="0"/>
          <w:kern w:val="2"/>
          <w:sz w:val="21"/>
          <w:szCs w:val="21"/>
          <w:highlight w:val="none"/>
          <w:shd w:val="clear" w:color="auto" w:fill="FFFFFF"/>
          <w:lang w:val="en-US" w:eastAsia="zh-CN" w:bidi="ar-SA"/>
        </w:rPr>
        <w:t>一、</w:t>
      </w:r>
      <w:r>
        <w:rPr>
          <w:rFonts w:hint="eastAsia" w:ascii="宋体" w:hAnsi="宋体" w:eastAsia="宋体" w:cs="宋体"/>
          <w:b/>
          <w:bCs/>
          <w:i w:val="0"/>
          <w:iCs w:val="0"/>
          <w:caps w:val="0"/>
          <w:color w:val="333333"/>
          <w:spacing w:val="0"/>
          <w:sz w:val="21"/>
          <w:szCs w:val="21"/>
          <w:highlight w:val="none"/>
          <w:shd w:val="clear" w:color="auto" w:fill="FFFFFF"/>
          <w:lang w:val="en-US" w:eastAsia="zh-CN"/>
        </w:rPr>
        <w:t>项目背景</w:t>
      </w:r>
    </w:p>
    <w:p w14:paraId="05B78D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highlight w:val="none"/>
          <w:shd w:val="clear" w:color="auto" w:fill="FFFFFF"/>
          <w:lang w:val="en-US" w:eastAsia="zh-CN"/>
        </w:rPr>
      </w:pPr>
      <w:r>
        <w:rPr>
          <w:rFonts w:hint="eastAsia" w:ascii="宋体" w:hAnsi="宋体" w:eastAsia="宋体" w:cs="宋体"/>
          <w:i w:val="0"/>
          <w:iCs w:val="0"/>
          <w:caps w:val="0"/>
          <w:color w:val="333333"/>
          <w:spacing w:val="0"/>
          <w:sz w:val="21"/>
          <w:szCs w:val="21"/>
          <w:highlight w:val="none"/>
          <w:shd w:val="clear" w:color="auto" w:fill="FFFFFF"/>
        </w:rPr>
        <w:t>精神障碍社区康复服务是以促进精神障碍患者回归和融入社会为目标，以改善和提高患者生活自理能力、社会适应与参与能力和就业能力为重点，综合运用精神医学、康复治疗、社会心理、社会工作、社区支持、志愿服务等专业技术和方法，开展全生命周期关怀帮助、健康教育、功能训练、社会支持，以提高患者健康水平的专业社会服务。</w:t>
      </w:r>
      <w:r>
        <w:rPr>
          <w:rFonts w:hint="eastAsia" w:ascii="宋体" w:hAnsi="宋体" w:eastAsia="宋体" w:cs="宋体"/>
          <w:i w:val="0"/>
          <w:iCs w:val="0"/>
          <w:caps w:val="0"/>
          <w:color w:val="333333"/>
          <w:spacing w:val="0"/>
          <w:sz w:val="21"/>
          <w:szCs w:val="21"/>
          <w:highlight w:val="none"/>
          <w:shd w:val="clear" w:color="auto" w:fill="FFFFFF"/>
          <w:lang w:val="en-US" w:eastAsia="zh-CN"/>
        </w:rPr>
        <w:t>以“服务覆盖年”为建设目标，在南湖区范围内选取社会精神康复患者数量较多的镇或街道为试点，以辖区内基本符合社会融合条件的社会精神康复患者为服务对象，联合基层卫生院、专业心理咨询师、社工等社会资源开展包括入户走访、定期巡访、社会融入活动和协助康复等服务。</w:t>
      </w:r>
    </w:p>
    <w:p w14:paraId="323FBDE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aps w:val="0"/>
          <w:color w:val="333333"/>
          <w:spacing w:val="0"/>
          <w:sz w:val="21"/>
          <w:szCs w:val="21"/>
          <w:highlight w:val="none"/>
          <w:shd w:val="clear" w:color="auto" w:fill="FFFFFF"/>
          <w:lang w:val="en-US" w:eastAsia="zh-CN"/>
        </w:rPr>
      </w:pPr>
      <w:r>
        <w:rPr>
          <w:rFonts w:hint="eastAsia" w:ascii="宋体" w:hAnsi="宋体" w:eastAsia="宋体" w:cs="宋体"/>
          <w:b/>
          <w:bCs/>
          <w:i w:val="0"/>
          <w:iCs w:val="0"/>
          <w:caps w:val="0"/>
          <w:color w:val="333333"/>
          <w:spacing w:val="0"/>
          <w:sz w:val="21"/>
          <w:szCs w:val="21"/>
          <w:highlight w:val="none"/>
          <w:shd w:val="clear" w:color="auto" w:fill="FFFFFF"/>
          <w:lang w:val="en-US" w:eastAsia="zh-CN"/>
        </w:rPr>
        <w:t>二、项目目标</w:t>
      </w:r>
    </w:p>
    <w:p w14:paraId="18EBBA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highlight w:val="none"/>
          <w:shd w:val="clear" w:color="auto" w:fill="FFFFFF"/>
          <w:lang w:val="en-US" w:eastAsia="zh-CN"/>
        </w:rPr>
      </w:pPr>
      <w:r>
        <w:rPr>
          <w:rFonts w:hint="eastAsia" w:ascii="宋体" w:hAnsi="宋体" w:eastAsia="宋体" w:cs="宋体"/>
          <w:i w:val="0"/>
          <w:iCs w:val="0"/>
          <w:caps w:val="0"/>
          <w:color w:val="333333"/>
          <w:spacing w:val="0"/>
          <w:sz w:val="21"/>
          <w:szCs w:val="21"/>
          <w:highlight w:val="none"/>
          <w:shd w:val="clear" w:color="auto" w:fill="FFFFFF"/>
          <w:lang w:val="en-US" w:eastAsia="zh-CN"/>
        </w:rPr>
        <w:t>2025-2026年，南湖区将以市区（新兴街道、解放街道）约80名、农村（大桥镇、新丰镇）约60名社会精神康复患者为服务目标开展服务，具体如下：</w:t>
      </w:r>
    </w:p>
    <w:p w14:paraId="1508A6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i w:val="0"/>
          <w:iCs w:val="0"/>
          <w:caps w:val="0"/>
          <w:color w:val="333333"/>
          <w:spacing w:val="0"/>
          <w:sz w:val="21"/>
          <w:szCs w:val="21"/>
          <w:highlight w:val="none"/>
          <w:shd w:val="clear" w:color="auto" w:fill="FFFFFF"/>
          <w:lang w:val="en-US" w:eastAsia="zh-CN"/>
        </w:rPr>
      </w:pPr>
      <w:r>
        <w:rPr>
          <w:rFonts w:hint="eastAsia" w:ascii="宋体" w:hAnsi="宋体" w:eastAsia="宋体" w:cs="宋体"/>
          <w:b/>
          <w:bCs/>
          <w:i w:val="0"/>
          <w:iCs w:val="0"/>
          <w:caps w:val="0"/>
          <w:color w:val="333333"/>
          <w:spacing w:val="0"/>
          <w:kern w:val="2"/>
          <w:sz w:val="21"/>
          <w:szCs w:val="21"/>
          <w:highlight w:val="none"/>
          <w:shd w:val="clear" w:color="auto" w:fill="FFFFFF"/>
          <w:lang w:val="en-US" w:eastAsia="zh-CN" w:bidi="ar-SA"/>
        </w:rPr>
        <w:t>1</w:t>
      </w:r>
      <w:r>
        <w:rPr>
          <w:rFonts w:hint="eastAsia" w:ascii="宋体" w:hAnsi="宋体" w:cs="宋体"/>
          <w:b/>
          <w:bCs/>
          <w:i w:val="0"/>
          <w:iCs w:val="0"/>
          <w:caps w:val="0"/>
          <w:color w:val="333333"/>
          <w:spacing w:val="0"/>
          <w:kern w:val="2"/>
          <w:sz w:val="21"/>
          <w:szCs w:val="21"/>
          <w:highlight w:val="none"/>
          <w:shd w:val="clear" w:color="auto" w:fill="FFFFFF"/>
          <w:lang w:val="en-US" w:eastAsia="zh-CN" w:bidi="ar-SA"/>
        </w:rPr>
        <w:t>.</w:t>
      </w:r>
      <w:r>
        <w:rPr>
          <w:rFonts w:hint="eastAsia" w:ascii="宋体" w:hAnsi="宋体" w:eastAsia="宋体" w:cs="宋体"/>
          <w:b/>
          <w:bCs/>
          <w:i w:val="0"/>
          <w:iCs w:val="0"/>
          <w:caps w:val="0"/>
          <w:color w:val="333333"/>
          <w:spacing w:val="0"/>
          <w:sz w:val="21"/>
          <w:szCs w:val="21"/>
          <w:highlight w:val="none"/>
          <w:shd w:val="clear" w:color="auto" w:fill="FFFFFF"/>
          <w:lang w:val="en-US" w:eastAsia="zh-CN"/>
        </w:rPr>
        <w:t>服务人群</w:t>
      </w:r>
    </w:p>
    <w:p w14:paraId="7CACE3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highlight w:val="none"/>
          <w:shd w:val="clear" w:color="auto" w:fill="FFFFFF"/>
          <w:lang w:val="en-US" w:eastAsia="zh-CN"/>
        </w:rPr>
      </w:pPr>
      <w:r>
        <w:rPr>
          <w:rFonts w:hint="eastAsia" w:ascii="宋体" w:hAnsi="宋体" w:eastAsia="宋体" w:cs="宋体"/>
          <w:i w:val="0"/>
          <w:iCs w:val="0"/>
          <w:caps w:val="0"/>
          <w:color w:val="333333"/>
          <w:spacing w:val="0"/>
          <w:sz w:val="21"/>
          <w:szCs w:val="21"/>
          <w:highlight w:val="none"/>
          <w:shd w:val="clear" w:color="auto" w:fill="FFFFFF"/>
          <w:lang w:val="en-US" w:eastAsia="zh-CN"/>
        </w:rPr>
        <w:t>直接受益人群：基础名单由区卫健局审核后提供，经区民政、</w:t>
      </w:r>
      <w:r>
        <w:rPr>
          <w:rFonts w:hint="eastAsia" w:ascii="宋体" w:hAnsi="宋体" w:cs="宋体"/>
          <w:i w:val="0"/>
          <w:iCs w:val="0"/>
          <w:caps w:val="0"/>
          <w:color w:val="333333"/>
          <w:spacing w:val="0"/>
          <w:sz w:val="21"/>
          <w:szCs w:val="21"/>
          <w:highlight w:val="none"/>
          <w:shd w:val="clear" w:color="auto" w:fill="FFFFFF"/>
          <w:lang w:val="en-US" w:eastAsia="zh-CN"/>
        </w:rPr>
        <w:t>区卫健、</w:t>
      </w:r>
      <w:r>
        <w:rPr>
          <w:rFonts w:hint="eastAsia" w:ascii="宋体" w:hAnsi="宋体" w:eastAsia="宋体" w:cs="宋体"/>
          <w:i w:val="0"/>
          <w:iCs w:val="0"/>
          <w:caps w:val="0"/>
          <w:color w:val="333333"/>
          <w:spacing w:val="0"/>
          <w:sz w:val="21"/>
          <w:szCs w:val="21"/>
          <w:highlight w:val="none"/>
          <w:shd w:val="clear" w:color="auto" w:fill="FFFFFF"/>
          <w:lang w:val="en-US" w:eastAsia="zh-CN"/>
        </w:rPr>
        <w:t>区残联等部门及第三方评估后，以市区（新兴街道、解放街道）、农村（大桥镇、新丰镇）为试点，为辖区范围内约140名20-45周岁的精神障碍社区康复患者及其家庭开展服务；</w:t>
      </w:r>
    </w:p>
    <w:p w14:paraId="6DF83D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aps w:val="0"/>
          <w:color w:val="333333"/>
          <w:spacing w:val="0"/>
          <w:sz w:val="21"/>
          <w:szCs w:val="21"/>
          <w:highlight w:val="none"/>
          <w:shd w:val="clear" w:color="auto" w:fill="FFFFFF"/>
          <w:lang w:val="en-US" w:eastAsia="zh-CN"/>
        </w:rPr>
      </w:pPr>
      <w:r>
        <w:rPr>
          <w:rFonts w:hint="eastAsia" w:ascii="宋体" w:hAnsi="宋体" w:eastAsia="宋体" w:cs="宋体"/>
          <w:i w:val="0"/>
          <w:iCs w:val="0"/>
          <w:caps w:val="0"/>
          <w:color w:val="333333"/>
          <w:spacing w:val="0"/>
          <w:sz w:val="21"/>
          <w:szCs w:val="21"/>
          <w:highlight w:val="none"/>
          <w:shd w:val="clear" w:color="auto" w:fill="FFFFFF"/>
          <w:lang w:val="en-US" w:eastAsia="zh-CN"/>
        </w:rPr>
        <w:t>间接受益人群：南湖区辖区内</w:t>
      </w:r>
      <w:bookmarkStart w:id="53" w:name="OLE_LINK1"/>
      <w:r>
        <w:rPr>
          <w:rFonts w:hint="eastAsia" w:ascii="宋体" w:hAnsi="宋体" w:eastAsia="宋体" w:cs="宋体"/>
          <w:i w:val="0"/>
          <w:iCs w:val="0"/>
          <w:caps w:val="0"/>
          <w:color w:val="333333"/>
          <w:spacing w:val="0"/>
          <w:sz w:val="21"/>
          <w:szCs w:val="21"/>
          <w:highlight w:val="none"/>
          <w:shd w:val="clear" w:color="auto" w:fill="FFFFFF"/>
          <w:lang w:val="en-US" w:eastAsia="zh-CN"/>
        </w:rPr>
        <w:t>精神障碍社区康复患者</w:t>
      </w:r>
      <w:bookmarkEnd w:id="53"/>
      <w:r>
        <w:rPr>
          <w:rFonts w:hint="eastAsia" w:ascii="宋体" w:hAnsi="宋体" w:eastAsia="宋体" w:cs="宋体"/>
          <w:i w:val="0"/>
          <w:iCs w:val="0"/>
          <w:caps w:val="0"/>
          <w:color w:val="333333"/>
          <w:spacing w:val="0"/>
          <w:sz w:val="21"/>
          <w:szCs w:val="21"/>
          <w:highlight w:val="none"/>
          <w:shd w:val="clear" w:color="auto" w:fill="FFFFFF"/>
          <w:lang w:val="en-US" w:eastAsia="zh-CN"/>
        </w:rPr>
        <w:t>及家庭。</w:t>
      </w:r>
    </w:p>
    <w:p w14:paraId="7CF638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i w:val="0"/>
          <w:iCs w:val="0"/>
          <w:caps w:val="0"/>
          <w:color w:val="333333"/>
          <w:spacing w:val="0"/>
          <w:kern w:val="2"/>
          <w:sz w:val="21"/>
          <w:szCs w:val="21"/>
          <w:highlight w:val="none"/>
          <w:shd w:val="clear" w:color="auto" w:fill="FFFFFF"/>
          <w:lang w:val="en-US" w:eastAsia="zh-CN" w:bidi="ar-SA"/>
        </w:rPr>
      </w:pPr>
      <w:r>
        <w:rPr>
          <w:rFonts w:hint="eastAsia" w:ascii="宋体" w:hAnsi="宋体" w:cs="宋体"/>
          <w:b/>
          <w:bCs/>
          <w:i w:val="0"/>
          <w:iCs w:val="0"/>
          <w:caps w:val="0"/>
          <w:color w:val="333333"/>
          <w:spacing w:val="0"/>
          <w:kern w:val="2"/>
          <w:sz w:val="21"/>
          <w:szCs w:val="21"/>
          <w:highlight w:val="none"/>
          <w:shd w:val="clear" w:color="auto" w:fill="FFFFFF"/>
          <w:lang w:val="en-US" w:eastAsia="zh-CN" w:bidi="ar-SA"/>
        </w:rPr>
        <w:t>2.</w:t>
      </w:r>
      <w:r>
        <w:rPr>
          <w:rFonts w:hint="eastAsia" w:ascii="宋体" w:hAnsi="宋体" w:eastAsia="宋体" w:cs="宋体"/>
          <w:b/>
          <w:bCs/>
          <w:i w:val="0"/>
          <w:iCs w:val="0"/>
          <w:caps w:val="0"/>
          <w:color w:val="333333"/>
          <w:spacing w:val="0"/>
          <w:kern w:val="2"/>
          <w:sz w:val="21"/>
          <w:szCs w:val="21"/>
          <w:highlight w:val="none"/>
          <w:shd w:val="clear" w:color="auto" w:fill="FFFFFF"/>
          <w:lang w:val="en-US" w:eastAsia="zh-CN" w:bidi="ar-SA"/>
        </w:rPr>
        <w:t>服务内容</w:t>
      </w:r>
    </w:p>
    <w:p w14:paraId="4D6BEF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highlight w:val="none"/>
          <w:shd w:val="clear" w:color="auto" w:fill="FFFFFF"/>
          <w:lang w:val="en-US" w:eastAsia="zh-CN"/>
        </w:rPr>
      </w:pPr>
      <w:r>
        <w:rPr>
          <w:rFonts w:hint="eastAsia" w:ascii="宋体" w:hAnsi="宋体" w:eastAsia="宋体" w:cs="宋体"/>
          <w:i w:val="0"/>
          <w:iCs w:val="0"/>
          <w:caps w:val="0"/>
          <w:color w:val="333333"/>
          <w:spacing w:val="0"/>
          <w:sz w:val="21"/>
          <w:szCs w:val="21"/>
          <w:highlight w:val="none"/>
          <w:shd w:val="clear" w:color="auto" w:fill="FFFFFF"/>
          <w:lang w:val="en-US" w:eastAsia="zh-CN"/>
        </w:rPr>
        <w:t>积极探索“1+N”（患者+社区+社工+医生+家庭+慈善+就业+特殊教育）的融合服务模式，患者、家庭、社工、医生以社区为依托，围绕精神障碍患者的不同需求和项目指标，通过政策宣讲让家属了解精神障碍残疾人的福利政策，增强政策知晓率，分批次、分层次为患者和家属提供阶段性康复服务，为患者重新回归社会创造便利条件。引入慈善力量，让精障患者家庭感受到了来自社会各方面的温暖与关爱，提升了回归社会的信心。</w:t>
      </w:r>
    </w:p>
    <w:p w14:paraId="1374EA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i w:val="0"/>
          <w:iCs w:val="0"/>
          <w:caps w:val="0"/>
          <w:color w:val="333333"/>
          <w:spacing w:val="0"/>
          <w:sz w:val="21"/>
          <w:szCs w:val="21"/>
          <w:highlight w:val="none"/>
          <w:shd w:val="clear" w:color="auto" w:fill="FFFFFF"/>
          <w:lang w:val="en-US" w:eastAsia="zh-CN"/>
        </w:rPr>
      </w:pPr>
      <w:r>
        <w:rPr>
          <w:rFonts w:hint="eastAsia" w:ascii="宋体" w:hAnsi="宋体" w:eastAsia="宋体" w:cs="宋体"/>
          <w:b/>
          <w:bCs/>
          <w:i w:val="0"/>
          <w:iCs w:val="0"/>
          <w:caps w:val="0"/>
          <w:color w:val="333333"/>
          <w:spacing w:val="0"/>
          <w:sz w:val="21"/>
          <w:szCs w:val="21"/>
          <w:highlight w:val="none"/>
          <w:shd w:val="clear" w:color="auto" w:fill="FFFFFF"/>
          <w:lang w:val="en-US" w:eastAsia="zh-CN"/>
        </w:rPr>
        <w:t>①入户初筛。</w:t>
      </w:r>
      <w:r>
        <w:rPr>
          <w:rFonts w:hint="eastAsia" w:ascii="宋体" w:hAnsi="宋体" w:eastAsia="宋体" w:cs="宋体"/>
          <w:i w:val="0"/>
          <w:iCs w:val="0"/>
          <w:caps w:val="0"/>
          <w:color w:val="333333"/>
          <w:spacing w:val="0"/>
          <w:sz w:val="21"/>
          <w:szCs w:val="21"/>
          <w:highlight w:val="none"/>
          <w:shd w:val="clear" w:color="auto" w:fill="FFFFFF"/>
          <w:lang w:val="en-US" w:eastAsia="zh-CN"/>
        </w:rPr>
        <w:t>社工联合精防医生、心理咨询师、志愿者等在2个试点街道开展入户初筛工作，为试点街道内20-45周岁服务对象建立“一户一册”服务档案制作，签订服务协议。实行服务对象新增与退出的动态化管理；</w:t>
      </w:r>
    </w:p>
    <w:p w14:paraId="0D3B6E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i w:val="0"/>
          <w:iCs w:val="0"/>
          <w:caps w:val="0"/>
          <w:color w:val="333333"/>
          <w:spacing w:val="0"/>
          <w:sz w:val="21"/>
          <w:szCs w:val="21"/>
          <w:highlight w:val="none"/>
          <w:shd w:val="clear" w:color="auto" w:fill="FFFFFF"/>
          <w:lang w:val="en-US" w:eastAsia="zh-CN"/>
        </w:rPr>
      </w:pPr>
      <w:r>
        <w:rPr>
          <w:rFonts w:hint="eastAsia" w:ascii="宋体" w:hAnsi="宋体" w:eastAsia="宋体" w:cs="宋体"/>
          <w:b/>
          <w:bCs/>
          <w:i w:val="0"/>
          <w:iCs w:val="0"/>
          <w:caps w:val="0"/>
          <w:color w:val="333333"/>
          <w:spacing w:val="0"/>
          <w:sz w:val="21"/>
          <w:szCs w:val="21"/>
          <w:highlight w:val="none"/>
          <w:shd w:val="clear" w:color="auto" w:fill="FFFFFF"/>
          <w:lang w:val="en-US" w:eastAsia="zh-CN"/>
        </w:rPr>
        <w:t>②定期巡访。</w:t>
      </w:r>
      <w:r>
        <w:rPr>
          <w:rFonts w:hint="eastAsia" w:ascii="宋体" w:hAnsi="宋体" w:eastAsia="宋体" w:cs="宋体"/>
          <w:i w:val="0"/>
          <w:iCs w:val="0"/>
          <w:caps w:val="0"/>
          <w:color w:val="333333"/>
          <w:spacing w:val="0"/>
          <w:sz w:val="21"/>
          <w:szCs w:val="21"/>
          <w:highlight w:val="none"/>
          <w:shd w:val="clear" w:color="auto" w:fill="FFFFFF"/>
          <w:lang w:val="en-US" w:eastAsia="zh-CN"/>
        </w:rPr>
        <w:t>联合基层卫生院、村社区开展联合巡访不少于10次/年；</w:t>
      </w:r>
    </w:p>
    <w:p w14:paraId="60E2A8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i w:val="0"/>
          <w:iCs w:val="0"/>
          <w:caps w:val="0"/>
          <w:color w:val="333333"/>
          <w:spacing w:val="0"/>
          <w:sz w:val="21"/>
          <w:szCs w:val="21"/>
          <w:highlight w:val="none"/>
          <w:shd w:val="clear" w:color="auto" w:fill="FFFFFF"/>
          <w:lang w:val="en-US" w:eastAsia="zh-CN"/>
        </w:rPr>
      </w:pPr>
      <w:r>
        <w:rPr>
          <w:rFonts w:hint="eastAsia" w:ascii="宋体" w:hAnsi="宋体" w:eastAsia="宋体" w:cs="宋体"/>
          <w:b/>
          <w:bCs/>
          <w:i w:val="0"/>
          <w:iCs w:val="0"/>
          <w:caps w:val="0"/>
          <w:color w:val="000000"/>
          <w:spacing w:val="0"/>
          <w:sz w:val="21"/>
          <w:szCs w:val="21"/>
          <w:highlight w:val="none"/>
          <w:shd w:val="clear" w:color="auto" w:fill="FFFFFF"/>
          <w:lang w:val="en-US" w:eastAsia="zh-CN"/>
        </w:rPr>
        <w:t>③团辅活动。</w:t>
      </w:r>
      <w:r>
        <w:rPr>
          <w:rFonts w:hint="eastAsia" w:ascii="宋体" w:hAnsi="宋体" w:eastAsia="宋体" w:cs="宋体"/>
          <w:i w:val="0"/>
          <w:iCs w:val="0"/>
          <w:caps w:val="0"/>
          <w:color w:val="333333"/>
          <w:spacing w:val="0"/>
          <w:sz w:val="21"/>
          <w:szCs w:val="21"/>
          <w:highlight w:val="none"/>
          <w:shd w:val="clear" w:color="auto" w:fill="FFFFFF"/>
          <w:lang w:val="en-US" w:eastAsia="zh-CN"/>
        </w:rPr>
        <w:t>团辅活动不少于8场/区域，联动试点镇、街道的残疾人之家开展活动不少于4场/区域；</w:t>
      </w:r>
    </w:p>
    <w:p w14:paraId="75CFE9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b/>
          <w:bCs/>
          <w:i w:val="0"/>
          <w:iCs w:val="0"/>
          <w:caps w:val="0"/>
          <w:color w:val="333333"/>
          <w:spacing w:val="0"/>
          <w:sz w:val="21"/>
          <w:szCs w:val="21"/>
          <w:highlight w:val="none"/>
          <w:shd w:val="clear" w:color="auto" w:fill="FFFFFF"/>
          <w:lang w:val="en-US" w:eastAsia="zh-CN"/>
        </w:rPr>
        <w:t>④阵地搭建。</w:t>
      </w:r>
      <w:r>
        <w:rPr>
          <w:rFonts w:hint="eastAsia" w:ascii="宋体" w:hAnsi="宋体" w:eastAsia="宋体" w:cs="宋体"/>
          <w:i w:val="0"/>
          <w:iCs w:val="0"/>
          <w:caps w:val="0"/>
          <w:color w:val="333333"/>
          <w:spacing w:val="0"/>
          <w:sz w:val="21"/>
          <w:szCs w:val="21"/>
          <w:highlight w:val="none"/>
          <w:shd w:val="clear" w:color="auto" w:fill="FFFFFF"/>
          <w:lang w:val="en-US" w:eastAsia="zh-CN"/>
        </w:rPr>
        <w:t>结合实际，在试点</w:t>
      </w:r>
      <w:r>
        <w:rPr>
          <w:rFonts w:hint="eastAsia" w:ascii="宋体" w:hAnsi="宋体" w:cs="宋体"/>
          <w:i w:val="0"/>
          <w:iCs w:val="0"/>
          <w:caps w:val="0"/>
          <w:color w:val="333333"/>
          <w:spacing w:val="0"/>
          <w:sz w:val="21"/>
          <w:szCs w:val="21"/>
          <w:highlight w:val="none"/>
          <w:shd w:val="clear" w:color="auto" w:fill="FFFFFF"/>
          <w:lang w:val="en-US" w:eastAsia="zh-CN"/>
        </w:rPr>
        <w:t>镇（</w:t>
      </w:r>
      <w:r>
        <w:rPr>
          <w:rFonts w:hint="eastAsia" w:ascii="宋体" w:hAnsi="宋体" w:eastAsia="宋体" w:cs="宋体"/>
          <w:i w:val="0"/>
          <w:iCs w:val="0"/>
          <w:caps w:val="0"/>
          <w:color w:val="333333"/>
          <w:spacing w:val="0"/>
          <w:sz w:val="21"/>
          <w:szCs w:val="21"/>
          <w:highlight w:val="none"/>
          <w:shd w:val="clear" w:color="auto" w:fill="FFFFFF"/>
          <w:lang w:val="en-US" w:eastAsia="zh-CN"/>
        </w:rPr>
        <w:t>街道</w:t>
      </w:r>
      <w:r>
        <w:rPr>
          <w:rFonts w:hint="eastAsia" w:ascii="宋体" w:hAnsi="宋体" w:cs="宋体"/>
          <w:i w:val="0"/>
          <w:iCs w:val="0"/>
          <w:caps w:val="0"/>
          <w:color w:val="333333"/>
          <w:spacing w:val="0"/>
          <w:sz w:val="21"/>
          <w:szCs w:val="21"/>
          <w:highlight w:val="none"/>
          <w:shd w:val="clear" w:color="auto" w:fill="FFFFFF"/>
          <w:lang w:val="en-US" w:eastAsia="zh-CN"/>
        </w:rPr>
        <w:t>）</w:t>
      </w:r>
      <w:r>
        <w:rPr>
          <w:rFonts w:hint="eastAsia" w:ascii="宋体" w:hAnsi="宋体" w:eastAsia="宋体" w:cs="宋体"/>
          <w:i w:val="0"/>
          <w:iCs w:val="0"/>
          <w:caps w:val="0"/>
          <w:color w:val="333333"/>
          <w:spacing w:val="0"/>
          <w:sz w:val="21"/>
          <w:szCs w:val="21"/>
          <w:highlight w:val="none"/>
          <w:shd w:val="clear" w:color="auto" w:fill="FFFFFF"/>
          <w:lang w:val="en-US" w:eastAsia="zh-CN"/>
        </w:rPr>
        <w:t>搭建服务阵</w:t>
      </w:r>
      <w:r>
        <w:rPr>
          <w:rFonts w:hint="eastAsia" w:ascii="宋体" w:hAnsi="宋体" w:eastAsia="宋体" w:cs="宋体"/>
          <w:i w:val="0"/>
          <w:iCs w:val="0"/>
          <w:caps w:val="0"/>
          <w:color w:val="auto"/>
          <w:spacing w:val="0"/>
          <w:sz w:val="21"/>
          <w:szCs w:val="21"/>
          <w:highlight w:val="none"/>
          <w:shd w:val="clear" w:color="auto" w:fill="FFFFFF"/>
          <w:lang w:val="en-US" w:eastAsia="zh-CN"/>
        </w:rPr>
        <w:t>地2处/年；</w:t>
      </w:r>
    </w:p>
    <w:p w14:paraId="343D26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⑤宣传学习。开展区级政策宣讲、专题讲座不少于6场。</w:t>
      </w:r>
    </w:p>
    <w:p w14:paraId="099732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⑥经验总结。对项目实施情况进行自我评估，每年完成项目自评报告各1篇；总结提炼精康融合服务项目特色亮点，其中省级（含）以上新闻媒体报道不少于2次，市级（含）以上新闻媒体报道不少于4次。梳理南湖区精康融合服务经验，对未来发展进行提升探讨，形成经验性总结报告2篇。</w:t>
      </w:r>
    </w:p>
    <w:p w14:paraId="24E373EF">
      <w:pPr>
        <w:spacing w:line="360" w:lineRule="auto"/>
        <w:rPr>
          <w:rFonts w:ascii="宋体" w:hAnsi="宋体" w:cs="宋体"/>
          <w:b/>
          <w:szCs w:val="21"/>
          <w:highlight w:val="none"/>
        </w:rPr>
      </w:pPr>
      <w:r>
        <w:rPr>
          <w:rFonts w:hint="eastAsia" w:ascii="宋体" w:hAnsi="宋体" w:eastAsia="宋体" w:cs="宋体"/>
          <w:b/>
          <w:color w:val="000000"/>
          <w:sz w:val="21"/>
          <w:szCs w:val="21"/>
          <w:highlight w:val="none"/>
          <w:lang w:val="en-US" w:eastAsia="zh-CN"/>
        </w:rPr>
        <w:t>三、</w:t>
      </w:r>
      <w:r>
        <w:rPr>
          <w:rFonts w:hint="eastAsia" w:ascii="宋体" w:hAnsi="宋体" w:cs="宋体"/>
          <w:b/>
          <w:szCs w:val="21"/>
          <w:highlight w:val="none"/>
        </w:rPr>
        <w:t>人员配置要求</w:t>
      </w:r>
    </w:p>
    <w:p w14:paraId="5561CCD0">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本项目需配备项目负责人1名。专业技术人员包含精神科临床医生、心理治疗（咨询）师、康复治疗师等专业人士的专业服务队伍，保障项目实施开展。配合做好残疾人福利保障相关工作。</w:t>
      </w:r>
    </w:p>
    <w:p w14:paraId="61F9136B">
      <w:pPr>
        <w:snapToGrid w:val="0"/>
        <w:spacing w:line="360" w:lineRule="auto"/>
        <w:rPr>
          <w:rFonts w:ascii="宋体" w:hAnsi="宋体" w:cs="宋体"/>
          <w:b/>
          <w:szCs w:val="21"/>
          <w:highlight w:val="none"/>
        </w:rPr>
      </w:pPr>
      <w:r>
        <w:rPr>
          <w:rFonts w:hint="eastAsia" w:ascii="宋体" w:hAnsi="宋体" w:cs="宋体"/>
          <w:b/>
          <w:szCs w:val="21"/>
          <w:highlight w:val="none"/>
          <w:lang w:val="en-US" w:eastAsia="zh-CN"/>
        </w:rPr>
        <w:t>四</w:t>
      </w:r>
      <w:r>
        <w:rPr>
          <w:rFonts w:hint="eastAsia" w:ascii="宋体" w:hAnsi="宋体" w:cs="宋体"/>
          <w:b/>
          <w:szCs w:val="21"/>
          <w:highlight w:val="none"/>
        </w:rPr>
        <w:t>、付款方式</w:t>
      </w:r>
    </w:p>
    <w:p w14:paraId="13CB5741">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合同签订起7个工作日内支付合同款的50%，服务期满1年支付合同款的30%；服务期满后支付剩余20%。</w:t>
      </w:r>
    </w:p>
    <w:p w14:paraId="6E9E2D5A">
      <w:pPr>
        <w:numPr>
          <w:ilvl w:val="0"/>
          <w:numId w:val="8"/>
        </w:numPr>
        <w:snapToGrid w:val="0"/>
        <w:spacing w:line="360" w:lineRule="auto"/>
        <w:rPr>
          <w:rFonts w:hint="eastAsia" w:ascii="宋体" w:hAnsi="宋体" w:cs="宋体"/>
          <w:b/>
          <w:szCs w:val="21"/>
          <w:highlight w:val="none"/>
          <w:lang w:val="en-US" w:eastAsia="zh-CN"/>
        </w:rPr>
      </w:pPr>
      <w:r>
        <w:rPr>
          <w:rFonts w:hint="eastAsia" w:ascii="宋体" w:hAnsi="宋体" w:cs="宋体"/>
          <w:b/>
          <w:szCs w:val="21"/>
          <w:highlight w:val="none"/>
          <w:lang w:val="en-US" w:eastAsia="zh-CN"/>
        </w:rPr>
        <w:t>服务期和其他工作要求</w:t>
      </w:r>
    </w:p>
    <w:p w14:paraId="6C9ED7E3">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i w:val="0"/>
          <w:iCs w:val="0"/>
          <w:caps w:val="0"/>
          <w:color w:val="auto"/>
          <w:spacing w:val="0"/>
          <w:sz w:val="21"/>
          <w:szCs w:val="21"/>
          <w:highlight w:val="none"/>
          <w:shd w:val="clear" w:color="auto" w:fill="FFFFFF"/>
          <w:lang w:val="en-US" w:eastAsia="zh-CN"/>
        </w:rPr>
        <w:t>合同签订起2年。</w:t>
      </w:r>
      <w:r>
        <w:rPr>
          <w:rFonts w:hint="eastAsia" w:ascii="宋体" w:hAnsi="宋体" w:cs="宋体"/>
          <w:i w:val="0"/>
          <w:iCs w:val="0"/>
          <w:caps w:val="0"/>
          <w:color w:val="auto"/>
          <w:spacing w:val="0"/>
          <w:sz w:val="21"/>
          <w:szCs w:val="21"/>
          <w:highlight w:val="none"/>
          <w:shd w:val="clear" w:color="auto" w:fill="FFFFFF"/>
          <w:lang w:val="en-US" w:eastAsia="zh-CN"/>
        </w:rPr>
        <w:t>期满后</w:t>
      </w:r>
      <w:r>
        <w:rPr>
          <w:rFonts w:hint="eastAsia" w:ascii="宋体" w:hAnsi="宋体" w:eastAsia="宋体" w:cs="宋体"/>
          <w:color w:val="auto"/>
          <w:sz w:val="21"/>
          <w:szCs w:val="21"/>
          <w:lang w:val="en-US" w:eastAsia="zh-CN"/>
        </w:rPr>
        <w:t>对工作台账及照片、视频等资料进行归档整理，并移交区民政局</w:t>
      </w:r>
      <w:r>
        <w:rPr>
          <w:rFonts w:hint="eastAsia" w:ascii="宋体" w:hAnsi="宋体" w:cs="宋体"/>
          <w:color w:val="auto"/>
          <w:sz w:val="21"/>
          <w:szCs w:val="21"/>
          <w:lang w:val="en-US" w:eastAsia="zh-CN"/>
        </w:rPr>
        <w:t>。</w:t>
      </w:r>
    </w:p>
    <w:p w14:paraId="5B9334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highlight w:val="none"/>
          <w:shd w:val="clear" w:color="auto" w:fill="FFFFFF"/>
          <w:lang w:val="en-US" w:eastAsia="zh-CN"/>
        </w:rPr>
      </w:pPr>
    </w:p>
    <w:p w14:paraId="65D8062A">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p w14:paraId="317266E8">
      <w:pPr>
        <w:pageBreakBefore w:val="0"/>
        <w:kinsoku/>
        <w:overflowPunct/>
        <w:topLinePunct w:val="0"/>
        <w:bidi w:val="0"/>
        <w:adjustRightInd/>
        <w:spacing w:line="360" w:lineRule="auto"/>
        <w:jc w:val="center"/>
        <w:outlineLvl w:val="9"/>
        <w:rPr>
          <w:rFonts w:hint="eastAsia" w:ascii="宋体" w:hAnsi="宋体" w:eastAsia="宋体" w:cs="宋体"/>
          <w:b/>
          <w:color w:val="000000" w:themeColor="text1"/>
          <w:sz w:val="32"/>
          <w:szCs w:val="32"/>
          <w:highlight w:val="none"/>
          <w14:textFill>
            <w14:solidFill>
              <w14:schemeClr w14:val="tx1"/>
            </w14:solidFill>
          </w14:textFill>
        </w:rPr>
      </w:pPr>
    </w:p>
    <w:p w14:paraId="3A54BDE3">
      <w:pPr>
        <w:pageBreakBefore w:val="0"/>
        <w:kinsoku/>
        <w:overflowPunct/>
        <w:topLinePunct w:val="0"/>
        <w:bidi w:val="0"/>
        <w:adjustRightInd/>
        <w:spacing w:line="360" w:lineRule="auto"/>
        <w:jc w:val="both"/>
        <w:outlineLvl w:val="9"/>
        <w:rPr>
          <w:rFonts w:hint="eastAsia" w:ascii="宋体" w:hAnsi="宋体" w:eastAsia="宋体" w:cs="宋体"/>
          <w:b/>
          <w:color w:val="000000" w:themeColor="text1"/>
          <w:sz w:val="32"/>
          <w:szCs w:val="32"/>
          <w:highlight w:val="none"/>
          <w14:textFill>
            <w14:solidFill>
              <w14:schemeClr w14:val="tx1"/>
            </w14:solidFill>
          </w14:textFill>
        </w:rPr>
      </w:pPr>
    </w:p>
    <w:p w14:paraId="35BF88BB">
      <w:pPr>
        <w:pageBreakBefore w:val="0"/>
        <w:kinsoku/>
        <w:overflowPunct/>
        <w:topLinePunct w:val="0"/>
        <w:bidi w:val="0"/>
        <w:adjustRightInd/>
        <w:spacing w:line="360" w:lineRule="auto"/>
        <w:jc w:val="center"/>
        <w:outlineLvl w:val="9"/>
        <w:rPr>
          <w:rFonts w:hint="eastAsia" w:ascii="宋体" w:hAnsi="宋体" w:eastAsia="宋体" w:cs="宋体"/>
          <w:b/>
          <w:color w:val="000000" w:themeColor="text1"/>
          <w:sz w:val="32"/>
          <w:szCs w:val="32"/>
          <w:highlight w:val="none"/>
          <w14:textFill>
            <w14:solidFill>
              <w14:schemeClr w14:val="tx1"/>
            </w14:solidFill>
          </w14:textFill>
        </w:rPr>
      </w:pPr>
    </w:p>
    <w:p w14:paraId="523643D9">
      <w:pPr>
        <w:pageBreakBefore w:val="0"/>
        <w:kinsoku/>
        <w:overflowPunct/>
        <w:topLinePunct w:val="0"/>
        <w:bidi w:val="0"/>
        <w:adjustRightInd/>
        <w:spacing w:line="360" w:lineRule="auto"/>
        <w:jc w:val="center"/>
        <w:outlineLvl w:val="9"/>
        <w:rPr>
          <w:rFonts w:hint="eastAsia" w:ascii="宋体" w:hAnsi="宋体" w:eastAsia="宋体" w:cs="宋体"/>
          <w:b/>
          <w:color w:val="000000" w:themeColor="text1"/>
          <w:sz w:val="32"/>
          <w:szCs w:val="32"/>
          <w:highlight w:val="none"/>
          <w14:textFill>
            <w14:solidFill>
              <w14:schemeClr w14:val="tx1"/>
            </w14:solidFill>
          </w14:textFill>
        </w:rPr>
      </w:pPr>
    </w:p>
    <w:p w14:paraId="02127EA3">
      <w:pPr>
        <w:pageBreakBefore w:val="0"/>
        <w:kinsoku/>
        <w:overflowPunct/>
        <w:topLinePunct w:val="0"/>
        <w:bidi w:val="0"/>
        <w:adjustRightInd/>
        <w:spacing w:line="360" w:lineRule="auto"/>
        <w:jc w:val="center"/>
        <w:outlineLvl w:val="9"/>
        <w:rPr>
          <w:rFonts w:hint="eastAsia" w:ascii="宋体" w:hAnsi="宋体" w:eastAsia="宋体" w:cs="宋体"/>
          <w:b/>
          <w:color w:val="000000" w:themeColor="text1"/>
          <w:sz w:val="32"/>
          <w:szCs w:val="32"/>
          <w:highlight w:val="none"/>
          <w14:textFill>
            <w14:solidFill>
              <w14:schemeClr w14:val="tx1"/>
            </w14:solidFill>
          </w14:textFill>
        </w:rPr>
      </w:pPr>
    </w:p>
    <w:p w14:paraId="3C8DF4FD">
      <w:pPr>
        <w:pageBreakBefore w:val="0"/>
        <w:kinsoku/>
        <w:overflowPunct/>
        <w:topLinePunct w:val="0"/>
        <w:bidi w:val="0"/>
        <w:adjustRightInd/>
        <w:spacing w:line="360" w:lineRule="auto"/>
        <w:jc w:val="center"/>
        <w:outlineLvl w:val="9"/>
        <w:rPr>
          <w:rFonts w:hint="eastAsia" w:ascii="宋体" w:hAnsi="宋体" w:eastAsia="宋体" w:cs="宋体"/>
          <w:b/>
          <w:color w:val="000000" w:themeColor="text1"/>
          <w:sz w:val="32"/>
          <w:szCs w:val="32"/>
          <w:highlight w:val="none"/>
          <w14:textFill>
            <w14:solidFill>
              <w14:schemeClr w14:val="tx1"/>
            </w14:solidFill>
          </w14:textFill>
        </w:rPr>
      </w:pPr>
    </w:p>
    <w:p w14:paraId="49521348">
      <w:pPr>
        <w:pageBreakBefore w:val="0"/>
        <w:kinsoku/>
        <w:overflowPunct/>
        <w:topLinePunct w:val="0"/>
        <w:bidi w:val="0"/>
        <w:adjustRightInd/>
        <w:spacing w:line="360" w:lineRule="auto"/>
        <w:jc w:val="center"/>
        <w:outlineLvl w:val="9"/>
        <w:rPr>
          <w:rFonts w:hint="eastAsia" w:ascii="宋体" w:hAnsi="宋体" w:eastAsia="宋体" w:cs="宋体"/>
          <w:b/>
          <w:color w:val="000000" w:themeColor="text1"/>
          <w:sz w:val="32"/>
          <w:szCs w:val="32"/>
          <w:highlight w:val="none"/>
          <w14:textFill>
            <w14:solidFill>
              <w14:schemeClr w14:val="tx1"/>
            </w14:solidFill>
          </w14:textFill>
        </w:rPr>
      </w:pPr>
    </w:p>
    <w:p w14:paraId="6D798B54">
      <w:pPr>
        <w:pageBreakBefore w:val="0"/>
        <w:kinsoku/>
        <w:overflowPunct/>
        <w:topLinePunct w:val="0"/>
        <w:bidi w:val="0"/>
        <w:adjustRightInd/>
        <w:spacing w:line="360" w:lineRule="auto"/>
        <w:jc w:val="center"/>
        <w:outlineLvl w:val="9"/>
        <w:rPr>
          <w:rFonts w:hint="eastAsia" w:ascii="宋体" w:hAnsi="宋体" w:eastAsia="宋体" w:cs="宋体"/>
          <w:b/>
          <w:color w:val="000000" w:themeColor="text1"/>
          <w:sz w:val="32"/>
          <w:szCs w:val="32"/>
          <w:highlight w:val="none"/>
          <w14:textFill>
            <w14:solidFill>
              <w14:schemeClr w14:val="tx1"/>
            </w14:solidFill>
          </w14:textFill>
        </w:rPr>
      </w:pPr>
    </w:p>
    <w:p w14:paraId="3FAC74DD">
      <w:pPr>
        <w:pageBreakBefore w:val="0"/>
        <w:kinsoku/>
        <w:overflowPunct/>
        <w:topLinePunct w:val="0"/>
        <w:bidi w:val="0"/>
        <w:adjustRightInd/>
        <w:spacing w:line="360" w:lineRule="auto"/>
        <w:jc w:val="center"/>
        <w:outlineLvl w:val="9"/>
        <w:rPr>
          <w:rFonts w:hint="eastAsia" w:ascii="宋体" w:hAnsi="宋体" w:eastAsia="宋体" w:cs="宋体"/>
          <w:b/>
          <w:color w:val="000000" w:themeColor="text1"/>
          <w:sz w:val="32"/>
          <w:szCs w:val="32"/>
          <w:highlight w:val="none"/>
          <w14:textFill>
            <w14:solidFill>
              <w14:schemeClr w14:val="tx1"/>
            </w14:solidFill>
          </w14:textFill>
        </w:rPr>
      </w:pPr>
    </w:p>
    <w:p w14:paraId="247A5772">
      <w:pPr>
        <w:pageBreakBefore w:val="0"/>
        <w:kinsoku/>
        <w:overflowPunct/>
        <w:topLinePunct w:val="0"/>
        <w:bidi w:val="0"/>
        <w:adjustRightInd/>
        <w:spacing w:line="360" w:lineRule="auto"/>
        <w:jc w:val="center"/>
        <w:outlineLvl w:val="9"/>
        <w:rPr>
          <w:rFonts w:hint="eastAsia" w:ascii="宋体" w:hAnsi="宋体" w:eastAsia="宋体" w:cs="宋体"/>
          <w:b/>
          <w:color w:val="000000" w:themeColor="text1"/>
          <w:sz w:val="32"/>
          <w:szCs w:val="32"/>
          <w:highlight w:val="none"/>
          <w14:textFill>
            <w14:solidFill>
              <w14:schemeClr w14:val="tx1"/>
            </w14:solidFill>
          </w14:textFill>
        </w:rPr>
      </w:pPr>
    </w:p>
    <w:p w14:paraId="0245E33B">
      <w:pPr>
        <w:pageBreakBefore w:val="0"/>
        <w:kinsoku/>
        <w:overflowPunct/>
        <w:topLinePunct w:val="0"/>
        <w:bidi w:val="0"/>
        <w:adjustRightInd/>
        <w:spacing w:line="360" w:lineRule="auto"/>
        <w:jc w:val="center"/>
        <w:outlineLvl w:val="9"/>
        <w:rPr>
          <w:rFonts w:hint="eastAsia" w:ascii="宋体" w:hAnsi="宋体" w:eastAsia="宋体" w:cs="宋体"/>
          <w:b/>
          <w:color w:val="000000" w:themeColor="text1"/>
          <w:sz w:val="32"/>
          <w:szCs w:val="32"/>
          <w:highlight w:val="none"/>
          <w14:textFill>
            <w14:solidFill>
              <w14:schemeClr w14:val="tx1"/>
            </w14:solidFill>
          </w14:textFill>
        </w:rPr>
      </w:pPr>
    </w:p>
    <w:p w14:paraId="1F50C9EA">
      <w:pPr>
        <w:pageBreakBefore w:val="0"/>
        <w:kinsoku/>
        <w:overflowPunct/>
        <w:topLinePunct w:val="0"/>
        <w:bidi w:val="0"/>
        <w:adjustRightInd/>
        <w:spacing w:line="360" w:lineRule="auto"/>
        <w:jc w:val="center"/>
        <w:outlineLvl w:val="9"/>
        <w:rPr>
          <w:rFonts w:hint="eastAsia" w:ascii="宋体" w:hAnsi="宋体" w:eastAsia="宋体" w:cs="宋体"/>
          <w:b/>
          <w:color w:val="000000" w:themeColor="text1"/>
          <w:sz w:val="32"/>
          <w:szCs w:val="32"/>
          <w:highlight w:val="none"/>
          <w14:textFill>
            <w14:solidFill>
              <w14:schemeClr w14:val="tx1"/>
            </w14:solidFill>
          </w14:textFill>
        </w:rPr>
      </w:pPr>
    </w:p>
    <w:p w14:paraId="0CC50615">
      <w:pPr>
        <w:pageBreakBefore w:val="0"/>
        <w:kinsoku/>
        <w:overflowPunct/>
        <w:topLinePunct w:val="0"/>
        <w:bidi w:val="0"/>
        <w:adjustRightInd/>
        <w:spacing w:line="360" w:lineRule="auto"/>
        <w:jc w:val="center"/>
        <w:outlineLvl w:val="9"/>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 xml:space="preserve">第五部分  </w:t>
      </w:r>
      <w:bookmarkEnd w:id="51"/>
      <w:bookmarkEnd w:id="52"/>
      <w:bookmarkStart w:id="54" w:name="第四部分"/>
      <w:r>
        <w:rPr>
          <w:rFonts w:hint="eastAsia" w:ascii="宋体" w:hAnsi="宋体" w:eastAsia="宋体" w:cs="宋体"/>
          <w:b/>
          <w:color w:val="000000" w:themeColor="text1"/>
          <w:sz w:val="32"/>
          <w:szCs w:val="32"/>
          <w:highlight w:val="none"/>
          <w14:textFill>
            <w14:solidFill>
              <w14:schemeClr w14:val="tx1"/>
            </w14:solidFill>
          </w14:textFill>
        </w:rPr>
        <w:t>评审方法及评审标准</w:t>
      </w:r>
    </w:p>
    <w:p w14:paraId="598FF86F">
      <w:pPr>
        <w:pageBreakBefore w:val="0"/>
        <w:kinsoku/>
        <w:overflowPunct/>
        <w:topLinePunct w:val="0"/>
        <w:bidi w:val="0"/>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一、评标方法</w:t>
      </w:r>
    </w:p>
    <w:p w14:paraId="7657B592">
      <w:pPr>
        <w:pageBreakBefore w:val="0"/>
        <w:kinsoku/>
        <w:overflowPunct/>
        <w:topLinePunct w:val="0"/>
        <w:bidi w:val="0"/>
        <w:adjustRightInd/>
        <w:spacing w:line="360" w:lineRule="auto"/>
        <w:ind w:firstLine="413" w:firstLineChars="196"/>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1.本项目采用综合评分法。</w:t>
      </w:r>
      <w:r>
        <w:rPr>
          <w:rFonts w:hint="eastAsia" w:ascii="宋体" w:hAnsi="宋体" w:eastAsia="宋体" w:cs="宋体"/>
          <w:color w:val="000000" w:themeColor="text1"/>
          <w:szCs w:val="21"/>
          <w:highlight w:val="none"/>
          <w14:textFill>
            <w14:solidFill>
              <w14:schemeClr w14:val="tx1"/>
            </w14:solidFill>
          </w14:textFill>
        </w:rPr>
        <w:t>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供应商，排名第二的供应商为候补中标供应商，其他供应商中标候选资格依此类推。中标供应商拒绝与采购人签订合同的，采购人可以按照评审报告推荐的中标供应商名单顺序，确定下一候选人为中标供应商，也可以重新开展政府采购活动。评分过程中采用四舍五入法，并保留小数2位。</w:t>
      </w:r>
    </w:p>
    <w:p w14:paraId="7AE89745">
      <w:pPr>
        <w:pageBreakBefore w:val="0"/>
        <w:kinsoku/>
        <w:overflowPunct/>
        <w:topLinePunct w:val="0"/>
        <w:bidi w:val="0"/>
        <w:adjustRightInd/>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二、评标标准</w:t>
      </w:r>
    </w:p>
    <w:p w14:paraId="09E8229A">
      <w:pPr>
        <w:pStyle w:val="27"/>
        <w:pageBreakBefore w:val="0"/>
        <w:kinsoku/>
        <w:overflowPunct/>
        <w:topLinePunct w:val="0"/>
        <w:bidi w:val="0"/>
        <w:spacing w:beforeLines="50" w:afterLines="50" w:line="360" w:lineRule="auto"/>
        <w:ind w:firstLine="422"/>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2.1</w:t>
      </w:r>
      <w:r>
        <w:rPr>
          <w:rFonts w:hint="eastAsia" w:ascii="宋体" w:hAnsi="宋体" w:eastAsia="宋体" w:cs="宋体"/>
          <w:b/>
          <w:bCs/>
          <w:color w:val="000000" w:themeColor="text1"/>
          <w:sz w:val="21"/>
          <w:szCs w:val="21"/>
          <w:highlight w:val="none"/>
          <w14:textFill>
            <w14:solidFill>
              <w14:schemeClr w14:val="tx1"/>
            </w14:solidFill>
          </w14:textFill>
        </w:rPr>
        <w:t>价格分（</w:t>
      </w:r>
      <w:r>
        <w:rPr>
          <w:rFonts w:hint="eastAsia" w:cs="宋体"/>
          <w:b/>
          <w:bCs/>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bCs/>
          <w:color w:val="000000" w:themeColor="text1"/>
          <w:sz w:val="21"/>
          <w:szCs w:val="21"/>
          <w:highlight w:val="none"/>
          <w14:textFill>
            <w14:solidFill>
              <w14:schemeClr w14:val="tx1"/>
            </w14:solidFill>
          </w14:textFill>
        </w:rPr>
        <w:t>分）</w:t>
      </w:r>
    </w:p>
    <w:p w14:paraId="7960DE5A">
      <w:pPr>
        <w:pStyle w:val="27"/>
        <w:pageBreakBefore w:val="0"/>
        <w:kinsoku/>
        <w:overflowPunct/>
        <w:topLinePunct w:val="0"/>
        <w:bidi w:val="0"/>
        <w:spacing w:beforeLines="50" w:afterLines="50" w:line="360" w:lineRule="auto"/>
        <w:ind w:firstLine="42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1.价格分采用低价优先法计算，即满足招标文件要求且投标价格最低的投标报价为评标基准价，其他供应商的价格分按照下列公式计算：</w:t>
      </w:r>
    </w:p>
    <w:p w14:paraId="37A4AF4A">
      <w:pPr>
        <w:pageBreakBefore w:val="0"/>
        <w:kinsoku/>
        <w:overflowPunct/>
        <w:topLinePunct w:val="0"/>
        <w:bidi w:val="0"/>
        <w:spacing w:beforeLines="50" w:afterLines="50"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价格分=（评标基准价/投标报价）×</w:t>
      </w:r>
      <w:r>
        <w:rPr>
          <w:rFonts w:hint="eastAsia" w:ascii="宋体" w:hAnsi="宋体" w:cs="宋体"/>
          <w:b/>
          <w:bCs/>
          <w:color w:val="000000" w:themeColor="text1"/>
          <w:szCs w:val="21"/>
          <w:highlight w:val="none"/>
          <w:lang w:val="en-US" w:eastAsia="zh-CN"/>
          <w14:textFill>
            <w14:solidFill>
              <w14:schemeClr w14:val="tx1"/>
            </w14:solidFill>
          </w14:textFill>
        </w:rPr>
        <w:t>10</w:t>
      </w:r>
      <w:r>
        <w:rPr>
          <w:rFonts w:hint="eastAsia" w:ascii="宋体" w:hAnsi="宋体" w:eastAsia="宋体" w:cs="宋体"/>
          <w:b/>
          <w:bCs/>
          <w:color w:val="000000" w:themeColor="text1"/>
          <w:szCs w:val="21"/>
          <w:highlight w:val="none"/>
          <w14:textFill>
            <w14:solidFill>
              <w14:schemeClr w14:val="tx1"/>
            </w14:solidFill>
          </w14:textFill>
        </w:rPr>
        <w:t>%×100</w:t>
      </w:r>
    </w:p>
    <w:p w14:paraId="434EE305">
      <w:pPr>
        <w:pStyle w:val="27"/>
        <w:pageBreakBefore w:val="0"/>
        <w:kinsoku/>
        <w:overflowPunct/>
        <w:topLinePunct w:val="0"/>
        <w:bidi w:val="0"/>
        <w:spacing w:beforeLines="50" w:afterLines="50" w:line="360" w:lineRule="auto"/>
        <w:ind w:firstLine="420"/>
        <w:rPr>
          <w:rFonts w:hint="eastAsia" w:ascii="宋体" w:hAnsi="宋体" w:eastAsia="宋体"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14:textFill>
            <w14:solidFill>
              <w14:schemeClr w14:val="tx1"/>
            </w14:solidFill>
          </w14:textFill>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1CB3B138">
      <w:pPr>
        <w:pStyle w:val="5"/>
        <w:pageBreakBefore w:val="0"/>
        <w:numPr>
          <w:ilvl w:val="0"/>
          <w:numId w:val="0"/>
        </w:numPr>
        <w:kinsoku/>
        <w:overflowPunct/>
        <w:topLinePunct w:val="0"/>
        <w:bidi w:val="0"/>
        <w:spacing w:line="360" w:lineRule="auto"/>
        <w:ind w:firstLine="422"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14:textFill>
            <w14:solidFill>
              <w14:schemeClr w14:val="tx1"/>
            </w14:solidFill>
          </w14:textFill>
        </w:rPr>
        <w:t>2.2商务资信技术分（</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90</w:t>
      </w:r>
      <w:r>
        <w:rPr>
          <w:rFonts w:hint="eastAsia" w:ascii="宋体" w:hAnsi="宋体" w:eastAsia="宋体" w:cs="宋体"/>
          <w:b/>
          <w:bCs/>
          <w:color w:val="000000" w:themeColor="text1"/>
          <w:kern w:val="0"/>
          <w:sz w:val="21"/>
          <w:szCs w:val="21"/>
          <w:highlight w:val="none"/>
          <w:lang w:val="en-US"/>
          <w14:textFill>
            <w14:solidFill>
              <w14:schemeClr w14:val="tx1"/>
            </w14:solidFill>
          </w14:textFill>
        </w:rPr>
        <w:t xml:space="preserve">分） </w:t>
      </w:r>
    </w:p>
    <w:tbl>
      <w:tblPr>
        <w:tblStyle w:val="62"/>
        <w:tblW w:w="10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993"/>
        <w:gridCol w:w="1506"/>
        <w:gridCol w:w="6231"/>
        <w:gridCol w:w="956"/>
      </w:tblGrid>
      <w:tr w14:paraId="6516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3" w:type="dxa"/>
            <w:noWrap w:val="0"/>
            <w:vAlign w:val="center"/>
          </w:tcPr>
          <w:p w14:paraId="4D1C87E5">
            <w:pPr>
              <w:pageBreakBefore w:val="0"/>
              <w:kinsoku/>
              <w:overflowPunct/>
              <w:topLinePunct w:val="0"/>
              <w:bidi w:val="0"/>
              <w:spacing w:before="100" w:beforeAutospacing="1" w:after="100" w:afterAutospacing="1"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993" w:type="dxa"/>
            <w:noWrap w:val="0"/>
            <w:vAlign w:val="center"/>
          </w:tcPr>
          <w:p w14:paraId="69A2DBF5">
            <w:pPr>
              <w:pageBreakBefore w:val="0"/>
              <w:kinsoku/>
              <w:overflowPunct/>
              <w:topLinePunct w:val="0"/>
              <w:bidi w:val="0"/>
              <w:spacing w:before="100" w:beforeAutospacing="1" w:after="100" w:afterAutospacing="1"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分项</w:t>
            </w:r>
          </w:p>
        </w:tc>
        <w:tc>
          <w:tcPr>
            <w:tcW w:w="1506" w:type="dxa"/>
            <w:noWrap w:val="0"/>
            <w:vAlign w:val="center"/>
          </w:tcPr>
          <w:p w14:paraId="0F33DB40">
            <w:pPr>
              <w:pageBreakBefore w:val="0"/>
              <w:kinsoku/>
              <w:overflowPunct/>
              <w:topLinePunct w:val="0"/>
              <w:bidi w:val="0"/>
              <w:spacing w:before="100" w:beforeAutospacing="1" w:after="100" w:afterAutospacing="1"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评分内容</w:t>
            </w:r>
          </w:p>
        </w:tc>
        <w:tc>
          <w:tcPr>
            <w:tcW w:w="6231" w:type="dxa"/>
            <w:noWrap w:val="0"/>
            <w:vAlign w:val="center"/>
          </w:tcPr>
          <w:p w14:paraId="2D091584">
            <w:pPr>
              <w:pageBreakBefore w:val="0"/>
              <w:kinsoku/>
              <w:overflowPunct/>
              <w:topLinePunct w:val="0"/>
              <w:bidi w:val="0"/>
              <w:spacing w:before="100" w:beforeAutospacing="1" w:after="100" w:afterAutospacing="1" w:line="360" w:lineRule="auto"/>
              <w:ind w:left="65" w:leftChars="-207" w:hanging="500" w:hangingChars="237"/>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评分方法</w:t>
            </w:r>
          </w:p>
        </w:tc>
        <w:tc>
          <w:tcPr>
            <w:tcW w:w="956" w:type="dxa"/>
            <w:noWrap w:val="0"/>
            <w:vAlign w:val="center"/>
          </w:tcPr>
          <w:p w14:paraId="5F5AE9DB">
            <w:pPr>
              <w:pageBreakBefore w:val="0"/>
              <w:kinsoku/>
              <w:overflowPunct/>
              <w:topLinePunct w:val="0"/>
              <w:bidi w:val="0"/>
              <w:spacing w:before="100" w:beforeAutospacing="1" w:after="100" w:afterAutospacing="1"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14:paraId="2015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33" w:type="dxa"/>
            <w:noWrap w:val="0"/>
            <w:vAlign w:val="center"/>
          </w:tcPr>
          <w:p w14:paraId="2A071D27">
            <w:pPr>
              <w:pageBreakBefore w:val="0"/>
              <w:kinsoku/>
              <w:overflowPunct/>
              <w:topLinePunct w:val="0"/>
              <w:bidi w:val="0"/>
              <w:spacing w:before="100" w:beforeAutospacing="1" w:after="100" w:afterAutospacing="1"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993" w:type="dxa"/>
            <w:vMerge w:val="restart"/>
            <w:noWrap w:val="0"/>
            <w:vAlign w:val="center"/>
          </w:tcPr>
          <w:p w14:paraId="08347648">
            <w:pPr>
              <w:pageBreakBefore w:val="0"/>
              <w:kinsoku/>
              <w:overflowPunct/>
              <w:topLinePunct w:val="0"/>
              <w:bidi w:val="0"/>
              <w:snapToGrid w:val="0"/>
              <w:spacing w:line="360" w:lineRule="auto"/>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商务</w:t>
            </w:r>
          </w:p>
          <w:p w14:paraId="60936CB3">
            <w:pPr>
              <w:pageBreakBefore w:val="0"/>
              <w:kinsoku/>
              <w:overflowPunct/>
              <w:topLinePunct w:val="0"/>
              <w:bidi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资信分</w:t>
            </w:r>
          </w:p>
          <w:p w14:paraId="1C43179B">
            <w:pPr>
              <w:pageBreakBefore w:val="0"/>
              <w:kinsoku/>
              <w:overflowPunct/>
              <w:topLinePunct w:val="0"/>
              <w:bidi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rPr>
              <w:t>分</w:t>
            </w:r>
          </w:p>
          <w:p w14:paraId="0B51817A">
            <w:pPr>
              <w:pageBreakBefore w:val="0"/>
              <w:kinsoku/>
              <w:overflowPunct/>
              <w:topLinePunct w:val="0"/>
              <w:bidi w:val="0"/>
              <w:snapToGrid w:val="0"/>
              <w:spacing w:line="360" w:lineRule="auto"/>
              <w:jc w:val="center"/>
              <w:rPr>
                <w:rFonts w:hint="eastAsia" w:ascii="宋体" w:hAnsi="宋体" w:eastAsia="宋体" w:cs="宋体"/>
                <w:color w:val="auto"/>
                <w:sz w:val="21"/>
                <w:szCs w:val="21"/>
                <w:highlight w:val="none"/>
              </w:rPr>
            </w:pPr>
          </w:p>
        </w:tc>
        <w:tc>
          <w:tcPr>
            <w:tcW w:w="1506" w:type="dxa"/>
            <w:noWrap w:val="0"/>
            <w:vAlign w:val="center"/>
          </w:tcPr>
          <w:p w14:paraId="6634C0D4">
            <w:pPr>
              <w:pageBreakBefore w:val="0"/>
              <w:kinsoku/>
              <w:overflowPunct/>
              <w:topLinePunct w:val="0"/>
              <w:bidi w:val="0"/>
              <w:spacing w:after="60" w:afterLines="25"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业绩</w:t>
            </w:r>
          </w:p>
        </w:tc>
        <w:tc>
          <w:tcPr>
            <w:tcW w:w="6231" w:type="dxa"/>
            <w:noWrap w:val="0"/>
            <w:vAlign w:val="center"/>
          </w:tcPr>
          <w:p w14:paraId="143FE50E">
            <w:pPr>
              <w:pageBreakBefore w:val="0"/>
              <w:kinsoku/>
              <w:overflowPunct/>
              <w:topLinePunct w:val="0"/>
              <w:bidi w:val="0"/>
              <w:spacing w:after="60" w:afterLines="25"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年1月1日以来（以合同签订时间为准），供应商独立承担过同类型项目的每提供1份合同得0.5分，本项最高得1分。（</w:t>
            </w:r>
            <w:r>
              <w:rPr>
                <w:rFonts w:hint="eastAsia" w:ascii="宋体" w:hAnsi="宋体" w:eastAsia="宋体" w:cs="宋体"/>
                <w:color w:val="auto"/>
                <w:sz w:val="21"/>
                <w:szCs w:val="21"/>
                <w:highlight w:val="none"/>
                <w:lang w:val="en-US" w:eastAsia="zh-CN"/>
              </w:rPr>
              <w:t>0-1分</w:t>
            </w:r>
            <w:r>
              <w:rPr>
                <w:rFonts w:hint="eastAsia" w:ascii="宋体" w:hAnsi="宋体" w:eastAsia="宋体" w:cs="宋体"/>
                <w:color w:val="auto"/>
                <w:sz w:val="21"/>
                <w:szCs w:val="21"/>
                <w:highlight w:val="none"/>
                <w:lang w:val="zh-CN"/>
              </w:rPr>
              <w:t>）</w:t>
            </w:r>
          </w:p>
          <w:p w14:paraId="32DD72B8">
            <w:pPr>
              <w:pageBreakBefore w:val="0"/>
              <w:kinsoku/>
              <w:overflowPunct/>
              <w:topLinePunct w:val="0"/>
              <w:bidi w:val="0"/>
              <w:spacing w:after="60" w:afterLines="25"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zh-CN"/>
              </w:rPr>
              <w:t>注：</w:t>
            </w:r>
            <w:r>
              <w:rPr>
                <w:rFonts w:hint="eastAsia" w:ascii="宋体" w:hAnsi="宋体" w:eastAsia="宋体" w:cs="宋体"/>
                <w:b/>
                <w:bCs/>
                <w:color w:val="auto"/>
                <w:sz w:val="21"/>
                <w:szCs w:val="21"/>
                <w:highlight w:val="none"/>
                <w:lang w:val="en-US" w:eastAsia="zh-CN"/>
              </w:rPr>
              <w:t>提供</w:t>
            </w:r>
            <w:r>
              <w:rPr>
                <w:rFonts w:hint="eastAsia" w:ascii="宋体" w:hAnsi="宋体" w:eastAsia="宋体" w:cs="宋体"/>
                <w:b/>
                <w:bCs/>
                <w:color w:val="auto"/>
                <w:sz w:val="21"/>
                <w:szCs w:val="21"/>
                <w:highlight w:val="none"/>
                <w:lang w:val="zh-CN"/>
              </w:rPr>
              <w:t>合同复印件并加盖</w:t>
            </w:r>
            <w:r>
              <w:rPr>
                <w:rFonts w:hint="eastAsia" w:ascii="宋体" w:hAnsi="宋体" w:eastAsia="宋体" w:cs="宋体"/>
                <w:b/>
                <w:bCs/>
                <w:color w:val="auto"/>
                <w:sz w:val="21"/>
                <w:szCs w:val="21"/>
                <w:highlight w:val="none"/>
                <w:lang w:val="en-US" w:eastAsia="zh-CN"/>
              </w:rPr>
              <w:t>电子公章</w:t>
            </w:r>
            <w:r>
              <w:rPr>
                <w:rFonts w:hint="eastAsia" w:ascii="宋体" w:hAnsi="宋体" w:eastAsia="宋体" w:cs="宋体"/>
                <w:b/>
                <w:bCs/>
                <w:color w:val="auto"/>
                <w:sz w:val="21"/>
                <w:szCs w:val="21"/>
                <w:highlight w:val="none"/>
                <w:lang w:val="zh-CN"/>
              </w:rPr>
              <w:t>。</w:t>
            </w:r>
          </w:p>
        </w:tc>
        <w:tc>
          <w:tcPr>
            <w:tcW w:w="956" w:type="dxa"/>
            <w:noWrap w:val="0"/>
            <w:vAlign w:val="center"/>
          </w:tcPr>
          <w:p w14:paraId="616F6E92">
            <w:pPr>
              <w:pageBreakBefore w:val="0"/>
              <w:kinsoku/>
              <w:overflowPunct/>
              <w:topLinePunct w:val="0"/>
              <w:bidi w:val="0"/>
              <w:spacing w:after="60" w:afterLines="25"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p>
        </w:tc>
      </w:tr>
      <w:tr w14:paraId="4593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33" w:type="dxa"/>
            <w:noWrap w:val="0"/>
            <w:vAlign w:val="center"/>
          </w:tcPr>
          <w:p w14:paraId="05B42726">
            <w:pPr>
              <w:pageBreakBefore w:val="0"/>
              <w:kinsoku/>
              <w:overflowPunct/>
              <w:topLinePunct w:val="0"/>
              <w:bidi w:val="0"/>
              <w:spacing w:before="100" w:beforeAutospacing="1" w:after="100" w:afterAutospacing="1"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993" w:type="dxa"/>
            <w:vMerge w:val="continue"/>
            <w:noWrap w:val="0"/>
            <w:vAlign w:val="center"/>
          </w:tcPr>
          <w:p w14:paraId="59F83BF1">
            <w:pPr>
              <w:pageBreakBefore w:val="0"/>
              <w:kinsoku/>
              <w:overflowPunct/>
              <w:topLinePunct w:val="0"/>
              <w:bidi w:val="0"/>
              <w:snapToGrid w:val="0"/>
              <w:spacing w:line="360" w:lineRule="auto"/>
              <w:jc w:val="center"/>
              <w:rPr>
                <w:rFonts w:hint="eastAsia" w:ascii="宋体" w:hAnsi="宋体" w:eastAsia="宋体" w:cs="宋体"/>
                <w:color w:val="auto"/>
                <w:sz w:val="21"/>
                <w:szCs w:val="21"/>
                <w:highlight w:val="none"/>
              </w:rPr>
            </w:pPr>
          </w:p>
        </w:tc>
        <w:tc>
          <w:tcPr>
            <w:tcW w:w="1506" w:type="dxa"/>
            <w:vMerge w:val="restart"/>
            <w:noWrap w:val="0"/>
            <w:vAlign w:val="center"/>
          </w:tcPr>
          <w:p w14:paraId="52DB046B">
            <w:pPr>
              <w:pageBreakBefore w:val="0"/>
              <w:kinsoku/>
              <w:overflowPunct/>
              <w:topLinePunct w:val="0"/>
              <w:bidi w:val="0"/>
              <w:spacing w:after="60" w:afterLines="25"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人员证书</w:t>
            </w:r>
          </w:p>
        </w:tc>
        <w:tc>
          <w:tcPr>
            <w:tcW w:w="6231" w:type="dxa"/>
            <w:noWrap w:val="0"/>
            <w:vAlign w:val="center"/>
          </w:tcPr>
          <w:p w14:paraId="58480948">
            <w:pPr>
              <w:pageBreakBefore w:val="0"/>
              <w:kinsoku/>
              <w:overflowPunct/>
              <w:topLinePunct w:val="0"/>
              <w:bidi w:val="0"/>
              <w:spacing w:after="60" w:afterLines="25" w:line="36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项目负责人具有中级社会工作师证书</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b/>
                <w:bCs/>
                <w:color w:val="auto"/>
                <w:sz w:val="21"/>
                <w:szCs w:val="21"/>
                <w:highlight w:val="none"/>
                <w:lang w:val="zh-CN"/>
              </w:rPr>
              <w:t>注：提供人员证书复印件</w:t>
            </w:r>
            <w:r>
              <w:rPr>
                <w:rFonts w:hint="eastAsia" w:ascii="宋体" w:hAnsi="宋体" w:eastAsia="宋体" w:cs="宋体"/>
                <w:b/>
                <w:bCs/>
                <w:color w:val="auto"/>
                <w:sz w:val="21"/>
                <w:szCs w:val="21"/>
                <w:highlight w:val="none"/>
                <w:lang w:val="en-US" w:eastAsia="zh-CN"/>
              </w:rPr>
              <w:t>及</w:t>
            </w:r>
            <w:r>
              <w:rPr>
                <w:rFonts w:hint="eastAsia" w:ascii="宋体" w:hAnsi="宋体" w:eastAsia="宋体" w:cs="宋体"/>
                <w:b/>
                <w:bCs/>
                <w:color w:val="auto"/>
                <w:sz w:val="21"/>
                <w:szCs w:val="21"/>
                <w:highlight w:val="none"/>
                <w:lang w:val="zh-CN"/>
              </w:rPr>
              <w:t>投标人为其缴纳的距开标日前三个月中任一个月的社保证明。</w:t>
            </w:r>
          </w:p>
        </w:tc>
        <w:tc>
          <w:tcPr>
            <w:tcW w:w="956" w:type="dxa"/>
            <w:vMerge w:val="restart"/>
            <w:noWrap w:val="0"/>
            <w:vAlign w:val="center"/>
          </w:tcPr>
          <w:p w14:paraId="13EFA137">
            <w:pPr>
              <w:pageBreakBefore w:val="0"/>
              <w:kinsoku/>
              <w:overflowPunct/>
              <w:topLinePunct w:val="0"/>
              <w:bidi w:val="0"/>
              <w:spacing w:after="60" w:afterLines="25"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r>
      <w:tr w14:paraId="5E10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33" w:type="dxa"/>
            <w:noWrap w:val="0"/>
            <w:vAlign w:val="center"/>
          </w:tcPr>
          <w:p w14:paraId="3C583B93">
            <w:pPr>
              <w:pageBreakBefore w:val="0"/>
              <w:kinsoku/>
              <w:overflowPunct/>
              <w:topLinePunct w:val="0"/>
              <w:bidi w:val="0"/>
              <w:spacing w:before="100" w:beforeAutospacing="1" w:after="100" w:afterAutospacing="1"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993" w:type="dxa"/>
            <w:vMerge w:val="continue"/>
            <w:noWrap w:val="0"/>
            <w:vAlign w:val="center"/>
          </w:tcPr>
          <w:p w14:paraId="5E315744">
            <w:pPr>
              <w:pageBreakBefore w:val="0"/>
              <w:kinsoku/>
              <w:overflowPunct/>
              <w:topLinePunct w:val="0"/>
              <w:bidi w:val="0"/>
              <w:snapToGrid w:val="0"/>
              <w:spacing w:line="360" w:lineRule="auto"/>
              <w:jc w:val="center"/>
              <w:rPr>
                <w:rFonts w:hint="eastAsia" w:ascii="宋体" w:hAnsi="宋体" w:eastAsia="宋体" w:cs="宋体"/>
                <w:color w:val="auto"/>
                <w:sz w:val="21"/>
                <w:szCs w:val="21"/>
                <w:highlight w:val="none"/>
              </w:rPr>
            </w:pPr>
          </w:p>
        </w:tc>
        <w:tc>
          <w:tcPr>
            <w:tcW w:w="1506" w:type="dxa"/>
            <w:vMerge w:val="continue"/>
            <w:noWrap w:val="0"/>
            <w:vAlign w:val="center"/>
          </w:tcPr>
          <w:p w14:paraId="73FF5FFD">
            <w:pPr>
              <w:pageBreakBefore w:val="0"/>
              <w:kinsoku/>
              <w:overflowPunct/>
              <w:topLinePunct w:val="0"/>
              <w:bidi w:val="0"/>
              <w:spacing w:after="60" w:afterLines="25" w:line="360" w:lineRule="auto"/>
              <w:jc w:val="center"/>
              <w:rPr>
                <w:rFonts w:hint="eastAsia" w:ascii="宋体" w:hAnsi="宋体" w:eastAsia="宋体" w:cs="宋体"/>
                <w:color w:val="auto"/>
                <w:sz w:val="21"/>
                <w:szCs w:val="21"/>
                <w:highlight w:val="none"/>
                <w:lang w:val="en-US" w:eastAsia="zh-CN"/>
              </w:rPr>
            </w:pPr>
          </w:p>
        </w:tc>
        <w:tc>
          <w:tcPr>
            <w:tcW w:w="6231" w:type="dxa"/>
            <w:noWrap w:val="0"/>
            <w:vAlign w:val="center"/>
          </w:tcPr>
          <w:p w14:paraId="044FE4B3">
            <w:pPr>
              <w:pageBreakBefore w:val="0"/>
              <w:kinsoku/>
              <w:overflowPunct/>
              <w:topLinePunct w:val="0"/>
              <w:bidi w:val="0"/>
              <w:spacing w:after="60" w:afterLines="25"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项目组成员具有社工证</w:t>
            </w:r>
            <w:r>
              <w:rPr>
                <w:rFonts w:hint="eastAsia" w:ascii="宋体" w:hAnsi="宋体" w:cs="宋体"/>
                <w:color w:val="auto"/>
                <w:sz w:val="21"/>
                <w:szCs w:val="21"/>
                <w:highlight w:val="none"/>
                <w:lang w:val="en-US" w:eastAsia="zh-CN"/>
              </w:rPr>
              <w:t>的每人</w:t>
            </w:r>
            <w:r>
              <w:rPr>
                <w:rFonts w:hint="eastAsia" w:ascii="宋体" w:hAnsi="宋体" w:eastAsia="宋体" w:cs="宋体"/>
                <w:color w:val="auto"/>
                <w:sz w:val="21"/>
                <w:szCs w:val="21"/>
                <w:highlight w:val="none"/>
                <w:lang w:val="en-US" w:eastAsia="zh-CN"/>
              </w:rPr>
              <w:t>得1分，最高</w:t>
            </w:r>
            <w:r>
              <w:rPr>
                <w:rFonts w:hint="eastAsia" w:ascii="宋体" w:hAnsi="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3分</w:t>
            </w:r>
            <w:r>
              <w:rPr>
                <w:rFonts w:hint="eastAsia" w:ascii="宋体" w:hAnsi="宋体" w:eastAsia="宋体" w:cs="宋体"/>
                <w:color w:val="auto"/>
                <w:sz w:val="21"/>
                <w:szCs w:val="21"/>
                <w:highlight w:val="none"/>
                <w:lang w:val="zh-CN"/>
              </w:rPr>
              <w:t>。</w:t>
            </w:r>
          </w:p>
          <w:p w14:paraId="08CD9D2D">
            <w:pPr>
              <w:pageBreakBefore w:val="0"/>
              <w:kinsoku/>
              <w:overflowPunct/>
              <w:topLinePunct w:val="0"/>
              <w:bidi w:val="0"/>
              <w:spacing w:after="60" w:afterLines="25" w:line="360" w:lineRule="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注：提供人员证书复印件</w:t>
            </w:r>
            <w:r>
              <w:rPr>
                <w:rFonts w:hint="eastAsia" w:ascii="宋体" w:hAnsi="宋体" w:eastAsia="宋体" w:cs="宋体"/>
                <w:b/>
                <w:bCs/>
                <w:color w:val="auto"/>
                <w:sz w:val="21"/>
                <w:szCs w:val="21"/>
                <w:highlight w:val="none"/>
                <w:lang w:val="en-US" w:eastAsia="zh-CN"/>
              </w:rPr>
              <w:t>及</w:t>
            </w:r>
            <w:r>
              <w:rPr>
                <w:rFonts w:hint="eastAsia" w:ascii="宋体" w:hAnsi="宋体" w:eastAsia="宋体" w:cs="宋体"/>
                <w:b/>
                <w:bCs/>
                <w:color w:val="auto"/>
                <w:sz w:val="21"/>
                <w:szCs w:val="21"/>
                <w:highlight w:val="none"/>
                <w:lang w:val="zh-CN"/>
              </w:rPr>
              <w:t>投标人为其缴纳的距开标日前三个月中任一个月的社保证明。</w:t>
            </w:r>
          </w:p>
        </w:tc>
        <w:tc>
          <w:tcPr>
            <w:tcW w:w="956" w:type="dxa"/>
            <w:vMerge w:val="continue"/>
            <w:noWrap w:val="0"/>
            <w:vAlign w:val="center"/>
          </w:tcPr>
          <w:p w14:paraId="3A9AF561">
            <w:pPr>
              <w:pageBreakBefore w:val="0"/>
              <w:kinsoku/>
              <w:overflowPunct/>
              <w:topLinePunct w:val="0"/>
              <w:bidi w:val="0"/>
              <w:spacing w:after="60" w:afterLines="25" w:line="360" w:lineRule="auto"/>
              <w:jc w:val="center"/>
              <w:rPr>
                <w:rFonts w:hint="eastAsia" w:ascii="宋体" w:hAnsi="宋体" w:eastAsia="宋体" w:cs="宋体"/>
                <w:color w:val="auto"/>
                <w:sz w:val="21"/>
                <w:szCs w:val="21"/>
                <w:highlight w:val="none"/>
                <w:lang w:val="en-US" w:eastAsia="zh-CN"/>
              </w:rPr>
            </w:pPr>
          </w:p>
        </w:tc>
      </w:tr>
      <w:tr w14:paraId="4BD1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33" w:type="dxa"/>
            <w:noWrap w:val="0"/>
            <w:vAlign w:val="center"/>
          </w:tcPr>
          <w:p w14:paraId="5A91C4D2">
            <w:pPr>
              <w:pageBreakBefore w:val="0"/>
              <w:kinsoku/>
              <w:overflowPunct/>
              <w:topLinePunct w:val="0"/>
              <w:bidi w:val="0"/>
              <w:spacing w:before="100" w:beforeAutospacing="1" w:after="100" w:afterAutospacing="1"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c>
          <w:tcPr>
            <w:tcW w:w="993" w:type="dxa"/>
            <w:vMerge w:val="restart"/>
            <w:noWrap w:val="0"/>
            <w:vAlign w:val="center"/>
          </w:tcPr>
          <w:p w14:paraId="2FD7DAE1">
            <w:pPr>
              <w:pageBreakBefore w:val="0"/>
              <w:kinsoku/>
              <w:overflowPunct/>
              <w:topLinePunct w:val="0"/>
              <w:bidi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技术分</w:t>
            </w:r>
            <w:r>
              <w:rPr>
                <w:rFonts w:hint="eastAsia" w:ascii="宋体" w:hAnsi="宋体" w:cs="宋体"/>
                <w:b/>
                <w:color w:val="auto"/>
                <w:sz w:val="21"/>
                <w:szCs w:val="21"/>
                <w:highlight w:val="none"/>
                <w:lang w:val="en-US" w:eastAsia="zh-CN"/>
              </w:rPr>
              <w:t>84</w:t>
            </w:r>
            <w:r>
              <w:rPr>
                <w:rFonts w:hint="eastAsia" w:ascii="宋体" w:hAnsi="宋体" w:eastAsia="宋体" w:cs="宋体"/>
                <w:b/>
                <w:color w:val="auto"/>
                <w:sz w:val="21"/>
                <w:szCs w:val="21"/>
                <w:highlight w:val="none"/>
              </w:rPr>
              <w:t>分</w:t>
            </w:r>
          </w:p>
        </w:tc>
        <w:tc>
          <w:tcPr>
            <w:tcW w:w="1506" w:type="dxa"/>
            <w:noWrap w:val="0"/>
            <w:vAlign w:val="center"/>
          </w:tcPr>
          <w:p w14:paraId="7AD36760">
            <w:pPr>
              <w:pageBreakBefore w:val="0"/>
              <w:kinsoku/>
              <w:overflowPunct/>
              <w:topLinePunct w:val="0"/>
              <w:bidi w:val="0"/>
              <w:spacing w:after="60" w:afterLines="25" w:line="360" w:lineRule="auto"/>
              <w:jc w:val="center"/>
              <w:rPr>
                <w:rFonts w:hint="eastAsia" w:ascii="宋体" w:hAnsi="宋体" w:eastAsia="宋体" w:cs="Times New Roman"/>
                <w:b/>
                <w:bCs/>
                <w:color w:val="auto"/>
                <w:kern w:val="2"/>
                <w:sz w:val="21"/>
                <w:szCs w:val="21"/>
                <w:lang w:val="en-US" w:eastAsia="zh-CN" w:bidi="ar-SA"/>
              </w:rPr>
            </w:pPr>
            <w:r>
              <w:rPr>
                <w:rFonts w:hint="eastAsia" w:ascii="宋体" w:hAnsi="宋体" w:eastAsia="宋体" w:cs="宋体"/>
                <w:color w:val="auto"/>
                <w:sz w:val="21"/>
                <w:szCs w:val="21"/>
                <w:highlight w:val="none"/>
              </w:rPr>
              <w:t>项目</w:t>
            </w:r>
            <w:r>
              <w:rPr>
                <w:rFonts w:hint="eastAsia" w:ascii="宋体" w:hAnsi="宋体" w:cs="宋体"/>
                <w:color w:val="auto"/>
                <w:sz w:val="21"/>
                <w:szCs w:val="21"/>
                <w:highlight w:val="none"/>
                <w:lang w:val="en-US" w:eastAsia="zh-CN"/>
              </w:rPr>
              <w:t>理解</w:t>
            </w:r>
          </w:p>
        </w:tc>
        <w:tc>
          <w:tcPr>
            <w:tcW w:w="6231" w:type="dxa"/>
            <w:noWrap w:val="0"/>
            <w:vAlign w:val="center"/>
          </w:tcPr>
          <w:p w14:paraId="03142E64">
            <w:pPr>
              <w:pageBreakBefore w:val="0"/>
              <w:kinsoku/>
              <w:overflowPunct/>
              <w:topLinePunct w:val="0"/>
              <w:bidi w:val="0"/>
              <w:spacing w:after="60" w:afterLines="25"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投标人对</w:t>
            </w:r>
            <w:r>
              <w:rPr>
                <w:rFonts w:hint="eastAsia" w:ascii="宋体" w:hAnsi="宋体" w:eastAsia="宋体" w:cs="宋体"/>
                <w:color w:val="auto"/>
                <w:sz w:val="21"/>
                <w:szCs w:val="21"/>
                <w:highlight w:val="none"/>
              </w:rPr>
              <w:t>项目了解程度和现状分析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zh-CN"/>
              </w:rPr>
              <w:t>根据</w:t>
            </w:r>
            <w:r>
              <w:rPr>
                <w:rFonts w:hint="eastAsia" w:ascii="宋体" w:hAnsi="宋体" w:eastAsia="宋体" w:cs="宋体"/>
                <w:color w:val="auto"/>
                <w:sz w:val="21"/>
                <w:szCs w:val="21"/>
                <w:highlight w:val="none"/>
                <w:lang w:val="en-US" w:eastAsia="zh-CN"/>
              </w:rPr>
              <w:t>项目总体方案完整性、合理性进行打分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956" w:type="dxa"/>
            <w:noWrap w:val="0"/>
            <w:vAlign w:val="center"/>
          </w:tcPr>
          <w:p w14:paraId="415F78D0">
            <w:pPr>
              <w:pageBreakBefore w:val="0"/>
              <w:kinsoku/>
              <w:overflowPunct/>
              <w:topLinePunct w:val="0"/>
              <w:bidi w:val="0"/>
              <w:spacing w:after="60" w:afterLines="25"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r>
      <w:tr w14:paraId="5483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733" w:type="dxa"/>
            <w:noWrap w:val="0"/>
            <w:vAlign w:val="center"/>
          </w:tcPr>
          <w:p w14:paraId="3CA44849">
            <w:pPr>
              <w:pageBreakBefore w:val="0"/>
              <w:kinsoku/>
              <w:overflowPunct/>
              <w:topLinePunct w:val="0"/>
              <w:bidi w:val="0"/>
              <w:spacing w:before="100" w:beforeAutospacing="1" w:after="100" w:afterAutospacing="1"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993" w:type="dxa"/>
            <w:vMerge w:val="continue"/>
            <w:noWrap w:val="0"/>
            <w:vAlign w:val="center"/>
          </w:tcPr>
          <w:p w14:paraId="33AE960A">
            <w:pPr>
              <w:pageBreakBefore w:val="0"/>
              <w:kinsoku/>
              <w:overflowPunct/>
              <w:topLinePunct w:val="0"/>
              <w:bidi w:val="0"/>
              <w:spacing w:line="360" w:lineRule="auto"/>
              <w:jc w:val="center"/>
              <w:rPr>
                <w:rFonts w:hint="eastAsia" w:ascii="宋体" w:hAnsi="宋体" w:eastAsia="宋体" w:cs="宋体"/>
                <w:color w:val="auto"/>
                <w:sz w:val="21"/>
                <w:szCs w:val="21"/>
                <w:highlight w:val="none"/>
              </w:rPr>
            </w:pPr>
          </w:p>
        </w:tc>
        <w:tc>
          <w:tcPr>
            <w:tcW w:w="1506" w:type="dxa"/>
            <w:vMerge w:val="restart"/>
            <w:noWrap w:val="0"/>
            <w:vAlign w:val="center"/>
          </w:tcPr>
          <w:p w14:paraId="3B17716F">
            <w:pPr>
              <w:pageBreakBefore w:val="0"/>
              <w:kinsoku/>
              <w:overflowPunct/>
              <w:topLinePunct w:val="0"/>
              <w:bidi w:val="0"/>
              <w:spacing w:after="60" w:afterLines="25" w:line="360" w:lineRule="auto"/>
              <w:jc w:val="center"/>
              <w:rPr>
                <w:rFonts w:hint="eastAsia" w:ascii="宋体" w:hAnsi="宋体" w:eastAsia="宋体" w:cs="宋体"/>
                <w:color w:val="auto"/>
                <w:sz w:val="21"/>
                <w:szCs w:val="21"/>
                <w:highlight w:val="none"/>
                <w:lang w:val="zh-CN" w:eastAsia="zh-CN"/>
              </w:rPr>
            </w:pPr>
            <w:r>
              <w:rPr>
                <w:rFonts w:hint="eastAsia" w:ascii="宋体" w:hAnsi="宋体" w:cs="宋体"/>
                <w:color w:val="auto"/>
                <w:sz w:val="21"/>
                <w:szCs w:val="21"/>
                <w:highlight w:val="none"/>
                <w:lang w:val="en-US" w:eastAsia="zh-CN"/>
              </w:rPr>
              <w:t>实施</w:t>
            </w:r>
            <w:r>
              <w:rPr>
                <w:rFonts w:hint="eastAsia" w:ascii="宋体" w:hAnsi="宋体" w:eastAsia="宋体" w:cs="宋体"/>
                <w:color w:val="auto"/>
                <w:sz w:val="21"/>
                <w:szCs w:val="21"/>
                <w:highlight w:val="none"/>
              </w:rPr>
              <w:t>方案</w:t>
            </w:r>
          </w:p>
          <w:p w14:paraId="63C5FD38">
            <w:pPr>
              <w:pageBreakBefore w:val="0"/>
              <w:widowControl/>
              <w:kinsoku/>
              <w:overflowPunct/>
              <w:topLinePunct w:val="0"/>
              <w:bidi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6231" w:type="dxa"/>
            <w:noWrap w:val="0"/>
            <w:vAlign w:val="center"/>
          </w:tcPr>
          <w:p w14:paraId="69513903">
            <w:pPr>
              <w:pageBreakBefore w:val="0"/>
              <w:kinsoku/>
              <w:overflowPunct/>
              <w:topLinePunct w:val="0"/>
              <w:bidi w:val="0"/>
              <w:spacing w:after="60" w:afterLines="25"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针对本项目</w:t>
            </w:r>
            <w:r>
              <w:rPr>
                <w:rFonts w:hint="eastAsia" w:ascii="宋体" w:hAnsi="宋体" w:eastAsia="宋体" w:cs="宋体"/>
                <w:color w:val="auto"/>
                <w:sz w:val="21"/>
                <w:szCs w:val="21"/>
                <w:highlight w:val="none"/>
                <w:lang w:val="en-US" w:eastAsia="zh-CN"/>
              </w:rPr>
              <w:t>实施服务</w:t>
            </w:r>
            <w:r>
              <w:rPr>
                <w:rFonts w:hint="eastAsia" w:ascii="宋体" w:hAnsi="宋体" w:eastAsia="宋体" w:cs="宋体"/>
                <w:color w:val="auto"/>
                <w:sz w:val="21"/>
                <w:szCs w:val="21"/>
                <w:highlight w:val="none"/>
                <w:lang w:val="zh-CN"/>
              </w:rPr>
              <w:t>方案</w:t>
            </w:r>
            <w:r>
              <w:rPr>
                <w:rFonts w:hint="eastAsia" w:ascii="宋体" w:hAnsi="宋体" w:eastAsia="宋体" w:cs="宋体"/>
                <w:color w:val="auto"/>
                <w:sz w:val="21"/>
                <w:szCs w:val="21"/>
                <w:highlight w:val="none"/>
                <w:lang w:val="en-US" w:eastAsia="zh-CN"/>
              </w:rPr>
              <w:t>包含但不限于</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①入户初筛</w:t>
            </w:r>
            <w:r>
              <w:rPr>
                <w:rFonts w:hint="eastAsia" w:ascii="宋体" w:hAnsi="宋体" w:cs="宋体"/>
                <w:color w:val="auto"/>
                <w:sz w:val="21"/>
                <w:szCs w:val="21"/>
                <w:highlight w:val="none"/>
                <w:lang w:val="en-US" w:eastAsia="zh-CN"/>
              </w:rPr>
              <w:t>（0-3分）</w:t>
            </w:r>
            <w:r>
              <w:rPr>
                <w:rFonts w:hint="eastAsia" w:ascii="宋体" w:hAnsi="宋体" w:eastAsia="宋体" w:cs="宋体"/>
                <w:color w:val="auto"/>
                <w:sz w:val="21"/>
                <w:szCs w:val="21"/>
                <w:highlight w:val="none"/>
                <w:lang w:val="en-US" w:eastAsia="zh-CN"/>
              </w:rPr>
              <w:t>、②定期巡访</w:t>
            </w:r>
            <w:r>
              <w:rPr>
                <w:rFonts w:hint="eastAsia" w:ascii="宋体" w:hAnsi="宋体" w:cs="宋体"/>
                <w:color w:val="auto"/>
                <w:sz w:val="21"/>
                <w:szCs w:val="21"/>
                <w:highlight w:val="none"/>
                <w:lang w:val="en-US" w:eastAsia="zh-CN"/>
              </w:rPr>
              <w:t>（0-3分）</w:t>
            </w:r>
            <w:r>
              <w:rPr>
                <w:rFonts w:hint="eastAsia" w:ascii="宋体" w:hAnsi="宋体" w:eastAsia="宋体" w:cs="宋体"/>
                <w:color w:val="auto"/>
                <w:sz w:val="21"/>
                <w:szCs w:val="21"/>
                <w:highlight w:val="none"/>
                <w:lang w:val="en-US" w:eastAsia="zh-CN"/>
              </w:rPr>
              <w:t>、③团辅活动</w:t>
            </w:r>
            <w:r>
              <w:rPr>
                <w:rFonts w:hint="eastAsia" w:ascii="宋体" w:hAnsi="宋体" w:cs="宋体"/>
                <w:color w:val="auto"/>
                <w:sz w:val="21"/>
                <w:szCs w:val="21"/>
                <w:highlight w:val="none"/>
                <w:lang w:val="en-US" w:eastAsia="zh-CN"/>
              </w:rPr>
              <w:t>（0-3分）</w:t>
            </w:r>
            <w:r>
              <w:rPr>
                <w:rFonts w:hint="eastAsia" w:ascii="宋体" w:hAnsi="宋体" w:eastAsia="宋体" w:cs="宋体"/>
                <w:color w:val="auto"/>
                <w:sz w:val="21"/>
                <w:szCs w:val="21"/>
                <w:highlight w:val="none"/>
                <w:lang w:val="en-US" w:eastAsia="zh-CN"/>
              </w:rPr>
              <w:t>、④阵地搭建</w:t>
            </w:r>
            <w:r>
              <w:rPr>
                <w:rFonts w:hint="eastAsia" w:ascii="宋体" w:hAnsi="宋体" w:cs="宋体"/>
                <w:color w:val="auto"/>
                <w:sz w:val="21"/>
                <w:szCs w:val="21"/>
                <w:highlight w:val="none"/>
                <w:lang w:val="en-US" w:eastAsia="zh-CN"/>
              </w:rPr>
              <w:t>（0-3分）</w:t>
            </w:r>
            <w:r>
              <w:rPr>
                <w:rFonts w:hint="eastAsia" w:ascii="宋体" w:hAnsi="宋体" w:eastAsia="宋体" w:cs="宋体"/>
                <w:color w:val="auto"/>
                <w:sz w:val="21"/>
                <w:szCs w:val="21"/>
                <w:highlight w:val="none"/>
                <w:lang w:val="en-US" w:eastAsia="zh-CN"/>
              </w:rPr>
              <w:t>、⑤宣传学习</w:t>
            </w:r>
            <w:r>
              <w:rPr>
                <w:rFonts w:hint="eastAsia" w:ascii="宋体" w:hAnsi="宋体" w:cs="宋体"/>
                <w:color w:val="auto"/>
                <w:sz w:val="21"/>
                <w:szCs w:val="21"/>
                <w:highlight w:val="none"/>
                <w:lang w:val="en-US" w:eastAsia="zh-CN"/>
              </w:rPr>
              <w:t>（0-3分）</w:t>
            </w:r>
            <w:r>
              <w:rPr>
                <w:rFonts w:hint="eastAsia" w:ascii="宋体" w:hAnsi="宋体" w:eastAsia="宋体" w:cs="宋体"/>
                <w:color w:val="auto"/>
                <w:sz w:val="21"/>
                <w:szCs w:val="21"/>
                <w:highlight w:val="none"/>
                <w:lang w:val="en-US" w:eastAsia="zh-CN"/>
              </w:rPr>
              <w:t>、⑥经验总结</w:t>
            </w:r>
            <w:r>
              <w:rPr>
                <w:rFonts w:hint="eastAsia" w:ascii="宋体" w:hAnsi="宋体" w:cs="宋体"/>
                <w:color w:val="auto"/>
                <w:sz w:val="21"/>
                <w:szCs w:val="21"/>
                <w:highlight w:val="none"/>
                <w:lang w:val="en-US" w:eastAsia="zh-CN"/>
              </w:rPr>
              <w:t>（0-3分）</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lang w:val="zh-CN"/>
              </w:rPr>
              <w:t>根据</w:t>
            </w:r>
            <w:r>
              <w:rPr>
                <w:rFonts w:hint="eastAsia" w:ascii="宋体" w:hAnsi="宋体" w:eastAsia="宋体" w:cs="宋体"/>
                <w:color w:val="auto"/>
                <w:sz w:val="21"/>
                <w:szCs w:val="21"/>
                <w:highlight w:val="none"/>
                <w:lang w:val="en-US" w:eastAsia="zh-CN"/>
              </w:rPr>
              <w:t>方案的完整性、合</w:t>
            </w:r>
            <w:r>
              <w:rPr>
                <w:rFonts w:hint="eastAsia" w:ascii="宋体" w:hAnsi="宋体" w:eastAsia="宋体" w:cs="宋体"/>
                <w:color w:val="auto"/>
                <w:sz w:val="21"/>
                <w:szCs w:val="21"/>
                <w:highlight w:val="none"/>
                <w:lang w:val="zh-CN"/>
              </w:rPr>
              <w:t>理</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lang w:val="zh-CN"/>
              </w:rPr>
              <w:t>、规范</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lang w:val="zh-CN"/>
              </w:rPr>
              <w:t>、可操作性高</w:t>
            </w:r>
            <w:r>
              <w:rPr>
                <w:rFonts w:hint="eastAsia" w:ascii="宋体" w:hAnsi="宋体" w:eastAsia="宋体" w:cs="宋体"/>
                <w:color w:val="auto"/>
                <w:sz w:val="21"/>
                <w:szCs w:val="21"/>
                <w:highlight w:val="none"/>
                <w:lang w:val="en-US" w:eastAsia="zh-CN"/>
              </w:rPr>
              <w:t>等方面进行打分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0-1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956" w:type="dxa"/>
            <w:noWrap w:val="0"/>
            <w:vAlign w:val="center"/>
          </w:tcPr>
          <w:p w14:paraId="22028479">
            <w:pPr>
              <w:snapToGrid w:val="0"/>
              <w:spacing w:line="0" w:lineRule="atLeast"/>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lang w:val="en-US" w:eastAsia="zh-CN"/>
              </w:rPr>
              <w:t>分</w:t>
            </w:r>
          </w:p>
        </w:tc>
      </w:tr>
      <w:tr w14:paraId="31F8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733" w:type="dxa"/>
            <w:noWrap w:val="0"/>
            <w:vAlign w:val="center"/>
          </w:tcPr>
          <w:p w14:paraId="42DFB2FC">
            <w:pPr>
              <w:pageBreakBefore w:val="0"/>
              <w:kinsoku/>
              <w:overflowPunct/>
              <w:topLinePunct w:val="0"/>
              <w:bidi w:val="0"/>
              <w:spacing w:before="100" w:beforeAutospacing="1" w:after="100" w:afterAutospacing="1"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993" w:type="dxa"/>
            <w:vMerge w:val="continue"/>
            <w:noWrap w:val="0"/>
            <w:vAlign w:val="center"/>
          </w:tcPr>
          <w:p w14:paraId="01D525CA">
            <w:pPr>
              <w:pageBreakBefore w:val="0"/>
              <w:kinsoku/>
              <w:overflowPunct/>
              <w:topLinePunct w:val="0"/>
              <w:bidi w:val="0"/>
              <w:spacing w:line="360" w:lineRule="auto"/>
              <w:jc w:val="center"/>
              <w:rPr>
                <w:rFonts w:hint="eastAsia" w:ascii="宋体" w:hAnsi="宋体" w:eastAsia="宋体" w:cs="宋体"/>
                <w:color w:val="auto"/>
                <w:sz w:val="21"/>
                <w:szCs w:val="21"/>
                <w:highlight w:val="none"/>
              </w:rPr>
            </w:pPr>
          </w:p>
        </w:tc>
        <w:tc>
          <w:tcPr>
            <w:tcW w:w="1506" w:type="dxa"/>
            <w:vMerge w:val="continue"/>
            <w:noWrap w:val="0"/>
            <w:vAlign w:val="center"/>
          </w:tcPr>
          <w:p w14:paraId="53BC6060">
            <w:pPr>
              <w:pageBreakBefore w:val="0"/>
              <w:kinsoku/>
              <w:overflowPunct/>
              <w:topLinePunct w:val="0"/>
              <w:bidi w:val="0"/>
              <w:spacing w:line="360" w:lineRule="auto"/>
              <w:contextualSpacing/>
              <w:jc w:val="center"/>
              <w:rPr>
                <w:rFonts w:hint="eastAsia" w:ascii="宋体" w:hAnsi="宋体" w:eastAsia="宋体" w:cs="宋体"/>
                <w:color w:val="auto"/>
                <w:sz w:val="21"/>
                <w:szCs w:val="21"/>
                <w:highlight w:val="none"/>
              </w:rPr>
            </w:pPr>
          </w:p>
        </w:tc>
        <w:tc>
          <w:tcPr>
            <w:tcW w:w="6231" w:type="dxa"/>
            <w:noWrap w:val="0"/>
            <w:vAlign w:val="center"/>
          </w:tcPr>
          <w:p w14:paraId="292810DB">
            <w:pPr>
              <w:pageBreakBefore w:val="0"/>
              <w:kinsoku/>
              <w:overflowPunct/>
              <w:topLinePunct w:val="0"/>
              <w:bidi w:val="0"/>
              <w:spacing w:after="60" w:afterLines="25"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针对本项目</w:t>
            </w:r>
            <w:r>
              <w:rPr>
                <w:rFonts w:hint="eastAsia" w:ascii="宋体" w:hAnsi="宋体" w:eastAsia="宋体" w:cs="宋体"/>
                <w:color w:val="auto"/>
                <w:sz w:val="21"/>
                <w:szCs w:val="21"/>
                <w:highlight w:val="none"/>
                <w:lang w:val="en-US" w:eastAsia="zh-CN"/>
              </w:rPr>
              <w:t>项目实施计划进度安排，根据立项阶段、前期调研阶段、项目</w:t>
            </w:r>
            <w:r>
              <w:rPr>
                <w:rFonts w:hint="eastAsia" w:ascii="宋体" w:hAnsi="宋体" w:cs="宋体"/>
                <w:color w:val="auto"/>
                <w:sz w:val="21"/>
                <w:szCs w:val="21"/>
                <w:highlight w:val="none"/>
                <w:lang w:val="en-US" w:eastAsia="zh-CN"/>
              </w:rPr>
              <w:t>实施服务</w:t>
            </w:r>
            <w:r>
              <w:rPr>
                <w:rFonts w:hint="eastAsia" w:ascii="宋体" w:hAnsi="宋体" w:eastAsia="宋体" w:cs="宋体"/>
                <w:color w:val="auto"/>
                <w:sz w:val="21"/>
                <w:szCs w:val="21"/>
                <w:highlight w:val="none"/>
                <w:lang w:val="en-US" w:eastAsia="zh-CN"/>
              </w:rPr>
              <w:t>阶段</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项目验收阶段</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根据</w:t>
            </w:r>
            <w:r>
              <w:rPr>
                <w:rFonts w:hint="eastAsia" w:ascii="宋体" w:hAnsi="宋体" w:cs="宋体"/>
                <w:color w:val="auto"/>
                <w:sz w:val="21"/>
                <w:szCs w:val="21"/>
                <w:highlight w:val="none"/>
                <w:lang w:val="en-US" w:eastAsia="zh-CN"/>
              </w:rPr>
              <w:t>进度计划安排</w:t>
            </w:r>
            <w:r>
              <w:rPr>
                <w:rFonts w:hint="eastAsia" w:ascii="宋体" w:hAnsi="宋体" w:eastAsia="宋体" w:cs="宋体"/>
                <w:color w:val="auto"/>
                <w:sz w:val="21"/>
                <w:szCs w:val="21"/>
                <w:highlight w:val="none"/>
                <w:lang w:val="en-US" w:eastAsia="zh-CN"/>
              </w:rPr>
              <w:t>的完整性、合</w:t>
            </w:r>
            <w:r>
              <w:rPr>
                <w:rFonts w:hint="eastAsia" w:ascii="宋体" w:hAnsi="宋体" w:eastAsia="宋体" w:cs="宋体"/>
                <w:color w:val="auto"/>
                <w:sz w:val="21"/>
                <w:szCs w:val="21"/>
                <w:highlight w:val="none"/>
                <w:lang w:val="zh-CN"/>
              </w:rPr>
              <w:t>理</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lang w:val="zh-CN"/>
              </w:rPr>
              <w:t>、规范</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lang w:val="zh-CN"/>
              </w:rPr>
              <w:t>、可操作性</w:t>
            </w:r>
            <w:r>
              <w:rPr>
                <w:rFonts w:hint="eastAsia" w:ascii="宋体" w:hAnsi="宋体" w:eastAsia="宋体" w:cs="宋体"/>
                <w:color w:val="auto"/>
                <w:sz w:val="21"/>
                <w:szCs w:val="21"/>
                <w:highlight w:val="none"/>
                <w:lang w:val="en-US" w:eastAsia="zh-CN"/>
              </w:rPr>
              <w:t>等进行打分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956" w:type="dxa"/>
            <w:noWrap w:val="0"/>
            <w:vAlign w:val="center"/>
          </w:tcPr>
          <w:p w14:paraId="11BAFE6E">
            <w:pPr>
              <w:snapToGrid w:val="0"/>
              <w:spacing w:line="0" w:lineRule="atLeast"/>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tc>
      </w:tr>
      <w:tr w14:paraId="4D1B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33" w:type="dxa"/>
            <w:noWrap w:val="0"/>
            <w:vAlign w:val="center"/>
          </w:tcPr>
          <w:p w14:paraId="507F2F7B">
            <w:pPr>
              <w:pageBreakBefore w:val="0"/>
              <w:kinsoku/>
              <w:overflowPunct/>
              <w:topLinePunct w:val="0"/>
              <w:bidi w:val="0"/>
              <w:spacing w:before="100" w:beforeAutospacing="1" w:after="100" w:afterAutospacing="1"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993" w:type="dxa"/>
            <w:vMerge w:val="continue"/>
            <w:noWrap w:val="0"/>
            <w:vAlign w:val="center"/>
          </w:tcPr>
          <w:p w14:paraId="10358AA5">
            <w:pPr>
              <w:pageBreakBefore w:val="0"/>
              <w:kinsoku/>
              <w:overflowPunct/>
              <w:topLinePunct w:val="0"/>
              <w:bidi w:val="0"/>
              <w:spacing w:line="360" w:lineRule="auto"/>
              <w:jc w:val="center"/>
              <w:rPr>
                <w:rFonts w:hint="eastAsia" w:ascii="宋体" w:hAnsi="宋体" w:eastAsia="宋体" w:cs="宋体"/>
                <w:color w:val="auto"/>
                <w:sz w:val="21"/>
                <w:szCs w:val="21"/>
                <w:highlight w:val="none"/>
              </w:rPr>
            </w:pPr>
          </w:p>
        </w:tc>
        <w:tc>
          <w:tcPr>
            <w:tcW w:w="1506" w:type="dxa"/>
            <w:noWrap w:val="0"/>
            <w:vAlign w:val="center"/>
          </w:tcPr>
          <w:p w14:paraId="5A6070C4">
            <w:pPr>
              <w:pageBreakBefore w:val="0"/>
              <w:kinsoku/>
              <w:overflowPunct/>
              <w:topLinePunct w:val="0"/>
              <w:bidi w:val="0"/>
              <w:spacing w:after="60" w:afterLines="2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项目重点、</w:t>
            </w:r>
          </w:p>
          <w:p w14:paraId="54C0CB97">
            <w:pPr>
              <w:pageBreakBefore w:val="0"/>
              <w:kinsoku/>
              <w:overflowPunct/>
              <w:topLinePunct w:val="0"/>
              <w:bidi w:val="0"/>
              <w:spacing w:after="60" w:afterLines="25"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难点</w:t>
            </w:r>
          </w:p>
        </w:tc>
        <w:tc>
          <w:tcPr>
            <w:tcW w:w="6231" w:type="dxa"/>
            <w:noWrap w:val="0"/>
            <w:vAlign w:val="center"/>
          </w:tcPr>
          <w:p w14:paraId="254DE0FE">
            <w:pPr>
              <w:pageBreakBefore w:val="0"/>
              <w:kinsoku/>
              <w:overflowPunct/>
              <w:topLinePunct w:val="0"/>
              <w:bidi w:val="0"/>
              <w:spacing w:after="60" w:afterLines="25" w:line="36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针对过程重点、难点的解决措施</w:t>
            </w:r>
            <w:r>
              <w:rPr>
                <w:rFonts w:hint="eastAsia" w:ascii="宋体" w:hAnsi="宋体" w:eastAsia="宋体" w:cs="宋体"/>
                <w:color w:val="auto"/>
                <w:sz w:val="21"/>
                <w:szCs w:val="21"/>
                <w:highlight w:val="none"/>
                <w:lang w:val="en-US" w:eastAsia="zh-CN"/>
              </w:rPr>
              <w:t>方案</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服务措施的针对性明确</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难点阐述精准、充分、合理，</w:t>
            </w:r>
            <w:r>
              <w:rPr>
                <w:rFonts w:hint="eastAsia" w:ascii="宋体" w:hAnsi="宋体" w:cs="宋体"/>
                <w:color w:val="auto"/>
                <w:sz w:val="21"/>
                <w:szCs w:val="21"/>
                <w:highlight w:val="none"/>
                <w:lang w:val="en-US" w:eastAsia="zh-CN"/>
              </w:rPr>
              <w:t>完整、</w:t>
            </w:r>
            <w:r>
              <w:rPr>
                <w:rFonts w:hint="eastAsia" w:ascii="宋体" w:hAnsi="宋体" w:eastAsia="宋体" w:cs="宋体"/>
                <w:color w:val="auto"/>
                <w:sz w:val="21"/>
                <w:szCs w:val="21"/>
                <w:highlight w:val="none"/>
                <w:lang w:val="zh-CN"/>
              </w:rPr>
              <w:t>可操作性</w:t>
            </w:r>
            <w:r>
              <w:rPr>
                <w:rFonts w:hint="eastAsia" w:ascii="宋体" w:hAnsi="宋体" w:cs="宋体"/>
                <w:color w:val="auto"/>
                <w:sz w:val="21"/>
                <w:szCs w:val="21"/>
                <w:highlight w:val="none"/>
                <w:lang w:val="en-US" w:eastAsia="zh-CN"/>
              </w:rPr>
              <w:t>进行打分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956" w:type="dxa"/>
            <w:noWrap w:val="0"/>
            <w:vAlign w:val="center"/>
          </w:tcPr>
          <w:p w14:paraId="4914618E">
            <w:pPr>
              <w:snapToGrid w:val="0"/>
              <w:spacing w:line="0" w:lineRule="atLeast"/>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0-8分</w:t>
            </w:r>
          </w:p>
        </w:tc>
      </w:tr>
      <w:tr w14:paraId="7D8C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0" w:type="auto"/>
            <w:noWrap w:val="0"/>
            <w:vAlign w:val="center"/>
          </w:tcPr>
          <w:p w14:paraId="71326AC1">
            <w:pPr>
              <w:pageBreakBefore w:val="0"/>
              <w:kinsoku/>
              <w:overflowPunct/>
              <w:topLinePunct w:val="0"/>
              <w:bidi w:val="0"/>
              <w:spacing w:before="100" w:beforeAutospacing="1" w:after="100" w:afterAutospacing="1"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993" w:type="dxa"/>
            <w:vMerge w:val="continue"/>
            <w:noWrap w:val="0"/>
            <w:vAlign w:val="top"/>
          </w:tcPr>
          <w:p w14:paraId="5F5918BD">
            <w:pPr>
              <w:pageBreakBefore w:val="0"/>
              <w:kinsoku/>
              <w:overflowPunct/>
              <w:topLinePunct w:val="0"/>
              <w:bidi w:val="0"/>
              <w:spacing w:line="360" w:lineRule="auto"/>
              <w:jc w:val="center"/>
              <w:rPr>
                <w:rFonts w:hint="eastAsia" w:ascii="宋体" w:hAnsi="宋体" w:eastAsia="宋体" w:cs="宋体"/>
                <w:color w:val="auto"/>
                <w:sz w:val="21"/>
                <w:szCs w:val="21"/>
                <w:highlight w:val="none"/>
              </w:rPr>
            </w:pPr>
          </w:p>
        </w:tc>
        <w:tc>
          <w:tcPr>
            <w:tcW w:w="1506" w:type="dxa"/>
            <w:noWrap w:val="0"/>
            <w:vAlign w:val="center"/>
          </w:tcPr>
          <w:p w14:paraId="2D91D7FD">
            <w:pPr>
              <w:pageBreakBefore w:val="0"/>
              <w:kinsoku/>
              <w:overflowPunct/>
              <w:topLinePunct w:val="0"/>
              <w:bidi w:val="0"/>
              <w:spacing w:after="60" w:afterLines="25"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w:t>
            </w:r>
            <w:r>
              <w:rPr>
                <w:rFonts w:hint="eastAsia" w:ascii="宋体" w:hAnsi="宋体" w:eastAsia="宋体" w:cs="宋体"/>
                <w:color w:val="auto"/>
                <w:sz w:val="21"/>
                <w:szCs w:val="21"/>
                <w:highlight w:val="none"/>
                <w:lang w:val="zh-CN"/>
              </w:rPr>
              <w:t>方案</w:t>
            </w:r>
          </w:p>
        </w:tc>
        <w:tc>
          <w:tcPr>
            <w:tcW w:w="6231" w:type="dxa"/>
            <w:noWrap w:val="0"/>
            <w:vAlign w:val="center"/>
          </w:tcPr>
          <w:p w14:paraId="3E4E679B">
            <w:pPr>
              <w:pageBreakBefore w:val="0"/>
              <w:kinsoku/>
              <w:overflowPunct/>
              <w:topLinePunct w:val="0"/>
              <w:bidi w:val="0"/>
              <w:spacing w:after="60" w:afterLines="25"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w:t>
            </w:r>
            <w:r>
              <w:rPr>
                <w:rFonts w:hint="eastAsia" w:ascii="宋体" w:hAnsi="宋体" w:eastAsia="宋体" w:cs="宋体"/>
                <w:color w:val="auto"/>
                <w:sz w:val="21"/>
                <w:szCs w:val="21"/>
                <w:highlight w:val="none"/>
                <w:lang w:val="zh-CN"/>
              </w:rPr>
              <w:t>方案：针对本项目</w:t>
            </w:r>
            <w:r>
              <w:rPr>
                <w:rFonts w:hint="eastAsia" w:ascii="宋体" w:hAnsi="宋体" w:cs="宋体"/>
                <w:color w:val="auto"/>
                <w:sz w:val="21"/>
                <w:szCs w:val="21"/>
                <w:highlight w:val="none"/>
                <w:lang w:val="en-US" w:eastAsia="zh-CN"/>
              </w:rPr>
              <w:t>拟派的服务</w:t>
            </w:r>
            <w:r>
              <w:rPr>
                <w:rFonts w:hint="eastAsia" w:ascii="宋体" w:hAnsi="宋体" w:eastAsia="宋体" w:cs="宋体"/>
                <w:color w:val="auto"/>
                <w:sz w:val="21"/>
                <w:szCs w:val="21"/>
                <w:highlight w:val="none"/>
                <w:lang w:val="en-US" w:eastAsia="zh-CN"/>
              </w:rPr>
              <w:t>人员</w:t>
            </w:r>
            <w:r>
              <w:rPr>
                <w:rFonts w:hint="eastAsia" w:ascii="宋体" w:hAnsi="宋体" w:cs="宋体"/>
                <w:color w:val="auto"/>
                <w:sz w:val="21"/>
                <w:szCs w:val="21"/>
                <w:highlight w:val="none"/>
                <w:lang w:val="en-US" w:eastAsia="zh-CN"/>
              </w:rPr>
              <w:t>，是否定期进行</w:t>
            </w:r>
            <w:r>
              <w:rPr>
                <w:rFonts w:hint="eastAsia" w:ascii="宋体" w:hAnsi="宋体" w:eastAsia="宋体" w:cs="宋体"/>
                <w:color w:val="auto"/>
                <w:sz w:val="21"/>
                <w:szCs w:val="21"/>
                <w:highlight w:val="none"/>
                <w:lang w:val="en-US" w:eastAsia="zh-CN"/>
              </w:rPr>
              <w:t>讲座、培训</w:t>
            </w:r>
            <w:r>
              <w:rPr>
                <w:rFonts w:hint="eastAsia" w:ascii="宋体" w:hAnsi="宋体" w:cs="宋体"/>
                <w:color w:val="auto"/>
                <w:sz w:val="21"/>
                <w:szCs w:val="21"/>
                <w:highlight w:val="none"/>
                <w:lang w:val="en-US" w:eastAsia="zh-CN"/>
              </w:rPr>
              <w:t>根据计划设施的</w:t>
            </w:r>
            <w:r>
              <w:rPr>
                <w:rFonts w:hint="eastAsia" w:ascii="宋体" w:hAnsi="宋体" w:eastAsia="宋体" w:cs="宋体"/>
                <w:color w:val="auto"/>
                <w:sz w:val="21"/>
                <w:szCs w:val="21"/>
                <w:highlight w:val="none"/>
                <w:lang w:val="zh-CN"/>
              </w:rPr>
              <w:t>可行</w:t>
            </w:r>
            <w:r>
              <w:rPr>
                <w:rFonts w:hint="eastAsia" w:ascii="宋体" w:hAnsi="宋体" w:cs="宋体"/>
                <w:color w:val="auto"/>
                <w:sz w:val="21"/>
                <w:szCs w:val="21"/>
                <w:highlight w:val="none"/>
                <w:lang w:val="en-US" w:eastAsia="zh-CN"/>
              </w:rPr>
              <w:t>性</w:t>
            </w:r>
            <w:r>
              <w:rPr>
                <w:rFonts w:hint="eastAsia" w:ascii="宋体" w:hAnsi="宋体" w:eastAsia="宋体" w:cs="宋体"/>
                <w:color w:val="auto"/>
                <w:sz w:val="21"/>
                <w:szCs w:val="21"/>
                <w:highlight w:val="none"/>
                <w:lang w:val="zh-CN"/>
              </w:rPr>
              <w:t>、合理性、完善性</w:t>
            </w:r>
            <w:r>
              <w:rPr>
                <w:rFonts w:hint="eastAsia" w:ascii="宋体" w:hAnsi="宋体" w:cs="宋体"/>
                <w:color w:val="auto"/>
                <w:sz w:val="21"/>
                <w:szCs w:val="21"/>
                <w:highlight w:val="none"/>
                <w:lang w:val="en-US" w:eastAsia="zh-CN"/>
              </w:rPr>
              <w:t>进行打分。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956" w:type="dxa"/>
            <w:noWrap w:val="0"/>
            <w:vAlign w:val="center"/>
          </w:tcPr>
          <w:p w14:paraId="49E81BEC">
            <w:pPr>
              <w:snapToGrid w:val="0"/>
              <w:spacing w:line="0" w:lineRule="atLeast"/>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tc>
      </w:tr>
      <w:tr w14:paraId="4621E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0" w:type="auto"/>
            <w:noWrap w:val="0"/>
            <w:vAlign w:val="center"/>
          </w:tcPr>
          <w:p w14:paraId="17CE80B1">
            <w:pPr>
              <w:pageBreakBefore w:val="0"/>
              <w:kinsoku/>
              <w:overflowPunct/>
              <w:topLinePunct w:val="0"/>
              <w:bidi w:val="0"/>
              <w:spacing w:before="100" w:beforeAutospacing="1" w:after="100" w:afterAutospacing="1"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993" w:type="dxa"/>
            <w:vMerge w:val="continue"/>
            <w:noWrap w:val="0"/>
            <w:vAlign w:val="top"/>
          </w:tcPr>
          <w:p w14:paraId="659458A9">
            <w:pPr>
              <w:pageBreakBefore w:val="0"/>
              <w:kinsoku/>
              <w:overflowPunct/>
              <w:topLinePunct w:val="0"/>
              <w:bidi w:val="0"/>
              <w:spacing w:line="360" w:lineRule="auto"/>
              <w:jc w:val="center"/>
              <w:rPr>
                <w:rFonts w:hint="eastAsia" w:ascii="宋体" w:hAnsi="宋体" w:eastAsia="宋体" w:cs="宋体"/>
                <w:color w:val="auto"/>
                <w:sz w:val="21"/>
                <w:szCs w:val="21"/>
                <w:highlight w:val="none"/>
              </w:rPr>
            </w:pPr>
          </w:p>
        </w:tc>
        <w:tc>
          <w:tcPr>
            <w:tcW w:w="1506" w:type="dxa"/>
            <w:noWrap w:val="0"/>
            <w:vAlign w:val="center"/>
          </w:tcPr>
          <w:p w14:paraId="3153C91D">
            <w:pPr>
              <w:pageBreakBefore w:val="0"/>
              <w:kinsoku/>
              <w:overflowPunct/>
              <w:topLinePunct w:val="0"/>
              <w:bidi w:val="0"/>
              <w:spacing w:after="60" w:afterLines="25"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服务质量保障措施</w:t>
            </w:r>
          </w:p>
        </w:tc>
        <w:tc>
          <w:tcPr>
            <w:tcW w:w="6231" w:type="dxa"/>
            <w:noWrap w:val="0"/>
            <w:vAlign w:val="center"/>
          </w:tcPr>
          <w:p w14:paraId="73DA654D">
            <w:pPr>
              <w:pageBreakBefore w:val="0"/>
              <w:kinsoku/>
              <w:overflowPunct/>
              <w:topLinePunct w:val="0"/>
              <w:bidi w:val="0"/>
              <w:spacing w:after="60" w:afterLines="25" w:line="36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针对本项目服务质量保障措施</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lang w:val="zh-CN"/>
              </w:rPr>
              <w:t>质量措施的保障性较强、内容较完善、可执行度较高的得</w:t>
            </w: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分；质量措施的保障性一般、内容不够完善、可执行度一般的得</w:t>
            </w:r>
            <w:r>
              <w:rPr>
                <w:rFonts w:hint="eastAsia" w:ascii="宋体" w:hAnsi="宋体" w:eastAsia="宋体" w:cs="宋体"/>
                <w:color w:val="auto"/>
                <w:sz w:val="21"/>
                <w:szCs w:val="21"/>
                <w:highlight w:val="none"/>
                <w:lang w:val="en-US" w:eastAsia="zh-CN"/>
              </w:rPr>
              <w:t>0.1-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分；缺项得0分。（</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956" w:type="dxa"/>
            <w:noWrap w:val="0"/>
            <w:vAlign w:val="center"/>
          </w:tcPr>
          <w:p w14:paraId="4F13C98F">
            <w:pPr>
              <w:snapToGrid w:val="0"/>
              <w:spacing w:line="0" w:lineRule="atLeast"/>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tc>
      </w:tr>
      <w:tr w14:paraId="51BB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0" w:type="auto"/>
            <w:noWrap w:val="0"/>
            <w:vAlign w:val="center"/>
          </w:tcPr>
          <w:p w14:paraId="3B0EFBFF">
            <w:pPr>
              <w:pageBreakBefore w:val="0"/>
              <w:kinsoku/>
              <w:overflowPunct/>
              <w:topLinePunct w:val="0"/>
              <w:bidi w:val="0"/>
              <w:spacing w:before="100" w:beforeAutospacing="1" w:after="100" w:afterAutospacing="1"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993" w:type="dxa"/>
            <w:vMerge w:val="continue"/>
            <w:noWrap w:val="0"/>
            <w:vAlign w:val="top"/>
          </w:tcPr>
          <w:p w14:paraId="456A30B1">
            <w:pPr>
              <w:pageBreakBefore w:val="0"/>
              <w:kinsoku/>
              <w:overflowPunct/>
              <w:topLinePunct w:val="0"/>
              <w:bidi w:val="0"/>
              <w:spacing w:line="360" w:lineRule="auto"/>
              <w:jc w:val="center"/>
              <w:rPr>
                <w:rFonts w:hint="eastAsia" w:ascii="宋体" w:hAnsi="宋体" w:eastAsia="宋体" w:cs="宋体"/>
                <w:color w:val="auto"/>
                <w:sz w:val="21"/>
                <w:szCs w:val="21"/>
                <w:highlight w:val="none"/>
              </w:rPr>
            </w:pPr>
          </w:p>
        </w:tc>
        <w:tc>
          <w:tcPr>
            <w:tcW w:w="1506" w:type="dxa"/>
            <w:noWrap w:val="0"/>
            <w:vAlign w:val="center"/>
          </w:tcPr>
          <w:p w14:paraId="48991820">
            <w:pPr>
              <w:pageBreakBefore w:val="0"/>
              <w:kinsoku/>
              <w:overflowPunct/>
              <w:topLinePunct w:val="0"/>
              <w:bidi w:val="0"/>
              <w:spacing w:after="60" w:afterLines="25"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进度保证措施</w:t>
            </w:r>
          </w:p>
        </w:tc>
        <w:tc>
          <w:tcPr>
            <w:tcW w:w="6231" w:type="dxa"/>
            <w:noWrap w:val="0"/>
            <w:vAlign w:val="center"/>
          </w:tcPr>
          <w:p w14:paraId="517D0EC7">
            <w:pPr>
              <w:pageBreakBefore w:val="0"/>
              <w:kinsoku/>
              <w:overflowPunct/>
              <w:topLinePunct w:val="0"/>
              <w:bidi w:val="0"/>
              <w:spacing w:after="60" w:afterLines="25"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针对本项目服务进度保障措施</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lang w:val="zh-CN"/>
              </w:rPr>
              <w:t>：进度保障措施安排较合理、较完整、效率较快的得5</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分；进度保障措施不合理、不够完整、效率低下的得</w:t>
            </w:r>
            <w:r>
              <w:rPr>
                <w:rFonts w:hint="eastAsia" w:ascii="宋体" w:hAnsi="宋体" w:eastAsia="宋体" w:cs="宋体"/>
                <w:color w:val="auto"/>
                <w:sz w:val="21"/>
                <w:szCs w:val="21"/>
                <w:highlight w:val="none"/>
                <w:lang w:val="en-US" w:eastAsia="zh-CN"/>
              </w:rPr>
              <w:t>0.1-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分；缺项则得0分。（</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956" w:type="dxa"/>
            <w:noWrap w:val="0"/>
            <w:vAlign w:val="center"/>
          </w:tcPr>
          <w:p w14:paraId="7014A83C">
            <w:pPr>
              <w:snapToGrid w:val="0"/>
              <w:spacing w:line="0" w:lineRule="atLeast"/>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tc>
      </w:tr>
      <w:tr w14:paraId="5B21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0" w:type="auto"/>
            <w:noWrap w:val="0"/>
            <w:vAlign w:val="center"/>
          </w:tcPr>
          <w:p w14:paraId="0429C7D0">
            <w:pPr>
              <w:pageBreakBefore w:val="0"/>
              <w:kinsoku/>
              <w:overflowPunct/>
              <w:topLinePunct w:val="0"/>
              <w:bidi w:val="0"/>
              <w:spacing w:before="100" w:beforeAutospacing="1" w:after="100" w:afterAutospacing="1"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993" w:type="dxa"/>
            <w:vMerge w:val="continue"/>
            <w:noWrap w:val="0"/>
            <w:vAlign w:val="top"/>
          </w:tcPr>
          <w:p w14:paraId="675FB780">
            <w:pPr>
              <w:pageBreakBefore w:val="0"/>
              <w:kinsoku/>
              <w:overflowPunct/>
              <w:topLinePunct w:val="0"/>
              <w:bidi w:val="0"/>
              <w:spacing w:line="360" w:lineRule="auto"/>
              <w:jc w:val="center"/>
              <w:rPr>
                <w:rFonts w:hint="eastAsia" w:ascii="宋体" w:hAnsi="宋体" w:eastAsia="宋体" w:cs="宋体"/>
                <w:color w:val="auto"/>
                <w:sz w:val="21"/>
                <w:szCs w:val="21"/>
                <w:highlight w:val="none"/>
              </w:rPr>
            </w:pPr>
          </w:p>
        </w:tc>
        <w:tc>
          <w:tcPr>
            <w:tcW w:w="1506" w:type="dxa"/>
            <w:noWrap w:val="0"/>
            <w:vAlign w:val="center"/>
          </w:tcPr>
          <w:p w14:paraId="0DF824A9">
            <w:pPr>
              <w:pageBreakBefore w:val="0"/>
              <w:kinsoku/>
              <w:overflowPunct/>
              <w:topLinePunct w:val="0"/>
              <w:bidi w:val="0"/>
              <w:spacing w:after="60" w:afterLines="25"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应急预案</w:t>
            </w:r>
          </w:p>
        </w:tc>
        <w:tc>
          <w:tcPr>
            <w:tcW w:w="6231" w:type="dxa"/>
            <w:noWrap w:val="0"/>
            <w:vAlign w:val="center"/>
          </w:tcPr>
          <w:p w14:paraId="3957E71A">
            <w:pPr>
              <w:pageBreakBefore w:val="0"/>
              <w:kinsoku/>
              <w:overflowPunct/>
              <w:topLinePunct w:val="0"/>
              <w:bidi w:val="0"/>
              <w:spacing w:after="60" w:afterLines="25"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针对应急情况分析提出相应的预案进项评审：根据预案合理</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lang w:val="zh-CN"/>
              </w:rPr>
              <w:t>、全面</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lang w:val="zh-CN"/>
              </w:rPr>
              <w:t>、科学</w:t>
            </w:r>
            <w:r>
              <w:rPr>
                <w:rFonts w:hint="eastAsia" w:ascii="宋体" w:hAnsi="宋体" w:eastAsia="宋体" w:cs="宋体"/>
                <w:color w:val="auto"/>
                <w:sz w:val="21"/>
                <w:szCs w:val="21"/>
                <w:highlight w:val="none"/>
                <w:lang w:val="en-US" w:eastAsia="zh-CN"/>
              </w:rPr>
              <w:t>性进行打分。（0-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956" w:type="dxa"/>
            <w:noWrap w:val="0"/>
            <w:vAlign w:val="center"/>
          </w:tcPr>
          <w:p w14:paraId="084B8484">
            <w:pPr>
              <w:snapToGrid w:val="0"/>
              <w:spacing w:line="0" w:lineRule="atLeast"/>
              <w:jc w:val="center"/>
              <w:rPr>
                <w:rFonts w:hint="default"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0-5分</w:t>
            </w:r>
          </w:p>
        </w:tc>
      </w:tr>
      <w:tr w14:paraId="56DC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0" w:type="auto"/>
            <w:noWrap w:val="0"/>
            <w:vAlign w:val="center"/>
          </w:tcPr>
          <w:p w14:paraId="4C196382">
            <w:pPr>
              <w:pageBreakBefore w:val="0"/>
              <w:kinsoku/>
              <w:overflowPunct/>
              <w:topLinePunct w:val="0"/>
              <w:bidi w:val="0"/>
              <w:spacing w:before="100" w:beforeAutospacing="1" w:after="100" w:afterAutospacing="1"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993" w:type="dxa"/>
            <w:vMerge w:val="continue"/>
            <w:noWrap w:val="0"/>
            <w:vAlign w:val="top"/>
          </w:tcPr>
          <w:p w14:paraId="18504196">
            <w:pPr>
              <w:pageBreakBefore w:val="0"/>
              <w:kinsoku/>
              <w:overflowPunct/>
              <w:topLinePunct w:val="0"/>
              <w:bidi w:val="0"/>
              <w:spacing w:line="360" w:lineRule="auto"/>
              <w:jc w:val="center"/>
              <w:rPr>
                <w:rFonts w:hint="eastAsia" w:ascii="宋体" w:hAnsi="宋体" w:eastAsia="宋体" w:cs="宋体"/>
                <w:color w:val="auto"/>
                <w:sz w:val="21"/>
                <w:szCs w:val="21"/>
                <w:highlight w:val="none"/>
              </w:rPr>
            </w:pPr>
          </w:p>
        </w:tc>
        <w:tc>
          <w:tcPr>
            <w:tcW w:w="1506" w:type="dxa"/>
            <w:noWrap w:val="0"/>
            <w:vAlign w:val="top"/>
          </w:tcPr>
          <w:p w14:paraId="19A1BB02">
            <w:pPr>
              <w:pageBreakBefore w:val="0"/>
              <w:kinsoku/>
              <w:overflowPunct/>
              <w:topLinePunct w:val="0"/>
              <w:bidi w:val="0"/>
              <w:spacing w:after="60" w:afterLines="25" w:line="360" w:lineRule="auto"/>
              <w:jc w:val="center"/>
              <w:rPr>
                <w:rFonts w:hint="eastAsia" w:ascii="宋体" w:hAnsi="宋体" w:eastAsia="宋体" w:cs="宋体"/>
                <w:color w:val="auto"/>
                <w:sz w:val="21"/>
                <w:szCs w:val="21"/>
                <w:highlight w:val="none"/>
                <w:lang w:val="en-US" w:eastAsia="zh-CN"/>
              </w:rPr>
            </w:pPr>
            <w:r>
              <w:rPr>
                <w:rFonts w:hint="eastAsia" w:ascii="宋体" w:hAnsi="宋体" w:cs="Arial"/>
                <w:color w:val="auto"/>
                <w:sz w:val="21"/>
                <w:szCs w:val="21"/>
                <w:lang w:val="en-US" w:eastAsia="zh-CN"/>
              </w:rPr>
              <w:t>拟派人员</w:t>
            </w:r>
            <w:r>
              <w:rPr>
                <w:rFonts w:ascii="宋体" w:hAnsi="宋体" w:cs="Arial"/>
                <w:color w:val="auto"/>
                <w:sz w:val="21"/>
                <w:szCs w:val="21"/>
              </w:rPr>
              <w:t>人员配置</w:t>
            </w:r>
          </w:p>
        </w:tc>
        <w:tc>
          <w:tcPr>
            <w:tcW w:w="6231" w:type="dxa"/>
            <w:noWrap w:val="0"/>
            <w:vAlign w:val="top"/>
          </w:tcPr>
          <w:p w14:paraId="660473C9">
            <w:pPr>
              <w:pageBreakBefore w:val="0"/>
              <w:kinsoku/>
              <w:overflowPunct/>
              <w:topLinePunct w:val="0"/>
              <w:bidi w:val="0"/>
              <w:spacing w:after="60" w:afterLines="25"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针对本项目需求，从专业岗位的配置是否能满足需要、配备人员数量、</w:t>
            </w:r>
            <w:r>
              <w:rPr>
                <w:rFonts w:hint="eastAsia" w:ascii="宋体" w:hAnsi="宋体" w:cs="宋体"/>
                <w:color w:val="auto"/>
                <w:sz w:val="21"/>
                <w:szCs w:val="21"/>
                <w:highlight w:val="none"/>
                <w:lang w:val="en-US" w:eastAsia="zh-CN"/>
              </w:rPr>
              <w:t>拟派人员</w:t>
            </w:r>
            <w:r>
              <w:rPr>
                <w:rFonts w:hint="eastAsia" w:ascii="宋体" w:hAnsi="宋体" w:eastAsia="宋体" w:cs="宋体"/>
                <w:color w:val="auto"/>
                <w:sz w:val="21"/>
                <w:szCs w:val="21"/>
                <w:highlight w:val="none"/>
                <w:lang w:val="en-US" w:eastAsia="zh-CN"/>
              </w:rPr>
              <w:t>包含精神科临床医生、心理治疗（咨询）师、康复治疗师等专业服务队伍</w:t>
            </w:r>
            <w:r>
              <w:rPr>
                <w:rFonts w:hint="eastAsia" w:ascii="宋体" w:hAnsi="宋体" w:cs="宋体"/>
                <w:color w:val="auto"/>
                <w:sz w:val="21"/>
                <w:szCs w:val="21"/>
                <w:highlight w:val="none"/>
                <w:lang w:val="en-US" w:eastAsia="zh-CN"/>
              </w:rPr>
              <w:t>，根据合理性、完整性</w:t>
            </w:r>
            <w:r>
              <w:rPr>
                <w:rFonts w:hint="eastAsia" w:ascii="宋体" w:hAnsi="宋体" w:eastAsia="宋体" w:cs="宋体"/>
                <w:color w:val="auto"/>
                <w:sz w:val="21"/>
                <w:szCs w:val="21"/>
                <w:highlight w:val="none"/>
                <w:lang w:val="zh-CN"/>
              </w:rPr>
              <w:t>进行</w:t>
            </w:r>
            <w:r>
              <w:rPr>
                <w:rFonts w:hint="eastAsia" w:ascii="宋体" w:hAnsi="宋体" w:eastAsia="宋体" w:cs="宋体"/>
                <w:color w:val="auto"/>
                <w:sz w:val="21"/>
                <w:szCs w:val="21"/>
                <w:highlight w:val="none"/>
                <w:lang w:val="en-US" w:eastAsia="zh-CN"/>
              </w:rPr>
              <w:t>打分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0-5分</w:t>
            </w:r>
            <w:r>
              <w:rPr>
                <w:rFonts w:hint="eastAsia" w:ascii="宋体" w:hAnsi="宋体" w:eastAsia="宋体" w:cs="宋体"/>
                <w:color w:val="auto"/>
                <w:sz w:val="21"/>
                <w:szCs w:val="21"/>
                <w:highlight w:val="none"/>
                <w:lang w:val="zh-CN"/>
              </w:rPr>
              <w:t>）</w:t>
            </w:r>
          </w:p>
        </w:tc>
        <w:tc>
          <w:tcPr>
            <w:tcW w:w="956" w:type="dxa"/>
            <w:noWrap w:val="0"/>
            <w:vAlign w:val="center"/>
          </w:tcPr>
          <w:p w14:paraId="63B46117">
            <w:pPr>
              <w:pageBreakBefore w:val="0"/>
              <w:kinsoku/>
              <w:overflowPunct/>
              <w:topLinePunct w:val="0"/>
              <w:bidi w:val="0"/>
              <w:spacing w:after="60" w:afterLines="25" w:line="360" w:lineRule="auto"/>
              <w:jc w:val="center"/>
              <w:rPr>
                <w:rFonts w:hint="eastAsia" w:ascii="宋体" w:hAnsi="宋体" w:eastAsia="宋体" w:cs="宋体"/>
                <w:color w:val="auto"/>
                <w:sz w:val="21"/>
                <w:szCs w:val="21"/>
                <w:highlight w:val="none"/>
                <w:lang w:val="en-US" w:eastAsia="zh-CN"/>
              </w:rPr>
            </w:pPr>
            <w:r>
              <w:rPr>
                <w:rFonts w:hint="eastAsia" w:ascii="宋体" w:hAnsi="宋体"/>
                <w:color w:val="auto"/>
                <w:szCs w:val="21"/>
                <w:lang w:val="en-US" w:eastAsia="zh-CN"/>
              </w:rPr>
              <w:t>0-5分</w:t>
            </w:r>
          </w:p>
        </w:tc>
      </w:tr>
      <w:tr w14:paraId="6FD5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0" w:type="auto"/>
            <w:noWrap w:val="0"/>
            <w:vAlign w:val="center"/>
          </w:tcPr>
          <w:p w14:paraId="7C1F5738">
            <w:pPr>
              <w:pageBreakBefore w:val="0"/>
              <w:kinsoku/>
              <w:overflowPunct/>
              <w:topLinePunct w:val="0"/>
              <w:bidi w:val="0"/>
              <w:spacing w:before="100" w:beforeAutospacing="1" w:after="100" w:afterAutospacing="1"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993" w:type="dxa"/>
            <w:vMerge w:val="continue"/>
            <w:noWrap w:val="0"/>
            <w:vAlign w:val="top"/>
          </w:tcPr>
          <w:p w14:paraId="4589C4C9">
            <w:pPr>
              <w:pageBreakBefore w:val="0"/>
              <w:kinsoku/>
              <w:overflowPunct/>
              <w:topLinePunct w:val="0"/>
              <w:bidi w:val="0"/>
              <w:spacing w:line="360" w:lineRule="auto"/>
              <w:jc w:val="center"/>
              <w:rPr>
                <w:rFonts w:hint="eastAsia" w:ascii="宋体" w:hAnsi="宋体" w:eastAsia="宋体" w:cs="宋体"/>
                <w:color w:val="auto"/>
                <w:sz w:val="21"/>
                <w:szCs w:val="21"/>
                <w:highlight w:val="none"/>
              </w:rPr>
            </w:pPr>
          </w:p>
        </w:tc>
        <w:tc>
          <w:tcPr>
            <w:tcW w:w="1506" w:type="dxa"/>
            <w:noWrap w:val="0"/>
            <w:vAlign w:val="center"/>
          </w:tcPr>
          <w:p w14:paraId="4A2B51BD">
            <w:pPr>
              <w:widowControl/>
              <w:spacing w:line="0" w:lineRule="atLeast"/>
              <w:jc w:val="center"/>
              <w:rPr>
                <w:rFonts w:hint="eastAsia" w:ascii="宋体" w:hAnsi="宋体" w:eastAsia="宋体" w:cs="宋体"/>
                <w:b/>
                <w:color w:val="auto"/>
                <w:kern w:val="2"/>
                <w:sz w:val="21"/>
                <w:szCs w:val="21"/>
                <w:lang w:val="en-US" w:eastAsia="zh-CN" w:bidi="ar-SA"/>
              </w:rPr>
            </w:pPr>
            <w:r>
              <w:rPr>
                <w:rFonts w:ascii="宋体" w:hAnsi="宋体" w:cs="Arial"/>
                <w:b w:val="0"/>
                <w:bCs w:val="0"/>
                <w:color w:val="auto"/>
                <w:szCs w:val="21"/>
              </w:rPr>
              <w:t>服务承诺</w:t>
            </w:r>
          </w:p>
        </w:tc>
        <w:tc>
          <w:tcPr>
            <w:tcW w:w="6231" w:type="dxa"/>
            <w:noWrap w:val="0"/>
            <w:vAlign w:val="center"/>
          </w:tcPr>
          <w:p w14:paraId="682C19FC">
            <w:pPr>
              <w:pageBreakBefore w:val="0"/>
              <w:kinsoku/>
              <w:overflowPunct/>
              <w:topLinePunct w:val="0"/>
              <w:bidi w:val="0"/>
              <w:spacing w:after="60" w:afterLines="25" w:line="36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投标人对本项目服务承诺的合理性、符合性进行评审（包括不限于完成整体项目所有内容的承诺，符合采购需求承诺等），根据</w:t>
            </w:r>
            <w:r>
              <w:rPr>
                <w:rFonts w:hint="eastAsia" w:ascii="宋体" w:hAnsi="宋体"/>
                <w:color w:val="auto"/>
                <w:szCs w:val="21"/>
              </w:rPr>
              <w:t>承诺合理</w:t>
            </w:r>
            <w:r>
              <w:rPr>
                <w:rFonts w:hint="eastAsia" w:ascii="宋体" w:hAnsi="宋体"/>
                <w:color w:val="auto"/>
                <w:szCs w:val="21"/>
                <w:lang w:val="en-US" w:eastAsia="zh-CN"/>
              </w:rPr>
              <w:t>性</w:t>
            </w:r>
            <w:r>
              <w:rPr>
                <w:rFonts w:hint="eastAsia" w:ascii="宋体" w:hAnsi="宋体"/>
                <w:color w:val="auto"/>
                <w:szCs w:val="21"/>
              </w:rPr>
              <w:t>、符合采购需求</w:t>
            </w:r>
            <w:r>
              <w:rPr>
                <w:rFonts w:hint="eastAsia" w:ascii="宋体" w:hAnsi="宋体"/>
                <w:color w:val="auto"/>
                <w:szCs w:val="21"/>
                <w:lang w:eastAsia="zh-CN"/>
              </w:rPr>
              <w:t>、</w:t>
            </w:r>
            <w:r>
              <w:rPr>
                <w:rFonts w:hint="eastAsia" w:ascii="宋体" w:hAnsi="宋体"/>
                <w:color w:val="auto"/>
                <w:szCs w:val="21"/>
                <w:lang w:val="en-US" w:eastAsia="zh-CN"/>
              </w:rPr>
              <w:t>时效性等进行打分。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0-5分</w:t>
            </w:r>
            <w:r>
              <w:rPr>
                <w:rFonts w:hint="eastAsia" w:ascii="宋体" w:hAnsi="宋体" w:eastAsia="宋体" w:cs="宋体"/>
                <w:color w:val="auto"/>
                <w:sz w:val="21"/>
                <w:szCs w:val="21"/>
                <w:highlight w:val="none"/>
                <w:lang w:val="zh-CN"/>
              </w:rPr>
              <w:t>）</w:t>
            </w:r>
          </w:p>
        </w:tc>
        <w:tc>
          <w:tcPr>
            <w:tcW w:w="956" w:type="dxa"/>
            <w:noWrap w:val="0"/>
            <w:vAlign w:val="center"/>
          </w:tcPr>
          <w:p w14:paraId="43FF243C">
            <w:pPr>
              <w:snapToGrid w:val="0"/>
              <w:spacing w:line="0" w:lineRule="atLeast"/>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0-5分</w:t>
            </w:r>
          </w:p>
        </w:tc>
      </w:tr>
      <w:tr w14:paraId="66F4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0" w:type="auto"/>
            <w:noWrap w:val="0"/>
            <w:vAlign w:val="center"/>
          </w:tcPr>
          <w:p w14:paraId="11CB9EF0">
            <w:pPr>
              <w:pageBreakBefore w:val="0"/>
              <w:kinsoku/>
              <w:overflowPunct/>
              <w:topLinePunct w:val="0"/>
              <w:bidi w:val="0"/>
              <w:spacing w:before="100" w:beforeAutospacing="1" w:after="100" w:afterAutospacing="1"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993" w:type="dxa"/>
            <w:vMerge w:val="continue"/>
            <w:noWrap w:val="0"/>
            <w:vAlign w:val="top"/>
          </w:tcPr>
          <w:p w14:paraId="1186F87B">
            <w:pPr>
              <w:pageBreakBefore w:val="0"/>
              <w:kinsoku/>
              <w:overflowPunct/>
              <w:topLinePunct w:val="0"/>
              <w:bidi w:val="0"/>
              <w:spacing w:line="360" w:lineRule="auto"/>
              <w:jc w:val="center"/>
              <w:rPr>
                <w:rFonts w:hint="eastAsia" w:ascii="宋体" w:hAnsi="宋体" w:eastAsia="宋体" w:cs="宋体"/>
                <w:color w:val="auto"/>
                <w:sz w:val="21"/>
                <w:szCs w:val="21"/>
                <w:highlight w:val="none"/>
              </w:rPr>
            </w:pPr>
          </w:p>
        </w:tc>
        <w:tc>
          <w:tcPr>
            <w:tcW w:w="1506" w:type="dxa"/>
            <w:noWrap w:val="0"/>
            <w:vAlign w:val="center"/>
          </w:tcPr>
          <w:p w14:paraId="43F11495">
            <w:pPr>
              <w:widowControl/>
              <w:spacing w:line="0" w:lineRule="atLeast"/>
              <w:jc w:val="center"/>
              <w:rPr>
                <w:rFonts w:hint="eastAsia" w:ascii="宋体" w:hAnsi="宋体" w:cs="Arial"/>
                <w:b w:val="0"/>
                <w:bCs w:val="0"/>
                <w:color w:val="auto"/>
                <w:szCs w:val="21"/>
              </w:rPr>
            </w:pPr>
            <w:r>
              <w:rPr>
                <w:rFonts w:hint="eastAsia" w:ascii="宋体" w:hAnsi="宋体" w:cs="Arial"/>
                <w:b w:val="0"/>
                <w:bCs w:val="0"/>
                <w:color w:val="auto"/>
                <w:szCs w:val="21"/>
              </w:rPr>
              <w:t>合理化</w:t>
            </w:r>
          </w:p>
          <w:p w14:paraId="0F756C0F">
            <w:pPr>
              <w:widowControl/>
              <w:spacing w:line="0" w:lineRule="atLeast"/>
              <w:jc w:val="center"/>
              <w:rPr>
                <w:rFonts w:hint="eastAsia" w:ascii="宋体" w:hAnsi="宋体" w:eastAsia="宋体" w:cs="宋体"/>
                <w:b/>
                <w:color w:val="auto"/>
                <w:kern w:val="2"/>
                <w:sz w:val="21"/>
                <w:szCs w:val="21"/>
                <w:lang w:val="en-US" w:eastAsia="zh-CN" w:bidi="ar-SA"/>
              </w:rPr>
            </w:pPr>
            <w:r>
              <w:rPr>
                <w:rFonts w:hint="eastAsia" w:ascii="宋体" w:hAnsi="宋体" w:cs="Arial"/>
                <w:b w:val="0"/>
                <w:bCs w:val="0"/>
                <w:color w:val="auto"/>
                <w:szCs w:val="21"/>
              </w:rPr>
              <w:t>建议</w:t>
            </w:r>
          </w:p>
        </w:tc>
        <w:tc>
          <w:tcPr>
            <w:tcW w:w="6231" w:type="dxa"/>
            <w:noWrap w:val="0"/>
            <w:vAlign w:val="center"/>
          </w:tcPr>
          <w:p w14:paraId="069CC3C5">
            <w:pPr>
              <w:pageBreakBefore w:val="0"/>
              <w:kinsoku/>
              <w:overflowPunct/>
              <w:topLinePunct w:val="0"/>
              <w:bidi w:val="0"/>
              <w:spacing w:after="60" w:afterLines="25" w:line="36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针对本项目提供的合理化建议的评审，根据建议内容完整性，可行性、</w:t>
            </w:r>
            <w:r>
              <w:rPr>
                <w:rFonts w:hint="eastAsia" w:ascii="宋体" w:hAnsi="宋体" w:eastAsia="宋体" w:cs="宋体"/>
                <w:color w:val="auto"/>
                <w:sz w:val="21"/>
                <w:szCs w:val="21"/>
                <w:highlight w:val="none"/>
                <w:lang w:val="en-US" w:eastAsia="zh-CN"/>
              </w:rPr>
              <w:t>可操作性等进行打分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956" w:type="dxa"/>
            <w:noWrap w:val="0"/>
            <w:vAlign w:val="center"/>
          </w:tcPr>
          <w:p w14:paraId="0D1F7B8A">
            <w:pPr>
              <w:snapToGrid w:val="0"/>
              <w:spacing w:line="0" w:lineRule="atLeast"/>
              <w:jc w:val="center"/>
              <w:rPr>
                <w:rFonts w:hint="default"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0-4分</w:t>
            </w:r>
          </w:p>
        </w:tc>
      </w:tr>
    </w:tbl>
    <w:p w14:paraId="0EC5CD76">
      <w:pPr>
        <w:pageBreakBefore w:val="0"/>
        <w:kinsoku/>
        <w:overflowPunct/>
        <w:topLinePunct w:val="0"/>
        <w:bidi w:val="0"/>
        <w:adjustRightInd/>
        <w:spacing w:line="360" w:lineRule="auto"/>
        <w:jc w:val="center"/>
        <w:outlineLvl w:val="0"/>
        <w:rPr>
          <w:rFonts w:hint="eastAsia" w:ascii="宋体" w:hAnsi="宋体" w:eastAsia="宋体" w:cs="宋体"/>
          <w:b/>
          <w:color w:val="000000" w:themeColor="text1"/>
          <w:szCs w:val="21"/>
          <w:highlight w:val="none"/>
          <w14:textFill>
            <w14:solidFill>
              <w14:schemeClr w14:val="tx1"/>
            </w14:solidFill>
          </w14:textFill>
        </w:rPr>
      </w:pPr>
    </w:p>
    <w:p w14:paraId="0F2276BE">
      <w:pPr>
        <w:pageBreakBefore w:val="0"/>
        <w:kinsoku/>
        <w:overflowPunct/>
        <w:topLinePunct w:val="0"/>
        <w:bidi w:val="0"/>
        <w:adjustRightInd/>
        <w:spacing w:line="360" w:lineRule="auto"/>
        <w:jc w:val="center"/>
        <w:outlineLvl w:val="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二、磋商小组的组成</w:t>
      </w:r>
    </w:p>
    <w:p w14:paraId="0C0D3C47">
      <w:pPr>
        <w:pStyle w:val="396"/>
        <w:pageBreakBefore w:val="0"/>
        <w:kinsoku/>
        <w:overflowPunct/>
        <w:topLinePunct w:val="0"/>
        <w:bidi w:val="0"/>
        <w:spacing w:before="0" w:line="360" w:lineRule="auto"/>
        <w:ind w:firstLine="0" w:firstLineChars="0"/>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1.磋商小组的组成。</w:t>
      </w:r>
    </w:p>
    <w:p w14:paraId="08FE73AC">
      <w:pPr>
        <w:pStyle w:val="396"/>
        <w:pageBreakBefore w:val="0"/>
        <w:kinsoku/>
        <w:overflowPunct/>
        <w:topLinePunct w:val="0"/>
        <w:bidi w:val="0"/>
        <w:spacing w:before="0" w:line="360" w:lineRule="auto"/>
        <w:ind w:firstLine="422" w:firstLineChars="200"/>
        <w:rPr>
          <w:rFonts w:hint="eastAsia" w:ascii="宋体" w:hAnsi="宋体" w:eastAsia="宋体" w:cs="宋体"/>
          <w:b/>
          <w:color w:val="000000" w:themeColor="text1"/>
          <w:kern w:val="0"/>
          <w:sz w:val="21"/>
          <w:szCs w:val="21"/>
          <w:highlight w:val="none"/>
          <w:u w:val="single"/>
          <w14:textFill>
            <w14:solidFill>
              <w14:schemeClr w14:val="tx1"/>
            </w14:solidFill>
          </w14:textFill>
        </w:rPr>
      </w:pPr>
      <w:bookmarkStart w:id="58" w:name="_GoBack"/>
      <w:r>
        <w:rPr>
          <w:rFonts w:hint="eastAsia" w:ascii="宋体" w:hAnsi="宋体" w:eastAsia="宋体" w:cs="宋体"/>
          <w:b/>
          <w:color w:val="000000" w:themeColor="text1"/>
          <w:kern w:val="0"/>
          <w:sz w:val="21"/>
          <w:szCs w:val="21"/>
          <w:highlight w:val="none"/>
          <w:u w:val="single"/>
          <w14:textFill>
            <w14:solidFill>
              <w14:schemeClr w14:val="tx1"/>
            </w14:solidFill>
          </w14:textFill>
        </w:rPr>
        <w:t>磋商小组由采购人代表</w:t>
      </w:r>
      <w:r>
        <w:rPr>
          <w:rFonts w:hint="eastAsia" w:ascii="宋体" w:hAnsi="宋体" w:eastAsia="宋体" w:cs="宋体"/>
          <w:b/>
          <w:color w:val="000000" w:themeColor="text1"/>
          <w:kern w:val="0"/>
          <w:sz w:val="21"/>
          <w:szCs w:val="21"/>
          <w:highlight w:val="none"/>
          <w:u w:val="single"/>
          <w:lang w:val="en-US" w:eastAsia="zh-CN"/>
          <w14:textFill>
            <w14:solidFill>
              <w14:schemeClr w14:val="tx1"/>
            </w14:solidFill>
          </w14:textFill>
        </w:rPr>
        <w:t>1人</w:t>
      </w:r>
      <w:r>
        <w:rPr>
          <w:rFonts w:hint="eastAsia" w:ascii="宋体" w:hAnsi="宋体" w:eastAsia="宋体" w:cs="宋体"/>
          <w:b/>
          <w:color w:val="000000" w:themeColor="text1"/>
          <w:kern w:val="0"/>
          <w:sz w:val="21"/>
          <w:szCs w:val="21"/>
          <w:highlight w:val="none"/>
          <w:u w:val="single"/>
          <w14:textFill>
            <w14:solidFill>
              <w14:schemeClr w14:val="tx1"/>
            </w14:solidFill>
          </w14:textFill>
        </w:rPr>
        <w:t>和评审专家</w:t>
      </w:r>
      <w:r>
        <w:rPr>
          <w:rFonts w:hint="eastAsia" w:ascii="宋体" w:hAnsi="宋体" w:eastAsia="宋体" w:cs="宋体"/>
          <w:b/>
          <w:color w:val="000000" w:themeColor="text1"/>
          <w:kern w:val="0"/>
          <w:sz w:val="21"/>
          <w:szCs w:val="21"/>
          <w:highlight w:val="none"/>
          <w:u w:val="single"/>
          <w:lang w:val="en-US" w:eastAsia="zh-CN"/>
          <w14:textFill>
            <w14:solidFill>
              <w14:schemeClr w14:val="tx1"/>
            </w14:solidFill>
          </w14:textFill>
        </w:rPr>
        <w:t>2人，</w:t>
      </w:r>
      <w:r>
        <w:rPr>
          <w:rFonts w:hint="eastAsia" w:ascii="宋体" w:hAnsi="宋体" w:eastAsia="宋体" w:cs="宋体"/>
          <w:b/>
          <w:color w:val="000000" w:themeColor="text1"/>
          <w:kern w:val="0"/>
          <w:sz w:val="21"/>
          <w:szCs w:val="21"/>
          <w:highlight w:val="none"/>
          <w:u w:val="single"/>
          <w14:textFill>
            <w14:solidFill>
              <w14:schemeClr w14:val="tx1"/>
            </w14:solidFill>
          </w14:textFill>
        </w:rPr>
        <w:t>共3人组成。</w:t>
      </w:r>
    </w:p>
    <w:bookmarkEnd w:id="58"/>
    <w:p w14:paraId="614437DA">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F8FB57A">
      <w:pPr>
        <w:pageBreakBefore w:val="0"/>
        <w:kinsoku/>
        <w:overflowPunct/>
        <w:topLinePunct w:val="0"/>
        <w:bidi w:val="0"/>
        <w:snapToGrid w:val="0"/>
        <w:spacing w:line="360" w:lineRule="auto"/>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2.磋商小组的组成人员的回避。</w:t>
      </w:r>
    </w:p>
    <w:p w14:paraId="7096D08A">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在政府采购活动中，磋商小组的组成人员与供应商有下列利害关系之一的，应当回避：</w:t>
      </w:r>
    </w:p>
    <w:p w14:paraId="7465F000">
      <w:pPr>
        <w:pStyle w:val="396"/>
        <w:pageBreakBefore w:val="0"/>
        <w:kinsoku/>
        <w:overflowPunct/>
        <w:topLinePunct w:val="0"/>
        <w:bidi w:val="0"/>
        <w:spacing w:before="0" w:line="360" w:lineRule="auto"/>
        <w:ind w:firstLine="0" w:firstLineChars="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2.1参加采购活动前3年内与供应商存在劳动关系；</w:t>
      </w:r>
    </w:p>
    <w:p w14:paraId="5A595BB9">
      <w:pPr>
        <w:pStyle w:val="396"/>
        <w:pageBreakBefore w:val="0"/>
        <w:kinsoku/>
        <w:overflowPunct/>
        <w:topLinePunct w:val="0"/>
        <w:bidi w:val="0"/>
        <w:spacing w:before="0" w:line="360" w:lineRule="auto"/>
        <w:ind w:firstLine="0" w:firstLineChars="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2.2参加采购活动前3年内担任供应商的董事、监事；</w:t>
      </w:r>
    </w:p>
    <w:p w14:paraId="18A934AE">
      <w:pPr>
        <w:pStyle w:val="396"/>
        <w:pageBreakBefore w:val="0"/>
        <w:kinsoku/>
        <w:overflowPunct/>
        <w:topLinePunct w:val="0"/>
        <w:bidi w:val="0"/>
        <w:spacing w:before="0" w:line="360" w:lineRule="auto"/>
        <w:ind w:firstLine="0" w:firstLineChars="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2.3参加采购活动前3年内是供应商的控股股东或者实际控制人；</w:t>
      </w:r>
    </w:p>
    <w:p w14:paraId="5C49AFA5">
      <w:pPr>
        <w:pStyle w:val="396"/>
        <w:pageBreakBefore w:val="0"/>
        <w:kinsoku/>
        <w:overflowPunct/>
        <w:topLinePunct w:val="0"/>
        <w:bidi w:val="0"/>
        <w:spacing w:before="0" w:line="360" w:lineRule="auto"/>
        <w:ind w:firstLine="480" w:firstLineChars="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2.4与供应商的法定代表人或者负责人有夫妻、直系血亲、三代以内旁系血亲或者近姻亲关系；</w:t>
      </w:r>
    </w:p>
    <w:p w14:paraId="475753EA">
      <w:pPr>
        <w:pStyle w:val="396"/>
        <w:pageBreakBefore w:val="0"/>
        <w:kinsoku/>
        <w:overflowPunct/>
        <w:topLinePunct w:val="0"/>
        <w:bidi w:val="0"/>
        <w:spacing w:before="0" w:line="360" w:lineRule="auto"/>
        <w:ind w:firstLine="480" w:firstLineChars="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2.5与供应商有其他可能影响政府采购活动公平、公正进行的关系。</w:t>
      </w:r>
    </w:p>
    <w:p w14:paraId="6F9428B7">
      <w:pPr>
        <w:pageBreakBefore w:val="0"/>
        <w:kinsoku/>
        <w:overflowPunct/>
        <w:topLinePunct w:val="0"/>
        <w:bidi w:val="0"/>
        <w:snapToGrid w:val="0"/>
        <w:spacing w:line="360" w:lineRule="auto"/>
        <w:ind w:left="120" w:leftChars="57" w:firstLine="316" w:firstLineChars="150"/>
        <w:jc w:val="center"/>
        <w:rPr>
          <w:rFonts w:hint="eastAsia" w:ascii="宋体" w:hAnsi="宋体" w:eastAsia="宋体" w:cs="宋体"/>
          <w:b/>
          <w:color w:val="000000" w:themeColor="text1"/>
          <w:szCs w:val="21"/>
          <w:highlight w:val="none"/>
          <w14:textFill>
            <w14:solidFill>
              <w14:schemeClr w14:val="tx1"/>
            </w14:solidFill>
          </w14:textFill>
        </w:rPr>
      </w:pPr>
    </w:p>
    <w:p w14:paraId="771D50C6">
      <w:pPr>
        <w:pageBreakBefore w:val="0"/>
        <w:kinsoku/>
        <w:overflowPunct/>
        <w:topLinePunct w:val="0"/>
        <w:bidi w:val="0"/>
        <w:snapToGrid w:val="0"/>
        <w:spacing w:line="360" w:lineRule="auto"/>
        <w:ind w:left="120" w:leftChars="57" w:firstLine="316" w:firstLineChars="150"/>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三、磋商小组的职责</w:t>
      </w:r>
    </w:p>
    <w:p w14:paraId="2445B5A3">
      <w:pPr>
        <w:pStyle w:val="396"/>
        <w:pageBreakBefore w:val="0"/>
        <w:kinsoku/>
        <w:overflowPunct/>
        <w:topLinePunct w:val="0"/>
        <w:bidi w:val="0"/>
        <w:spacing w:before="0" w:line="360" w:lineRule="auto"/>
        <w:ind w:firstLine="0" w:firstLineChars="0"/>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1.磋商小组负责具体评审事务，并独立履行下列职责：</w:t>
      </w:r>
    </w:p>
    <w:p w14:paraId="728E1FBE">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1.1对供应商的资格进行审查；对响应文件的有效性、完整性和响应程度进行审查；</w:t>
      </w:r>
    </w:p>
    <w:p w14:paraId="5E5DD0E9">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1.2审查、评价响应文件是否符合磋商文件的商务、技术等实质性要求；</w:t>
      </w:r>
    </w:p>
    <w:p w14:paraId="312AFD34">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1.3要求供应商对响应文件有关事项作出澄清、说明或者更正；</w:t>
      </w:r>
    </w:p>
    <w:p w14:paraId="64517876">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1.4磋商小组集中与单一供应商分别进行磋商；</w:t>
      </w:r>
    </w:p>
    <w:p w14:paraId="11F217FE">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1.5确定磋商文件的变动情况，并确定提交最后报价的供应商；</w:t>
      </w:r>
    </w:p>
    <w:p w14:paraId="0871FC41">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1.6根据磋商文件确定的评审办法及评审标准对提交最后报价的供应商的响应文件和最后报价采用综合评分法进行综合评分；</w:t>
      </w:r>
    </w:p>
    <w:p w14:paraId="3772ADC8">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1.7编制评审报告，确定成交候选人名单，以及根据采购人委托直接确定成交人；</w:t>
      </w:r>
    </w:p>
    <w:p w14:paraId="0CE32B48">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1.8向采购人、采购代理机构或者有关部门报告评审中发现的违法行为；</w:t>
      </w:r>
    </w:p>
    <w:p w14:paraId="301B7DB4">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1.9法律、法规、规章、磋商文件等规定的其它事项。</w:t>
      </w:r>
    </w:p>
    <w:p w14:paraId="7092C8E4">
      <w:pPr>
        <w:pStyle w:val="396"/>
        <w:pageBreakBefore w:val="0"/>
        <w:kinsoku/>
        <w:overflowPunct/>
        <w:topLinePunct w:val="0"/>
        <w:bidi w:val="0"/>
        <w:spacing w:before="0" w:line="360" w:lineRule="auto"/>
        <w:ind w:firstLine="0" w:firstLineChars="0"/>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2.磋商小组及其成员不得有下列行为：</w:t>
      </w:r>
    </w:p>
    <w:p w14:paraId="68793FE4">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2.1确定参与本项目至评审结束前私自接触供应商；</w:t>
      </w:r>
    </w:p>
    <w:p w14:paraId="380CD6B2">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2.2接受供应商提出的“超出响应文件的范围或者改变响应文件的实质性内容”的澄清、说明或者更正； </w:t>
      </w:r>
    </w:p>
    <w:p w14:paraId="47AB5619">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2.3违反评审纪律发表倾向性意见或者征询采购人的倾向性意见；</w:t>
      </w:r>
    </w:p>
    <w:p w14:paraId="2CC36963">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2.4对需要专业判断的主观评审因素协商评分；</w:t>
      </w:r>
    </w:p>
    <w:p w14:paraId="707D7D39">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2.5在评审过程中擅离职守，影响评审程序正常进行的；</w:t>
      </w:r>
    </w:p>
    <w:p w14:paraId="6020B6DD">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2.6记录、复制或者带走任何评审资料；</w:t>
      </w:r>
    </w:p>
    <w:p w14:paraId="55BCFD92">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2.7其他不遵守评审纪律的行为。</w:t>
      </w:r>
    </w:p>
    <w:p w14:paraId="59248836">
      <w:pPr>
        <w:pStyle w:val="396"/>
        <w:pageBreakBefore w:val="0"/>
        <w:kinsoku/>
        <w:overflowPunct/>
        <w:topLinePunct w:val="0"/>
        <w:bidi w:val="0"/>
        <w:spacing w:before="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磋商小组成员有2.1-2.5行为之一的，其评审意见无效，并不得获取评审劳务报酬和报销异地评审差旅费。</w:t>
      </w:r>
    </w:p>
    <w:p w14:paraId="26B03929">
      <w:pPr>
        <w:pStyle w:val="396"/>
        <w:pageBreakBefore w:val="0"/>
        <w:kinsoku/>
        <w:overflowPunct/>
        <w:topLinePunct w:val="0"/>
        <w:bidi w:val="0"/>
        <w:spacing w:before="0" w:line="360" w:lineRule="auto"/>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p>
    <w:p w14:paraId="217F681A">
      <w:pPr>
        <w:pStyle w:val="396"/>
        <w:pageBreakBefore w:val="0"/>
        <w:kinsoku/>
        <w:overflowPunct/>
        <w:topLinePunct w:val="0"/>
        <w:bidi w:val="0"/>
        <w:spacing w:before="0" w:line="360" w:lineRule="auto"/>
        <w:ind w:firstLine="0" w:firstLineChars="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四、评审程序</w:t>
      </w:r>
    </w:p>
    <w:p w14:paraId="3C677A07">
      <w:pPr>
        <w:pStyle w:val="396"/>
        <w:pageBreakBefore w:val="0"/>
        <w:kinsoku/>
        <w:overflowPunct/>
        <w:topLinePunct w:val="0"/>
        <w:bidi w:val="0"/>
        <w:spacing w:before="0" w:line="360" w:lineRule="auto"/>
        <w:ind w:firstLine="413" w:firstLineChars="196"/>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详见磋商文件“第二部分 竞争性磋商流程”。</w:t>
      </w:r>
    </w:p>
    <w:p w14:paraId="260FA400">
      <w:pPr>
        <w:pStyle w:val="396"/>
        <w:pageBreakBefore w:val="0"/>
        <w:kinsoku/>
        <w:overflowPunct/>
        <w:topLinePunct w:val="0"/>
        <w:bidi w:val="0"/>
        <w:spacing w:before="0" w:line="360" w:lineRule="auto"/>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p>
    <w:p w14:paraId="41FFB0DC">
      <w:pPr>
        <w:pStyle w:val="396"/>
        <w:pageBreakBefore w:val="0"/>
        <w:kinsoku/>
        <w:overflowPunct/>
        <w:topLinePunct w:val="0"/>
        <w:bidi w:val="0"/>
        <w:spacing w:before="0" w:line="360" w:lineRule="auto"/>
        <w:ind w:firstLine="0" w:firstLineChars="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五、评审须知</w:t>
      </w:r>
    </w:p>
    <w:p w14:paraId="1F6858F3">
      <w:pPr>
        <w:pStyle w:val="396"/>
        <w:pageBreakBefore w:val="0"/>
        <w:kinsoku/>
        <w:overflowPunct/>
        <w:topLinePunct w:val="0"/>
        <w:bidi w:val="0"/>
        <w:spacing w:before="0" w:line="360" w:lineRule="auto"/>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 响应文件的澄清</w:t>
      </w:r>
    </w:p>
    <w:p w14:paraId="1C46DF0F">
      <w:pPr>
        <w:pageBreakBefore w:val="0"/>
        <w:kinsoku/>
        <w:overflowPunct/>
        <w:topLinePunct w:val="0"/>
        <w:bidi w:val="0"/>
        <w:spacing w:line="360" w:lineRule="auto"/>
        <w:ind w:firstLine="48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1C351BD">
      <w:pPr>
        <w:pStyle w:val="396"/>
        <w:pageBreakBefore w:val="0"/>
        <w:kinsoku/>
        <w:overflowPunct/>
        <w:topLinePunct w:val="0"/>
        <w:bidi w:val="0"/>
        <w:spacing w:before="0" w:line="360" w:lineRule="auto"/>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2.最后报价的修正原则</w:t>
      </w:r>
    </w:p>
    <w:p w14:paraId="127CA672">
      <w:pPr>
        <w:pageBreakBefore w:val="0"/>
        <w:kinsoku/>
        <w:overflowPunct/>
        <w:topLinePunct w:val="0"/>
        <w:bidi w:val="0"/>
        <w:spacing w:line="360" w:lineRule="auto"/>
        <w:ind w:firstLine="48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磋商小组对响应文件的最后报价进行审核，对发现计算、书写等错误的，按以下原则进行修正：</w:t>
      </w:r>
    </w:p>
    <w:p w14:paraId="30925705">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2.1《最后报价一览表》内容与响应文件中响应内容不一致的，以《最后报价一览表》为准;</w:t>
      </w:r>
    </w:p>
    <w:p w14:paraId="5B365577">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2.2大写金额和小写金额不一致的，以大写金额为准;</w:t>
      </w:r>
    </w:p>
    <w:p w14:paraId="782844AC">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2.3单价金额小数点或者百分比有明显错位的，以《最后报价一览表》的总价为准，并修改单价;</w:t>
      </w:r>
    </w:p>
    <w:p w14:paraId="28A6DD2D">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2.4总价金额与按单价汇总金额不一致的，以单价金额计算结果为准。</w:t>
      </w:r>
    </w:p>
    <w:p w14:paraId="0733CB11">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2.5同时出现两种以上不一致的，按照前款规定的顺序修正。</w:t>
      </w:r>
    </w:p>
    <w:p w14:paraId="2ABEEBCE">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2.6以修正后的总价作为最后报价。</w:t>
      </w:r>
    </w:p>
    <w:p w14:paraId="2C0B9F2D">
      <w:pPr>
        <w:pageBreakBefore w:val="0"/>
        <w:kinsoku/>
        <w:overflowPunct/>
        <w:topLinePunct w:val="0"/>
        <w:bidi w:val="0"/>
        <w:spacing w:line="360" w:lineRule="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供应商对根据修正原则修正后的最后报价不确认的，响应无效。</w:t>
      </w:r>
    </w:p>
    <w:p w14:paraId="623A011D">
      <w:pPr>
        <w:pStyle w:val="396"/>
        <w:pageBreakBefore w:val="0"/>
        <w:kinsoku/>
        <w:overflowPunct/>
        <w:topLinePunct w:val="0"/>
        <w:bidi w:val="0"/>
        <w:spacing w:before="0" w:line="360" w:lineRule="auto"/>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w:t>
      </w:r>
      <w:r>
        <w:rPr>
          <w:rFonts w:hint="eastAsia" w:ascii="宋体" w:hAnsi="宋体" w:eastAsia="宋体" w:cs="宋体"/>
          <w:b/>
          <w:color w:val="000000" w:themeColor="text1"/>
          <w:spacing w:val="20"/>
          <w:sz w:val="21"/>
          <w:szCs w:val="21"/>
          <w:highlight w:val="none"/>
          <w14:textFill>
            <w14:solidFill>
              <w14:schemeClr w14:val="tx1"/>
            </w14:solidFill>
          </w14:textFill>
        </w:rPr>
        <w:t>响应无效</w:t>
      </w:r>
    </w:p>
    <w:p w14:paraId="4057CE15">
      <w:pPr>
        <w:pStyle w:val="27"/>
        <w:pageBreakBefore w:val="0"/>
        <w:kinsoku/>
        <w:overflowPunct/>
        <w:topLinePunct w:val="0"/>
        <w:bidi w:val="0"/>
        <w:spacing w:line="360" w:lineRule="auto"/>
        <w:ind w:firstLine="525" w:firstLineChars="2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有下列情况之一的，响应无效：</w:t>
      </w:r>
    </w:p>
    <w:p w14:paraId="0AB32EDC">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3.1单位负责人为同一人或者存在直接控股、管理关系的不同供应商参加同一合同项下的政府采购活动的（均无效）；</w:t>
      </w:r>
    </w:p>
    <w:p w14:paraId="4B33F504">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3.2为采购项目提供整体设计、规范编制或者项目管理、监理、检测等服务的供应商再参加该采购项目的其他采购活动的； </w:t>
      </w:r>
    </w:p>
    <w:p w14:paraId="4FFD66F6">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3.3供应商不具备磋商文件中规定的资格要求的（供应商未提供有效的资格证明文件的，视为供应商不具备磋商文件中规定的资格要求）；</w:t>
      </w:r>
    </w:p>
    <w:p w14:paraId="40720FC4">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3.4如以联合体形式参加政府采购活动的，联合协议不符合磋商文件规定的联合协议要求的；</w:t>
      </w:r>
    </w:p>
    <w:p w14:paraId="5D74180E">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3.5响应文件未按磋商文件的澄清、修改的内容编制，又不符合实质性要求的；</w:t>
      </w:r>
    </w:p>
    <w:p w14:paraId="10BAB656">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3.6响应文件组成漏项，内容不全或内容字迹模糊辨认不清的；</w:t>
      </w:r>
    </w:p>
    <w:p w14:paraId="7ADCF12B">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3.7响应文件中法人授权书所载内容与本项目内容有异的；</w:t>
      </w:r>
    </w:p>
    <w:p w14:paraId="1111C2FE">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3.8响应文件未按照磋商文件要求签署、盖章的；</w:t>
      </w:r>
    </w:p>
    <w:p w14:paraId="0D366381">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3.9</w:t>
      </w:r>
      <w:r>
        <w:rPr>
          <w:rFonts w:hint="eastAsia" w:ascii="宋体" w:hAnsi="宋体" w:eastAsia="宋体" w:cs="宋体"/>
          <w:color w:val="000000" w:themeColor="text1"/>
          <w:kern w:val="0"/>
          <w:szCs w:val="21"/>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w:t>
      </w:r>
    </w:p>
    <w:p w14:paraId="02BC7667">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3.10响应文件含有采购人不能接受的附加条件的；</w:t>
      </w:r>
    </w:p>
    <w:p w14:paraId="45A193B0">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3.11响应文件中承诺的响应有效期少于磋商文件中载明的响应有效期的；</w:t>
      </w:r>
    </w:p>
    <w:p w14:paraId="0611EAA2">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3.12供应商所投内容不符合磋商文件中实质性要求的；</w:t>
      </w:r>
    </w:p>
    <w:p w14:paraId="7E2CFAC1">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3.13所提交的《最后报价一览表》中出现不是唯一的、有选择性的报价的;</w:t>
      </w:r>
    </w:p>
    <w:p w14:paraId="2FDA6D23">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3.14最后报价高于本项目采购预算或者最高限价的;</w:t>
      </w:r>
    </w:p>
    <w:p w14:paraId="18E8A753">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3.15最后报价明显低于其他供应商的最后报价，有可能影响产品质量或者不能诚信履约的，未能按要求提供书面说明或者提交相关证明材料，不能证明其报价合理性的;</w:t>
      </w:r>
    </w:p>
    <w:p w14:paraId="0ACCF209">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3.16《最后报价一览表》填写不完整或字迹不能辨认或有漏项的；</w:t>
      </w:r>
    </w:p>
    <w:p w14:paraId="1903F1C7">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3.17供应商对根据修正原则修正后的最后报价不确认的；</w:t>
      </w:r>
    </w:p>
    <w:p w14:paraId="766380AE">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3.18供应商提供虚假材料响应的（包括但不限于以下情节）；</w:t>
      </w:r>
    </w:p>
    <w:p w14:paraId="281DAD28">
      <w:pPr>
        <w:pStyle w:val="109"/>
        <w:pageBreakBefore w:val="0"/>
        <w:numPr>
          <w:ilvl w:val="0"/>
          <w:numId w:val="9"/>
        </w:numPr>
        <w:kinsoku/>
        <w:overflowPunct/>
        <w:topLinePunct w:val="0"/>
        <w:bidi w:val="0"/>
        <w:spacing w:line="360" w:lineRule="auto"/>
        <w:ind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使用伪造、变造的许可证件；</w:t>
      </w:r>
    </w:p>
    <w:p w14:paraId="110620CB">
      <w:pPr>
        <w:pStyle w:val="109"/>
        <w:pageBreakBefore w:val="0"/>
        <w:numPr>
          <w:ilvl w:val="0"/>
          <w:numId w:val="9"/>
        </w:numPr>
        <w:kinsoku/>
        <w:overflowPunct/>
        <w:topLinePunct w:val="0"/>
        <w:bidi w:val="0"/>
        <w:spacing w:line="360" w:lineRule="auto"/>
        <w:ind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提供虚假的财务状况或者业绩；</w:t>
      </w:r>
    </w:p>
    <w:p w14:paraId="40343AC5">
      <w:pPr>
        <w:pStyle w:val="109"/>
        <w:pageBreakBefore w:val="0"/>
        <w:numPr>
          <w:ilvl w:val="0"/>
          <w:numId w:val="9"/>
        </w:numPr>
        <w:kinsoku/>
        <w:overflowPunct/>
        <w:topLinePunct w:val="0"/>
        <w:bidi w:val="0"/>
        <w:spacing w:line="360" w:lineRule="auto"/>
        <w:ind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提供虚假的项目负责人或者主要技术人员简历、劳动关系证明；</w:t>
      </w:r>
    </w:p>
    <w:p w14:paraId="4385B9C6">
      <w:pPr>
        <w:pStyle w:val="109"/>
        <w:pageBreakBefore w:val="0"/>
        <w:numPr>
          <w:ilvl w:val="0"/>
          <w:numId w:val="9"/>
        </w:numPr>
        <w:kinsoku/>
        <w:overflowPunct/>
        <w:topLinePunct w:val="0"/>
        <w:bidi w:val="0"/>
        <w:spacing w:line="360" w:lineRule="auto"/>
        <w:ind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提供虚假的信用状况；</w:t>
      </w:r>
    </w:p>
    <w:p w14:paraId="3AE21AC9">
      <w:pPr>
        <w:pStyle w:val="109"/>
        <w:pageBreakBefore w:val="0"/>
        <w:numPr>
          <w:ilvl w:val="0"/>
          <w:numId w:val="9"/>
        </w:numPr>
        <w:kinsoku/>
        <w:overflowPunct/>
        <w:topLinePunct w:val="0"/>
        <w:bidi w:val="0"/>
        <w:spacing w:line="360" w:lineRule="auto"/>
        <w:ind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其他弄虚作假的行为。</w:t>
      </w:r>
    </w:p>
    <w:p w14:paraId="38A1E20B">
      <w:pPr>
        <w:pageBreakBefore w:val="0"/>
        <w:kinsoku/>
        <w:overflowPunct/>
        <w:topLinePunct w:val="0"/>
        <w:bidi w:val="0"/>
        <w:spacing w:line="360" w:lineRule="auto"/>
        <w:ind w:firstLine="48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3.19供应商有恶意串通、妨碍其他供应商的竞争行为、损害采购人或者其他供应商的合法权益情形的。</w:t>
      </w:r>
    </w:p>
    <w:p w14:paraId="0D574C23">
      <w:pPr>
        <w:pageBreakBefore w:val="0"/>
        <w:kinsoku/>
        <w:overflowPunct/>
        <w:topLinePunct w:val="0"/>
        <w:bidi w:val="0"/>
        <w:spacing w:line="360" w:lineRule="auto"/>
        <w:ind w:firstLine="48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有下列情形之一的，属于或视为恶意串通，其响应无效：</w:t>
      </w:r>
    </w:p>
    <w:p w14:paraId="757629CD">
      <w:pPr>
        <w:pStyle w:val="109"/>
        <w:pageBreakBefore w:val="0"/>
        <w:numPr>
          <w:ilvl w:val="0"/>
          <w:numId w:val="10"/>
        </w:numPr>
        <w:kinsoku/>
        <w:overflowPunct/>
        <w:topLinePunct w:val="0"/>
        <w:bidi w:val="0"/>
        <w:spacing w:line="360" w:lineRule="auto"/>
        <w:ind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供应商直接或者间接从采购人或者采购代理机构处获得其他供应商的相关情况并修改其响应文件；</w:t>
      </w:r>
    </w:p>
    <w:p w14:paraId="2662A2F0">
      <w:pPr>
        <w:pStyle w:val="109"/>
        <w:pageBreakBefore w:val="0"/>
        <w:numPr>
          <w:ilvl w:val="0"/>
          <w:numId w:val="10"/>
        </w:numPr>
        <w:kinsoku/>
        <w:overflowPunct/>
        <w:topLinePunct w:val="0"/>
        <w:bidi w:val="0"/>
        <w:spacing w:line="360" w:lineRule="auto"/>
        <w:ind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供应商按照采购人或者采购代理机构的授意撤换、修改投标文件或者响应文件；</w:t>
      </w:r>
    </w:p>
    <w:p w14:paraId="7554325C">
      <w:pPr>
        <w:pStyle w:val="109"/>
        <w:pageBreakBefore w:val="0"/>
        <w:numPr>
          <w:ilvl w:val="0"/>
          <w:numId w:val="10"/>
        </w:numPr>
        <w:kinsoku/>
        <w:overflowPunct/>
        <w:topLinePunct w:val="0"/>
        <w:bidi w:val="0"/>
        <w:spacing w:line="360" w:lineRule="auto"/>
        <w:ind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供应商之间协商报价、技术方案等投标文件或者响应文件的实质性内容；</w:t>
      </w:r>
    </w:p>
    <w:p w14:paraId="7D114869">
      <w:pPr>
        <w:pStyle w:val="109"/>
        <w:pageBreakBefore w:val="0"/>
        <w:numPr>
          <w:ilvl w:val="0"/>
          <w:numId w:val="10"/>
        </w:numPr>
        <w:kinsoku/>
        <w:overflowPunct/>
        <w:topLinePunct w:val="0"/>
        <w:bidi w:val="0"/>
        <w:spacing w:line="360" w:lineRule="auto"/>
        <w:ind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属于同一集团、协会、商会等组织成员的供应商按照该组织要求协同参加政府采购活动；</w:t>
      </w:r>
    </w:p>
    <w:p w14:paraId="0119D9A6">
      <w:pPr>
        <w:pStyle w:val="109"/>
        <w:pageBreakBefore w:val="0"/>
        <w:numPr>
          <w:ilvl w:val="0"/>
          <w:numId w:val="10"/>
        </w:numPr>
        <w:kinsoku/>
        <w:overflowPunct/>
        <w:topLinePunct w:val="0"/>
        <w:bidi w:val="0"/>
        <w:spacing w:line="360" w:lineRule="auto"/>
        <w:ind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供应商之间事先约定由某一特定供应商中标、成交；</w:t>
      </w:r>
    </w:p>
    <w:p w14:paraId="399D9EE8">
      <w:pPr>
        <w:pStyle w:val="109"/>
        <w:pageBreakBefore w:val="0"/>
        <w:numPr>
          <w:ilvl w:val="0"/>
          <w:numId w:val="10"/>
        </w:numPr>
        <w:kinsoku/>
        <w:overflowPunct/>
        <w:topLinePunct w:val="0"/>
        <w:bidi w:val="0"/>
        <w:spacing w:line="360" w:lineRule="auto"/>
        <w:ind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供应商之间商定部分供应商放弃参加政府采购活动或者放弃中标、成交；</w:t>
      </w:r>
    </w:p>
    <w:p w14:paraId="05714D68">
      <w:pPr>
        <w:pStyle w:val="109"/>
        <w:pageBreakBefore w:val="0"/>
        <w:numPr>
          <w:ilvl w:val="0"/>
          <w:numId w:val="10"/>
        </w:numPr>
        <w:kinsoku/>
        <w:overflowPunct/>
        <w:topLinePunct w:val="0"/>
        <w:bidi w:val="0"/>
        <w:spacing w:line="360" w:lineRule="auto"/>
        <w:ind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供应商与采购人或者采购代理机构之间、供应商相互之间，为谋求特定供应商中标、成交或者排斥其他供应商的其他串通行为。</w:t>
      </w:r>
    </w:p>
    <w:p w14:paraId="518AAB06">
      <w:pPr>
        <w:pStyle w:val="109"/>
        <w:pageBreakBefore w:val="0"/>
        <w:numPr>
          <w:ilvl w:val="0"/>
          <w:numId w:val="10"/>
        </w:numPr>
        <w:kinsoku/>
        <w:overflowPunct/>
        <w:topLinePunct w:val="0"/>
        <w:bidi w:val="0"/>
        <w:spacing w:line="360" w:lineRule="auto"/>
        <w:ind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不同供应商的响应文件由同一单位或者个人编制；</w:t>
      </w:r>
    </w:p>
    <w:p w14:paraId="16776CA2">
      <w:pPr>
        <w:pStyle w:val="109"/>
        <w:pageBreakBefore w:val="0"/>
        <w:numPr>
          <w:ilvl w:val="0"/>
          <w:numId w:val="10"/>
        </w:numPr>
        <w:kinsoku/>
        <w:overflowPunct/>
        <w:topLinePunct w:val="0"/>
        <w:bidi w:val="0"/>
        <w:spacing w:line="360" w:lineRule="auto"/>
        <w:ind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不同供应商委托同一单位或者个人办理响应事宜；</w:t>
      </w:r>
    </w:p>
    <w:p w14:paraId="305EA524">
      <w:pPr>
        <w:pStyle w:val="109"/>
        <w:pageBreakBefore w:val="0"/>
        <w:numPr>
          <w:ilvl w:val="0"/>
          <w:numId w:val="10"/>
        </w:numPr>
        <w:kinsoku/>
        <w:overflowPunct/>
        <w:topLinePunct w:val="0"/>
        <w:bidi w:val="0"/>
        <w:spacing w:line="360" w:lineRule="auto"/>
        <w:ind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不同供应商的响应文件载明的项目管理成员或者联系人员为同一人；</w:t>
      </w:r>
    </w:p>
    <w:p w14:paraId="0D2C10F8">
      <w:pPr>
        <w:pStyle w:val="109"/>
        <w:pageBreakBefore w:val="0"/>
        <w:numPr>
          <w:ilvl w:val="0"/>
          <w:numId w:val="10"/>
        </w:numPr>
        <w:kinsoku/>
        <w:overflowPunct/>
        <w:topLinePunct w:val="0"/>
        <w:bidi w:val="0"/>
        <w:spacing w:line="360" w:lineRule="auto"/>
        <w:ind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不同供应商的响应文件异常一致或者最后报价呈规律性差异；</w:t>
      </w:r>
    </w:p>
    <w:p w14:paraId="5FFE9233">
      <w:pPr>
        <w:pStyle w:val="109"/>
        <w:pageBreakBefore w:val="0"/>
        <w:numPr>
          <w:ilvl w:val="0"/>
          <w:numId w:val="10"/>
        </w:numPr>
        <w:kinsoku/>
        <w:overflowPunct/>
        <w:topLinePunct w:val="0"/>
        <w:bidi w:val="0"/>
        <w:spacing w:line="360" w:lineRule="auto"/>
        <w:ind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不同供应商的响应文件相互混装。</w:t>
      </w:r>
    </w:p>
    <w:p w14:paraId="4926C680">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3.20供应商仅提交备份响应文件，没有在电子交易平台传输提交响应文件的，响应无效；</w:t>
      </w:r>
    </w:p>
    <w:p w14:paraId="07344782">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3.21法律、法规、规章（适用本市的）及省级以上规范性文件（适用本市的）规定的其他无效情形。</w:t>
      </w:r>
    </w:p>
    <w:p w14:paraId="78E468B9">
      <w:pPr>
        <w:pageBreakBefore w:val="0"/>
        <w:kinsoku/>
        <w:overflowPunct/>
        <w:topLinePunct w:val="0"/>
        <w:bidi w:val="0"/>
        <w:spacing w:line="360" w:lineRule="auto"/>
        <w:ind w:firstLine="422" w:firstLineChars="200"/>
        <w:rPr>
          <w:rFonts w:hint="eastAsia" w:eastAsia="宋体"/>
          <w:lang w:eastAsia="zh-CN"/>
        </w:rPr>
      </w:pPr>
      <w:r>
        <w:rPr>
          <w:rFonts w:hint="eastAsia" w:ascii="宋体" w:hAnsi="宋体" w:cs="宋体"/>
          <w:b/>
          <w:bCs/>
          <w:kern w:val="0"/>
          <w:szCs w:val="21"/>
          <w:highlight w:val="none"/>
          <w:lang w:val="en-US" w:eastAsia="zh-CN"/>
        </w:rPr>
        <w:t>3.22（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在资格审查或评审过程中，发现供应商有采购文件约定的上述情形的，应当根据采购文件认定其投标（响应）无效。</w:t>
      </w:r>
    </w:p>
    <w:p w14:paraId="7DC62C30">
      <w:pPr>
        <w:pStyle w:val="396"/>
        <w:pageBreakBefore w:val="0"/>
        <w:kinsoku/>
        <w:overflowPunct/>
        <w:topLinePunct w:val="0"/>
        <w:bidi w:val="0"/>
        <w:spacing w:before="0" w:line="360" w:lineRule="auto"/>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4. 重新开展采购活动</w:t>
      </w:r>
    </w:p>
    <w:p w14:paraId="4D5CCD4C">
      <w:pPr>
        <w:pageBreakBefore w:val="0"/>
        <w:kinsoku/>
        <w:overflowPunct/>
        <w:topLinePunct w:val="0"/>
        <w:bidi w:val="0"/>
        <w:spacing w:line="360" w:lineRule="auto"/>
        <w:ind w:firstLine="407" w:firstLineChars="19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出现下列情形之一的，采购代理机构应当终止竞争性磋商采购活动，通过电子交易平台发布项目终止公告并说明原因，重新开展采购活动：</w:t>
      </w:r>
    </w:p>
    <w:p w14:paraId="14A63116">
      <w:pPr>
        <w:pageBreakBefore w:val="0"/>
        <w:kinsoku/>
        <w:overflowPunct/>
        <w:topLinePunct w:val="0"/>
        <w:bidi w:val="0"/>
        <w:spacing w:line="360" w:lineRule="auto"/>
        <w:ind w:firstLine="407" w:firstLineChars="19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（1）因情况变化，不再符合规定的竞争性磋商采购方式适用情形的；</w:t>
      </w:r>
    </w:p>
    <w:p w14:paraId="05B9A382">
      <w:pPr>
        <w:pageBreakBefore w:val="0"/>
        <w:kinsoku/>
        <w:overflowPunct/>
        <w:topLinePunct w:val="0"/>
        <w:bidi w:val="0"/>
        <w:spacing w:line="360" w:lineRule="auto"/>
        <w:ind w:firstLine="407" w:firstLineChars="19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（2）出现影响采购公正的违法、违规行为的；</w:t>
      </w:r>
    </w:p>
    <w:p w14:paraId="278B1DFE">
      <w:pPr>
        <w:pageBreakBefore w:val="0"/>
        <w:kinsoku/>
        <w:overflowPunct/>
        <w:topLinePunct w:val="0"/>
        <w:bidi w:val="0"/>
        <w:spacing w:line="360" w:lineRule="auto"/>
        <w:ind w:firstLine="407" w:firstLineChars="19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（3）在采购过程中符合要求的供应商或者最后报价未超过采购预算的供应商不足3家的（有特殊规定的从其规定）。</w:t>
      </w:r>
    </w:p>
    <w:p w14:paraId="72F45447">
      <w:pPr>
        <w:pStyle w:val="396"/>
        <w:pageBreakBefore w:val="0"/>
        <w:kinsoku/>
        <w:overflowPunct/>
        <w:topLinePunct w:val="0"/>
        <w:bidi w:val="0"/>
        <w:spacing w:before="0" w:line="360" w:lineRule="auto"/>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5. 终止采购活动</w:t>
      </w:r>
    </w:p>
    <w:p w14:paraId="7C4C6CEC">
      <w:pPr>
        <w:pageBreakBefore w:val="0"/>
        <w:kinsoku/>
        <w:overflowPunct/>
        <w:topLinePunct w:val="0"/>
        <w:bidi w:val="0"/>
        <w:spacing w:line="360" w:lineRule="auto"/>
        <w:ind w:firstLine="407" w:firstLineChars="19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在采购活动中因重大变故，采购任务取消的，采购代理机构将终止采购活动，通过电子交易平台通知所有参加采购活动的供应商，并将项目实施情况和采购任务取消原因报送本级财政部门。</w:t>
      </w:r>
    </w:p>
    <w:p w14:paraId="252D30EE">
      <w:pPr>
        <w:pageBreakBefore w:val="0"/>
        <w:kinsoku/>
        <w:overflowPunct/>
        <w:topLinePunct w:val="0"/>
        <w:bidi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6. 采购代理机构有权对磋商小组各成员的评分情况和评审意见进行合理性和合规性审查</w:t>
      </w:r>
      <w:r>
        <w:rPr>
          <w:rFonts w:hint="eastAsia" w:ascii="宋体" w:hAnsi="宋体" w:eastAsia="宋体" w:cs="宋体"/>
          <w:color w:val="000000" w:themeColor="text1"/>
          <w:szCs w:val="21"/>
          <w:highlight w:val="none"/>
          <w14:textFill>
            <w14:solidFill>
              <w14:schemeClr w14:val="tx1"/>
            </w14:solidFill>
          </w14:textFill>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0DEDDF49">
      <w:pPr>
        <w:pStyle w:val="396"/>
        <w:pageBreakBefore w:val="0"/>
        <w:kinsoku/>
        <w:overflowPunct/>
        <w:topLinePunct w:val="0"/>
        <w:bidi w:val="0"/>
        <w:spacing w:before="0" w:line="360" w:lineRule="auto"/>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p>
    <w:p w14:paraId="637A4C4D">
      <w:pPr>
        <w:pageBreakBefore w:val="0"/>
        <w:kinsoku/>
        <w:overflowPunct/>
        <w:topLinePunct w:val="0"/>
        <w:bidi w:val="0"/>
        <w:snapToGrid w:val="0"/>
        <w:spacing w:line="360" w:lineRule="auto"/>
        <w:ind w:left="120" w:leftChars="57" w:firstLine="316" w:firstLineChars="150"/>
        <w:jc w:val="center"/>
        <w:rPr>
          <w:rFonts w:hint="eastAsia" w:ascii="宋体" w:hAnsi="宋体" w:eastAsia="宋体" w:cs="宋体"/>
          <w:b/>
          <w:color w:val="000000" w:themeColor="text1"/>
          <w:szCs w:val="21"/>
          <w:highlight w:val="none"/>
          <w14:textFill>
            <w14:solidFill>
              <w14:schemeClr w14:val="tx1"/>
            </w14:solidFill>
          </w14:textFill>
        </w:rPr>
      </w:pPr>
    </w:p>
    <w:p w14:paraId="6056E435">
      <w:pPr>
        <w:pageBreakBefore w:val="0"/>
        <w:kinsoku/>
        <w:overflowPunct/>
        <w:topLinePunct w:val="0"/>
        <w:bidi w:val="0"/>
        <w:snapToGrid w:val="0"/>
        <w:spacing w:line="360" w:lineRule="auto"/>
        <w:ind w:left="120" w:leftChars="57" w:firstLine="316" w:firstLineChars="150"/>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六、评审过程的保密与录像</w:t>
      </w:r>
    </w:p>
    <w:p w14:paraId="76C29408">
      <w:pPr>
        <w:pageBreakBefore w:val="0"/>
        <w:widowControl/>
        <w:kinsoku/>
        <w:overflowPunct/>
        <w:topLinePunct w:val="0"/>
        <w:bidi w:val="0"/>
        <w:spacing w:line="360" w:lineRule="auto"/>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1.保密。</w:t>
      </w:r>
      <w:r>
        <w:rPr>
          <w:rFonts w:hint="eastAsia" w:ascii="宋体" w:hAnsi="宋体" w:eastAsia="宋体" w:cs="宋体"/>
          <w:color w:val="000000" w:themeColor="text1"/>
          <w:szCs w:val="21"/>
          <w:highlight w:val="none"/>
          <w14:textFill>
            <w14:solidFill>
              <w14:schemeClr w14:val="tx1"/>
            </w14:solidFill>
          </w14:textFill>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1041AD0F">
      <w:pPr>
        <w:pageBreakBefore w:val="0"/>
        <w:widowControl/>
        <w:kinsoku/>
        <w:overflowPunct/>
        <w:topLinePunct w:val="0"/>
        <w:bidi w:val="0"/>
        <w:spacing w:line="360" w:lineRule="auto"/>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2.录音录像。</w:t>
      </w:r>
      <w:r>
        <w:rPr>
          <w:rFonts w:hint="eastAsia" w:ascii="宋体" w:hAnsi="宋体" w:eastAsia="宋体" w:cs="宋体"/>
          <w:color w:val="000000" w:themeColor="text1"/>
          <w:szCs w:val="21"/>
          <w:highlight w:val="none"/>
          <w14:textFill>
            <w14:solidFill>
              <w14:schemeClr w14:val="tx1"/>
            </w14:solidFill>
          </w14:textFill>
        </w:rPr>
        <w:t>采购代理机构对评审工作现场进行全过程录音录像，录音录像资料作为采购项目文件随其他文件一并存档。</w:t>
      </w:r>
    </w:p>
    <w:p w14:paraId="61AF1709">
      <w:pPr>
        <w:pageBreakBefore w:val="0"/>
        <w:widowControl/>
        <w:kinsoku/>
        <w:overflowPunct/>
        <w:topLinePunct w:val="0"/>
        <w:bidi w:val="0"/>
        <w:adjustRightInd/>
        <w:spacing w:line="360" w:lineRule="auto"/>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p>
    <w:p w14:paraId="76733ED3">
      <w:pPr>
        <w:pageBreakBefore w:val="0"/>
        <w:kinsoku/>
        <w:overflowPunct/>
        <w:topLinePunct w:val="0"/>
        <w:bidi w:val="0"/>
        <w:adjustRightInd/>
        <w:spacing w:line="36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第六部分</w:t>
      </w:r>
      <w:bookmarkEnd w:id="54"/>
      <w:r>
        <w:rPr>
          <w:rFonts w:hint="eastAsia" w:ascii="宋体" w:hAnsi="宋体" w:eastAsia="宋体" w:cs="宋体"/>
          <w:b/>
          <w:color w:val="000000" w:themeColor="text1"/>
          <w:sz w:val="32"/>
          <w:szCs w:val="32"/>
          <w:highlight w:val="none"/>
          <w14:textFill>
            <w14:solidFill>
              <w14:schemeClr w14:val="tx1"/>
            </w14:solidFill>
          </w14:textFill>
        </w:rPr>
        <w:t xml:space="preserve">  嘉兴市政府采购合同（指引）</w:t>
      </w:r>
      <w:bookmarkStart w:id="55" w:name="第五部分"/>
      <w:bookmarkStart w:id="56" w:name="_Toc86217003"/>
    </w:p>
    <w:p w14:paraId="0F19BBC0">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项目编号：</w:t>
      </w:r>
      <w:r>
        <w:rPr>
          <w:rFonts w:hint="eastAsia" w:ascii="宋体" w:hAnsi="宋体" w:eastAsia="宋体" w:cs="宋体"/>
          <w:color w:val="000000" w:themeColor="text1"/>
          <w:kern w:val="0"/>
          <w:szCs w:val="21"/>
          <w:highlight w:val="none"/>
          <w:lang w:eastAsia="zh-CN"/>
          <w14:textFill>
            <w14:solidFill>
              <w14:schemeClr w14:val="tx1"/>
            </w14:solidFill>
          </w14:textFill>
        </w:rPr>
        <w:t>JXSJ-2025-47</w:t>
      </w:r>
    </w:p>
    <w:p w14:paraId="73916DBA">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合同编号：</w:t>
      </w:r>
      <w:r>
        <w:rPr>
          <w:rFonts w:hint="eastAsia" w:ascii="宋体" w:hAnsi="宋体" w:eastAsia="宋体" w:cs="宋体"/>
          <w:color w:val="000000" w:themeColor="text1"/>
          <w:kern w:val="0"/>
          <w:szCs w:val="21"/>
          <w:highlight w:val="none"/>
          <w:lang w:eastAsia="zh-CN"/>
          <w14:textFill>
            <w14:solidFill>
              <w14:schemeClr w14:val="tx1"/>
            </w14:solidFill>
          </w14:textFill>
        </w:rPr>
        <w:t>JXSJ-2025-47</w:t>
      </w:r>
    </w:p>
    <w:p w14:paraId="40B1A658">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政府采购计划（预算）确认书号：临[2025]1406号</w:t>
      </w:r>
    </w:p>
    <w:p w14:paraId="12D4095C">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采购人（以下称甲方）：</w:t>
      </w:r>
    </w:p>
    <w:p w14:paraId="11DA3239">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供应商（以下称乙方）： </w:t>
      </w:r>
    </w:p>
    <w:p w14:paraId="619C010B">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招标代理：嘉兴市建新工程造价咨询事务所有限公司</w:t>
      </w:r>
    </w:p>
    <w:p w14:paraId="099072CF">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采购人式：公开招标</w:t>
      </w:r>
    </w:p>
    <w:p w14:paraId="509AF2BD">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根据《中华人民共和国政府采购法》、《中华人民共和国民法典》等法律法规的规定，按照</w:t>
      </w:r>
      <w:r>
        <w:rPr>
          <w:rFonts w:hint="eastAsia" w:ascii="宋体" w:hAnsi="宋体" w:cs="宋体"/>
          <w:b/>
          <w:bCs/>
          <w:color w:val="000000" w:themeColor="text1"/>
          <w:szCs w:val="21"/>
          <w:highlight w:val="none"/>
          <w:u w:val="single"/>
          <w:lang w:eastAsia="zh-CN"/>
          <w14:textFill>
            <w14:solidFill>
              <w14:schemeClr w14:val="tx1"/>
            </w14:solidFill>
          </w14:textFill>
        </w:rPr>
        <w:t>南湖区“精康融合行动”实施服务项目</w:t>
      </w:r>
      <w:r>
        <w:rPr>
          <w:rFonts w:hint="eastAsia" w:ascii="宋体" w:hAnsi="宋体" w:eastAsia="宋体" w:cs="宋体"/>
          <w:color w:val="000000" w:themeColor="text1"/>
          <w:kern w:val="0"/>
          <w:szCs w:val="21"/>
          <w:highlight w:val="none"/>
          <w14:textFill>
            <w14:solidFill>
              <w14:schemeClr w14:val="tx1"/>
            </w14:solidFill>
          </w14:textFill>
        </w:rPr>
        <w:t>采购结果，遵守</w:t>
      </w:r>
      <w:r>
        <w:rPr>
          <w:rFonts w:hint="eastAsia" w:ascii="宋体" w:hAnsi="宋体" w:eastAsia="宋体" w:cs="宋体"/>
          <w:color w:val="000000" w:themeColor="text1"/>
          <w:kern w:val="0"/>
          <w:szCs w:val="21"/>
          <w:highlight w:val="none"/>
          <w:lang w:val="zh-CN"/>
          <w14:textFill>
            <w14:solidFill>
              <w14:schemeClr w14:val="tx1"/>
            </w14:solidFill>
          </w14:textFill>
        </w:rPr>
        <w:t>平等、自愿、公平、诚实信用和绿色的原则，经</w:t>
      </w:r>
      <w:r>
        <w:rPr>
          <w:rFonts w:hint="eastAsia" w:ascii="宋体" w:hAnsi="宋体" w:eastAsia="宋体" w:cs="宋体"/>
          <w:color w:val="000000" w:themeColor="text1"/>
          <w:kern w:val="0"/>
          <w:szCs w:val="21"/>
          <w:highlight w:val="none"/>
          <w14:textFill>
            <w14:solidFill>
              <w14:schemeClr w14:val="tx1"/>
            </w14:solidFill>
          </w14:textFill>
        </w:rPr>
        <w:t>甲乙双方</w:t>
      </w:r>
      <w:r>
        <w:rPr>
          <w:rFonts w:hint="eastAsia" w:ascii="宋体" w:hAnsi="宋体" w:eastAsia="宋体" w:cs="宋体"/>
          <w:color w:val="000000" w:themeColor="text1"/>
          <w:kern w:val="0"/>
          <w:szCs w:val="21"/>
          <w:highlight w:val="none"/>
          <w:lang w:val="zh-CN"/>
          <w14:textFill>
            <w14:solidFill>
              <w14:schemeClr w14:val="tx1"/>
            </w14:solidFill>
          </w14:textFill>
        </w:rPr>
        <w:t>协商一致，约定以下合同</w:t>
      </w:r>
      <w:r>
        <w:rPr>
          <w:rFonts w:hint="eastAsia" w:ascii="宋体" w:hAnsi="宋体" w:eastAsia="宋体" w:cs="宋体"/>
          <w:color w:val="000000" w:themeColor="text1"/>
          <w:kern w:val="0"/>
          <w:szCs w:val="21"/>
          <w:highlight w:val="none"/>
          <w14:textFill>
            <w14:solidFill>
              <w14:schemeClr w14:val="tx1"/>
            </w14:solidFill>
          </w14:textFill>
        </w:rPr>
        <w:t>条款，以兹共同遵守、全面履行。</w:t>
      </w:r>
    </w:p>
    <w:p w14:paraId="00F12AD0">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第一条 合同组成</w:t>
      </w:r>
    </w:p>
    <w:p w14:paraId="3501ACC3">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3E9CA8F7">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（1）本合同及其补充合同、变更协议；</w:t>
      </w:r>
    </w:p>
    <w:p w14:paraId="62E708B0">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（2）中标或成交通知书；</w:t>
      </w:r>
    </w:p>
    <w:p w14:paraId="63194CC3">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（3）投标文件（含澄清或者说明文件）；</w:t>
      </w:r>
    </w:p>
    <w:p w14:paraId="3C182E05">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（4）招标文件（含澄清或者修改文件）；</w:t>
      </w:r>
    </w:p>
    <w:p w14:paraId="38C94867">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（5）其他相关招标文件。</w:t>
      </w:r>
    </w:p>
    <w:p w14:paraId="72295EDA">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组成本合同的所有文件必须为书面形式。政府采购合同备案时，须提供以上（1）、（2）两项，如由社会中介机构代理，须提供代理协议，合同如有变更的，须提供变更协议。</w:t>
      </w:r>
    </w:p>
    <w:p w14:paraId="551A65CA">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第二条 合同标的</w:t>
      </w:r>
    </w:p>
    <w:p w14:paraId="4FE2EBB9">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本次采购的是</w:t>
      </w:r>
      <w:r>
        <w:rPr>
          <w:rFonts w:hint="eastAsia" w:ascii="宋体" w:hAnsi="宋体" w:cs="宋体"/>
          <w:color w:val="000000" w:themeColor="text1"/>
          <w:szCs w:val="21"/>
          <w:highlight w:val="none"/>
          <w:u w:val="single"/>
          <w:lang w:eastAsia="zh-CN"/>
          <w14:textFill>
            <w14:solidFill>
              <w14:schemeClr w14:val="tx1"/>
            </w14:solidFill>
          </w14:textFill>
        </w:rPr>
        <w:t>南湖区“精康融合行动”实施服务项目</w:t>
      </w:r>
    </w:p>
    <w:p w14:paraId="5C6EA2E2">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第三条 合同价款及付款方式</w:t>
      </w:r>
    </w:p>
    <w:p w14:paraId="213D75E4">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1、合同价款：</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14:paraId="7DC29273">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2、服务时间：</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14:paraId="58E3F45C">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3、本合同总价款包括所有服务、人员、货物设计、材料、制造、包装、运输、安装、调试、检测、售后服务、税费等全部费用。</w:t>
      </w:r>
    </w:p>
    <w:p w14:paraId="5458B542">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4、本合同付款方式为以下第项：</w:t>
      </w:r>
    </w:p>
    <w:p w14:paraId="5F0E87CB">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（1）本合同项下的采购资金系甲方自行支付，付款程序为；</w:t>
      </w:r>
    </w:p>
    <w:p w14:paraId="0C6ABCDE">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（2）本合同项下的采购资金须财政直接支付，付款程序为；</w:t>
      </w:r>
    </w:p>
    <w:p w14:paraId="2081A1FF">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（3）其他方式：</w:t>
      </w:r>
    </w:p>
    <w:p w14:paraId="30EF760B">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5、本合同项下的采购资金付款进度按招投标文件规定，未规定时按以下第</w:t>
      </w:r>
      <w:r>
        <w:rPr>
          <w:rFonts w:hint="eastAsia" w:ascii="宋体" w:hAnsi="宋体" w:eastAsia="宋体" w:cs="宋体"/>
          <w:color w:val="000000" w:themeColor="text1"/>
          <w:kern w:val="0"/>
          <w:szCs w:val="21"/>
          <w:highlight w:val="none"/>
          <w:u w:val="single"/>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项支付：</w:t>
      </w:r>
    </w:p>
    <w:p w14:paraId="1BFDCF5F">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（1）一次性付款：乙方合同履行达到（条件）时，一次性付款；</w:t>
      </w:r>
    </w:p>
    <w:p w14:paraId="258C1498">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（2）分期付款：乙方合同履行达到</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招标文件和甲方要求时，</w:t>
      </w:r>
      <w:r>
        <w:rPr>
          <w:rFonts w:hint="eastAsia" w:ascii="宋体" w:hAnsi="宋体" w:eastAsia="宋体" w:cs="宋体"/>
          <w:color w:val="000000" w:themeColor="text1"/>
          <w:kern w:val="0"/>
          <w:szCs w:val="21"/>
          <w:highlight w:val="none"/>
          <w14:textFill>
            <w14:solidFill>
              <w14:schemeClr w14:val="tx1"/>
            </w14:solidFill>
          </w14:textFill>
        </w:rPr>
        <w:t>甲方</w:t>
      </w:r>
      <w:r>
        <w:rPr>
          <w:rFonts w:hint="eastAsia" w:ascii="宋体" w:hAnsi="宋体" w:eastAsia="宋体" w:cs="宋体"/>
          <w:color w:val="000000" w:themeColor="text1"/>
          <w:kern w:val="0"/>
          <w:szCs w:val="21"/>
          <w:highlight w:val="none"/>
          <w:u w:val="single"/>
          <w14:textFill>
            <w14:solidFill>
              <w14:schemeClr w14:val="tx1"/>
            </w14:solidFill>
          </w14:textFill>
        </w:rPr>
        <w:t xml:space="preserve">按进度 </w:t>
      </w:r>
      <w:r>
        <w:rPr>
          <w:rFonts w:hint="eastAsia" w:ascii="宋体" w:hAnsi="宋体" w:eastAsia="宋体" w:cs="宋体"/>
          <w:color w:val="000000" w:themeColor="text1"/>
          <w:kern w:val="0"/>
          <w:szCs w:val="21"/>
          <w:highlight w:val="none"/>
          <w14:textFill>
            <w14:solidFill>
              <w14:schemeClr w14:val="tx1"/>
            </w14:solidFill>
          </w14:textFill>
        </w:rPr>
        <w:t>进行支付，乙方凭有效发票、验收单等提交甲方进行支付流程。</w:t>
      </w:r>
    </w:p>
    <w:p w14:paraId="22ACF7DD">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若收取了履约保证金，则不应重复设置尾款支付条件。</w:t>
      </w:r>
    </w:p>
    <w:p w14:paraId="52698716">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第四条 履约保证金</w:t>
      </w:r>
    </w:p>
    <w:p w14:paraId="45956884">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按以下第</w:t>
      </w:r>
      <w:r>
        <w:rPr>
          <w:rFonts w:hint="eastAsia" w:ascii="宋体" w:hAnsi="宋体" w:eastAsia="宋体" w:cs="宋体"/>
          <w:color w:val="000000" w:themeColor="text1"/>
          <w:kern w:val="0"/>
          <w:szCs w:val="21"/>
          <w:highlight w:val="none"/>
          <w:u w:val="single"/>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项处理：</w:t>
      </w:r>
    </w:p>
    <w:p w14:paraId="4D34FE22">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1、本项目设置履约保证金，乙方应于</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   </w:t>
      </w:r>
      <w:r>
        <w:rPr>
          <w:rFonts w:hint="eastAsia" w:ascii="宋体" w:hAnsi="宋体" w:eastAsia="宋体" w:cs="宋体"/>
          <w:color w:val="000000" w:themeColor="text1"/>
          <w:kern w:val="0"/>
          <w:szCs w:val="21"/>
          <w:highlight w:val="none"/>
          <w14:textFill>
            <w14:solidFill>
              <w14:schemeClr w14:val="tx1"/>
            </w14:solidFill>
          </w14:textFill>
        </w:rPr>
        <w:t>（时间）向甲方提交履约保证金</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   </w:t>
      </w:r>
      <w:r>
        <w:rPr>
          <w:rFonts w:hint="eastAsia" w:ascii="宋体" w:hAnsi="宋体" w:eastAsia="宋体" w:cs="宋体"/>
          <w:color w:val="000000" w:themeColor="text1"/>
          <w:kern w:val="0"/>
          <w:szCs w:val="21"/>
          <w:highlight w:val="none"/>
          <w14:textFill>
            <w14:solidFill>
              <w14:schemeClr w14:val="tx1"/>
            </w14:solidFill>
          </w14:textFill>
        </w:rPr>
        <w:t>元。履约保证金在</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   </w:t>
      </w:r>
      <w:r>
        <w:rPr>
          <w:rFonts w:hint="eastAsia" w:ascii="宋体" w:hAnsi="宋体" w:eastAsia="宋体" w:cs="宋体"/>
          <w:color w:val="000000" w:themeColor="text1"/>
          <w:kern w:val="0"/>
          <w:szCs w:val="21"/>
          <w:highlight w:val="none"/>
          <w14:textFill>
            <w14:solidFill>
              <w14:schemeClr w14:val="tx1"/>
            </w14:solidFill>
          </w14:textFill>
        </w:rPr>
        <w:t>（时间）退还乙方。</w:t>
      </w:r>
    </w:p>
    <w:p w14:paraId="238A5D66">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2、本项目不设置履约保证金。</w:t>
      </w:r>
    </w:p>
    <w:p w14:paraId="31B3E679">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第五条 质量保证及售后服务</w:t>
      </w:r>
    </w:p>
    <w:p w14:paraId="0EFA5BE7">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1、乙方按招标文件规定的时间和要求完成各项服务。</w:t>
      </w:r>
    </w:p>
    <w:p w14:paraId="4D1083CF">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2、甲方其他服务需求。</w:t>
      </w:r>
    </w:p>
    <w:p w14:paraId="32EE72A4">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第六条 合同的变更和终止</w:t>
      </w:r>
    </w:p>
    <w:p w14:paraId="56171409">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除《政府采购法》第49条、第50条第二款规定的情形外，本合同一经签订，甲乙双方不得擅自终止合同或对合同实质性条款进行变更。确有特殊情况的，须经同级财政部门批准。</w:t>
      </w:r>
    </w:p>
    <w:p w14:paraId="50061961">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第七条 合同的转让与分包</w:t>
      </w:r>
    </w:p>
    <w:p w14:paraId="35C1B47A">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乙方须严格按《政府采购促进中小企业发展管理办法》等文件要求的预留份额比例、对象企业等内容进行分包。甲方有权对乙方不合规、不合理的分包行为提出限期整改要求，乙方不得拒绝整改。</w:t>
      </w:r>
    </w:p>
    <w:p w14:paraId="19C96490">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第八条 违约责任</w:t>
      </w:r>
    </w:p>
    <w:p w14:paraId="5DC906A8">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6773388">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、任何一方按照前述约定要求违约方支付违约金的同时，仍有权要求违约方继续履行合同、采取补救措施，并有</w:t>
      </w:r>
      <w:r>
        <w:rPr>
          <w:rFonts w:hint="eastAsia" w:ascii="宋体" w:hAnsi="宋体" w:eastAsia="宋体" w:cs="宋体"/>
          <w:color w:val="000000" w:themeColor="text1"/>
          <w:szCs w:val="21"/>
          <w:highlight w:val="none"/>
          <w14:textFill>
            <w14:solidFill>
              <w14:schemeClr w14:val="tx1"/>
            </w14:solidFill>
          </w14:textFill>
        </w:rPr>
        <w:t>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0ADC019">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E257BA7">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、如果出现政府采购监督管理部门在处理投诉事项期间，书面通知甲方暂停采购活动的情形，或者询问或质疑事项可能影响中标结果的，导致甲方中止履行合同的情形，均不视为甲方违约。</w:t>
      </w:r>
    </w:p>
    <w:p w14:paraId="6B2541AB">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第九条 不可抗力事件处理</w:t>
      </w:r>
    </w:p>
    <w:p w14:paraId="6A76F232">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1、在合同有效期内，任何一方因不可抗力事件导致不能履行合同的，合同履行期可延长，其延长期与不可抗力影响期相同。</w:t>
      </w:r>
    </w:p>
    <w:p w14:paraId="0ED2BCE4">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2、不可抗力事件发生后，应立即通知对方，并寄送有关权威机构出具的证明。</w:t>
      </w:r>
    </w:p>
    <w:p w14:paraId="6DADD601">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3、不可抗力事件延续120天以上，双方应通过友好协商，确定是否继续履行合同。</w:t>
      </w:r>
    </w:p>
    <w:p w14:paraId="76ED7B47">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第十条 争议的解决</w:t>
      </w:r>
    </w:p>
    <w:p w14:paraId="0AE411C4">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1、因履行本合同引起的或与本合同有关的争议，甲、乙双方应首先通过友好协商解决，如果协商不能解决争议，则采取以下第</w:t>
      </w:r>
      <w:r>
        <w:rPr>
          <w:rFonts w:hint="eastAsia" w:ascii="宋体" w:hAnsi="宋体" w:eastAsia="宋体" w:cs="宋体"/>
          <w:color w:val="000000" w:themeColor="text1"/>
          <w:kern w:val="0"/>
          <w:szCs w:val="21"/>
          <w:highlight w:val="none"/>
          <w:u w:val="singl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种方式解决争议：</w:t>
      </w:r>
    </w:p>
    <w:p w14:paraId="66213FB2">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（1）向甲方所在地有管辖权的人民法院提起诉讼；</w:t>
      </w:r>
    </w:p>
    <w:p w14:paraId="372349F3">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（2）向仲裁委员申请仲裁。</w:t>
      </w:r>
    </w:p>
    <w:p w14:paraId="7499FF32">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b/>
          <w:color w:val="000000" w:themeColor="text1"/>
          <w:kern w:val="0"/>
          <w:szCs w:val="21"/>
          <w:highlight w:val="none"/>
          <w:lang w:val="en-US" w:eastAsia="zh-CN"/>
          <w14:textFill>
            <w14:solidFill>
              <w14:schemeClr w14:val="tx1"/>
            </w14:solidFill>
          </w14:textFill>
        </w:rPr>
      </w:pPr>
      <w:r>
        <w:rPr>
          <w:rFonts w:hint="eastAsia" w:ascii="宋体" w:hAnsi="宋体" w:eastAsia="宋体" w:cs="宋体"/>
          <w:b/>
          <w:color w:val="000000" w:themeColor="text1"/>
          <w:kern w:val="0"/>
          <w:szCs w:val="21"/>
          <w:highlight w:val="none"/>
          <w:lang w:val="en-US" w:eastAsia="zh-CN"/>
          <w14:textFill>
            <w14:solidFill>
              <w14:schemeClr w14:val="tx1"/>
            </w14:solidFill>
          </w14:textFill>
        </w:rPr>
        <w:t>第十一条 合同份数</w:t>
      </w:r>
    </w:p>
    <w:p w14:paraId="4F670636">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210" w:firstLineChars="1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本合同一式</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贰 </w:t>
      </w:r>
      <w:r>
        <w:rPr>
          <w:rFonts w:hint="eastAsia" w:ascii="宋体" w:hAnsi="宋体" w:eastAsia="宋体" w:cs="宋体"/>
          <w:color w:val="000000" w:themeColor="text1"/>
          <w:kern w:val="0"/>
          <w:szCs w:val="21"/>
          <w:highlight w:val="none"/>
          <w14:textFill>
            <w14:solidFill>
              <w14:schemeClr w14:val="tx1"/>
            </w14:solidFill>
          </w14:textFill>
        </w:rPr>
        <w:t>份，甲乙双方各执</w:t>
      </w:r>
      <w:r>
        <w:rPr>
          <w:rFonts w:hint="eastAsia" w:ascii="宋体" w:hAnsi="宋体" w:eastAsia="宋体" w:cs="宋体"/>
          <w:color w:val="000000" w:themeColor="text1"/>
          <w:kern w:val="0"/>
          <w:szCs w:val="21"/>
          <w:highlight w:val="none"/>
          <w:u w:val="single"/>
          <w14:textFill>
            <w14:solidFill>
              <w14:schemeClr w14:val="tx1"/>
            </w14:solidFill>
          </w14:textFill>
        </w:rPr>
        <w:t>壹</w:t>
      </w:r>
      <w:r>
        <w:rPr>
          <w:rFonts w:hint="eastAsia" w:ascii="宋体" w:hAnsi="宋体" w:eastAsia="宋体" w:cs="宋体"/>
          <w:color w:val="000000" w:themeColor="text1"/>
          <w:kern w:val="0"/>
          <w:szCs w:val="21"/>
          <w:highlight w:val="none"/>
          <w14:textFill>
            <w14:solidFill>
              <w14:schemeClr w14:val="tx1"/>
            </w14:solidFill>
          </w14:textFill>
        </w:rPr>
        <w:t>份。若执行政采贷，另加</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贰 </w:t>
      </w:r>
      <w:r>
        <w:rPr>
          <w:rFonts w:hint="eastAsia" w:ascii="宋体" w:hAnsi="宋体" w:eastAsia="宋体" w:cs="宋体"/>
          <w:color w:val="000000" w:themeColor="text1"/>
          <w:kern w:val="0"/>
          <w:szCs w:val="21"/>
          <w:highlight w:val="none"/>
          <w14:textFill>
            <w14:solidFill>
              <w14:schemeClr w14:val="tx1"/>
            </w14:solidFill>
          </w14:textFill>
        </w:rPr>
        <w:t>份。</w:t>
      </w:r>
    </w:p>
    <w:p w14:paraId="0E08B654">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p>
    <w:p w14:paraId="47522735">
      <w:pPr>
        <w:pageBreakBefore w:val="0"/>
        <w:kinsoku/>
        <w:overflowPunct/>
        <w:topLinePunct w:val="0"/>
        <w:bidi w:val="0"/>
        <w:snapToGrid w:val="0"/>
        <w:spacing w:beforeLines="50" w:afterLines="50"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二、特殊专用条款部分（双方协商拟定）</w:t>
      </w:r>
    </w:p>
    <w:p w14:paraId="0EEB60D7">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第一条、服务方案</w:t>
      </w:r>
    </w:p>
    <w:p w14:paraId="28BFB692">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b/>
          <w:color w:val="000000" w:themeColor="text1"/>
          <w:kern w:val="0"/>
          <w:szCs w:val="21"/>
          <w:highlight w:val="none"/>
          <w14:textFill>
            <w14:solidFill>
              <w14:schemeClr w14:val="tx1"/>
            </w14:solidFill>
          </w14:textFill>
        </w:rPr>
      </w:pPr>
    </w:p>
    <w:p w14:paraId="3363BF20">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p>
    <w:p w14:paraId="2D1202F1">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p>
    <w:p w14:paraId="2C820FA7">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甲方：                             乙方： </w:t>
      </w:r>
    </w:p>
    <w:p w14:paraId="60DFFF47">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地址：                             地址： </w:t>
      </w:r>
    </w:p>
    <w:p w14:paraId="552D6473">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法定代表人或被授权人：             法定代表人或被授权人：</w:t>
      </w:r>
    </w:p>
    <w:p w14:paraId="2D910F8D">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3780" w:firstLineChars="18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开户银行：</w:t>
      </w:r>
    </w:p>
    <w:p w14:paraId="15E262C7">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3780" w:firstLineChars="18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开户账号：</w:t>
      </w:r>
    </w:p>
    <w:p w14:paraId="7C5BB31A">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ind w:firstLine="3780" w:firstLineChars="18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联系电话：</w:t>
      </w:r>
    </w:p>
    <w:p w14:paraId="5DDB91C5">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360" w:lineRule="auto"/>
        <w:jc w:val="left"/>
        <w:rPr>
          <w:rFonts w:hint="eastAsia" w:ascii="宋体" w:hAnsi="宋体" w:eastAsia="宋体" w:cs="宋体"/>
          <w:color w:val="000000" w:themeColor="text1"/>
          <w:szCs w:val="21"/>
          <w:highlight w:val="none"/>
          <w14:textFill>
            <w14:solidFill>
              <w14:schemeClr w14:val="tx1"/>
            </w14:solidFill>
          </w14:textFill>
        </w:rPr>
        <w:sectPr>
          <w:headerReference r:id="rId3" w:type="default"/>
          <w:footerReference r:id="rId4" w:type="default"/>
          <w:pgSz w:w="11849" w:h="16781"/>
          <w:pgMar w:top="1440" w:right="1797" w:bottom="1440" w:left="1797" w:header="851" w:footer="850" w:gutter="0"/>
          <w:cols w:space="0" w:num="1"/>
          <w:rtlGutter w:val="0"/>
          <w:docGrid w:linePitch="312" w:charSpace="0"/>
        </w:sectPr>
      </w:pPr>
      <w:r>
        <w:rPr>
          <w:rFonts w:hint="eastAsia" w:ascii="宋体" w:hAnsi="宋体" w:eastAsia="宋体" w:cs="宋体"/>
          <w:color w:val="000000" w:themeColor="text1"/>
          <w:kern w:val="0"/>
          <w:szCs w:val="21"/>
          <w:highlight w:val="none"/>
          <w14:textFill>
            <w14:solidFill>
              <w14:schemeClr w14:val="tx1"/>
            </w14:solidFill>
          </w14:textFill>
        </w:rPr>
        <w:t>签订地点：                          签订日期：      年  月  日</w:t>
      </w:r>
    </w:p>
    <w:bookmarkEnd w:id="55"/>
    <w:p w14:paraId="19677EA6">
      <w:pPr>
        <w:pageBreakBefore w:val="0"/>
        <w:kinsoku/>
        <w:overflowPunct/>
        <w:topLinePunct w:val="0"/>
        <w:bidi w:val="0"/>
        <w:adjustRightInd/>
        <w:spacing w:line="360" w:lineRule="auto"/>
        <w:jc w:val="center"/>
        <w:outlineLvl w:val="0"/>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 xml:space="preserve"> </w:t>
      </w:r>
      <w:bookmarkEnd w:id="56"/>
      <w:r>
        <w:rPr>
          <w:rFonts w:hint="eastAsia" w:ascii="宋体" w:hAnsi="宋体" w:eastAsia="宋体" w:cs="宋体"/>
          <w:b/>
          <w:color w:val="000000" w:themeColor="text1"/>
          <w:sz w:val="32"/>
          <w:szCs w:val="32"/>
          <w:highlight w:val="none"/>
          <w:lang w:val="en-US" w:eastAsia="zh-CN"/>
          <w14:textFill>
            <w14:solidFill>
              <w14:schemeClr w14:val="tx1"/>
            </w14:solidFill>
          </w14:textFill>
        </w:rPr>
        <w:t xml:space="preserve">第七部分 </w:t>
      </w:r>
      <w:r>
        <w:rPr>
          <w:rFonts w:hint="eastAsia" w:ascii="宋体" w:hAnsi="宋体" w:eastAsia="宋体" w:cs="宋体"/>
          <w:b/>
          <w:color w:val="000000" w:themeColor="text1"/>
          <w:sz w:val="32"/>
          <w:szCs w:val="32"/>
          <w:highlight w:val="none"/>
          <w:lang w:eastAsia="zh-CN"/>
          <w14:textFill>
            <w14:solidFill>
              <w14:schemeClr w14:val="tx1"/>
            </w14:solidFill>
          </w14:textFill>
        </w:rPr>
        <w:t>应提交的有关格式范例</w:t>
      </w:r>
    </w:p>
    <w:p w14:paraId="2FCE1F16">
      <w:pPr>
        <w:pageBreakBefore w:val="0"/>
        <w:numPr>
          <w:ilvl w:val="0"/>
          <w:numId w:val="0"/>
        </w:numPr>
        <w:kinsoku/>
        <w:overflowPunct/>
        <w:topLinePunct w:val="0"/>
        <w:bidi w:val="0"/>
        <w:adjustRightInd/>
        <w:spacing w:line="360" w:lineRule="auto"/>
        <w:jc w:val="center"/>
        <w:outlineLvl w:val="0"/>
        <w:rPr>
          <w:rFonts w:hint="eastAsia" w:ascii="宋体" w:hAnsi="宋体" w:eastAsia="宋体" w:cs="宋体"/>
          <w:b/>
          <w:color w:val="000000" w:themeColor="text1"/>
          <w:szCs w:val="21"/>
          <w:highlight w:val="none"/>
          <w14:textFill>
            <w14:solidFill>
              <w14:schemeClr w14:val="tx1"/>
            </w14:solidFill>
          </w14:textFill>
        </w:rPr>
      </w:pPr>
    </w:p>
    <w:p w14:paraId="259A23F5">
      <w:pPr>
        <w:pageBreakBefore w:val="0"/>
        <w:kinsoku/>
        <w:overflowPunct/>
        <w:topLinePunct w:val="0"/>
        <w:bidi w:val="0"/>
        <w:adjustRightInd/>
        <w:spacing w:line="360" w:lineRule="auto"/>
        <w:jc w:val="center"/>
        <w:outlineLvl w:val="0"/>
        <w:rPr>
          <w:rFonts w:hint="eastAsia" w:ascii="宋体" w:hAnsi="宋体" w:eastAsia="宋体" w:cs="宋体"/>
          <w:b/>
          <w:color w:val="000000" w:themeColor="text1"/>
          <w:szCs w:val="21"/>
          <w:highlight w:val="none"/>
          <w14:textFill>
            <w14:solidFill>
              <w14:schemeClr w14:val="tx1"/>
            </w14:solidFill>
          </w14:textFill>
        </w:rPr>
      </w:pPr>
    </w:p>
    <w:p w14:paraId="7294D304">
      <w:pPr>
        <w:pageBreakBefore w:val="0"/>
        <w:kinsoku/>
        <w:overflowPunct/>
        <w:topLinePunct w:val="0"/>
        <w:bidi w:val="0"/>
        <w:adjustRightInd/>
        <w:spacing w:line="360" w:lineRule="auto"/>
        <w:jc w:val="center"/>
        <w:outlineLvl w:val="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供应商按照以下格式编制响应文件。</w:t>
      </w:r>
    </w:p>
    <w:p w14:paraId="6A106A2C">
      <w:pPr>
        <w:pageBreakBefore w:val="0"/>
        <w:kinsoku/>
        <w:overflowPunct/>
        <w:topLinePunct w:val="0"/>
        <w:bidi w:val="0"/>
        <w:spacing w:line="360" w:lineRule="auto"/>
        <w:jc w:val="center"/>
        <w:rPr>
          <w:rFonts w:hint="eastAsia" w:ascii="宋体" w:hAnsi="宋体" w:eastAsia="宋体" w:cs="宋体"/>
          <w:b/>
          <w:color w:val="000000" w:themeColor="text1"/>
          <w:kern w:val="0"/>
          <w:szCs w:val="21"/>
          <w:highlight w:val="none"/>
          <w:lang w:eastAsia="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目录</w:t>
      </w:r>
    </w:p>
    <w:p w14:paraId="2230975C">
      <w:pPr>
        <w:pStyle w:val="188"/>
        <w:pageBreakBefore w:val="0"/>
        <w:kinsoku/>
        <w:overflowPunct/>
        <w:topLinePunct w:val="0"/>
        <w:bidi w:val="0"/>
        <w:spacing w:line="360" w:lineRule="auto"/>
        <w:ind w:left="0"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（1）响应函…………………………………………………………………………（页码）</w:t>
      </w:r>
    </w:p>
    <w:p w14:paraId="05A323FD">
      <w:pPr>
        <w:pStyle w:val="188"/>
        <w:pageBreakBefore w:val="0"/>
        <w:kinsoku/>
        <w:overflowPunct/>
        <w:topLinePunct w:val="0"/>
        <w:bidi w:val="0"/>
        <w:spacing w:line="360" w:lineRule="auto"/>
        <w:ind w:left="0"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（2）资格文件………………………………………………………………………（页码）</w:t>
      </w:r>
    </w:p>
    <w:p w14:paraId="6351E5A6">
      <w:pPr>
        <w:pStyle w:val="188"/>
        <w:pageBreakBefore w:val="0"/>
        <w:kinsoku/>
        <w:overflowPunct/>
        <w:topLinePunct w:val="0"/>
        <w:bidi w:val="0"/>
        <w:spacing w:line="360" w:lineRule="auto"/>
        <w:ind w:left="0"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（3）法人授权书</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（页码）</w:t>
      </w:r>
    </w:p>
    <w:p w14:paraId="47274697">
      <w:pPr>
        <w:pStyle w:val="188"/>
        <w:pageBreakBefore w:val="0"/>
        <w:kinsoku/>
        <w:overflowPunct/>
        <w:topLinePunct w:val="0"/>
        <w:bidi w:val="0"/>
        <w:spacing w:line="360" w:lineRule="auto"/>
        <w:ind w:left="0"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（4）所有资信文件……………………</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………………………（页码）</w:t>
      </w:r>
    </w:p>
    <w:p w14:paraId="50E3071A">
      <w:pPr>
        <w:pStyle w:val="188"/>
        <w:pageBreakBefore w:val="0"/>
        <w:kinsoku/>
        <w:overflowPunct/>
        <w:topLinePunct w:val="0"/>
        <w:bidi w:val="0"/>
        <w:spacing w:line="360" w:lineRule="auto"/>
        <w:ind w:left="0" w:firstLine="0"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项目理解、实施方案、项目重点、难点培训方案、服务质量保障措施、进度保证措施、应急预案、拟派人员人员配置、服务承诺、合理化建议………………………………………………………………………………………（页码）</w:t>
      </w:r>
    </w:p>
    <w:p w14:paraId="361648D6">
      <w:pPr>
        <w:pStyle w:val="188"/>
        <w:pageBreakBefore w:val="0"/>
        <w:kinsoku/>
        <w:overflowPunct/>
        <w:topLinePunct w:val="0"/>
        <w:bidi w:val="0"/>
        <w:spacing w:line="360" w:lineRule="auto"/>
        <w:ind w:left="0"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）认为需要的其他说明文件……………………………………………………（页码）</w:t>
      </w:r>
    </w:p>
    <w:p w14:paraId="2DB8AF1C">
      <w:pPr>
        <w:pStyle w:val="188"/>
        <w:pageBreakBefore w:val="0"/>
        <w:kinsoku/>
        <w:overflowPunct/>
        <w:topLinePunct w:val="0"/>
        <w:bidi w:val="0"/>
        <w:spacing w:line="360" w:lineRule="auto"/>
        <w:ind w:left="0" w:firstLine="0" w:firstLineChars="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zh-CN"/>
          <w14:textFill>
            <w14:solidFill>
              <w14:schemeClr w14:val="tx1"/>
            </w14:solidFill>
          </w14:textFill>
        </w:rPr>
        <w:t>政府采购供应商廉洁自律承诺书……………………………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（页码）</w:t>
      </w:r>
    </w:p>
    <w:p w14:paraId="67E2A6A5">
      <w:pPr>
        <w:pageBreakBefore w:val="0"/>
        <w:kinsoku/>
        <w:overflowPunct/>
        <w:topLinePunct w:val="0"/>
        <w:bidi w:val="0"/>
        <w:spacing w:line="360" w:lineRule="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注：以上目录是编制供应商响应文件的基本格式要求，各供应商可根据自身情况进一步细化调整。</w:t>
      </w:r>
    </w:p>
    <w:p w14:paraId="611D3597">
      <w:pPr>
        <w:pageBreakBefore w:val="0"/>
        <w:kinsoku/>
        <w:overflowPunct/>
        <w:topLinePunct w:val="0"/>
        <w:bidi w:val="0"/>
        <w:spacing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p>
    <w:p w14:paraId="35197A0A">
      <w:pPr>
        <w:pageBreakBefore w:val="0"/>
        <w:kinsoku/>
        <w:overflowPunct/>
        <w:topLinePunct w:val="0"/>
        <w:bidi w:val="0"/>
        <w:spacing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p>
    <w:p w14:paraId="5F8DF557">
      <w:pPr>
        <w:pageBreakBefore w:val="0"/>
        <w:kinsoku/>
        <w:overflowPunct/>
        <w:topLinePunct w:val="0"/>
        <w:bidi w:val="0"/>
        <w:spacing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p>
    <w:p w14:paraId="48F1CA91">
      <w:pPr>
        <w:pageBreakBefore w:val="0"/>
        <w:kinsoku/>
        <w:overflowPunct/>
        <w:topLinePunct w:val="0"/>
        <w:bidi w:val="0"/>
        <w:spacing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p>
    <w:p w14:paraId="13539C30">
      <w:pPr>
        <w:pageBreakBefore w:val="0"/>
        <w:kinsoku/>
        <w:overflowPunct/>
        <w:topLinePunct w:val="0"/>
        <w:bidi w:val="0"/>
        <w:spacing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p>
    <w:p w14:paraId="0AA99A73">
      <w:pPr>
        <w:pageBreakBefore w:val="0"/>
        <w:kinsoku/>
        <w:overflowPunct/>
        <w:topLinePunct w:val="0"/>
        <w:bidi w:val="0"/>
        <w:spacing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p>
    <w:p w14:paraId="2DE19600">
      <w:pPr>
        <w:pageBreakBefore w:val="0"/>
        <w:kinsoku/>
        <w:overflowPunct/>
        <w:topLinePunct w:val="0"/>
        <w:bidi w:val="0"/>
        <w:spacing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p>
    <w:p w14:paraId="19317204">
      <w:pPr>
        <w:pageBreakBefore w:val="0"/>
        <w:kinsoku/>
        <w:overflowPunct/>
        <w:topLinePunct w:val="0"/>
        <w:bidi w:val="0"/>
        <w:spacing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p>
    <w:p w14:paraId="3C9AFF5D">
      <w:pPr>
        <w:pageBreakBefore w:val="0"/>
        <w:kinsoku/>
        <w:overflowPunct/>
        <w:topLinePunct w:val="0"/>
        <w:bidi w:val="0"/>
        <w:spacing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p>
    <w:p w14:paraId="7A001005">
      <w:pPr>
        <w:pageBreakBefore w:val="0"/>
        <w:kinsoku/>
        <w:overflowPunct/>
        <w:topLinePunct w:val="0"/>
        <w:bidi w:val="0"/>
        <w:spacing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p>
    <w:p w14:paraId="6BE2F8AD">
      <w:pPr>
        <w:pageBreakBefore w:val="0"/>
        <w:kinsoku/>
        <w:overflowPunct/>
        <w:topLinePunct w:val="0"/>
        <w:bidi w:val="0"/>
        <w:spacing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p>
    <w:p w14:paraId="13231225">
      <w:pPr>
        <w:pageBreakBefore w:val="0"/>
        <w:kinsoku/>
        <w:overflowPunct/>
        <w:topLinePunct w:val="0"/>
        <w:bidi w:val="0"/>
        <w:spacing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p>
    <w:p w14:paraId="148F0258">
      <w:pPr>
        <w:pageBreakBefore w:val="0"/>
        <w:kinsoku/>
        <w:overflowPunct/>
        <w:topLinePunct w:val="0"/>
        <w:bidi w:val="0"/>
        <w:spacing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p>
    <w:p w14:paraId="2586367D">
      <w:pPr>
        <w:pageBreakBefore w:val="0"/>
        <w:kinsoku/>
        <w:overflowPunct/>
        <w:topLinePunct w:val="0"/>
        <w:bidi w:val="0"/>
        <w:spacing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p>
    <w:p w14:paraId="7FB84CE2">
      <w:pPr>
        <w:pageBreakBefore w:val="0"/>
        <w:kinsoku/>
        <w:overflowPunct/>
        <w:topLinePunct w:val="0"/>
        <w:bidi w:val="0"/>
        <w:spacing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p>
    <w:p w14:paraId="18A63DE8">
      <w:pPr>
        <w:pageBreakBefore w:val="0"/>
        <w:kinsoku/>
        <w:overflowPunct/>
        <w:topLinePunct w:val="0"/>
        <w:bidi w:val="0"/>
        <w:spacing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p>
    <w:p w14:paraId="16B834A5">
      <w:pPr>
        <w:pageBreakBefore w:val="0"/>
        <w:kinsoku/>
        <w:overflowPunct/>
        <w:topLinePunct w:val="0"/>
        <w:bidi w:val="0"/>
        <w:spacing w:line="360" w:lineRule="auto"/>
        <w:jc w:val="both"/>
        <w:rPr>
          <w:rFonts w:hint="eastAsia" w:ascii="宋体" w:hAnsi="宋体" w:eastAsia="宋体" w:cs="宋体"/>
          <w:b/>
          <w:color w:val="000000" w:themeColor="text1"/>
          <w:kern w:val="0"/>
          <w:szCs w:val="21"/>
          <w:highlight w:val="none"/>
          <w14:textFill>
            <w14:solidFill>
              <w14:schemeClr w14:val="tx1"/>
            </w14:solidFill>
          </w14:textFill>
        </w:rPr>
      </w:pPr>
    </w:p>
    <w:p w14:paraId="4A55D6B4">
      <w:pPr>
        <w:pageBreakBefore w:val="0"/>
        <w:kinsoku/>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一、响应</w:t>
      </w:r>
      <w:r>
        <w:rPr>
          <w:rFonts w:hint="eastAsia" w:ascii="宋体" w:hAnsi="宋体" w:eastAsia="宋体" w:cs="宋体"/>
          <w:b/>
          <w:color w:val="000000" w:themeColor="text1"/>
          <w:szCs w:val="21"/>
          <w:highlight w:val="none"/>
          <w14:textFill>
            <w14:solidFill>
              <w14:schemeClr w14:val="tx1"/>
            </w14:solidFill>
          </w14:textFill>
        </w:rPr>
        <w:t>函</w:t>
      </w:r>
    </w:p>
    <w:p w14:paraId="12BBEC28">
      <w:pPr>
        <w:pageBreakBefore w:val="0"/>
        <w:kinsoku/>
        <w:overflowPunct/>
        <w:topLinePunct w:val="0"/>
        <w:bidi w:val="0"/>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（采购人）：</w:t>
      </w:r>
    </w:p>
    <w:p w14:paraId="2BA88BD5">
      <w:pPr>
        <w:pageBreakBefore w:val="0"/>
        <w:kinsoku/>
        <w:overflowPunct/>
        <w:topLinePunct w:val="0"/>
        <w:bidi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(供应商全称)授权</w:t>
      </w:r>
      <w:r>
        <w:rPr>
          <w:rFonts w:hint="eastAsia" w:ascii="宋体" w:hAnsi="宋体" w:eastAsia="宋体" w:cs="宋体"/>
          <w:color w:val="000000" w:themeColor="text1"/>
          <w:kern w:val="0"/>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(全权代表姓名)</w:t>
      </w:r>
      <w:r>
        <w:rPr>
          <w:rFonts w:hint="eastAsia" w:ascii="宋体" w:hAnsi="宋体" w:eastAsia="宋体" w:cs="宋体"/>
          <w:color w:val="000000" w:themeColor="text1"/>
          <w:kern w:val="0"/>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(职务、职称)为全权代表，参加贵方组织的（项目名称）【项目编号：</w:t>
      </w:r>
      <w:r>
        <w:rPr>
          <w:rFonts w:hint="eastAsia" w:ascii="宋体" w:hAnsi="宋体" w:eastAsia="宋体" w:cs="宋体"/>
          <w:color w:val="000000" w:themeColor="text1"/>
          <w:szCs w:val="21"/>
          <w:highlight w:val="none"/>
          <w:u w:val="single"/>
          <w14:textFill>
            <w14:solidFill>
              <w14:schemeClr w14:val="tx1"/>
            </w14:solidFill>
          </w14:textFill>
        </w:rPr>
        <w:t>（采购编号）</w:t>
      </w:r>
      <w:r>
        <w:rPr>
          <w:rFonts w:hint="eastAsia" w:ascii="宋体" w:hAnsi="宋体" w:eastAsia="宋体" w:cs="宋体"/>
          <w:color w:val="000000" w:themeColor="text1"/>
          <w:szCs w:val="21"/>
          <w:highlight w:val="none"/>
          <w14:textFill>
            <w14:solidFill>
              <w14:schemeClr w14:val="tx1"/>
            </w14:solidFill>
          </w14:textFill>
        </w:rPr>
        <w:t>】的有关活动，并对此项目进行响应。为此：</w:t>
      </w:r>
    </w:p>
    <w:p w14:paraId="2117CE7A">
      <w:pPr>
        <w:pStyle w:val="109"/>
        <w:pageBreakBefore w:val="0"/>
        <w:numPr>
          <w:ilvl w:val="0"/>
          <w:numId w:val="11"/>
        </w:numPr>
        <w:kinsoku/>
        <w:overflowPunct/>
        <w:topLinePunct w:val="0"/>
        <w:bidi w:val="0"/>
        <w:snapToGrid w:val="0"/>
        <w:spacing w:line="360" w:lineRule="auto"/>
        <w:ind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我方承诺响应有效期从提交响应文件的截止之日起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90</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天，（不少于90天），本响应文件在响应有效期满之前均具有约束力。</w:t>
      </w:r>
    </w:p>
    <w:p w14:paraId="22BDF461">
      <w:pPr>
        <w:pageBreakBefore w:val="0"/>
        <w:numPr>
          <w:ilvl w:val="0"/>
          <w:numId w:val="11"/>
        </w:numPr>
        <w:kinsoku/>
        <w:overflowPunct/>
        <w:topLinePunct w:val="0"/>
        <w:bidi w:val="0"/>
        <w:adjustRightInd/>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提供</w:t>
      </w:r>
      <w:r>
        <w:rPr>
          <w:rFonts w:hint="eastAsia" w:ascii="宋体" w:hAnsi="宋体" w:eastAsia="宋体" w:cs="宋体"/>
          <w:bCs/>
          <w:color w:val="000000" w:themeColor="text1"/>
          <w:kern w:val="44"/>
          <w:szCs w:val="21"/>
          <w:highlight w:val="none"/>
          <w14:textFill>
            <w14:solidFill>
              <w14:schemeClr w14:val="tx1"/>
            </w14:solidFill>
          </w14:textFill>
        </w:rPr>
        <w:t>磋商文件中</w:t>
      </w:r>
      <w:r>
        <w:rPr>
          <w:rFonts w:hint="eastAsia" w:ascii="宋体" w:hAnsi="宋体" w:eastAsia="宋体" w:cs="宋体"/>
          <w:color w:val="000000" w:themeColor="text1"/>
          <w:szCs w:val="21"/>
          <w:highlight w:val="none"/>
          <w14:textFill>
            <w14:solidFill>
              <w14:schemeClr w14:val="tx1"/>
            </w14:solidFill>
          </w14:textFill>
        </w:rPr>
        <w:t>规定的全部响应文件。</w:t>
      </w:r>
    </w:p>
    <w:p w14:paraId="3849C412">
      <w:pPr>
        <w:pageBreakBefore w:val="0"/>
        <w:numPr>
          <w:ilvl w:val="0"/>
          <w:numId w:val="11"/>
        </w:numPr>
        <w:kinsoku/>
        <w:overflowPunct/>
        <w:topLinePunct w:val="0"/>
        <w:bidi w:val="0"/>
        <w:adjustRightInd/>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我方承诺除响应文件列出的偏离外，我方响应磋商文件的全部要求。</w:t>
      </w:r>
    </w:p>
    <w:p w14:paraId="595E0634">
      <w:pPr>
        <w:pageBreakBefore w:val="0"/>
        <w:numPr>
          <w:ilvl w:val="0"/>
          <w:numId w:val="11"/>
        </w:numPr>
        <w:kinsoku/>
        <w:overflowPunct/>
        <w:topLinePunct w:val="0"/>
        <w:bidi w:val="0"/>
        <w:adjustRightInd/>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保证遵守磋商文件中的其他有关规定。</w:t>
      </w:r>
    </w:p>
    <w:p w14:paraId="5CB22B86">
      <w:pPr>
        <w:pageBreakBefore w:val="0"/>
        <w:numPr>
          <w:ilvl w:val="0"/>
          <w:numId w:val="11"/>
        </w:numPr>
        <w:kinsoku/>
        <w:overflowPunct/>
        <w:topLinePunct w:val="0"/>
        <w:bidi w:val="0"/>
        <w:adjustRightInd/>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我方愿意向贵方提供任何与该项目响应有关的数据、情况和技术资料。若贵方需要，我方愿意提供我方作出的一切承诺的证明材料。</w:t>
      </w:r>
    </w:p>
    <w:p w14:paraId="635780AC">
      <w:pPr>
        <w:pageBreakBefore w:val="0"/>
        <w:numPr>
          <w:ilvl w:val="0"/>
          <w:numId w:val="11"/>
        </w:numPr>
        <w:kinsoku/>
        <w:overflowPunct/>
        <w:topLinePunct w:val="0"/>
        <w:bidi w:val="0"/>
        <w:adjustRightInd/>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我方已详细阅读全部磋商文件，包括磋商文件“更正（延期）公告”（如果有）、参考资料及有关附件，确认无误。</w:t>
      </w:r>
    </w:p>
    <w:p w14:paraId="7B6E9F2C">
      <w:pPr>
        <w:pageBreakBefore w:val="0"/>
        <w:numPr>
          <w:ilvl w:val="0"/>
          <w:numId w:val="11"/>
        </w:numPr>
        <w:kinsoku/>
        <w:overflowPunct/>
        <w:topLinePunct w:val="0"/>
        <w:bidi w:val="0"/>
        <w:adjustRightInd/>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如我方成交，我方承诺：</w:t>
      </w:r>
    </w:p>
    <w:p w14:paraId="2D9A6E7E">
      <w:pPr>
        <w:pageBreakBefore w:val="0"/>
        <w:kinsoku/>
        <w:overflowPunct/>
        <w:topLinePunct w:val="0"/>
        <w:bidi w:val="0"/>
        <w:snapToGrid w:val="0"/>
        <w:spacing w:line="360" w:lineRule="auto"/>
        <w:ind w:left="210" w:leftChars="100"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 xml:space="preserve">1在收到成交通知书后，在成交通知书规定的期限内与你方签订合同； </w:t>
      </w:r>
    </w:p>
    <w:p w14:paraId="22191F04">
      <w:pPr>
        <w:pageBreakBefore w:val="0"/>
        <w:kinsoku/>
        <w:overflowPunct/>
        <w:topLinePunct w:val="0"/>
        <w:bidi w:val="0"/>
        <w:snapToGrid w:val="0"/>
        <w:spacing w:line="360" w:lineRule="auto"/>
        <w:ind w:left="210" w:leftChars="100"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 xml:space="preserve">.2在签订合同时不向你方提出附加条件； </w:t>
      </w:r>
    </w:p>
    <w:p w14:paraId="421D539C">
      <w:pPr>
        <w:pageBreakBefore w:val="0"/>
        <w:kinsoku/>
        <w:overflowPunct/>
        <w:topLinePunct w:val="0"/>
        <w:bidi w:val="0"/>
        <w:snapToGrid w:val="0"/>
        <w:spacing w:line="360" w:lineRule="auto"/>
        <w:ind w:left="210" w:leftChars="100"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 xml:space="preserve">.3在合同约定的期限内完成合同规定的全部义务。 </w:t>
      </w:r>
    </w:p>
    <w:p w14:paraId="6732D0C9">
      <w:pPr>
        <w:pageBreakBefore w:val="0"/>
        <w:numPr>
          <w:ilvl w:val="0"/>
          <w:numId w:val="11"/>
        </w:numPr>
        <w:kinsoku/>
        <w:overflowPunct/>
        <w:topLinePunct w:val="0"/>
        <w:bidi w:val="0"/>
        <w:adjustRightInd/>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其他补充说明: 。</w:t>
      </w:r>
    </w:p>
    <w:p w14:paraId="21F18E0F">
      <w:pPr>
        <w:pageBreakBefore w:val="0"/>
        <w:kinsoku/>
        <w:overflowPunct/>
        <w:topLinePunct w:val="0"/>
        <w:autoSpaceDE w:val="0"/>
        <w:autoSpaceDN w:val="0"/>
        <w:bidi w:val="0"/>
        <w:spacing w:line="360" w:lineRule="auto"/>
        <w:ind w:firstLine="3465" w:firstLineChars="1650"/>
        <w:rPr>
          <w:rFonts w:hint="eastAsia" w:ascii="宋体" w:hAnsi="宋体" w:eastAsia="宋体" w:cs="宋体"/>
          <w:color w:val="000000" w:themeColor="text1"/>
          <w:kern w:val="0"/>
          <w:szCs w:val="21"/>
          <w:highlight w:val="none"/>
          <w:lang w:val="zh-CN"/>
          <w14:textFill>
            <w14:solidFill>
              <w14:schemeClr w14:val="tx1"/>
            </w14:solidFill>
          </w14:textFill>
        </w:rPr>
      </w:pPr>
    </w:p>
    <w:p w14:paraId="37BC6E47">
      <w:pPr>
        <w:pageBreakBefore w:val="0"/>
        <w:kinsoku/>
        <w:overflowPunct/>
        <w:topLinePunct w:val="0"/>
        <w:bidi w:val="0"/>
        <w:spacing w:line="360" w:lineRule="auto"/>
        <w:ind w:firstLine="3150" w:firstLineChars="1500"/>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供应商名称（电子</w:t>
      </w:r>
      <w:r>
        <w:rPr>
          <w:rFonts w:hint="eastAsia" w:ascii="宋体" w:hAnsi="宋体" w:cs="宋体"/>
          <w:color w:val="000000" w:themeColor="text1"/>
          <w:szCs w:val="21"/>
          <w:highlight w:val="none"/>
          <w:lang w:val="en-US" w:eastAsia="zh-CN"/>
          <w14:textFill>
            <w14:solidFill>
              <w14:schemeClr w14:val="tx1"/>
            </w14:solidFill>
          </w14:textFill>
        </w:rPr>
        <w:t>盖章</w:t>
      </w:r>
      <w:r>
        <w:rPr>
          <w:rFonts w:hint="eastAsia" w:ascii="宋体" w:hAnsi="宋体" w:eastAsia="宋体" w:cs="宋体"/>
          <w:color w:val="000000" w:themeColor="text1"/>
          <w:szCs w:val="21"/>
          <w:highlight w:val="none"/>
          <w14:textFill>
            <w14:solidFill>
              <w14:schemeClr w14:val="tx1"/>
            </w14:solidFill>
          </w14:textFill>
        </w:rPr>
        <w:t xml:space="preserve">）：                          </w:t>
      </w:r>
    </w:p>
    <w:p w14:paraId="72A6237B">
      <w:pPr>
        <w:pageBreakBefore w:val="0"/>
        <w:kinsoku/>
        <w:overflowPunct/>
        <w:topLinePunct w:val="0"/>
        <w:bidi w:val="0"/>
        <w:spacing w:line="360" w:lineRule="auto"/>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日期：  年   月   日</w:t>
      </w:r>
    </w:p>
    <w:p w14:paraId="562F200D">
      <w:pPr>
        <w:pageBreakBefore w:val="0"/>
        <w:kinsoku/>
        <w:overflowPunct/>
        <w:topLinePunct w:val="0"/>
        <w:bidi w:val="0"/>
        <w:spacing w:line="360" w:lineRule="auto"/>
        <w:ind w:right="42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注：按本格式和要求提供。</w:t>
      </w:r>
    </w:p>
    <w:p w14:paraId="5723B344">
      <w:pPr>
        <w:pageBreakBefore w:val="0"/>
        <w:kinsoku/>
        <w:overflowPunct/>
        <w:topLinePunct w:val="0"/>
        <w:autoSpaceDE w:val="0"/>
        <w:autoSpaceDN w:val="0"/>
        <w:bidi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p>
    <w:p w14:paraId="2CB2F62D">
      <w:pPr>
        <w:pStyle w:val="119"/>
        <w:keepNext w:val="0"/>
        <w:pageBreakBefore w:val="0"/>
        <w:tabs>
          <w:tab w:val="clear" w:pos="720"/>
        </w:tabs>
        <w:kinsoku/>
        <w:overflowPunct/>
        <w:topLinePunct w:val="0"/>
        <w:bidi w:val="0"/>
        <w:spacing w:line="360" w:lineRule="auto"/>
        <w:jc w:val="both"/>
        <w:outlineLvl w:val="9"/>
        <w:rPr>
          <w:rFonts w:hint="eastAsia" w:ascii="宋体" w:hAnsi="宋体" w:eastAsia="宋体" w:cs="宋体"/>
          <w:color w:val="000000" w:themeColor="text1"/>
          <w:sz w:val="21"/>
          <w:szCs w:val="21"/>
          <w:highlight w:val="none"/>
          <w14:textFill>
            <w14:solidFill>
              <w14:schemeClr w14:val="tx1"/>
            </w14:solidFill>
          </w14:textFill>
        </w:rPr>
      </w:pPr>
    </w:p>
    <w:p w14:paraId="555E3377">
      <w:pPr>
        <w:pageBreakBefore w:val="0"/>
        <w:kinsoku/>
        <w:overflowPunct/>
        <w:topLinePunct w:val="0"/>
        <w:bidi w:val="0"/>
        <w:spacing w:line="360" w:lineRule="auto"/>
        <w:rPr>
          <w:rFonts w:hint="eastAsia" w:ascii="宋体" w:hAnsi="宋体" w:eastAsia="宋体" w:cs="宋体"/>
          <w:color w:val="000000" w:themeColor="text1"/>
          <w:szCs w:val="21"/>
          <w:highlight w:val="none"/>
          <w14:textFill>
            <w14:solidFill>
              <w14:schemeClr w14:val="tx1"/>
            </w14:solidFill>
          </w14:textFill>
        </w:rPr>
      </w:pPr>
    </w:p>
    <w:p w14:paraId="6AABA493">
      <w:pPr>
        <w:pageBreakBefore w:val="0"/>
        <w:kinsoku/>
        <w:overflowPunct/>
        <w:topLinePunct w:val="0"/>
        <w:bidi w:val="0"/>
        <w:spacing w:line="360" w:lineRule="auto"/>
        <w:rPr>
          <w:rFonts w:hint="eastAsia" w:ascii="宋体" w:hAnsi="宋体" w:eastAsia="宋体" w:cs="宋体"/>
          <w:color w:val="000000" w:themeColor="text1"/>
          <w:szCs w:val="21"/>
          <w:highlight w:val="none"/>
          <w14:textFill>
            <w14:solidFill>
              <w14:schemeClr w14:val="tx1"/>
            </w14:solidFill>
          </w14:textFill>
        </w:rPr>
      </w:pPr>
    </w:p>
    <w:p w14:paraId="2F8AF5BC">
      <w:pPr>
        <w:pageBreakBefore w:val="0"/>
        <w:kinsoku/>
        <w:overflowPunct/>
        <w:topLinePunct w:val="0"/>
        <w:bidi w:val="0"/>
        <w:spacing w:line="360" w:lineRule="auto"/>
        <w:rPr>
          <w:rFonts w:hint="eastAsia" w:ascii="宋体" w:hAnsi="宋体" w:eastAsia="宋体" w:cs="宋体"/>
          <w:color w:val="000000" w:themeColor="text1"/>
          <w:szCs w:val="21"/>
          <w:highlight w:val="none"/>
          <w14:textFill>
            <w14:solidFill>
              <w14:schemeClr w14:val="tx1"/>
            </w14:solidFill>
          </w14:textFill>
        </w:rPr>
      </w:pPr>
    </w:p>
    <w:p w14:paraId="68D30694">
      <w:pPr>
        <w:pageBreakBefore w:val="0"/>
        <w:widowControl/>
        <w:kinsoku/>
        <w:overflowPunct/>
        <w:topLinePunct w:val="0"/>
        <w:bidi w:val="0"/>
        <w:adjustRightInd/>
        <w:spacing w:line="360" w:lineRule="auto"/>
        <w:jc w:val="left"/>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br w:type="page"/>
      </w:r>
    </w:p>
    <w:p w14:paraId="57C0DD94">
      <w:pPr>
        <w:pageBreakBefore w:val="0"/>
        <w:widowControl/>
        <w:tabs>
          <w:tab w:val="left" w:pos="1200"/>
        </w:tabs>
        <w:kinsoku/>
        <w:overflowPunct/>
        <w:topLinePunct w:val="0"/>
        <w:bidi w:val="0"/>
        <w:adjustRightInd/>
        <w:spacing w:line="360" w:lineRule="auto"/>
        <w:ind w:left="840"/>
        <w:jc w:val="center"/>
        <w:rPr>
          <w:rFonts w:hint="eastAsia"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二、资格文件</w:t>
      </w:r>
    </w:p>
    <w:p w14:paraId="1DEA77BE">
      <w:pPr>
        <w:pStyle w:val="109"/>
        <w:pageBreakBefore w:val="0"/>
        <w:widowControl/>
        <w:tabs>
          <w:tab w:val="left" w:pos="1200"/>
          <w:tab w:val="left" w:pos="1560"/>
        </w:tabs>
        <w:kinsoku/>
        <w:overflowPunct/>
        <w:topLinePunct w:val="0"/>
        <w:bidi w:val="0"/>
        <w:adjustRightInd/>
        <w:spacing w:line="360" w:lineRule="auto"/>
        <w:ind w:left="1560" w:firstLine="0" w:firstLineChars="0"/>
        <w:jc w:val="left"/>
        <w:rPr>
          <w:rFonts w:hint="eastAsia" w:ascii="宋体" w:hAnsi="宋体" w:eastAsia="宋体" w:cs="宋体"/>
          <w:b/>
          <w:color w:val="000000" w:themeColor="text1"/>
          <w:sz w:val="21"/>
          <w:szCs w:val="21"/>
          <w:highlight w:val="none"/>
          <w14:textFill>
            <w14:solidFill>
              <w14:schemeClr w14:val="tx1"/>
            </w14:solidFill>
          </w14:textFill>
        </w:rPr>
      </w:pPr>
    </w:p>
    <w:p w14:paraId="188BE377">
      <w:pPr>
        <w:pageBreakBefore w:val="0"/>
        <w:kinsoku/>
        <w:overflowPunct/>
        <w:topLinePunct w:val="0"/>
        <w:bidi w:val="0"/>
        <w:snapToGrid w:val="0"/>
        <w:spacing w:line="360" w:lineRule="auto"/>
        <w:ind w:right="480"/>
        <w:jc w:val="left"/>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A、符合参加政府采购活动应当具备的一般条件的承诺函</w:t>
      </w:r>
    </w:p>
    <w:p w14:paraId="513A9A71">
      <w:pPr>
        <w:pageBreakBefore w:val="0"/>
        <w:kinsoku/>
        <w:overflowPunct/>
        <w:topLinePunct w:val="0"/>
        <w:bidi w:val="0"/>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（采购人）：</w:t>
      </w:r>
    </w:p>
    <w:p w14:paraId="408B2125">
      <w:pPr>
        <w:pageBreakBefore w:val="0"/>
        <w:kinsoku/>
        <w:overflowPunct/>
        <w:topLinePunct w:val="0"/>
        <w:bidi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我方参与（项目名称）</w:t>
      </w:r>
      <w:r>
        <w:rPr>
          <w:rFonts w:hint="eastAsia" w:ascii="宋体" w:hAnsi="宋体" w:eastAsia="宋体" w:cs="宋体"/>
          <w:color w:val="000000" w:themeColor="text1"/>
          <w:kern w:val="0"/>
          <w:szCs w:val="21"/>
          <w:highlight w:val="none"/>
          <w:lang w:val="zh-CN"/>
          <w14:textFill>
            <w14:solidFill>
              <w14:schemeClr w14:val="tx1"/>
            </w14:solidFill>
          </w14:textFill>
        </w:rPr>
        <w:t>【项目编号：（采购编号）】</w:t>
      </w:r>
      <w:r>
        <w:rPr>
          <w:rFonts w:hint="eastAsia" w:ascii="宋体" w:hAnsi="宋体" w:eastAsia="宋体" w:cs="宋体"/>
          <w:color w:val="000000" w:themeColor="text1"/>
          <w:szCs w:val="21"/>
          <w:highlight w:val="none"/>
          <w14:textFill>
            <w14:solidFill>
              <w14:schemeClr w14:val="tx1"/>
            </w14:solidFill>
          </w14:textFill>
        </w:rPr>
        <w:t>政府采购活动，郑重承诺：</w:t>
      </w:r>
    </w:p>
    <w:p w14:paraId="217F7264">
      <w:pPr>
        <w:pageBreakBefore w:val="0"/>
        <w:kinsoku/>
        <w:overflowPunct/>
        <w:topLinePunct w:val="0"/>
        <w:bidi w:val="0"/>
        <w:snapToGrid w:val="0"/>
        <w:spacing w:line="360" w:lineRule="auto"/>
        <w:ind w:firstLine="315" w:firstLine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（一）具备《中华人民共和国政府采购法》第二十二条第一款规定的条件：</w:t>
      </w:r>
    </w:p>
    <w:p w14:paraId="3178F339">
      <w:pPr>
        <w:pageBreakBefore w:val="0"/>
        <w:kinsoku/>
        <w:overflowPunct/>
        <w:topLinePunct w:val="0"/>
        <w:bidi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1、具有独立承担民事责任的能力；</w:t>
      </w:r>
    </w:p>
    <w:p w14:paraId="5279D019">
      <w:pPr>
        <w:pageBreakBefore w:val="0"/>
        <w:kinsoku/>
        <w:overflowPunct/>
        <w:topLinePunct w:val="0"/>
        <w:bidi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2、具有良好的商业信誉和健全的财务会计制度； </w:t>
      </w:r>
    </w:p>
    <w:p w14:paraId="6A6C83BC">
      <w:pPr>
        <w:pageBreakBefore w:val="0"/>
        <w:kinsoku/>
        <w:overflowPunct/>
        <w:topLinePunct w:val="0"/>
        <w:bidi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3、具有履行合同所必需的设备和专业技术能力；</w:t>
      </w:r>
    </w:p>
    <w:p w14:paraId="39731B47">
      <w:pPr>
        <w:pageBreakBefore w:val="0"/>
        <w:kinsoku/>
        <w:overflowPunct/>
        <w:topLinePunct w:val="0"/>
        <w:bidi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4、有依法缴纳税收和社会保障资金的良好记录；</w:t>
      </w:r>
    </w:p>
    <w:p w14:paraId="454B98F1">
      <w:pPr>
        <w:pageBreakBefore w:val="0"/>
        <w:kinsoku/>
        <w:overflowPunct/>
        <w:topLinePunct w:val="0"/>
        <w:bidi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5、参加政府采购活动前三年内，在经营活动中没有重大违法记录；</w:t>
      </w:r>
    </w:p>
    <w:p w14:paraId="12B4B575">
      <w:pPr>
        <w:pageBreakBefore w:val="0"/>
        <w:kinsoku/>
        <w:overflowPunct/>
        <w:topLinePunct w:val="0"/>
        <w:bidi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6、具有法律、行政法规规定的其他条件。</w:t>
      </w:r>
    </w:p>
    <w:p w14:paraId="1A81627C">
      <w:pPr>
        <w:pageBreakBefore w:val="0"/>
        <w:kinsoku/>
        <w:overflowPunct/>
        <w:topLinePunct w:val="0"/>
        <w:bidi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4813500C">
      <w:pPr>
        <w:pageBreakBefore w:val="0"/>
        <w:kinsoku/>
        <w:overflowPunct/>
        <w:topLinePunct w:val="0"/>
        <w:bidi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（三）不存在以下情况：</w:t>
      </w:r>
    </w:p>
    <w:p w14:paraId="0F7AEF31">
      <w:pPr>
        <w:pageBreakBefore w:val="0"/>
        <w:kinsoku/>
        <w:overflowPunct/>
        <w:topLinePunct w:val="0"/>
        <w:bidi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1、单位负责人为同一人或者存在直接控股、管理关系的不同供应商参加同一合同项下的政府采购活动的；</w:t>
      </w:r>
    </w:p>
    <w:p w14:paraId="11875EEC">
      <w:pPr>
        <w:pageBreakBefore w:val="0"/>
        <w:kinsoku/>
        <w:overflowPunct/>
        <w:topLinePunct w:val="0"/>
        <w:bidi w:val="0"/>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2、为采购项目提供整体设计、规范编制或者项目管理、监理、检测等服务后再参加该采购项目的其他采购活动的。</w:t>
      </w:r>
    </w:p>
    <w:p w14:paraId="02788FAB">
      <w:pPr>
        <w:pageBreakBefore w:val="0"/>
        <w:kinsoku/>
        <w:overflowPunct/>
        <w:topLinePunct w:val="0"/>
        <w:bidi w:val="0"/>
        <w:snapToGrid w:val="0"/>
        <w:spacing w:line="360" w:lineRule="auto"/>
        <w:ind w:firstLine="4830" w:firstLineChars="23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供应商名称(</w:t>
      </w:r>
      <w:r>
        <w:rPr>
          <w:rFonts w:hint="eastAsia" w:ascii="宋体" w:hAnsi="宋体" w:eastAsia="宋体" w:cs="宋体"/>
          <w:color w:val="000000" w:themeColor="text1"/>
          <w:szCs w:val="21"/>
          <w:highlight w:val="none"/>
          <w14:textFill>
            <w14:solidFill>
              <w14:schemeClr w14:val="tx1"/>
            </w14:solidFill>
          </w14:textFill>
        </w:rPr>
        <w:t>电子</w:t>
      </w:r>
      <w:r>
        <w:rPr>
          <w:rFonts w:hint="eastAsia" w:ascii="宋体" w:hAnsi="宋体" w:cs="宋体"/>
          <w:color w:val="000000" w:themeColor="text1"/>
          <w:szCs w:val="21"/>
          <w:highlight w:val="none"/>
          <w:lang w:val="en-US" w:eastAsia="zh-CN"/>
          <w14:textFill>
            <w14:solidFill>
              <w14:schemeClr w14:val="tx1"/>
            </w14:solidFill>
          </w14:textFill>
        </w:rPr>
        <w:t>盖章</w:t>
      </w:r>
      <w:r>
        <w:rPr>
          <w:rFonts w:hint="eastAsia" w:ascii="宋体" w:hAnsi="宋体" w:eastAsia="宋体" w:cs="宋体"/>
          <w:color w:val="000000" w:themeColor="text1"/>
          <w:kern w:val="0"/>
          <w:szCs w:val="21"/>
          <w:highlight w:val="none"/>
          <w:lang w:val="zh-CN"/>
          <w14:textFill>
            <w14:solidFill>
              <w14:schemeClr w14:val="tx1"/>
            </w14:solidFill>
          </w14:textFill>
        </w:rPr>
        <w:t>)：</w:t>
      </w:r>
    </w:p>
    <w:p w14:paraId="76E9CC61">
      <w:pPr>
        <w:pageBreakBefore w:val="0"/>
        <w:kinsoku/>
        <w:overflowPunct/>
        <w:topLinePunct w:val="0"/>
        <w:bidi w:val="0"/>
        <w:snapToGri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lang w:val="zh-CN"/>
          <w14:textFill>
            <w14:solidFill>
              <w14:schemeClr w14:val="tx1"/>
            </w14:solidFill>
          </w14:textFill>
        </w:rPr>
        <w:t>日期</w:t>
      </w:r>
      <w:r>
        <w:rPr>
          <w:rFonts w:hint="eastAsia" w:ascii="宋体" w:hAnsi="宋体" w:eastAsia="宋体" w:cs="宋体"/>
          <w:color w:val="000000" w:themeColor="text1"/>
          <w:kern w:val="0"/>
          <w:szCs w:val="21"/>
          <w:highlight w:val="none"/>
          <w14:textFill>
            <w14:solidFill>
              <w14:schemeClr w14:val="tx1"/>
            </w14:solidFill>
          </w14:textFill>
        </w:rPr>
        <w:t xml:space="preserve">：  年  </w:t>
      </w:r>
      <w:r>
        <w:rPr>
          <w:rFonts w:hint="eastAsia" w:ascii="宋体" w:hAnsi="宋体" w:eastAsia="宋体" w:cs="宋体"/>
          <w:color w:val="000000" w:themeColor="text1"/>
          <w:kern w:val="0"/>
          <w:szCs w:val="21"/>
          <w:highlight w:val="none"/>
          <w:lang w:val="zh-CN"/>
          <w14:textFill>
            <w14:solidFill>
              <w14:schemeClr w14:val="tx1"/>
            </w14:solidFill>
          </w14:textFill>
        </w:rPr>
        <w:t>月</w:t>
      </w: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lang w:val="zh-CN"/>
          <w14:textFill>
            <w14:solidFill>
              <w14:schemeClr w14:val="tx1"/>
            </w14:solidFill>
          </w14:textFill>
        </w:rPr>
        <w:t>日</w:t>
      </w:r>
    </w:p>
    <w:p w14:paraId="031D2C85">
      <w:pPr>
        <w:pageBreakBefore w:val="0"/>
        <w:kinsoku/>
        <w:overflowPunct/>
        <w:topLinePunct w:val="0"/>
        <w:bidi w:val="0"/>
        <w:snapToGrid w:val="0"/>
        <w:spacing w:line="360" w:lineRule="auto"/>
        <w:ind w:right="480"/>
        <w:jc w:val="center"/>
        <w:rPr>
          <w:rFonts w:hint="eastAsia" w:ascii="宋体" w:hAnsi="宋体" w:eastAsia="宋体" w:cs="宋体"/>
          <w:b/>
          <w:color w:val="000000" w:themeColor="text1"/>
          <w:kern w:val="0"/>
          <w:szCs w:val="21"/>
          <w:highlight w:val="none"/>
          <w14:textFill>
            <w14:solidFill>
              <w14:schemeClr w14:val="tx1"/>
            </w14:solidFill>
          </w14:textFill>
        </w:rPr>
      </w:pPr>
    </w:p>
    <w:p w14:paraId="4DBB96DF">
      <w:pPr>
        <w:pageBreakBefore w:val="0"/>
        <w:widowControl/>
        <w:kinsoku/>
        <w:overflowPunct/>
        <w:topLinePunct w:val="0"/>
        <w:bidi w:val="0"/>
        <w:adjustRightInd/>
        <w:spacing w:line="360" w:lineRule="auto"/>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p>
    <w:p w14:paraId="65646E14">
      <w:pPr>
        <w:pageBreakBefore w:val="0"/>
        <w:kinsoku/>
        <w:overflowPunct/>
        <w:topLinePunct w:val="0"/>
        <w:bidi w:val="0"/>
        <w:snapToGrid w:val="0"/>
        <w:spacing w:line="360" w:lineRule="auto"/>
        <w:ind w:right="480"/>
        <w:jc w:val="left"/>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B、</w:t>
      </w:r>
      <w:r>
        <w:rPr>
          <w:rFonts w:hint="eastAsia" w:ascii="宋体" w:hAnsi="宋体" w:eastAsia="宋体" w:cs="宋体"/>
          <w:b/>
          <w:color w:val="000000" w:themeColor="text1"/>
          <w:kern w:val="0"/>
          <w:szCs w:val="21"/>
          <w:highlight w:val="none"/>
          <w14:textFill>
            <w14:solidFill>
              <w14:schemeClr w14:val="tx1"/>
            </w14:solidFill>
          </w14:textFill>
        </w:rPr>
        <w:t>落实政府采购政策需满足的资格要求</w:t>
      </w:r>
    </w:p>
    <w:p w14:paraId="7A5EB80F">
      <w:pPr>
        <w:pageBreakBefore w:val="0"/>
        <w:kinsoku/>
        <w:overflowPunct/>
        <w:topLinePunct w:val="0"/>
        <w:bidi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w:t>
      </w:r>
      <w:r>
        <w:rPr>
          <w:rFonts w:hint="eastAsia" w:ascii="宋体" w:hAnsi="宋体" w:eastAsia="宋体" w:cs="宋体"/>
          <w:b/>
          <w:bCs/>
          <w:color w:val="000000" w:themeColor="text1"/>
          <w:szCs w:val="21"/>
          <w:highlight w:val="none"/>
          <w14:textFill>
            <w14:solidFill>
              <w14:schemeClr w14:val="tx1"/>
            </w14:solidFill>
          </w14:textFill>
        </w:rPr>
        <w:t>磋商文件第一部分竞争性磋商邀请公告中</w:t>
      </w:r>
      <w:r>
        <w:rPr>
          <w:rFonts w:hint="eastAsia" w:ascii="宋体" w:hAnsi="宋体" w:eastAsia="宋体" w:cs="宋体"/>
          <w:color w:val="000000" w:themeColor="text1"/>
          <w:szCs w:val="21"/>
          <w:highlight w:val="none"/>
          <w14:textFill>
            <w14:solidFill>
              <w14:schemeClr w14:val="tx1"/>
            </w14:solidFill>
          </w14:textFill>
        </w:rPr>
        <w:t>落实政府采购政策需满足的资格要求选择提供相应的材料；未要求的，无需提供）</w:t>
      </w:r>
    </w:p>
    <w:p w14:paraId="69228A44">
      <w:pPr>
        <w:pageBreakBefore w:val="0"/>
        <w:kinsoku/>
        <w:overflowPunct/>
        <w:topLinePunct w:val="0"/>
        <w:bidi w:val="0"/>
        <w:snapToGrid w:val="0"/>
        <w:spacing w:before="50" w:after="50" w:line="360" w:lineRule="auto"/>
        <w:ind w:firstLine="413" w:firstLineChars="196"/>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14:textFill>
            <w14:solidFill>
              <w14:schemeClr w14:val="tx1"/>
            </w14:solidFill>
          </w14:textFill>
        </w:rPr>
        <w:t xml:space="preserve">.专门面向中小企业，服务全部由符合政策要求的中小企业（或小微企业）承接的，提供相应的中小企业声明函（附件5）。 </w:t>
      </w:r>
    </w:p>
    <w:p w14:paraId="62E00AAC">
      <w:pPr>
        <w:pageBreakBefore w:val="0"/>
        <w:widowControl/>
        <w:kinsoku/>
        <w:overflowPunct/>
        <w:topLinePunct w:val="0"/>
        <w:bidi w:val="0"/>
        <w:spacing w:line="360" w:lineRule="auto"/>
        <w:ind w:firstLine="480"/>
        <w:jc w:val="left"/>
        <w:rPr>
          <w:rFonts w:hint="eastAsia" w:ascii="宋体" w:hAnsi="宋体" w:eastAsia="宋体" w:cs="宋体"/>
          <w:color w:val="000000" w:themeColor="text1"/>
          <w:szCs w:val="21"/>
          <w:highlight w:val="none"/>
          <w14:textFill>
            <w14:solidFill>
              <w14:schemeClr w14:val="tx1"/>
            </w14:solidFill>
          </w14:textFill>
        </w:rPr>
      </w:pPr>
    </w:p>
    <w:p w14:paraId="70DE9ED5">
      <w:pPr>
        <w:pageBreakBefore w:val="0"/>
        <w:kinsoku/>
        <w:overflowPunct/>
        <w:topLinePunct w:val="0"/>
        <w:bidi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p>
    <w:p w14:paraId="2200F3DB">
      <w:pPr>
        <w:pageBreakBefore w:val="0"/>
        <w:kinsoku/>
        <w:overflowPunct/>
        <w:topLinePunct w:val="0"/>
        <w:bidi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p>
    <w:p w14:paraId="0750CC01">
      <w:pPr>
        <w:pageBreakBefore w:val="0"/>
        <w:kinsoku/>
        <w:overflowPunct/>
        <w:topLinePunct w:val="0"/>
        <w:bidi w:val="0"/>
        <w:spacing w:line="360" w:lineRule="auto"/>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C、符合特定资格条件要求的资质文件（复印件）</w:t>
      </w:r>
    </w:p>
    <w:p w14:paraId="27AACDC1">
      <w:pPr>
        <w:pageBreakBefore w:val="0"/>
        <w:widowControl/>
        <w:kinsoku/>
        <w:overflowPunct/>
        <w:topLinePunct w:val="0"/>
        <w:bidi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（由供应商根据“磋商文件第一部分”中“合格的供应商应具备的特定资格要求”编制；如果本项目没有设置特定资格条件，则不需要提供）</w:t>
      </w:r>
    </w:p>
    <w:p w14:paraId="3E291122">
      <w:pPr>
        <w:pageBreakBefore w:val="0"/>
        <w:widowControl/>
        <w:kinsoku/>
        <w:overflowPunct/>
        <w:topLinePunct w:val="0"/>
        <w:bidi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p>
    <w:p w14:paraId="3B018C70">
      <w:pPr>
        <w:pageBreakBefore w:val="0"/>
        <w:kinsoku/>
        <w:overflowPunct/>
        <w:topLinePunct w:val="0"/>
        <w:bidi w:val="0"/>
        <w:snapToGrid w:val="0"/>
        <w:spacing w:line="360" w:lineRule="auto"/>
        <w:ind w:firstLine="5145" w:firstLineChars="245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供应商名称(</w:t>
      </w:r>
      <w:r>
        <w:rPr>
          <w:rFonts w:hint="eastAsia" w:ascii="宋体" w:hAnsi="宋体" w:eastAsia="宋体" w:cs="宋体"/>
          <w:color w:val="000000" w:themeColor="text1"/>
          <w:szCs w:val="21"/>
          <w:highlight w:val="none"/>
          <w14:textFill>
            <w14:solidFill>
              <w14:schemeClr w14:val="tx1"/>
            </w14:solidFill>
          </w14:textFill>
        </w:rPr>
        <w:t>电子</w:t>
      </w:r>
      <w:r>
        <w:rPr>
          <w:rFonts w:hint="eastAsia" w:ascii="宋体" w:hAnsi="宋体" w:cs="宋体"/>
          <w:color w:val="000000" w:themeColor="text1"/>
          <w:szCs w:val="21"/>
          <w:highlight w:val="none"/>
          <w:lang w:val="en-US" w:eastAsia="zh-CN"/>
          <w14:textFill>
            <w14:solidFill>
              <w14:schemeClr w14:val="tx1"/>
            </w14:solidFill>
          </w14:textFill>
        </w:rPr>
        <w:t>盖章</w:t>
      </w:r>
      <w:r>
        <w:rPr>
          <w:rFonts w:hint="eastAsia" w:ascii="宋体" w:hAnsi="宋体" w:eastAsia="宋体" w:cs="宋体"/>
          <w:color w:val="000000" w:themeColor="text1"/>
          <w:kern w:val="0"/>
          <w:szCs w:val="21"/>
          <w:highlight w:val="none"/>
          <w:lang w:val="zh-CN"/>
          <w14:textFill>
            <w14:solidFill>
              <w14:schemeClr w14:val="tx1"/>
            </w14:solidFill>
          </w14:textFill>
        </w:rPr>
        <w:t>)：</w:t>
      </w:r>
    </w:p>
    <w:p w14:paraId="3849CD79">
      <w:pPr>
        <w:pageBreakBefore w:val="0"/>
        <w:kinsoku/>
        <w:overflowPunct/>
        <w:topLinePunct w:val="0"/>
        <w:bidi w:val="0"/>
        <w:snapToGrid w:val="0"/>
        <w:spacing w:line="360" w:lineRule="auto"/>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 xml:space="preserve">                                                 签发日期：  年  月   日</w:t>
      </w:r>
    </w:p>
    <w:p w14:paraId="6340B3DE">
      <w:pPr>
        <w:pageBreakBefore w:val="0"/>
        <w:kinsoku/>
        <w:overflowPunct/>
        <w:topLinePunct w:val="0"/>
        <w:bidi w:val="0"/>
        <w:snapToGrid w:val="0"/>
        <w:spacing w:line="360" w:lineRule="auto"/>
        <w:rPr>
          <w:rFonts w:hint="eastAsia" w:ascii="宋体" w:hAnsi="宋体" w:eastAsia="宋体" w:cs="宋体"/>
          <w:color w:val="000000" w:themeColor="text1"/>
          <w:kern w:val="0"/>
          <w:szCs w:val="21"/>
          <w:highlight w:val="none"/>
          <w:lang w:val="zh-CN"/>
          <w14:textFill>
            <w14:solidFill>
              <w14:schemeClr w14:val="tx1"/>
            </w14:solidFill>
          </w14:textFill>
        </w:rPr>
      </w:pPr>
    </w:p>
    <w:p w14:paraId="3EBED21D">
      <w:pPr>
        <w:pageBreakBefore w:val="0"/>
        <w:kinsoku/>
        <w:overflowPunct/>
        <w:topLinePunct w:val="0"/>
        <w:bidi w:val="0"/>
        <w:snapToGrid w:val="0"/>
        <w:spacing w:line="360" w:lineRule="auto"/>
        <w:ind w:right="480"/>
        <w:jc w:val="center"/>
        <w:rPr>
          <w:rFonts w:hint="eastAsia" w:ascii="宋体" w:hAnsi="宋体" w:eastAsia="宋体" w:cs="宋体"/>
          <w:b/>
          <w:color w:val="000000" w:themeColor="text1"/>
          <w:kern w:val="0"/>
          <w:szCs w:val="21"/>
          <w:highlight w:val="none"/>
          <w:lang w:val="zh-CN"/>
          <w14:textFill>
            <w14:solidFill>
              <w14:schemeClr w14:val="tx1"/>
            </w14:solidFill>
          </w14:textFill>
        </w:rPr>
        <w:sectPr>
          <w:headerReference r:id="rId6" w:type="first"/>
          <w:footerReference r:id="rId9" w:type="first"/>
          <w:headerReference r:id="rId5" w:type="default"/>
          <w:footerReference r:id="rId7" w:type="default"/>
          <w:footerReference r:id="rId8" w:type="even"/>
          <w:pgSz w:w="11849" w:h="16781"/>
          <w:pgMar w:top="1440" w:right="1797" w:bottom="1440" w:left="1797" w:header="851" w:footer="850" w:gutter="0"/>
          <w:cols w:space="0" w:num="1"/>
          <w:rtlGutter w:val="0"/>
          <w:docGrid w:linePitch="312" w:charSpace="0"/>
        </w:sectPr>
      </w:pPr>
    </w:p>
    <w:p w14:paraId="5730CB71">
      <w:pPr>
        <w:pageBreakBefore w:val="0"/>
        <w:widowControl/>
        <w:kinsoku/>
        <w:overflowPunct/>
        <w:topLinePunct w:val="0"/>
        <w:bidi w:val="0"/>
        <w:spacing w:line="360" w:lineRule="auto"/>
        <w:jc w:val="center"/>
        <w:rPr>
          <w:rFonts w:hint="eastAsia"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三、法人授权书</w:t>
      </w:r>
    </w:p>
    <w:p w14:paraId="404ACC82">
      <w:pPr>
        <w:pageBreakBefore w:val="0"/>
        <w:kinsoku/>
        <w:overflowPunct/>
        <w:topLinePunct w:val="0"/>
        <w:bidi w:val="0"/>
        <w:snapToGrid w:val="0"/>
        <w:spacing w:beforeLines="50" w:after="50" w:line="360" w:lineRule="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w:t>
      </w:r>
    </w:p>
    <w:p w14:paraId="1F50F3D5">
      <w:pPr>
        <w:pageBreakBefore w:val="0"/>
        <w:kinsoku/>
        <w:overflowPunct/>
        <w:topLinePunct w:val="0"/>
        <w:bidi w:val="0"/>
        <w:snapToGrid w:val="0"/>
        <w:spacing w:beforeLines="50" w:after="50" w:line="360" w:lineRule="auto"/>
        <w:ind w:firstLine="630" w:firstLineChars="3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w:t>
      </w:r>
      <w:r>
        <w:rPr>
          <w:rFonts w:hint="eastAsia" w:ascii="宋体" w:hAnsi="宋体" w:eastAsia="宋体" w:cs="宋体"/>
          <w:color w:val="000000" w:themeColor="text1"/>
          <w:szCs w:val="21"/>
          <w:highlight w:val="none"/>
          <w:u w:val="single"/>
          <w14:textFill>
            <w14:solidFill>
              <w14:schemeClr w14:val="tx1"/>
            </w14:solidFill>
          </w14:textFill>
        </w:rPr>
        <w:t xml:space="preserve">（姓名）  </w:t>
      </w: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（投标供应商名称）      </w:t>
      </w:r>
      <w:r>
        <w:rPr>
          <w:rFonts w:hint="eastAsia" w:ascii="宋体" w:hAnsi="宋体" w:eastAsia="宋体" w:cs="宋体"/>
          <w:color w:val="000000" w:themeColor="text1"/>
          <w:szCs w:val="21"/>
          <w:highlight w:val="none"/>
          <w14:textFill>
            <w14:solidFill>
              <w14:schemeClr w14:val="tx1"/>
            </w14:solidFill>
          </w14:textFill>
        </w:rPr>
        <w:t>的法定代表人，现授权委托</w:t>
      </w:r>
      <w:r>
        <w:rPr>
          <w:rFonts w:hint="eastAsia" w:ascii="宋体" w:hAnsi="宋体" w:eastAsia="宋体" w:cs="宋体"/>
          <w:color w:val="000000" w:themeColor="text1"/>
          <w:szCs w:val="21"/>
          <w:highlight w:val="none"/>
          <w:u w:val="single"/>
          <w14:textFill>
            <w14:solidFill>
              <w14:schemeClr w14:val="tx1"/>
            </w14:solidFill>
          </w14:textFill>
        </w:rPr>
        <w:t xml:space="preserve">（姓名）  </w:t>
      </w:r>
      <w:r>
        <w:rPr>
          <w:rFonts w:hint="eastAsia" w:ascii="宋体" w:hAnsi="宋体" w:eastAsia="宋体" w:cs="宋体"/>
          <w:color w:val="000000" w:themeColor="text1"/>
          <w:szCs w:val="21"/>
          <w:highlight w:val="none"/>
          <w14:textFill>
            <w14:solidFill>
              <w14:schemeClr w14:val="tx1"/>
            </w14:solidFill>
          </w14:textFill>
        </w:rPr>
        <w:t>以我方的名义参加</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项目的投标活动，并代表我方全权办理针对上述项目的投标、开标、评标、签约等具体事务和签署相关文件。</w:t>
      </w:r>
    </w:p>
    <w:p w14:paraId="2F644D94">
      <w:pPr>
        <w:pageBreakBefore w:val="0"/>
        <w:kinsoku/>
        <w:overflowPunct/>
        <w:topLinePunct w:val="0"/>
        <w:bidi w:val="0"/>
        <w:snapToGrid w:val="0"/>
        <w:spacing w:beforeLines="50" w:after="50"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我方对被授权人的签字事项负全部责任。</w:t>
      </w:r>
    </w:p>
    <w:p w14:paraId="32DF3141">
      <w:pPr>
        <w:pageBreakBefore w:val="0"/>
        <w:kinsoku/>
        <w:overflowPunct/>
        <w:topLinePunct w:val="0"/>
        <w:bidi w:val="0"/>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在撤销授权的书面通知以前，本授权书一直有效。</w:t>
      </w:r>
      <w:r>
        <w:rPr>
          <w:rFonts w:hint="eastAsia" w:ascii="宋体" w:hAnsi="宋体" w:eastAsia="宋体" w:cs="宋体"/>
          <w:color w:val="000000" w:themeColor="text1"/>
          <w:szCs w:val="21"/>
          <w:highlight w:val="none"/>
          <w14:textFill>
            <w14:solidFill>
              <w14:schemeClr w14:val="tx1"/>
            </w14:solidFill>
          </w14:textFill>
        </w:rPr>
        <w:t>被授权人在授权书有效期内签署的所有文件不因授权的撤销而失效。被授权人无转委托权，特此委托。</w:t>
      </w:r>
    </w:p>
    <w:p w14:paraId="12356698">
      <w:pPr>
        <w:pageBreakBefore w:val="0"/>
        <w:kinsoku/>
        <w:overflowPunct/>
        <w:topLinePunct w:val="0"/>
        <w:bidi w:val="0"/>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本委托书有效期：自    年 月  日起至    年  月  日止。</w:t>
      </w:r>
    </w:p>
    <w:p w14:paraId="48D4DC32">
      <w:pPr>
        <w:pageBreakBefore w:val="0"/>
        <w:kinsoku/>
        <w:overflowPunct/>
        <w:topLinePunct w:val="0"/>
        <w:bidi w:val="0"/>
        <w:snapToGrid w:val="0"/>
        <w:spacing w:beforeLines="50" w:after="50" w:line="360" w:lineRule="auto"/>
        <w:ind w:firstLine="480"/>
        <w:rPr>
          <w:rFonts w:hint="eastAsia" w:ascii="宋体" w:hAnsi="宋体" w:eastAsia="宋体" w:cs="宋体"/>
          <w:color w:val="000000" w:themeColor="text1"/>
          <w:szCs w:val="21"/>
          <w:highlight w:val="none"/>
          <w14:textFill>
            <w14:solidFill>
              <w14:schemeClr w14:val="tx1"/>
            </w14:solidFill>
          </w14:textFill>
        </w:rPr>
      </w:pPr>
    </w:p>
    <w:p w14:paraId="00135469">
      <w:pPr>
        <w:pageBreakBefore w:val="0"/>
        <w:kinsoku/>
        <w:overflowPunct/>
        <w:topLinePunct w:val="0"/>
        <w:bidi w:val="0"/>
        <w:snapToGrid w:val="0"/>
        <w:spacing w:beforeLines="50" w:after="50" w:line="360" w:lineRule="auto"/>
        <w:ind w:firstLine="480"/>
        <w:rPr>
          <w:rFonts w:hint="eastAsia" w:ascii="宋体" w:hAnsi="宋体" w:eastAsia="宋体" w:cs="宋体"/>
          <w:color w:val="000000" w:themeColor="text1"/>
          <w:szCs w:val="21"/>
          <w:highlight w:val="none"/>
          <w14:textFill>
            <w14:solidFill>
              <w14:schemeClr w14:val="tx1"/>
            </w14:solidFill>
          </w14:textFill>
        </w:rPr>
      </w:pPr>
    </w:p>
    <w:p w14:paraId="7E229CE1">
      <w:pPr>
        <w:pageBreakBefore w:val="0"/>
        <w:kinsoku/>
        <w:overflowPunct/>
        <w:topLinePunct w:val="0"/>
        <w:bidi w:val="0"/>
        <w:snapToGrid w:val="0"/>
        <w:spacing w:beforeLines="50" w:after="50" w:line="360" w:lineRule="auto"/>
        <w:ind w:firstLine="48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法定代表人签字：                     被授权人签字：</w:t>
      </w:r>
    </w:p>
    <w:p w14:paraId="7D316621">
      <w:pPr>
        <w:pageBreakBefore w:val="0"/>
        <w:kinsoku/>
        <w:overflowPunct/>
        <w:topLinePunct w:val="0"/>
        <w:bidi w:val="0"/>
        <w:snapToGrid w:val="0"/>
        <w:spacing w:beforeLines="50" w:after="50" w:line="360" w:lineRule="auto"/>
        <w:ind w:firstLine="48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法定代表人身份证号：                 被授权人身份证号：</w:t>
      </w:r>
    </w:p>
    <w:p w14:paraId="3D29B0B5">
      <w:pPr>
        <w:pageBreakBefore w:val="0"/>
        <w:kinsoku/>
        <w:overflowPunct/>
        <w:topLinePunct w:val="0"/>
        <w:bidi w:val="0"/>
        <w:snapToGrid w:val="0"/>
        <w:spacing w:beforeLines="50" w:after="50" w:line="360" w:lineRule="auto"/>
        <w:ind w:firstLine="48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法定代表人身份证（正反面）           被授权人身份证（正反面）</w:t>
      </w:r>
    </w:p>
    <w:p w14:paraId="78FBD957">
      <w:pPr>
        <w:pageBreakBefore w:val="0"/>
        <w:kinsoku/>
        <w:overflowPunct/>
        <w:topLinePunct w:val="0"/>
        <w:bidi w:val="0"/>
        <w:snapToGrid w:val="0"/>
        <w:spacing w:beforeLines="50" w:after="50" w:line="360" w:lineRule="auto"/>
        <w:ind w:firstLine="480"/>
        <w:rPr>
          <w:rFonts w:hint="eastAsia" w:ascii="宋体" w:hAnsi="宋体" w:eastAsia="宋体" w:cs="宋体"/>
          <w:color w:val="000000" w:themeColor="text1"/>
          <w:szCs w:val="21"/>
          <w:highlight w:val="none"/>
          <w:lang w:val="zh-CN"/>
          <w14:textFill>
            <w14:solidFill>
              <w14:schemeClr w14:val="tx1"/>
            </w14:solidFill>
          </w14:textFill>
        </w:rPr>
      </w:pPr>
    </w:p>
    <w:p w14:paraId="63194868">
      <w:pPr>
        <w:pageBreakBefore w:val="0"/>
        <w:kinsoku/>
        <w:overflowPunct/>
        <w:topLinePunct w:val="0"/>
        <w:bidi w:val="0"/>
        <w:snapToGrid w:val="0"/>
        <w:spacing w:beforeLines="50" w:after="50" w:line="360" w:lineRule="auto"/>
        <w:ind w:firstLine="480"/>
        <w:rPr>
          <w:rFonts w:hint="eastAsia" w:ascii="宋体" w:hAnsi="宋体" w:eastAsia="宋体" w:cs="宋体"/>
          <w:color w:val="000000" w:themeColor="text1"/>
          <w:szCs w:val="21"/>
          <w:highlight w:val="none"/>
          <w:lang w:val="zh-CN"/>
          <w14:textFill>
            <w14:solidFill>
              <w14:schemeClr w14:val="tx1"/>
            </w14:solidFill>
          </w14:textFill>
        </w:rPr>
      </w:pPr>
    </w:p>
    <w:p w14:paraId="3FA5ACCB">
      <w:pPr>
        <w:pageBreakBefore w:val="0"/>
        <w:kinsoku/>
        <w:overflowPunct/>
        <w:topLinePunct w:val="0"/>
        <w:bidi w:val="0"/>
        <w:snapToGrid w:val="0"/>
        <w:spacing w:beforeLines="50" w:after="50" w:line="360" w:lineRule="auto"/>
        <w:ind w:firstLine="48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特此告知。</w:t>
      </w:r>
    </w:p>
    <w:p w14:paraId="604C037F">
      <w:pPr>
        <w:pageBreakBefore w:val="0"/>
        <w:kinsoku/>
        <w:overflowPunct/>
        <w:topLinePunct w:val="0"/>
        <w:bidi w:val="0"/>
        <w:snapToGri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 xml:space="preserve">                                                供应商名称(</w:t>
      </w:r>
      <w:r>
        <w:rPr>
          <w:rFonts w:hint="eastAsia" w:ascii="宋体" w:hAnsi="宋体" w:eastAsia="宋体" w:cs="宋体"/>
          <w:color w:val="000000" w:themeColor="text1"/>
          <w:szCs w:val="21"/>
          <w:highlight w:val="none"/>
          <w14:textFill>
            <w14:solidFill>
              <w14:schemeClr w14:val="tx1"/>
            </w14:solidFill>
          </w14:textFill>
        </w:rPr>
        <w:t>电子</w:t>
      </w:r>
      <w:r>
        <w:rPr>
          <w:rFonts w:hint="eastAsia" w:ascii="宋体" w:hAnsi="宋体" w:cs="宋体"/>
          <w:color w:val="000000" w:themeColor="text1"/>
          <w:szCs w:val="21"/>
          <w:highlight w:val="none"/>
          <w:lang w:val="en-US" w:eastAsia="zh-CN"/>
          <w14:textFill>
            <w14:solidFill>
              <w14:schemeClr w14:val="tx1"/>
            </w14:solidFill>
          </w14:textFill>
        </w:rPr>
        <w:t>盖章</w:t>
      </w:r>
      <w:r>
        <w:rPr>
          <w:rFonts w:hint="eastAsia" w:ascii="宋体" w:hAnsi="宋体" w:eastAsia="宋体" w:cs="宋体"/>
          <w:color w:val="000000" w:themeColor="text1"/>
          <w:kern w:val="0"/>
          <w:szCs w:val="21"/>
          <w:highlight w:val="none"/>
          <w:lang w:val="zh-CN"/>
          <w14:textFill>
            <w14:solidFill>
              <w14:schemeClr w14:val="tx1"/>
            </w14:solidFill>
          </w14:textFill>
        </w:rPr>
        <w:t>)：</w:t>
      </w:r>
    </w:p>
    <w:p w14:paraId="68E977F4">
      <w:pPr>
        <w:pageBreakBefore w:val="0"/>
        <w:kinsoku/>
        <w:overflowPunct/>
        <w:topLinePunct w:val="0"/>
        <w:bidi w:val="0"/>
        <w:snapToGrid w:val="0"/>
        <w:spacing w:line="360" w:lineRule="auto"/>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 xml:space="preserve">                                                 签发日期：  年  月   日</w:t>
      </w:r>
    </w:p>
    <w:p w14:paraId="4FAB5D6B">
      <w:pPr>
        <w:pageBreakBefore w:val="0"/>
        <w:kinsoku/>
        <w:overflowPunct/>
        <w:topLinePunct w:val="0"/>
        <w:bidi w:val="0"/>
        <w:snapToGrid w:val="0"/>
        <w:spacing w:line="360" w:lineRule="auto"/>
        <w:rPr>
          <w:rFonts w:hint="eastAsia" w:ascii="宋体" w:hAnsi="宋体" w:eastAsia="宋体" w:cs="宋体"/>
          <w:color w:val="000000" w:themeColor="text1"/>
          <w:kern w:val="0"/>
          <w:szCs w:val="21"/>
          <w:highlight w:val="none"/>
          <w:lang w:val="zh-CN"/>
          <w14:textFill>
            <w14:solidFill>
              <w14:schemeClr w14:val="tx1"/>
            </w14:solidFill>
          </w14:textFill>
        </w:rPr>
      </w:pPr>
    </w:p>
    <w:p w14:paraId="72031CA8">
      <w:pPr>
        <w:pageBreakBefore w:val="0"/>
        <w:widowControl/>
        <w:kinsoku/>
        <w:overflowPunct/>
        <w:topLinePunct w:val="0"/>
        <w:bidi w:val="0"/>
        <w:adjustRightInd/>
        <w:spacing w:line="360" w:lineRule="auto"/>
        <w:jc w:val="left"/>
        <w:rPr>
          <w:rFonts w:hint="eastAsia"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br w:type="page"/>
      </w:r>
    </w:p>
    <w:p w14:paraId="070D3AAF">
      <w:pPr>
        <w:pageBreakBefore w:val="0"/>
        <w:widowControl/>
        <w:kinsoku/>
        <w:overflowPunct/>
        <w:topLinePunct w:val="0"/>
        <w:bidi w:val="0"/>
        <w:adjustRightInd/>
        <w:spacing w:line="360" w:lineRule="auto"/>
        <w:jc w:val="left"/>
        <w:rPr>
          <w:rFonts w:hint="eastAsia" w:ascii="宋体" w:hAnsi="宋体" w:eastAsia="宋体" w:cs="宋体"/>
          <w:b/>
          <w:color w:val="000000" w:themeColor="text1"/>
          <w:kern w:val="0"/>
          <w:szCs w:val="21"/>
          <w:highlight w:val="none"/>
          <w:lang w:val="zh-CN"/>
          <w14:textFill>
            <w14:solidFill>
              <w14:schemeClr w14:val="tx1"/>
            </w14:solidFill>
          </w14:textFill>
        </w:rPr>
      </w:pPr>
    </w:p>
    <w:p w14:paraId="2C7FA34D">
      <w:pPr>
        <w:pageBreakBefore w:val="0"/>
        <w:kinsoku/>
        <w:overflowPunct/>
        <w:topLinePunct w:val="0"/>
        <w:bidi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四</w:t>
      </w:r>
      <w:r>
        <w:rPr>
          <w:rFonts w:hint="eastAsia" w:ascii="宋体" w:hAnsi="宋体" w:eastAsia="宋体" w:cs="宋体"/>
          <w:b/>
          <w:color w:val="000000" w:themeColor="text1"/>
          <w:szCs w:val="21"/>
          <w:highlight w:val="none"/>
          <w14:textFill>
            <w14:solidFill>
              <w14:schemeClr w14:val="tx1"/>
            </w14:solidFill>
          </w14:textFill>
        </w:rPr>
        <w:t>、所有资信文件（复印件）</w:t>
      </w:r>
    </w:p>
    <w:p w14:paraId="120B950B">
      <w:pPr>
        <w:pageBreakBefore w:val="0"/>
        <w:kinsoku/>
        <w:overflowPunct/>
        <w:topLinePunct w:val="0"/>
        <w:bidi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（由供应商根据采购需求及磋商文件要求编制）</w:t>
      </w:r>
    </w:p>
    <w:p w14:paraId="146BF51B">
      <w:pPr>
        <w:pageBreakBefore w:val="0"/>
        <w:kinsoku/>
        <w:overflowPunct/>
        <w:topLinePunct w:val="0"/>
        <w:bidi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p>
    <w:p w14:paraId="1CA0CD35">
      <w:pPr>
        <w:pageBreakBefore w:val="0"/>
        <w:kinsoku/>
        <w:overflowPunct/>
        <w:topLinePunct w:val="0"/>
        <w:bidi w:val="0"/>
        <w:snapToGrid w:val="0"/>
        <w:spacing w:line="360" w:lineRule="auto"/>
        <w:ind w:firstLine="4515" w:firstLineChars="215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供应商名称(</w:t>
      </w:r>
      <w:r>
        <w:rPr>
          <w:rFonts w:hint="eastAsia" w:ascii="宋体" w:hAnsi="宋体" w:eastAsia="宋体" w:cs="宋体"/>
          <w:color w:val="000000" w:themeColor="text1"/>
          <w:szCs w:val="21"/>
          <w:highlight w:val="none"/>
          <w14:textFill>
            <w14:solidFill>
              <w14:schemeClr w14:val="tx1"/>
            </w14:solidFill>
          </w14:textFill>
        </w:rPr>
        <w:t>电子</w:t>
      </w:r>
      <w:r>
        <w:rPr>
          <w:rFonts w:hint="eastAsia" w:ascii="宋体" w:hAnsi="宋体" w:cs="宋体"/>
          <w:color w:val="000000" w:themeColor="text1"/>
          <w:szCs w:val="21"/>
          <w:highlight w:val="none"/>
          <w:lang w:val="en-US" w:eastAsia="zh-CN"/>
          <w14:textFill>
            <w14:solidFill>
              <w14:schemeClr w14:val="tx1"/>
            </w14:solidFill>
          </w14:textFill>
        </w:rPr>
        <w:t>盖章</w:t>
      </w:r>
      <w:r>
        <w:rPr>
          <w:rFonts w:hint="eastAsia" w:ascii="宋体" w:hAnsi="宋体" w:eastAsia="宋体" w:cs="宋体"/>
          <w:color w:val="000000" w:themeColor="text1"/>
          <w:kern w:val="0"/>
          <w:szCs w:val="21"/>
          <w:highlight w:val="none"/>
          <w:lang w:val="zh-CN"/>
          <w14:textFill>
            <w14:solidFill>
              <w14:schemeClr w14:val="tx1"/>
            </w14:solidFill>
          </w14:textFill>
        </w:rPr>
        <w:t>)：</w:t>
      </w:r>
    </w:p>
    <w:p w14:paraId="35986912">
      <w:pPr>
        <w:pageBreakBefore w:val="0"/>
        <w:kinsoku/>
        <w:overflowPunct/>
        <w:topLinePunct w:val="0"/>
        <w:bidi w:val="0"/>
        <w:snapToGrid w:val="0"/>
        <w:spacing w:line="360" w:lineRule="auto"/>
        <w:ind w:firstLine="4515" w:firstLineChars="2150"/>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日期</w:t>
      </w:r>
      <w:r>
        <w:rPr>
          <w:rFonts w:hint="eastAsia" w:ascii="宋体" w:hAnsi="宋体" w:eastAsia="宋体" w:cs="宋体"/>
          <w:color w:val="000000" w:themeColor="text1"/>
          <w:kern w:val="0"/>
          <w:szCs w:val="21"/>
          <w:highlight w:val="none"/>
          <w14:textFill>
            <w14:solidFill>
              <w14:schemeClr w14:val="tx1"/>
            </w14:solidFill>
          </w14:textFill>
        </w:rPr>
        <w:t xml:space="preserve">：   年  </w:t>
      </w:r>
      <w:r>
        <w:rPr>
          <w:rFonts w:hint="eastAsia" w:ascii="宋体" w:hAnsi="宋体" w:eastAsia="宋体" w:cs="宋体"/>
          <w:color w:val="000000" w:themeColor="text1"/>
          <w:kern w:val="0"/>
          <w:szCs w:val="21"/>
          <w:highlight w:val="none"/>
          <w:lang w:val="zh-CN"/>
          <w14:textFill>
            <w14:solidFill>
              <w14:schemeClr w14:val="tx1"/>
            </w14:solidFill>
          </w14:textFill>
        </w:rPr>
        <w:t>月</w:t>
      </w: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lang w:val="zh-CN"/>
          <w14:textFill>
            <w14:solidFill>
              <w14:schemeClr w14:val="tx1"/>
            </w14:solidFill>
          </w14:textFill>
        </w:rPr>
        <w:t>日</w:t>
      </w:r>
    </w:p>
    <w:p w14:paraId="09711C88">
      <w:pPr>
        <w:pageBreakBefore w:val="0"/>
        <w:kinsoku/>
        <w:overflowPunct/>
        <w:topLinePunct w:val="0"/>
        <w:bidi w:val="0"/>
        <w:spacing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p>
    <w:p w14:paraId="24342DCB">
      <w:pPr>
        <w:pageBreakBefore w:val="0"/>
        <w:kinsoku/>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五</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业绩一览表</w:t>
      </w:r>
    </w:p>
    <w:p w14:paraId="4BD361EA">
      <w:pPr>
        <w:pageBreakBefore w:val="0"/>
        <w:kinsoku/>
        <w:overflowPunct/>
        <w:topLinePunct w:val="0"/>
        <w:autoSpaceDE w:val="0"/>
        <w:autoSpaceDN w:val="0"/>
        <w:bidi w:val="0"/>
        <w:spacing w:line="360" w:lineRule="auto"/>
        <w:ind w:firstLine="12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附表 </w:t>
      </w:r>
    </w:p>
    <w:tbl>
      <w:tblPr>
        <w:tblStyle w:val="62"/>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1926"/>
        <w:gridCol w:w="1936"/>
        <w:gridCol w:w="2571"/>
      </w:tblGrid>
      <w:tr w14:paraId="33B7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2146" w:type="dxa"/>
            <w:noWrap/>
            <w:vAlign w:val="center"/>
          </w:tcPr>
          <w:p w14:paraId="3E544AC6">
            <w:pPr>
              <w:pageBreakBefore w:val="0"/>
              <w:kinsoku/>
              <w:overflowPunct/>
              <w:topLinePunct w:val="0"/>
              <w:bidi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1926" w:type="dxa"/>
            <w:noWrap/>
            <w:vAlign w:val="center"/>
          </w:tcPr>
          <w:p w14:paraId="70E0C4A7">
            <w:pPr>
              <w:pageBreakBefore w:val="0"/>
              <w:tabs>
                <w:tab w:val="left" w:pos="6252"/>
              </w:tabs>
              <w:kinsoku/>
              <w:overflowPunct/>
              <w:topLinePunct w:val="0"/>
              <w:bidi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项目名称</w:t>
            </w:r>
          </w:p>
        </w:tc>
        <w:tc>
          <w:tcPr>
            <w:tcW w:w="1936" w:type="dxa"/>
            <w:noWrap/>
            <w:vAlign w:val="center"/>
          </w:tcPr>
          <w:p w14:paraId="6750EB92">
            <w:pPr>
              <w:pageBreakBefore w:val="0"/>
              <w:tabs>
                <w:tab w:val="left" w:pos="6252"/>
              </w:tabs>
              <w:kinsoku/>
              <w:overflowPunct/>
              <w:topLinePunct w:val="0"/>
              <w:bidi w:val="0"/>
              <w:spacing w:line="360" w:lineRule="auto"/>
              <w:jc w:val="center"/>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签订时间</w:t>
            </w:r>
          </w:p>
        </w:tc>
        <w:tc>
          <w:tcPr>
            <w:tcW w:w="2571" w:type="dxa"/>
            <w:noWrap/>
            <w:vAlign w:val="center"/>
          </w:tcPr>
          <w:p w14:paraId="79FD7687">
            <w:pPr>
              <w:pageBreakBefore w:val="0"/>
              <w:tabs>
                <w:tab w:val="left" w:pos="6252"/>
              </w:tabs>
              <w:kinsoku/>
              <w:overflowPunct/>
              <w:topLinePunct w:val="0"/>
              <w:bidi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备注</w:t>
            </w:r>
          </w:p>
        </w:tc>
      </w:tr>
      <w:tr w14:paraId="725E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146" w:type="dxa"/>
            <w:noWrap/>
            <w:vAlign w:val="center"/>
          </w:tcPr>
          <w:p w14:paraId="1342E31E">
            <w:pPr>
              <w:pageBreakBefore w:val="0"/>
              <w:kinsoku/>
              <w:overflowPunct/>
              <w:topLinePunct w:val="0"/>
              <w:bidi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1926" w:type="dxa"/>
            <w:noWrap/>
          </w:tcPr>
          <w:p w14:paraId="5901F7BD">
            <w:pPr>
              <w:pageBreakBefore w:val="0"/>
              <w:kinsoku/>
              <w:overflowPunct/>
              <w:topLinePunct w:val="0"/>
              <w:bidi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936" w:type="dxa"/>
            <w:noWrap/>
            <w:vAlign w:val="center"/>
          </w:tcPr>
          <w:p w14:paraId="30B433AF">
            <w:pPr>
              <w:pageBreakBefore w:val="0"/>
              <w:kinsoku/>
              <w:overflowPunct/>
              <w:topLinePunct w:val="0"/>
              <w:bidi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571" w:type="dxa"/>
            <w:noWrap/>
            <w:vAlign w:val="center"/>
          </w:tcPr>
          <w:p w14:paraId="0761EDE4">
            <w:pPr>
              <w:pageBreakBefore w:val="0"/>
              <w:kinsoku/>
              <w:overflowPunct/>
              <w:topLinePunct w:val="0"/>
              <w:bidi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4C0F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146" w:type="dxa"/>
            <w:noWrap/>
            <w:vAlign w:val="center"/>
          </w:tcPr>
          <w:p w14:paraId="4B9A9369">
            <w:pPr>
              <w:pageBreakBefore w:val="0"/>
              <w:kinsoku/>
              <w:overflowPunct/>
              <w:topLinePunct w:val="0"/>
              <w:bidi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1926" w:type="dxa"/>
            <w:noWrap/>
          </w:tcPr>
          <w:p w14:paraId="7CF773AD">
            <w:pPr>
              <w:pageBreakBefore w:val="0"/>
              <w:kinsoku/>
              <w:overflowPunct/>
              <w:topLinePunct w:val="0"/>
              <w:bidi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936" w:type="dxa"/>
            <w:noWrap/>
            <w:vAlign w:val="center"/>
          </w:tcPr>
          <w:p w14:paraId="403FCE31">
            <w:pPr>
              <w:pageBreakBefore w:val="0"/>
              <w:kinsoku/>
              <w:overflowPunct/>
              <w:topLinePunct w:val="0"/>
              <w:bidi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571" w:type="dxa"/>
            <w:noWrap/>
            <w:vAlign w:val="center"/>
          </w:tcPr>
          <w:p w14:paraId="17CC13C4">
            <w:pPr>
              <w:pageBreakBefore w:val="0"/>
              <w:kinsoku/>
              <w:overflowPunct/>
              <w:topLinePunct w:val="0"/>
              <w:bidi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57C5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146" w:type="dxa"/>
            <w:noWrap/>
            <w:vAlign w:val="center"/>
          </w:tcPr>
          <w:p w14:paraId="5C18703D">
            <w:pPr>
              <w:pageBreakBefore w:val="0"/>
              <w:kinsoku/>
              <w:overflowPunct/>
              <w:topLinePunct w:val="0"/>
              <w:bidi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926" w:type="dxa"/>
            <w:noWrap/>
          </w:tcPr>
          <w:p w14:paraId="5DAD6B62">
            <w:pPr>
              <w:pageBreakBefore w:val="0"/>
              <w:kinsoku/>
              <w:overflowPunct/>
              <w:topLinePunct w:val="0"/>
              <w:bidi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936" w:type="dxa"/>
            <w:noWrap/>
            <w:vAlign w:val="center"/>
          </w:tcPr>
          <w:p w14:paraId="506F0C8C">
            <w:pPr>
              <w:pageBreakBefore w:val="0"/>
              <w:kinsoku/>
              <w:overflowPunct/>
              <w:topLinePunct w:val="0"/>
              <w:bidi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571" w:type="dxa"/>
            <w:noWrap/>
            <w:vAlign w:val="center"/>
          </w:tcPr>
          <w:p w14:paraId="2CC47D49">
            <w:pPr>
              <w:pageBreakBefore w:val="0"/>
              <w:kinsoku/>
              <w:overflowPunct/>
              <w:topLinePunct w:val="0"/>
              <w:bidi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bl>
    <w:p w14:paraId="5FC351C6">
      <w:pPr>
        <w:pageBreakBefore w:val="0"/>
        <w:kinsoku/>
        <w:overflowPunct/>
        <w:topLinePunct w:val="0"/>
        <w:autoSpaceDE w:val="0"/>
        <w:autoSpaceDN w:val="0"/>
        <w:bidi w:val="0"/>
        <w:spacing w:line="360" w:lineRule="auto"/>
        <w:rPr>
          <w:rFonts w:hint="eastAsia" w:ascii="宋体" w:hAnsi="宋体" w:eastAsia="宋体" w:cs="宋体"/>
          <w:b/>
          <w:color w:val="000000" w:themeColor="text1"/>
          <w:szCs w:val="21"/>
          <w:highlight w:val="none"/>
          <w14:textFill>
            <w14:solidFill>
              <w14:schemeClr w14:val="tx1"/>
            </w14:solidFill>
          </w14:textFill>
        </w:rPr>
      </w:pPr>
    </w:p>
    <w:p w14:paraId="66F99734">
      <w:pPr>
        <w:pageBreakBefore w:val="0"/>
        <w:kinsoku/>
        <w:overflowPunct/>
        <w:topLinePunct w:val="0"/>
        <w:autoSpaceDE w:val="0"/>
        <w:autoSpaceDN w:val="0"/>
        <w:bidi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注：供应商可按上述的格式自行编制，须随表提交相应的合同复印件和用户单位验收证明并注明所在文件页码。</w:t>
      </w:r>
    </w:p>
    <w:p w14:paraId="59FD7B43">
      <w:pPr>
        <w:pageBreakBefore w:val="0"/>
        <w:kinsoku/>
        <w:overflowPunct/>
        <w:topLinePunct w:val="0"/>
        <w:autoSpaceDE w:val="0"/>
        <w:autoSpaceDN w:val="0"/>
        <w:bidi w:val="0"/>
        <w:spacing w:line="360" w:lineRule="auto"/>
        <w:ind w:firstLine="3990" w:firstLineChars="19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供应商名称（</w:t>
      </w:r>
      <w:r>
        <w:rPr>
          <w:rFonts w:hint="eastAsia" w:ascii="宋体" w:hAnsi="宋体" w:eastAsia="宋体" w:cs="宋体"/>
          <w:color w:val="000000" w:themeColor="text1"/>
          <w:szCs w:val="21"/>
          <w:highlight w:val="none"/>
          <w14:textFill>
            <w14:solidFill>
              <w14:schemeClr w14:val="tx1"/>
            </w14:solidFill>
          </w14:textFill>
        </w:rPr>
        <w:t>电子</w:t>
      </w:r>
      <w:r>
        <w:rPr>
          <w:rFonts w:hint="eastAsia" w:ascii="宋体" w:hAnsi="宋体" w:cs="宋体"/>
          <w:color w:val="000000" w:themeColor="text1"/>
          <w:szCs w:val="21"/>
          <w:highlight w:val="none"/>
          <w:lang w:val="en-US" w:eastAsia="zh-CN"/>
          <w14:textFill>
            <w14:solidFill>
              <w14:schemeClr w14:val="tx1"/>
            </w14:solidFill>
          </w14:textFill>
        </w:rPr>
        <w:t>盖章</w:t>
      </w: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6427DE28">
      <w:pPr>
        <w:pageBreakBefore w:val="0"/>
        <w:kinsoku/>
        <w:overflowPunct/>
        <w:topLinePunct w:val="0"/>
        <w:bidi w:val="0"/>
        <w:spacing w:line="360" w:lineRule="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日期：  年  月   日</w:t>
      </w:r>
    </w:p>
    <w:p w14:paraId="15ED950E">
      <w:pPr>
        <w:pageBreakBefore w:val="0"/>
        <w:kinsoku/>
        <w:overflowPunct/>
        <w:topLinePunct w:val="0"/>
        <w:bidi w:val="0"/>
        <w:spacing w:line="360" w:lineRule="auto"/>
        <w:jc w:val="both"/>
        <w:rPr>
          <w:rFonts w:hint="eastAsia" w:ascii="宋体" w:hAnsi="宋体" w:eastAsia="宋体" w:cs="宋体"/>
          <w:b/>
          <w:bCs/>
          <w:color w:val="000000" w:themeColor="text1"/>
          <w:szCs w:val="21"/>
          <w:highlight w:val="none"/>
          <w14:textFill>
            <w14:solidFill>
              <w14:schemeClr w14:val="tx1"/>
            </w14:solidFill>
          </w14:textFill>
        </w:rPr>
      </w:pPr>
    </w:p>
    <w:p w14:paraId="7BCE823A">
      <w:pPr>
        <w:pageBreakBefore w:val="0"/>
        <w:kinsoku/>
        <w:overflowPunct/>
        <w:topLinePunct w:val="0"/>
        <w:bidi w:val="0"/>
        <w:spacing w:line="360" w:lineRule="auto"/>
        <w:jc w:val="center"/>
        <w:rPr>
          <w:rFonts w:hint="eastAsia"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六</w:t>
      </w:r>
      <w:r>
        <w:rPr>
          <w:rFonts w:hint="eastAsia" w:ascii="宋体" w:hAnsi="宋体" w:eastAsia="宋体" w:cs="宋体"/>
          <w:b/>
          <w:bCs/>
          <w:color w:val="000000" w:themeColor="text1"/>
          <w:szCs w:val="21"/>
          <w:highlight w:val="none"/>
          <w14:textFill>
            <w14:solidFill>
              <w14:schemeClr w14:val="tx1"/>
            </w14:solidFill>
          </w14:textFill>
        </w:rPr>
        <w:t>、认为需要的</w:t>
      </w:r>
      <w:r>
        <w:rPr>
          <w:rFonts w:hint="eastAsia" w:ascii="宋体" w:hAnsi="宋体" w:eastAsia="宋体" w:cs="宋体"/>
          <w:b/>
          <w:color w:val="000000" w:themeColor="text1"/>
          <w:kern w:val="0"/>
          <w:szCs w:val="21"/>
          <w:highlight w:val="none"/>
          <w:lang w:val="zh-CN"/>
          <w14:textFill>
            <w14:solidFill>
              <w14:schemeClr w14:val="tx1"/>
            </w14:solidFill>
          </w14:textFill>
        </w:rPr>
        <w:t>其他说明文件</w:t>
      </w:r>
    </w:p>
    <w:p w14:paraId="56DB28BE">
      <w:pPr>
        <w:pageBreakBefore w:val="0"/>
        <w:kinsoku/>
        <w:overflowPunct/>
        <w:topLinePunct w:val="0"/>
        <w:bidi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（由供应商根据采购需求自行编制）</w:t>
      </w:r>
    </w:p>
    <w:p w14:paraId="00804B24">
      <w:pPr>
        <w:pageBreakBefore w:val="0"/>
        <w:kinsoku/>
        <w:overflowPunct/>
        <w:topLinePunct w:val="0"/>
        <w:bidi w:val="0"/>
        <w:spacing w:line="360" w:lineRule="auto"/>
        <w:rPr>
          <w:rFonts w:hint="eastAsia" w:ascii="宋体" w:hAnsi="宋体" w:eastAsia="宋体" w:cs="宋体"/>
          <w:color w:val="000000" w:themeColor="text1"/>
          <w:szCs w:val="21"/>
          <w:highlight w:val="none"/>
          <w14:textFill>
            <w14:solidFill>
              <w14:schemeClr w14:val="tx1"/>
            </w14:solidFill>
          </w14:textFill>
        </w:rPr>
      </w:pPr>
    </w:p>
    <w:p w14:paraId="28C5393D">
      <w:pPr>
        <w:pageBreakBefore w:val="0"/>
        <w:kinsoku/>
        <w:overflowPunct/>
        <w:topLinePunct w:val="0"/>
        <w:autoSpaceDE w:val="0"/>
        <w:autoSpaceDN w:val="0"/>
        <w:bidi w:val="0"/>
        <w:spacing w:line="360" w:lineRule="auto"/>
        <w:ind w:firstLine="3990" w:firstLineChars="19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供应商名称（</w:t>
      </w:r>
      <w:r>
        <w:rPr>
          <w:rFonts w:hint="eastAsia" w:ascii="宋体" w:hAnsi="宋体" w:eastAsia="宋体" w:cs="宋体"/>
          <w:color w:val="000000" w:themeColor="text1"/>
          <w:szCs w:val="21"/>
          <w:highlight w:val="none"/>
          <w14:textFill>
            <w14:solidFill>
              <w14:schemeClr w14:val="tx1"/>
            </w14:solidFill>
          </w14:textFill>
        </w:rPr>
        <w:t>电子</w:t>
      </w:r>
      <w:r>
        <w:rPr>
          <w:rFonts w:hint="eastAsia" w:ascii="宋体" w:hAnsi="宋体" w:cs="宋体"/>
          <w:color w:val="000000" w:themeColor="text1"/>
          <w:szCs w:val="21"/>
          <w:highlight w:val="none"/>
          <w:lang w:val="en-US" w:eastAsia="zh-CN"/>
          <w14:textFill>
            <w14:solidFill>
              <w14:schemeClr w14:val="tx1"/>
            </w14:solidFill>
          </w14:textFill>
        </w:rPr>
        <w:t>盖章</w:t>
      </w: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3BEF401C">
      <w:pPr>
        <w:pageBreakBefore w:val="0"/>
        <w:kinsoku/>
        <w:overflowPunct/>
        <w:topLinePunct w:val="0"/>
        <w:bidi w:val="0"/>
        <w:spacing w:line="360" w:lineRule="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日期：  年  月   日</w:t>
      </w:r>
    </w:p>
    <w:p w14:paraId="559A225C">
      <w:pPr>
        <w:pageBreakBefore w:val="0"/>
        <w:tabs>
          <w:tab w:val="left" w:pos="2790"/>
          <w:tab w:val="left" w:pos="4230"/>
        </w:tabs>
        <w:kinsoku/>
        <w:overflowPunct/>
        <w:topLinePunct w:val="0"/>
        <w:autoSpaceDE w:val="0"/>
        <w:autoSpaceDN w:val="0"/>
        <w:bidi w:val="0"/>
        <w:spacing w:line="360" w:lineRule="auto"/>
        <w:ind w:right="1400"/>
        <w:jc w:val="center"/>
        <w:rPr>
          <w:rFonts w:hint="eastAsia" w:ascii="宋体" w:hAnsi="宋体" w:eastAsia="宋体" w:cs="宋体"/>
          <w:b/>
          <w:bCs/>
          <w:color w:val="000000" w:themeColor="text1"/>
          <w:kern w:val="0"/>
          <w:szCs w:val="21"/>
          <w:highlight w:val="none"/>
          <w:lang w:val="zh-CN"/>
          <w14:textFill>
            <w14:solidFill>
              <w14:schemeClr w14:val="tx1"/>
            </w14:solidFill>
          </w14:textFill>
        </w:rPr>
      </w:pPr>
      <w:r>
        <w:rPr>
          <w:rFonts w:hint="eastAsia" w:ascii="宋体" w:hAnsi="宋体" w:eastAsia="宋体" w:cs="宋体"/>
          <w:b/>
          <w:bCs/>
          <w:color w:val="000000" w:themeColor="text1"/>
          <w:kern w:val="0"/>
          <w:szCs w:val="21"/>
          <w:highlight w:val="none"/>
          <w:lang w:val="zh-CN"/>
          <w14:textFill>
            <w14:solidFill>
              <w14:schemeClr w14:val="tx1"/>
            </w14:solidFill>
          </w14:textFill>
        </w:rPr>
        <w:t xml:space="preserve">       </w:t>
      </w:r>
    </w:p>
    <w:p w14:paraId="7B0D7540">
      <w:pPr>
        <w:pageBreakBefore w:val="0"/>
        <w:kinsoku/>
        <w:overflowPunct/>
        <w:topLinePunct w:val="0"/>
        <w:bidi w:val="0"/>
        <w:spacing w:line="360" w:lineRule="auto"/>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p>
    <w:p w14:paraId="28AA9C73">
      <w:pPr>
        <w:pageBreakBefore w:val="0"/>
        <w:kinsoku/>
        <w:overflowPunct/>
        <w:topLinePunct w:val="0"/>
        <w:bidi w:val="0"/>
        <w:spacing w:line="360" w:lineRule="auto"/>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p>
    <w:p w14:paraId="00C46FE7">
      <w:pPr>
        <w:pageBreakBefore w:val="0"/>
        <w:kinsoku/>
        <w:overflowPunct/>
        <w:topLinePunct w:val="0"/>
        <w:bidi w:val="0"/>
        <w:spacing w:line="360" w:lineRule="auto"/>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p>
    <w:p w14:paraId="7F70FF08">
      <w:pPr>
        <w:pageBreakBefore w:val="0"/>
        <w:kinsoku/>
        <w:overflowPunct/>
        <w:topLinePunct w:val="0"/>
        <w:bidi w:val="0"/>
        <w:spacing w:line="360" w:lineRule="auto"/>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p>
    <w:p w14:paraId="3D283747">
      <w:pPr>
        <w:pageBreakBefore w:val="0"/>
        <w:kinsoku/>
        <w:overflowPunct/>
        <w:topLinePunct w:val="0"/>
        <w:bidi w:val="0"/>
        <w:spacing w:line="360" w:lineRule="auto"/>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p>
    <w:p w14:paraId="0334DCE6">
      <w:pPr>
        <w:pageBreakBefore w:val="0"/>
        <w:kinsoku/>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七</w:t>
      </w:r>
      <w:r>
        <w:rPr>
          <w:rFonts w:hint="eastAsia" w:ascii="宋体" w:hAnsi="宋体" w:eastAsia="宋体" w:cs="宋体"/>
          <w:b/>
          <w:bCs/>
          <w:color w:val="000000" w:themeColor="text1"/>
          <w:szCs w:val="21"/>
          <w:highlight w:val="none"/>
          <w14:textFill>
            <w14:solidFill>
              <w14:schemeClr w14:val="tx1"/>
            </w14:solidFill>
          </w14:textFill>
        </w:rPr>
        <w:t>、拟投入项目小组人员名单</w:t>
      </w:r>
    </w:p>
    <w:p w14:paraId="1BC999C6">
      <w:pPr>
        <w:pageBreakBefore w:val="0"/>
        <w:kinsoku/>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格式可自拟</w:t>
      </w:r>
      <w:r>
        <w:rPr>
          <w:rFonts w:hint="eastAsia" w:ascii="宋体" w:hAnsi="宋体" w:eastAsia="宋体" w:cs="宋体"/>
          <w:b/>
          <w:bCs/>
          <w:color w:val="000000" w:themeColor="text1"/>
          <w:szCs w:val="21"/>
          <w:highlight w:val="none"/>
          <w14:textFill>
            <w14:solidFill>
              <w14:schemeClr w14:val="tx1"/>
            </w14:solidFill>
          </w14:textFill>
        </w:rPr>
        <w:t>）</w:t>
      </w:r>
    </w:p>
    <w:tbl>
      <w:tblPr>
        <w:tblStyle w:val="62"/>
        <w:tblW w:w="8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87"/>
        <w:gridCol w:w="1297"/>
        <w:gridCol w:w="1345"/>
        <w:gridCol w:w="1973"/>
        <w:gridCol w:w="1782"/>
      </w:tblGrid>
      <w:tr w14:paraId="5A7A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8" w:type="dxa"/>
            <w:vAlign w:val="center"/>
          </w:tcPr>
          <w:p w14:paraId="2751D0CE">
            <w:pPr>
              <w:pageBreakBefore w:val="0"/>
              <w:kinsoku/>
              <w:overflowPunct/>
              <w:topLinePunct w:val="0"/>
              <w:bidi w:val="0"/>
              <w:spacing w:line="360" w:lineRule="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序号</w:t>
            </w:r>
          </w:p>
        </w:tc>
        <w:tc>
          <w:tcPr>
            <w:tcW w:w="1587" w:type="dxa"/>
            <w:vAlign w:val="center"/>
          </w:tcPr>
          <w:p w14:paraId="6EA2656C">
            <w:pPr>
              <w:pageBreakBefore w:val="0"/>
              <w:kinsoku/>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姓名</w:t>
            </w:r>
          </w:p>
        </w:tc>
        <w:tc>
          <w:tcPr>
            <w:tcW w:w="1297" w:type="dxa"/>
            <w:vAlign w:val="center"/>
          </w:tcPr>
          <w:p w14:paraId="43E1F15E">
            <w:pPr>
              <w:pageBreakBefore w:val="0"/>
              <w:kinsoku/>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年龄</w:t>
            </w:r>
          </w:p>
        </w:tc>
        <w:tc>
          <w:tcPr>
            <w:tcW w:w="1345" w:type="dxa"/>
            <w:vAlign w:val="center"/>
          </w:tcPr>
          <w:p w14:paraId="20AA684B">
            <w:pPr>
              <w:pageBreakBefore w:val="0"/>
              <w:kinsoku/>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岗位设置</w:t>
            </w:r>
          </w:p>
        </w:tc>
        <w:tc>
          <w:tcPr>
            <w:tcW w:w="1973" w:type="dxa"/>
            <w:vAlign w:val="center"/>
          </w:tcPr>
          <w:p w14:paraId="0729A6FF">
            <w:pPr>
              <w:pageBreakBefore w:val="0"/>
              <w:kinsoku/>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工作内容</w:t>
            </w:r>
          </w:p>
        </w:tc>
        <w:tc>
          <w:tcPr>
            <w:tcW w:w="1782" w:type="dxa"/>
            <w:vAlign w:val="center"/>
          </w:tcPr>
          <w:p w14:paraId="060722FC">
            <w:pPr>
              <w:pageBreakBefore w:val="0"/>
              <w:kinsoku/>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备注</w:t>
            </w:r>
          </w:p>
        </w:tc>
      </w:tr>
      <w:tr w14:paraId="5FE3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08" w:type="dxa"/>
            <w:vAlign w:val="center"/>
          </w:tcPr>
          <w:p w14:paraId="0F21898E">
            <w:pPr>
              <w:pageBreakBefore w:val="0"/>
              <w:kinsoku/>
              <w:overflowPunct/>
              <w:topLinePunct w:val="0"/>
              <w:bidi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w:t>
            </w:r>
          </w:p>
        </w:tc>
        <w:tc>
          <w:tcPr>
            <w:tcW w:w="1587" w:type="dxa"/>
            <w:vAlign w:val="center"/>
          </w:tcPr>
          <w:p w14:paraId="507F784B">
            <w:pPr>
              <w:pageBreakBefore w:val="0"/>
              <w:kinsoku/>
              <w:overflowPunct/>
              <w:topLinePunct w:val="0"/>
              <w:bidi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297" w:type="dxa"/>
            <w:vAlign w:val="center"/>
          </w:tcPr>
          <w:p w14:paraId="246E10B2">
            <w:pPr>
              <w:pageBreakBefore w:val="0"/>
              <w:kinsoku/>
              <w:overflowPunct/>
              <w:topLinePunct w:val="0"/>
              <w:bidi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345" w:type="dxa"/>
            <w:vAlign w:val="center"/>
          </w:tcPr>
          <w:p w14:paraId="65A16100">
            <w:pPr>
              <w:pageBreakBefore w:val="0"/>
              <w:kinsoku/>
              <w:overflowPunct/>
              <w:topLinePunct w:val="0"/>
              <w:bidi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973" w:type="dxa"/>
            <w:vAlign w:val="center"/>
          </w:tcPr>
          <w:p w14:paraId="2C51001D">
            <w:pPr>
              <w:pageBreakBefore w:val="0"/>
              <w:kinsoku/>
              <w:overflowPunct/>
              <w:topLinePunct w:val="0"/>
              <w:bidi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782" w:type="dxa"/>
            <w:vAlign w:val="center"/>
          </w:tcPr>
          <w:p w14:paraId="3C71A85A">
            <w:pPr>
              <w:pageBreakBefore w:val="0"/>
              <w:kinsoku/>
              <w:overflowPunct/>
              <w:topLinePunct w:val="0"/>
              <w:bidi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4A4C4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8" w:type="dxa"/>
            <w:vAlign w:val="center"/>
          </w:tcPr>
          <w:p w14:paraId="6BE82690">
            <w:pPr>
              <w:pageBreakBefore w:val="0"/>
              <w:kinsoku/>
              <w:overflowPunct/>
              <w:topLinePunct w:val="0"/>
              <w:bidi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w:t>
            </w:r>
          </w:p>
        </w:tc>
        <w:tc>
          <w:tcPr>
            <w:tcW w:w="1587" w:type="dxa"/>
            <w:vAlign w:val="center"/>
          </w:tcPr>
          <w:p w14:paraId="2BC24E94">
            <w:pPr>
              <w:pageBreakBefore w:val="0"/>
              <w:kinsoku/>
              <w:overflowPunct/>
              <w:topLinePunct w:val="0"/>
              <w:bidi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297" w:type="dxa"/>
            <w:vAlign w:val="center"/>
          </w:tcPr>
          <w:p w14:paraId="43634FA5">
            <w:pPr>
              <w:pageBreakBefore w:val="0"/>
              <w:kinsoku/>
              <w:overflowPunct/>
              <w:topLinePunct w:val="0"/>
              <w:bidi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345" w:type="dxa"/>
            <w:vAlign w:val="center"/>
          </w:tcPr>
          <w:p w14:paraId="2B181F0C">
            <w:pPr>
              <w:pageBreakBefore w:val="0"/>
              <w:kinsoku/>
              <w:overflowPunct/>
              <w:topLinePunct w:val="0"/>
              <w:bidi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973" w:type="dxa"/>
            <w:vAlign w:val="center"/>
          </w:tcPr>
          <w:p w14:paraId="3FED37BB">
            <w:pPr>
              <w:pageBreakBefore w:val="0"/>
              <w:kinsoku/>
              <w:overflowPunct/>
              <w:topLinePunct w:val="0"/>
              <w:bidi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782" w:type="dxa"/>
            <w:vAlign w:val="center"/>
          </w:tcPr>
          <w:p w14:paraId="01876784">
            <w:pPr>
              <w:pageBreakBefore w:val="0"/>
              <w:kinsoku/>
              <w:overflowPunct/>
              <w:topLinePunct w:val="0"/>
              <w:bidi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7EEC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8" w:type="dxa"/>
          </w:tcPr>
          <w:p w14:paraId="67F925AC">
            <w:pPr>
              <w:pageBreakBefore w:val="0"/>
              <w:kinsoku/>
              <w:overflowPunct/>
              <w:topLinePunct w:val="0"/>
              <w:bidi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w:t>
            </w:r>
          </w:p>
        </w:tc>
        <w:tc>
          <w:tcPr>
            <w:tcW w:w="1587" w:type="dxa"/>
          </w:tcPr>
          <w:p w14:paraId="3A3CEAE6">
            <w:pPr>
              <w:pageBreakBefore w:val="0"/>
              <w:kinsoku/>
              <w:overflowPunct/>
              <w:topLinePunct w:val="0"/>
              <w:bidi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297" w:type="dxa"/>
          </w:tcPr>
          <w:p w14:paraId="783F50DD">
            <w:pPr>
              <w:pageBreakBefore w:val="0"/>
              <w:kinsoku/>
              <w:overflowPunct/>
              <w:topLinePunct w:val="0"/>
              <w:bidi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345" w:type="dxa"/>
          </w:tcPr>
          <w:p w14:paraId="044D513C">
            <w:pPr>
              <w:pageBreakBefore w:val="0"/>
              <w:kinsoku/>
              <w:overflowPunct/>
              <w:topLinePunct w:val="0"/>
              <w:bidi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973" w:type="dxa"/>
          </w:tcPr>
          <w:p w14:paraId="41AA4739">
            <w:pPr>
              <w:pageBreakBefore w:val="0"/>
              <w:kinsoku/>
              <w:overflowPunct/>
              <w:topLinePunct w:val="0"/>
              <w:bidi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782" w:type="dxa"/>
          </w:tcPr>
          <w:p w14:paraId="39200DE5">
            <w:pPr>
              <w:pageBreakBefore w:val="0"/>
              <w:kinsoku/>
              <w:overflowPunct/>
              <w:topLinePunct w:val="0"/>
              <w:bidi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6101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08" w:type="dxa"/>
          </w:tcPr>
          <w:p w14:paraId="786C76B8">
            <w:pPr>
              <w:pageBreakBefore w:val="0"/>
              <w:kinsoku/>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587" w:type="dxa"/>
          </w:tcPr>
          <w:p w14:paraId="5BC92995">
            <w:pPr>
              <w:pageBreakBefore w:val="0"/>
              <w:kinsoku/>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297" w:type="dxa"/>
          </w:tcPr>
          <w:p w14:paraId="1087A1FA">
            <w:pPr>
              <w:pageBreakBefore w:val="0"/>
              <w:kinsoku/>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345" w:type="dxa"/>
          </w:tcPr>
          <w:p w14:paraId="7DEFE998">
            <w:pPr>
              <w:pageBreakBefore w:val="0"/>
              <w:kinsoku/>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973" w:type="dxa"/>
          </w:tcPr>
          <w:p w14:paraId="1B00CF48">
            <w:pPr>
              <w:pageBreakBefore w:val="0"/>
              <w:kinsoku/>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c>
          <w:tcPr>
            <w:tcW w:w="1782" w:type="dxa"/>
          </w:tcPr>
          <w:p w14:paraId="0F78E8E7">
            <w:pPr>
              <w:pageBreakBefore w:val="0"/>
              <w:kinsoku/>
              <w:overflowPunct/>
              <w:topLinePunct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tc>
      </w:tr>
    </w:tbl>
    <w:p w14:paraId="27D33AC2">
      <w:pPr>
        <w:pageBreakBefore w:val="0"/>
        <w:kinsoku/>
        <w:overflowPunct/>
        <w:topLinePunct w:val="0"/>
        <w:bidi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注：供应商可按上述的格式自行编制。</w:t>
      </w:r>
    </w:p>
    <w:p w14:paraId="5E5CD759">
      <w:pPr>
        <w:pageBreakBefore w:val="0"/>
        <w:kinsoku/>
        <w:overflowPunct/>
        <w:topLinePunct w:val="0"/>
        <w:autoSpaceDE w:val="0"/>
        <w:autoSpaceDN w:val="0"/>
        <w:bidi w:val="0"/>
        <w:spacing w:line="360" w:lineRule="auto"/>
        <w:ind w:firstLine="3990" w:firstLineChars="19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供应商名称（</w:t>
      </w:r>
      <w:r>
        <w:rPr>
          <w:rFonts w:hint="eastAsia" w:ascii="宋体" w:hAnsi="宋体" w:eastAsia="宋体" w:cs="宋体"/>
          <w:color w:val="000000" w:themeColor="text1"/>
          <w:szCs w:val="21"/>
          <w:highlight w:val="none"/>
          <w14:textFill>
            <w14:solidFill>
              <w14:schemeClr w14:val="tx1"/>
            </w14:solidFill>
          </w14:textFill>
        </w:rPr>
        <w:t>电子</w:t>
      </w:r>
      <w:r>
        <w:rPr>
          <w:rFonts w:hint="eastAsia" w:ascii="宋体" w:hAnsi="宋体" w:cs="宋体"/>
          <w:color w:val="000000" w:themeColor="text1"/>
          <w:szCs w:val="21"/>
          <w:highlight w:val="none"/>
          <w:lang w:val="en-US" w:eastAsia="zh-CN"/>
          <w14:textFill>
            <w14:solidFill>
              <w14:schemeClr w14:val="tx1"/>
            </w14:solidFill>
          </w14:textFill>
        </w:rPr>
        <w:t>盖章</w:t>
      </w: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243536B8">
      <w:pPr>
        <w:pageBreakBefore w:val="0"/>
        <w:kinsoku/>
        <w:overflowPunct/>
        <w:topLinePunct w:val="0"/>
        <w:bidi w:val="0"/>
        <w:spacing w:line="360" w:lineRule="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日期：  年  月   日</w:t>
      </w:r>
    </w:p>
    <w:p w14:paraId="299B896B">
      <w:pPr>
        <w:pStyle w:val="35"/>
        <w:pageBreakBefore w:val="0"/>
        <w:kinsoku/>
        <w:overflowPunct/>
        <w:topLinePunct w:val="0"/>
        <w:bidi w:val="0"/>
        <w:spacing w:before="120" w:after="120" w:line="360" w:lineRule="auto"/>
        <w:jc w:val="center"/>
        <w:outlineLvl w:val="3"/>
        <w:rPr>
          <w:rFonts w:hint="eastAsia" w:ascii="宋体" w:hAnsi="宋体" w:eastAsia="宋体" w:cs="宋体"/>
          <w:b/>
          <w:color w:val="000000" w:themeColor="text1"/>
          <w:szCs w:val="21"/>
          <w:highlight w:val="none"/>
          <w14:textFill>
            <w14:solidFill>
              <w14:schemeClr w14:val="tx1"/>
            </w14:solidFill>
          </w14:textFill>
        </w:rPr>
      </w:pPr>
    </w:p>
    <w:p w14:paraId="54869E6A">
      <w:pPr>
        <w:pStyle w:val="35"/>
        <w:pageBreakBefore w:val="0"/>
        <w:kinsoku/>
        <w:overflowPunct/>
        <w:topLinePunct w:val="0"/>
        <w:bidi w:val="0"/>
        <w:spacing w:before="120" w:after="120" w:line="360" w:lineRule="auto"/>
        <w:jc w:val="center"/>
        <w:outlineLvl w:val="3"/>
        <w:rPr>
          <w:rFonts w:hint="eastAsia" w:ascii="宋体" w:hAnsi="宋体" w:eastAsia="宋体" w:cs="宋体"/>
          <w:b/>
          <w:color w:val="000000" w:themeColor="text1"/>
          <w:szCs w:val="21"/>
          <w:highlight w:val="none"/>
          <w14:textFill>
            <w14:solidFill>
              <w14:schemeClr w14:val="tx1"/>
            </w14:solidFill>
          </w14:textFill>
        </w:rPr>
      </w:pPr>
    </w:p>
    <w:p w14:paraId="54CC9C72">
      <w:pPr>
        <w:pStyle w:val="35"/>
        <w:pageBreakBefore w:val="0"/>
        <w:kinsoku/>
        <w:overflowPunct/>
        <w:topLinePunct w:val="0"/>
        <w:bidi w:val="0"/>
        <w:spacing w:before="120" w:after="120" w:line="360" w:lineRule="auto"/>
        <w:jc w:val="center"/>
        <w:outlineLvl w:val="3"/>
        <w:rPr>
          <w:rFonts w:hint="eastAsia" w:ascii="宋体" w:hAnsi="宋体" w:eastAsia="宋体" w:cs="宋体"/>
          <w:b/>
          <w:color w:val="000000" w:themeColor="text1"/>
          <w:szCs w:val="21"/>
          <w:highlight w:val="none"/>
          <w14:textFill>
            <w14:solidFill>
              <w14:schemeClr w14:val="tx1"/>
            </w14:solidFill>
          </w14:textFill>
        </w:rPr>
      </w:pPr>
    </w:p>
    <w:p w14:paraId="3FF92E20">
      <w:pPr>
        <w:pageBreakBefore w:val="0"/>
        <w:kinsoku/>
        <w:overflowPunct/>
        <w:topLinePunct w:val="0"/>
        <w:bidi w:val="0"/>
        <w:spacing w:line="360" w:lineRule="auto"/>
        <w:jc w:val="center"/>
        <w:rPr>
          <w:rFonts w:hint="eastAsia"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八</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color w:val="000000" w:themeColor="text1"/>
          <w:kern w:val="0"/>
          <w:szCs w:val="21"/>
          <w:highlight w:val="none"/>
          <w:lang w:val="zh-CN"/>
          <w14:textFill>
            <w14:solidFill>
              <w14:schemeClr w14:val="tx1"/>
            </w14:solidFill>
          </w14:textFill>
        </w:rPr>
        <w:t>优惠条件及特殊承诺</w:t>
      </w:r>
    </w:p>
    <w:p w14:paraId="738CB234">
      <w:pPr>
        <w:pageBreakBefore w:val="0"/>
        <w:kinsoku/>
        <w:overflowPunct/>
        <w:topLinePunct w:val="0"/>
        <w:bidi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（由供应商根据采购需求自行编制）</w:t>
      </w:r>
    </w:p>
    <w:p w14:paraId="1F81290B">
      <w:pPr>
        <w:pageBreakBefore w:val="0"/>
        <w:kinsoku/>
        <w:overflowPunct/>
        <w:topLinePunct w:val="0"/>
        <w:bidi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p w14:paraId="036ED5F3">
      <w:pPr>
        <w:pageBreakBefore w:val="0"/>
        <w:kinsoku/>
        <w:overflowPunct/>
        <w:topLinePunct w:val="0"/>
        <w:autoSpaceDE w:val="0"/>
        <w:autoSpaceDN w:val="0"/>
        <w:bidi w:val="0"/>
        <w:spacing w:line="360" w:lineRule="auto"/>
        <w:ind w:firstLine="3990" w:firstLineChars="19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供应商名称（</w:t>
      </w:r>
      <w:r>
        <w:rPr>
          <w:rFonts w:hint="eastAsia" w:ascii="宋体" w:hAnsi="宋体" w:eastAsia="宋体" w:cs="宋体"/>
          <w:color w:val="000000" w:themeColor="text1"/>
          <w:szCs w:val="21"/>
          <w:highlight w:val="none"/>
          <w14:textFill>
            <w14:solidFill>
              <w14:schemeClr w14:val="tx1"/>
            </w14:solidFill>
          </w14:textFill>
        </w:rPr>
        <w:t>电子</w:t>
      </w:r>
      <w:r>
        <w:rPr>
          <w:rFonts w:hint="eastAsia" w:ascii="宋体" w:hAnsi="宋体" w:cs="宋体"/>
          <w:color w:val="000000" w:themeColor="text1"/>
          <w:szCs w:val="21"/>
          <w:highlight w:val="none"/>
          <w:lang w:val="en-US" w:eastAsia="zh-CN"/>
          <w14:textFill>
            <w14:solidFill>
              <w14:schemeClr w14:val="tx1"/>
            </w14:solidFill>
          </w14:textFill>
        </w:rPr>
        <w:t>盖章</w:t>
      </w: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667F2800">
      <w:pPr>
        <w:pageBreakBefore w:val="0"/>
        <w:kinsoku/>
        <w:overflowPunct/>
        <w:topLinePunct w:val="0"/>
        <w:bidi w:val="0"/>
        <w:spacing w:line="360" w:lineRule="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日期：  年  月   日</w:t>
      </w:r>
    </w:p>
    <w:p w14:paraId="52F59882">
      <w:pPr>
        <w:pageBreakBefore w:val="0"/>
        <w:tabs>
          <w:tab w:val="left" w:pos="0"/>
        </w:tabs>
        <w:kinsoku/>
        <w:overflowPunct/>
        <w:topLinePunct w:val="0"/>
        <w:autoSpaceDE w:val="0"/>
        <w:autoSpaceDN w:val="0"/>
        <w:bidi w:val="0"/>
        <w:spacing w:line="360" w:lineRule="auto"/>
        <w:jc w:val="both"/>
        <w:rPr>
          <w:rFonts w:hint="eastAsia" w:ascii="宋体" w:hAnsi="宋体" w:eastAsia="宋体" w:cs="宋体"/>
          <w:b/>
          <w:bCs/>
          <w:color w:val="000000" w:themeColor="text1"/>
          <w:szCs w:val="21"/>
          <w:highlight w:val="none"/>
          <w14:textFill>
            <w14:solidFill>
              <w14:schemeClr w14:val="tx1"/>
            </w14:solidFill>
          </w14:textFill>
        </w:rPr>
      </w:pPr>
    </w:p>
    <w:p w14:paraId="02EB31F7">
      <w:pPr>
        <w:pageBreakBefore w:val="0"/>
        <w:tabs>
          <w:tab w:val="left" w:pos="0"/>
        </w:tabs>
        <w:kinsoku/>
        <w:overflowPunct/>
        <w:topLinePunct w:val="0"/>
        <w:autoSpaceDE w:val="0"/>
        <w:autoSpaceDN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p w14:paraId="7F47A614">
      <w:pPr>
        <w:pageBreakBefore w:val="0"/>
        <w:tabs>
          <w:tab w:val="left" w:pos="0"/>
        </w:tabs>
        <w:kinsoku/>
        <w:overflowPunct/>
        <w:topLinePunct w:val="0"/>
        <w:autoSpaceDE w:val="0"/>
        <w:autoSpaceDN w:val="0"/>
        <w:bidi w:val="0"/>
        <w:spacing w:line="360" w:lineRule="auto"/>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p>
    <w:p w14:paraId="0253E464">
      <w:pPr>
        <w:pageBreakBefore w:val="0"/>
        <w:tabs>
          <w:tab w:val="left" w:pos="0"/>
        </w:tabs>
        <w:kinsoku/>
        <w:overflowPunct/>
        <w:topLinePunct w:val="0"/>
        <w:autoSpaceDE w:val="0"/>
        <w:autoSpaceDN w:val="0"/>
        <w:bidi w:val="0"/>
        <w:spacing w:line="360" w:lineRule="auto"/>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p>
    <w:p w14:paraId="708CE567">
      <w:pPr>
        <w:pageBreakBefore w:val="0"/>
        <w:tabs>
          <w:tab w:val="left" w:pos="0"/>
        </w:tabs>
        <w:kinsoku/>
        <w:overflowPunct/>
        <w:topLinePunct w:val="0"/>
        <w:autoSpaceDE w:val="0"/>
        <w:autoSpaceDN w:val="0"/>
        <w:bidi w:val="0"/>
        <w:spacing w:line="360" w:lineRule="auto"/>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p>
    <w:p w14:paraId="68AF5952">
      <w:pPr>
        <w:pageBreakBefore w:val="0"/>
        <w:tabs>
          <w:tab w:val="left" w:pos="0"/>
        </w:tabs>
        <w:kinsoku/>
        <w:overflowPunct/>
        <w:topLinePunct w:val="0"/>
        <w:autoSpaceDE w:val="0"/>
        <w:autoSpaceDN w:val="0"/>
        <w:bidi w:val="0"/>
        <w:spacing w:line="360" w:lineRule="auto"/>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p>
    <w:p w14:paraId="2CFCA682">
      <w:pPr>
        <w:pageBreakBefore w:val="0"/>
        <w:tabs>
          <w:tab w:val="left" w:pos="0"/>
        </w:tabs>
        <w:kinsoku/>
        <w:overflowPunct/>
        <w:topLinePunct w:val="0"/>
        <w:autoSpaceDE w:val="0"/>
        <w:autoSpaceDN w:val="0"/>
        <w:bidi w:val="0"/>
        <w:spacing w:line="360" w:lineRule="auto"/>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p>
    <w:p w14:paraId="5F561EDE">
      <w:pPr>
        <w:pageBreakBefore w:val="0"/>
        <w:tabs>
          <w:tab w:val="left" w:pos="0"/>
        </w:tabs>
        <w:kinsoku/>
        <w:overflowPunct/>
        <w:topLinePunct w:val="0"/>
        <w:autoSpaceDE w:val="0"/>
        <w:autoSpaceDN w:val="0"/>
        <w:bidi w:val="0"/>
        <w:spacing w:line="360" w:lineRule="auto"/>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p>
    <w:p w14:paraId="731652F2">
      <w:pPr>
        <w:pageBreakBefore w:val="0"/>
        <w:tabs>
          <w:tab w:val="left" w:pos="0"/>
        </w:tabs>
        <w:kinsoku/>
        <w:overflowPunct/>
        <w:topLinePunct w:val="0"/>
        <w:autoSpaceDE w:val="0"/>
        <w:autoSpaceDN w:val="0"/>
        <w:bidi w:val="0"/>
        <w:spacing w:line="360" w:lineRule="auto"/>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p>
    <w:p w14:paraId="4BDFF4CF">
      <w:pPr>
        <w:pageBreakBefore w:val="0"/>
        <w:tabs>
          <w:tab w:val="left" w:pos="0"/>
        </w:tabs>
        <w:kinsoku/>
        <w:overflowPunct/>
        <w:topLinePunct w:val="0"/>
        <w:autoSpaceDE w:val="0"/>
        <w:autoSpaceDN w:val="0"/>
        <w:bidi w:val="0"/>
        <w:spacing w:line="360" w:lineRule="auto"/>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p>
    <w:p w14:paraId="20A789E3">
      <w:pPr>
        <w:pageBreakBefore w:val="0"/>
        <w:tabs>
          <w:tab w:val="left" w:pos="0"/>
        </w:tabs>
        <w:kinsoku/>
        <w:overflowPunct/>
        <w:topLinePunct w:val="0"/>
        <w:autoSpaceDE w:val="0"/>
        <w:autoSpaceDN w:val="0"/>
        <w:bidi w:val="0"/>
        <w:spacing w:line="360" w:lineRule="auto"/>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p>
    <w:p w14:paraId="79BAF3F5">
      <w:pPr>
        <w:pageBreakBefore w:val="0"/>
        <w:tabs>
          <w:tab w:val="left" w:pos="0"/>
        </w:tabs>
        <w:kinsoku/>
        <w:overflowPunct/>
        <w:topLinePunct w:val="0"/>
        <w:autoSpaceDE w:val="0"/>
        <w:autoSpaceDN w:val="0"/>
        <w:bidi w:val="0"/>
        <w:spacing w:line="360" w:lineRule="auto"/>
        <w:jc w:val="center"/>
        <w:rPr>
          <w:rFonts w:hint="eastAsia" w:ascii="宋体" w:hAnsi="宋体" w:eastAsia="宋体" w:cs="宋体"/>
          <w:b/>
          <w:bCs/>
          <w:color w:val="000000" w:themeColor="text1"/>
          <w:szCs w:val="21"/>
          <w:highlight w:val="none"/>
          <w:lang w:val="en-US" w:eastAsia="zh-CN"/>
          <w14:textFill>
            <w14:solidFill>
              <w14:schemeClr w14:val="tx1"/>
            </w14:solidFill>
          </w14:textFill>
        </w:rPr>
      </w:pPr>
    </w:p>
    <w:p w14:paraId="185A6259">
      <w:pPr>
        <w:pageBreakBefore w:val="0"/>
        <w:tabs>
          <w:tab w:val="left" w:pos="0"/>
        </w:tabs>
        <w:kinsoku/>
        <w:overflowPunct/>
        <w:topLinePunct w:val="0"/>
        <w:autoSpaceDE w:val="0"/>
        <w:autoSpaceDN w:val="0"/>
        <w:bidi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九</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color w:val="000000" w:themeColor="text1"/>
          <w:kern w:val="0"/>
          <w:szCs w:val="21"/>
          <w:highlight w:val="none"/>
          <w:lang w:val="zh-CN"/>
          <w14:textFill>
            <w14:solidFill>
              <w14:schemeClr w14:val="tx1"/>
            </w14:solidFill>
          </w14:textFill>
        </w:rPr>
        <w:t>政府采购供应商廉洁自律承诺书</w:t>
      </w:r>
    </w:p>
    <w:p w14:paraId="5BCE247D">
      <w:pPr>
        <w:pageBreakBefore w:val="0"/>
        <w:kinsoku/>
        <w:overflowPunct/>
        <w:topLinePunct w:val="0"/>
        <w:autoSpaceDE w:val="0"/>
        <w:autoSpaceDN w:val="0"/>
        <w:bidi w:val="0"/>
        <w:spacing w:line="360" w:lineRule="auto"/>
        <w:jc w:val="left"/>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（采购人）</w:t>
      </w:r>
      <w:r>
        <w:rPr>
          <w:rFonts w:hint="eastAsia" w:ascii="宋体" w:hAnsi="宋体" w:eastAsia="宋体" w:cs="宋体"/>
          <w:color w:val="000000" w:themeColor="text1"/>
          <w:kern w:val="0"/>
          <w:szCs w:val="21"/>
          <w:highlight w:val="none"/>
          <w:lang w:val="zh-CN"/>
          <w14:textFill>
            <w14:solidFill>
              <w14:schemeClr w14:val="tx1"/>
            </w14:solidFill>
          </w14:textFill>
        </w:rPr>
        <w:t xml:space="preserve">：    </w:t>
      </w:r>
    </w:p>
    <w:p w14:paraId="2E247D9E">
      <w:pPr>
        <w:pageBreakBefore w:val="0"/>
        <w:kinsoku/>
        <w:overflowPunct/>
        <w:topLinePunct w:val="0"/>
        <w:autoSpaceDE w:val="0"/>
        <w:autoSpaceDN w:val="0"/>
        <w:bidi w:val="0"/>
        <w:spacing w:line="360" w:lineRule="auto"/>
        <w:ind w:left="2" w:leftChars="1" w:firstLine="420" w:firstLineChars="200"/>
        <w:jc w:val="left"/>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我单位响应你</w:t>
      </w:r>
      <w:r>
        <w:rPr>
          <w:rFonts w:hint="eastAsia" w:ascii="宋体" w:hAnsi="宋体" w:eastAsia="宋体" w:cs="宋体"/>
          <w:color w:val="000000" w:themeColor="text1"/>
          <w:szCs w:val="21"/>
          <w:highlight w:val="none"/>
          <w14:textFill>
            <w14:solidFill>
              <w14:schemeClr w14:val="tx1"/>
            </w14:solidFill>
          </w14:textFill>
        </w:rPr>
        <w:t>单位</w:t>
      </w:r>
      <w:r>
        <w:rPr>
          <w:rFonts w:hint="eastAsia" w:ascii="宋体" w:hAnsi="宋体" w:eastAsia="宋体" w:cs="宋体"/>
          <w:color w:val="000000" w:themeColor="text1"/>
          <w:kern w:val="0"/>
          <w:szCs w:val="21"/>
          <w:highlight w:val="none"/>
          <w:lang w:val="zh-CN"/>
          <w14:textFill>
            <w14:solidFill>
              <w14:schemeClr w14:val="tx1"/>
            </w14:solidFill>
          </w14:textFill>
        </w:rPr>
        <w:t>项目采购要求参加响应。在这次响应过程中和成交后，我们将严格遵守国家法律法规要求，并郑重承诺：</w:t>
      </w:r>
    </w:p>
    <w:p w14:paraId="7F0B497B">
      <w:pPr>
        <w:pageBreakBefore w:val="0"/>
        <w:kinsoku/>
        <w:overflowPunct/>
        <w:topLinePunct w:val="0"/>
        <w:autoSpaceDE w:val="0"/>
        <w:autoSpaceDN w:val="0"/>
        <w:bidi w:val="0"/>
        <w:spacing w:line="360" w:lineRule="auto"/>
        <w:ind w:left="2" w:leftChars="1" w:firstLine="420" w:firstLineChars="200"/>
        <w:jc w:val="left"/>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 xml:space="preserve">一、不向项目有关人员及部门赠送礼金礼物、有价证券、回扣以及中介费、介绍费、咨询费等好处费； </w:t>
      </w:r>
    </w:p>
    <w:p w14:paraId="58C07DC0">
      <w:pPr>
        <w:pageBreakBefore w:val="0"/>
        <w:kinsoku/>
        <w:overflowPunct/>
        <w:topLinePunct w:val="0"/>
        <w:autoSpaceDE w:val="0"/>
        <w:autoSpaceDN w:val="0"/>
        <w:bidi w:val="0"/>
        <w:spacing w:line="360" w:lineRule="auto"/>
        <w:ind w:left="2" w:leftChars="1" w:firstLine="420" w:firstLineChars="200"/>
        <w:jc w:val="left"/>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 xml:space="preserve">二、不为项目有关人员及部门报销应由你方单位或个人支付的费用； </w:t>
      </w:r>
    </w:p>
    <w:p w14:paraId="5FD7DA2A">
      <w:pPr>
        <w:pageBreakBefore w:val="0"/>
        <w:kinsoku/>
        <w:overflowPunct/>
        <w:topLinePunct w:val="0"/>
        <w:autoSpaceDE w:val="0"/>
        <w:autoSpaceDN w:val="0"/>
        <w:bidi w:val="0"/>
        <w:spacing w:line="360" w:lineRule="auto"/>
        <w:ind w:left="2" w:leftChars="1" w:firstLine="420" w:firstLineChars="200"/>
        <w:jc w:val="left"/>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 xml:space="preserve">三、不向项目有关人员及部门提供有可能影响公正的宴请和健身娱乐等活动； </w:t>
      </w:r>
    </w:p>
    <w:p w14:paraId="5FFA3544">
      <w:pPr>
        <w:pageBreakBefore w:val="0"/>
        <w:kinsoku/>
        <w:overflowPunct/>
        <w:topLinePunct w:val="0"/>
        <w:autoSpaceDE w:val="0"/>
        <w:autoSpaceDN w:val="0"/>
        <w:bidi w:val="0"/>
        <w:spacing w:line="360" w:lineRule="auto"/>
        <w:ind w:left="2" w:leftChars="1" w:firstLine="420" w:firstLineChars="200"/>
        <w:jc w:val="left"/>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四、不为项目有关人员及部门出国（境）、旅游等提供方便；</w:t>
      </w:r>
    </w:p>
    <w:p w14:paraId="51F97DAC">
      <w:pPr>
        <w:pageBreakBefore w:val="0"/>
        <w:kinsoku/>
        <w:overflowPunct/>
        <w:topLinePunct w:val="0"/>
        <w:autoSpaceDE w:val="0"/>
        <w:autoSpaceDN w:val="0"/>
        <w:bidi w:val="0"/>
        <w:spacing w:line="360" w:lineRule="auto"/>
        <w:ind w:left="481" w:leftChars="229"/>
        <w:jc w:val="left"/>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五、不为项目有关人员个人装修住房、婚丧嫁娶、配偶子女工作安排等提供</w:t>
      </w:r>
    </w:p>
    <w:p w14:paraId="18404E1C">
      <w:pPr>
        <w:pageBreakBefore w:val="0"/>
        <w:kinsoku/>
        <w:overflowPunct/>
        <w:topLinePunct w:val="0"/>
        <w:autoSpaceDE w:val="0"/>
        <w:autoSpaceDN w:val="0"/>
        <w:bidi w:val="0"/>
        <w:spacing w:line="360" w:lineRule="auto"/>
        <w:jc w:val="left"/>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好处；</w:t>
      </w:r>
    </w:p>
    <w:p w14:paraId="484D12F7">
      <w:pPr>
        <w:pageBreakBefore w:val="0"/>
        <w:kinsoku/>
        <w:overflowPunct/>
        <w:topLinePunct w:val="0"/>
        <w:autoSpaceDE w:val="0"/>
        <w:autoSpaceDN w:val="0"/>
        <w:bidi w:val="0"/>
        <w:spacing w:line="360" w:lineRule="auto"/>
        <w:ind w:left="2" w:leftChars="1" w:firstLine="420" w:firstLineChars="200"/>
        <w:jc w:val="left"/>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11A22878">
      <w:pPr>
        <w:pageBreakBefore w:val="0"/>
        <w:kinsoku/>
        <w:overflowPunct/>
        <w:topLinePunct w:val="0"/>
        <w:autoSpaceDE w:val="0"/>
        <w:autoSpaceDN w:val="0"/>
        <w:bidi w:val="0"/>
        <w:spacing w:line="360" w:lineRule="auto"/>
        <w:ind w:firstLine="420" w:firstLineChars="200"/>
        <w:jc w:val="left"/>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如违反上述承诺，你</w:t>
      </w:r>
      <w:r>
        <w:rPr>
          <w:rFonts w:hint="eastAsia" w:ascii="宋体" w:hAnsi="宋体" w:eastAsia="宋体" w:cs="宋体"/>
          <w:color w:val="000000" w:themeColor="text1"/>
          <w:szCs w:val="21"/>
          <w:highlight w:val="none"/>
          <w14:textFill>
            <w14:solidFill>
              <w14:schemeClr w14:val="tx1"/>
            </w14:solidFill>
          </w14:textFill>
        </w:rPr>
        <w:t>单位</w:t>
      </w:r>
      <w:r>
        <w:rPr>
          <w:rFonts w:hint="eastAsia" w:ascii="宋体" w:hAnsi="宋体" w:eastAsia="宋体" w:cs="宋体"/>
          <w:color w:val="000000" w:themeColor="text1"/>
          <w:kern w:val="0"/>
          <w:szCs w:val="21"/>
          <w:highlight w:val="none"/>
          <w:lang w:val="zh-CN"/>
          <w14:textFill>
            <w14:solidFill>
              <w14:schemeClr w14:val="tx1"/>
            </w14:solidFill>
          </w14:textFill>
        </w:rPr>
        <w:t>有权立即取消我单位响应、成交或在建项目的建设资格，有权拒绝我单位在一定时期内进入你</w:t>
      </w:r>
      <w:r>
        <w:rPr>
          <w:rFonts w:hint="eastAsia" w:ascii="宋体" w:hAnsi="宋体" w:eastAsia="宋体" w:cs="宋体"/>
          <w:color w:val="000000" w:themeColor="text1"/>
          <w:szCs w:val="21"/>
          <w:highlight w:val="none"/>
          <w14:textFill>
            <w14:solidFill>
              <w14:schemeClr w14:val="tx1"/>
            </w14:solidFill>
          </w14:textFill>
        </w:rPr>
        <w:t>单位</w:t>
      </w:r>
      <w:r>
        <w:rPr>
          <w:rFonts w:hint="eastAsia" w:ascii="宋体" w:hAnsi="宋体" w:eastAsia="宋体" w:cs="宋体"/>
          <w:color w:val="000000" w:themeColor="text1"/>
          <w:kern w:val="0"/>
          <w:szCs w:val="21"/>
          <w:highlight w:val="none"/>
          <w:lang w:val="zh-CN"/>
          <w14:textFill>
            <w14:solidFill>
              <w14:schemeClr w14:val="tx1"/>
            </w14:solidFill>
          </w14:textFill>
        </w:rPr>
        <w:t>进行项目建设或其他经营活动，并通报市财政局。由此引起的相应损失均由我单位承担。</w:t>
      </w:r>
    </w:p>
    <w:p w14:paraId="215FE151">
      <w:pPr>
        <w:pageBreakBefore w:val="0"/>
        <w:kinsoku/>
        <w:overflowPunct/>
        <w:topLinePunct w:val="0"/>
        <w:autoSpaceDE w:val="0"/>
        <w:autoSpaceDN w:val="0"/>
        <w:bidi w:val="0"/>
        <w:spacing w:line="360" w:lineRule="auto"/>
        <w:ind w:left="2"/>
        <w:jc w:val="left"/>
        <w:rPr>
          <w:rFonts w:hint="eastAsia" w:ascii="宋体" w:hAnsi="宋体" w:eastAsia="宋体" w:cs="宋体"/>
          <w:color w:val="000000" w:themeColor="text1"/>
          <w:kern w:val="0"/>
          <w:szCs w:val="21"/>
          <w:highlight w:val="none"/>
          <w:lang w:val="zh-CN"/>
          <w14:textFill>
            <w14:solidFill>
              <w14:schemeClr w14:val="tx1"/>
            </w14:solidFill>
          </w14:textFill>
        </w:rPr>
      </w:pPr>
    </w:p>
    <w:p w14:paraId="7CE0E4A4">
      <w:pPr>
        <w:pageBreakBefore w:val="0"/>
        <w:kinsoku/>
        <w:overflowPunct/>
        <w:topLinePunct w:val="0"/>
        <w:autoSpaceDE w:val="0"/>
        <w:autoSpaceDN w:val="0"/>
        <w:bidi w:val="0"/>
        <w:spacing w:line="360" w:lineRule="auto"/>
        <w:ind w:left="2"/>
        <w:jc w:val="left"/>
        <w:rPr>
          <w:rFonts w:hint="eastAsia" w:ascii="宋体" w:hAnsi="宋体" w:eastAsia="宋体" w:cs="宋体"/>
          <w:color w:val="000000" w:themeColor="text1"/>
          <w:kern w:val="0"/>
          <w:szCs w:val="21"/>
          <w:highlight w:val="none"/>
          <w:lang w:val="zh-CN"/>
          <w14:textFill>
            <w14:solidFill>
              <w14:schemeClr w14:val="tx1"/>
            </w14:solidFill>
          </w14:textFill>
        </w:rPr>
      </w:pPr>
    </w:p>
    <w:p w14:paraId="3AD79AD9">
      <w:pPr>
        <w:pageBreakBefore w:val="0"/>
        <w:kinsoku/>
        <w:overflowPunct/>
        <w:topLinePunct w:val="0"/>
        <w:autoSpaceDE w:val="0"/>
        <w:autoSpaceDN w:val="0"/>
        <w:bidi w:val="0"/>
        <w:spacing w:line="360" w:lineRule="auto"/>
        <w:ind w:left="2"/>
        <w:jc w:val="left"/>
        <w:rPr>
          <w:rFonts w:hint="eastAsia" w:ascii="宋体" w:hAnsi="宋体" w:eastAsia="宋体" w:cs="宋体"/>
          <w:color w:val="000000" w:themeColor="text1"/>
          <w:kern w:val="0"/>
          <w:szCs w:val="21"/>
          <w:highlight w:val="none"/>
          <w:lang w:val="zh-CN"/>
          <w14:textFill>
            <w14:solidFill>
              <w14:schemeClr w14:val="tx1"/>
            </w14:solidFill>
          </w14:textFill>
        </w:rPr>
      </w:pPr>
    </w:p>
    <w:p w14:paraId="27BDEBD4">
      <w:pPr>
        <w:pageBreakBefore w:val="0"/>
        <w:kinsoku/>
        <w:overflowPunct/>
        <w:topLinePunct w:val="0"/>
        <w:autoSpaceDE w:val="0"/>
        <w:autoSpaceDN w:val="0"/>
        <w:bidi w:val="0"/>
        <w:spacing w:line="360" w:lineRule="auto"/>
        <w:ind w:left="2" w:leftChars="1" w:right="1120" w:firstLine="3990" w:firstLineChars="1900"/>
        <w:jc w:val="left"/>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供应商</w:t>
      </w:r>
      <w:r>
        <w:rPr>
          <w:rFonts w:hint="eastAsia" w:ascii="宋体" w:hAnsi="宋体" w:eastAsia="宋体" w:cs="宋体"/>
          <w:color w:val="000000" w:themeColor="text1"/>
          <w:kern w:val="0"/>
          <w:szCs w:val="21"/>
          <w:highlight w:val="none"/>
          <w:lang w:val="zh-CN"/>
          <w14:textFill>
            <w14:solidFill>
              <w14:schemeClr w14:val="tx1"/>
            </w14:solidFill>
          </w14:textFill>
        </w:rPr>
        <w:t>名称（</w:t>
      </w:r>
      <w:r>
        <w:rPr>
          <w:rFonts w:hint="eastAsia" w:ascii="宋体" w:hAnsi="宋体" w:eastAsia="宋体" w:cs="宋体"/>
          <w:color w:val="000000" w:themeColor="text1"/>
          <w:szCs w:val="21"/>
          <w:highlight w:val="none"/>
          <w14:textFill>
            <w14:solidFill>
              <w14:schemeClr w14:val="tx1"/>
            </w14:solidFill>
          </w14:textFill>
        </w:rPr>
        <w:t>电子</w:t>
      </w:r>
      <w:r>
        <w:rPr>
          <w:rFonts w:hint="eastAsia" w:ascii="宋体" w:hAnsi="宋体" w:cs="宋体"/>
          <w:color w:val="000000" w:themeColor="text1"/>
          <w:szCs w:val="21"/>
          <w:highlight w:val="none"/>
          <w:lang w:val="en-US" w:eastAsia="zh-CN"/>
          <w14:textFill>
            <w14:solidFill>
              <w14:schemeClr w14:val="tx1"/>
            </w14:solidFill>
          </w14:textFill>
        </w:rPr>
        <w:t>盖章</w:t>
      </w:r>
      <w:r>
        <w:rPr>
          <w:rFonts w:hint="eastAsia" w:ascii="宋体" w:hAnsi="宋体" w:eastAsia="宋体" w:cs="宋体"/>
          <w:color w:val="000000" w:themeColor="text1"/>
          <w:kern w:val="0"/>
          <w:szCs w:val="21"/>
          <w:highlight w:val="none"/>
          <w:lang w:val="zh-CN"/>
          <w14:textFill>
            <w14:solidFill>
              <w14:schemeClr w14:val="tx1"/>
            </w14:solidFill>
          </w14:textFill>
        </w:rPr>
        <w:t xml:space="preserve">）：                </w:t>
      </w:r>
    </w:p>
    <w:p w14:paraId="08AEF8E2">
      <w:pPr>
        <w:pageBreakBefore w:val="0"/>
        <w:kinsoku/>
        <w:overflowPunct/>
        <w:topLinePunct w:val="0"/>
        <w:bidi w:val="0"/>
        <w:spacing w:line="360" w:lineRule="auto"/>
        <w:ind w:left="4620" w:leftChars="2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日期</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zh-CN"/>
          <w14:textFill>
            <w14:solidFill>
              <w14:schemeClr w14:val="tx1"/>
            </w14:solidFill>
          </w14:textFill>
        </w:rPr>
        <w:t xml:space="preserve">   年   月   日</w:t>
      </w:r>
    </w:p>
    <w:p w14:paraId="3FBB10D2">
      <w:pPr>
        <w:pageBreakBefore w:val="0"/>
        <w:kinsoku/>
        <w:overflowPunct/>
        <w:topLinePunct w:val="0"/>
        <w:bidi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p>
    <w:p w14:paraId="436CC088">
      <w:pPr>
        <w:pageBreakBefore w:val="0"/>
        <w:widowControl/>
        <w:kinsoku/>
        <w:overflowPunct/>
        <w:topLinePunct w:val="0"/>
        <w:bidi w:val="0"/>
        <w:adjustRightInd/>
        <w:spacing w:line="360" w:lineRule="auto"/>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p>
    <w:p w14:paraId="33F007AF">
      <w:pPr>
        <w:pStyle w:val="119"/>
        <w:keepNext w:val="0"/>
        <w:pageBreakBefore w:val="0"/>
        <w:tabs>
          <w:tab w:val="clear" w:pos="720"/>
        </w:tabs>
        <w:kinsoku/>
        <w:overflowPunct/>
        <w:topLinePunct w:val="0"/>
        <w:bidi w:val="0"/>
        <w:spacing w:line="360" w:lineRule="auto"/>
        <w:ind w:firstLine="640"/>
        <w:outlineLvl w:val="9"/>
        <w:rPr>
          <w:rFonts w:hint="eastAsia" w:ascii="宋体" w:hAnsi="宋体" w:eastAsia="宋体" w:cs="宋体"/>
          <w:color w:val="000000" w:themeColor="text1"/>
          <w:kern w:val="2"/>
          <w:sz w:val="21"/>
          <w:szCs w:val="21"/>
          <w:highlight w:val="none"/>
          <w14:textFill>
            <w14:solidFill>
              <w14:schemeClr w14:val="tx1"/>
            </w14:solidFill>
          </w14:textFill>
        </w:rPr>
        <w:sectPr>
          <w:headerReference r:id="rId11" w:type="first"/>
          <w:footerReference r:id="rId14" w:type="first"/>
          <w:headerReference r:id="rId10" w:type="default"/>
          <w:footerReference r:id="rId12" w:type="default"/>
          <w:footerReference r:id="rId13" w:type="even"/>
          <w:pgSz w:w="11849" w:h="16781"/>
          <w:pgMar w:top="1440" w:right="1797" w:bottom="1440" w:left="1797" w:header="851" w:footer="850" w:gutter="0"/>
          <w:cols w:space="0" w:num="1"/>
          <w:rtlGutter w:val="0"/>
          <w:docGrid w:linePitch="312" w:charSpace="0"/>
        </w:sectPr>
      </w:pPr>
    </w:p>
    <w:p w14:paraId="5A68657B">
      <w:pPr>
        <w:pStyle w:val="396"/>
        <w:pageBreakBefore w:val="0"/>
        <w:kinsoku/>
        <w:overflowPunct/>
        <w:topLinePunct w:val="0"/>
        <w:bidi w:val="0"/>
        <w:spacing w:line="360" w:lineRule="auto"/>
        <w:ind w:firstLine="0" w:firstLineChars="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第八部分 </w:t>
      </w:r>
      <w:r>
        <w:rPr>
          <w:rFonts w:hint="eastAsia" w:ascii="宋体" w:hAnsi="宋体" w:eastAsia="宋体" w:cs="宋体"/>
          <w:b/>
          <w:color w:val="000000" w:themeColor="text1"/>
          <w:sz w:val="21"/>
          <w:szCs w:val="21"/>
          <w:highlight w:val="none"/>
          <w:lang w:val="en-US" w:eastAsia="zh-CN"/>
          <w14:textFill>
            <w14:solidFill>
              <w14:schemeClr w14:val="tx1"/>
            </w14:solidFill>
          </w14:textFill>
        </w:rPr>
        <w:t>最后</w:t>
      </w:r>
      <w:r>
        <w:rPr>
          <w:rFonts w:hint="eastAsia" w:ascii="宋体" w:hAnsi="宋体" w:eastAsia="宋体" w:cs="宋体"/>
          <w:b/>
          <w:color w:val="000000" w:themeColor="text1"/>
          <w:sz w:val="21"/>
          <w:szCs w:val="21"/>
          <w:highlight w:val="none"/>
          <w14:textFill>
            <w14:solidFill>
              <w14:schemeClr w14:val="tx1"/>
            </w14:solidFill>
          </w14:textFill>
        </w:rPr>
        <w:t>报价格式</w:t>
      </w:r>
    </w:p>
    <w:p w14:paraId="3FCAEABD">
      <w:pPr>
        <w:pStyle w:val="119"/>
        <w:keepNext w:val="0"/>
        <w:pageBreakBefore w:val="0"/>
        <w:tabs>
          <w:tab w:val="clear" w:pos="720"/>
        </w:tabs>
        <w:kinsoku/>
        <w:overflowPunct/>
        <w:topLinePunct w:val="0"/>
        <w:bidi w:val="0"/>
        <w:spacing w:line="360" w:lineRule="auto"/>
        <w:ind w:firstLine="640"/>
        <w:outlineLvl w:val="9"/>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（一）开标一览表</w:t>
      </w:r>
    </w:p>
    <w:p w14:paraId="293EAE98">
      <w:pPr>
        <w:pageBreakBefore w:val="0"/>
        <w:kinsoku/>
        <w:overflowPunct/>
        <w:topLinePunct w:val="0"/>
        <w:autoSpaceDE w:val="0"/>
        <w:autoSpaceDN w:val="0"/>
        <w:bidi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（采购人）</w:t>
      </w:r>
      <w:r>
        <w:rPr>
          <w:rFonts w:hint="eastAsia" w:ascii="宋体" w:hAnsi="宋体" w:eastAsia="宋体" w:cs="宋体"/>
          <w:color w:val="000000" w:themeColor="text1"/>
          <w:kern w:val="0"/>
          <w:szCs w:val="21"/>
          <w:highlight w:val="none"/>
          <w:lang w:val="zh-CN"/>
          <w14:textFill>
            <w14:solidFill>
              <w14:schemeClr w14:val="tx1"/>
            </w14:solidFill>
          </w14:textFill>
        </w:rPr>
        <w:t>：</w:t>
      </w:r>
    </w:p>
    <w:p w14:paraId="37FBA482">
      <w:pPr>
        <w:pageBreakBefore w:val="0"/>
        <w:kinsoku/>
        <w:overflowPunct/>
        <w:topLinePunct w:val="0"/>
        <w:bidi w:val="0"/>
        <w:spacing w:line="360" w:lineRule="auto"/>
        <w:ind w:firstLine="720"/>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按你方磋商文件要求，</w:t>
      </w:r>
      <w:r>
        <w:rPr>
          <w:rFonts w:hint="eastAsia" w:ascii="宋体" w:hAnsi="宋体" w:eastAsia="宋体" w:cs="宋体"/>
          <w:color w:val="000000" w:themeColor="text1"/>
          <w:szCs w:val="21"/>
          <w:highlight w:val="none"/>
          <w14:textFill>
            <w14:solidFill>
              <w14:schemeClr w14:val="tx1"/>
            </w14:solidFill>
          </w14:textFill>
        </w:rPr>
        <w:t>我们即</w:t>
      </w:r>
      <w:r>
        <w:rPr>
          <w:rFonts w:hint="eastAsia" w:ascii="宋体" w:hAnsi="宋体" w:eastAsia="宋体" w:cs="宋体"/>
          <w:color w:val="000000" w:themeColor="text1"/>
          <w:kern w:val="0"/>
          <w:szCs w:val="21"/>
          <w:highlight w:val="none"/>
          <w:lang w:val="zh-CN"/>
          <w14:textFill>
            <w14:solidFill>
              <w14:schemeClr w14:val="tx1"/>
            </w14:solidFill>
          </w14:textFill>
        </w:rPr>
        <w:t>本响应文件签字方，谨此向你方发出要约如下：如你方接受本响应，我方承诺按照如下最后报价一览表的价格完成</w:t>
      </w:r>
      <w:r>
        <w:rPr>
          <w:rFonts w:hint="eastAsia" w:ascii="宋体" w:hAnsi="宋体" w:eastAsia="宋体" w:cs="宋体"/>
          <w:color w:val="000000" w:themeColor="text1"/>
          <w:szCs w:val="21"/>
          <w:highlight w:val="none"/>
          <w14:textFill>
            <w14:solidFill>
              <w14:schemeClr w14:val="tx1"/>
            </w14:solidFill>
          </w14:textFill>
        </w:rPr>
        <w:t>（项目名称）【项目编号：（采购编号）】</w:t>
      </w:r>
      <w:r>
        <w:rPr>
          <w:rFonts w:hint="eastAsia" w:ascii="宋体" w:hAnsi="宋体" w:eastAsia="宋体" w:cs="宋体"/>
          <w:color w:val="000000" w:themeColor="text1"/>
          <w:kern w:val="0"/>
          <w:szCs w:val="21"/>
          <w:highlight w:val="none"/>
          <w:lang w:val="zh-CN"/>
          <w14:textFill>
            <w14:solidFill>
              <w14:schemeClr w14:val="tx1"/>
            </w14:solidFill>
          </w14:textFill>
        </w:rPr>
        <w:t>的实施。</w:t>
      </w:r>
    </w:p>
    <w:p w14:paraId="391A10AD">
      <w:pPr>
        <w:pageBreakBefore w:val="0"/>
        <w:kinsoku/>
        <w:overflowPunct/>
        <w:topLinePunct w:val="0"/>
        <w:bidi w:val="0"/>
        <w:snapToGrid w:val="0"/>
        <w:spacing w:line="360" w:lineRule="auto"/>
        <w:ind w:left="480"/>
        <w:jc w:val="center"/>
        <w:rPr>
          <w:rFonts w:hint="eastAsia"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开标一览表(单位均为人民币元)</w:t>
      </w:r>
    </w:p>
    <w:tbl>
      <w:tblPr>
        <w:tblStyle w:val="62"/>
        <w:tblW w:w="9177"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814"/>
        <w:gridCol w:w="2441"/>
        <w:gridCol w:w="2068"/>
        <w:gridCol w:w="2002"/>
        <w:gridCol w:w="1852"/>
      </w:tblGrid>
      <w:tr w14:paraId="4AD43CB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754" w:hRule="atLeast"/>
        </w:trPr>
        <w:tc>
          <w:tcPr>
            <w:tcW w:w="814" w:type="dxa"/>
            <w:tcBorders>
              <w:top w:val="single" w:color="000000" w:sz="12" w:space="0"/>
              <w:left w:val="single" w:color="000000" w:sz="12" w:space="0"/>
              <w:bottom w:val="single" w:color="000000" w:sz="6" w:space="0"/>
              <w:right w:val="single" w:color="000000" w:sz="6" w:space="0"/>
            </w:tcBorders>
            <w:vAlign w:val="center"/>
          </w:tcPr>
          <w:p w14:paraId="291D938B">
            <w:pPr>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2441" w:type="dxa"/>
            <w:tcBorders>
              <w:top w:val="single" w:color="000000" w:sz="12" w:space="0"/>
              <w:left w:val="single" w:color="000000" w:sz="6" w:space="0"/>
              <w:bottom w:val="single" w:color="000000" w:sz="6" w:space="0"/>
              <w:right w:val="single" w:color="000000" w:sz="6" w:space="0"/>
            </w:tcBorders>
            <w:vAlign w:val="center"/>
          </w:tcPr>
          <w:p w14:paraId="30587424">
            <w:pPr>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项目名称</w:t>
            </w:r>
          </w:p>
        </w:tc>
        <w:tc>
          <w:tcPr>
            <w:tcW w:w="2068" w:type="dxa"/>
            <w:tcBorders>
              <w:top w:val="single" w:color="000000" w:sz="12" w:space="0"/>
              <w:left w:val="single" w:color="000000" w:sz="6" w:space="0"/>
              <w:bottom w:val="single" w:color="000000" w:sz="6" w:space="0"/>
              <w:right w:val="single" w:color="000000" w:sz="6" w:space="0"/>
            </w:tcBorders>
            <w:vAlign w:val="center"/>
          </w:tcPr>
          <w:p w14:paraId="7ECB2780">
            <w:pPr>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投标报价（万元）</w:t>
            </w:r>
          </w:p>
        </w:tc>
        <w:tc>
          <w:tcPr>
            <w:tcW w:w="2002" w:type="dxa"/>
            <w:tcBorders>
              <w:top w:val="single" w:color="000000" w:sz="12" w:space="0"/>
              <w:left w:val="single" w:color="000000" w:sz="6" w:space="0"/>
              <w:bottom w:val="single" w:color="000000" w:sz="6" w:space="0"/>
              <w:right w:val="single" w:color="000000" w:sz="6" w:space="0"/>
            </w:tcBorders>
            <w:vAlign w:val="center"/>
          </w:tcPr>
          <w:p w14:paraId="66AF7035">
            <w:pPr>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项目负责人</w:t>
            </w:r>
          </w:p>
        </w:tc>
        <w:tc>
          <w:tcPr>
            <w:tcW w:w="1852" w:type="dxa"/>
            <w:tcBorders>
              <w:top w:val="single" w:color="000000" w:sz="12" w:space="0"/>
              <w:left w:val="single" w:color="000000" w:sz="6" w:space="0"/>
              <w:bottom w:val="single" w:color="000000" w:sz="6" w:space="0"/>
              <w:right w:val="single" w:color="000000" w:sz="12" w:space="0"/>
            </w:tcBorders>
            <w:vAlign w:val="center"/>
          </w:tcPr>
          <w:p w14:paraId="16FD8633">
            <w:pPr>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14:paraId="7690779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731" w:hRule="atLeast"/>
        </w:trPr>
        <w:tc>
          <w:tcPr>
            <w:tcW w:w="814" w:type="dxa"/>
            <w:tcBorders>
              <w:top w:val="single" w:color="000000" w:sz="6" w:space="0"/>
              <w:left w:val="single" w:color="000000" w:sz="12" w:space="0"/>
              <w:bottom w:val="single" w:color="000000" w:sz="6" w:space="0"/>
              <w:right w:val="single" w:color="000000" w:sz="6" w:space="0"/>
            </w:tcBorders>
            <w:vAlign w:val="center"/>
          </w:tcPr>
          <w:p w14:paraId="48974AF0">
            <w:pPr>
              <w:snapToGrid w:val="0"/>
              <w:spacing w:line="360" w:lineRule="auto"/>
              <w:jc w:val="center"/>
              <w:rPr>
                <w:rFonts w:ascii="宋体" w:hAnsi="宋体" w:cs="宋体"/>
                <w:color w:val="000000" w:themeColor="text1"/>
                <w:szCs w:val="21"/>
                <w14:textFill>
                  <w14:solidFill>
                    <w14:schemeClr w14:val="tx1"/>
                  </w14:solidFill>
                </w14:textFill>
              </w:rPr>
            </w:pPr>
          </w:p>
        </w:tc>
        <w:tc>
          <w:tcPr>
            <w:tcW w:w="2441" w:type="dxa"/>
            <w:tcBorders>
              <w:top w:val="single" w:color="000000" w:sz="6" w:space="0"/>
              <w:left w:val="single" w:color="000000" w:sz="6" w:space="0"/>
              <w:bottom w:val="single" w:color="000000" w:sz="6" w:space="0"/>
              <w:right w:val="single" w:color="000000" w:sz="6" w:space="0"/>
            </w:tcBorders>
            <w:vAlign w:val="center"/>
          </w:tcPr>
          <w:p w14:paraId="0F62E133">
            <w:pPr>
              <w:snapToGrid w:val="0"/>
              <w:spacing w:line="360" w:lineRule="auto"/>
              <w:jc w:val="center"/>
              <w:rPr>
                <w:rFonts w:ascii="宋体" w:hAnsi="宋体" w:cs="宋体"/>
                <w:bCs/>
                <w:color w:val="000000" w:themeColor="text1"/>
                <w:szCs w:val="21"/>
                <w14:textFill>
                  <w14:solidFill>
                    <w14:schemeClr w14:val="tx1"/>
                  </w14:solidFill>
                </w14:textFill>
              </w:rPr>
            </w:pPr>
          </w:p>
        </w:tc>
        <w:tc>
          <w:tcPr>
            <w:tcW w:w="2068" w:type="dxa"/>
            <w:tcBorders>
              <w:top w:val="single" w:color="000000" w:sz="6" w:space="0"/>
              <w:left w:val="single" w:color="000000" w:sz="6" w:space="0"/>
              <w:bottom w:val="single" w:color="000000" w:sz="6" w:space="0"/>
              <w:right w:val="single" w:color="000000" w:sz="6" w:space="0"/>
            </w:tcBorders>
            <w:vAlign w:val="center"/>
          </w:tcPr>
          <w:p w14:paraId="49A2CFC4">
            <w:pPr>
              <w:snapToGrid w:val="0"/>
              <w:spacing w:line="360" w:lineRule="auto"/>
              <w:jc w:val="center"/>
              <w:rPr>
                <w:rFonts w:ascii="宋体" w:hAnsi="宋体" w:cs="宋体"/>
                <w:color w:val="000000" w:themeColor="text1"/>
                <w:szCs w:val="21"/>
                <w14:textFill>
                  <w14:solidFill>
                    <w14:schemeClr w14:val="tx1"/>
                  </w14:solidFill>
                </w14:textFill>
              </w:rPr>
            </w:pPr>
          </w:p>
        </w:tc>
        <w:tc>
          <w:tcPr>
            <w:tcW w:w="2002" w:type="dxa"/>
            <w:tcBorders>
              <w:top w:val="single" w:color="000000" w:sz="6" w:space="0"/>
              <w:left w:val="single" w:color="000000" w:sz="6" w:space="0"/>
              <w:bottom w:val="single" w:color="000000" w:sz="6" w:space="0"/>
              <w:right w:val="single" w:color="000000" w:sz="6" w:space="0"/>
            </w:tcBorders>
            <w:vAlign w:val="center"/>
          </w:tcPr>
          <w:p w14:paraId="457CED0A">
            <w:pPr>
              <w:snapToGrid w:val="0"/>
              <w:spacing w:line="360" w:lineRule="auto"/>
              <w:jc w:val="center"/>
              <w:rPr>
                <w:rFonts w:ascii="宋体" w:hAnsi="宋体" w:cs="宋体"/>
                <w:color w:val="000000" w:themeColor="text1"/>
                <w:szCs w:val="21"/>
                <w14:textFill>
                  <w14:solidFill>
                    <w14:schemeClr w14:val="tx1"/>
                  </w14:solidFill>
                </w14:textFill>
              </w:rPr>
            </w:pPr>
          </w:p>
        </w:tc>
        <w:tc>
          <w:tcPr>
            <w:tcW w:w="1852" w:type="dxa"/>
            <w:tcBorders>
              <w:top w:val="single" w:color="000000" w:sz="6" w:space="0"/>
              <w:left w:val="single" w:color="000000" w:sz="6" w:space="0"/>
              <w:bottom w:val="single" w:color="000000" w:sz="6" w:space="0"/>
              <w:right w:val="single" w:color="000000" w:sz="12" w:space="0"/>
            </w:tcBorders>
            <w:vAlign w:val="center"/>
          </w:tcPr>
          <w:p w14:paraId="38B7C4E8">
            <w:pPr>
              <w:snapToGrid w:val="0"/>
              <w:spacing w:line="360" w:lineRule="auto"/>
              <w:jc w:val="center"/>
              <w:rPr>
                <w:rFonts w:ascii="宋体" w:hAnsi="宋体" w:cs="宋体"/>
                <w:color w:val="000000" w:themeColor="text1"/>
                <w:szCs w:val="21"/>
                <w14:textFill>
                  <w14:solidFill>
                    <w14:schemeClr w14:val="tx1"/>
                  </w14:solidFill>
                </w14:textFill>
              </w:rPr>
            </w:pPr>
          </w:p>
        </w:tc>
      </w:tr>
      <w:tr w14:paraId="6B1E949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778" w:hRule="atLeast"/>
        </w:trPr>
        <w:tc>
          <w:tcPr>
            <w:tcW w:w="9177" w:type="dxa"/>
            <w:gridSpan w:val="5"/>
            <w:tcBorders>
              <w:top w:val="single" w:color="000000" w:sz="6" w:space="0"/>
              <w:left w:val="single" w:color="000000" w:sz="12" w:space="0"/>
              <w:bottom w:val="single" w:color="000000" w:sz="12" w:space="0"/>
              <w:right w:val="single" w:color="000000" w:sz="12" w:space="0"/>
            </w:tcBorders>
            <w:vAlign w:val="center"/>
          </w:tcPr>
          <w:p w14:paraId="4DBEB8A8">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投标总价大写： </w:t>
            </w:r>
          </w:p>
        </w:tc>
      </w:tr>
    </w:tbl>
    <w:p w14:paraId="16851727">
      <w:pPr>
        <w:snapToGrid w:val="0"/>
        <w:spacing w:before="50" w:after="50"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注: </w:t>
      </w:r>
    </w:p>
    <w:p w14:paraId="6E81F4ED">
      <w:pPr>
        <w:snapToGrid w:val="0"/>
        <w:spacing w:before="50" w:after="50"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1、报价一经涂改，应在涂改处加盖单位公章或者由法定代表人或被授权人签字（或盖章），否则其投标作无效标处理；</w:t>
      </w:r>
    </w:p>
    <w:p w14:paraId="7D7A11BB">
      <w:pPr>
        <w:snapToGrid w:val="0"/>
        <w:spacing w:before="50" w:after="50"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投标报价包含有关本项目开展所需的运营服务、人员、福利、利润、税金管理费等一切费用均计入报价。《开标一览表》是报价的唯一载体。投标文件中价格全部采用人民币报价。招标文件未列明，而投标供应商认为必需的费用也需列入报价（招标代理费无需单独列项）。</w:t>
      </w:r>
    </w:p>
    <w:p w14:paraId="1E789C1D">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3</w:t>
      </w:r>
      <w:r>
        <w:rPr>
          <w:rFonts w:hint="eastAsia" w:ascii="宋体" w:hAnsi="宋体" w:cs="宋体"/>
          <w:bCs/>
          <w:color w:val="000000" w:themeColor="text1"/>
          <w:kern w:val="0"/>
          <w:szCs w:val="21"/>
          <w:lang w:val="zh-CN"/>
          <w14:textFill>
            <w14:solidFill>
              <w14:schemeClr w14:val="tx1"/>
            </w14:solidFill>
          </w14:textFill>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201E71E">
      <w:pPr>
        <w:spacing w:line="360" w:lineRule="auto"/>
        <w:ind w:right="-874" w:rightChars="-41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422FEA13">
      <w:pPr>
        <w:spacing w:line="360" w:lineRule="auto"/>
        <w:ind w:right="-874" w:rightChars="-416"/>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zh-CN"/>
          <w14:textFill>
            <w14:solidFill>
              <w14:schemeClr w14:val="tx1"/>
            </w14:solidFill>
          </w14:textFill>
        </w:rPr>
        <w:t>供应商名称（</w:t>
      </w:r>
      <w:r>
        <w:rPr>
          <w:rFonts w:hint="eastAsia" w:ascii="宋体" w:hAnsi="宋体" w:eastAsia="宋体" w:cs="宋体"/>
          <w:color w:val="000000" w:themeColor="text1"/>
          <w:szCs w:val="21"/>
          <w:highlight w:val="none"/>
          <w14:textFill>
            <w14:solidFill>
              <w14:schemeClr w14:val="tx1"/>
            </w14:solidFill>
          </w14:textFill>
        </w:rPr>
        <w:t>电子</w:t>
      </w:r>
      <w:r>
        <w:rPr>
          <w:rFonts w:hint="eastAsia" w:ascii="宋体" w:hAnsi="宋体" w:cs="宋体"/>
          <w:color w:val="000000" w:themeColor="text1"/>
          <w:szCs w:val="21"/>
          <w:highlight w:val="none"/>
          <w:lang w:val="en-US" w:eastAsia="zh-CN"/>
          <w14:textFill>
            <w14:solidFill>
              <w14:schemeClr w14:val="tx1"/>
            </w14:solidFill>
          </w14:textFill>
        </w:rPr>
        <w:t>盖章</w:t>
      </w:r>
      <w:r>
        <w:rPr>
          <w:rFonts w:hint="eastAsia" w:ascii="宋体" w:hAnsi="宋体" w:cs="宋体"/>
          <w:color w:val="000000" w:themeColor="text1"/>
          <w:kern w:val="0"/>
          <w:szCs w:val="21"/>
          <w:lang w:val="zh-CN"/>
          <w14:textFill>
            <w14:solidFill>
              <w14:schemeClr w14:val="tx1"/>
            </w14:solidFill>
          </w14:textFill>
        </w:rPr>
        <w:t>）：</w:t>
      </w:r>
    </w:p>
    <w:p w14:paraId="0005C1C9">
      <w:pPr>
        <w:autoSpaceDE w:val="0"/>
        <w:autoSpaceDN w:val="0"/>
        <w:spacing w:line="360" w:lineRule="auto"/>
        <w:ind w:left="4410" w:hanging="4410" w:hangingChars="2100"/>
        <w:jc w:val="righ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zh-CN"/>
          <w14:textFill>
            <w14:solidFill>
              <w14:schemeClr w14:val="tx1"/>
            </w14:solidFill>
          </w14:textFill>
        </w:rPr>
        <w:t>日期：  年  月   日</w:t>
      </w:r>
    </w:p>
    <w:p w14:paraId="5F8CA3F0">
      <w:pPr>
        <w:rPr>
          <w:lang w:val="zh-CN"/>
        </w:rPr>
        <w:sectPr>
          <w:pgSz w:w="11849" w:h="16781"/>
          <w:pgMar w:top="1440" w:right="1797" w:bottom="1440" w:left="1797" w:header="851" w:footer="850" w:gutter="0"/>
          <w:cols w:space="0" w:num="1"/>
          <w:docGrid w:linePitch="312" w:charSpace="0"/>
        </w:sectPr>
      </w:pPr>
    </w:p>
    <w:p w14:paraId="22025D10">
      <w:pPr>
        <w:autoSpaceDE w:val="0"/>
        <w:autoSpaceDN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明细报价</w:t>
      </w:r>
    </w:p>
    <w:p w14:paraId="6C80A326">
      <w:pPr>
        <w:spacing w:line="360" w:lineRule="auto"/>
        <w:jc w:val="center"/>
        <w:rPr>
          <w:rFonts w:asciiTheme="minorEastAsia" w:hAnsiTheme="minorEastAsia" w:eastAsiaTheme="minorEastAsia"/>
          <w:b/>
          <w:color w:val="000000" w:themeColor="text1"/>
          <w:spacing w:val="20"/>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r>
        <w:rPr>
          <w:rFonts w:hint="eastAsia" w:asciiTheme="minorEastAsia" w:hAnsiTheme="minorEastAsia" w:eastAsiaTheme="minorEastAsia"/>
          <w:b/>
          <w:color w:val="000000" w:themeColor="text1"/>
          <w:spacing w:val="20"/>
          <w:szCs w:val="21"/>
          <w14:textFill>
            <w14:solidFill>
              <w14:schemeClr w14:val="tx1"/>
            </w14:solidFill>
          </w14:textFill>
        </w:rPr>
        <w:t>可格式自拟）</w:t>
      </w:r>
    </w:p>
    <w:tbl>
      <w:tblPr>
        <w:tblStyle w:val="62"/>
        <w:tblW w:w="855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340"/>
        <w:gridCol w:w="1296"/>
        <w:gridCol w:w="2396"/>
        <w:gridCol w:w="1800"/>
      </w:tblGrid>
      <w:tr w14:paraId="2C35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720" w:type="dxa"/>
            <w:vAlign w:val="center"/>
          </w:tcPr>
          <w:p w14:paraId="1AABD2AF">
            <w:pPr>
              <w:spacing w:line="360"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序号</w:t>
            </w:r>
          </w:p>
        </w:tc>
        <w:tc>
          <w:tcPr>
            <w:tcW w:w="2340" w:type="dxa"/>
            <w:vAlign w:val="center"/>
          </w:tcPr>
          <w:p w14:paraId="3950ED88">
            <w:pPr>
              <w:spacing w:line="360" w:lineRule="auto"/>
              <w:ind w:left="102"/>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分项内容</w:t>
            </w:r>
          </w:p>
        </w:tc>
        <w:tc>
          <w:tcPr>
            <w:tcW w:w="1296" w:type="dxa"/>
            <w:vAlign w:val="center"/>
          </w:tcPr>
          <w:p w14:paraId="5ACA3D24">
            <w:pPr>
              <w:spacing w:line="360"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单位</w:t>
            </w:r>
          </w:p>
        </w:tc>
        <w:tc>
          <w:tcPr>
            <w:tcW w:w="2396" w:type="dxa"/>
            <w:vAlign w:val="center"/>
          </w:tcPr>
          <w:p w14:paraId="7D3299D5">
            <w:pPr>
              <w:spacing w:line="360"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数量</w:t>
            </w:r>
          </w:p>
        </w:tc>
        <w:tc>
          <w:tcPr>
            <w:tcW w:w="1800" w:type="dxa"/>
            <w:vAlign w:val="center"/>
          </w:tcPr>
          <w:p w14:paraId="3E290DD1">
            <w:pPr>
              <w:spacing w:line="360"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小计（元）</w:t>
            </w:r>
          </w:p>
        </w:tc>
      </w:tr>
      <w:tr w14:paraId="1077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720" w:type="dxa"/>
            <w:vAlign w:val="center"/>
          </w:tcPr>
          <w:p w14:paraId="6893427E">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2340" w:type="dxa"/>
            <w:vAlign w:val="center"/>
          </w:tcPr>
          <w:p w14:paraId="6EF8C5E7">
            <w:pPr>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1296" w:type="dxa"/>
            <w:vAlign w:val="center"/>
          </w:tcPr>
          <w:p w14:paraId="2452FBF5">
            <w:pPr>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2396" w:type="dxa"/>
            <w:vAlign w:val="center"/>
          </w:tcPr>
          <w:p w14:paraId="79A759A5">
            <w:pPr>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1800" w:type="dxa"/>
            <w:vAlign w:val="center"/>
          </w:tcPr>
          <w:p w14:paraId="18E4A90F">
            <w:pPr>
              <w:spacing w:line="360" w:lineRule="auto"/>
              <w:jc w:val="center"/>
              <w:rPr>
                <w:rFonts w:asciiTheme="minorEastAsia" w:hAnsiTheme="minorEastAsia" w:eastAsiaTheme="minorEastAsia"/>
                <w:color w:val="000000" w:themeColor="text1"/>
                <w:szCs w:val="21"/>
                <w14:textFill>
                  <w14:solidFill>
                    <w14:schemeClr w14:val="tx1"/>
                  </w14:solidFill>
                </w14:textFill>
              </w:rPr>
            </w:pPr>
          </w:p>
        </w:tc>
      </w:tr>
      <w:tr w14:paraId="6E7A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720" w:type="dxa"/>
            <w:vAlign w:val="center"/>
          </w:tcPr>
          <w:p w14:paraId="0F1C4CEB">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c>
          <w:tcPr>
            <w:tcW w:w="2340" w:type="dxa"/>
            <w:vAlign w:val="center"/>
          </w:tcPr>
          <w:p w14:paraId="6E9EB4EA">
            <w:pPr>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1296" w:type="dxa"/>
            <w:vAlign w:val="center"/>
          </w:tcPr>
          <w:p w14:paraId="57374BCD">
            <w:pPr>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2396" w:type="dxa"/>
            <w:vAlign w:val="center"/>
          </w:tcPr>
          <w:p w14:paraId="46AF8ACF">
            <w:pPr>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1800" w:type="dxa"/>
            <w:vAlign w:val="center"/>
          </w:tcPr>
          <w:p w14:paraId="120BF1A7">
            <w:pPr>
              <w:spacing w:line="360" w:lineRule="auto"/>
              <w:jc w:val="center"/>
              <w:rPr>
                <w:rFonts w:asciiTheme="minorEastAsia" w:hAnsiTheme="minorEastAsia" w:eastAsiaTheme="minorEastAsia"/>
                <w:color w:val="000000" w:themeColor="text1"/>
                <w:szCs w:val="21"/>
                <w14:textFill>
                  <w14:solidFill>
                    <w14:schemeClr w14:val="tx1"/>
                  </w14:solidFill>
                </w14:textFill>
              </w:rPr>
            </w:pPr>
          </w:p>
        </w:tc>
      </w:tr>
      <w:tr w14:paraId="3451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720" w:type="dxa"/>
            <w:vAlign w:val="center"/>
          </w:tcPr>
          <w:p w14:paraId="0A33483C">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w:t>
            </w:r>
          </w:p>
        </w:tc>
        <w:tc>
          <w:tcPr>
            <w:tcW w:w="2340" w:type="dxa"/>
            <w:vAlign w:val="center"/>
          </w:tcPr>
          <w:p w14:paraId="42E377F2">
            <w:pPr>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1296" w:type="dxa"/>
            <w:vAlign w:val="center"/>
          </w:tcPr>
          <w:p w14:paraId="689C20A7">
            <w:pPr>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2396" w:type="dxa"/>
            <w:vAlign w:val="center"/>
          </w:tcPr>
          <w:p w14:paraId="25AC3EB3">
            <w:pPr>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1800" w:type="dxa"/>
            <w:vAlign w:val="center"/>
          </w:tcPr>
          <w:p w14:paraId="60C7D9CD">
            <w:pPr>
              <w:spacing w:line="360" w:lineRule="auto"/>
              <w:jc w:val="center"/>
              <w:rPr>
                <w:rFonts w:asciiTheme="minorEastAsia" w:hAnsiTheme="minorEastAsia" w:eastAsiaTheme="minorEastAsia"/>
                <w:color w:val="000000" w:themeColor="text1"/>
                <w:szCs w:val="21"/>
                <w14:textFill>
                  <w14:solidFill>
                    <w14:schemeClr w14:val="tx1"/>
                  </w14:solidFill>
                </w14:textFill>
              </w:rPr>
            </w:pPr>
          </w:p>
        </w:tc>
      </w:tr>
      <w:tr w14:paraId="02A0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552" w:type="dxa"/>
            <w:gridSpan w:val="5"/>
            <w:vAlign w:val="center"/>
          </w:tcPr>
          <w:p w14:paraId="128FA8DE">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报价合计（人民币大写）：                      （￥         ）</w:t>
            </w:r>
          </w:p>
        </w:tc>
      </w:tr>
    </w:tbl>
    <w:p w14:paraId="4079574A">
      <w:pPr>
        <w:tabs>
          <w:tab w:val="left" w:pos="4860"/>
        </w:tabs>
        <w:spacing w:line="360" w:lineRule="auto"/>
        <w:ind w:right="1560" w:firstLine="420" w:firstLineChars="200"/>
        <w:jc w:val="right"/>
        <w:rPr>
          <w:rFonts w:ascii="宋体" w:hAnsi="宋体" w:cs="宋体"/>
          <w:color w:val="000000" w:themeColor="text1"/>
          <w:szCs w:val="21"/>
          <w:lang w:val="zh-CN"/>
          <w14:textFill>
            <w14:solidFill>
              <w14:schemeClr w14:val="tx1"/>
            </w14:solidFill>
          </w14:textFill>
        </w:rPr>
      </w:pPr>
    </w:p>
    <w:p w14:paraId="18BAFC5F">
      <w:pPr>
        <w:tabs>
          <w:tab w:val="left" w:pos="4860"/>
        </w:tabs>
        <w:spacing w:line="360" w:lineRule="auto"/>
        <w:ind w:right="1560" w:firstLine="420" w:firstLineChars="2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投标人名称（</w:t>
      </w:r>
      <w:r>
        <w:rPr>
          <w:rFonts w:hint="eastAsia" w:ascii="宋体" w:hAnsi="宋体" w:eastAsia="宋体" w:cs="宋体"/>
          <w:color w:val="000000" w:themeColor="text1"/>
          <w:szCs w:val="21"/>
          <w:highlight w:val="none"/>
          <w14:textFill>
            <w14:solidFill>
              <w14:schemeClr w14:val="tx1"/>
            </w14:solidFill>
          </w14:textFill>
        </w:rPr>
        <w:t>电子</w:t>
      </w:r>
      <w:r>
        <w:rPr>
          <w:rFonts w:hint="eastAsia" w:ascii="宋体" w:hAnsi="宋体" w:cs="宋体"/>
          <w:color w:val="000000" w:themeColor="text1"/>
          <w:szCs w:val="21"/>
          <w:highlight w:val="none"/>
          <w:lang w:val="en-US" w:eastAsia="zh-CN"/>
          <w14:textFill>
            <w14:solidFill>
              <w14:schemeClr w14:val="tx1"/>
            </w14:solidFill>
          </w14:textFill>
        </w:rPr>
        <w:t>盖章</w:t>
      </w:r>
      <w:r>
        <w:rPr>
          <w:rFonts w:hint="eastAsia"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14:paraId="5497E023">
      <w:pPr>
        <w:tabs>
          <w:tab w:val="left" w:pos="4860"/>
        </w:tabs>
        <w:spacing w:line="360" w:lineRule="auto"/>
        <w:ind w:right="1560" w:firstLine="420" w:firstLineChars="2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日  期：</w:t>
      </w:r>
    </w:p>
    <w:p w14:paraId="58E1A13D">
      <w:pPr>
        <w:pageBreakBefore w:val="0"/>
        <w:kinsoku/>
        <w:overflowPunct/>
        <w:topLinePunct w:val="0"/>
        <w:autoSpaceDE w:val="0"/>
        <w:autoSpaceDN w:val="0"/>
        <w:bidi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p>
    <w:p w14:paraId="5F83DE6A">
      <w:pPr>
        <w:pageBreakBefore w:val="0"/>
        <w:kinsoku/>
        <w:overflowPunct/>
        <w:topLinePunct w:val="0"/>
        <w:autoSpaceDE w:val="0"/>
        <w:autoSpaceDN w:val="0"/>
        <w:bidi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p>
    <w:p w14:paraId="3AC2CAA5">
      <w:pPr>
        <w:pageBreakBefore w:val="0"/>
        <w:kinsoku/>
        <w:overflowPunct/>
        <w:topLinePunct w:val="0"/>
        <w:autoSpaceDE w:val="0"/>
        <w:autoSpaceDN w:val="0"/>
        <w:bidi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p>
    <w:p w14:paraId="0208CF22">
      <w:pPr>
        <w:pageBreakBefore w:val="0"/>
        <w:kinsoku/>
        <w:overflowPunct/>
        <w:topLinePunct w:val="0"/>
        <w:autoSpaceDE w:val="0"/>
        <w:autoSpaceDN w:val="0"/>
        <w:bidi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p>
    <w:p w14:paraId="3330A5C0">
      <w:pPr>
        <w:pageBreakBefore w:val="0"/>
        <w:kinsoku/>
        <w:overflowPunct/>
        <w:topLinePunct w:val="0"/>
        <w:autoSpaceDE w:val="0"/>
        <w:autoSpaceDN w:val="0"/>
        <w:bidi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p>
    <w:p w14:paraId="1B368EE6">
      <w:pPr>
        <w:pageBreakBefore w:val="0"/>
        <w:kinsoku/>
        <w:overflowPunct/>
        <w:topLinePunct w:val="0"/>
        <w:autoSpaceDE w:val="0"/>
        <w:autoSpaceDN w:val="0"/>
        <w:bidi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（二）中小企业声明函</w:t>
      </w:r>
      <w:bookmarkStart w:id="57" w:name="_Toc465665161"/>
      <w:r>
        <w:rPr>
          <w:rFonts w:hint="eastAsia" w:ascii="宋体" w:hAnsi="宋体" w:eastAsia="宋体" w:cs="宋体"/>
          <w:b/>
          <w:color w:val="000000" w:themeColor="text1"/>
          <w:szCs w:val="21"/>
          <w:highlight w:val="none"/>
          <w14:textFill>
            <w14:solidFill>
              <w14:schemeClr w14:val="tx1"/>
            </w14:solidFill>
          </w14:textFill>
        </w:rPr>
        <w:t>（如果有）</w:t>
      </w:r>
    </w:p>
    <w:p w14:paraId="26EE6EA2">
      <w:pPr>
        <w:pageBreakBefore w:val="0"/>
        <w:widowControl/>
        <w:kinsoku/>
        <w:overflowPunct/>
        <w:topLinePunct w:val="0"/>
        <w:bidi w:val="0"/>
        <w:spacing w:line="360" w:lineRule="auto"/>
        <w:ind w:firstLine="105" w:firstLineChars="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b/>
          <w:bCs/>
          <w:color w:val="000000" w:themeColor="text1"/>
          <w:szCs w:val="21"/>
          <w:highlight w:val="none"/>
          <w14:textFill>
            <w14:solidFill>
              <w14:schemeClr w14:val="tx1"/>
            </w14:solidFill>
          </w14:textFill>
        </w:rPr>
        <w:t>竞争性磋商邀请公告</w:t>
      </w:r>
      <w:r>
        <w:rPr>
          <w:rFonts w:hint="eastAsia" w:ascii="宋体" w:hAnsi="宋体" w:eastAsia="宋体" w:cs="宋体"/>
          <w:b/>
          <w:color w:val="000000" w:themeColor="text1"/>
          <w:szCs w:val="21"/>
          <w:highlight w:val="none"/>
          <w14:textFill>
            <w14:solidFill>
              <w14:schemeClr w14:val="tx1"/>
            </w14:solidFill>
          </w14:textFill>
        </w:rPr>
        <w:t>落实政府采购政策需满足的资格要求为“无”即本项目或标项未预留份额专门面向中小企业时，符合《政府采购促进中小企业发展管理办法》规定的小微企业拟享受价格扣除政策的，需提供中小企业声明函。]</w:t>
      </w:r>
    </w:p>
    <w:bookmarkEnd w:id="57"/>
    <w:p w14:paraId="220873AC">
      <w:pPr>
        <w:pageBreakBefore w:val="0"/>
        <w:kinsoku/>
        <w:overflowPunct/>
        <w:topLinePunct w:val="0"/>
        <w:bidi w:val="0"/>
        <w:spacing w:line="360" w:lineRule="auto"/>
        <w:jc w:val="center"/>
        <w:rPr>
          <w:rFonts w:hint="eastAsia" w:ascii="宋体" w:hAnsi="宋体" w:eastAsia="宋体" w:cs="宋体"/>
          <w:b/>
          <w:color w:val="000000" w:themeColor="text1"/>
          <w:spacing w:val="6"/>
          <w:szCs w:val="21"/>
          <w:highlight w:val="none"/>
          <w14:textFill>
            <w14:solidFill>
              <w14:schemeClr w14:val="tx1"/>
            </w14:solidFill>
          </w14:textFill>
        </w:rPr>
      </w:pPr>
    </w:p>
    <w:p w14:paraId="3751E2AF">
      <w:pPr>
        <w:pageBreakBefore w:val="0"/>
        <w:kinsoku/>
        <w:overflowPunct/>
        <w:topLinePunct w:val="0"/>
        <w:bidi w:val="0"/>
        <w:spacing w:line="360" w:lineRule="auto"/>
        <w:jc w:val="center"/>
        <w:rPr>
          <w:rFonts w:hint="eastAsia" w:ascii="宋体" w:hAnsi="宋体" w:eastAsia="宋体" w:cs="宋体"/>
          <w:b/>
          <w:color w:val="000000" w:themeColor="text1"/>
          <w:spacing w:val="6"/>
          <w:szCs w:val="21"/>
          <w:highlight w:val="none"/>
          <w14:textFill>
            <w14:solidFill>
              <w14:schemeClr w14:val="tx1"/>
            </w14:solidFill>
          </w14:textFill>
        </w:rPr>
      </w:pPr>
      <w:r>
        <w:rPr>
          <w:rFonts w:hint="eastAsia" w:ascii="宋体" w:hAnsi="宋体" w:eastAsia="宋体" w:cs="宋体"/>
          <w:b/>
          <w:color w:val="000000" w:themeColor="text1"/>
          <w:spacing w:val="6"/>
          <w:szCs w:val="21"/>
          <w:highlight w:val="none"/>
          <w14:textFill>
            <w14:solidFill>
              <w14:schemeClr w14:val="tx1"/>
            </w14:solidFill>
          </w14:textFill>
        </w:rPr>
        <w:t>残疾人福利性单位声明函</w:t>
      </w:r>
    </w:p>
    <w:p w14:paraId="1D1F4A52">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000000" w:themeColor="text1"/>
          <w:szCs w:val="21"/>
          <w:highlight w:val="none"/>
          <w:u w:val="single"/>
          <w14:textFill>
            <w14:solidFill>
              <w14:schemeClr w14:val="tx1"/>
            </w14:solidFill>
          </w14:textFill>
        </w:rPr>
        <w:t xml:space="preserve">   （采购人）    </w:t>
      </w:r>
      <w:r>
        <w:rPr>
          <w:rFonts w:hint="eastAsia" w:ascii="宋体" w:hAnsi="宋体" w:eastAsia="宋体" w:cs="宋体"/>
          <w:color w:val="000000" w:themeColor="text1"/>
          <w:szCs w:val="21"/>
          <w:highlight w:val="none"/>
          <w14:textFill>
            <w14:solidFill>
              <w14:schemeClr w14:val="tx1"/>
            </w14:solidFill>
          </w14:textFill>
        </w:rPr>
        <w:t>单位的</w:t>
      </w:r>
      <w:r>
        <w:rPr>
          <w:rFonts w:hint="eastAsia" w:ascii="宋体" w:hAnsi="宋体" w:eastAsia="宋体" w:cs="宋体"/>
          <w:color w:val="000000" w:themeColor="text1"/>
          <w:szCs w:val="21"/>
          <w:highlight w:val="none"/>
          <w:u w:val="single"/>
          <w14:textFill>
            <w14:solidFill>
              <w14:schemeClr w14:val="tx1"/>
            </w14:solidFill>
          </w14:textFill>
        </w:rPr>
        <w:t xml:space="preserve">     （项目名称）    </w:t>
      </w:r>
      <w:r>
        <w:rPr>
          <w:rFonts w:hint="eastAsia" w:ascii="宋体" w:hAnsi="宋体" w:eastAsia="宋体" w:cs="宋体"/>
          <w:color w:val="000000" w:themeColor="text1"/>
          <w:szCs w:val="21"/>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77FECB3C">
      <w:pPr>
        <w:pageBreakBefore w:val="0"/>
        <w:kinsoku/>
        <w:overflowPunct/>
        <w:topLinePunct w:val="0"/>
        <w:bidi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本单位对上述声明的真实性负责。如有虚假，将依法承担相应责任。</w:t>
      </w:r>
    </w:p>
    <w:p w14:paraId="062C2E2A">
      <w:pPr>
        <w:pageBreakBefore w:val="0"/>
        <w:kinsoku/>
        <w:overflowPunct/>
        <w:topLinePunct w:val="0"/>
        <w:bidi w:val="0"/>
        <w:spacing w:line="360" w:lineRule="auto"/>
        <w:rPr>
          <w:rFonts w:hint="eastAsia" w:ascii="宋体" w:hAnsi="宋体" w:eastAsia="宋体" w:cs="宋体"/>
          <w:color w:val="000000" w:themeColor="text1"/>
          <w:szCs w:val="21"/>
          <w:highlight w:val="none"/>
          <w14:textFill>
            <w14:solidFill>
              <w14:schemeClr w14:val="tx1"/>
            </w14:solidFill>
          </w14:textFill>
        </w:rPr>
      </w:pPr>
    </w:p>
    <w:p w14:paraId="76AD2D13">
      <w:pPr>
        <w:pageBreakBefore w:val="0"/>
        <w:tabs>
          <w:tab w:val="left" w:pos="4860"/>
        </w:tabs>
        <w:kinsoku/>
        <w:overflowPunct/>
        <w:topLinePunct w:val="0"/>
        <w:bidi w:val="0"/>
        <w:spacing w:line="360" w:lineRule="auto"/>
        <w:ind w:right="1560" w:firstLine="420" w:firstLineChars="200"/>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单位名称（电子</w:t>
      </w:r>
      <w:r>
        <w:rPr>
          <w:rFonts w:hint="eastAsia" w:ascii="宋体" w:hAnsi="宋体" w:cs="宋体"/>
          <w:color w:val="000000" w:themeColor="text1"/>
          <w:szCs w:val="21"/>
          <w:highlight w:val="none"/>
          <w:lang w:val="en-US" w:eastAsia="zh-CN"/>
          <w14:textFill>
            <w14:solidFill>
              <w14:schemeClr w14:val="tx1"/>
            </w14:solidFill>
          </w14:textFill>
        </w:rPr>
        <w:t>盖章</w:t>
      </w:r>
      <w:r>
        <w:rPr>
          <w:rFonts w:hint="eastAsia" w:ascii="宋体" w:hAnsi="宋体" w:eastAsia="宋体" w:cs="宋体"/>
          <w:color w:val="000000" w:themeColor="text1"/>
          <w:szCs w:val="21"/>
          <w:highlight w:val="none"/>
          <w14:textFill>
            <w14:solidFill>
              <w14:schemeClr w14:val="tx1"/>
            </w14:solidFill>
          </w14:textFill>
        </w:rPr>
        <w:t>）：</w:t>
      </w:r>
    </w:p>
    <w:p w14:paraId="171C79F1">
      <w:pPr>
        <w:pageBreakBefore w:val="0"/>
        <w:tabs>
          <w:tab w:val="left" w:pos="4860"/>
        </w:tabs>
        <w:kinsoku/>
        <w:overflowPunct/>
        <w:topLinePunct w:val="0"/>
        <w:bidi w:val="0"/>
        <w:spacing w:line="360" w:lineRule="auto"/>
        <w:ind w:right="1560" w:firstLine="420" w:firstLineChars="200"/>
        <w:jc w:val="righ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日  期：</w:t>
      </w:r>
    </w:p>
    <w:p w14:paraId="615A13B0">
      <w:pPr>
        <w:pageBreakBefore w:val="0"/>
        <w:kinsoku/>
        <w:overflowPunct/>
        <w:topLinePunct w:val="0"/>
        <w:bidi w:val="0"/>
        <w:adjustRightInd/>
        <w:spacing w:line="360" w:lineRule="auto"/>
        <w:jc w:val="both"/>
        <w:outlineLvl w:val="0"/>
        <w:rPr>
          <w:rFonts w:hint="eastAsia" w:ascii="宋体" w:hAnsi="宋体" w:eastAsia="宋体" w:cs="宋体"/>
          <w:b/>
          <w:color w:val="000000" w:themeColor="text1"/>
          <w:szCs w:val="21"/>
          <w:highlight w:val="none"/>
          <w14:textFill>
            <w14:solidFill>
              <w14:schemeClr w14:val="tx1"/>
            </w14:solidFill>
          </w14:textFill>
        </w:rPr>
      </w:pPr>
    </w:p>
    <w:p w14:paraId="6681418D">
      <w:pPr>
        <w:pageBreakBefore w:val="0"/>
        <w:kinsoku/>
        <w:overflowPunct/>
        <w:topLinePunct w:val="0"/>
        <w:bidi w:val="0"/>
        <w:adjustRightInd/>
        <w:spacing w:line="360" w:lineRule="auto"/>
        <w:jc w:val="center"/>
        <w:outlineLvl w:val="0"/>
        <w:rPr>
          <w:rFonts w:hint="eastAsia" w:ascii="宋体" w:hAnsi="宋体" w:eastAsia="宋体" w:cs="宋体"/>
          <w:b/>
          <w:color w:val="000000" w:themeColor="text1"/>
          <w:szCs w:val="21"/>
          <w:highlight w:val="none"/>
          <w14:textFill>
            <w14:solidFill>
              <w14:schemeClr w14:val="tx1"/>
            </w14:solidFill>
          </w14:textFill>
        </w:rPr>
      </w:pPr>
    </w:p>
    <w:p w14:paraId="6251B4ED">
      <w:pPr>
        <w:pageBreakBefore w:val="0"/>
        <w:kinsoku/>
        <w:overflowPunct/>
        <w:topLinePunct w:val="0"/>
        <w:bidi w:val="0"/>
        <w:adjustRightInd/>
        <w:spacing w:line="360" w:lineRule="auto"/>
        <w:jc w:val="center"/>
        <w:outlineLvl w:val="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中小企业声明函（服务）</w:t>
      </w:r>
    </w:p>
    <w:p w14:paraId="36CFF86F">
      <w:pPr>
        <w:pageBreakBefore w:val="0"/>
        <w:kinsoku/>
        <w:overflowPunct/>
        <w:topLinePunct w:val="0"/>
        <w:bidi w:val="0"/>
        <w:spacing w:line="360" w:lineRule="auto"/>
        <w:ind w:firstLine="315" w:firstLineChars="1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eastAsia="宋体" w:cs="宋体"/>
          <w:color w:val="000000" w:themeColor="text1"/>
          <w:szCs w:val="21"/>
          <w:highlight w:val="none"/>
          <w:u w:val="single"/>
          <w14:textFill>
            <w14:solidFill>
              <w14:schemeClr w14:val="tx1"/>
            </w14:solidFill>
          </w14:textFill>
        </w:rPr>
        <w:t xml:space="preserve">（采购人） </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u w:val="single"/>
          <w14:textFill>
            <w14:solidFill>
              <w14:schemeClr w14:val="tx1"/>
            </w14:solidFill>
          </w14:textFill>
        </w:rPr>
        <w:t xml:space="preserve"> （项目名称） </w:t>
      </w:r>
      <w:r>
        <w:rPr>
          <w:rFonts w:hint="eastAsia" w:ascii="宋体" w:hAnsi="宋体" w:eastAsia="宋体" w:cs="宋体"/>
          <w:color w:val="000000" w:themeColor="text1"/>
          <w:szCs w:val="21"/>
          <w:highlight w:val="none"/>
          <w14:textFill>
            <w14:solidFill>
              <w14:schemeClr w14:val="tx1"/>
            </w14:solidFill>
          </w14:textFill>
        </w:rPr>
        <w:t>采购活动，</w:t>
      </w:r>
      <w:r>
        <w:rPr>
          <w:rFonts w:hint="eastAsia" w:ascii="宋体" w:hAnsi="宋体" w:eastAsia="宋体" w:cs="宋体"/>
          <w:b/>
          <w:bCs/>
          <w:color w:val="000000" w:themeColor="text1"/>
          <w:szCs w:val="21"/>
          <w:highlight w:val="none"/>
          <w14:textFill>
            <w14:solidFill>
              <w14:schemeClr w14:val="tx1"/>
            </w14:solidFill>
          </w14:textFill>
        </w:rPr>
        <w:t>服务全部由符合政策要求的中小企业承接</w:t>
      </w:r>
      <w:r>
        <w:rPr>
          <w:rFonts w:hint="eastAsia" w:ascii="宋体" w:hAnsi="宋体" w:eastAsia="宋体" w:cs="宋体"/>
          <w:color w:val="000000" w:themeColor="text1"/>
          <w:szCs w:val="21"/>
          <w:highlight w:val="none"/>
          <w14:textFill>
            <w14:solidFill>
              <w14:schemeClr w14:val="tx1"/>
            </w14:solidFill>
          </w14:textFill>
        </w:rPr>
        <w:t>。相关企业（含联合体中的中小企业、签订分包意向协议的中小企业）的具体情况如下：</w:t>
      </w:r>
    </w:p>
    <w:p w14:paraId="1113A6F2">
      <w:pPr>
        <w:pageBreakBefore w:val="0"/>
        <w:kinsoku/>
        <w:overflowPunct/>
        <w:topLinePunct w:val="0"/>
        <w:bidi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 </w:t>
      </w:r>
      <w:r>
        <w:rPr>
          <w:rFonts w:hint="eastAsia" w:ascii="宋体" w:hAnsi="宋体" w:eastAsia="宋体" w:cs="宋体"/>
          <w:color w:val="000000" w:themeColor="text1"/>
          <w:szCs w:val="21"/>
          <w:highlight w:val="none"/>
          <w:u w:val="single"/>
          <w14:textFill>
            <w14:solidFill>
              <w14:schemeClr w14:val="tx1"/>
            </w14:solidFill>
          </w14:textFill>
        </w:rPr>
        <w:t>（标的名称）</w:t>
      </w:r>
      <w:r>
        <w:rPr>
          <w:rFonts w:hint="eastAsia" w:ascii="宋体" w:hAnsi="宋体" w:eastAsia="宋体" w:cs="宋体"/>
          <w:color w:val="000000" w:themeColor="text1"/>
          <w:szCs w:val="21"/>
          <w:highlight w:val="none"/>
          <w14:textFill>
            <w14:solidFill>
              <w14:schemeClr w14:val="tx1"/>
            </w14:solidFill>
          </w14:textFill>
        </w:rPr>
        <w:t xml:space="preserve">，属于 </w:t>
      </w:r>
      <w:r>
        <w:rPr>
          <w:rFonts w:hint="eastAsia" w:ascii="宋体" w:hAnsi="宋体" w:eastAsia="宋体" w:cs="宋体"/>
          <w:color w:val="000000" w:themeColor="text1"/>
          <w:szCs w:val="21"/>
          <w:highlight w:val="none"/>
          <w:u w:val="single"/>
          <w14:textFill>
            <w14:solidFill>
              <w14:schemeClr w14:val="tx1"/>
            </w14:solidFill>
          </w14:textFill>
        </w:rPr>
        <w:t>（采购文件中明确的所属行业）</w:t>
      </w:r>
      <w:r>
        <w:rPr>
          <w:rFonts w:hint="eastAsia" w:ascii="宋体" w:hAnsi="宋体" w:eastAsia="宋体" w:cs="宋体"/>
          <w:color w:val="000000" w:themeColor="text1"/>
          <w:szCs w:val="21"/>
          <w:highlight w:val="none"/>
          <w14:textFill>
            <w14:solidFill>
              <w14:schemeClr w14:val="tx1"/>
            </w14:solidFill>
          </w14:textFill>
        </w:rPr>
        <w:t xml:space="preserve"> ；承建（承接）企业为 </w:t>
      </w:r>
      <w:r>
        <w:rPr>
          <w:rFonts w:hint="eastAsia" w:ascii="宋体" w:hAnsi="宋体" w:eastAsia="宋体" w:cs="宋体"/>
          <w:color w:val="000000" w:themeColor="text1"/>
          <w:szCs w:val="21"/>
          <w:highlight w:val="none"/>
          <w:u w:val="single"/>
          <w14:textFill>
            <w14:solidFill>
              <w14:schemeClr w14:val="tx1"/>
            </w14:solidFill>
          </w14:textFill>
        </w:rPr>
        <w:t>（企业名称）</w:t>
      </w:r>
      <w:r>
        <w:rPr>
          <w:rFonts w:hint="eastAsia" w:ascii="宋体" w:hAnsi="宋体" w:eastAsia="宋体" w:cs="宋体"/>
          <w:color w:val="000000" w:themeColor="text1"/>
          <w:szCs w:val="21"/>
          <w:highlight w:val="none"/>
          <w14:textFill>
            <w14:solidFill>
              <w14:schemeClr w14:val="tx1"/>
            </w14:solidFill>
          </w14:textFill>
        </w:rPr>
        <w:t xml:space="preserve"> ，从业人员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人，营业收入为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万元，资产总额为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万元属于</w:t>
      </w:r>
      <w:r>
        <w:rPr>
          <w:rFonts w:hint="eastAsia" w:ascii="宋体" w:hAnsi="宋体" w:eastAsia="宋体" w:cs="宋体"/>
          <w:color w:val="000000" w:themeColor="text1"/>
          <w:szCs w:val="21"/>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Cs w:val="21"/>
          <w:highlight w:val="none"/>
          <w14:textFill>
            <w14:solidFill>
              <w14:schemeClr w14:val="tx1"/>
            </w14:solidFill>
          </w14:textFill>
        </w:rPr>
        <w:t>；</w:t>
      </w:r>
    </w:p>
    <w:p w14:paraId="009837D1">
      <w:pPr>
        <w:pageBreakBefore w:val="0"/>
        <w:kinsoku/>
        <w:overflowPunct/>
        <w:topLinePunct w:val="0"/>
        <w:bidi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p w14:paraId="0E83C8B4">
      <w:pPr>
        <w:pageBreakBefore w:val="0"/>
        <w:kinsoku/>
        <w:overflowPunct/>
        <w:topLinePunct w:val="0"/>
        <w:bidi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以上企业，不属于大企业的分支机构，不存在控股股东为大企业的情形，也不存在与大企业的负责人为同一人的情形。</w:t>
      </w:r>
    </w:p>
    <w:p w14:paraId="3734705C">
      <w:pPr>
        <w:pageBreakBefore w:val="0"/>
        <w:kinsoku/>
        <w:overflowPunct/>
        <w:topLinePunct w:val="0"/>
        <w:bidi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本企业对上述声明内容的真实性负责。如有虚假，将依法承担相应责任。</w:t>
      </w:r>
    </w:p>
    <w:p w14:paraId="260B847E">
      <w:pPr>
        <w:pageBreakBefore w:val="0"/>
        <w:kinsoku/>
        <w:overflowPunct/>
        <w:topLinePunct w:val="0"/>
        <w:bidi w:val="0"/>
        <w:spacing w:line="360" w:lineRule="auto"/>
        <w:ind w:right="1760"/>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p>
    <w:p w14:paraId="6CBB3689">
      <w:pPr>
        <w:pageBreakBefore w:val="0"/>
        <w:kinsoku/>
        <w:overflowPunct/>
        <w:topLinePunct w:val="0"/>
        <w:bidi w:val="0"/>
        <w:spacing w:line="360" w:lineRule="auto"/>
        <w:ind w:right="1760"/>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供应商名称（电子</w:t>
      </w:r>
      <w:r>
        <w:rPr>
          <w:rFonts w:hint="eastAsia" w:ascii="宋体" w:hAnsi="宋体" w:cs="宋体"/>
          <w:color w:val="000000" w:themeColor="text1"/>
          <w:szCs w:val="21"/>
          <w:highlight w:val="none"/>
          <w:lang w:val="en-US" w:eastAsia="zh-CN"/>
          <w14:textFill>
            <w14:solidFill>
              <w14:schemeClr w14:val="tx1"/>
            </w14:solidFill>
          </w14:textFill>
        </w:rPr>
        <w:t>盖章</w:t>
      </w:r>
      <w:r>
        <w:rPr>
          <w:rFonts w:hint="eastAsia" w:ascii="宋体" w:hAnsi="宋体" w:eastAsia="宋体" w:cs="宋体"/>
          <w:color w:val="000000" w:themeColor="text1"/>
          <w:szCs w:val="21"/>
          <w:highlight w:val="none"/>
          <w14:textFill>
            <w14:solidFill>
              <w14:schemeClr w14:val="tx1"/>
            </w14:solidFill>
          </w14:textFill>
        </w:rPr>
        <w:t>）：</w:t>
      </w:r>
    </w:p>
    <w:p w14:paraId="64342A16">
      <w:pPr>
        <w:pageBreakBefore w:val="0"/>
        <w:kinsoku/>
        <w:overflowPunct/>
        <w:topLinePunct w:val="0"/>
        <w:bidi w:val="0"/>
        <w:spacing w:line="360" w:lineRule="auto"/>
        <w:ind w:right="1120" w:firstLine="4095" w:firstLineChars="195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 期：</w:t>
      </w:r>
    </w:p>
    <w:p w14:paraId="06BF914D">
      <w:pPr>
        <w:pageBreakBefore w:val="0"/>
        <w:kinsoku/>
        <w:overflowPunct/>
        <w:topLinePunct w:val="0"/>
        <w:bidi w:val="0"/>
        <w:spacing w:line="360" w:lineRule="auto"/>
        <w:ind w:firstLine="310" w:firstLineChars="147"/>
        <w:jc w:val="left"/>
        <w:rPr>
          <w:rFonts w:hint="eastAsia" w:ascii="宋体" w:hAnsi="宋体" w:eastAsia="宋体" w:cs="宋体"/>
          <w:b/>
          <w:color w:val="000000" w:themeColor="text1"/>
          <w:szCs w:val="21"/>
          <w:highlight w:val="none"/>
          <w14:textFill>
            <w14:solidFill>
              <w14:schemeClr w14:val="tx1"/>
            </w14:solidFill>
          </w14:textFill>
        </w:rPr>
      </w:pPr>
    </w:p>
    <w:p w14:paraId="73A7AEEA">
      <w:pPr>
        <w:pageBreakBefore w:val="0"/>
        <w:kinsoku/>
        <w:overflowPunct/>
        <w:topLinePunct w:val="0"/>
        <w:bidi w:val="0"/>
        <w:spacing w:line="360" w:lineRule="auto"/>
        <w:ind w:firstLine="310" w:firstLineChars="147"/>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4D2738B7">
      <w:pPr>
        <w:pageBreakBefore w:val="0"/>
        <w:kinsoku/>
        <w:overflowPunct/>
        <w:topLinePunct w:val="0"/>
        <w:bidi w:val="0"/>
        <w:spacing w:line="360" w:lineRule="auto"/>
        <w:ind w:right="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注：</w:t>
      </w:r>
    </w:p>
    <w:p w14:paraId="3D757B00">
      <w:pPr>
        <w:pageBreakBefore w:val="0"/>
        <w:kinsoku/>
        <w:overflowPunct/>
        <w:topLinePunct w:val="0"/>
        <w:bidi w:val="0"/>
        <w:spacing w:line="360" w:lineRule="auto"/>
        <w:ind w:right="420"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92B8AD4">
      <w:pPr>
        <w:pageBreakBefore w:val="0"/>
        <w:kinsoku/>
        <w:overflowPunct/>
        <w:topLinePunct w:val="0"/>
        <w:bidi w:val="0"/>
        <w:spacing w:line="360" w:lineRule="auto"/>
        <w:ind w:right="420" w:firstLine="630" w:firstLineChars="3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9E8160E">
      <w:pPr>
        <w:pageBreakBefore w:val="0"/>
        <w:shd w:val="clear" w:color="auto" w:fill="FFFFFF"/>
        <w:kinsoku/>
        <w:overflowPunct/>
        <w:topLinePunct w:val="0"/>
        <w:bidi w:val="0"/>
        <w:spacing w:before="156" w:line="360" w:lineRule="auto"/>
        <w:ind w:firstLine="420"/>
        <w:rPr>
          <w:rFonts w:hint="eastAsia" w:ascii="宋体" w:hAnsi="宋体" w:eastAsia="宋体" w:cs="宋体"/>
          <w:b/>
          <w:color w:val="000000" w:themeColor="text1"/>
          <w:szCs w:val="21"/>
          <w:highlight w:val="none"/>
          <w14:textFill>
            <w14:solidFill>
              <w14:schemeClr w14:val="tx1"/>
            </w14:solidFill>
          </w14:textFill>
        </w:rPr>
      </w:pPr>
    </w:p>
    <w:p w14:paraId="463B2836">
      <w:pPr>
        <w:pageBreakBefore w:val="0"/>
        <w:shd w:val="clear" w:color="auto" w:fill="FFFFFF"/>
        <w:kinsoku/>
        <w:overflowPunct/>
        <w:topLinePunct w:val="0"/>
        <w:bidi w:val="0"/>
        <w:spacing w:before="156" w:line="360" w:lineRule="auto"/>
        <w:ind w:firstLine="42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附件：</w:t>
      </w:r>
    </w:p>
    <w:p w14:paraId="53480A01">
      <w:pPr>
        <w:pageBreakBefore w:val="0"/>
        <w:shd w:val="clear" w:color="auto" w:fill="FFFFFF"/>
        <w:kinsoku/>
        <w:overflowPunct/>
        <w:topLinePunct w:val="0"/>
        <w:bidi w:val="0"/>
        <w:spacing w:before="156" w:line="360" w:lineRule="auto"/>
        <w:ind w:firstLine="420"/>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国家统计局关于印发统计上大中小微型企业划分办法的通知</w:t>
      </w:r>
    </w:p>
    <w:p w14:paraId="1EFD1AD7">
      <w:pPr>
        <w:pageBreakBefore w:val="0"/>
        <w:shd w:val="clear" w:color="auto" w:fill="FFFFFF"/>
        <w:kinsoku/>
        <w:overflowPunct/>
        <w:topLinePunct w:val="0"/>
        <w:bidi w:val="0"/>
        <w:spacing w:line="360" w:lineRule="auto"/>
        <w:ind w:firstLine="420"/>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国统字〔2011〕75号</w:t>
      </w:r>
    </w:p>
    <w:p w14:paraId="61ADF34A">
      <w:pPr>
        <w:pageBreakBefore w:val="0"/>
        <w:shd w:val="clear" w:color="auto" w:fill="FFFFFF"/>
        <w:kinsoku/>
        <w:overflowPunct/>
        <w:topLinePunct w:val="0"/>
        <w:bidi w:val="0"/>
        <w:spacing w:line="360" w:lineRule="auto"/>
        <w:ind w:firstLine="42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各省、自治区、直辖市统计局，新疆生产建设兵团统计局，国家统计局各调查总队，国务院有关部门：</w:t>
      </w:r>
    </w:p>
    <w:p w14:paraId="4C576A38">
      <w:pPr>
        <w:pageBreakBefore w:val="0"/>
        <w:shd w:val="clear" w:color="auto" w:fill="FFFFFF"/>
        <w:kinsoku/>
        <w:overflowPunct/>
        <w:topLinePunct w:val="0"/>
        <w:bidi w:val="0"/>
        <w:spacing w:line="360" w:lineRule="auto"/>
        <w:ind w:firstLine="42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为贯彻落实工业和信息化部、国家统计局、国家发展改革委、财政部《关于印发中小企业划型标准规定的通知》（工信部联企业〔2011〕300号），结合统计工作的实际情况，我们制定了《统计上大中小微型企业划分办法》。现印发给你们，请遵照执行。</w:t>
      </w:r>
    </w:p>
    <w:p w14:paraId="369F4B8C">
      <w:pPr>
        <w:pageBreakBefore w:val="0"/>
        <w:shd w:val="clear" w:color="auto" w:fill="FFFFFF"/>
        <w:kinsoku/>
        <w:overflowPunct/>
        <w:topLinePunct w:val="0"/>
        <w:bidi w:val="0"/>
        <w:spacing w:line="360" w:lineRule="auto"/>
        <w:ind w:firstLine="42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p w14:paraId="6DCC0B52">
      <w:pPr>
        <w:pageBreakBefore w:val="0"/>
        <w:shd w:val="clear" w:color="auto" w:fill="FFFFFF"/>
        <w:kinsoku/>
        <w:wordWrap w:val="0"/>
        <w:overflowPunct/>
        <w:topLinePunct w:val="0"/>
        <w:bidi w:val="0"/>
        <w:spacing w:line="360" w:lineRule="auto"/>
        <w:ind w:firstLine="420"/>
        <w:jc w:val="righ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国家统计局 </w:t>
      </w:r>
    </w:p>
    <w:p w14:paraId="6BBC8ABC">
      <w:pPr>
        <w:pageBreakBefore w:val="0"/>
        <w:shd w:val="clear" w:color="auto" w:fill="FFFFFF"/>
        <w:kinsoku/>
        <w:overflowPunct/>
        <w:topLinePunct w:val="0"/>
        <w:bidi w:val="0"/>
        <w:spacing w:line="360" w:lineRule="auto"/>
        <w:ind w:firstLine="420"/>
        <w:jc w:val="righ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二〇一一年九月二日</w:t>
      </w:r>
    </w:p>
    <w:p w14:paraId="16E80576">
      <w:pPr>
        <w:pageBreakBefore w:val="0"/>
        <w:shd w:val="clear" w:color="auto" w:fill="FFFFFF"/>
        <w:kinsoku/>
        <w:overflowPunct/>
        <w:topLinePunct w:val="0"/>
        <w:bidi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p w14:paraId="65E90D6C">
      <w:pPr>
        <w:pageBreakBefore w:val="0"/>
        <w:shd w:val="clear" w:color="auto" w:fill="FFFFFF"/>
        <w:kinsoku/>
        <w:overflowPunct/>
        <w:topLinePunct w:val="0"/>
        <w:bidi w:val="0"/>
        <w:spacing w:line="360" w:lineRule="auto"/>
        <w:ind w:firstLine="420"/>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统计上大中小微型企业划分办法</w:t>
      </w:r>
    </w:p>
    <w:p w14:paraId="29D8739E">
      <w:pPr>
        <w:pageBreakBefore w:val="0"/>
        <w:shd w:val="clear" w:color="auto" w:fill="FFFFFF"/>
        <w:kinsoku/>
        <w:overflowPunct/>
        <w:topLinePunct w:val="0"/>
        <w:bidi w:val="0"/>
        <w:spacing w:line="360" w:lineRule="auto"/>
        <w:ind w:firstLine="42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一、根据工业和信息化部、国家统计局、国家发展改革委、财政部《关于印发中小企业划型标准规定的通知》（工信部联企业〔2011〕300号），结合统计工作的实际情况，特制定本办法。</w:t>
      </w:r>
    </w:p>
    <w:p w14:paraId="4EE79EBA">
      <w:pPr>
        <w:pageBreakBefore w:val="0"/>
        <w:shd w:val="clear" w:color="auto" w:fill="FFFFFF"/>
        <w:kinsoku/>
        <w:overflowPunct/>
        <w:topLinePunct w:val="0"/>
        <w:bidi w:val="0"/>
        <w:spacing w:line="360" w:lineRule="auto"/>
        <w:ind w:firstLine="42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二、本办法适用对象为在中华人民共和国境内依法设立的各种组织形式的法人企业或单位。个体工商户参照本办法进行划分。</w:t>
      </w:r>
    </w:p>
    <w:p w14:paraId="0B26B554">
      <w:pPr>
        <w:pageBreakBefore w:val="0"/>
        <w:shd w:val="clear" w:color="auto" w:fill="FFFFFF"/>
        <w:kinsoku/>
        <w:overflowPunct/>
        <w:topLinePunct w:val="0"/>
        <w:bidi w:val="0"/>
        <w:spacing w:line="360" w:lineRule="auto"/>
        <w:ind w:firstLine="42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3C745FEE">
      <w:pPr>
        <w:pageBreakBefore w:val="0"/>
        <w:shd w:val="clear" w:color="auto" w:fill="FFFFFF"/>
        <w:kinsoku/>
        <w:overflowPunct/>
        <w:topLinePunct w:val="0"/>
        <w:bidi w:val="0"/>
        <w:spacing w:line="360" w:lineRule="auto"/>
        <w:ind w:firstLine="42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14:paraId="0AE75105">
      <w:pPr>
        <w:pageBreakBefore w:val="0"/>
        <w:shd w:val="clear" w:color="auto" w:fill="FFFFFF"/>
        <w:kinsoku/>
        <w:overflowPunct/>
        <w:topLinePunct w:val="0"/>
        <w:bidi w:val="0"/>
        <w:spacing w:line="360" w:lineRule="auto"/>
        <w:ind w:firstLine="42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五、企业划分由政府综合统计部门根据统计年报每年确定一次，定报统计原则上不进行调整。</w:t>
      </w:r>
    </w:p>
    <w:p w14:paraId="3779E20A">
      <w:pPr>
        <w:pageBreakBefore w:val="0"/>
        <w:shd w:val="clear" w:color="auto" w:fill="FFFFFF"/>
        <w:kinsoku/>
        <w:overflowPunct/>
        <w:topLinePunct w:val="0"/>
        <w:bidi w:val="0"/>
        <w:spacing w:line="360" w:lineRule="auto"/>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六、本办法自印发之日起执行，国家统计局2003年印发的《统计上大中小型企业划分办法（暂行）》（国统字〔2003〕17号）同时废止。</w:t>
      </w:r>
      <w:r>
        <w:rPr>
          <w:rFonts w:hint="eastAsia" w:ascii="宋体" w:hAnsi="宋体" w:eastAsia="宋体" w:cs="宋体"/>
          <w:b/>
          <w:color w:val="000000" w:themeColor="text1"/>
          <w:szCs w:val="21"/>
          <w:highlight w:val="none"/>
          <w14:textFill>
            <w14:solidFill>
              <w14:schemeClr w14:val="tx1"/>
            </w14:solidFill>
          </w14:textFill>
        </w:rPr>
        <w:t> </w:t>
      </w:r>
      <w:r>
        <w:rPr>
          <w:rFonts w:hint="eastAsia" w:ascii="宋体" w:hAnsi="宋体" w:eastAsia="宋体" w:cs="宋体"/>
          <w:color w:val="000000" w:themeColor="text1"/>
          <w:szCs w:val="21"/>
          <w:highlight w:val="none"/>
          <w14:textFill>
            <w14:solidFill>
              <w14:schemeClr w14:val="tx1"/>
            </w14:solidFill>
          </w14:textFill>
        </w:rPr>
        <w:t>　　</w:t>
      </w:r>
    </w:p>
    <w:p w14:paraId="0C17A3ED">
      <w:pPr>
        <w:pageBreakBefore w:val="0"/>
        <w:shd w:val="clear" w:color="auto" w:fill="FFFFFF"/>
        <w:kinsoku/>
        <w:overflowPunct/>
        <w:topLinePunct w:val="0"/>
        <w:bidi w:val="0"/>
        <w:spacing w:line="360" w:lineRule="auto"/>
        <w:ind w:firstLine="482"/>
        <w:rPr>
          <w:rFonts w:hint="eastAsia" w:ascii="宋体" w:hAnsi="宋体" w:eastAsia="宋体" w:cs="宋体"/>
          <w:b/>
          <w:bCs/>
          <w:color w:val="000000" w:themeColor="text1"/>
          <w:szCs w:val="21"/>
          <w:highlight w:val="none"/>
          <w14:textFill>
            <w14:solidFill>
              <w14:schemeClr w14:val="tx1"/>
            </w14:solidFill>
          </w14:textFill>
        </w:rPr>
      </w:pPr>
    </w:p>
    <w:p w14:paraId="6AD74C80">
      <w:pPr>
        <w:pageBreakBefore w:val="0"/>
        <w:shd w:val="clear" w:color="auto" w:fill="FFFFFF"/>
        <w:kinsoku/>
        <w:overflowPunct/>
        <w:topLinePunct w:val="0"/>
        <w:bidi w:val="0"/>
        <w:spacing w:line="360" w:lineRule="auto"/>
        <w:ind w:firstLine="482"/>
        <w:rPr>
          <w:rFonts w:hint="eastAsia" w:ascii="宋体" w:hAnsi="宋体" w:eastAsia="宋体" w:cs="宋体"/>
          <w:b/>
          <w:bCs/>
          <w:color w:val="000000" w:themeColor="text1"/>
          <w:szCs w:val="21"/>
          <w:highlight w:val="none"/>
          <w14:textFill>
            <w14:solidFill>
              <w14:schemeClr w14:val="tx1"/>
            </w14:solidFill>
          </w14:textFill>
        </w:rPr>
      </w:pPr>
    </w:p>
    <w:p w14:paraId="6E923A8D">
      <w:pPr>
        <w:pageBreakBefore w:val="0"/>
        <w:shd w:val="clear" w:color="auto" w:fill="FFFFFF"/>
        <w:kinsoku/>
        <w:overflowPunct/>
        <w:topLinePunct w:val="0"/>
        <w:bidi w:val="0"/>
        <w:spacing w:line="360" w:lineRule="auto"/>
        <w:ind w:firstLine="482"/>
        <w:rPr>
          <w:rFonts w:hint="eastAsia" w:ascii="宋体" w:hAnsi="宋体" w:eastAsia="宋体" w:cs="宋体"/>
          <w:b/>
          <w:bCs/>
          <w:color w:val="000000" w:themeColor="text1"/>
          <w:sz w:val="18"/>
          <w:szCs w:val="18"/>
          <w:highlight w:val="none"/>
          <w14:textFill>
            <w14:solidFill>
              <w14:schemeClr w14:val="tx1"/>
            </w14:solidFill>
          </w14:textFill>
        </w:rPr>
      </w:pPr>
    </w:p>
    <w:p w14:paraId="5A12D4A3">
      <w:pPr>
        <w:pageBreakBefore w:val="0"/>
        <w:shd w:val="clear" w:color="auto" w:fill="FFFFFF"/>
        <w:kinsoku/>
        <w:overflowPunct/>
        <w:topLinePunct w:val="0"/>
        <w:bidi w:val="0"/>
        <w:spacing w:line="360" w:lineRule="auto"/>
        <w:ind w:firstLine="482"/>
        <w:rPr>
          <w:rFonts w:hint="eastAsia" w:ascii="宋体" w:hAnsi="宋体" w:eastAsia="宋体" w:cs="宋体"/>
          <w:b/>
          <w:bCs/>
          <w:color w:val="000000" w:themeColor="text1"/>
          <w:sz w:val="18"/>
          <w:szCs w:val="18"/>
          <w:highlight w:val="none"/>
          <w14:textFill>
            <w14:solidFill>
              <w14:schemeClr w14:val="tx1"/>
            </w14:solidFill>
          </w14:textFill>
        </w:rPr>
      </w:pPr>
    </w:p>
    <w:p w14:paraId="1F2CBBD9">
      <w:pPr>
        <w:pageBreakBefore w:val="0"/>
        <w:shd w:val="clear" w:color="auto" w:fill="FFFFFF"/>
        <w:kinsoku/>
        <w:overflowPunct/>
        <w:topLinePunct w:val="0"/>
        <w:bidi w:val="0"/>
        <w:spacing w:line="360" w:lineRule="auto"/>
        <w:ind w:firstLine="482"/>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附表：</w:t>
      </w:r>
    </w:p>
    <w:p w14:paraId="17F84EB4">
      <w:pPr>
        <w:pageBreakBefore w:val="0"/>
        <w:shd w:val="clear" w:color="auto" w:fill="FFFFFF"/>
        <w:kinsoku/>
        <w:overflowPunct/>
        <w:topLinePunct w:val="0"/>
        <w:bidi w:val="0"/>
        <w:spacing w:line="360" w:lineRule="auto"/>
        <w:ind w:firstLine="420"/>
        <w:jc w:val="center"/>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统计上大中小微型企业划分标准</w:t>
      </w:r>
    </w:p>
    <w:tbl>
      <w:tblPr>
        <w:tblStyle w:val="62"/>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4"/>
        <w:gridCol w:w="1461"/>
        <w:gridCol w:w="1060"/>
        <w:gridCol w:w="1121"/>
        <w:gridCol w:w="1792"/>
        <w:gridCol w:w="1579"/>
        <w:gridCol w:w="1090"/>
      </w:tblGrid>
      <w:tr w14:paraId="1B1F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jc w:val="center"/>
        </w:trPr>
        <w:tc>
          <w:tcPr>
            <w:tcW w:w="1874" w:type="dxa"/>
            <w:tcMar>
              <w:top w:w="0" w:type="dxa"/>
              <w:left w:w="108" w:type="dxa"/>
              <w:bottom w:w="0" w:type="dxa"/>
              <w:right w:w="108" w:type="dxa"/>
            </w:tcMar>
            <w:vAlign w:val="center"/>
          </w:tcPr>
          <w:p w14:paraId="5A78B421">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w:t>
            </w:r>
            <w:r>
              <w:rPr>
                <w:rFonts w:hint="eastAsia" w:ascii="宋体" w:hAnsi="宋体" w:eastAsia="宋体" w:cs="宋体"/>
                <w:b/>
                <w:color w:val="000000" w:themeColor="text1"/>
                <w:sz w:val="18"/>
                <w:szCs w:val="18"/>
                <w:highlight w:val="none"/>
                <w14:textFill>
                  <w14:solidFill>
                    <w14:schemeClr w14:val="tx1"/>
                  </w14:solidFill>
                </w14:textFill>
              </w:rPr>
              <w:t>行业名称</w:t>
            </w:r>
          </w:p>
        </w:tc>
        <w:tc>
          <w:tcPr>
            <w:tcW w:w="1461" w:type="dxa"/>
            <w:tcMar>
              <w:top w:w="0" w:type="dxa"/>
              <w:left w:w="108" w:type="dxa"/>
              <w:bottom w:w="0" w:type="dxa"/>
              <w:right w:w="108" w:type="dxa"/>
            </w:tcMar>
            <w:vAlign w:val="center"/>
          </w:tcPr>
          <w:p w14:paraId="228AC041">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指标名称</w:t>
            </w:r>
          </w:p>
        </w:tc>
        <w:tc>
          <w:tcPr>
            <w:tcW w:w="1060" w:type="dxa"/>
            <w:tcMar>
              <w:top w:w="0" w:type="dxa"/>
              <w:left w:w="108" w:type="dxa"/>
              <w:bottom w:w="0" w:type="dxa"/>
              <w:right w:w="108" w:type="dxa"/>
            </w:tcMar>
            <w:vAlign w:val="center"/>
          </w:tcPr>
          <w:p w14:paraId="007F4113">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计量单位</w:t>
            </w:r>
          </w:p>
        </w:tc>
        <w:tc>
          <w:tcPr>
            <w:tcW w:w="1121" w:type="dxa"/>
            <w:tcMar>
              <w:top w:w="0" w:type="dxa"/>
              <w:left w:w="108" w:type="dxa"/>
              <w:bottom w:w="0" w:type="dxa"/>
              <w:right w:w="108" w:type="dxa"/>
            </w:tcMar>
            <w:vAlign w:val="center"/>
          </w:tcPr>
          <w:p w14:paraId="1A6ADF1C">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大型</w:t>
            </w:r>
          </w:p>
        </w:tc>
        <w:tc>
          <w:tcPr>
            <w:tcW w:w="1792" w:type="dxa"/>
            <w:tcMar>
              <w:top w:w="0" w:type="dxa"/>
              <w:left w:w="108" w:type="dxa"/>
              <w:bottom w:w="0" w:type="dxa"/>
              <w:right w:w="108" w:type="dxa"/>
            </w:tcMar>
            <w:vAlign w:val="center"/>
          </w:tcPr>
          <w:p w14:paraId="77B4556D">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中型</w:t>
            </w:r>
          </w:p>
        </w:tc>
        <w:tc>
          <w:tcPr>
            <w:tcW w:w="1579" w:type="dxa"/>
            <w:tcMar>
              <w:top w:w="0" w:type="dxa"/>
              <w:left w:w="108" w:type="dxa"/>
              <w:bottom w:w="0" w:type="dxa"/>
              <w:right w:w="108" w:type="dxa"/>
            </w:tcMar>
            <w:vAlign w:val="center"/>
          </w:tcPr>
          <w:p w14:paraId="670C69BA">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小型</w:t>
            </w:r>
          </w:p>
        </w:tc>
        <w:tc>
          <w:tcPr>
            <w:tcW w:w="1090" w:type="dxa"/>
            <w:tcMar>
              <w:top w:w="0" w:type="dxa"/>
              <w:left w:w="108" w:type="dxa"/>
              <w:bottom w:w="0" w:type="dxa"/>
              <w:right w:w="108" w:type="dxa"/>
            </w:tcMar>
            <w:vAlign w:val="center"/>
          </w:tcPr>
          <w:p w14:paraId="090A81E7">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微型</w:t>
            </w:r>
          </w:p>
        </w:tc>
      </w:tr>
      <w:tr w14:paraId="06832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1874" w:type="dxa"/>
            <w:tcMar>
              <w:top w:w="0" w:type="dxa"/>
              <w:left w:w="108" w:type="dxa"/>
              <w:bottom w:w="0" w:type="dxa"/>
              <w:right w:w="108" w:type="dxa"/>
            </w:tcMar>
            <w:vAlign w:val="center"/>
          </w:tcPr>
          <w:p w14:paraId="3310C995">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农、林、牧、渔业</w:t>
            </w:r>
          </w:p>
        </w:tc>
        <w:tc>
          <w:tcPr>
            <w:tcW w:w="1461" w:type="dxa"/>
            <w:tcMar>
              <w:top w:w="0" w:type="dxa"/>
              <w:left w:w="108" w:type="dxa"/>
              <w:bottom w:w="0" w:type="dxa"/>
              <w:right w:w="108" w:type="dxa"/>
            </w:tcMar>
            <w:vAlign w:val="center"/>
          </w:tcPr>
          <w:p w14:paraId="55837F1A">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营业收入(Y)</w:t>
            </w:r>
          </w:p>
        </w:tc>
        <w:tc>
          <w:tcPr>
            <w:tcW w:w="1060" w:type="dxa"/>
            <w:tcMar>
              <w:top w:w="0" w:type="dxa"/>
              <w:left w:w="108" w:type="dxa"/>
              <w:bottom w:w="0" w:type="dxa"/>
              <w:right w:w="108" w:type="dxa"/>
            </w:tcMar>
            <w:vAlign w:val="center"/>
          </w:tcPr>
          <w:p w14:paraId="77366C77">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万元</w:t>
            </w:r>
          </w:p>
        </w:tc>
        <w:tc>
          <w:tcPr>
            <w:tcW w:w="1121" w:type="dxa"/>
            <w:tcMar>
              <w:top w:w="0" w:type="dxa"/>
              <w:left w:w="108" w:type="dxa"/>
              <w:bottom w:w="0" w:type="dxa"/>
              <w:right w:w="108" w:type="dxa"/>
            </w:tcMar>
            <w:vAlign w:val="center"/>
          </w:tcPr>
          <w:p w14:paraId="279BE3E2">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Y≥20000</w:t>
            </w:r>
          </w:p>
        </w:tc>
        <w:tc>
          <w:tcPr>
            <w:tcW w:w="1792" w:type="dxa"/>
            <w:tcMar>
              <w:top w:w="0" w:type="dxa"/>
              <w:left w:w="108" w:type="dxa"/>
              <w:bottom w:w="0" w:type="dxa"/>
              <w:right w:w="108" w:type="dxa"/>
            </w:tcMar>
            <w:vAlign w:val="center"/>
          </w:tcPr>
          <w:p w14:paraId="265BDC7A">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500≤Y＜20000</w:t>
            </w:r>
          </w:p>
        </w:tc>
        <w:tc>
          <w:tcPr>
            <w:tcW w:w="1579" w:type="dxa"/>
            <w:tcMar>
              <w:top w:w="0" w:type="dxa"/>
              <w:left w:w="108" w:type="dxa"/>
              <w:bottom w:w="0" w:type="dxa"/>
              <w:right w:w="108" w:type="dxa"/>
            </w:tcMar>
            <w:vAlign w:val="center"/>
          </w:tcPr>
          <w:p w14:paraId="349BAA04">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50≤Y＜500</w:t>
            </w:r>
          </w:p>
        </w:tc>
        <w:tc>
          <w:tcPr>
            <w:tcW w:w="1090" w:type="dxa"/>
            <w:tcMar>
              <w:top w:w="0" w:type="dxa"/>
              <w:left w:w="108" w:type="dxa"/>
              <w:bottom w:w="0" w:type="dxa"/>
              <w:right w:w="108" w:type="dxa"/>
            </w:tcMar>
            <w:vAlign w:val="center"/>
          </w:tcPr>
          <w:p w14:paraId="3614E24B">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Y＜50</w:t>
            </w:r>
          </w:p>
        </w:tc>
      </w:tr>
      <w:tr w14:paraId="36DA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74" w:type="dxa"/>
            <w:vMerge w:val="restart"/>
            <w:tcMar>
              <w:top w:w="0" w:type="dxa"/>
              <w:left w:w="108" w:type="dxa"/>
              <w:bottom w:w="0" w:type="dxa"/>
              <w:right w:w="108" w:type="dxa"/>
            </w:tcMar>
            <w:vAlign w:val="center"/>
          </w:tcPr>
          <w:p w14:paraId="1CE9757D">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工业*</w:t>
            </w:r>
          </w:p>
        </w:tc>
        <w:tc>
          <w:tcPr>
            <w:tcW w:w="1461" w:type="dxa"/>
            <w:tcMar>
              <w:top w:w="0" w:type="dxa"/>
              <w:left w:w="108" w:type="dxa"/>
              <w:bottom w:w="0" w:type="dxa"/>
              <w:right w:w="108" w:type="dxa"/>
            </w:tcMar>
            <w:vAlign w:val="center"/>
          </w:tcPr>
          <w:p w14:paraId="7375D6C5">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从业人员(X)</w:t>
            </w:r>
          </w:p>
        </w:tc>
        <w:tc>
          <w:tcPr>
            <w:tcW w:w="1060" w:type="dxa"/>
            <w:tcMar>
              <w:top w:w="0" w:type="dxa"/>
              <w:left w:w="108" w:type="dxa"/>
              <w:bottom w:w="0" w:type="dxa"/>
              <w:right w:w="108" w:type="dxa"/>
            </w:tcMar>
            <w:vAlign w:val="center"/>
          </w:tcPr>
          <w:p w14:paraId="33AA9BD4">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人</w:t>
            </w:r>
          </w:p>
        </w:tc>
        <w:tc>
          <w:tcPr>
            <w:tcW w:w="1121" w:type="dxa"/>
            <w:tcMar>
              <w:top w:w="0" w:type="dxa"/>
              <w:left w:w="108" w:type="dxa"/>
              <w:bottom w:w="0" w:type="dxa"/>
              <w:right w:w="108" w:type="dxa"/>
            </w:tcMar>
            <w:vAlign w:val="center"/>
          </w:tcPr>
          <w:p w14:paraId="7BC60508">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X≥1000</w:t>
            </w:r>
          </w:p>
        </w:tc>
        <w:tc>
          <w:tcPr>
            <w:tcW w:w="1792" w:type="dxa"/>
            <w:tcMar>
              <w:top w:w="0" w:type="dxa"/>
              <w:left w:w="108" w:type="dxa"/>
              <w:bottom w:w="0" w:type="dxa"/>
              <w:right w:w="108" w:type="dxa"/>
            </w:tcMar>
            <w:vAlign w:val="center"/>
          </w:tcPr>
          <w:p w14:paraId="75A52B22">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300≤X＜1000</w:t>
            </w:r>
          </w:p>
        </w:tc>
        <w:tc>
          <w:tcPr>
            <w:tcW w:w="1579" w:type="dxa"/>
            <w:tcMar>
              <w:top w:w="0" w:type="dxa"/>
              <w:left w:w="108" w:type="dxa"/>
              <w:bottom w:w="0" w:type="dxa"/>
              <w:right w:w="108" w:type="dxa"/>
            </w:tcMar>
            <w:vAlign w:val="center"/>
          </w:tcPr>
          <w:p w14:paraId="2045D909">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20≤X＜300</w:t>
            </w:r>
          </w:p>
        </w:tc>
        <w:tc>
          <w:tcPr>
            <w:tcW w:w="1090" w:type="dxa"/>
            <w:tcMar>
              <w:top w:w="0" w:type="dxa"/>
              <w:left w:w="108" w:type="dxa"/>
              <w:bottom w:w="0" w:type="dxa"/>
              <w:right w:w="108" w:type="dxa"/>
            </w:tcMar>
            <w:vAlign w:val="center"/>
          </w:tcPr>
          <w:p w14:paraId="4982E43B">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X＜20</w:t>
            </w:r>
          </w:p>
        </w:tc>
      </w:tr>
      <w:tr w14:paraId="383B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74" w:type="dxa"/>
            <w:vMerge w:val="continue"/>
            <w:vAlign w:val="center"/>
          </w:tcPr>
          <w:p w14:paraId="41A97858">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p>
        </w:tc>
        <w:tc>
          <w:tcPr>
            <w:tcW w:w="1461" w:type="dxa"/>
            <w:tcMar>
              <w:top w:w="0" w:type="dxa"/>
              <w:left w:w="108" w:type="dxa"/>
              <w:bottom w:w="0" w:type="dxa"/>
              <w:right w:w="108" w:type="dxa"/>
            </w:tcMar>
            <w:vAlign w:val="center"/>
          </w:tcPr>
          <w:p w14:paraId="2D7360EA">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营业收入(Y)</w:t>
            </w:r>
          </w:p>
        </w:tc>
        <w:tc>
          <w:tcPr>
            <w:tcW w:w="1060" w:type="dxa"/>
            <w:tcMar>
              <w:top w:w="0" w:type="dxa"/>
              <w:left w:w="108" w:type="dxa"/>
              <w:bottom w:w="0" w:type="dxa"/>
              <w:right w:w="108" w:type="dxa"/>
            </w:tcMar>
            <w:vAlign w:val="center"/>
          </w:tcPr>
          <w:p w14:paraId="4B4CE406">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万元</w:t>
            </w:r>
          </w:p>
        </w:tc>
        <w:tc>
          <w:tcPr>
            <w:tcW w:w="1121" w:type="dxa"/>
            <w:tcMar>
              <w:top w:w="0" w:type="dxa"/>
              <w:left w:w="108" w:type="dxa"/>
              <w:bottom w:w="0" w:type="dxa"/>
              <w:right w:w="108" w:type="dxa"/>
            </w:tcMar>
            <w:vAlign w:val="center"/>
          </w:tcPr>
          <w:p w14:paraId="4AB0B15D">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Y≥40000</w:t>
            </w:r>
          </w:p>
        </w:tc>
        <w:tc>
          <w:tcPr>
            <w:tcW w:w="1792" w:type="dxa"/>
            <w:tcMar>
              <w:top w:w="0" w:type="dxa"/>
              <w:left w:w="108" w:type="dxa"/>
              <w:bottom w:w="0" w:type="dxa"/>
              <w:right w:w="108" w:type="dxa"/>
            </w:tcMar>
            <w:vAlign w:val="center"/>
          </w:tcPr>
          <w:p w14:paraId="61CD16F3">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2000≤Y＜40000</w:t>
            </w:r>
          </w:p>
        </w:tc>
        <w:tc>
          <w:tcPr>
            <w:tcW w:w="1579" w:type="dxa"/>
            <w:tcMar>
              <w:top w:w="0" w:type="dxa"/>
              <w:left w:w="108" w:type="dxa"/>
              <w:bottom w:w="0" w:type="dxa"/>
              <w:right w:w="108" w:type="dxa"/>
            </w:tcMar>
            <w:vAlign w:val="center"/>
          </w:tcPr>
          <w:p w14:paraId="29D16998">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300≤Y＜2000</w:t>
            </w:r>
          </w:p>
        </w:tc>
        <w:tc>
          <w:tcPr>
            <w:tcW w:w="1090" w:type="dxa"/>
            <w:tcMar>
              <w:top w:w="0" w:type="dxa"/>
              <w:left w:w="108" w:type="dxa"/>
              <w:bottom w:w="0" w:type="dxa"/>
              <w:right w:w="108" w:type="dxa"/>
            </w:tcMar>
            <w:vAlign w:val="center"/>
          </w:tcPr>
          <w:p w14:paraId="2953BCD6">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Y＜300</w:t>
            </w:r>
          </w:p>
        </w:tc>
      </w:tr>
      <w:tr w14:paraId="2AB9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74" w:type="dxa"/>
            <w:vMerge w:val="restart"/>
            <w:tcMar>
              <w:top w:w="0" w:type="dxa"/>
              <w:left w:w="108" w:type="dxa"/>
              <w:bottom w:w="0" w:type="dxa"/>
              <w:right w:w="108" w:type="dxa"/>
            </w:tcMar>
            <w:vAlign w:val="center"/>
          </w:tcPr>
          <w:p w14:paraId="727EBA10">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建筑业</w:t>
            </w:r>
          </w:p>
        </w:tc>
        <w:tc>
          <w:tcPr>
            <w:tcW w:w="1461" w:type="dxa"/>
            <w:tcMar>
              <w:top w:w="0" w:type="dxa"/>
              <w:left w:w="108" w:type="dxa"/>
              <w:bottom w:w="0" w:type="dxa"/>
              <w:right w:w="108" w:type="dxa"/>
            </w:tcMar>
            <w:vAlign w:val="center"/>
          </w:tcPr>
          <w:p w14:paraId="39A6A1AA">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营业收入(Y)</w:t>
            </w:r>
          </w:p>
        </w:tc>
        <w:tc>
          <w:tcPr>
            <w:tcW w:w="1060" w:type="dxa"/>
            <w:tcMar>
              <w:top w:w="0" w:type="dxa"/>
              <w:left w:w="108" w:type="dxa"/>
              <w:bottom w:w="0" w:type="dxa"/>
              <w:right w:w="108" w:type="dxa"/>
            </w:tcMar>
            <w:vAlign w:val="center"/>
          </w:tcPr>
          <w:p w14:paraId="7A7712D5">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万元</w:t>
            </w:r>
          </w:p>
        </w:tc>
        <w:tc>
          <w:tcPr>
            <w:tcW w:w="1121" w:type="dxa"/>
            <w:tcMar>
              <w:top w:w="0" w:type="dxa"/>
              <w:left w:w="108" w:type="dxa"/>
              <w:bottom w:w="0" w:type="dxa"/>
              <w:right w:w="108" w:type="dxa"/>
            </w:tcMar>
            <w:vAlign w:val="center"/>
          </w:tcPr>
          <w:p w14:paraId="61DA66C5">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Y≥80000</w:t>
            </w:r>
          </w:p>
        </w:tc>
        <w:tc>
          <w:tcPr>
            <w:tcW w:w="1792" w:type="dxa"/>
            <w:tcMar>
              <w:top w:w="0" w:type="dxa"/>
              <w:left w:w="108" w:type="dxa"/>
              <w:bottom w:w="0" w:type="dxa"/>
              <w:right w:w="108" w:type="dxa"/>
            </w:tcMar>
            <w:vAlign w:val="center"/>
          </w:tcPr>
          <w:p w14:paraId="5942C70F">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6000≤Y＜80000</w:t>
            </w:r>
          </w:p>
        </w:tc>
        <w:tc>
          <w:tcPr>
            <w:tcW w:w="1579" w:type="dxa"/>
            <w:tcMar>
              <w:top w:w="0" w:type="dxa"/>
              <w:left w:w="108" w:type="dxa"/>
              <w:bottom w:w="0" w:type="dxa"/>
              <w:right w:w="108" w:type="dxa"/>
            </w:tcMar>
            <w:vAlign w:val="center"/>
          </w:tcPr>
          <w:p w14:paraId="09CE581C">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300≤Y＜6000</w:t>
            </w:r>
          </w:p>
        </w:tc>
        <w:tc>
          <w:tcPr>
            <w:tcW w:w="1090" w:type="dxa"/>
            <w:tcMar>
              <w:top w:w="0" w:type="dxa"/>
              <w:left w:w="108" w:type="dxa"/>
              <w:bottom w:w="0" w:type="dxa"/>
              <w:right w:w="108" w:type="dxa"/>
            </w:tcMar>
            <w:vAlign w:val="center"/>
          </w:tcPr>
          <w:p w14:paraId="16A814BA">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Y＜300</w:t>
            </w:r>
          </w:p>
        </w:tc>
      </w:tr>
      <w:tr w14:paraId="10BD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74" w:type="dxa"/>
            <w:vMerge w:val="continue"/>
            <w:vAlign w:val="center"/>
          </w:tcPr>
          <w:p w14:paraId="06B78DCB">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p>
        </w:tc>
        <w:tc>
          <w:tcPr>
            <w:tcW w:w="1461" w:type="dxa"/>
            <w:tcMar>
              <w:top w:w="0" w:type="dxa"/>
              <w:left w:w="108" w:type="dxa"/>
              <w:bottom w:w="0" w:type="dxa"/>
              <w:right w:w="108" w:type="dxa"/>
            </w:tcMar>
            <w:vAlign w:val="center"/>
          </w:tcPr>
          <w:p w14:paraId="69919C4B">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资产总额(Z)</w:t>
            </w:r>
          </w:p>
        </w:tc>
        <w:tc>
          <w:tcPr>
            <w:tcW w:w="1060" w:type="dxa"/>
            <w:tcMar>
              <w:top w:w="0" w:type="dxa"/>
              <w:left w:w="108" w:type="dxa"/>
              <w:bottom w:w="0" w:type="dxa"/>
              <w:right w:w="108" w:type="dxa"/>
            </w:tcMar>
            <w:vAlign w:val="center"/>
          </w:tcPr>
          <w:p w14:paraId="40DCE832">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万元</w:t>
            </w:r>
          </w:p>
        </w:tc>
        <w:tc>
          <w:tcPr>
            <w:tcW w:w="1121" w:type="dxa"/>
            <w:tcMar>
              <w:top w:w="0" w:type="dxa"/>
              <w:left w:w="108" w:type="dxa"/>
              <w:bottom w:w="0" w:type="dxa"/>
              <w:right w:w="108" w:type="dxa"/>
            </w:tcMar>
            <w:vAlign w:val="center"/>
          </w:tcPr>
          <w:p w14:paraId="0C76DB17">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Z≥80000</w:t>
            </w:r>
          </w:p>
        </w:tc>
        <w:tc>
          <w:tcPr>
            <w:tcW w:w="1792" w:type="dxa"/>
            <w:tcMar>
              <w:top w:w="0" w:type="dxa"/>
              <w:left w:w="108" w:type="dxa"/>
              <w:bottom w:w="0" w:type="dxa"/>
              <w:right w:w="108" w:type="dxa"/>
            </w:tcMar>
            <w:vAlign w:val="center"/>
          </w:tcPr>
          <w:p w14:paraId="0654B7C4">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5000≤Z＜80000</w:t>
            </w:r>
          </w:p>
        </w:tc>
        <w:tc>
          <w:tcPr>
            <w:tcW w:w="1579" w:type="dxa"/>
            <w:tcMar>
              <w:top w:w="0" w:type="dxa"/>
              <w:left w:w="108" w:type="dxa"/>
              <w:bottom w:w="0" w:type="dxa"/>
              <w:right w:w="108" w:type="dxa"/>
            </w:tcMar>
            <w:vAlign w:val="center"/>
          </w:tcPr>
          <w:p w14:paraId="47D3B30F">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300≤Z＜5000</w:t>
            </w:r>
          </w:p>
        </w:tc>
        <w:tc>
          <w:tcPr>
            <w:tcW w:w="1090" w:type="dxa"/>
            <w:tcMar>
              <w:top w:w="0" w:type="dxa"/>
              <w:left w:w="108" w:type="dxa"/>
              <w:bottom w:w="0" w:type="dxa"/>
              <w:right w:w="108" w:type="dxa"/>
            </w:tcMar>
            <w:vAlign w:val="center"/>
          </w:tcPr>
          <w:p w14:paraId="3BA8DC9C">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Z＜300</w:t>
            </w:r>
          </w:p>
        </w:tc>
      </w:tr>
      <w:tr w14:paraId="5F9C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74" w:type="dxa"/>
            <w:vMerge w:val="restart"/>
            <w:tcMar>
              <w:top w:w="0" w:type="dxa"/>
              <w:left w:w="108" w:type="dxa"/>
              <w:bottom w:w="0" w:type="dxa"/>
              <w:right w:w="108" w:type="dxa"/>
            </w:tcMar>
            <w:vAlign w:val="center"/>
          </w:tcPr>
          <w:p w14:paraId="6D326A7A">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批发业</w:t>
            </w:r>
          </w:p>
        </w:tc>
        <w:tc>
          <w:tcPr>
            <w:tcW w:w="1461" w:type="dxa"/>
            <w:tcMar>
              <w:top w:w="0" w:type="dxa"/>
              <w:left w:w="108" w:type="dxa"/>
              <w:bottom w:w="0" w:type="dxa"/>
              <w:right w:w="108" w:type="dxa"/>
            </w:tcMar>
            <w:vAlign w:val="center"/>
          </w:tcPr>
          <w:p w14:paraId="3706AB98">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从业人员(X)</w:t>
            </w:r>
          </w:p>
        </w:tc>
        <w:tc>
          <w:tcPr>
            <w:tcW w:w="1060" w:type="dxa"/>
            <w:tcMar>
              <w:top w:w="0" w:type="dxa"/>
              <w:left w:w="108" w:type="dxa"/>
              <w:bottom w:w="0" w:type="dxa"/>
              <w:right w:w="108" w:type="dxa"/>
            </w:tcMar>
            <w:vAlign w:val="center"/>
          </w:tcPr>
          <w:p w14:paraId="03D816FF">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人</w:t>
            </w:r>
          </w:p>
        </w:tc>
        <w:tc>
          <w:tcPr>
            <w:tcW w:w="1121" w:type="dxa"/>
            <w:tcMar>
              <w:top w:w="0" w:type="dxa"/>
              <w:left w:w="108" w:type="dxa"/>
              <w:bottom w:w="0" w:type="dxa"/>
              <w:right w:w="108" w:type="dxa"/>
            </w:tcMar>
            <w:vAlign w:val="center"/>
          </w:tcPr>
          <w:p w14:paraId="210D4EB3">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X≥200</w:t>
            </w:r>
          </w:p>
        </w:tc>
        <w:tc>
          <w:tcPr>
            <w:tcW w:w="1792" w:type="dxa"/>
            <w:tcMar>
              <w:top w:w="0" w:type="dxa"/>
              <w:left w:w="108" w:type="dxa"/>
              <w:bottom w:w="0" w:type="dxa"/>
              <w:right w:w="108" w:type="dxa"/>
            </w:tcMar>
            <w:vAlign w:val="center"/>
          </w:tcPr>
          <w:p w14:paraId="08E1AA3A">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20≤X＜200</w:t>
            </w:r>
          </w:p>
        </w:tc>
        <w:tc>
          <w:tcPr>
            <w:tcW w:w="1579" w:type="dxa"/>
            <w:tcMar>
              <w:top w:w="0" w:type="dxa"/>
              <w:left w:w="108" w:type="dxa"/>
              <w:bottom w:w="0" w:type="dxa"/>
              <w:right w:w="108" w:type="dxa"/>
            </w:tcMar>
            <w:vAlign w:val="center"/>
          </w:tcPr>
          <w:p w14:paraId="25D43F2F">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5≤X＜20</w:t>
            </w:r>
          </w:p>
        </w:tc>
        <w:tc>
          <w:tcPr>
            <w:tcW w:w="1090" w:type="dxa"/>
            <w:tcMar>
              <w:top w:w="0" w:type="dxa"/>
              <w:left w:w="108" w:type="dxa"/>
              <w:bottom w:w="0" w:type="dxa"/>
              <w:right w:w="108" w:type="dxa"/>
            </w:tcMar>
            <w:vAlign w:val="center"/>
          </w:tcPr>
          <w:p w14:paraId="4C9551F3">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X＜5</w:t>
            </w:r>
          </w:p>
        </w:tc>
      </w:tr>
      <w:tr w14:paraId="3A70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74" w:type="dxa"/>
            <w:vMerge w:val="continue"/>
            <w:vAlign w:val="center"/>
          </w:tcPr>
          <w:p w14:paraId="064F1353">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p>
        </w:tc>
        <w:tc>
          <w:tcPr>
            <w:tcW w:w="1461" w:type="dxa"/>
            <w:tcMar>
              <w:top w:w="0" w:type="dxa"/>
              <w:left w:w="108" w:type="dxa"/>
              <w:bottom w:w="0" w:type="dxa"/>
              <w:right w:w="108" w:type="dxa"/>
            </w:tcMar>
            <w:vAlign w:val="center"/>
          </w:tcPr>
          <w:p w14:paraId="5F98945A">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营业收入(Y)</w:t>
            </w:r>
          </w:p>
        </w:tc>
        <w:tc>
          <w:tcPr>
            <w:tcW w:w="1060" w:type="dxa"/>
            <w:tcMar>
              <w:top w:w="0" w:type="dxa"/>
              <w:left w:w="108" w:type="dxa"/>
              <w:bottom w:w="0" w:type="dxa"/>
              <w:right w:w="108" w:type="dxa"/>
            </w:tcMar>
            <w:vAlign w:val="center"/>
          </w:tcPr>
          <w:p w14:paraId="5F723BB5">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万元</w:t>
            </w:r>
          </w:p>
        </w:tc>
        <w:tc>
          <w:tcPr>
            <w:tcW w:w="1121" w:type="dxa"/>
            <w:tcMar>
              <w:top w:w="0" w:type="dxa"/>
              <w:left w:w="108" w:type="dxa"/>
              <w:bottom w:w="0" w:type="dxa"/>
              <w:right w:w="108" w:type="dxa"/>
            </w:tcMar>
            <w:vAlign w:val="center"/>
          </w:tcPr>
          <w:p w14:paraId="4EC1F799">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Y≥40000</w:t>
            </w:r>
          </w:p>
        </w:tc>
        <w:tc>
          <w:tcPr>
            <w:tcW w:w="1792" w:type="dxa"/>
            <w:tcMar>
              <w:top w:w="0" w:type="dxa"/>
              <w:left w:w="108" w:type="dxa"/>
              <w:bottom w:w="0" w:type="dxa"/>
              <w:right w:w="108" w:type="dxa"/>
            </w:tcMar>
            <w:vAlign w:val="center"/>
          </w:tcPr>
          <w:p w14:paraId="49CD56E8">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5000≤Y＜40000</w:t>
            </w:r>
          </w:p>
        </w:tc>
        <w:tc>
          <w:tcPr>
            <w:tcW w:w="1579" w:type="dxa"/>
            <w:tcMar>
              <w:top w:w="0" w:type="dxa"/>
              <w:left w:w="108" w:type="dxa"/>
              <w:bottom w:w="0" w:type="dxa"/>
              <w:right w:w="108" w:type="dxa"/>
            </w:tcMar>
            <w:vAlign w:val="center"/>
          </w:tcPr>
          <w:p w14:paraId="7188427D">
            <w:pPr>
              <w:pageBreakBefore w:val="0"/>
              <w:kinsoku/>
              <w:overflowPunct/>
              <w:topLinePunct w:val="0"/>
              <w:bidi w:val="0"/>
              <w:spacing w:line="360" w:lineRule="auto"/>
              <w:ind w:left="-1"/>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1000≤Y＜5000</w:t>
            </w:r>
          </w:p>
        </w:tc>
        <w:tc>
          <w:tcPr>
            <w:tcW w:w="1090" w:type="dxa"/>
            <w:tcMar>
              <w:top w:w="0" w:type="dxa"/>
              <w:left w:w="108" w:type="dxa"/>
              <w:bottom w:w="0" w:type="dxa"/>
              <w:right w:w="108" w:type="dxa"/>
            </w:tcMar>
            <w:vAlign w:val="center"/>
          </w:tcPr>
          <w:p w14:paraId="003B8F5C">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Y＜1000</w:t>
            </w:r>
          </w:p>
        </w:tc>
      </w:tr>
      <w:tr w14:paraId="6BD77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74" w:type="dxa"/>
            <w:vMerge w:val="restart"/>
            <w:tcMar>
              <w:top w:w="0" w:type="dxa"/>
              <w:left w:w="108" w:type="dxa"/>
              <w:bottom w:w="0" w:type="dxa"/>
              <w:right w:w="108" w:type="dxa"/>
            </w:tcMar>
            <w:vAlign w:val="center"/>
          </w:tcPr>
          <w:p w14:paraId="2A77F1A9">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零售业</w:t>
            </w:r>
          </w:p>
        </w:tc>
        <w:tc>
          <w:tcPr>
            <w:tcW w:w="1461" w:type="dxa"/>
            <w:tcMar>
              <w:top w:w="0" w:type="dxa"/>
              <w:left w:w="108" w:type="dxa"/>
              <w:bottom w:w="0" w:type="dxa"/>
              <w:right w:w="108" w:type="dxa"/>
            </w:tcMar>
            <w:vAlign w:val="center"/>
          </w:tcPr>
          <w:p w14:paraId="141E88D1">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从业人员(X)</w:t>
            </w:r>
          </w:p>
        </w:tc>
        <w:tc>
          <w:tcPr>
            <w:tcW w:w="1060" w:type="dxa"/>
            <w:tcMar>
              <w:top w:w="0" w:type="dxa"/>
              <w:left w:w="108" w:type="dxa"/>
              <w:bottom w:w="0" w:type="dxa"/>
              <w:right w:w="108" w:type="dxa"/>
            </w:tcMar>
            <w:vAlign w:val="center"/>
          </w:tcPr>
          <w:p w14:paraId="7AD28563">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人</w:t>
            </w:r>
          </w:p>
        </w:tc>
        <w:tc>
          <w:tcPr>
            <w:tcW w:w="1121" w:type="dxa"/>
            <w:tcMar>
              <w:top w:w="0" w:type="dxa"/>
              <w:left w:w="108" w:type="dxa"/>
              <w:bottom w:w="0" w:type="dxa"/>
              <w:right w:w="108" w:type="dxa"/>
            </w:tcMar>
            <w:vAlign w:val="center"/>
          </w:tcPr>
          <w:p w14:paraId="13572B63">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X≥300</w:t>
            </w:r>
          </w:p>
        </w:tc>
        <w:tc>
          <w:tcPr>
            <w:tcW w:w="1792" w:type="dxa"/>
            <w:tcMar>
              <w:top w:w="0" w:type="dxa"/>
              <w:left w:w="108" w:type="dxa"/>
              <w:bottom w:w="0" w:type="dxa"/>
              <w:right w:w="108" w:type="dxa"/>
            </w:tcMar>
            <w:vAlign w:val="center"/>
          </w:tcPr>
          <w:p w14:paraId="18790012">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50≤X＜300</w:t>
            </w:r>
          </w:p>
        </w:tc>
        <w:tc>
          <w:tcPr>
            <w:tcW w:w="1579" w:type="dxa"/>
            <w:tcMar>
              <w:top w:w="0" w:type="dxa"/>
              <w:left w:w="108" w:type="dxa"/>
              <w:bottom w:w="0" w:type="dxa"/>
              <w:right w:w="108" w:type="dxa"/>
            </w:tcMar>
            <w:vAlign w:val="center"/>
          </w:tcPr>
          <w:p w14:paraId="72F33B62">
            <w:pPr>
              <w:pageBreakBefore w:val="0"/>
              <w:kinsoku/>
              <w:overflowPunct/>
              <w:topLinePunct w:val="0"/>
              <w:bidi w:val="0"/>
              <w:spacing w:line="360" w:lineRule="auto"/>
              <w:ind w:left="-1"/>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10≤X＜50</w:t>
            </w:r>
          </w:p>
        </w:tc>
        <w:tc>
          <w:tcPr>
            <w:tcW w:w="1090" w:type="dxa"/>
            <w:tcMar>
              <w:top w:w="0" w:type="dxa"/>
              <w:left w:w="108" w:type="dxa"/>
              <w:bottom w:w="0" w:type="dxa"/>
              <w:right w:w="108" w:type="dxa"/>
            </w:tcMar>
            <w:vAlign w:val="center"/>
          </w:tcPr>
          <w:p w14:paraId="429723A0">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X＜10</w:t>
            </w:r>
          </w:p>
        </w:tc>
      </w:tr>
      <w:tr w14:paraId="3343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74" w:type="dxa"/>
            <w:vMerge w:val="continue"/>
            <w:vAlign w:val="center"/>
          </w:tcPr>
          <w:p w14:paraId="3406E54D">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p>
        </w:tc>
        <w:tc>
          <w:tcPr>
            <w:tcW w:w="1461" w:type="dxa"/>
            <w:tcMar>
              <w:top w:w="0" w:type="dxa"/>
              <w:left w:w="108" w:type="dxa"/>
              <w:bottom w:w="0" w:type="dxa"/>
              <w:right w:w="108" w:type="dxa"/>
            </w:tcMar>
            <w:vAlign w:val="center"/>
          </w:tcPr>
          <w:p w14:paraId="48CFFC7D">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营业收入(Y)</w:t>
            </w:r>
          </w:p>
        </w:tc>
        <w:tc>
          <w:tcPr>
            <w:tcW w:w="1060" w:type="dxa"/>
            <w:tcMar>
              <w:top w:w="0" w:type="dxa"/>
              <w:left w:w="108" w:type="dxa"/>
              <w:bottom w:w="0" w:type="dxa"/>
              <w:right w:w="108" w:type="dxa"/>
            </w:tcMar>
            <w:vAlign w:val="center"/>
          </w:tcPr>
          <w:p w14:paraId="6C32DE3B">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万元</w:t>
            </w:r>
          </w:p>
        </w:tc>
        <w:tc>
          <w:tcPr>
            <w:tcW w:w="1121" w:type="dxa"/>
            <w:tcMar>
              <w:top w:w="0" w:type="dxa"/>
              <w:left w:w="108" w:type="dxa"/>
              <w:bottom w:w="0" w:type="dxa"/>
              <w:right w:w="108" w:type="dxa"/>
            </w:tcMar>
            <w:vAlign w:val="center"/>
          </w:tcPr>
          <w:p w14:paraId="173E2DA5">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Y≥20000</w:t>
            </w:r>
          </w:p>
        </w:tc>
        <w:tc>
          <w:tcPr>
            <w:tcW w:w="1792" w:type="dxa"/>
            <w:tcMar>
              <w:top w:w="0" w:type="dxa"/>
              <w:left w:w="108" w:type="dxa"/>
              <w:bottom w:w="0" w:type="dxa"/>
              <w:right w:w="108" w:type="dxa"/>
            </w:tcMar>
            <w:vAlign w:val="center"/>
          </w:tcPr>
          <w:p w14:paraId="4B7DEF34">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500≤Y＜20000</w:t>
            </w:r>
          </w:p>
        </w:tc>
        <w:tc>
          <w:tcPr>
            <w:tcW w:w="1579" w:type="dxa"/>
            <w:tcMar>
              <w:top w:w="0" w:type="dxa"/>
              <w:left w:w="108" w:type="dxa"/>
              <w:bottom w:w="0" w:type="dxa"/>
              <w:right w:w="108" w:type="dxa"/>
            </w:tcMar>
            <w:vAlign w:val="center"/>
          </w:tcPr>
          <w:p w14:paraId="3D27F628">
            <w:pPr>
              <w:pageBreakBefore w:val="0"/>
              <w:kinsoku/>
              <w:overflowPunct/>
              <w:topLinePunct w:val="0"/>
              <w:bidi w:val="0"/>
              <w:spacing w:line="360" w:lineRule="auto"/>
              <w:ind w:left="-1"/>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100≤Y＜500</w:t>
            </w:r>
          </w:p>
        </w:tc>
        <w:tc>
          <w:tcPr>
            <w:tcW w:w="1090" w:type="dxa"/>
            <w:tcMar>
              <w:top w:w="0" w:type="dxa"/>
              <w:left w:w="108" w:type="dxa"/>
              <w:bottom w:w="0" w:type="dxa"/>
              <w:right w:w="108" w:type="dxa"/>
            </w:tcMar>
            <w:vAlign w:val="center"/>
          </w:tcPr>
          <w:p w14:paraId="00E1E434">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Y＜100</w:t>
            </w:r>
          </w:p>
        </w:tc>
      </w:tr>
      <w:tr w14:paraId="36BE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74" w:type="dxa"/>
            <w:vMerge w:val="restart"/>
            <w:tcMar>
              <w:top w:w="0" w:type="dxa"/>
              <w:left w:w="108" w:type="dxa"/>
              <w:bottom w:w="0" w:type="dxa"/>
              <w:right w:w="108" w:type="dxa"/>
            </w:tcMar>
            <w:vAlign w:val="center"/>
          </w:tcPr>
          <w:p w14:paraId="04B8F408">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交通运输业*</w:t>
            </w:r>
          </w:p>
        </w:tc>
        <w:tc>
          <w:tcPr>
            <w:tcW w:w="1461" w:type="dxa"/>
            <w:tcMar>
              <w:top w:w="0" w:type="dxa"/>
              <w:left w:w="108" w:type="dxa"/>
              <w:bottom w:w="0" w:type="dxa"/>
              <w:right w:w="108" w:type="dxa"/>
            </w:tcMar>
            <w:vAlign w:val="center"/>
          </w:tcPr>
          <w:p w14:paraId="0B03DF0E">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从业人员(X)</w:t>
            </w:r>
          </w:p>
        </w:tc>
        <w:tc>
          <w:tcPr>
            <w:tcW w:w="1060" w:type="dxa"/>
            <w:tcMar>
              <w:top w:w="0" w:type="dxa"/>
              <w:left w:w="108" w:type="dxa"/>
              <w:bottom w:w="0" w:type="dxa"/>
              <w:right w:w="108" w:type="dxa"/>
            </w:tcMar>
            <w:vAlign w:val="center"/>
          </w:tcPr>
          <w:p w14:paraId="0B98EB27">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人</w:t>
            </w:r>
          </w:p>
        </w:tc>
        <w:tc>
          <w:tcPr>
            <w:tcW w:w="1121" w:type="dxa"/>
            <w:tcMar>
              <w:top w:w="0" w:type="dxa"/>
              <w:left w:w="108" w:type="dxa"/>
              <w:bottom w:w="0" w:type="dxa"/>
              <w:right w:w="108" w:type="dxa"/>
            </w:tcMar>
            <w:vAlign w:val="center"/>
          </w:tcPr>
          <w:p w14:paraId="53673BE6">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X≥1000</w:t>
            </w:r>
          </w:p>
        </w:tc>
        <w:tc>
          <w:tcPr>
            <w:tcW w:w="1792" w:type="dxa"/>
            <w:tcMar>
              <w:top w:w="0" w:type="dxa"/>
              <w:left w:w="108" w:type="dxa"/>
              <w:bottom w:w="0" w:type="dxa"/>
              <w:right w:w="108" w:type="dxa"/>
            </w:tcMar>
            <w:vAlign w:val="center"/>
          </w:tcPr>
          <w:p w14:paraId="6B488B52">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300≤X＜1000</w:t>
            </w:r>
          </w:p>
        </w:tc>
        <w:tc>
          <w:tcPr>
            <w:tcW w:w="1579" w:type="dxa"/>
            <w:tcMar>
              <w:top w:w="0" w:type="dxa"/>
              <w:left w:w="108" w:type="dxa"/>
              <w:bottom w:w="0" w:type="dxa"/>
              <w:right w:w="108" w:type="dxa"/>
            </w:tcMar>
            <w:vAlign w:val="center"/>
          </w:tcPr>
          <w:p w14:paraId="7682120B">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20≤X＜300</w:t>
            </w:r>
          </w:p>
        </w:tc>
        <w:tc>
          <w:tcPr>
            <w:tcW w:w="1090" w:type="dxa"/>
            <w:tcMar>
              <w:top w:w="0" w:type="dxa"/>
              <w:left w:w="108" w:type="dxa"/>
              <w:bottom w:w="0" w:type="dxa"/>
              <w:right w:w="108" w:type="dxa"/>
            </w:tcMar>
            <w:vAlign w:val="center"/>
          </w:tcPr>
          <w:p w14:paraId="6468E414">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X＜20</w:t>
            </w:r>
          </w:p>
        </w:tc>
      </w:tr>
      <w:tr w14:paraId="75C2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74" w:type="dxa"/>
            <w:vMerge w:val="continue"/>
            <w:vAlign w:val="center"/>
          </w:tcPr>
          <w:p w14:paraId="43A63BF2">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p>
        </w:tc>
        <w:tc>
          <w:tcPr>
            <w:tcW w:w="1461" w:type="dxa"/>
            <w:tcMar>
              <w:top w:w="0" w:type="dxa"/>
              <w:left w:w="108" w:type="dxa"/>
              <w:bottom w:w="0" w:type="dxa"/>
              <w:right w:w="108" w:type="dxa"/>
            </w:tcMar>
            <w:vAlign w:val="center"/>
          </w:tcPr>
          <w:p w14:paraId="0B7319E7">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营业收入(Y)</w:t>
            </w:r>
          </w:p>
        </w:tc>
        <w:tc>
          <w:tcPr>
            <w:tcW w:w="1060" w:type="dxa"/>
            <w:tcMar>
              <w:top w:w="0" w:type="dxa"/>
              <w:left w:w="108" w:type="dxa"/>
              <w:bottom w:w="0" w:type="dxa"/>
              <w:right w:w="108" w:type="dxa"/>
            </w:tcMar>
            <w:vAlign w:val="center"/>
          </w:tcPr>
          <w:p w14:paraId="1A487A55">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万元</w:t>
            </w:r>
          </w:p>
        </w:tc>
        <w:tc>
          <w:tcPr>
            <w:tcW w:w="1121" w:type="dxa"/>
            <w:tcMar>
              <w:top w:w="0" w:type="dxa"/>
              <w:left w:w="108" w:type="dxa"/>
              <w:bottom w:w="0" w:type="dxa"/>
              <w:right w:w="108" w:type="dxa"/>
            </w:tcMar>
            <w:vAlign w:val="center"/>
          </w:tcPr>
          <w:p w14:paraId="6C20BD75">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Y≥30000</w:t>
            </w:r>
          </w:p>
        </w:tc>
        <w:tc>
          <w:tcPr>
            <w:tcW w:w="1792" w:type="dxa"/>
            <w:tcMar>
              <w:top w:w="0" w:type="dxa"/>
              <w:left w:w="108" w:type="dxa"/>
              <w:bottom w:w="0" w:type="dxa"/>
              <w:right w:w="108" w:type="dxa"/>
            </w:tcMar>
            <w:vAlign w:val="center"/>
          </w:tcPr>
          <w:p w14:paraId="5CC2CFD7">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3000≤Y＜30000</w:t>
            </w:r>
          </w:p>
        </w:tc>
        <w:tc>
          <w:tcPr>
            <w:tcW w:w="1579" w:type="dxa"/>
            <w:tcMar>
              <w:top w:w="0" w:type="dxa"/>
              <w:left w:w="108" w:type="dxa"/>
              <w:bottom w:w="0" w:type="dxa"/>
              <w:right w:w="108" w:type="dxa"/>
            </w:tcMar>
            <w:vAlign w:val="center"/>
          </w:tcPr>
          <w:p w14:paraId="6501D8A6">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200≤Y＜3000</w:t>
            </w:r>
          </w:p>
        </w:tc>
        <w:tc>
          <w:tcPr>
            <w:tcW w:w="1090" w:type="dxa"/>
            <w:tcMar>
              <w:top w:w="0" w:type="dxa"/>
              <w:left w:w="108" w:type="dxa"/>
              <w:bottom w:w="0" w:type="dxa"/>
              <w:right w:w="108" w:type="dxa"/>
            </w:tcMar>
            <w:vAlign w:val="center"/>
          </w:tcPr>
          <w:p w14:paraId="485D1B0B">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Y＜200</w:t>
            </w:r>
          </w:p>
        </w:tc>
      </w:tr>
      <w:tr w14:paraId="5CEF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74" w:type="dxa"/>
            <w:vMerge w:val="restart"/>
            <w:tcMar>
              <w:top w:w="0" w:type="dxa"/>
              <w:left w:w="108" w:type="dxa"/>
              <w:bottom w:w="0" w:type="dxa"/>
              <w:right w:w="108" w:type="dxa"/>
            </w:tcMar>
            <w:vAlign w:val="center"/>
          </w:tcPr>
          <w:p w14:paraId="4460B692">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仓储业</w:t>
            </w:r>
          </w:p>
        </w:tc>
        <w:tc>
          <w:tcPr>
            <w:tcW w:w="1461" w:type="dxa"/>
            <w:tcMar>
              <w:top w:w="0" w:type="dxa"/>
              <w:left w:w="108" w:type="dxa"/>
              <w:bottom w:w="0" w:type="dxa"/>
              <w:right w:w="108" w:type="dxa"/>
            </w:tcMar>
            <w:vAlign w:val="center"/>
          </w:tcPr>
          <w:p w14:paraId="15F86663">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从业人员(X)</w:t>
            </w:r>
          </w:p>
        </w:tc>
        <w:tc>
          <w:tcPr>
            <w:tcW w:w="1060" w:type="dxa"/>
            <w:tcMar>
              <w:top w:w="0" w:type="dxa"/>
              <w:left w:w="108" w:type="dxa"/>
              <w:bottom w:w="0" w:type="dxa"/>
              <w:right w:w="108" w:type="dxa"/>
            </w:tcMar>
            <w:vAlign w:val="center"/>
          </w:tcPr>
          <w:p w14:paraId="4EDB76B8">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人</w:t>
            </w:r>
          </w:p>
        </w:tc>
        <w:tc>
          <w:tcPr>
            <w:tcW w:w="1121" w:type="dxa"/>
            <w:tcMar>
              <w:top w:w="0" w:type="dxa"/>
              <w:left w:w="108" w:type="dxa"/>
              <w:bottom w:w="0" w:type="dxa"/>
              <w:right w:w="108" w:type="dxa"/>
            </w:tcMar>
            <w:vAlign w:val="center"/>
          </w:tcPr>
          <w:p w14:paraId="22BA9573">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X≥200</w:t>
            </w:r>
          </w:p>
        </w:tc>
        <w:tc>
          <w:tcPr>
            <w:tcW w:w="1792" w:type="dxa"/>
            <w:tcMar>
              <w:top w:w="0" w:type="dxa"/>
              <w:left w:w="108" w:type="dxa"/>
              <w:bottom w:w="0" w:type="dxa"/>
              <w:right w:w="108" w:type="dxa"/>
            </w:tcMar>
            <w:vAlign w:val="center"/>
          </w:tcPr>
          <w:p w14:paraId="04EACA3B">
            <w:pPr>
              <w:pageBreakBefore w:val="0"/>
              <w:kinsoku/>
              <w:overflowPunct/>
              <w:topLinePunct w:val="0"/>
              <w:bidi w:val="0"/>
              <w:spacing w:line="360" w:lineRule="auto"/>
              <w:ind w:left="1"/>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100≤X＜200</w:t>
            </w:r>
          </w:p>
        </w:tc>
        <w:tc>
          <w:tcPr>
            <w:tcW w:w="1579" w:type="dxa"/>
            <w:tcMar>
              <w:top w:w="0" w:type="dxa"/>
              <w:left w:w="108" w:type="dxa"/>
              <w:bottom w:w="0" w:type="dxa"/>
              <w:right w:w="108" w:type="dxa"/>
            </w:tcMar>
            <w:vAlign w:val="center"/>
          </w:tcPr>
          <w:p w14:paraId="7AC45F6E">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20≤X＜100</w:t>
            </w:r>
          </w:p>
        </w:tc>
        <w:tc>
          <w:tcPr>
            <w:tcW w:w="1090" w:type="dxa"/>
            <w:tcMar>
              <w:top w:w="0" w:type="dxa"/>
              <w:left w:w="108" w:type="dxa"/>
              <w:bottom w:w="0" w:type="dxa"/>
              <w:right w:w="108" w:type="dxa"/>
            </w:tcMar>
            <w:vAlign w:val="center"/>
          </w:tcPr>
          <w:p w14:paraId="4019D0B9">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X＜20</w:t>
            </w:r>
          </w:p>
        </w:tc>
      </w:tr>
      <w:tr w14:paraId="31CE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74" w:type="dxa"/>
            <w:vMerge w:val="continue"/>
            <w:vAlign w:val="center"/>
          </w:tcPr>
          <w:p w14:paraId="5258A14B">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p>
        </w:tc>
        <w:tc>
          <w:tcPr>
            <w:tcW w:w="1461" w:type="dxa"/>
            <w:tcMar>
              <w:top w:w="0" w:type="dxa"/>
              <w:left w:w="108" w:type="dxa"/>
              <w:bottom w:w="0" w:type="dxa"/>
              <w:right w:w="108" w:type="dxa"/>
            </w:tcMar>
            <w:vAlign w:val="center"/>
          </w:tcPr>
          <w:p w14:paraId="5AFF7F58">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营业收入(Y)</w:t>
            </w:r>
          </w:p>
        </w:tc>
        <w:tc>
          <w:tcPr>
            <w:tcW w:w="1060" w:type="dxa"/>
            <w:tcMar>
              <w:top w:w="0" w:type="dxa"/>
              <w:left w:w="108" w:type="dxa"/>
              <w:bottom w:w="0" w:type="dxa"/>
              <w:right w:w="108" w:type="dxa"/>
            </w:tcMar>
            <w:vAlign w:val="center"/>
          </w:tcPr>
          <w:p w14:paraId="77C9C193">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万元</w:t>
            </w:r>
          </w:p>
        </w:tc>
        <w:tc>
          <w:tcPr>
            <w:tcW w:w="1121" w:type="dxa"/>
            <w:tcMar>
              <w:top w:w="0" w:type="dxa"/>
              <w:left w:w="108" w:type="dxa"/>
              <w:bottom w:w="0" w:type="dxa"/>
              <w:right w:w="108" w:type="dxa"/>
            </w:tcMar>
            <w:vAlign w:val="center"/>
          </w:tcPr>
          <w:p w14:paraId="4A6A2E7E">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Y≥30000</w:t>
            </w:r>
          </w:p>
        </w:tc>
        <w:tc>
          <w:tcPr>
            <w:tcW w:w="1792" w:type="dxa"/>
            <w:tcMar>
              <w:top w:w="0" w:type="dxa"/>
              <w:left w:w="108" w:type="dxa"/>
              <w:bottom w:w="0" w:type="dxa"/>
              <w:right w:w="108" w:type="dxa"/>
            </w:tcMar>
            <w:vAlign w:val="center"/>
          </w:tcPr>
          <w:p w14:paraId="4F437371">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1000≤Y＜30000</w:t>
            </w:r>
          </w:p>
        </w:tc>
        <w:tc>
          <w:tcPr>
            <w:tcW w:w="1579" w:type="dxa"/>
            <w:tcMar>
              <w:top w:w="0" w:type="dxa"/>
              <w:left w:w="108" w:type="dxa"/>
              <w:bottom w:w="0" w:type="dxa"/>
              <w:right w:w="108" w:type="dxa"/>
            </w:tcMar>
            <w:vAlign w:val="center"/>
          </w:tcPr>
          <w:p w14:paraId="59320C92">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100≤Y＜1000</w:t>
            </w:r>
          </w:p>
        </w:tc>
        <w:tc>
          <w:tcPr>
            <w:tcW w:w="1090" w:type="dxa"/>
            <w:tcMar>
              <w:top w:w="0" w:type="dxa"/>
              <w:left w:w="108" w:type="dxa"/>
              <w:bottom w:w="0" w:type="dxa"/>
              <w:right w:w="108" w:type="dxa"/>
            </w:tcMar>
            <w:vAlign w:val="center"/>
          </w:tcPr>
          <w:p w14:paraId="11A86B36">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Y＜100</w:t>
            </w:r>
          </w:p>
        </w:tc>
      </w:tr>
      <w:tr w14:paraId="1197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74" w:type="dxa"/>
            <w:vMerge w:val="restart"/>
            <w:tcMar>
              <w:top w:w="0" w:type="dxa"/>
              <w:left w:w="108" w:type="dxa"/>
              <w:bottom w:w="0" w:type="dxa"/>
              <w:right w:w="108" w:type="dxa"/>
            </w:tcMar>
            <w:vAlign w:val="center"/>
          </w:tcPr>
          <w:p w14:paraId="141B0C4D">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邮政业</w:t>
            </w:r>
          </w:p>
        </w:tc>
        <w:tc>
          <w:tcPr>
            <w:tcW w:w="1461" w:type="dxa"/>
            <w:tcMar>
              <w:top w:w="0" w:type="dxa"/>
              <w:left w:w="108" w:type="dxa"/>
              <w:bottom w:w="0" w:type="dxa"/>
              <w:right w:w="108" w:type="dxa"/>
            </w:tcMar>
            <w:vAlign w:val="center"/>
          </w:tcPr>
          <w:p w14:paraId="3FF75776">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从业人员(X)</w:t>
            </w:r>
          </w:p>
        </w:tc>
        <w:tc>
          <w:tcPr>
            <w:tcW w:w="1060" w:type="dxa"/>
            <w:tcMar>
              <w:top w:w="0" w:type="dxa"/>
              <w:left w:w="108" w:type="dxa"/>
              <w:bottom w:w="0" w:type="dxa"/>
              <w:right w:w="108" w:type="dxa"/>
            </w:tcMar>
            <w:vAlign w:val="center"/>
          </w:tcPr>
          <w:p w14:paraId="559D2740">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人</w:t>
            </w:r>
          </w:p>
        </w:tc>
        <w:tc>
          <w:tcPr>
            <w:tcW w:w="1121" w:type="dxa"/>
            <w:tcMar>
              <w:top w:w="0" w:type="dxa"/>
              <w:left w:w="108" w:type="dxa"/>
              <w:bottom w:w="0" w:type="dxa"/>
              <w:right w:w="108" w:type="dxa"/>
            </w:tcMar>
            <w:vAlign w:val="center"/>
          </w:tcPr>
          <w:p w14:paraId="2156F2B5">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X≥1000</w:t>
            </w:r>
          </w:p>
        </w:tc>
        <w:tc>
          <w:tcPr>
            <w:tcW w:w="1792" w:type="dxa"/>
            <w:tcMar>
              <w:top w:w="0" w:type="dxa"/>
              <w:left w:w="108" w:type="dxa"/>
              <w:bottom w:w="0" w:type="dxa"/>
              <w:right w:w="108" w:type="dxa"/>
            </w:tcMar>
            <w:vAlign w:val="center"/>
          </w:tcPr>
          <w:p w14:paraId="6E95EBC2">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300≤X＜1000</w:t>
            </w:r>
          </w:p>
        </w:tc>
        <w:tc>
          <w:tcPr>
            <w:tcW w:w="1579" w:type="dxa"/>
            <w:tcMar>
              <w:top w:w="0" w:type="dxa"/>
              <w:left w:w="108" w:type="dxa"/>
              <w:bottom w:w="0" w:type="dxa"/>
              <w:right w:w="108" w:type="dxa"/>
            </w:tcMar>
            <w:vAlign w:val="center"/>
          </w:tcPr>
          <w:p w14:paraId="0B0BF0D9">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20≤X＜300</w:t>
            </w:r>
          </w:p>
        </w:tc>
        <w:tc>
          <w:tcPr>
            <w:tcW w:w="1090" w:type="dxa"/>
            <w:tcMar>
              <w:top w:w="0" w:type="dxa"/>
              <w:left w:w="108" w:type="dxa"/>
              <w:bottom w:w="0" w:type="dxa"/>
              <w:right w:w="108" w:type="dxa"/>
            </w:tcMar>
            <w:vAlign w:val="center"/>
          </w:tcPr>
          <w:p w14:paraId="2EE4768F">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X＜20</w:t>
            </w:r>
          </w:p>
        </w:tc>
      </w:tr>
      <w:tr w14:paraId="00F9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74" w:type="dxa"/>
            <w:vMerge w:val="continue"/>
            <w:vAlign w:val="center"/>
          </w:tcPr>
          <w:p w14:paraId="196F39FF">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p>
        </w:tc>
        <w:tc>
          <w:tcPr>
            <w:tcW w:w="1461" w:type="dxa"/>
            <w:tcMar>
              <w:top w:w="0" w:type="dxa"/>
              <w:left w:w="108" w:type="dxa"/>
              <w:bottom w:w="0" w:type="dxa"/>
              <w:right w:w="108" w:type="dxa"/>
            </w:tcMar>
            <w:vAlign w:val="center"/>
          </w:tcPr>
          <w:p w14:paraId="2B83BF7F">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营业收入(Y)</w:t>
            </w:r>
          </w:p>
        </w:tc>
        <w:tc>
          <w:tcPr>
            <w:tcW w:w="1060" w:type="dxa"/>
            <w:tcMar>
              <w:top w:w="0" w:type="dxa"/>
              <w:left w:w="108" w:type="dxa"/>
              <w:bottom w:w="0" w:type="dxa"/>
              <w:right w:w="108" w:type="dxa"/>
            </w:tcMar>
            <w:vAlign w:val="center"/>
          </w:tcPr>
          <w:p w14:paraId="2177B1B7">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万元</w:t>
            </w:r>
          </w:p>
        </w:tc>
        <w:tc>
          <w:tcPr>
            <w:tcW w:w="1121" w:type="dxa"/>
            <w:tcMar>
              <w:top w:w="0" w:type="dxa"/>
              <w:left w:w="108" w:type="dxa"/>
              <w:bottom w:w="0" w:type="dxa"/>
              <w:right w:w="108" w:type="dxa"/>
            </w:tcMar>
            <w:vAlign w:val="center"/>
          </w:tcPr>
          <w:p w14:paraId="1743695F">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Y≥30000</w:t>
            </w:r>
          </w:p>
        </w:tc>
        <w:tc>
          <w:tcPr>
            <w:tcW w:w="1792" w:type="dxa"/>
            <w:tcMar>
              <w:top w:w="0" w:type="dxa"/>
              <w:left w:w="108" w:type="dxa"/>
              <w:bottom w:w="0" w:type="dxa"/>
              <w:right w:w="108" w:type="dxa"/>
            </w:tcMar>
            <w:vAlign w:val="center"/>
          </w:tcPr>
          <w:p w14:paraId="3209CD89">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2000≤Y＜30000</w:t>
            </w:r>
          </w:p>
        </w:tc>
        <w:tc>
          <w:tcPr>
            <w:tcW w:w="1579" w:type="dxa"/>
            <w:tcMar>
              <w:top w:w="0" w:type="dxa"/>
              <w:left w:w="108" w:type="dxa"/>
              <w:bottom w:w="0" w:type="dxa"/>
              <w:right w:w="108" w:type="dxa"/>
            </w:tcMar>
            <w:vAlign w:val="center"/>
          </w:tcPr>
          <w:p w14:paraId="366E4F7A">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100≤Y＜2000</w:t>
            </w:r>
          </w:p>
        </w:tc>
        <w:tc>
          <w:tcPr>
            <w:tcW w:w="1090" w:type="dxa"/>
            <w:tcMar>
              <w:top w:w="0" w:type="dxa"/>
              <w:left w:w="108" w:type="dxa"/>
              <w:bottom w:w="0" w:type="dxa"/>
              <w:right w:w="108" w:type="dxa"/>
            </w:tcMar>
            <w:vAlign w:val="center"/>
          </w:tcPr>
          <w:p w14:paraId="525FFA5C">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Y＜100</w:t>
            </w:r>
          </w:p>
        </w:tc>
      </w:tr>
      <w:tr w14:paraId="4A6A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74" w:type="dxa"/>
            <w:vMerge w:val="restart"/>
            <w:tcMar>
              <w:top w:w="0" w:type="dxa"/>
              <w:left w:w="108" w:type="dxa"/>
              <w:bottom w:w="0" w:type="dxa"/>
              <w:right w:w="108" w:type="dxa"/>
            </w:tcMar>
            <w:vAlign w:val="center"/>
          </w:tcPr>
          <w:p w14:paraId="7D7A21A6">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住宿业</w:t>
            </w:r>
          </w:p>
        </w:tc>
        <w:tc>
          <w:tcPr>
            <w:tcW w:w="1461" w:type="dxa"/>
            <w:tcMar>
              <w:top w:w="0" w:type="dxa"/>
              <w:left w:w="108" w:type="dxa"/>
              <w:bottom w:w="0" w:type="dxa"/>
              <w:right w:w="108" w:type="dxa"/>
            </w:tcMar>
            <w:vAlign w:val="center"/>
          </w:tcPr>
          <w:p w14:paraId="60F18201">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从业人员(X)</w:t>
            </w:r>
          </w:p>
        </w:tc>
        <w:tc>
          <w:tcPr>
            <w:tcW w:w="1060" w:type="dxa"/>
            <w:tcMar>
              <w:top w:w="0" w:type="dxa"/>
              <w:left w:w="108" w:type="dxa"/>
              <w:bottom w:w="0" w:type="dxa"/>
              <w:right w:w="108" w:type="dxa"/>
            </w:tcMar>
            <w:vAlign w:val="center"/>
          </w:tcPr>
          <w:p w14:paraId="5F8846CD">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人</w:t>
            </w:r>
          </w:p>
        </w:tc>
        <w:tc>
          <w:tcPr>
            <w:tcW w:w="1121" w:type="dxa"/>
            <w:tcMar>
              <w:top w:w="0" w:type="dxa"/>
              <w:left w:w="108" w:type="dxa"/>
              <w:bottom w:w="0" w:type="dxa"/>
              <w:right w:w="108" w:type="dxa"/>
            </w:tcMar>
            <w:vAlign w:val="center"/>
          </w:tcPr>
          <w:p w14:paraId="60CCD844">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X≥300</w:t>
            </w:r>
          </w:p>
        </w:tc>
        <w:tc>
          <w:tcPr>
            <w:tcW w:w="1792" w:type="dxa"/>
            <w:tcMar>
              <w:top w:w="0" w:type="dxa"/>
              <w:left w:w="108" w:type="dxa"/>
              <w:bottom w:w="0" w:type="dxa"/>
              <w:right w:w="108" w:type="dxa"/>
            </w:tcMar>
            <w:vAlign w:val="center"/>
          </w:tcPr>
          <w:p w14:paraId="33D9DFD3">
            <w:pPr>
              <w:pageBreakBefore w:val="0"/>
              <w:kinsoku/>
              <w:overflowPunct/>
              <w:topLinePunct w:val="0"/>
              <w:bidi w:val="0"/>
              <w:spacing w:line="360" w:lineRule="auto"/>
              <w:ind w:left="1"/>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100≤X＜300</w:t>
            </w:r>
          </w:p>
        </w:tc>
        <w:tc>
          <w:tcPr>
            <w:tcW w:w="1579" w:type="dxa"/>
            <w:tcMar>
              <w:top w:w="0" w:type="dxa"/>
              <w:left w:w="108" w:type="dxa"/>
              <w:bottom w:w="0" w:type="dxa"/>
              <w:right w:w="108" w:type="dxa"/>
            </w:tcMar>
            <w:vAlign w:val="center"/>
          </w:tcPr>
          <w:p w14:paraId="7DE297E7">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10≤X＜100</w:t>
            </w:r>
          </w:p>
        </w:tc>
        <w:tc>
          <w:tcPr>
            <w:tcW w:w="1090" w:type="dxa"/>
            <w:tcMar>
              <w:top w:w="0" w:type="dxa"/>
              <w:left w:w="108" w:type="dxa"/>
              <w:bottom w:w="0" w:type="dxa"/>
              <w:right w:w="108" w:type="dxa"/>
            </w:tcMar>
            <w:vAlign w:val="center"/>
          </w:tcPr>
          <w:p w14:paraId="7EB681C7">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X＜10</w:t>
            </w:r>
          </w:p>
        </w:tc>
      </w:tr>
      <w:tr w14:paraId="7B45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74" w:type="dxa"/>
            <w:vMerge w:val="continue"/>
            <w:vAlign w:val="center"/>
          </w:tcPr>
          <w:p w14:paraId="63532161">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p>
        </w:tc>
        <w:tc>
          <w:tcPr>
            <w:tcW w:w="1461" w:type="dxa"/>
            <w:tcMar>
              <w:top w:w="0" w:type="dxa"/>
              <w:left w:w="108" w:type="dxa"/>
              <w:bottom w:w="0" w:type="dxa"/>
              <w:right w:w="108" w:type="dxa"/>
            </w:tcMar>
            <w:vAlign w:val="center"/>
          </w:tcPr>
          <w:p w14:paraId="2391C89C">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营业收入(Y)</w:t>
            </w:r>
          </w:p>
        </w:tc>
        <w:tc>
          <w:tcPr>
            <w:tcW w:w="1060" w:type="dxa"/>
            <w:tcMar>
              <w:top w:w="0" w:type="dxa"/>
              <w:left w:w="108" w:type="dxa"/>
              <w:bottom w:w="0" w:type="dxa"/>
              <w:right w:w="108" w:type="dxa"/>
            </w:tcMar>
            <w:vAlign w:val="center"/>
          </w:tcPr>
          <w:p w14:paraId="79CB1384">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万元</w:t>
            </w:r>
          </w:p>
        </w:tc>
        <w:tc>
          <w:tcPr>
            <w:tcW w:w="1121" w:type="dxa"/>
            <w:tcMar>
              <w:top w:w="0" w:type="dxa"/>
              <w:left w:w="108" w:type="dxa"/>
              <w:bottom w:w="0" w:type="dxa"/>
              <w:right w:w="108" w:type="dxa"/>
            </w:tcMar>
            <w:vAlign w:val="center"/>
          </w:tcPr>
          <w:p w14:paraId="2FF7A947">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Y≥10000</w:t>
            </w:r>
          </w:p>
        </w:tc>
        <w:tc>
          <w:tcPr>
            <w:tcW w:w="1792" w:type="dxa"/>
            <w:tcMar>
              <w:top w:w="0" w:type="dxa"/>
              <w:left w:w="108" w:type="dxa"/>
              <w:bottom w:w="0" w:type="dxa"/>
              <w:right w:w="108" w:type="dxa"/>
            </w:tcMar>
            <w:vAlign w:val="center"/>
          </w:tcPr>
          <w:p w14:paraId="370925AF">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2000≤Y＜10000</w:t>
            </w:r>
          </w:p>
        </w:tc>
        <w:tc>
          <w:tcPr>
            <w:tcW w:w="1579" w:type="dxa"/>
            <w:tcMar>
              <w:top w:w="0" w:type="dxa"/>
              <w:left w:w="108" w:type="dxa"/>
              <w:bottom w:w="0" w:type="dxa"/>
              <w:right w:w="108" w:type="dxa"/>
            </w:tcMar>
            <w:vAlign w:val="center"/>
          </w:tcPr>
          <w:p w14:paraId="05749CA7">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100≤Y＜2000</w:t>
            </w:r>
          </w:p>
        </w:tc>
        <w:tc>
          <w:tcPr>
            <w:tcW w:w="1090" w:type="dxa"/>
            <w:tcMar>
              <w:top w:w="0" w:type="dxa"/>
              <w:left w:w="108" w:type="dxa"/>
              <w:bottom w:w="0" w:type="dxa"/>
              <w:right w:w="108" w:type="dxa"/>
            </w:tcMar>
            <w:vAlign w:val="center"/>
          </w:tcPr>
          <w:p w14:paraId="424E240A">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Y＜100</w:t>
            </w:r>
          </w:p>
        </w:tc>
      </w:tr>
      <w:tr w14:paraId="3A383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74" w:type="dxa"/>
            <w:vMerge w:val="restart"/>
            <w:tcMar>
              <w:top w:w="0" w:type="dxa"/>
              <w:left w:w="108" w:type="dxa"/>
              <w:bottom w:w="0" w:type="dxa"/>
              <w:right w:w="108" w:type="dxa"/>
            </w:tcMar>
            <w:vAlign w:val="center"/>
          </w:tcPr>
          <w:p w14:paraId="6A4CCBB5">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餐饮业</w:t>
            </w:r>
          </w:p>
        </w:tc>
        <w:tc>
          <w:tcPr>
            <w:tcW w:w="1461" w:type="dxa"/>
            <w:tcMar>
              <w:top w:w="0" w:type="dxa"/>
              <w:left w:w="108" w:type="dxa"/>
              <w:bottom w:w="0" w:type="dxa"/>
              <w:right w:w="108" w:type="dxa"/>
            </w:tcMar>
            <w:vAlign w:val="center"/>
          </w:tcPr>
          <w:p w14:paraId="1497EFDC">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从业人员(X)</w:t>
            </w:r>
          </w:p>
        </w:tc>
        <w:tc>
          <w:tcPr>
            <w:tcW w:w="1060" w:type="dxa"/>
            <w:tcMar>
              <w:top w:w="0" w:type="dxa"/>
              <w:left w:w="108" w:type="dxa"/>
              <w:bottom w:w="0" w:type="dxa"/>
              <w:right w:w="108" w:type="dxa"/>
            </w:tcMar>
            <w:vAlign w:val="center"/>
          </w:tcPr>
          <w:p w14:paraId="26F13F25">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人</w:t>
            </w:r>
          </w:p>
        </w:tc>
        <w:tc>
          <w:tcPr>
            <w:tcW w:w="1121" w:type="dxa"/>
            <w:tcMar>
              <w:top w:w="0" w:type="dxa"/>
              <w:left w:w="108" w:type="dxa"/>
              <w:bottom w:w="0" w:type="dxa"/>
              <w:right w:w="108" w:type="dxa"/>
            </w:tcMar>
            <w:vAlign w:val="center"/>
          </w:tcPr>
          <w:p w14:paraId="492B0E2B">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X≥300</w:t>
            </w:r>
          </w:p>
        </w:tc>
        <w:tc>
          <w:tcPr>
            <w:tcW w:w="1792" w:type="dxa"/>
            <w:tcMar>
              <w:top w:w="0" w:type="dxa"/>
              <w:left w:w="108" w:type="dxa"/>
              <w:bottom w:w="0" w:type="dxa"/>
              <w:right w:w="108" w:type="dxa"/>
            </w:tcMar>
            <w:vAlign w:val="center"/>
          </w:tcPr>
          <w:p w14:paraId="6E3B9141">
            <w:pPr>
              <w:pageBreakBefore w:val="0"/>
              <w:kinsoku/>
              <w:overflowPunct/>
              <w:topLinePunct w:val="0"/>
              <w:bidi w:val="0"/>
              <w:spacing w:line="360" w:lineRule="auto"/>
              <w:ind w:left="1"/>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100≤X＜300</w:t>
            </w:r>
          </w:p>
        </w:tc>
        <w:tc>
          <w:tcPr>
            <w:tcW w:w="1579" w:type="dxa"/>
            <w:tcMar>
              <w:top w:w="0" w:type="dxa"/>
              <w:left w:w="108" w:type="dxa"/>
              <w:bottom w:w="0" w:type="dxa"/>
              <w:right w:w="108" w:type="dxa"/>
            </w:tcMar>
            <w:vAlign w:val="center"/>
          </w:tcPr>
          <w:p w14:paraId="55CA0B51">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10≤X＜100</w:t>
            </w:r>
          </w:p>
        </w:tc>
        <w:tc>
          <w:tcPr>
            <w:tcW w:w="1090" w:type="dxa"/>
            <w:tcMar>
              <w:top w:w="0" w:type="dxa"/>
              <w:left w:w="108" w:type="dxa"/>
              <w:bottom w:w="0" w:type="dxa"/>
              <w:right w:w="108" w:type="dxa"/>
            </w:tcMar>
            <w:vAlign w:val="center"/>
          </w:tcPr>
          <w:p w14:paraId="6EA94886">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X＜10</w:t>
            </w:r>
          </w:p>
        </w:tc>
      </w:tr>
      <w:tr w14:paraId="0C80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74" w:type="dxa"/>
            <w:vMerge w:val="continue"/>
            <w:vAlign w:val="center"/>
          </w:tcPr>
          <w:p w14:paraId="1CAB2CDD">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p>
        </w:tc>
        <w:tc>
          <w:tcPr>
            <w:tcW w:w="1461" w:type="dxa"/>
            <w:tcMar>
              <w:top w:w="0" w:type="dxa"/>
              <w:left w:w="108" w:type="dxa"/>
              <w:bottom w:w="0" w:type="dxa"/>
              <w:right w:w="108" w:type="dxa"/>
            </w:tcMar>
            <w:vAlign w:val="center"/>
          </w:tcPr>
          <w:p w14:paraId="0EAD28B2">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营业收入(Y)</w:t>
            </w:r>
          </w:p>
        </w:tc>
        <w:tc>
          <w:tcPr>
            <w:tcW w:w="1060" w:type="dxa"/>
            <w:tcMar>
              <w:top w:w="0" w:type="dxa"/>
              <w:left w:w="108" w:type="dxa"/>
              <w:bottom w:w="0" w:type="dxa"/>
              <w:right w:w="108" w:type="dxa"/>
            </w:tcMar>
            <w:vAlign w:val="center"/>
          </w:tcPr>
          <w:p w14:paraId="09C3675D">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万元</w:t>
            </w:r>
          </w:p>
        </w:tc>
        <w:tc>
          <w:tcPr>
            <w:tcW w:w="1121" w:type="dxa"/>
            <w:tcMar>
              <w:top w:w="0" w:type="dxa"/>
              <w:left w:w="108" w:type="dxa"/>
              <w:bottom w:w="0" w:type="dxa"/>
              <w:right w:w="108" w:type="dxa"/>
            </w:tcMar>
            <w:vAlign w:val="center"/>
          </w:tcPr>
          <w:p w14:paraId="2CF6685A">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Y≥10000</w:t>
            </w:r>
          </w:p>
        </w:tc>
        <w:tc>
          <w:tcPr>
            <w:tcW w:w="1792" w:type="dxa"/>
            <w:tcMar>
              <w:top w:w="0" w:type="dxa"/>
              <w:left w:w="108" w:type="dxa"/>
              <w:bottom w:w="0" w:type="dxa"/>
              <w:right w:w="108" w:type="dxa"/>
            </w:tcMar>
            <w:vAlign w:val="center"/>
          </w:tcPr>
          <w:p w14:paraId="7B91C541">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2000≤Y＜10000</w:t>
            </w:r>
          </w:p>
        </w:tc>
        <w:tc>
          <w:tcPr>
            <w:tcW w:w="1579" w:type="dxa"/>
            <w:tcMar>
              <w:top w:w="0" w:type="dxa"/>
              <w:left w:w="108" w:type="dxa"/>
              <w:bottom w:w="0" w:type="dxa"/>
              <w:right w:w="108" w:type="dxa"/>
            </w:tcMar>
            <w:vAlign w:val="center"/>
          </w:tcPr>
          <w:p w14:paraId="2F87E6EF">
            <w:pPr>
              <w:pageBreakBefore w:val="0"/>
              <w:kinsoku/>
              <w:overflowPunct/>
              <w:topLinePunct w:val="0"/>
              <w:bidi w:val="0"/>
              <w:spacing w:line="360" w:lineRule="auto"/>
              <w:ind w:firstLine="360"/>
              <w:jc w:val="center"/>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100≤Y＜2000</w:t>
            </w:r>
          </w:p>
        </w:tc>
        <w:tc>
          <w:tcPr>
            <w:tcW w:w="1090" w:type="dxa"/>
            <w:tcMar>
              <w:top w:w="0" w:type="dxa"/>
              <w:left w:w="108" w:type="dxa"/>
              <w:bottom w:w="0" w:type="dxa"/>
              <w:right w:w="108" w:type="dxa"/>
            </w:tcMar>
            <w:vAlign w:val="center"/>
          </w:tcPr>
          <w:p w14:paraId="4FFFC450">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Y＜100</w:t>
            </w:r>
          </w:p>
        </w:tc>
      </w:tr>
      <w:tr w14:paraId="19AE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74" w:type="dxa"/>
            <w:vMerge w:val="restart"/>
            <w:tcMar>
              <w:top w:w="0" w:type="dxa"/>
              <w:left w:w="108" w:type="dxa"/>
              <w:bottom w:w="0" w:type="dxa"/>
              <w:right w:w="108" w:type="dxa"/>
            </w:tcMar>
            <w:vAlign w:val="center"/>
          </w:tcPr>
          <w:p w14:paraId="22600DC2">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信息传输业*</w:t>
            </w:r>
          </w:p>
        </w:tc>
        <w:tc>
          <w:tcPr>
            <w:tcW w:w="1461" w:type="dxa"/>
            <w:tcMar>
              <w:top w:w="0" w:type="dxa"/>
              <w:left w:w="108" w:type="dxa"/>
              <w:bottom w:w="0" w:type="dxa"/>
              <w:right w:w="108" w:type="dxa"/>
            </w:tcMar>
            <w:vAlign w:val="center"/>
          </w:tcPr>
          <w:p w14:paraId="4F90F38F">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从业人员(X)</w:t>
            </w:r>
          </w:p>
        </w:tc>
        <w:tc>
          <w:tcPr>
            <w:tcW w:w="1060" w:type="dxa"/>
            <w:tcMar>
              <w:top w:w="0" w:type="dxa"/>
              <w:left w:w="108" w:type="dxa"/>
              <w:bottom w:w="0" w:type="dxa"/>
              <w:right w:w="108" w:type="dxa"/>
            </w:tcMar>
            <w:vAlign w:val="center"/>
          </w:tcPr>
          <w:p w14:paraId="7A7E1A52">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人</w:t>
            </w:r>
          </w:p>
        </w:tc>
        <w:tc>
          <w:tcPr>
            <w:tcW w:w="1121" w:type="dxa"/>
            <w:tcMar>
              <w:top w:w="0" w:type="dxa"/>
              <w:left w:w="108" w:type="dxa"/>
              <w:bottom w:w="0" w:type="dxa"/>
              <w:right w:w="108" w:type="dxa"/>
            </w:tcMar>
            <w:vAlign w:val="center"/>
          </w:tcPr>
          <w:p w14:paraId="1A3128FA">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X≥2000</w:t>
            </w:r>
          </w:p>
        </w:tc>
        <w:tc>
          <w:tcPr>
            <w:tcW w:w="1792" w:type="dxa"/>
            <w:tcMar>
              <w:top w:w="0" w:type="dxa"/>
              <w:left w:w="108" w:type="dxa"/>
              <w:bottom w:w="0" w:type="dxa"/>
              <w:right w:w="108" w:type="dxa"/>
            </w:tcMar>
            <w:vAlign w:val="center"/>
          </w:tcPr>
          <w:p w14:paraId="7B69DF97">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100≤X＜2000</w:t>
            </w:r>
          </w:p>
        </w:tc>
        <w:tc>
          <w:tcPr>
            <w:tcW w:w="1579" w:type="dxa"/>
            <w:tcMar>
              <w:top w:w="0" w:type="dxa"/>
              <w:left w:w="108" w:type="dxa"/>
              <w:bottom w:w="0" w:type="dxa"/>
              <w:right w:w="108" w:type="dxa"/>
            </w:tcMar>
            <w:vAlign w:val="center"/>
          </w:tcPr>
          <w:p w14:paraId="5528043F">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10≤X＜100</w:t>
            </w:r>
          </w:p>
        </w:tc>
        <w:tc>
          <w:tcPr>
            <w:tcW w:w="1090" w:type="dxa"/>
            <w:tcMar>
              <w:top w:w="0" w:type="dxa"/>
              <w:left w:w="108" w:type="dxa"/>
              <w:bottom w:w="0" w:type="dxa"/>
              <w:right w:w="108" w:type="dxa"/>
            </w:tcMar>
            <w:vAlign w:val="center"/>
          </w:tcPr>
          <w:p w14:paraId="69287088">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X＜10</w:t>
            </w:r>
          </w:p>
        </w:tc>
      </w:tr>
      <w:tr w14:paraId="7BE2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74" w:type="dxa"/>
            <w:vMerge w:val="continue"/>
            <w:vAlign w:val="center"/>
          </w:tcPr>
          <w:p w14:paraId="7AF2CB47">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p>
        </w:tc>
        <w:tc>
          <w:tcPr>
            <w:tcW w:w="1461" w:type="dxa"/>
            <w:tcMar>
              <w:top w:w="0" w:type="dxa"/>
              <w:left w:w="108" w:type="dxa"/>
              <w:bottom w:w="0" w:type="dxa"/>
              <w:right w:w="108" w:type="dxa"/>
            </w:tcMar>
            <w:vAlign w:val="center"/>
          </w:tcPr>
          <w:p w14:paraId="7D568E90">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营业收入(Y)</w:t>
            </w:r>
          </w:p>
        </w:tc>
        <w:tc>
          <w:tcPr>
            <w:tcW w:w="1060" w:type="dxa"/>
            <w:tcMar>
              <w:top w:w="0" w:type="dxa"/>
              <w:left w:w="108" w:type="dxa"/>
              <w:bottom w:w="0" w:type="dxa"/>
              <w:right w:w="108" w:type="dxa"/>
            </w:tcMar>
            <w:vAlign w:val="center"/>
          </w:tcPr>
          <w:p w14:paraId="3BA1643D">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万元</w:t>
            </w:r>
          </w:p>
        </w:tc>
        <w:tc>
          <w:tcPr>
            <w:tcW w:w="1121" w:type="dxa"/>
            <w:tcMar>
              <w:top w:w="0" w:type="dxa"/>
              <w:left w:w="108" w:type="dxa"/>
              <w:bottom w:w="0" w:type="dxa"/>
              <w:right w:w="108" w:type="dxa"/>
            </w:tcMar>
            <w:vAlign w:val="center"/>
          </w:tcPr>
          <w:p w14:paraId="754BD9DA">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Y≥100000</w:t>
            </w:r>
          </w:p>
        </w:tc>
        <w:tc>
          <w:tcPr>
            <w:tcW w:w="1792" w:type="dxa"/>
            <w:tcMar>
              <w:top w:w="0" w:type="dxa"/>
              <w:left w:w="108" w:type="dxa"/>
              <w:bottom w:w="0" w:type="dxa"/>
              <w:right w:w="108" w:type="dxa"/>
            </w:tcMar>
            <w:vAlign w:val="center"/>
          </w:tcPr>
          <w:p w14:paraId="31BB5F8B">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1000≤Y＜100000</w:t>
            </w:r>
          </w:p>
        </w:tc>
        <w:tc>
          <w:tcPr>
            <w:tcW w:w="1579" w:type="dxa"/>
            <w:tcMar>
              <w:top w:w="0" w:type="dxa"/>
              <w:left w:w="108" w:type="dxa"/>
              <w:bottom w:w="0" w:type="dxa"/>
              <w:right w:w="108" w:type="dxa"/>
            </w:tcMar>
            <w:vAlign w:val="center"/>
          </w:tcPr>
          <w:p w14:paraId="595E926F">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100≤Y＜1000</w:t>
            </w:r>
          </w:p>
        </w:tc>
        <w:tc>
          <w:tcPr>
            <w:tcW w:w="1090" w:type="dxa"/>
            <w:tcMar>
              <w:top w:w="0" w:type="dxa"/>
              <w:left w:w="108" w:type="dxa"/>
              <w:bottom w:w="0" w:type="dxa"/>
              <w:right w:w="108" w:type="dxa"/>
            </w:tcMar>
            <w:vAlign w:val="center"/>
          </w:tcPr>
          <w:p w14:paraId="2FE0EFEB">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Y＜100</w:t>
            </w:r>
          </w:p>
        </w:tc>
      </w:tr>
      <w:tr w14:paraId="266A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74" w:type="dxa"/>
            <w:vMerge w:val="restart"/>
            <w:tcMar>
              <w:top w:w="0" w:type="dxa"/>
              <w:left w:w="108" w:type="dxa"/>
              <w:bottom w:w="0" w:type="dxa"/>
              <w:right w:w="108" w:type="dxa"/>
            </w:tcMar>
            <w:vAlign w:val="center"/>
          </w:tcPr>
          <w:p w14:paraId="52181C4A">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pacing w:val="-12"/>
                <w:sz w:val="18"/>
                <w:szCs w:val="18"/>
                <w:highlight w:val="none"/>
                <w14:textFill>
                  <w14:solidFill>
                    <w14:schemeClr w14:val="tx1"/>
                  </w14:solidFill>
                </w14:textFill>
              </w:rPr>
              <w:t>软件和信息技术服</w:t>
            </w:r>
            <w:r>
              <w:rPr>
                <w:rFonts w:hint="eastAsia" w:ascii="宋体" w:hAnsi="宋体" w:eastAsia="宋体" w:cs="宋体"/>
                <w:color w:val="000000" w:themeColor="text1"/>
                <w:sz w:val="18"/>
                <w:szCs w:val="18"/>
                <w:highlight w:val="none"/>
                <w14:textFill>
                  <w14:solidFill>
                    <w14:schemeClr w14:val="tx1"/>
                  </w14:solidFill>
                </w14:textFill>
              </w:rPr>
              <w:t>务业</w:t>
            </w:r>
          </w:p>
        </w:tc>
        <w:tc>
          <w:tcPr>
            <w:tcW w:w="1461" w:type="dxa"/>
            <w:tcMar>
              <w:top w:w="0" w:type="dxa"/>
              <w:left w:w="108" w:type="dxa"/>
              <w:bottom w:w="0" w:type="dxa"/>
              <w:right w:w="108" w:type="dxa"/>
            </w:tcMar>
            <w:vAlign w:val="center"/>
          </w:tcPr>
          <w:p w14:paraId="56FE588C">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从业人员(X)</w:t>
            </w:r>
          </w:p>
        </w:tc>
        <w:tc>
          <w:tcPr>
            <w:tcW w:w="1060" w:type="dxa"/>
            <w:tcMar>
              <w:top w:w="0" w:type="dxa"/>
              <w:left w:w="108" w:type="dxa"/>
              <w:bottom w:w="0" w:type="dxa"/>
              <w:right w:w="108" w:type="dxa"/>
            </w:tcMar>
            <w:vAlign w:val="center"/>
          </w:tcPr>
          <w:p w14:paraId="00707A63">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人</w:t>
            </w:r>
          </w:p>
        </w:tc>
        <w:tc>
          <w:tcPr>
            <w:tcW w:w="1121" w:type="dxa"/>
            <w:tcMar>
              <w:top w:w="0" w:type="dxa"/>
              <w:left w:w="108" w:type="dxa"/>
              <w:bottom w:w="0" w:type="dxa"/>
              <w:right w:w="108" w:type="dxa"/>
            </w:tcMar>
            <w:vAlign w:val="center"/>
          </w:tcPr>
          <w:p w14:paraId="036647DF">
            <w:pPr>
              <w:pageBreakBefore w:val="0"/>
              <w:kinsoku/>
              <w:overflowPunct/>
              <w:topLinePunct w:val="0"/>
              <w:bidi w:val="0"/>
              <w:spacing w:line="360" w:lineRule="auto"/>
              <w:ind w:firstLine="360"/>
              <w:jc w:val="center"/>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X≥300</w:t>
            </w:r>
          </w:p>
        </w:tc>
        <w:tc>
          <w:tcPr>
            <w:tcW w:w="1792" w:type="dxa"/>
            <w:tcMar>
              <w:top w:w="0" w:type="dxa"/>
              <w:left w:w="108" w:type="dxa"/>
              <w:bottom w:w="0" w:type="dxa"/>
              <w:right w:w="108" w:type="dxa"/>
            </w:tcMar>
            <w:vAlign w:val="center"/>
          </w:tcPr>
          <w:p w14:paraId="6289A439">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100≤X＜300</w:t>
            </w:r>
          </w:p>
        </w:tc>
        <w:tc>
          <w:tcPr>
            <w:tcW w:w="1579" w:type="dxa"/>
            <w:tcMar>
              <w:top w:w="0" w:type="dxa"/>
              <w:left w:w="108" w:type="dxa"/>
              <w:bottom w:w="0" w:type="dxa"/>
              <w:right w:w="108" w:type="dxa"/>
            </w:tcMar>
            <w:vAlign w:val="center"/>
          </w:tcPr>
          <w:p w14:paraId="3C1E0B79">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10≤X＜100</w:t>
            </w:r>
          </w:p>
        </w:tc>
        <w:tc>
          <w:tcPr>
            <w:tcW w:w="1090" w:type="dxa"/>
            <w:tcMar>
              <w:top w:w="0" w:type="dxa"/>
              <w:left w:w="108" w:type="dxa"/>
              <w:bottom w:w="0" w:type="dxa"/>
              <w:right w:w="108" w:type="dxa"/>
            </w:tcMar>
            <w:vAlign w:val="center"/>
          </w:tcPr>
          <w:p w14:paraId="03B70E1D">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X＜10</w:t>
            </w:r>
          </w:p>
        </w:tc>
      </w:tr>
      <w:tr w14:paraId="38C1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74" w:type="dxa"/>
            <w:vMerge w:val="continue"/>
            <w:vAlign w:val="center"/>
          </w:tcPr>
          <w:p w14:paraId="3085556D">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p>
        </w:tc>
        <w:tc>
          <w:tcPr>
            <w:tcW w:w="1461" w:type="dxa"/>
            <w:tcMar>
              <w:top w:w="0" w:type="dxa"/>
              <w:left w:w="108" w:type="dxa"/>
              <w:bottom w:w="0" w:type="dxa"/>
              <w:right w:w="108" w:type="dxa"/>
            </w:tcMar>
            <w:vAlign w:val="center"/>
          </w:tcPr>
          <w:p w14:paraId="275DAE6B">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营业收入(Y)</w:t>
            </w:r>
          </w:p>
        </w:tc>
        <w:tc>
          <w:tcPr>
            <w:tcW w:w="1060" w:type="dxa"/>
            <w:tcMar>
              <w:top w:w="0" w:type="dxa"/>
              <w:left w:w="108" w:type="dxa"/>
              <w:bottom w:w="0" w:type="dxa"/>
              <w:right w:w="108" w:type="dxa"/>
            </w:tcMar>
            <w:vAlign w:val="center"/>
          </w:tcPr>
          <w:p w14:paraId="10C44C42">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万元</w:t>
            </w:r>
          </w:p>
        </w:tc>
        <w:tc>
          <w:tcPr>
            <w:tcW w:w="1121" w:type="dxa"/>
            <w:tcMar>
              <w:top w:w="0" w:type="dxa"/>
              <w:left w:w="108" w:type="dxa"/>
              <w:bottom w:w="0" w:type="dxa"/>
              <w:right w:w="108" w:type="dxa"/>
            </w:tcMar>
            <w:vAlign w:val="center"/>
          </w:tcPr>
          <w:p w14:paraId="108AC1CF">
            <w:pPr>
              <w:pageBreakBefore w:val="0"/>
              <w:kinsoku/>
              <w:overflowPunct/>
              <w:topLinePunct w:val="0"/>
              <w:bidi w:val="0"/>
              <w:spacing w:line="360" w:lineRule="auto"/>
              <w:ind w:firstLine="360"/>
              <w:jc w:val="center"/>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Y≥10000</w:t>
            </w:r>
          </w:p>
        </w:tc>
        <w:tc>
          <w:tcPr>
            <w:tcW w:w="1792" w:type="dxa"/>
            <w:tcMar>
              <w:top w:w="0" w:type="dxa"/>
              <w:left w:w="108" w:type="dxa"/>
              <w:bottom w:w="0" w:type="dxa"/>
              <w:right w:w="108" w:type="dxa"/>
            </w:tcMar>
            <w:vAlign w:val="center"/>
          </w:tcPr>
          <w:p w14:paraId="78E890AD">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1000≤Y＜10000</w:t>
            </w:r>
          </w:p>
        </w:tc>
        <w:tc>
          <w:tcPr>
            <w:tcW w:w="1579" w:type="dxa"/>
            <w:tcMar>
              <w:top w:w="0" w:type="dxa"/>
              <w:left w:w="108" w:type="dxa"/>
              <w:bottom w:w="0" w:type="dxa"/>
              <w:right w:w="108" w:type="dxa"/>
            </w:tcMar>
            <w:vAlign w:val="center"/>
          </w:tcPr>
          <w:p w14:paraId="3F928F35">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50≤Y＜1000</w:t>
            </w:r>
          </w:p>
        </w:tc>
        <w:tc>
          <w:tcPr>
            <w:tcW w:w="1090" w:type="dxa"/>
            <w:tcMar>
              <w:top w:w="0" w:type="dxa"/>
              <w:left w:w="108" w:type="dxa"/>
              <w:bottom w:w="0" w:type="dxa"/>
              <w:right w:w="108" w:type="dxa"/>
            </w:tcMar>
            <w:vAlign w:val="center"/>
          </w:tcPr>
          <w:p w14:paraId="26C03D69">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Y＜50</w:t>
            </w:r>
          </w:p>
        </w:tc>
      </w:tr>
      <w:tr w14:paraId="0BD9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74" w:type="dxa"/>
            <w:vMerge w:val="restart"/>
            <w:tcMar>
              <w:top w:w="0" w:type="dxa"/>
              <w:left w:w="108" w:type="dxa"/>
              <w:bottom w:w="0" w:type="dxa"/>
              <w:right w:w="108" w:type="dxa"/>
            </w:tcMar>
            <w:vAlign w:val="center"/>
          </w:tcPr>
          <w:p w14:paraId="55622888">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房地产开发经营</w:t>
            </w:r>
          </w:p>
        </w:tc>
        <w:tc>
          <w:tcPr>
            <w:tcW w:w="1461" w:type="dxa"/>
            <w:tcMar>
              <w:top w:w="0" w:type="dxa"/>
              <w:left w:w="108" w:type="dxa"/>
              <w:bottom w:w="0" w:type="dxa"/>
              <w:right w:w="108" w:type="dxa"/>
            </w:tcMar>
            <w:vAlign w:val="center"/>
          </w:tcPr>
          <w:p w14:paraId="2D4CB94F">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营业收入(Y)</w:t>
            </w:r>
          </w:p>
        </w:tc>
        <w:tc>
          <w:tcPr>
            <w:tcW w:w="1060" w:type="dxa"/>
            <w:tcMar>
              <w:top w:w="0" w:type="dxa"/>
              <w:left w:w="108" w:type="dxa"/>
              <w:bottom w:w="0" w:type="dxa"/>
              <w:right w:w="108" w:type="dxa"/>
            </w:tcMar>
            <w:vAlign w:val="center"/>
          </w:tcPr>
          <w:p w14:paraId="58B28EC1">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万元</w:t>
            </w:r>
          </w:p>
        </w:tc>
        <w:tc>
          <w:tcPr>
            <w:tcW w:w="1121" w:type="dxa"/>
            <w:tcMar>
              <w:top w:w="0" w:type="dxa"/>
              <w:left w:w="108" w:type="dxa"/>
              <w:bottom w:w="0" w:type="dxa"/>
              <w:right w:w="108" w:type="dxa"/>
            </w:tcMar>
            <w:vAlign w:val="center"/>
          </w:tcPr>
          <w:p w14:paraId="723F5876">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Y≥200000</w:t>
            </w:r>
          </w:p>
        </w:tc>
        <w:tc>
          <w:tcPr>
            <w:tcW w:w="1792" w:type="dxa"/>
            <w:tcMar>
              <w:top w:w="0" w:type="dxa"/>
              <w:left w:w="108" w:type="dxa"/>
              <w:bottom w:w="0" w:type="dxa"/>
              <w:right w:w="108" w:type="dxa"/>
            </w:tcMar>
            <w:vAlign w:val="center"/>
          </w:tcPr>
          <w:p w14:paraId="2F85BD26">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1000≤Y＜200000</w:t>
            </w:r>
          </w:p>
        </w:tc>
        <w:tc>
          <w:tcPr>
            <w:tcW w:w="1579" w:type="dxa"/>
            <w:tcMar>
              <w:top w:w="0" w:type="dxa"/>
              <w:left w:w="108" w:type="dxa"/>
              <w:bottom w:w="0" w:type="dxa"/>
              <w:right w:w="108" w:type="dxa"/>
            </w:tcMar>
            <w:vAlign w:val="center"/>
          </w:tcPr>
          <w:p w14:paraId="5744B48B">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100≤Y＜1000</w:t>
            </w:r>
          </w:p>
        </w:tc>
        <w:tc>
          <w:tcPr>
            <w:tcW w:w="1090" w:type="dxa"/>
            <w:tcMar>
              <w:top w:w="0" w:type="dxa"/>
              <w:left w:w="108" w:type="dxa"/>
              <w:bottom w:w="0" w:type="dxa"/>
              <w:right w:w="108" w:type="dxa"/>
            </w:tcMar>
            <w:vAlign w:val="center"/>
          </w:tcPr>
          <w:p w14:paraId="59786714">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Y＜100</w:t>
            </w:r>
          </w:p>
        </w:tc>
      </w:tr>
      <w:tr w14:paraId="52B0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74" w:type="dxa"/>
            <w:vMerge w:val="continue"/>
            <w:vAlign w:val="center"/>
          </w:tcPr>
          <w:p w14:paraId="4880B1CE">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p>
        </w:tc>
        <w:tc>
          <w:tcPr>
            <w:tcW w:w="1461" w:type="dxa"/>
            <w:tcMar>
              <w:top w:w="0" w:type="dxa"/>
              <w:left w:w="108" w:type="dxa"/>
              <w:bottom w:w="0" w:type="dxa"/>
              <w:right w:w="108" w:type="dxa"/>
            </w:tcMar>
            <w:vAlign w:val="center"/>
          </w:tcPr>
          <w:p w14:paraId="4ACD5800">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资产总额(Z)</w:t>
            </w:r>
          </w:p>
        </w:tc>
        <w:tc>
          <w:tcPr>
            <w:tcW w:w="1060" w:type="dxa"/>
            <w:tcMar>
              <w:top w:w="0" w:type="dxa"/>
              <w:left w:w="108" w:type="dxa"/>
              <w:bottom w:w="0" w:type="dxa"/>
              <w:right w:w="108" w:type="dxa"/>
            </w:tcMar>
            <w:vAlign w:val="center"/>
          </w:tcPr>
          <w:p w14:paraId="2EED5808">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万元</w:t>
            </w:r>
          </w:p>
        </w:tc>
        <w:tc>
          <w:tcPr>
            <w:tcW w:w="1121" w:type="dxa"/>
            <w:tcMar>
              <w:top w:w="0" w:type="dxa"/>
              <w:left w:w="108" w:type="dxa"/>
              <w:bottom w:w="0" w:type="dxa"/>
              <w:right w:w="108" w:type="dxa"/>
            </w:tcMar>
            <w:vAlign w:val="center"/>
          </w:tcPr>
          <w:p w14:paraId="3D95BF85">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Z≥10000</w:t>
            </w:r>
          </w:p>
        </w:tc>
        <w:tc>
          <w:tcPr>
            <w:tcW w:w="1792" w:type="dxa"/>
            <w:tcMar>
              <w:top w:w="0" w:type="dxa"/>
              <w:left w:w="108" w:type="dxa"/>
              <w:bottom w:w="0" w:type="dxa"/>
              <w:right w:w="108" w:type="dxa"/>
            </w:tcMar>
            <w:vAlign w:val="center"/>
          </w:tcPr>
          <w:p w14:paraId="2B542BA3">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5000≤Z＜10000</w:t>
            </w:r>
          </w:p>
        </w:tc>
        <w:tc>
          <w:tcPr>
            <w:tcW w:w="1579" w:type="dxa"/>
            <w:tcMar>
              <w:top w:w="0" w:type="dxa"/>
              <w:left w:w="108" w:type="dxa"/>
              <w:bottom w:w="0" w:type="dxa"/>
              <w:right w:w="108" w:type="dxa"/>
            </w:tcMar>
            <w:vAlign w:val="center"/>
          </w:tcPr>
          <w:p w14:paraId="5596D6C8">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2000≤Z＜5000  </w:t>
            </w:r>
          </w:p>
        </w:tc>
        <w:tc>
          <w:tcPr>
            <w:tcW w:w="1090" w:type="dxa"/>
            <w:tcMar>
              <w:top w:w="0" w:type="dxa"/>
              <w:left w:w="108" w:type="dxa"/>
              <w:bottom w:w="0" w:type="dxa"/>
              <w:right w:w="108" w:type="dxa"/>
            </w:tcMar>
            <w:vAlign w:val="center"/>
          </w:tcPr>
          <w:p w14:paraId="1640FBD6">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Z＜2000</w:t>
            </w:r>
          </w:p>
        </w:tc>
      </w:tr>
      <w:tr w14:paraId="07A45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74" w:type="dxa"/>
            <w:vMerge w:val="restart"/>
            <w:tcMar>
              <w:top w:w="0" w:type="dxa"/>
              <w:left w:w="108" w:type="dxa"/>
              <w:bottom w:w="0" w:type="dxa"/>
              <w:right w:w="108" w:type="dxa"/>
            </w:tcMar>
            <w:vAlign w:val="center"/>
          </w:tcPr>
          <w:p w14:paraId="28BC874B">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物业管理</w:t>
            </w:r>
          </w:p>
        </w:tc>
        <w:tc>
          <w:tcPr>
            <w:tcW w:w="1461" w:type="dxa"/>
            <w:tcMar>
              <w:top w:w="0" w:type="dxa"/>
              <w:left w:w="108" w:type="dxa"/>
              <w:bottom w:w="0" w:type="dxa"/>
              <w:right w:w="108" w:type="dxa"/>
            </w:tcMar>
            <w:vAlign w:val="center"/>
          </w:tcPr>
          <w:p w14:paraId="61CDDD5B">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从业人员(X)</w:t>
            </w:r>
          </w:p>
        </w:tc>
        <w:tc>
          <w:tcPr>
            <w:tcW w:w="1060" w:type="dxa"/>
            <w:tcMar>
              <w:top w:w="0" w:type="dxa"/>
              <w:left w:w="108" w:type="dxa"/>
              <w:bottom w:w="0" w:type="dxa"/>
              <w:right w:w="108" w:type="dxa"/>
            </w:tcMar>
            <w:vAlign w:val="center"/>
          </w:tcPr>
          <w:p w14:paraId="1D4F3BD6">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人</w:t>
            </w:r>
          </w:p>
        </w:tc>
        <w:tc>
          <w:tcPr>
            <w:tcW w:w="1121" w:type="dxa"/>
            <w:tcMar>
              <w:top w:w="0" w:type="dxa"/>
              <w:left w:w="108" w:type="dxa"/>
              <w:bottom w:w="0" w:type="dxa"/>
              <w:right w:w="108" w:type="dxa"/>
            </w:tcMar>
            <w:vAlign w:val="center"/>
          </w:tcPr>
          <w:p w14:paraId="2018721B">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X≥1000</w:t>
            </w:r>
          </w:p>
        </w:tc>
        <w:tc>
          <w:tcPr>
            <w:tcW w:w="1792" w:type="dxa"/>
            <w:tcMar>
              <w:top w:w="0" w:type="dxa"/>
              <w:left w:w="108" w:type="dxa"/>
              <w:bottom w:w="0" w:type="dxa"/>
              <w:right w:w="108" w:type="dxa"/>
            </w:tcMar>
            <w:vAlign w:val="center"/>
          </w:tcPr>
          <w:p w14:paraId="1AF98A0D">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300≤X＜1000</w:t>
            </w:r>
          </w:p>
        </w:tc>
        <w:tc>
          <w:tcPr>
            <w:tcW w:w="1579" w:type="dxa"/>
            <w:tcMar>
              <w:top w:w="0" w:type="dxa"/>
              <w:left w:w="108" w:type="dxa"/>
              <w:bottom w:w="0" w:type="dxa"/>
              <w:right w:w="108" w:type="dxa"/>
            </w:tcMar>
            <w:vAlign w:val="center"/>
          </w:tcPr>
          <w:p w14:paraId="32B8BF52">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100≤X＜300</w:t>
            </w:r>
          </w:p>
        </w:tc>
        <w:tc>
          <w:tcPr>
            <w:tcW w:w="1090" w:type="dxa"/>
            <w:tcMar>
              <w:top w:w="0" w:type="dxa"/>
              <w:left w:w="108" w:type="dxa"/>
              <w:bottom w:w="0" w:type="dxa"/>
              <w:right w:w="108" w:type="dxa"/>
            </w:tcMar>
            <w:vAlign w:val="center"/>
          </w:tcPr>
          <w:p w14:paraId="402FC571">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X＜100</w:t>
            </w:r>
          </w:p>
        </w:tc>
      </w:tr>
      <w:tr w14:paraId="1C64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74" w:type="dxa"/>
            <w:vMerge w:val="continue"/>
            <w:vAlign w:val="center"/>
          </w:tcPr>
          <w:p w14:paraId="059EBC6F">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p>
        </w:tc>
        <w:tc>
          <w:tcPr>
            <w:tcW w:w="1461" w:type="dxa"/>
            <w:tcMar>
              <w:top w:w="0" w:type="dxa"/>
              <w:left w:w="108" w:type="dxa"/>
              <w:bottom w:w="0" w:type="dxa"/>
              <w:right w:w="108" w:type="dxa"/>
            </w:tcMar>
            <w:vAlign w:val="center"/>
          </w:tcPr>
          <w:p w14:paraId="5C9D5C09">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营业收入(Y)</w:t>
            </w:r>
          </w:p>
        </w:tc>
        <w:tc>
          <w:tcPr>
            <w:tcW w:w="1060" w:type="dxa"/>
            <w:tcMar>
              <w:top w:w="0" w:type="dxa"/>
              <w:left w:w="108" w:type="dxa"/>
              <w:bottom w:w="0" w:type="dxa"/>
              <w:right w:w="108" w:type="dxa"/>
            </w:tcMar>
            <w:vAlign w:val="center"/>
          </w:tcPr>
          <w:p w14:paraId="3BF5E172">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万元</w:t>
            </w:r>
          </w:p>
        </w:tc>
        <w:tc>
          <w:tcPr>
            <w:tcW w:w="1121" w:type="dxa"/>
            <w:tcMar>
              <w:top w:w="0" w:type="dxa"/>
              <w:left w:w="108" w:type="dxa"/>
              <w:bottom w:w="0" w:type="dxa"/>
              <w:right w:w="108" w:type="dxa"/>
            </w:tcMar>
            <w:vAlign w:val="center"/>
          </w:tcPr>
          <w:p w14:paraId="47E374DF">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Y≥5000</w:t>
            </w:r>
          </w:p>
        </w:tc>
        <w:tc>
          <w:tcPr>
            <w:tcW w:w="1792" w:type="dxa"/>
            <w:tcMar>
              <w:top w:w="0" w:type="dxa"/>
              <w:left w:w="108" w:type="dxa"/>
              <w:bottom w:w="0" w:type="dxa"/>
              <w:right w:w="108" w:type="dxa"/>
            </w:tcMar>
            <w:vAlign w:val="center"/>
          </w:tcPr>
          <w:p w14:paraId="216263D9">
            <w:pPr>
              <w:pageBreakBefore w:val="0"/>
              <w:kinsoku/>
              <w:overflowPunct/>
              <w:topLinePunct w:val="0"/>
              <w:bidi w:val="0"/>
              <w:spacing w:line="360" w:lineRule="auto"/>
              <w:ind w:left="1"/>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1000≤Y＜5000</w:t>
            </w:r>
          </w:p>
        </w:tc>
        <w:tc>
          <w:tcPr>
            <w:tcW w:w="1579" w:type="dxa"/>
            <w:tcMar>
              <w:top w:w="0" w:type="dxa"/>
              <w:left w:w="108" w:type="dxa"/>
              <w:bottom w:w="0" w:type="dxa"/>
              <w:right w:w="108" w:type="dxa"/>
            </w:tcMar>
            <w:vAlign w:val="center"/>
          </w:tcPr>
          <w:p w14:paraId="394DB683">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500≤Y＜1000</w:t>
            </w:r>
          </w:p>
        </w:tc>
        <w:tc>
          <w:tcPr>
            <w:tcW w:w="1090" w:type="dxa"/>
            <w:tcMar>
              <w:top w:w="0" w:type="dxa"/>
              <w:left w:w="108" w:type="dxa"/>
              <w:bottom w:w="0" w:type="dxa"/>
              <w:right w:w="108" w:type="dxa"/>
            </w:tcMar>
            <w:vAlign w:val="center"/>
          </w:tcPr>
          <w:p w14:paraId="4A87BF4B">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Y＜500</w:t>
            </w:r>
          </w:p>
        </w:tc>
      </w:tr>
      <w:tr w14:paraId="771C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74" w:type="dxa"/>
            <w:vMerge w:val="restart"/>
            <w:tcMar>
              <w:top w:w="0" w:type="dxa"/>
              <w:left w:w="108" w:type="dxa"/>
              <w:bottom w:w="0" w:type="dxa"/>
              <w:right w:w="108" w:type="dxa"/>
            </w:tcMar>
            <w:vAlign w:val="center"/>
          </w:tcPr>
          <w:p w14:paraId="7DB5D263">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租赁和商务服务业</w:t>
            </w:r>
          </w:p>
        </w:tc>
        <w:tc>
          <w:tcPr>
            <w:tcW w:w="1461" w:type="dxa"/>
            <w:tcMar>
              <w:top w:w="0" w:type="dxa"/>
              <w:left w:w="108" w:type="dxa"/>
              <w:bottom w:w="0" w:type="dxa"/>
              <w:right w:w="108" w:type="dxa"/>
            </w:tcMar>
            <w:vAlign w:val="center"/>
          </w:tcPr>
          <w:p w14:paraId="78DE7D77">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从业人员(X)</w:t>
            </w:r>
          </w:p>
        </w:tc>
        <w:tc>
          <w:tcPr>
            <w:tcW w:w="1060" w:type="dxa"/>
            <w:tcMar>
              <w:top w:w="0" w:type="dxa"/>
              <w:left w:w="108" w:type="dxa"/>
              <w:bottom w:w="0" w:type="dxa"/>
              <w:right w:w="108" w:type="dxa"/>
            </w:tcMar>
            <w:vAlign w:val="center"/>
          </w:tcPr>
          <w:p w14:paraId="327E5E3E">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人</w:t>
            </w:r>
          </w:p>
        </w:tc>
        <w:tc>
          <w:tcPr>
            <w:tcW w:w="1121" w:type="dxa"/>
            <w:tcMar>
              <w:top w:w="0" w:type="dxa"/>
              <w:left w:w="108" w:type="dxa"/>
              <w:bottom w:w="0" w:type="dxa"/>
              <w:right w:w="108" w:type="dxa"/>
            </w:tcMar>
            <w:vAlign w:val="center"/>
          </w:tcPr>
          <w:p w14:paraId="7C98EF36">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X≥300</w:t>
            </w:r>
          </w:p>
        </w:tc>
        <w:tc>
          <w:tcPr>
            <w:tcW w:w="1792" w:type="dxa"/>
            <w:tcMar>
              <w:top w:w="0" w:type="dxa"/>
              <w:left w:w="108" w:type="dxa"/>
              <w:bottom w:w="0" w:type="dxa"/>
              <w:right w:w="108" w:type="dxa"/>
            </w:tcMar>
            <w:vAlign w:val="center"/>
          </w:tcPr>
          <w:p w14:paraId="44243539">
            <w:pPr>
              <w:pageBreakBefore w:val="0"/>
              <w:kinsoku/>
              <w:overflowPunct/>
              <w:topLinePunct w:val="0"/>
              <w:bidi w:val="0"/>
              <w:spacing w:line="360" w:lineRule="auto"/>
              <w:ind w:left="1"/>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100≤X＜300</w:t>
            </w:r>
          </w:p>
        </w:tc>
        <w:tc>
          <w:tcPr>
            <w:tcW w:w="1579" w:type="dxa"/>
            <w:tcMar>
              <w:top w:w="0" w:type="dxa"/>
              <w:left w:w="108" w:type="dxa"/>
              <w:bottom w:w="0" w:type="dxa"/>
              <w:right w:w="108" w:type="dxa"/>
            </w:tcMar>
            <w:vAlign w:val="center"/>
          </w:tcPr>
          <w:p w14:paraId="333605DD">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10≤X＜100</w:t>
            </w:r>
          </w:p>
        </w:tc>
        <w:tc>
          <w:tcPr>
            <w:tcW w:w="1090" w:type="dxa"/>
            <w:tcMar>
              <w:top w:w="0" w:type="dxa"/>
              <w:left w:w="108" w:type="dxa"/>
              <w:bottom w:w="0" w:type="dxa"/>
              <w:right w:w="108" w:type="dxa"/>
            </w:tcMar>
            <w:vAlign w:val="center"/>
          </w:tcPr>
          <w:p w14:paraId="36B61FFF">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X＜10</w:t>
            </w:r>
          </w:p>
        </w:tc>
      </w:tr>
      <w:tr w14:paraId="0EC2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74" w:type="dxa"/>
            <w:vMerge w:val="continue"/>
            <w:vAlign w:val="center"/>
          </w:tcPr>
          <w:p w14:paraId="06999E66">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p>
        </w:tc>
        <w:tc>
          <w:tcPr>
            <w:tcW w:w="1461" w:type="dxa"/>
            <w:tcMar>
              <w:top w:w="0" w:type="dxa"/>
              <w:left w:w="108" w:type="dxa"/>
              <w:bottom w:w="0" w:type="dxa"/>
              <w:right w:w="108" w:type="dxa"/>
            </w:tcMar>
            <w:vAlign w:val="center"/>
          </w:tcPr>
          <w:p w14:paraId="24689CD5">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资产总额(Z)</w:t>
            </w:r>
          </w:p>
        </w:tc>
        <w:tc>
          <w:tcPr>
            <w:tcW w:w="1060" w:type="dxa"/>
            <w:tcMar>
              <w:top w:w="0" w:type="dxa"/>
              <w:left w:w="108" w:type="dxa"/>
              <w:bottom w:w="0" w:type="dxa"/>
              <w:right w:w="108" w:type="dxa"/>
            </w:tcMar>
            <w:vAlign w:val="center"/>
          </w:tcPr>
          <w:p w14:paraId="3A80F08E">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万元</w:t>
            </w:r>
          </w:p>
        </w:tc>
        <w:tc>
          <w:tcPr>
            <w:tcW w:w="1121" w:type="dxa"/>
            <w:tcMar>
              <w:top w:w="0" w:type="dxa"/>
              <w:left w:w="108" w:type="dxa"/>
              <w:bottom w:w="0" w:type="dxa"/>
              <w:right w:w="108" w:type="dxa"/>
            </w:tcMar>
            <w:vAlign w:val="center"/>
          </w:tcPr>
          <w:p w14:paraId="2EEBACF9">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Z≥120000</w:t>
            </w:r>
          </w:p>
        </w:tc>
        <w:tc>
          <w:tcPr>
            <w:tcW w:w="1792" w:type="dxa"/>
            <w:tcMar>
              <w:top w:w="0" w:type="dxa"/>
              <w:left w:w="108" w:type="dxa"/>
              <w:bottom w:w="0" w:type="dxa"/>
              <w:right w:w="108" w:type="dxa"/>
            </w:tcMar>
            <w:vAlign w:val="center"/>
          </w:tcPr>
          <w:p w14:paraId="01025DC4">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8000≤Z＜120000</w:t>
            </w:r>
          </w:p>
        </w:tc>
        <w:tc>
          <w:tcPr>
            <w:tcW w:w="1579" w:type="dxa"/>
            <w:tcMar>
              <w:top w:w="0" w:type="dxa"/>
              <w:left w:w="108" w:type="dxa"/>
              <w:bottom w:w="0" w:type="dxa"/>
              <w:right w:w="108" w:type="dxa"/>
            </w:tcMar>
            <w:vAlign w:val="center"/>
          </w:tcPr>
          <w:p w14:paraId="1FA52E1E">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100≤Z＜8000</w:t>
            </w:r>
          </w:p>
        </w:tc>
        <w:tc>
          <w:tcPr>
            <w:tcW w:w="1090" w:type="dxa"/>
            <w:tcMar>
              <w:top w:w="0" w:type="dxa"/>
              <w:left w:w="108" w:type="dxa"/>
              <w:bottom w:w="0" w:type="dxa"/>
              <w:right w:w="108" w:type="dxa"/>
            </w:tcMar>
            <w:vAlign w:val="center"/>
          </w:tcPr>
          <w:p w14:paraId="109BA0EE">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Z＜100</w:t>
            </w:r>
          </w:p>
        </w:tc>
      </w:tr>
      <w:tr w14:paraId="1908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74" w:type="dxa"/>
            <w:tcMar>
              <w:top w:w="0" w:type="dxa"/>
              <w:left w:w="108" w:type="dxa"/>
              <w:bottom w:w="0" w:type="dxa"/>
              <w:right w:w="108" w:type="dxa"/>
            </w:tcMar>
            <w:vAlign w:val="center"/>
          </w:tcPr>
          <w:p w14:paraId="4A848FA4">
            <w:pPr>
              <w:pageBreakBefore w:val="0"/>
              <w:kinsoku/>
              <w:overflowPunct/>
              <w:topLinePunct w:val="0"/>
              <w:bidi w:val="0"/>
              <w:spacing w:line="360" w:lineRule="auto"/>
              <w:jc w:val="center"/>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其他未列明行业 *</w:t>
            </w:r>
          </w:p>
        </w:tc>
        <w:tc>
          <w:tcPr>
            <w:tcW w:w="1461" w:type="dxa"/>
            <w:tcMar>
              <w:top w:w="0" w:type="dxa"/>
              <w:left w:w="108" w:type="dxa"/>
              <w:bottom w:w="0" w:type="dxa"/>
              <w:right w:w="108" w:type="dxa"/>
            </w:tcMar>
            <w:vAlign w:val="center"/>
          </w:tcPr>
          <w:p w14:paraId="67ED6D5B">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从业人员(X)</w:t>
            </w:r>
          </w:p>
        </w:tc>
        <w:tc>
          <w:tcPr>
            <w:tcW w:w="1060" w:type="dxa"/>
            <w:tcMar>
              <w:top w:w="0" w:type="dxa"/>
              <w:left w:w="108" w:type="dxa"/>
              <w:bottom w:w="0" w:type="dxa"/>
              <w:right w:w="108" w:type="dxa"/>
            </w:tcMar>
            <w:vAlign w:val="center"/>
          </w:tcPr>
          <w:p w14:paraId="0666C72C">
            <w:pPr>
              <w:pageBreakBefore w:val="0"/>
              <w:kinsoku/>
              <w:overflowPunct/>
              <w:topLinePunct w:val="0"/>
              <w:bidi w:val="0"/>
              <w:spacing w:line="360" w:lineRule="auto"/>
              <w:jc w:val="left"/>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人</w:t>
            </w:r>
          </w:p>
        </w:tc>
        <w:tc>
          <w:tcPr>
            <w:tcW w:w="1121" w:type="dxa"/>
            <w:tcMar>
              <w:top w:w="0" w:type="dxa"/>
              <w:left w:w="108" w:type="dxa"/>
              <w:bottom w:w="0" w:type="dxa"/>
              <w:right w:w="108" w:type="dxa"/>
            </w:tcMar>
            <w:vAlign w:val="center"/>
          </w:tcPr>
          <w:p w14:paraId="7AA04308">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X≥300</w:t>
            </w:r>
          </w:p>
        </w:tc>
        <w:tc>
          <w:tcPr>
            <w:tcW w:w="1792" w:type="dxa"/>
            <w:tcMar>
              <w:top w:w="0" w:type="dxa"/>
              <w:left w:w="108" w:type="dxa"/>
              <w:bottom w:w="0" w:type="dxa"/>
              <w:right w:w="108" w:type="dxa"/>
            </w:tcMar>
            <w:vAlign w:val="center"/>
          </w:tcPr>
          <w:p w14:paraId="26FF2F91">
            <w:pPr>
              <w:pageBreakBefore w:val="0"/>
              <w:kinsoku/>
              <w:overflowPunct/>
              <w:topLinePunct w:val="0"/>
              <w:bidi w:val="0"/>
              <w:spacing w:line="360" w:lineRule="auto"/>
              <w:ind w:left="1"/>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100≤X＜300</w:t>
            </w:r>
          </w:p>
        </w:tc>
        <w:tc>
          <w:tcPr>
            <w:tcW w:w="1579" w:type="dxa"/>
            <w:tcMar>
              <w:top w:w="0" w:type="dxa"/>
              <w:left w:w="108" w:type="dxa"/>
              <w:bottom w:w="0" w:type="dxa"/>
              <w:right w:w="108" w:type="dxa"/>
            </w:tcMar>
            <w:vAlign w:val="center"/>
          </w:tcPr>
          <w:p w14:paraId="0AC34793">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10≤X＜100</w:t>
            </w:r>
          </w:p>
        </w:tc>
        <w:tc>
          <w:tcPr>
            <w:tcW w:w="1090" w:type="dxa"/>
            <w:tcMar>
              <w:top w:w="0" w:type="dxa"/>
              <w:left w:w="108" w:type="dxa"/>
              <w:bottom w:w="0" w:type="dxa"/>
              <w:right w:w="108" w:type="dxa"/>
            </w:tcMar>
            <w:vAlign w:val="center"/>
          </w:tcPr>
          <w:p w14:paraId="3D3080F0">
            <w:pPr>
              <w:pageBreakBefore w:val="0"/>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X＜10</w:t>
            </w:r>
          </w:p>
        </w:tc>
      </w:tr>
    </w:tbl>
    <w:p w14:paraId="6FFB5B9F">
      <w:pPr>
        <w:pageBreakBefore w:val="0"/>
        <w:shd w:val="clear" w:color="auto" w:fill="FFFFFF"/>
        <w:kinsoku/>
        <w:overflowPunct/>
        <w:topLinePunct w:val="0"/>
        <w:bidi w:val="0"/>
        <w:spacing w:line="360" w:lineRule="auto"/>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 </w:t>
      </w:r>
      <w:r>
        <w:rPr>
          <w:rFonts w:hint="eastAsia" w:ascii="宋体" w:hAnsi="宋体" w:eastAsia="宋体" w:cs="宋体"/>
          <w:b/>
          <w:bCs/>
          <w:color w:val="000000" w:themeColor="text1"/>
          <w:spacing w:val="8"/>
          <w:sz w:val="18"/>
          <w:szCs w:val="18"/>
          <w:highlight w:val="none"/>
          <w14:textFill>
            <w14:solidFill>
              <w14:schemeClr w14:val="tx1"/>
            </w14:solidFill>
          </w14:textFill>
        </w:rPr>
        <w:t>说明：</w:t>
      </w:r>
    </w:p>
    <w:p w14:paraId="2A8F5835">
      <w:pPr>
        <w:pageBreakBefore w:val="0"/>
        <w:shd w:val="clear" w:color="auto" w:fill="FFFFFF"/>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pacing w:val="8"/>
          <w:sz w:val="18"/>
          <w:szCs w:val="18"/>
          <w:highlight w:val="none"/>
          <w14:textFill>
            <w14:solidFill>
              <w14:schemeClr w14:val="tx1"/>
            </w14:solidFill>
          </w14:textFill>
        </w:rPr>
        <w:t> 　　1.大型、中型和小型企业须同时满足所列指标的下限，否则下划一档；微型企业只须满足所列指标中的一项即可。</w:t>
      </w:r>
    </w:p>
    <w:p w14:paraId="34031CD4">
      <w:pPr>
        <w:pageBreakBefore w:val="0"/>
        <w:shd w:val="clear" w:color="auto" w:fill="FFFFFF"/>
        <w:kinsoku/>
        <w:overflowPunct/>
        <w:topLinePunct w:val="0"/>
        <w:bidi w:val="0"/>
        <w:spacing w:line="360" w:lineRule="auto"/>
        <w:rPr>
          <w:rFonts w:hint="eastAsia" w:ascii="宋体" w:hAnsi="宋体" w:eastAsia="宋体" w:cs="宋体"/>
          <w:bCs/>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pacing w:val="8"/>
          <w:sz w:val="18"/>
          <w:szCs w:val="18"/>
          <w:highlight w:val="none"/>
          <w14:textFill>
            <w14:solidFill>
              <w14:schemeClr w14:val="tx1"/>
            </w14:solidFill>
          </w14:textFill>
        </w:rPr>
        <w:t> 　　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14BFD1A">
      <w:pPr>
        <w:pageBreakBefore w:val="0"/>
        <w:shd w:val="clear" w:color="auto" w:fill="FFFFFF"/>
        <w:kinsoku/>
        <w:overflowPunct/>
        <w:topLinePunct w:val="0"/>
        <w:bidi w:val="0"/>
        <w:spacing w:line="360" w:lineRule="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pacing w:val="8"/>
          <w:sz w:val="18"/>
          <w:szCs w:val="18"/>
          <w:highlight w:val="none"/>
          <w14:textFill>
            <w14:solidFill>
              <w14:schemeClr w14:val="tx1"/>
            </w14:solidFill>
          </w14:textFill>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sectPr>
      <w:pgSz w:w="11849" w:h="16781"/>
      <w:pgMar w:top="1440" w:right="1797" w:bottom="1440" w:left="1797"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altName w:val="Times New Roman"/>
    <w:panose1 w:val="020B0606020202030204"/>
    <w:charset w:val="00"/>
    <w:family w:val="swiss"/>
    <w:pitch w:val="default"/>
    <w:sig w:usb0="00000000" w:usb1="00000000" w:usb2="00000000" w:usb3="00000000" w:csb0="0000009F"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Lucida Sans Unicode"/>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1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E1296">
    <w:pPr>
      <w:pStyle w:val="4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B498BFE">
                          <w:pPr>
                            <w:pStyle w:val="40"/>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DmPhHLZAQAAtAMAAA4AAAAAAAAA&#10;AQAgAAAAIgEAAGRycy9lMm9Eb2MueG1sUEsFBgAAAAAGAAYAWQEAAG0FAAAAAA==&#10;">
              <v:fill on="f" focussize="0,0"/>
              <v:stroke on="f" weight="1.25pt"/>
              <v:imagedata o:title=""/>
              <o:lock v:ext="edit" aspectratio="f"/>
              <v:textbox inset="0mm,0mm,0mm,0mm" style="mso-fit-shape-to-text:t;">
                <w:txbxContent>
                  <w:p w14:paraId="7B498BFE">
                    <w:pPr>
                      <w:pStyle w:val="4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7C0F3">
    <w:pPr>
      <w:pStyle w:val="4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F4E6C0C">
                          <w:pPr>
                            <w:pStyle w:val="40"/>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AJ2WH82gEAALQDAAAOAAAAAAAA&#10;AAEAIAAAACIBAABkcnMvZTJvRG9jLnhtbFBLBQYAAAAABgAGAFkBAABuBQAAAAA=&#10;">
              <v:fill on="f" focussize="0,0"/>
              <v:stroke on="f" weight="1.25pt"/>
              <v:imagedata o:title=""/>
              <o:lock v:ext="edit" aspectratio="f"/>
              <v:textbox inset="0mm,0mm,0mm,0mm" style="mso-fit-shape-to-text:t;">
                <w:txbxContent>
                  <w:p w14:paraId="5F4E6C0C">
                    <w:pPr>
                      <w:pStyle w:val="4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C4171">
    <w:pPr>
      <w:pStyle w:val="40"/>
      <w:framePr w:wrap="around" w:vAnchor="text" w:hAnchor="margin" w:xAlign="right" w:y="1"/>
      <w:rPr>
        <w:rStyle w:val="66"/>
      </w:rPr>
    </w:pPr>
    <w:r>
      <w:fldChar w:fldCharType="begin"/>
    </w:r>
    <w:r>
      <w:rPr>
        <w:rStyle w:val="66"/>
      </w:rPr>
      <w:instrText xml:space="preserve">PAGE  </w:instrText>
    </w:r>
    <w:r>
      <w:fldChar w:fldCharType="end"/>
    </w:r>
  </w:p>
  <w:p w14:paraId="5D6419C3">
    <w:pPr>
      <w:pStyle w:val="4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92F50">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DF850F0">
                          <w:pPr>
                            <w:pStyle w:val="40"/>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AmY8kI2gEAALQDAAAOAAAAAAAA&#10;AAEAIAAAACIBAABkcnMvZTJvRG9jLnhtbFBLBQYAAAAABgAGAFkBAABuBQAAAAA=&#10;">
              <v:fill on="f" focussize="0,0"/>
              <v:stroke on="f" weight="1.25pt"/>
              <v:imagedata o:title=""/>
              <o:lock v:ext="edit" aspectratio="f"/>
              <v:textbox inset="0mm,0mm,0mm,0mm" style="mso-fit-shape-to-text:t;">
                <w:txbxContent>
                  <w:p w14:paraId="1DF850F0">
                    <w:pPr>
                      <w:pStyle w:val="4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E63E2">
    <w:pPr>
      <w:pStyle w:val="40"/>
      <w:jc w:val="center"/>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0AE98ED">
                          <w:pPr>
                            <w:pStyle w:val="40"/>
                          </w:pPr>
                          <w:r>
                            <w:fldChar w:fldCharType="begin"/>
                          </w:r>
                          <w:r>
                            <w:instrText xml:space="preserve"> PAGE  \* MERGEFORMAT </w:instrText>
                          </w:r>
                          <w:r>
                            <w:fldChar w:fldCharType="separate"/>
                          </w:r>
                          <w:r>
                            <w:t>55</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AunhFb2gEAALQDAAAOAAAAAAAA&#10;AAEAIAAAACIBAABkcnMvZTJvRG9jLnhtbFBLBQYAAAAABgAGAFkBAABuBQAAAAA=&#10;">
              <v:fill on="f" focussize="0,0"/>
              <v:stroke on="f" weight="1.25pt"/>
              <v:imagedata o:title=""/>
              <o:lock v:ext="edit" aspectratio="f"/>
              <v:textbox inset="0mm,0mm,0mm,0mm" style="mso-fit-shape-to-text:t;">
                <w:txbxContent>
                  <w:p w14:paraId="20AE98ED">
                    <w:pPr>
                      <w:pStyle w:val="4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9746A">
    <w:pPr>
      <w:pStyle w:val="40"/>
      <w:framePr w:wrap="around" w:vAnchor="text" w:hAnchor="margin" w:xAlign="right" w:y="1"/>
      <w:rPr>
        <w:rStyle w:val="66"/>
      </w:rPr>
    </w:pPr>
    <w:r>
      <w:fldChar w:fldCharType="begin"/>
    </w:r>
    <w:r>
      <w:rPr>
        <w:rStyle w:val="66"/>
      </w:rPr>
      <w:instrText xml:space="preserve">PAGE  </w:instrText>
    </w:r>
    <w:r>
      <w:fldChar w:fldCharType="end"/>
    </w:r>
  </w:p>
  <w:p w14:paraId="7AB0E5EE">
    <w:pPr>
      <w:pStyle w:val="4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C5110">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B710115">
                          <w:pPr>
                            <w:pStyle w:val="40"/>
                          </w:pPr>
                          <w:r>
                            <w:fldChar w:fldCharType="begin"/>
                          </w:r>
                          <w:r>
                            <w:instrText xml:space="preserve"> PAGE  \* MERGEFORMAT </w:instrText>
                          </w:r>
                          <w:r>
                            <w:fldChar w:fldCharType="separate"/>
                          </w:r>
                          <w:r>
                            <w:t>56</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MJtrVDZAQAAtAMAAA4AAAAAAAAA&#10;AQAgAAAAIgEAAGRycy9lMm9Eb2MueG1sUEsFBgAAAAAGAAYAWQEAAG0FAAAAAA==&#10;">
              <v:fill on="f" focussize="0,0"/>
              <v:stroke on="f" weight="1.25pt"/>
              <v:imagedata o:title=""/>
              <o:lock v:ext="edit" aspectratio="f"/>
              <v:textbox inset="0mm,0mm,0mm,0mm" style="mso-fit-shape-to-text:t;">
                <w:txbxContent>
                  <w:p w14:paraId="6B710115">
                    <w:pPr>
                      <w:pStyle w:val="4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2968F">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95774">
    <w:pPr>
      <w:pStyle w:val="60"/>
      <w:ind w:firstLine="180" w:firstLineChars="100"/>
      <w:jc w:val="both"/>
      <w:rPr>
        <w:rFonts w:ascii="仿宋_GB2312" w:eastAsia="仿宋_GB2312"/>
        <w:b w:val="0"/>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DE727">
    <w:pPr>
      <w:pStyle w:val="42"/>
      <w:jc w:val="both"/>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41302">
    <w:pPr>
      <w:pStyle w:val="42"/>
      <w:pBdr>
        <w:bottom w:val="none" w:color="auto" w:sz="0" w:space="1"/>
      </w:pBdr>
      <w:jc w:val="both"/>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F3C9A">
    <w:pPr>
      <w:pStyle w:val="42"/>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1260" w:hanging="420"/>
      </w:pPr>
      <w:rPr>
        <w:rFonts w:hint="default" w:ascii="Wingdings" w:hAnsi="Wingdings"/>
      </w:rPr>
    </w:lvl>
    <w:lvl w:ilvl="2" w:tentative="0">
      <w:start w:val="1"/>
      <w:numFmt w:val="bullet"/>
      <w:pStyle w:val="343"/>
      <w:lvlText w:val=""/>
      <w:lvlJc w:val="left"/>
      <w:pPr>
        <w:tabs>
          <w:tab w:val="left" w:pos="1680"/>
        </w:tabs>
        <w:ind w:left="1680" w:hanging="420"/>
      </w:pPr>
      <w:rPr>
        <w:rFonts w:hint="default" w:ascii="Wingdings" w:hAnsi="Wingdings"/>
      </w:rPr>
    </w:lvl>
    <w:lvl w:ilvl="3" w:tentative="0">
      <w:start w:val="1"/>
      <w:numFmt w:val="bullet"/>
      <w:pStyle w:val="177"/>
      <w:lvlText w:val=""/>
      <w:lvlJc w:val="left"/>
      <w:pPr>
        <w:tabs>
          <w:tab w:val="left" w:pos="2100"/>
        </w:tabs>
        <w:ind w:left="2100" w:hanging="420"/>
      </w:pPr>
      <w:rPr>
        <w:rFonts w:hint="default" w:ascii="Wingdings" w:hAnsi="Wingdings"/>
      </w:rPr>
    </w:lvl>
    <w:lvl w:ilvl="4" w:tentative="0">
      <w:start w:val="1"/>
      <w:numFmt w:val="bullet"/>
      <w:pStyle w:val="412"/>
      <w:lvlText w:val=""/>
      <w:lvlJc w:val="left"/>
      <w:pPr>
        <w:tabs>
          <w:tab w:val="left" w:pos="2520"/>
        </w:tabs>
        <w:ind w:left="2520" w:hanging="420"/>
      </w:pPr>
      <w:rPr>
        <w:rFonts w:hint="default" w:ascii="Wingdings" w:hAnsi="Wingdings"/>
      </w:rPr>
    </w:lvl>
    <w:lvl w:ilvl="5" w:tentative="0">
      <w:start w:val="1"/>
      <w:numFmt w:val="bullet"/>
      <w:pStyle w:val="175"/>
      <w:lvlText w:val=""/>
      <w:lvlJc w:val="left"/>
      <w:pPr>
        <w:tabs>
          <w:tab w:val="left" w:pos="2940"/>
        </w:tabs>
        <w:ind w:left="2940" w:hanging="420"/>
      </w:pPr>
      <w:rPr>
        <w:rFonts w:hint="default" w:ascii="Wingdings" w:hAnsi="Wingdings"/>
      </w:rPr>
    </w:lvl>
    <w:lvl w:ilvl="6" w:tentative="0">
      <w:start w:val="1"/>
      <w:numFmt w:val="bullet"/>
      <w:pStyle w:val="401"/>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4"/>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372E15CB"/>
    <w:multiLevelType w:val="singleLevel"/>
    <w:tmpl w:val="372E15CB"/>
    <w:lvl w:ilvl="0" w:tentative="0">
      <w:start w:val="5"/>
      <w:numFmt w:val="chineseCounting"/>
      <w:suff w:val="nothing"/>
      <w:lvlText w:val="%1、"/>
      <w:lvlJc w:val="left"/>
      <w:rPr>
        <w:rFonts w:hint="eastAsia"/>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5"/>
      <w:lvlText w:val="%1"/>
      <w:lvlJc w:val="left"/>
      <w:pPr>
        <w:tabs>
          <w:tab w:val="left" w:pos="480"/>
        </w:tabs>
        <w:ind w:left="480" w:hanging="480"/>
      </w:pPr>
      <w:rPr>
        <w:rFonts w:hint="eastAsia"/>
        <w:sz w:val="44"/>
        <w:szCs w:val="44"/>
      </w:rPr>
    </w:lvl>
    <w:lvl w:ilvl="1" w:tentative="0">
      <w:start w:val="1"/>
      <w:numFmt w:val="decimal"/>
      <w:pStyle w:val="336"/>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4"/>
      <w:lvlText w:val="%1.%2.%3.%4.%5"/>
      <w:lvlJc w:val="left"/>
      <w:pPr>
        <w:tabs>
          <w:tab w:val="left" w:pos="1080"/>
        </w:tabs>
        <w:ind w:left="1080" w:hanging="1080"/>
      </w:pPr>
      <w:rPr>
        <w:rFonts w:hint="default"/>
      </w:rPr>
    </w:lvl>
    <w:lvl w:ilvl="5" w:tentative="0">
      <w:start w:val="1"/>
      <w:numFmt w:val="decimal"/>
      <w:pStyle w:val="21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5A7A4839"/>
    <w:multiLevelType w:val="singleLevel"/>
    <w:tmpl w:val="5A7A4839"/>
    <w:lvl w:ilvl="0" w:tentative="0">
      <w:start w:val="2"/>
      <w:numFmt w:val="decimal"/>
      <w:lvlText w:val="%1."/>
      <w:lvlJc w:val="left"/>
      <w:pPr>
        <w:tabs>
          <w:tab w:val="left" w:pos="312"/>
        </w:tabs>
      </w:pPr>
    </w:lvl>
  </w:abstractNum>
  <w:abstractNum w:abstractNumId="10">
    <w:nsid w:val="73596DCC"/>
    <w:multiLevelType w:val="multilevel"/>
    <w:tmpl w:val="73596DCC"/>
    <w:lvl w:ilvl="0" w:tentative="0">
      <w:start w:val="1"/>
      <w:numFmt w:val="bullet"/>
      <w:pStyle w:val="32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7"/>
  </w:num>
  <w:num w:numId="6">
    <w:abstractNumId w:val="10"/>
  </w:num>
  <w:num w:numId="7">
    <w:abstractNumId w:val="9"/>
  </w:num>
  <w:num w:numId="8">
    <w:abstractNumId w:val="5"/>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2ZGU2MzQ0NTU5ZDU5ODEyMWY3ZDI2NjVjNDBhMDg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4682E"/>
    <w:rsid w:val="00050656"/>
    <w:rsid w:val="00051B54"/>
    <w:rsid w:val="00054D39"/>
    <w:rsid w:val="0005501B"/>
    <w:rsid w:val="000554C7"/>
    <w:rsid w:val="00055A61"/>
    <w:rsid w:val="00056118"/>
    <w:rsid w:val="000578A3"/>
    <w:rsid w:val="00057FC8"/>
    <w:rsid w:val="000600BA"/>
    <w:rsid w:val="00061251"/>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8F7"/>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651"/>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33EF"/>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6CE4"/>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0914"/>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918"/>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6397"/>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07C0C"/>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0F48"/>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6D7C"/>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77879"/>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0ECA"/>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0F41"/>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7C"/>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1911C9"/>
    <w:rsid w:val="01236E52"/>
    <w:rsid w:val="014A2DD9"/>
    <w:rsid w:val="01A972C3"/>
    <w:rsid w:val="01E4322D"/>
    <w:rsid w:val="0205540C"/>
    <w:rsid w:val="02247F2A"/>
    <w:rsid w:val="0248019A"/>
    <w:rsid w:val="027A49E5"/>
    <w:rsid w:val="027C10EF"/>
    <w:rsid w:val="02DA0C0E"/>
    <w:rsid w:val="031C07A5"/>
    <w:rsid w:val="0338575B"/>
    <w:rsid w:val="033A0C2B"/>
    <w:rsid w:val="0340108D"/>
    <w:rsid w:val="035C48CF"/>
    <w:rsid w:val="03972DDE"/>
    <w:rsid w:val="03B97E40"/>
    <w:rsid w:val="03DD35E4"/>
    <w:rsid w:val="03E943D3"/>
    <w:rsid w:val="03FF2BF7"/>
    <w:rsid w:val="040C7CA3"/>
    <w:rsid w:val="04220DF3"/>
    <w:rsid w:val="042711AF"/>
    <w:rsid w:val="04374076"/>
    <w:rsid w:val="044576BB"/>
    <w:rsid w:val="0489203D"/>
    <w:rsid w:val="049530E4"/>
    <w:rsid w:val="04D76D61"/>
    <w:rsid w:val="04DC287B"/>
    <w:rsid w:val="056C5EBC"/>
    <w:rsid w:val="05AC4062"/>
    <w:rsid w:val="06253E14"/>
    <w:rsid w:val="065A6178"/>
    <w:rsid w:val="06710E08"/>
    <w:rsid w:val="067F4942"/>
    <w:rsid w:val="068A4E6D"/>
    <w:rsid w:val="0698692F"/>
    <w:rsid w:val="06E46C11"/>
    <w:rsid w:val="06FF02CB"/>
    <w:rsid w:val="07344F4E"/>
    <w:rsid w:val="073D0CEA"/>
    <w:rsid w:val="075562B7"/>
    <w:rsid w:val="07BE514D"/>
    <w:rsid w:val="07DC5683"/>
    <w:rsid w:val="07F6164B"/>
    <w:rsid w:val="08123F24"/>
    <w:rsid w:val="08144141"/>
    <w:rsid w:val="081510FF"/>
    <w:rsid w:val="08306508"/>
    <w:rsid w:val="086140B0"/>
    <w:rsid w:val="087A1B7A"/>
    <w:rsid w:val="088A4403"/>
    <w:rsid w:val="08AB3923"/>
    <w:rsid w:val="08B5322E"/>
    <w:rsid w:val="08C67A38"/>
    <w:rsid w:val="09254B98"/>
    <w:rsid w:val="09391DB0"/>
    <w:rsid w:val="09502C7B"/>
    <w:rsid w:val="096B2097"/>
    <w:rsid w:val="09CC48B7"/>
    <w:rsid w:val="0A4271E0"/>
    <w:rsid w:val="0A5371A2"/>
    <w:rsid w:val="0A5B7E63"/>
    <w:rsid w:val="0A825EB5"/>
    <w:rsid w:val="0AD06E5C"/>
    <w:rsid w:val="0AE4604C"/>
    <w:rsid w:val="0AE53B72"/>
    <w:rsid w:val="0B153BE5"/>
    <w:rsid w:val="0B6331BB"/>
    <w:rsid w:val="0BB07100"/>
    <w:rsid w:val="0BC04D62"/>
    <w:rsid w:val="0BF250D8"/>
    <w:rsid w:val="0C37615B"/>
    <w:rsid w:val="0C460641"/>
    <w:rsid w:val="0C71188E"/>
    <w:rsid w:val="0C87121B"/>
    <w:rsid w:val="0CA57D83"/>
    <w:rsid w:val="0CDB0E11"/>
    <w:rsid w:val="0D0B77FE"/>
    <w:rsid w:val="0D2A6A2B"/>
    <w:rsid w:val="0D95158F"/>
    <w:rsid w:val="0DD00B0A"/>
    <w:rsid w:val="0DF702FE"/>
    <w:rsid w:val="0E06277D"/>
    <w:rsid w:val="0E3F698B"/>
    <w:rsid w:val="0E651252"/>
    <w:rsid w:val="0E833DCE"/>
    <w:rsid w:val="0E886769"/>
    <w:rsid w:val="0E9360EE"/>
    <w:rsid w:val="0E96108B"/>
    <w:rsid w:val="0E9B1118"/>
    <w:rsid w:val="0EB67D00"/>
    <w:rsid w:val="0EC71188"/>
    <w:rsid w:val="0F21508F"/>
    <w:rsid w:val="0F4F5A5E"/>
    <w:rsid w:val="0F5173B4"/>
    <w:rsid w:val="0F591563"/>
    <w:rsid w:val="0F816ACD"/>
    <w:rsid w:val="0FB94501"/>
    <w:rsid w:val="0FC57EE9"/>
    <w:rsid w:val="0FDC6702"/>
    <w:rsid w:val="0FFD026A"/>
    <w:rsid w:val="100D4AC2"/>
    <w:rsid w:val="1056084D"/>
    <w:rsid w:val="10596B94"/>
    <w:rsid w:val="10962E2B"/>
    <w:rsid w:val="10991559"/>
    <w:rsid w:val="10B047CF"/>
    <w:rsid w:val="10E70644"/>
    <w:rsid w:val="10F91016"/>
    <w:rsid w:val="10FC16EA"/>
    <w:rsid w:val="11345723"/>
    <w:rsid w:val="113875FC"/>
    <w:rsid w:val="113B57A2"/>
    <w:rsid w:val="113E3FDC"/>
    <w:rsid w:val="11681D9C"/>
    <w:rsid w:val="1174706F"/>
    <w:rsid w:val="118963A1"/>
    <w:rsid w:val="1191046E"/>
    <w:rsid w:val="119F1C0A"/>
    <w:rsid w:val="11C43703"/>
    <w:rsid w:val="11F1087F"/>
    <w:rsid w:val="12105979"/>
    <w:rsid w:val="12154A9F"/>
    <w:rsid w:val="12477A64"/>
    <w:rsid w:val="125B164C"/>
    <w:rsid w:val="125C296C"/>
    <w:rsid w:val="1261638A"/>
    <w:rsid w:val="127723A9"/>
    <w:rsid w:val="12C34799"/>
    <w:rsid w:val="12EE27C7"/>
    <w:rsid w:val="13072A44"/>
    <w:rsid w:val="131921F4"/>
    <w:rsid w:val="13556BE8"/>
    <w:rsid w:val="13596EAB"/>
    <w:rsid w:val="137D3681"/>
    <w:rsid w:val="13867752"/>
    <w:rsid w:val="13DA18B5"/>
    <w:rsid w:val="13F21625"/>
    <w:rsid w:val="14027543"/>
    <w:rsid w:val="140B3C5F"/>
    <w:rsid w:val="142B4CEC"/>
    <w:rsid w:val="145044FA"/>
    <w:rsid w:val="14540023"/>
    <w:rsid w:val="146C7E19"/>
    <w:rsid w:val="147407C7"/>
    <w:rsid w:val="14806449"/>
    <w:rsid w:val="14825986"/>
    <w:rsid w:val="148D1503"/>
    <w:rsid w:val="14EB5AE6"/>
    <w:rsid w:val="153D68B5"/>
    <w:rsid w:val="15451DDD"/>
    <w:rsid w:val="15787ABD"/>
    <w:rsid w:val="169F0DD9"/>
    <w:rsid w:val="16C60CFC"/>
    <w:rsid w:val="16E96C6A"/>
    <w:rsid w:val="16FF2F9F"/>
    <w:rsid w:val="170B4961"/>
    <w:rsid w:val="172E30C4"/>
    <w:rsid w:val="1733795A"/>
    <w:rsid w:val="173B1EDD"/>
    <w:rsid w:val="174130FE"/>
    <w:rsid w:val="177D152E"/>
    <w:rsid w:val="17BB1EE3"/>
    <w:rsid w:val="17D91D9C"/>
    <w:rsid w:val="17E51656"/>
    <w:rsid w:val="17EA67D9"/>
    <w:rsid w:val="17F7298C"/>
    <w:rsid w:val="17FB2C60"/>
    <w:rsid w:val="181C38CA"/>
    <w:rsid w:val="18221F62"/>
    <w:rsid w:val="18390760"/>
    <w:rsid w:val="186742B0"/>
    <w:rsid w:val="189E4635"/>
    <w:rsid w:val="18BD69DD"/>
    <w:rsid w:val="18FA2EDF"/>
    <w:rsid w:val="19034BF0"/>
    <w:rsid w:val="193463F1"/>
    <w:rsid w:val="1938252F"/>
    <w:rsid w:val="193C52A5"/>
    <w:rsid w:val="198748C6"/>
    <w:rsid w:val="19A54BF8"/>
    <w:rsid w:val="19E8300C"/>
    <w:rsid w:val="1A4A1BD2"/>
    <w:rsid w:val="1A693E78"/>
    <w:rsid w:val="1A6D739B"/>
    <w:rsid w:val="1A9552A7"/>
    <w:rsid w:val="1AE1489F"/>
    <w:rsid w:val="1AF252E3"/>
    <w:rsid w:val="1AFA0F74"/>
    <w:rsid w:val="1B2A271F"/>
    <w:rsid w:val="1B7D66EA"/>
    <w:rsid w:val="1B890139"/>
    <w:rsid w:val="1BBB4360"/>
    <w:rsid w:val="1C162B7C"/>
    <w:rsid w:val="1C262932"/>
    <w:rsid w:val="1C372204"/>
    <w:rsid w:val="1C580648"/>
    <w:rsid w:val="1C60699F"/>
    <w:rsid w:val="1C8E3F98"/>
    <w:rsid w:val="1C8F4E47"/>
    <w:rsid w:val="1CA8015C"/>
    <w:rsid w:val="1CB36DBB"/>
    <w:rsid w:val="1CC161ED"/>
    <w:rsid w:val="1D266CE1"/>
    <w:rsid w:val="1D3963AF"/>
    <w:rsid w:val="1D7A5A02"/>
    <w:rsid w:val="1D9A07EC"/>
    <w:rsid w:val="1DA418D8"/>
    <w:rsid w:val="1DC752C6"/>
    <w:rsid w:val="1E494800"/>
    <w:rsid w:val="1E575E03"/>
    <w:rsid w:val="1E5906A7"/>
    <w:rsid w:val="1E702A8F"/>
    <w:rsid w:val="1E714A66"/>
    <w:rsid w:val="1EAC36DC"/>
    <w:rsid w:val="1EC92A92"/>
    <w:rsid w:val="1F164681"/>
    <w:rsid w:val="1F525822"/>
    <w:rsid w:val="1F53782B"/>
    <w:rsid w:val="1F6E7174"/>
    <w:rsid w:val="1F952BF2"/>
    <w:rsid w:val="1F993380"/>
    <w:rsid w:val="1FE868A9"/>
    <w:rsid w:val="20294A64"/>
    <w:rsid w:val="205D60AA"/>
    <w:rsid w:val="206030D2"/>
    <w:rsid w:val="2084257A"/>
    <w:rsid w:val="20940599"/>
    <w:rsid w:val="20C40541"/>
    <w:rsid w:val="20D31122"/>
    <w:rsid w:val="20F3093F"/>
    <w:rsid w:val="211E26D6"/>
    <w:rsid w:val="21283D08"/>
    <w:rsid w:val="213E2CCB"/>
    <w:rsid w:val="21C61BB0"/>
    <w:rsid w:val="21CB5EC8"/>
    <w:rsid w:val="22451096"/>
    <w:rsid w:val="22576CAC"/>
    <w:rsid w:val="225C57E4"/>
    <w:rsid w:val="2294749B"/>
    <w:rsid w:val="22A6344B"/>
    <w:rsid w:val="22E542B8"/>
    <w:rsid w:val="22EF04DE"/>
    <w:rsid w:val="23073198"/>
    <w:rsid w:val="23103A2A"/>
    <w:rsid w:val="24372BE7"/>
    <w:rsid w:val="246F4B24"/>
    <w:rsid w:val="24D040A2"/>
    <w:rsid w:val="24E8500B"/>
    <w:rsid w:val="24FB6014"/>
    <w:rsid w:val="24FF2A65"/>
    <w:rsid w:val="25081021"/>
    <w:rsid w:val="25096983"/>
    <w:rsid w:val="251927DD"/>
    <w:rsid w:val="25494FD2"/>
    <w:rsid w:val="25513E86"/>
    <w:rsid w:val="25793D5D"/>
    <w:rsid w:val="259F1096"/>
    <w:rsid w:val="25B440B3"/>
    <w:rsid w:val="25C12D39"/>
    <w:rsid w:val="25E95B8A"/>
    <w:rsid w:val="265C7316"/>
    <w:rsid w:val="26690973"/>
    <w:rsid w:val="266F0A68"/>
    <w:rsid w:val="26B371DC"/>
    <w:rsid w:val="26E2755F"/>
    <w:rsid w:val="27831F6F"/>
    <w:rsid w:val="28190DF9"/>
    <w:rsid w:val="28327230"/>
    <w:rsid w:val="284A01D6"/>
    <w:rsid w:val="284A7358"/>
    <w:rsid w:val="28722A91"/>
    <w:rsid w:val="287E1436"/>
    <w:rsid w:val="28D6631B"/>
    <w:rsid w:val="28E20443"/>
    <w:rsid w:val="28FE49F4"/>
    <w:rsid w:val="292D0766"/>
    <w:rsid w:val="29590432"/>
    <w:rsid w:val="29C66163"/>
    <w:rsid w:val="29D92D1D"/>
    <w:rsid w:val="29FB11D2"/>
    <w:rsid w:val="2A202079"/>
    <w:rsid w:val="2A4100AB"/>
    <w:rsid w:val="2A8E3487"/>
    <w:rsid w:val="2A9A62D0"/>
    <w:rsid w:val="2AA1365A"/>
    <w:rsid w:val="2AA669B6"/>
    <w:rsid w:val="2AAA54EB"/>
    <w:rsid w:val="2AC4538D"/>
    <w:rsid w:val="2AC53A02"/>
    <w:rsid w:val="2AC923B3"/>
    <w:rsid w:val="2AED1DD5"/>
    <w:rsid w:val="2AF30E97"/>
    <w:rsid w:val="2B840B33"/>
    <w:rsid w:val="2B9C1D79"/>
    <w:rsid w:val="2BAB343B"/>
    <w:rsid w:val="2BB45F3D"/>
    <w:rsid w:val="2BE05F64"/>
    <w:rsid w:val="2C300C99"/>
    <w:rsid w:val="2C506C46"/>
    <w:rsid w:val="2C581F9E"/>
    <w:rsid w:val="2C6A5C3F"/>
    <w:rsid w:val="2CF87289"/>
    <w:rsid w:val="2D0D2D89"/>
    <w:rsid w:val="2D0E566F"/>
    <w:rsid w:val="2D2D1D4E"/>
    <w:rsid w:val="2D4B4253"/>
    <w:rsid w:val="2D50015E"/>
    <w:rsid w:val="2D9544E6"/>
    <w:rsid w:val="2DA73A8F"/>
    <w:rsid w:val="2DBB27E5"/>
    <w:rsid w:val="2DD15014"/>
    <w:rsid w:val="2DFA581D"/>
    <w:rsid w:val="2E370FBD"/>
    <w:rsid w:val="2E422F06"/>
    <w:rsid w:val="2E59069E"/>
    <w:rsid w:val="2E7259F9"/>
    <w:rsid w:val="2EB55486"/>
    <w:rsid w:val="2EC0378C"/>
    <w:rsid w:val="2EF53AD4"/>
    <w:rsid w:val="2EF835C5"/>
    <w:rsid w:val="2F7C4E84"/>
    <w:rsid w:val="2FD25781"/>
    <w:rsid w:val="2FEA56D4"/>
    <w:rsid w:val="2FFF3B51"/>
    <w:rsid w:val="30341A1A"/>
    <w:rsid w:val="307014B7"/>
    <w:rsid w:val="307C5284"/>
    <w:rsid w:val="30B36BA5"/>
    <w:rsid w:val="314A78E9"/>
    <w:rsid w:val="318F2491"/>
    <w:rsid w:val="319C292D"/>
    <w:rsid w:val="319C6071"/>
    <w:rsid w:val="31C003CA"/>
    <w:rsid w:val="325F52AA"/>
    <w:rsid w:val="32781685"/>
    <w:rsid w:val="3293094A"/>
    <w:rsid w:val="32DB72BE"/>
    <w:rsid w:val="32E63698"/>
    <w:rsid w:val="33394E24"/>
    <w:rsid w:val="334528CA"/>
    <w:rsid w:val="33B820C3"/>
    <w:rsid w:val="33C10429"/>
    <w:rsid w:val="340D1201"/>
    <w:rsid w:val="341B1C55"/>
    <w:rsid w:val="342E63AB"/>
    <w:rsid w:val="345D260B"/>
    <w:rsid w:val="34B00BC9"/>
    <w:rsid w:val="34D66287"/>
    <w:rsid w:val="34E22D4D"/>
    <w:rsid w:val="356E690E"/>
    <w:rsid w:val="357807CA"/>
    <w:rsid w:val="35962833"/>
    <w:rsid w:val="35BB330C"/>
    <w:rsid w:val="35C11842"/>
    <w:rsid w:val="35C34906"/>
    <w:rsid w:val="35C80195"/>
    <w:rsid w:val="35DE565D"/>
    <w:rsid w:val="35E3011E"/>
    <w:rsid w:val="35E557CC"/>
    <w:rsid w:val="365302AE"/>
    <w:rsid w:val="366D2628"/>
    <w:rsid w:val="36764774"/>
    <w:rsid w:val="367A2A30"/>
    <w:rsid w:val="3699568D"/>
    <w:rsid w:val="36BD5820"/>
    <w:rsid w:val="36D04FAA"/>
    <w:rsid w:val="36E7199B"/>
    <w:rsid w:val="371A4A20"/>
    <w:rsid w:val="376C0177"/>
    <w:rsid w:val="377C4D93"/>
    <w:rsid w:val="37D36A14"/>
    <w:rsid w:val="37F142D2"/>
    <w:rsid w:val="37F7266B"/>
    <w:rsid w:val="37FE48E5"/>
    <w:rsid w:val="384E5D43"/>
    <w:rsid w:val="38D3500A"/>
    <w:rsid w:val="39171C22"/>
    <w:rsid w:val="395835A1"/>
    <w:rsid w:val="39841D6D"/>
    <w:rsid w:val="399A1E48"/>
    <w:rsid w:val="39A13F14"/>
    <w:rsid w:val="39AE2AA2"/>
    <w:rsid w:val="3A0B4AF4"/>
    <w:rsid w:val="3A146D6F"/>
    <w:rsid w:val="3A206EBF"/>
    <w:rsid w:val="3A87296C"/>
    <w:rsid w:val="3AC555D8"/>
    <w:rsid w:val="3ACC3E45"/>
    <w:rsid w:val="3AD57AD7"/>
    <w:rsid w:val="3B0345D5"/>
    <w:rsid w:val="3B1250C0"/>
    <w:rsid w:val="3B167A46"/>
    <w:rsid w:val="3B223CD6"/>
    <w:rsid w:val="3B312338"/>
    <w:rsid w:val="3B712735"/>
    <w:rsid w:val="3BD15891"/>
    <w:rsid w:val="3C053CA3"/>
    <w:rsid w:val="3C0637C5"/>
    <w:rsid w:val="3C2037AB"/>
    <w:rsid w:val="3C531513"/>
    <w:rsid w:val="3C5F759A"/>
    <w:rsid w:val="3C721FC7"/>
    <w:rsid w:val="3CEB6719"/>
    <w:rsid w:val="3CFA359E"/>
    <w:rsid w:val="3CFE5C97"/>
    <w:rsid w:val="3D1B0EA8"/>
    <w:rsid w:val="3D232155"/>
    <w:rsid w:val="3D5C78D4"/>
    <w:rsid w:val="3D712EC0"/>
    <w:rsid w:val="3D7A6218"/>
    <w:rsid w:val="3D9D2619"/>
    <w:rsid w:val="3E18158D"/>
    <w:rsid w:val="3E270777"/>
    <w:rsid w:val="3E5655BB"/>
    <w:rsid w:val="3E635DF9"/>
    <w:rsid w:val="3E7341AD"/>
    <w:rsid w:val="3E74795D"/>
    <w:rsid w:val="3E7D330E"/>
    <w:rsid w:val="3EDC25BB"/>
    <w:rsid w:val="3EF45CBB"/>
    <w:rsid w:val="3EFE3182"/>
    <w:rsid w:val="3FE5306E"/>
    <w:rsid w:val="3FEB5E51"/>
    <w:rsid w:val="3FF52BC7"/>
    <w:rsid w:val="3FFD4EDF"/>
    <w:rsid w:val="3FFF72A6"/>
    <w:rsid w:val="40441130"/>
    <w:rsid w:val="40A945C4"/>
    <w:rsid w:val="40C17A68"/>
    <w:rsid w:val="40C64E87"/>
    <w:rsid w:val="40D16787"/>
    <w:rsid w:val="41041EEE"/>
    <w:rsid w:val="41D3740B"/>
    <w:rsid w:val="41DE664A"/>
    <w:rsid w:val="41F1556A"/>
    <w:rsid w:val="4203048B"/>
    <w:rsid w:val="42581987"/>
    <w:rsid w:val="42B85710"/>
    <w:rsid w:val="42C21C68"/>
    <w:rsid w:val="42C369DC"/>
    <w:rsid w:val="42D261AF"/>
    <w:rsid w:val="42E1381E"/>
    <w:rsid w:val="42F04887"/>
    <w:rsid w:val="42F8680B"/>
    <w:rsid w:val="430A5286"/>
    <w:rsid w:val="432A5FEB"/>
    <w:rsid w:val="438D61AA"/>
    <w:rsid w:val="43E1601E"/>
    <w:rsid w:val="43FB717C"/>
    <w:rsid w:val="440D1EF2"/>
    <w:rsid w:val="44146CD1"/>
    <w:rsid w:val="443076D0"/>
    <w:rsid w:val="443A7844"/>
    <w:rsid w:val="44762089"/>
    <w:rsid w:val="44852371"/>
    <w:rsid w:val="44E87A5B"/>
    <w:rsid w:val="44E96952"/>
    <w:rsid w:val="44FF34A7"/>
    <w:rsid w:val="451E447A"/>
    <w:rsid w:val="45345B76"/>
    <w:rsid w:val="453E5D7D"/>
    <w:rsid w:val="45481025"/>
    <w:rsid w:val="45937BEE"/>
    <w:rsid w:val="45D24B6F"/>
    <w:rsid w:val="45D93FD8"/>
    <w:rsid w:val="45E00BE3"/>
    <w:rsid w:val="45E83F3B"/>
    <w:rsid w:val="45F70820"/>
    <w:rsid w:val="45F83B6F"/>
    <w:rsid w:val="46124098"/>
    <w:rsid w:val="465D66D7"/>
    <w:rsid w:val="469F14E0"/>
    <w:rsid w:val="47013A8E"/>
    <w:rsid w:val="47250F23"/>
    <w:rsid w:val="472D54E2"/>
    <w:rsid w:val="47307808"/>
    <w:rsid w:val="47364B7C"/>
    <w:rsid w:val="475A2C17"/>
    <w:rsid w:val="47BE4A19"/>
    <w:rsid w:val="48072081"/>
    <w:rsid w:val="481C66AD"/>
    <w:rsid w:val="48277D70"/>
    <w:rsid w:val="484A2C8B"/>
    <w:rsid w:val="485853A8"/>
    <w:rsid w:val="486F747C"/>
    <w:rsid w:val="48D82045"/>
    <w:rsid w:val="495C4909"/>
    <w:rsid w:val="49AB419B"/>
    <w:rsid w:val="49C149A9"/>
    <w:rsid w:val="4A4E5721"/>
    <w:rsid w:val="4A8426AA"/>
    <w:rsid w:val="4AA246B9"/>
    <w:rsid w:val="4AA7028D"/>
    <w:rsid w:val="4B5B3E0C"/>
    <w:rsid w:val="4B78366B"/>
    <w:rsid w:val="4BC468B1"/>
    <w:rsid w:val="4C1F27D1"/>
    <w:rsid w:val="4C746529"/>
    <w:rsid w:val="4C897B48"/>
    <w:rsid w:val="4C9E2E24"/>
    <w:rsid w:val="4CDB4D80"/>
    <w:rsid w:val="4CF84A64"/>
    <w:rsid w:val="4D07739D"/>
    <w:rsid w:val="4D2663E1"/>
    <w:rsid w:val="4D861CF6"/>
    <w:rsid w:val="4DBF1A26"/>
    <w:rsid w:val="4DC4528E"/>
    <w:rsid w:val="4E4203BC"/>
    <w:rsid w:val="4E4A5793"/>
    <w:rsid w:val="4E636855"/>
    <w:rsid w:val="4E8A2B47"/>
    <w:rsid w:val="4EB470B0"/>
    <w:rsid w:val="4EB9774A"/>
    <w:rsid w:val="4EDF2B2C"/>
    <w:rsid w:val="4F232F9C"/>
    <w:rsid w:val="4F2C4202"/>
    <w:rsid w:val="4F5D14F6"/>
    <w:rsid w:val="4F8C310F"/>
    <w:rsid w:val="4FA42BA8"/>
    <w:rsid w:val="4FD116E0"/>
    <w:rsid w:val="50054F94"/>
    <w:rsid w:val="503F72DC"/>
    <w:rsid w:val="5043693E"/>
    <w:rsid w:val="504B75A0"/>
    <w:rsid w:val="506444A8"/>
    <w:rsid w:val="50B80646"/>
    <w:rsid w:val="50E345F0"/>
    <w:rsid w:val="50E377D9"/>
    <w:rsid w:val="50EC48E0"/>
    <w:rsid w:val="512A365A"/>
    <w:rsid w:val="513513A8"/>
    <w:rsid w:val="51827DCB"/>
    <w:rsid w:val="518B40E8"/>
    <w:rsid w:val="51A0432A"/>
    <w:rsid w:val="51BA1276"/>
    <w:rsid w:val="52100AA2"/>
    <w:rsid w:val="52185886"/>
    <w:rsid w:val="527140E5"/>
    <w:rsid w:val="52734B8D"/>
    <w:rsid w:val="5292508F"/>
    <w:rsid w:val="529E2457"/>
    <w:rsid w:val="52A96B6F"/>
    <w:rsid w:val="52DE294E"/>
    <w:rsid w:val="52E71802"/>
    <w:rsid w:val="52EA30A1"/>
    <w:rsid w:val="532A7941"/>
    <w:rsid w:val="53374688"/>
    <w:rsid w:val="535D2A90"/>
    <w:rsid w:val="53812EA8"/>
    <w:rsid w:val="53B37937"/>
    <w:rsid w:val="54BE4A5D"/>
    <w:rsid w:val="54FC7317"/>
    <w:rsid w:val="550764A4"/>
    <w:rsid w:val="551926E0"/>
    <w:rsid w:val="55376345"/>
    <w:rsid w:val="55603491"/>
    <w:rsid w:val="556501E9"/>
    <w:rsid w:val="55990D53"/>
    <w:rsid w:val="55A600A3"/>
    <w:rsid w:val="561279B9"/>
    <w:rsid w:val="56183036"/>
    <w:rsid w:val="561F13DA"/>
    <w:rsid w:val="562B40FC"/>
    <w:rsid w:val="56302F16"/>
    <w:rsid w:val="56457AF7"/>
    <w:rsid w:val="56515F3B"/>
    <w:rsid w:val="571406EC"/>
    <w:rsid w:val="572B71CA"/>
    <w:rsid w:val="572E5049"/>
    <w:rsid w:val="572F77EE"/>
    <w:rsid w:val="5759480C"/>
    <w:rsid w:val="577932BA"/>
    <w:rsid w:val="579230F5"/>
    <w:rsid w:val="5793569A"/>
    <w:rsid w:val="57994DB6"/>
    <w:rsid w:val="579C331B"/>
    <w:rsid w:val="58140DF3"/>
    <w:rsid w:val="585B5C1B"/>
    <w:rsid w:val="58AE4F0C"/>
    <w:rsid w:val="58B32EBD"/>
    <w:rsid w:val="58C46142"/>
    <w:rsid w:val="58C47EF0"/>
    <w:rsid w:val="58EB5DFD"/>
    <w:rsid w:val="59376BFA"/>
    <w:rsid w:val="595C281E"/>
    <w:rsid w:val="595E0345"/>
    <w:rsid w:val="597942F4"/>
    <w:rsid w:val="599C4367"/>
    <w:rsid w:val="5A2A7C7B"/>
    <w:rsid w:val="5A4412E8"/>
    <w:rsid w:val="5AAC2C11"/>
    <w:rsid w:val="5ABD78A3"/>
    <w:rsid w:val="5ADF54B5"/>
    <w:rsid w:val="5AEB3117"/>
    <w:rsid w:val="5B0354D7"/>
    <w:rsid w:val="5B142032"/>
    <w:rsid w:val="5B3B76AF"/>
    <w:rsid w:val="5BA6698B"/>
    <w:rsid w:val="5BAE401E"/>
    <w:rsid w:val="5BF50A4C"/>
    <w:rsid w:val="5BFD3E45"/>
    <w:rsid w:val="5C313755"/>
    <w:rsid w:val="5C447CC6"/>
    <w:rsid w:val="5C7A05E6"/>
    <w:rsid w:val="5C80234E"/>
    <w:rsid w:val="5C8C341B"/>
    <w:rsid w:val="5CB1165C"/>
    <w:rsid w:val="5CB36C72"/>
    <w:rsid w:val="5CC47CC0"/>
    <w:rsid w:val="5CEE5E83"/>
    <w:rsid w:val="5D152C9F"/>
    <w:rsid w:val="5D1949AD"/>
    <w:rsid w:val="5D7A3273"/>
    <w:rsid w:val="5E261785"/>
    <w:rsid w:val="5E536169"/>
    <w:rsid w:val="5E7C7E8A"/>
    <w:rsid w:val="5EA003ED"/>
    <w:rsid w:val="5EFF3BB3"/>
    <w:rsid w:val="5F211695"/>
    <w:rsid w:val="5F571ABE"/>
    <w:rsid w:val="5FCC5339"/>
    <w:rsid w:val="5FE70807"/>
    <w:rsid w:val="5FEC6CA7"/>
    <w:rsid w:val="5FF7504F"/>
    <w:rsid w:val="601873DC"/>
    <w:rsid w:val="601E0F1E"/>
    <w:rsid w:val="60235E44"/>
    <w:rsid w:val="602E17BF"/>
    <w:rsid w:val="6037218E"/>
    <w:rsid w:val="607E64F0"/>
    <w:rsid w:val="609805E0"/>
    <w:rsid w:val="60A56859"/>
    <w:rsid w:val="60B95A02"/>
    <w:rsid w:val="60CF7318"/>
    <w:rsid w:val="60DE46D5"/>
    <w:rsid w:val="60E53485"/>
    <w:rsid w:val="61054A27"/>
    <w:rsid w:val="61102019"/>
    <w:rsid w:val="61107DF1"/>
    <w:rsid w:val="611D2366"/>
    <w:rsid w:val="614D13CA"/>
    <w:rsid w:val="618440A8"/>
    <w:rsid w:val="61A62889"/>
    <w:rsid w:val="61BD4595"/>
    <w:rsid w:val="61C26B88"/>
    <w:rsid w:val="61E817C2"/>
    <w:rsid w:val="61F02791"/>
    <w:rsid w:val="624664DC"/>
    <w:rsid w:val="626E46C9"/>
    <w:rsid w:val="62885958"/>
    <w:rsid w:val="628A7A7B"/>
    <w:rsid w:val="62BA12A1"/>
    <w:rsid w:val="62DA5A24"/>
    <w:rsid w:val="62E52031"/>
    <w:rsid w:val="63170BB6"/>
    <w:rsid w:val="632F5A7F"/>
    <w:rsid w:val="636458C1"/>
    <w:rsid w:val="6367712A"/>
    <w:rsid w:val="63CF6B55"/>
    <w:rsid w:val="64076BE3"/>
    <w:rsid w:val="649B069F"/>
    <w:rsid w:val="64AA3DFB"/>
    <w:rsid w:val="64BD6867"/>
    <w:rsid w:val="64CE2EAA"/>
    <w:rsid w:val="64F00EB6"/>
    <w:rsid w:val="659155FE"/>
    <w:rsid w:val="65B83CBC"/>
    <w:rsid w:val="660C5984"/>
    <w:rsid w:val="66171FA7"/>
    <w:rsid w:val="662E75B1"/>
    <w:rsid w:val="66342C2E"/>
    <w:rsid w:val="663E784C"/>
    <w:rsid w:val="666C42EF"/>
    <w:rsid w:val="66BA5428"/>
    <w:rsid w:val="66CC61E9"/>
    <w:rsid w:val="66F2031E"/>
    <w:rsid w:val="670854A3"/>
    <w:rsid w:val="671309C0"/>
    <w:rsid w:val="675D7A3D"/>
    <w:rsid w:val="67703B98"/>
    <w:rsid w:val="677A7071"/>
    <w:rsid w:val="67D710EB"/>
    <w:rsid w:val="68150768"/>
    <w:rsid w:val="6815719D"/>
    <w:rsid w:val="6824719D"/>
    <w:rsid w:val="683230C8"/>
    <w:rsid w:val="68324E76"/>
    <w:rsid w:val="68420E31"/>
    <w:rsid w:val="685867EC"/>
    <w:rsid w:val="687D72E3"/>
    <w:rsid w:val="68A97A41"/>
    <w:rsid w:val="68CD2D3E"/>
    <w:rsid w:val="68F71C1C"/>
    <w:rsid w:val="69111601"/>
    <w:rsid w:val="693D4385"/>
    <w:rsid w:val="693E3C75"/>
    <w:rsid w:val="69D62568"/>
    <w:rsid w:val="69DA7573"/>
    <w:rsid w:val="6A1704A6"/>
    <w:rsid w:val="6A4E26A9"/>
    <w:rsid w:val="6A5135AE"/>
    <w:rsid w:val="6AE0505D"/>
    <w:rsid w:val="6AE14931"/>
    <w:rsid w:val="6B225676"/>
    <w:rsid w:val="6B5D2963"/>
    <w:rsid w:val="6B6A347A"/>
    <w:rsid w:val="6B6E08BB"/>
    <w:rsid w:val="6BBC6E2A"/>
    <w:rsid w:val="6BCF0C2E"/>
    <w:rsid w:val="6C1B73C9"/>
    <w:rsid w:val="6C1F28AA"/>
    <w:rsid w:val="6C2A7733"/>
    <w:rsid w:val="6C6D57B5"/>
    <w:rsid w:val="6C97799E"/>
    <w:rsid w:val="6CCD4886"/>
    <w:rsid w:val="6D9E2FAE"/>
    <w:rsid w:val="6DB26B4C"/>
    <w:rsid w:val="6DC21394"/>
    <w:rsid w:val="6DD6496B"/>
    <w:rsid w:val="6E3C6EAB"/>
    <w:rsid w:val="6E405E13"/>
    <w:rsid w:val="6E8E12EF"/>
    <w:rsid w:val="6E943E10"/>
    <w:rsid w:val="6EA00C0F"/>
    <w:rsid w:val="6EFD397E"/>
    <w:rsid w:val="6F211975"/>
    <w:rsid w:val="6F280D81"/>
    <w:rsid w:val="6F5800EB"/>
    <w:rsid w:val="6F9339D9"/>
    <w:rsid w:val="6F946416"/>
    <w:rsid w:val="700467F5"/>
    <w:rsid w:val="700B64D5"/>
    <w:rsid w:val="702F613F"/>
    <w:rsid w:val="70EE6AA6"/>
    <w:rsid w:val="7102313F"/>
    <w:rsid w:val="7199432A"/>
    <w:rsid w:val="71D43752"/>
    <w:rsid w:val="71E01DE7"/>
    <w:rsid w:val="7207138D"/>
    <w:rsid w:val="72560E73"/>
    <w:rsid w:val="72B6058D"/>
    <w:rsid w:val="72CC3A4E"/>
    <w:rsid w:val="72F32A7E"/>
    <w:rsid w:val="731C1861"/>
    <w:rsid w:val="735F6D3B"/>
    <w:rsid w:val="73861902"/>
    <w:rsid w:val="738D5A3D"/>
    <w:rsid w:val="73DD6243"/>
    <w:rsid w:val="73E334C8"/>
    <w:rsid w:val="74145D78"/>
    <w:rsid w:val="74281823"/>
    <w:rsid w:val="74512B28"/>
    <w:rsid w:val="749C4185"/>
    <w:rsid w:val="74AF5AA0"/>
    <w:rsid w:val="74EC2D63"/>
    <w:rsid w:val="7521568D"/>
    <w:rsid w:val="75736ACE"/>
    <w:rsid w:val="75844033"/>
    <w:rsid w:val="759F7DF7"/>
    <w:rsid w:val="75DA2C18"/>
    <w:rsid w:val="75E833BA"/>
    <w:rsid w:val="76314A11"/>
    <w:rsid w:val="76455512"/>
    <w:rsid w:val="765D2ACF"/>
    <w:rsid w:val="76684159"/>
    <w:rsid w:val="767945B8"/>
    <w:rsid w:val="769E09A8"/>
    <w:rsid w:val="76A240C1"/>
    <w:rsid w:val="775319EF"/>
    <w:rsid w:val="7778661E"/>
    <w:rsid w:val="778B5180"/>
    <w:rsid w:val="77C33AFD"/>
    <w:rsid w:val="77E43BCD"/>
    <w:rsid w:val="781E477C"/>
    <w:rsid w:val="782347DB"/>
    <w:rsid w:val="78352912"/>
    <w:rsid w:val="785C5DE4"/>
    <w:rsid w:val="790F1C77"/>
    <w:rsid w:val="79215D9A"/>
    <w:rsid w:val="7994333F"/>
    <w:rsid w:val="799530D9"/>
    <w:rsid w:val="79AE6327"/>
    <w:rsid w:val="79BF535E"/>
    <w:rsid w:val="79E53D2E"/>
    <w:rsid w:val="7A3132D1"/>
    <w:rsid w:val="7A532191"/>
    <w:rsid w:val="7A663825"/>
    <w:rsid w:val="7A67303B"/>
    <w:rsid w:val="7A770BB0"/>
    <w:rsid w:val="7AAB1D04"/>
    <w:rsid w:val="7AB636E5"/>
    <w:rsid w:val="7ABA4368"/>
    <w:rsid w:val="7AE04C06"/>
    <w:rsid w:val="7AF53A28"/>
    <w:rsid w:val="7AF84371"/>
    <w:rsid w:val="7B001352"/>
    <w:rsid w:val="7B257FFD"/>
    <w:rsid w:val="7B38059E"/>
    <w:rsid w:val="7B7208F6"/>
    <w:rsid w:val="7B875E9D"/>
    <w:rsid w:val="7BAA4755"/>
    <w:rsid w:val="7BF817F1"/>
    <w:rsid w:val="7C2B1DA5"/>
    <w:rsid w:val="7C8548D8"/>
    <w:rsid w:val="7C95557C"/>
    <w:rsid w:val="7CEA3729"/>
    <w:rsid w:val="7D2F0A09"/>
    <w:rsid w:val="7D3B25C7"/>
    <w:rsid w:val="7D962AE8"/>
    <w:rsid w:val="7DA57939"/>
    <w:rsid w:val="7DD13489"/>
    <w:rsid w:val="7DF369FE"/>
    <w:rsid w:val="7DF4317E"/>
    <w:rsid w:val="7E3239CA"/>
    <w:rsid w:val="7E64308B"/>
    <w:rsid w:val="7E975505"/>
    <w:rsid w:val="7EC8663B"/>
    <w:rsid w:val="7F06714F"/>
    <w:rsid w:val="7F1A275D"/>
    <w:rsid w:val="7F280929"/>
    <w:rsid w:val="7F5F40FF"/>
    <w:rsid w:val="7F9D0980"/>
    <w:rsid w:val="7FB12F21"/>
    <w:rsid w:val="7FDA5994"/>
    <w:rsid w:val="7FDF4973"/>
    <w:rsid w:val="7FFF3AE7"/>
    <w:rsid w:val="BF7739A7"/>
    <w:rsid w:val="BFD651C8"/>
    <w:rsid w:val="D7FFD192"/>
    <w:rsid w:val="F5BD4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1"/>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601"/>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5"/>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4"/>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3"/>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3"/>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2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link w:val="505"/>
    <w:qFormat/>
    <w:uiPriority w:val="0"/>
    <w:pPr>
      <w:spacing w:line="360" w:lineRule="auto"/>
      <w:ind w:firstLine="601"/>
      <w:textAlignment w:val="baseline"/>
    </w:pPr>
    <w:rPr>
      <w:rFonts w:ascii="宋体"/>
      <w:kern w:val="0"/>
      <w:sz w:val="28"/>
      <w:szCs w:val="20"/>
    </w:rPr>
  </w:style>
  <w:style w:type="paragraph" w:styleId="3">
    <w:name w:val="Body Text First Indent 2"/>
    <w:basedOn w:val="1"/>
    <w:link w:val="504"/>
    <w:qFormat/>
    <w:uiPriority w:val="0"/>
    <w:pPr>
      <w:adjustRightInd/>
      <w:spacing w:after="120" w:line="240" w:lineRule="auto"/>
      <w:ind w:left="420" w:leftChars="200" w:firstLine="210"/>
    </w:pPr>
    <w:rPr>
      <w:sz w:val="21"/>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615"/>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toa heading"/>
    <w:basedOn w:val="1"/>
    <w:next w:val="1"/>
    <w:qFormat/>
    <w:uiPriority w:val="0"/>
    <w:rPr>
      <w:rFonts w:ascii="Arial" w:hAnsi="Arial"/>
      <w:sz w:val="24"/>
    </w:rPr>
  </w:style>
  <w:style w:type="paragraph" w:styleId="22">
    <w:name w:val="annotation text"/>
    <w:basedOn w:val="1"/>
    <w:link w:val="616"/>
    <w:qFormat/>
    <w:uiPriority w:val="99"/>
    <w:pPr>
      <w:jc w:val="left"/>
    </w:pPr>
  </w:style>
  <w:style w:type="paragraph" w:styleId="23">
    <w:name w:val="Salutation"/>
    <w:basedOn w:val="1"/>
    <w:next w:val="1"/>
    <w:link w:val="484"/>
    <w:qFormat/>
    <w:uiPriority w:val="0"/>
    <w:rPr>
      <w:rFonts w:ascii="仿宋_GB2312" w:eastAsia="仿宋_GB2312"/>
      <w:sz w:val="28"/>
      <w:szCs w:val="20"/>
    </w:rPr>
  </w:style>
  <w:style w:type="paragraph" w:styleId="24">
    <w:name w:val="Body Text 3"/>
    <w:basedOn w:val="1"/>
    <w:link w:val="583"/>
    <w:qFormat/>
    <w:uiPriority w:val="0"/>
    <w:pPr>
      <w:jc w:val="center"/>
    </w:pPr>
    <w:rPr>
      <w:szCs w:val="20"/>
    </w:rPr>
  </w:style>
  <w:style w:type="paragraph" w:styleId="25">
    <w:name w:val="Body Text"/>
    <w:basedOn w:val="1"/>
    <w:next w:val="26"/>
    <w:link w:val="514"/>
    <w:qFormat/>
    <w:uiPriority w:val="0"/>
    <w:pPr>
      <w:autoSpaceDE w:val="0"/>
      <w:autoSpaceDN w:val="0"/>
      <w:spacing w:line="360" w:lineRule="auto"/>
    </w:pPr>
    <w:rPr>
      <w:rFonts w:ascii="宋体"/>
      <w:sz w:val="24"/>
      <w:szCs w:val="21"/>
      <w:lang w:val="zh-CN"/>
    </w:rPr>
  </w:style>
  <w:style w:type="paragraph" w:styleId="26">
    <w:name w:val="Body Text First Indent"/>
    <w:basedOn w:val="25"/>
    <w:next w:val="1"/>
    <w:link w:val="547"/>
    <w:qFormat/>
    <w:uiPriority w:val="0"/>
    <w:pPr>
      <w:ind w:firstLine="420"/>
    </w:pPr>
    <w:rPr>
      <w:szCs w:val="20"/>
    </w:rPr>
  </w:style>
  <w:style w:type="paragraph" w:styleId="27">
    <w:name w:val="Body Text Indent"/>
    <w:basedOn w:val="1"/>
    <w:link w:val="477"/>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573"/>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491"/>
    <w:qFormat/>
    <w:uiPriority w:val="0"/>
    <w:rPr>
      <w:rFonts w:ascii="宋体" w:hAnsi="Courier New"/>
      <w:szCs w:val="20"/>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600"/>
    <w:qFormat/>
    <w:uiPriority w:val="0"/>
    <w:pPr>
      <w:ind w:left="100" w:leftChars="2500"/>
    </w:pPr>
    <w:rPr>
      <w:rFonts w:ascii="宋体"/>
      <w:sz w:val="24"/>
      <w:szCs w:val="21"/>
      <w:lang w:val="zh-CN"/>
    </w:rPr>
  </w:style>
  <w:style w:type="paragraph" w:styleId="39">
    <w:name w:val="Balloon Text"/>
    <w:basedOn w:val="1"/>
    <w:link w:val="617"/>
    <w:semiHidden/>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envelope return"/>
    <w:basedOn w:val="1"/>
    <w:qFormat/>
    <w:uiPriority w:val="99"/>
    <w:pPr>
      <w:snapToGrid w:val="0"/>
    </w:pPr>
    <w:rPr>
      <w:rFonts w:ascii="Arial" w:hAnsi="Arial" w:cs="Arial"/>
    </w:rPr>
  </w:style>
  <w:style w:type="paragraph" w:styleId="4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43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49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475"/>
    <w:qFormat/>
    <w:uiPriority w:val="0"/>
    <w:pPr>
      <w:adjustRightInd/>
      <w:snapToGrid/>
      <w:spacing w:before="60" w:after="60" w:line="300" w:lineRule="exact"/>
      <w:ind w:firstLine="0"/>
    </w:pPr>
    <w:rPr>
      <w:rFonts w:ascii="Times New Roman"/>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590"/>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qFormat/>
    <w:uiPriority w:val="0"/>
    <w:pPr>
      <w:spacing w:after="120" w:line="480" w:lineRule="auto"/>
    </w:pPr>
  </w:style>
  <w:style w:type="paragraph" w:styleId="58">
    <w:name w:val="HTML Preformatted"/>
    <w:basedOn w:val="1"/>
    <w:link w:val="5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semiHidden/>
    <w:qFormat/>
    <w:uiPriority w:val="0"/>
    <w:rPr>
      <w:b/>
      <w:bCs/>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正"/>
    <w:qFormat/>
    <w:uiPriority w:val="0"/>
    <w:pPr>
      <w:widowControl w:val="0"/>
      <w:spacing w:line="360" w:lineRule="auto"/>
      <w:ind w:firstLine="480" w:firstLineChars="200"/>
      <w:contextualSpacing/>
      <w:jc w:val="both"/>
    </w:pPr>
    <w:rPr>
      <w:rFonts w:ascii="Times New Roman" w:hAnsi="Times New Roman" w:eastAsia="宋体" w:cs="Times New Roman"/>
      <w:sz w:val="24"/>
      <w:szCs w:val="24"/>
      <w:lang w:val="en-US" w:eastAsia="zh-CN" w:bidi="ar-SA"/>
    </w:rPr>
  </w:style>
  <w:style w:type="paragraph" w:customStyle="1" w:styleId="74">
    <w:name w:val="标准正文"/>
    <w:basedOn w:val="35"/>
    <w:qFormat/>
    <w:uiPriority w:val="0"/>
    <w:pPr>
      <w:tabs>
        <w:tab w:val="left" w:pos="780"/>
      </w:tabs>
      <w:adjustRightInd/>
      <w:spacing w:line="360" w:lineRule="auto"/>
      <w:ind w:left="200" w:leftChars="200" w:firstLine="200" w:firstLineChars="200"/>
    </w:pPr>
    <w:rPr>
      <w:sz w:val="24"/>
    </w:rPr>
  </w:style>
  <w:style w:type="paragraph" w:customStyle="1" w:styleId="75">
    <w:name w:val="xl53"/>
    <w:next w:val="1"/>
    <w:qFormat/>
    <w:uiPriority w:val="0"/>
    <w:pPr>
      <w:spacing w:before="280" w:after="280" w:line="100" w:lineRule="exact"/>
      <w:ind w:firstLine="480" w:firstLineChars="200"/>
      <w:jc w:val="center"/>
    </w:pPr>
    <w:rPr>
      <w:rFonts w:ascii="宋体" w:hAnsi="Times New Roman" w:eastAsia="宋体" w:cstheme="minorBidi"/>
      <w:b/>
      <w:szCs w:val="22"/>
      <w:lang w:val="en-US" w:eastAsia="zh-CN" w:bidi="ar-SA"/>
    </w:rPr>
  </w:style>
  <w:style w:type="paragraph" w:customStyle="1" w:styleId="7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8"/>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3"/>
    <w:basedOn w:val="79"/>
    <w:qFormat/>
    <w:uiPriority w:val="0"/>
    <w:pPr>
      <w:tabs>
        <w:tab w:val="left" w:pos="2790"/>
        <w:tab w:val="left" w:pos="4230"/>
      </w:tabs>
      <w:spacing w:beforeLines="100"/>
      <w:jc w:val="left"/>
    </w:pPr>
  </w:style>
  <w:style w:type="paragraph" w:customStyle="1" w:styleId="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1"/>
    <w:basedOn w:val="1"/>
    <w:qFormat/>
    <w:uiPriority w:val="0"/>
    <w:pPr>
      <w:adjustRightInd/>
      <w:spacing w:line="288" w:lineRule="auto"/>
      <w:ind w:firstLine="425" w:firstLineChars="200"/>
    </w:pPr>
  </w:style>
  <w:style w:type="paragraph" w:customStyle="1" w:styleId="81">
    <w:name w:val="Char1 Char Char Char"/>
    <w:basedOn w:val="1"/>
    <w:qFormat/>
    <w:uiPriority w:val="0"/>
    <w:rPr>
      <w:rFonts w:ascii="Tahoma" w:hAnsi="Tahoma"/>
      <w:sz w:val="24"/>
      <w:szCs w:val="20"/>
    </w:rPr>
  </w:style>
  <w:style w:type="paragraph" w:customStyle="1" w:styleId="8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qFormat/>
    <w:uiPriority w:val="0"/>
    <w:pPr>
      <w:spacing w:afterLines="50"/>
      <w:jc w:val="left"/>
      <w:outlineLvl w:val="3"/>
    </w:pPr>
    <w:rPr>
      <w:sz w:val="24"/>
      <w:szCs w:val="24"/>
    </w:rPr>
  </w:style>
  <w:style w:type="paragraph" w:customStyle="1" w:styleId="8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qFormat/>
    <w:uiPriority w:val="0"/>
    <w:pPr>
      <w:numPr>
        <w:ilvl w:val="1"/>
        <w:numId w:val="4"/>
      </w:numPr>
      <w:adjustRightInd/>
    </w:pPr>
  </w:style>
  <w:style w:type="paragraph" w:customStyle="1" w:styleId="89">
    <w:name w:val="Char3"/>
    <w:basedOn w:val="1"/>
    <w:qFormat/>
    <w:uiPriority w:val="0"/>
    <w:pPr>
      <w:adjustRightInd/>
    </w:pPr>
    <w:rPr>
      <w:rFonts w:ascii="仿宋_GB2312" w:eastAsia="仿宋_GB2312"/>
      <w:b/>
      <w:sz w:val="32"/>
      <w:szCs w:val="32"/>
    </w:rPr>
  </w:style>
  <w:style w:type="paragraph" w:customStyle="1" w:styleId="90">
    <w:name w:val="Char Char1 Char Char Char Char Char Char"/>
    <w:basedOn w:val="1"/>
    <w:qFormat/>
    <w:uiPriority w:val="0"/>
    <w:rPr>
      <w:rFonts w:ascii="仿宋_GB2312" w:eastAsia="仿宋_GB2312"/>
      <w:b/>
      <w:sz w:val="32"/>
      <w:szCs w:val="20"/>
    </w:rPr>
  </w:style>
  <w:style w:type="paragraph" w:customStyle="1" w:styleId="91">
    <w:name w:val="文本正文 Char"/>
    <w:basedOn w:val="1"/>
    <w:qFormat/>
    <w:uiPriority w:val="0"/>
    <w:pPr>
      <w:spacing w:line="360" w:lineRule="auto"/>
      <w:ind w:firstLine="200" w:firstLineChars="200"/>
    </w:pPr>
    <w:rPr>
      <w:kern w:val="0"/>
      <w:sz w:val="24"/>
      <w:szCs w:val="20"/>
    </w:rPr>
  </w:style>
  <w:style w:type="paragraph" w:customStyle="1" w:styleId="9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1">
    <w:name w:val="Char1"/>
    <w:basedOn w:val="1"/>
    <w:qFormat/>
    <w:uiPriority w:val="0"/>
    <w:rPr>
      <w:rFonts w:ascii="仿宋_GB2312" w:eastAsia="仿宋_GB2312"/>
      <w:b/>
      <w:sz w:val="32"/>
      <w:szCs w:val="32"/>
    </w:rPr>
  </w:style>
  <w:style w:type="paragraph" w:customStyle="1" w:styleId="102">
    <w:name w:val="CM14"/>
    <w:basedOn w:val="103"/>
    <w:next w:val="103"/>
    <w:qFormat/>
    <w:uiPriority w:val="0"/>
    <w:pPr>
      <w:spacing w:after="68"/>
    </w:pPr>
    <w:rPr>
      <w:rFonts w:ascii="FHLHE E+ Futura Bk" w:eastAsia="FHLHE E+ Futura Bk" w:cs="Times New Roman"/>
      <w:color w:val="auto"/>
    </w:rPr>
  </w:style>
  <w:style w:type="paragraph" w:customStyle="1" w:styleId="103">
    <w:name w:val="Default"/>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9">
    <w:name w:val="List Paragraph"/>
    <w:basedOn w:val="1"/>
    <w:qFormat/>
    <w:uiPriority w:val="0"/>
    <w:pPr>
      <w:spacing w:line="360" w:lineRule="auto"/>
      <w:ind w:firstLine="200" w:firstLineChars="200"/>
    </w:pPr>
    <w:rPr>
      <w:rFonts w:eastAsia="楷体_GB2312" w:cs="Lucida Sans"/>
      <w:sz w:val="24"/>
    </w:rPr>
  </w:style>
  <w:style w:type="paragraph" w:customStyle="1" w:styleId="11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11">
    <w:name w:val="Char2 Char Char Char"/>
    <w:basedOn w:val="1"/>
    <w:qFormat/>
    <w:uiPriority w:val="0"/>
    <w:rPr>
      <w:rFonts w:ascii="仿宋_GB2312" w:eastAsia="仿宋_GB2312"/>
      <w:b/>
      <w:sz w:val="32"/>
      <w:szCs w:val="32"/>
    </w:rPr>
  </w:style>
  <w:style w:type="paragraph" w:customStyle="1" w:styleId="1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qFormat/>
    <w:uiPriority w:val="0"/>
    <w:rPr>
      <w:rFonts w:ascii="Tahoma" w:hAnsi="Tahoma"/>
      <w:sz w:val="24"/>
      <w:szCs w:val="20"/>
    </w:rPr>
  </w:style>
  <w:style w:type="paragraph" w:customStyle="1" w:styleId="1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7">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qFormat/>
    <w:uiPriority w:val="0"/>
    <w:pPr>
      <w:spacing w:line="360" w:lineRule="auto"/>
      <w:ind w:firstLine="480" w:firstLineChars="200"/>
    </w:pPr>
    <w:rPr>
      <w:rFonts w:hAnsi="宋体"/>
      <w:sz w:val="24"/>
      <w:szCs w:val="20"/>
    </w:rPr>
  </w:style>
  <w:style w:type="paragraph" w:customStyle="1" w:styleId="124">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qFormat/>
    <w:uiPriority w:val="0"/>
    <w:pPr>
      <w:adjustRightInd/>
      <w:spacing w:line="400" w:lineRule="exact"/>
      <w:ind w:firstLine="200" w:firstLineChars="200"/>
    </w:pPr>
    <w:rPr>
      <w:rFonts w:ascii="Arial" w:hAnsi="Arial"/>
    </w:rPr>
  </w:style>
  <w:style w:type="paragraph" w:customStyle="1" w:styleId="1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qFormat/>
    <w:uiPriority w:val="0"/>
    <w:rPr>
      <w:rFonts w:ascii="Tahoma" w:hAnsi="Tahoma"/>
      <w:sz w:val="24"/>
      <w:szCs w:val="20"/>
    </w:rPr>
  </w:style>
  <w:style w:type="paragraph" w:customStyle="1" w:styleId="129">
    <w:name w:val="Char1 Char Char Char2"/>
    <w:basedOn w:val="1"/>
    <w:qFormat/>
    <w:uiPriority w:val="0"/>
    <w:pPr>
      <w:adjustRightInd/>
      <w:ind w:firstLine="200" w:firstLineChars="200"/>
    </w:pPr>
    <w:rPr>
      <w:rFonts w:ascii="Tahoma" w:hAnsi="Tahoma"/>
      <w:sz w:val="24"/>
      <w:szCs w:val="20"/>
    </w:rPr>
  </w:style>
  <w:style w:type="paragraph" w:customStyle="1" w:styleId="13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qFormat/>
    <w:uiPriority w:val="0"/>
    <w:pPr>
      <w:adjustRightInd/>
      <w:spacing w:line="360" w:lineRule="auto"/>
      <w:ind w:firstLine="480"/>
    </w:pPr>
    <w:rPr>
      <w:sz w:val="24"/>
    </w:rPr>
  </w:style>
  <w:style w:type="paragraph" w:customStyle="1" w:styleId="1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qFormat/>
    <w:uiPriority w:val="0"/>
    <w:pPr>
      <w:adjustRightInd/>
      <w:spacing w:line="300" w:lineRule="auto"/>
      <w:jc w:val="center"/>
    </w:pPr>
  </w:style>
  <w:style w:type="paragraph" w:customStyle="1" w:styleId="138">
    <w:name w:val="Char Char Char1 Char"/>
    <w:basedOn w:val="1"/>
    <w:qFormat/>
    <w:uiPriority w:val="0"/>
    <w:rPr>
      <w:szCs w:val="20"/>
    </w:rPr>
  </w:style>
  <w:style w:type="paragraph" w:customStyle="1" w:styleId="1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1">
    <w:name w:val="章标题"/>
    <w:next w:val="1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4">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6">
    <w:name w:val="表文字"/>
    <w:qFormat/>
    <w:uiPriority w:val="0"/>
    <w:rPr>
      <w:rFonts w:ascii="宋体" w:hAnsi="Times New Roman" w:eastAsia="宋体" w:cs="Times New Roman"/>
      <w:kern w:val="2"/>
      <w:lang w:val="en-US" w:eastAsia="zh-CN" w:bidi="ar-SA"/>
    </w:rPr>
  </w:style>
  <w:style w:type="paragraph" w:customStyle="1" w:styleId="14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0">
    <w:name w:val="列表内容"/>
    <w:basedOn w:val="1"/>
    <w:next w:val="1"/>
    <w:qFormat/>
    <w:uiPriority w:val="0"/>
    <w:pPr>
      <w:widowControl/>
      <w:tabs>
        <w:tab w:val="left" w:pos="840"/>
      </w:tabs>
      <w:ind w:left="840" w:hanging="420"/>
      <w:jc w:val="left"/>
    </w:pPr>
    <w:rPr>
      <w:kern w:val="0"/>
      <w:sz w:val="18"/>
    </w:rPr>
  </w:style>
  <w:style w:type="paragraph" w:customStyle="1" w:styleId="15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4">
    <w:name w:val="Char2 Char Char"/>
    <w:basedOn w:val="1"/>
    <w:qFormat/>
    <w:uiPriority w:val="0"/>
    <w:pPr>
      <w:adjustRightInd/>
    </w:pPr>
    <w:rPr>
      <w:rFonts w:ascii="Tahoma" w:hAnsi="Tahoma"/>
      <w:sz w:val="24"/>
      <w:szCs w:val="20"/>
    </w:rPr>
  </w:style>
  <w:style w:type="paragraph" w:customStyle="1" w:styleId="15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9">
    <w:name w:val="Char Char1 Char Char Char"/>
    <w:basedOn w:val="1"/>
    <w:qFormat/>
    <w:uiPriority w:val="0"/>
    <w:rPr>
      <w:rFonts w:ascii="仿宋_GB2312" w:eastAsia="仿宋_GB2312"/>
      <w:b/>
      <w:sz w:val="32"/>
      <w:szCs w:val="20"/>
    </w:rPr>
  </w:style>
  <w:style w:type="paragraph" w:customStyle="1" w:styleId="16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1">
    <w:name w:val="WW-正文文字缩进 2"/>
    <w:basedOn w:val="1"/>
    <w:qFormat/>
    <w:uiPriority w:val="0"/>
    <w:pPr>
      <w:suppressAutoHyphens/>
      <w:adjustRightInd/>
      <w:ind w:firstLine="420"/>
    </w:pPr>
    <w:rPr>
      <w:kern w:val="1"/>
      <w:szCs w:val="20"/>
    </w:rPr>
  </w:style>
  <w:style w:type="paragraph" w:customStyle="1" w:styleId="1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4">
    <w:name w:val="默认段落字体 Para Char Char Char Char"/>
    <w:basedOn w:val="1"/>
    <w:qFormat/>
    <w:uiPriority w:val="0"/>
    <w:pPr>
      <w:spacing w:line="360" w:lineRule="auto"/>
    </w:pPr>
    <w:rPr>
      <w:szCs w:val="20"/>
    </w:rPr>
  </w:style>
  <w:style w:type="paragraph" w:customStyle="1" w:styleId="165">
    <w:name w:val="Char Char11 Char Char Char"/>
    <w:basedOn w:val="1"/>
    <w:qFormat/>
    <w:uiPriority w:val="0"/>
    <w:pPr>
      <w:spacing w:line="360" w:lineRule="auto"/>
    </w:pPr>
    <w:rPr>
      <w:szCs w:val="20"/>
    </w:rPr>
  </w:style>
  <w:style w:type="paragraph" w:customStyle="1" w:styleId="16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8">
    <w:name w:val="左对齐表格文字"/>
    <w:basedOn w:val="1"/>
    <w:qFormat/>
    <w:uiPriority w:val="0"/>
    <w:pPr>
      <w:adjustRightInd/>
      <w:ind w:firstLine="200" w:firstLineChars="200"/>
      <w:jc w:val="right"/>
    </w:pPr>
  </w:style>
  <w:style w:type="paragraph" w:customStyle="1" w:styleId="169">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72">
    <w:name w:val="无间隔1"/>
    <w:link w:val="533"/>
    <w:qFormat/>
    <w:uiPriority w:val="1"/>
    <w:rPr>
      <w:rFonts w:ascii="Calibri" w:hAnsi="Calibri" w:eastAsia="宋体" w:cs="Times New Roman"/>
      <w:sz w:val="22"/>
      <w:szCs w:val="22"/>
      <w:lang w:val="en-US" w:eastAsia="zh-CN" w:bidi="ar-SA"/>
    </w:rPr>
  </w:style>
  <w:style w:type="paragraph" w:customStyle="1" w:styleId="173">
    <w:name w:val="样式 样式 标题 4h4H4Fab-4T5Ref Heading 1rh1Heading sqlsect 1.2.3.... +..."/>
    <w:basedOn w:val="174"/>
    <w:link w:val="611"/>
    <w:qFormat/>
    <w:uiPriority w:val="0"/>
    <w:pPr>
      <w:tabs>
        <w:tab w:val="left" w:pos="2356"/>
      </w:tabs>
    </w:pPr>
  </w:style>
  <w:style w:type="paragraph" w:customStyle="1" w:styleId="174">
    <w:name w:val="样式 标题 4h4H4Fab-4T5Ref Heading 1rh1Heading sqlsect 1.2.3...."/>
    <w:basedOn w:val="7"/>
    <w:link w:val="561"/>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5">
    <w:name w:val="四级条标题"/>
    <w:basedOn w:val="176"/>
    <w:next w:val="142"/>
    <w:qFormat/>
    <w:uiPriority w:val="0"/>
    <w:pPr>
      <w:numPr>
        <w:ilvl w:val="5"/>
        <w:numId w:val="4"/>
      </w:numPr>
      <w:tabs>
        <w:tab w:val="left" w:pos="1680"/>
        <w:tab w:val="left" w:pos="2100"/>
        <w:tab w:val="left" w:pos="2520"/>
      </w:tabs>
      <w:outlineLvl w:val="5"/>
    </w:pPr>
  </w:style>
  <w:style w:type="paragraph" w:customStyle="1" w:styleId="176">
    <w:name w:val="三级条标题"/>
    <w:basedOn w:val="177"/>
    <w:next w:val="142"/>
    <w:qFormat/>
    <w:uiPriority w:val="0"/>
    <w:pPr>
      <w:numPr>
        <w:ilvl w:val="0"/>
        <w:numId w:val="0"/>
      </w:numPr>
      <w:tabs>
        <w:tab w:val="left" w:pos="1680"/>
        <w:tab w:val="left" w:pos="2100"/>
        <w:tab w:val="left" w:pos="2520"/>
      </w:tabs>
      <w:ind w:left="2520" w:hanging="420"/>
      <w:outlineLvl w:val="4"/>
    </w:pPr>
  </w:style>
  <w:style w:type="paragraph" w:customStyle="1" w:styleId="177">
    <w:name w:val="二级条标题"/>
    <w:basedOn w:val="178"/>
    <w:next w:val="142"/>
    <w:qFormat/>
    <w:uiPriority w:val="0"/>
    <w:pPr>
      <w:numPr>
        <w:ilvl w:val="3"/>
        <w:numId w:val="4"/>
      </w:numPr>
      <w:tabs>
        <w:tab w:val="left" w:pos="1680"/>
      </w:tabs>
      <w:ind w:left="0"/>
      <w:outlineLvl w:val="3"/>
    </w:pPr>
  </w:style>
  <w:style w:type="paragraph" w:customStyle="1" w:styleId="178">
    <w:name w:val="一级条标题"/>
    <w:basedOn w:val="141"/>
    <w:next w:val="142"/>
    <w:qFormat/>
    <w:uiPriority w:val="0"/>
    <w:pPr>
      <w:tabs>
        <w:tab w:val="left" w:pos="1680"/>
        <w:tab w:val="clear" w:pos="1260"/>
      </w:tabs>
      <w:spacing w:beforeLines="0" w:afterLines="0"/>
      <w:ind w:left="1680"/>
      <w:outlineLvl w:val="2"/>
    </w:pPr>
  </w:style>
  <w:style w:type="paragraph" w:customStyle="1" w:styleId="17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0">
    <w:name w:val="标准小四"/>
    <w:basedOn w:val="1"/>
    <w:qFormat/>
    <w:uiPriority w:val="0"/>
    <w:pPr>
      <w:spacing w:line="360" w:lineRule="auto"/>
      <w:ind w:firstLine="480" w:firstLineChars="200"/>
    </w:pPr>
    <w:rPr>
      <w:rFonts w:ascii="Arial" w:hAnsi="Arial"/>
      <w:sz w:val="24"/>
      <w:szCs w:val="21"/>
    </w:rPr>
  </w:style>
  <w:style w:type="paragraph" w:customStyle="1" w:styleId="181">
    <w:name w:val="表格"/>
    <w:basedOn w:val="1"/>
    <w:qFormat/>
    <w:uiPriority w:val="0"/>
    <w:pPr>
      <w:snapToGrid w:val="0"/>
      <w:ind w:firstLine="42" w:firstLineChars="21"/>
    </w:pPr>
    <w:rPr>
      <w:rFonts w:ascii="宋体" w:hAnsi="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5">
    <w:name w:val="封面公司名"/>
    <w:qFormat/>
    <w:uiPriority w:val="0"/>
    <w:pPr>
      <w:jc w:val="center"/>
    </w:pPr>
    <w:rPr>
      <w:rFonts w:ascii="Arial" w:hAnsi="Arial" w:eastAsia="楷体_GB2312" w:cs="宋体"/>
      <w:bCs/>
      <w:kern w:val="2"/>
      <w:sz w:val="28"/>
      <w:lang w:val="en-US" w:eastAsia="zh-CN" w:bidi="ar-SA"/>
    </w:rPr>
  </w:style>
  <w:style w:type="paragraph" w:customStyle="1" w:styleId="186">
    <w:name w:val="Char2 Char Char Char1"/>
    <w:basedOn w:val="1"/>
    <w:qFormat/>
    <w:uiPriority w:val="0"/>
    <w:rPr>
      <w:rFonts w:ascii="仿宋_GB2312" w:eastAsia="仿宋_GB2312"/>
      <w:b/>
      <w:sz w:val="32"/>
      <w:szCs w:val="32"/>
    </w:rPr>
  </w:style>
  <w:style w:type="paragraph" w:customStyle="1" w:styleId="1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0">
    <w:name w:val="Char2"/>
    <w:basedOn w:val="1"/>
    <w:qFormat/>
    <w:uiPriority w:val="0"/>
    <w:rPr>
      <w:rFonts w:ascii="仿宋_GB2312" w:eastAsia="仿宋_GB2312"/>
      <w:b/>
      <w:sz w:val="32"/>
      <w:szCs w:val="32"/>
    </w:rPr>
  </w:style>
  <w:style w:type="paragraph" w:customStyle="1" w:styleId="19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2">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4">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5">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6">
    <w:name w:val="Char Char4 Char Char"/>
    <w:basedOn w:val="1"/>
    <w:qFormat/>
    <w:uiPriority w:val="0"/>
    <w:pPr>
      <w:widowControl/>
      <w:adjustRightInd/>
      <w:spacing w:after="160" w:line="240" w:lineRule="exact"/>
      <w:jc w:val="left"/>
    </w:pPr>
  </w:style>
  <w:style w:type="paragraph" w:customStyle="1" w:styleId="197">
    <w:name w:val="Char2 Char Char1"/>
    <w:basedOn w:val="1"/>
    <w:qFormat/>
    <w:uiPriority w:val="0"/>
    <w:pPr>
      <w:adjustRightInd/>
    </w:pPr>
    <w:rPr>
      <w:rFonts w:ascii="Tahoma" w:hAnsi="Tahoma"/>
      <w:sz w:val="24"/>
      <w:szCs w:val="20"/>
    </w:rPr>
  </w:style>
  <w:style w:type="paragraph" w:customStyle="1" w:styleId="198">
    <w:name w:val="默认段落字体 Para Char Char Char Char Char Char Char"/>
    <w:basedOn w:val="1"/>
    <w:qFormat/>
    <w:uiPriority w:val="0"/>
    <w:rPr>
      <w:rFonts w:eastAsia="仿宋_GB2312"/>
      <w:sz w:val="28"/>
      <w:szCs w:val="20"/>
    </w:rPr>
  </w:style>
  <w:style w:type="paragraph" w:customStyle="1" w:styleId="19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0">
    <w:name w:val="正文21"/>
    <w:basedOn w:val="1"/>
    <w:qFormat/>
    <w:uiPriority w:val="0"/>
    <w:pPr>
      <w:adjustRightInd/>
      <w:spacing w:before="156" w:line="360" w:lineRule="auto"/>
      <w:ind w:firstLine="510" w:firstLineChars="200"/>
    </w:pPr>
    <w:rPr>
      <w:sz w:val="24"/>
      <w:szCs w:val="20"/>
    </w:rPr>
  </w:style>
  <w:style w:type="paragraph" w:customStyle="1" w:styleId="201">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202">
    <w:name w:val="加粗正文"/>
    <w:basedOn w:val="1"/>
    <w:qFormat/>
    <w:uiPriority w:val="0"/>
    <w:pPr>
      <w:adjustRightInd/>
      <w:spacing w:beforeLines="50" w:afterLines="50" w:line="360" w:lineRule="auto"/>
      <w:ind w:firstLine="422" w:firstLineChars="200"/>
    </w:pPr>
    <w:rPr>
      <w:b/>
      <w:bCs/>
      <w:szCs w:val="21"/>
    </w:rPr>
  </w:style>
  <w:style w:type="paragraph" w:customStyle="1" w:styleId="203">
    <w:name w:val="标题五"/>
    <w:basedOn w:val="1"/>
    <w:qFormat/>
    <w:uiPriority w:val="0"/>
    <w:pPr>
      <w:adjustRightInd/>
      <w:spacing w:beforeLines="50" w:line="360" w:lineRule="auto"/>
    </w:pPr>
    <w:rPr>
      <w:b/>
      <w:sz w:val="24"/>
    </w:rPr>
  </w:style>
  <w:style w:type="paragraph" w:customStyle="1" w:styleId="204">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5">
    <w:name w:val="Char Char11"/>
    <w:basedOn w:val="1"/>
    <w:qFormat/>
    <w:uiPriority w:val="0"/>
    <w:pPr>
      <w:spacing w:line="360" w:lineRule="auto"/>
    </w:pPr>
    <w:rPr>
      <w:szCs w:val="20"/>
    </w:rPr>
  </w:style>
  <w:style w:type="paragraph" w:customStyle="1" w:styleId="20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7">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08">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Char Char1 Char Char Char1"/>
    <w:basedOn w:val="1"/>
    <w:qFormat/>
    <w:uiPriority w:val="0"/>
    <w:rPr>
      <w:rFonts w:ascii="仿宋_GB2312" w:eastAsia="仿宋_GB2312"/>
      <w:b/>
      <w:sz w:val="32"/>
      <w:szCs w:val="32"/>
    </w:rPr>
  </w:style>
  <w:style w:type="paragraph" w:customStyle="1" w:styleId="213">
    <w:name w:val="样式 标题 4PIM 4H4h4bulletblbbH41H42H43H44H45H46H47H48...1"/>
    <w:basedOn w:val="7"/>
    <w:qFormat/>
    <w:uiPriority w:val="0"/>
    <w:pPr>
      <w:widowControl/>
      <w:jc w:val="left"/>
    </w:pPr>
    <w:rPr>
      <w:rFonts w:cs="宋体"/>
      <w:sz w:val="24"/>
      <w:szCs w:val="20"/>
    </w:rPr>
  </w:style>
  <w:style w:type="paragraph" w:customStyle="1" w:styleId="21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5">
    <w:name w:val="表格标题2"/>
    <w:basedOn w:val="216"/>
    <w:qFormat/>
    <w:uiPriority w:val="0"/>
    <w:rPr>
      <w:b/>
    </w:rPr>
  </w:style>
  <w:style w:type="paragraph" w:customStyle="1" w:styleId="216">
    <w:name w:val="表格内文"/>
    <w:basedOn w:val="1"/>
    <w:qFormat/>
    <w:uiPriority w:val="0"/>
    <w:pPr>
      <w:adjustRightInd/>
      <w:spacing w:line="360" w:lineRule="auto"/>
    </w:pPr>
    <w:rPr>
      <w:rFonts w:ascii="宋体" w:hAnsi="宋体" w:cs="宋体"/>
      <w:color w:val="000000"/>
      <w:szCs w:val="20"/>
    </w:rPr>
  </w:style>
  <w:style w:type="paragraph" w:customStyle="1" w:styleId="217">
    <w:name w:val="Char Char Char Char Char Char Char"/>
    <w:basedOn w:val="1"/>
    <w:qFormat/>
    <w:uiPriority w:val="0"/>
    <w:rPr>
      <w:rFonts w:ascii="仿宋_GB2312" w:eastAsia="仿宋_GB2312"/>
      <w:b/>
      <w:sz w:val="32"/>
      <w:szCs w:val="32"/>
    </w:rPr>
  </w:style>
  <w:style w:type="paragraph" w:customStyle="1" w:styleId="21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9">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3">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5">
    <w:name w:val="正文 首行缩进:  2 字符 Char"/>
    <w:basedOn w:val="1"/>
    <w:qFormat/>
    <w:uiPriority w:val="0"/>
    <w:pPr>
      <w:adjustRightInd/>
      <w:spacing w:line="360" w:lineRule="auto"/>
      <w:ind w:firstLine="480"/>
    </w:pPr>
    <w:rPr>
      <w:rFonts w:cs="宋体"/>
      <w:sz w:val="24"/>
      <w:szCs w:val="20"/>
    </w:rPr>
  </w:style>
  <w:style w:type="paragraph" w:customStyle="1" w:styleId="2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7">
    <w:name w:val="Table Text"/>
    <w:basedOn w:val="1"/>
    <w:qFormat/>
    <w:uiPriority w:val="0"/>
    <w:pPr>
      <w:widowControl/>
      <w:spacing w:before="60" w:after="60"/>
      <w:jc w:val="left"/>
    </w:pPr>
    <w:rPr>
      <w:kern w:val="0"/>
      <w:sz w:val="24"/>
    </w:rPr>
  </w:style>
  <w:style w:type="paragraph" w:customStyle="1" w:styleId="22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0">
    <w:name w:val="Char Char Char Char Char Char Char Char Char Char"/>
    <w:basedOn w:val="1"/>
    <w:qFormat/>
    <w:uiPriority w:val="0"/>
    <w:rPr>
      <w:rFonts w:ascii="仿宋_GB2312" w:eastAsia="仿宋_GB2312"/>
      <w:b/>
      <w:sz w:val="32"/>
      <w:szCs w:val="32"/>
    </w:rPr>
  </w:style>
  <w:style w:type="paragraph" w:customStyle="1" w:styleId="23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2">
    <w:name w:val="正文文字表格居中"/>
    <w:basedOn w:val="1"/>
    <w:next w:val="57"/>
    <w:qFormat/>
    <w:uiPriority w:val="0"/>
    <w:pPr>
      <w:snapToGrid w:val="0"/>
      <w:spacing w:line="360" w:lineRule="auto"/>
    </w:pPr>
    <w:rPr>
      <w:rFonts w:ascii="宋体"/>
      <w:b/>
      <w:sz w:val="24"/>
      <w:szCs w:val="20"/>
    </w:rPr>
  </w:style>
  <w:style w:type="paragraph" w:customStyle="1" w:styleId="233">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23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冯广丽"/>
    <w:basedOn w:val="1"/>
    <w:link w:val="474"/>
    <w:qFormat/>
    <w:uiPriority w:val="0"/>
    <w:pPr>
      <w:adjustRightInd/>
      <w:spacing w:line="360" w:lineRule="auto"/>
      <w:ind w:firstLine="480" w:firstLineChars="200"/>
    </w:pPr>
    <w:rPr>
      <w:rFonts w:ascii="宋体" w:hAnsi="宋体"/>
      <w:sz w:val="24"/>
      <w:szCs w:val="22"/>
    </w:rPr>
  </w:style>
  <w:style w:type="paragraph" w:customStyle="1" w:styleId="23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40">
    <w:name w:val="Char31"/>
    <w:basedOn w:val="1"/>
    <w:qFormat/>
    <w:uiPriority w:val="0"/>
    <w:pPr>
      <w:adjustRightInd/>
      <w:ind w:firstLine="200" w:firstLineChars="200"/>
    </w:pPr>
    <w:rPr>
      <w:rFonts w:ascii="Tahoma" w:hAnsi="Tahoma"/>
      <w:sz w:val="24"/>
      <w:szCs w:val="20"/>
    </w:rPr>
  </w:style>
  <w:style w:type="paragraph" w:customStyle="1" w:styleId="241">
    <w:name w:val="Char Char11 Char Char Char1"/>
    <w:basedOn w:val="1"/>
    <w:qFormat/>
    <w:uiPriority w:val="0"/>
    <w:pPr>
      <w:spacing w:line="360" w:lineRule="auto"/>
    </w:pPr>
    <w:rPr>
      <w:szCs w:val="20"/>
    </w:rPr>
  </w:style>
  <w:style w:type="paragraph" w:customStyle="1" w:styleId="24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3">
    <w:name w:val="_Style 236"/>
    <w:qFormat/>
    <w:uiPriority w:val="0"/>
    <w:rPr>
      <w:rFonts w:ascii="Times New Roman" w:hAnsi="Times New Roman" w:eastAsia="宋体" w:cs="Times New Roman"/>
      <w:kern w:val="2"/>
      <w:sz w:val="21"/>
      <w:lang w:val="en-US" w:eastAsia="zh-CN" w:bidi="ar-SA"/>
    </w:rPr>
  </w:style>
  <w:style w:type="paragraph" w:customStyle="1" w:styleId="2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6">
    <w:name w:val="正文文字缩进项目"/>
    <w:basedOn w:val="27"/>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9">
    <w:name w:val="文章标题"/>
    <w:next w:val="18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50">
    <w:name w:val="4"/>
    <w:basedOn w:val="1"/>
    <w:next w:val="2"/>
    <w:qFormat/>
    <w:uiPriority w:val="0"/>
    <w:pPr>
      <w:spacing w:after="120" w:line="480" w:lineRule="auto"/>
      <w:ind w:left="420" w:leftChars="200"/>
    </w:pPr>
    <w:rPr>
      <w:sz w:val="24"/>
      <w:szCs w:val="20"/>
    </w:rPr>
  </w:style>
  <w:style w:type="paragraph" w:customStyle="1" w:styleId="25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2">
    <w:name w:val="Char Char Char Char Char Char Char Char Char Char Char1 Char"/>
    <w:basedOn w:val="1"/>
    <w:qFormat/>
    <w:uiPriority w:val="0"/>
    <w:pPr>
      <w:adjustRightInd/>
    </w:pPr>
    <w:rPr>
      <w:rFonts w:ascii="Tahoma" w:hAnsi="Tahoma"/>
      <w:sz w:val="24"/>
    </w:rPr>
  </w:style>
  <w:style w:type="paragraph" w:customStyle="1" w:styleId="25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4">
    <w:name w:val="标书表格字体格式"/>
    <w:next w:val="158"/>
    <w:qFormat/>
    <w:uiPriority w:val="0"/>
    <w:rPr>
      <w:rFonts w:ascii="Times New Roman" w:hAnsi="Times New Roman" w:eastAsia="宋体" w:cs="Times New Roman"/>
      <w:kern w:val="2"/>
      <w:sz w:val="21"/>
      <w:szCs w:val="24"/>
      <w:lang w:val="en-US" w:eastAsia="zh-CN" w:bidi="ar-SA"/>
    </w:rPr>
  </w:style>
  <w:style w:type="paragraph" w:customStyle="1" w:styleId="25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258">
    <w:name w:val="带编号样式"/>
    <w:basedOn w:val="91"/>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103"/>
    <w:next w:val="103"/>
    <w:qFormat/>
    <w:uiPriority w:val="0"/>
    <w:rPr>
      <w:rFonts w:ascii="宋体" w:eastAsia="宋体" w:cs="Times New Roman"/>
      <w:color w:val="auto"/>
    </w:rPr>
  </w:style>
  <w:style w:type="paragraph" w:customStyle="1" w:styleId="2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62">
    <w:name w:val="Char5"/>
    <w:basedOn w:val="1"/>
    <w:qFormat/>
    <w:uiPriority w:val="0"/>
    <w:rPr>
      <w:rFonts w:ascii="仿宋_GB2312" w:eastAsia="仿宋_GB2312"/>
      <w:b/>
      <w:sz w:val="32"/>
      <w:szCs w:val="32"/>
    </w:rPr>
  </w:style>
  <w:style w:type="paragraph" w:customStyle="1" w:styleId="26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7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2"/>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qFormat/>
    <w:uiPriority w:val="0"/>
    <w:rPr>
      <w:rFonts w:ascii="仿宋_GB2312" w:eastAsia="仿宋_GB2312"/>
      <w:b/>
      <w:sz w:val="32"/>
      <w:szCs w:val="20"/>
    </w:rPr>
  </w:style>
  <w:style w:type="paragraph" w:customStyle="1" w:styleId="271">
    <w:name w:val="Char Char Char Char Char Char Char Char Char Char Char Char1 Char"/>
    <w:basedOn w:val="1"/>
    <w:qFormat/>
    <w:uiPriority w:val="0"/>
    <w:rPr>
      <w:rFonts w:ascii="Tahoma" w:hAnsi="Tahoma" w:cs="仿宋_GB2312"/>
      <w:sz w:val="24"/>
      <w:szCs w:val="20"/>
    </w:rPr>
  </w:style>
  <w:style w:type="paragraph" w:customStyle="1" w:styleId="27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qFormat/>
    <w:uiPriority w:val="0"/>
    <w:pPr>
      <w:adjustRightInd/>
      <w:ind w:left="420" w:leftChars="200"/>
      <w:jc w:val="left"/>
    </w:pPr>
    <w:rPr>
      <w:sz w:val="28"/>
      <w:szCs w:val="20"/>
      <w:lang w:eastAsia="zh-TW"/>
    </w:rPr>
  </w:style>
  <w:style w:type="paragraph" w:customStyle="1" w:styleId="277">
    <w:name w:val="Char1 Char Char Char3"/>
    <w:basedOn w:val="1"/>
    <w:qFormat/>
    <w:uiPriority w:val="0"/>
    <w:pPr>
      <w:adjustRightInd/>
      <w:ind w:firstLine="200" w:firstLineChars="200"/>
    </w:pPr>
    <w:rPr>
      <w:rFonts w:ascii="Tahoma" w:hAnsi="Tahoma"/>
      <w:sz w:val="24"/>
      <w:szCs w:val="20"/>
    </w:rPr>
  </w:style>
  <w:style w:type="paragraph" w:customStyle="1" w:styleId="278">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qFormat/>
    <w:uiPriority w:val="0"/>
    <w:rPr>
      <w:rFonts w:ascii="Tahoma" w:hAnsi="Tahoma" w:cs="仿宋_GB2312"/>
      <w:sz w:val="24"/>
      <w:szCs w:val="20"/>
    </w:rPr>
  </w:style>
  <w:style w:type="paragraph" w:customStyle="1" w:styleId="280">
    <w:name w:val="Char Char1 Char1"/>
    <w:basedOn w:val="1"/>
    <w:qFormat/>
    <w:uiPriority w:val="0"/>
    <w:rPr>
      <w:rFonts w:ascii="仿宋_GB2312" w:eastAsia="仿宋_GB2312"/>
      <w:b/>
      <w:sz w:val="32"/>
      <w:szCs w:val="32"/>
    </w:rPr>
  </w:style>
  <w:style w:type="paragraph" w:customStyle="1" w:styleId="281">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4">
    <w:name w:val="Char Char1"/>
    <w:basedOn w:val="1"/>
    <w:qFormat/>
    <w:uiPriority w:val="0"/>
    <w:pPr>
      <w:widowControl/>
      <w:spacing w:after="160" w:line="240" w:lineRule="exact"/>
      <w:jc w:val="left"/>
    </w:pPr>
    <w:rPr>
      <w:rFonts w:eastAsia="仿宋_GB2312"/>
      <w:sz w:val="28"/>
    </w:rPr>
  </w:style>
  <w:style w:type="paragraph" w:customStyle="1" w:styleId="285">
    <w:name w:val="单元格居中"/>
    <w:basedOn w:val="1"/>
    <w:qFormat/>
    <w:uiPriority w:val="0"/>
    <w:pPr>
      <w:adjustRightInd/>
      <w:spacing w:line="360" w:lineRule="auto"/>
      <w:jc w:val="center"/>
    </w:pPr>
    <w:rPr>
      <w:sz w:val="24"/>
    </w:rPr>
  </w:style>
  <w:style w:type="paragraph" w:customStyle="1" w:styleId="286">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1">
    <w:name w:val="MM Empty"/>
    <w:basedOn w:val="1"/>
    <w:qFormat/>
    <w:uiPriority w:val="0"/>
    <w:pPr>
      <w:adjustRightInd/>
    </w:p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4">
    <w:name w:val="Char Char1 Char Char1 Char Char1"/>
    <w:basedOn w:val="1"/>
    <w:qFormat/>
    <w:uiPriority w:val="0"/>
    <w:pPr>
      <w:tabs>
        <w:tab w:val="left" w:pos="840"/>
      </w:tabs>
      <w:ind w:left="840" w:hanging="420"/>
    </w:pPr>
    <w:rPr>
      <w:rFonts w:ascii="Tahoma" w:hAnsi="Tahoma"/>
      <w:sz w:val="24"/>
    </w:rPr>
  </w:style>
  <w:style w:type="paragraph" w:customStyle="1" w:styleId="295">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6">
    <w:name w:val="Char Char Char Char Char Char Char Char Char Char1"/>
    <w:basedOn w:val="1"/>
    <w:qFormat/>
    <w:uiPriority w:val="0"/>
    <w:rPr>
      <w:rFonts w:ascii="仿宋_GB2312" w:eastAsia="仿宋_GB2312"/>
      <w:b/>
      <w:sz w:val="32"/>
      <w:szCs w:val="32"/>
    </w:rPr>
  </w:style>
  <w:style w:type="paragraph" w:customStyle="1" w:styleId="29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8">
    <w:name w:val="默认段落字体 Para Char Char Char1 Char"/>
    <w:basedOn w:val="1"/>
    <w:qFormat/>
    <w:uiPriority w:val="0"/>
    <w:pPr>
      <w:spacing w:line="240" w:lineRule="atLeast"/>
      <w:ind w:left="420" w:firstLine="420"/>
    </w:pPr>
    <w:rPr>
      <w:sz w:val="24"/>
    </w:rPr>
  </w:style>
  <w:style w:type="paragraph" w:styleId="29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1">
    <w:name w:val="Char1 Char Char Char5"/>
    <w:basedOn w:val="1"/>
    <w:qFormat/>
    <w:uiPriority w:val="0"/>
    <w:pPr>
      <w:adjustRightInd/>
      <w:ind w:firstLine="200" w:firstLineChars="200"/>
    </w:pPr>
    <w:rPr>
      <w:rFonts w:ascii="Tahoma" w:hAnsi="Tahoma"/>
      <w:sz w:val="24"/>
      <w:szCs w:val="20"/>
    </w:rPr>
  </w:style>
  <w:style w:type="paragraph" w:customStyle="1" w:styleId="302">
    <w:name w:val="Char Char Char Char Char Char Char1"/>
    <w:basedOn w:val="1"/>
    <w:qFormat/>
    <w:uiPriority w:val="0"/>
    <w:rPr>
      <w:rFonts w:ascii="仿宋_GB2312" w:eastAsia="仿宋_GB2312"/>
      <w:b/>
      <w:sz w:val="32"/>
      <w:szCs w:val="32"/>
    </w:rPr>
  </w:style>
  <w:style w:type="paragraph" w:customStyle="1" w:styleId="30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4">
    <w:name w:val="正文表标题"/>
    <w:next w:val="1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6">
    <w:name w:val="四号　首行缩进"/>
    <w:basedOn w:val="1"/>
    <w:qFormat/>
    <w:uiPriority w:val="0"/>
    <w:pPr>
      <w:adjustRightInd/>
      <w:spacing w:line="360" w:lineRule="auto"/>
    </w:pPr>
    <w:rPr>
      <w:rFonts w:ascii="宋体" w:hAnsi="宋体"/>
      <w:szCs w:val="20"/>
    </w:rPr>
  </w:style>
  <w:style w:type="paragraph" w:customStyle="1" w:styleId="30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9">
    <w:name w:val="首行缩进"/>
    <w:basedOn w:val="1"/>
    <w:qFormat/>
    <w:uiPriority w:val="0"/>
    <w:pPr>
      <w:spacing w:line="360" w:lineRule="auto"/>
      <w:ind w:firstLine="480" w:firstLineChars="200"/>
    </w:pPr>
    <w:rPr>
      <w:rFonts w:ascii="宋体"/>
      <w:sz w:val="24"/>
      <w:szCs w:val="20"/>
    </w:rPr>
  </w:style>
  <w:style w:type="paragraph" w:customStyle="1" w:styleId="310">
    <w:name w:val="Char1 Char Char Char1"/>
    <w:basedOn w:val="1"/>
    <w:qFormat/>
    <w:uiPriority w:val="0"/>
    <w:pPr>
      <w:adjustRightInd/>
      <w:ind w:firstLine="200" w:firstLineChars="200"/>
    </w:pPr>
    <w:rPr>
      <w:rFonts w:ascii="Tahoma" w:hAnsi="Tahoma"/>
      <w:sz w:val="24"/>
      <w:szCs w:val="20"/>
    </w:rPr>
  </w:style>
  <w:style w:type="paragraph" w:customStyle="1" w:styleId="311">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样式 样式2 + 左侧:  1 字符 右侧:  1 字符"/>
    <w:basedOn w:val="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6">
    <w:name w:val="哈哈正文"/>
    <w:basedOn w:val="1"/>
    <w:link w:val="499"/>
    <w:qFormat/>
    <w:uiPriority w:val="0"/>
    <w:pPr>
      <w:adjustRightInd/>
      <w:spacing w:line="360" w:lineRule="auto"/>
      <w:ind w:firstLine="200" w:firstLineChars="200"/>
    </w:pPr>
    <w:rPr>
      <w:rFonts w:ascii="宋体" w:hAnsi="宋体"/>
      <w:sz w:val="24"/>
      <w:szCs w:val="20"/>
    </w:rPr>
  </w:style>
  <w:style w:type="paragraph" w:customStyle="1" w:styleId="317">
    <w:name w:val="List Paragraph1"/>
    <w:basedOn w:val="1"/>
    <w:qFormat/>
    <w:uiPriority w:val="34"/>
    <w:pPr>
      <w:spacing w:line="360" w:lineRule="auto"/>
      <w:ind w:firstLine="200" w:firstLineChars="200"/>
    </w:pPr>
    <w:rPr>
      <w:rFonts w:eastAsia="楷体_GB2312" w:cs="Lucida Sans"/>
      <w:sz w:val="24"/>
    </w:rPr>
  </w:style>
  <w:style w:type="paragraph" w:customStyle="1" w:styleId="31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0">
    <w:name w:val="Char Char11 Char Char Char Char Char Char Char Char Char1"/>
    <w:basedOn w:val="1"/>
    <w:qFormat/>
    <w:uiPriority w:val="0"/>
    <w:pPr>
      <w:spacing w:line="360" w:lineRule="auto"/>
    </w:pPr>
    <w:rPr>
      <w:szCs w:val="20"/>
    </w:rPr>
  </w:style>
  <w:style w:type="paragraph" w:customStyle="1" w:styleId="32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2">
    <w:name w:val="正文 项目2"/>
    <w:basedOn w:val="323"/>
    <w:qFormat/>
    <w:uiPriority w:val="0"/>
    <w:pPr>
      <w:numPr>
        <w:ilvl w:val="0"/>
        <w:numId w:val="6"/>
      </w:numPr>
      <w:tabs>
        <w:tab w:val="left" w:pos="840"/>
      </w:tabs>
      <w:spacing w:after="0"/>
    </w:pPr>
  </w:style>
  <w:style w:type="paragraph" w:customStyle="1" w:styleId="32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4">
    <w:name w:val="Char Char Char1 Char1"/>
    <w:basedOn w:val="1"/>
    <w:qFormat/>
    <w:uiPriority w:val="0"/>
    <w:rPr>
      <w:szCs w:val="20"/>
    </w:rPr>
  </w:style>
  <w:style w:type="paragraph" w:customStyle="1" w:styleId="32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7">
    <w:name w:val="封面"/>
    <w:basedOn w:val="1"/>
    <w:qFormat/>
    <w:uiPriority w:val="0"/>
    <w:pPr>
      <w:spacing w:line="360" w:lineRule="atLeast"/>
      <w:jc w:val="right"/>
      <w:textAlignment w:val="baseline"/>
    </w:pPr>
    <w:rPr>
      <w:rFonts w:ascii="Symbol" w:hAnsi="Symbol"/>
      <w:kern w:val="0"/>
      <w:szCs w:val="20"/>
    </w:rPr>
  </w:style>
  <w:style w:type="paragraph" w:customStyle="1" w:styleId="328">
    <w:name w:val="正文（缩进2汉字）"/>
    <w:basedOn w:val="1"/>
    <w:link w:val="58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9">
    <w:name w:val="数字标题3"/>
    <w:basedOn w:val="6"/>
    <w:next w:val="1"/>
    <w:qFormat/>
    <w:uiPriority w:val="0"/>
    <w:pPr>
      <w:numPr>
        <w:numId w:val="0"/>
      </w:numPr>
      <w:spacing w:line="240" w:lineRule="auto"/>
    </w:pPr>
    <w:rPr>
      <w:sz w:val="28"/>
      <w:szCs w:val="28"/>
    </w:rPr>
  </w:style>
  <w:style w:type="paragraph" w:customStyle="1" w:styleId="3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2">
    <w:name w:val="正文（首行缩进2字符）"/>
    <w:basedOn w:val="1"/>
    <w:qFormat/>
    <w:uiPriority w:val="0"/>
    <w:pPr>
      <w:adjustRightInd/>
      <w:spacing w:line="360" w:lineRule="auto"/>
      <w:ind w:firstLine="480" w:firstLineChars="200"/>
    </w:pPr>
    <w:rPr>
      <w:sz w:val="24"/>
      <w:szCs w:val="20"/>
    </w:rPr>
  </w:style>
  <w:style w:type="paragraph" w:customStyle="1" w:styleId="33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4">
    <w:name w:val="正文段"/>
    <w:basedOn w:val="1"/>
    <w:qFormat/>
    <w:uiPriority w:val="0"/>
    <w:pPr>
      <w:widowControl/>
      <w:snapToGrid w:val="0"/>
      <w:spacing w:afterLines="50"/>
      <w:ind w:firstLine="200" w:firstLineChars="200"/>
    </w:pPr>
    <w:rPr>
      <w:kern w:val="0"/>
      <w:sz w:val="24"/>
      <w:szCs w:val="20"/>
    </w:rPr>
  </w:style>
  <w:style w:type="paragraph" w:customStyle="1" w:styleId="33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6">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7">
    <w:name w:val="彩色列表 - 强调文字颜色 11"/>
    <w:basedOn w:val="1"/>
    <w:qFormat/>
    <w:uiPriority w:val="0"/>
    <w:pPr>
      <w:adjustRightInd/>
      <w:ind w:firstLine="420" w:firstLineChars="200"/>
    </w:pPr>
    <w:rPr>
      <w:rFonts w:ascii="Calibri" w:hAnsi="Calibri"/>
      <w:szCs w:val="22"/>
    </w:rPr>
  </w:style>
  <w:style w:type="paragraph" w:customStyle="1" w:styleId="338">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0">
    <w:name w:val="样式1 + (中宋体"/>
    <w:basedOn w:val="16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1">
    <w:name w:val="仿宋正文"/>
    <w:basedOn w:val="1"/>
    <w:link w:val="464"/>
    <w:qFormat/>
    <w:uiPriority w:val="0"/>
    <w:pPr>
      <w:adjustRightInd/>
      <w:spacing w:line="360" w:lineRule="auto"/>
      <w:ind w:firstLine="480" w:firstLineChars="200"/>
    </w:pPr>
    <w:rPr>
      <w:rFonts w:ascii="仿宋_GB2312" w:eastAsia="仿宋_GB2312"/>
      <w:sz w:val="24"/>
      <w:szCs w:val="20"/>
    </w:rPr>
  </w:style>
  <w:style w:type="paragraph" w:customStyle="1" w:styleId="342">
    <w:name w:val="正文（标题三）"/>
    <w:basedOn w:val="1"/>
    <w:qFormat/>
    <w:uiPriority w:val="0"/>
    <w:pPr>
      <w:spacing w:line="360" w:lineRule="auto"/>
      <w:ind w:firstLine="200" w:firstLineChars="200"/>
    </w:pPr>
    <w:rPr>
      <w:sz w:val="24"/>
    </w:rPr>
  </w:style>
  <w:style w:type="paragraph" w:customStyle="1" w:styleId="343">
    <w:name w:val="MM Topic 3"/>
    <w:basedOn w:val="6"/>
    <w:qFormat/>
    <w:uiPriority w:val="0"/>
    <w:pPr>
      <w:numPr>
        <w:numId w:val="4"/>
      </w:numPr>
      <w:tabs>
        <w:tab w:val="left" w:pos="840"/>
        <w:tab w:val="left" w:pos="1680"/>
        <w:tab w:val="clear" w:pos="900"/>
      </w:tabs>
      <w:adjustRightInd/>
    </w:pPr>
  </w:style>
  <w:style w:type="paragraph" w:customStyle="1" w:styleId="3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5">
    <w:name w:val="图中文字"/>
    <w:basedOn w:val="1"/>
    <w:qFormat/>
    <w:uiPriority w:val="0"/>
    <w:pPr>
      <w:snapToGrid w:val="0"/>
      <w:spacing w:line="0" w:lineRule="atLeast"/>
      <w:ind w:firstLine="200" w:firstLineChars="200"/>
      <w:jc w:val="center"/>
    </w:pPr>
    <w:rPr>
      <w:sz w:val="24"/>
      <w:szCs w:val="20"/>
    </w:rPr>
  </w:style>
  <w:style w:type="paragraph" w:customStyle="1" w:styleId="346">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7">
    <w:name w:val="Char21"/>
    <w:basedOn w:val="1"/>
    <w:qFormat/>
    <w:uiPriority w:val="0"/>
    <w:pPr>
      <w:adjustRightInd/>
      <w:ind w:firstLine="200" w:firstLineChars="200"/>
    </w:pPr>
    <w:rPr>
      <w:rFonts w:ascii="仿宋_GB2312" w:eastAsia="仿宋_GB2312"/>
      <w:b/>
      <w:sz w:val="32"/>
      <w:szCs w:val="32"/>
    </w:rPr>
  </w:style>
  <w:style w:type="paragraph" w:customStyle="1" w:styleId="34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9">
    <w:name w:val="标题4-dyf"/>
    <w:basedOn w:val="7"/>
    <w:link w:val="554"/>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0">
    <w:name w:val="Char1 Char Char Char4"/>
    <w:basedOn w:val="1"/>
    <w:qFormat/>
    <w:uiPriority w:val="0"/>
    <w:pPr>
      <w:adjustRightInd/>
      <w:ind w:firstLine="200" w:firstLineChars="200"/>
    </w:pPr>
    <w:rPr>
      <w:rFonts w:ascii="Tahoma" w:hAnsi="Tahoma"/>
      <w:sz w:val="24"/>
      <w:szCs w:val="20"/>
    </w:rPr>
  </w:style>
  <w:style w:type="paragraph" w:customStyle="1" w:styleId="35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3">
    <w:name w:val="Char23"/>
    <w:basedOn w:val="1"/>
    <w:qFormat/>
    <w:uiPriority w:val="0"/>
    <w:rPr>
      <w:rFonts w:ascii="仿宋_GB2312" w:eastAsia="仿宋_GB2312"/>
      <w:b/>
      <w:sz w:val="32"/>
      <w:szCs w:val="32"/>
    </w:rPr>
  </w:style>
  <w:style w:type="paragraph" w:customStyle="1" w:styleId="35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7">
    <w:name w:val="此正文"/>
    <w:basedOn w:val="1"/>
    <w:link w:val="442"/>
    <w:qFormat/>
    <w:uiPriority w:val="0"/>
    <w:pPr>
      <w:adjustRightInd/>
      <w:spacing w:line="360" w:lineRule="auto"/>
      <w:ind w:firstLine="200" w:firstLineChars="200"/>
    </w:pPr>
    <w:rPr>
      <w:sz w:val="24"/>
    </w:rPr>
  </w:style>
  <w:style w:type="paragraph" w:customStyle="1" w:styleId="3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0">
    <w:name w:val="Char3 Char Char Char"/>
    <w:basedOn w:val="1"/>
    <w:qFormat/>
    <w:uiPriority w:val="0"/>
    <w:pPr>
      <w:widowControl/>
      <w:adjustRightInd/>
      <w:spacing w:after="160" w:line="240" w:lineRule="exact"/>
      <w:jc w:val="left"/>
    </w:pPr>
    <w:rPr>
      <w:szCs w:val="20"/>
    </w:rPr>
  </w:style>
  <w:style w:type="paragraph" w:customStyle="1" w:styleId="36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2">
    <w:name w:val="Normal0"/>
    <w:qFormat/>
    <w:uiPriority w:val="0"/>
    <w:rPr>
      <w:rFonts w:ascii="Times New Roman" w:hAnsi="Times New Roman" w:eastAsia="宋体" w:cs="Times New Roman"/>
      <w:lang w:val="en-US" w:eastAsia="en-US" w:bidi="ar-SA"/>
    </w:rPr>
  </w:style>
  <w:style w:type="paragraph" w:customStyle="1" w:styleId="36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4">
    <w:name w:val="a1"/>
    <w:basedOn w:val="1"/>
    <w:qFormat/>
    <w:uiPriority w:val="0"/>
    <w:pPr>
      <w:widowControl/>
      <w:spacing w:line="300" w:lineRule="atLeast"/>
      <w:jc w:val="left"/>
    </w:pPr>
    <w:rPr>
      <w:rFonts w:ascii="宋体" w:hAnsi="宋体"/>
      <w:kern w:val="0"/>
      <w:sz w:val="18"/>
      <w:szCs w:val="20"/>
    </w:rPr>
  </w:style>
  <w:style w:type="paragraph" w:customStyle="1" w:styleId="36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7">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8">
    <w:name w:val="Thf"/>
    <w:basedOn w:val="94"/>
    <w:qFormat/>
    <w:uiPriority w:val="0"/>
    <w:pPr>
      <w:ind w:left="0"/>
    </w:pPr>
  </w:style>
  <w:style w:type="paragraph" w:customStyle="1" w:styleId="36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_Style 12"/>
    <w:basedOn w:val="20"/>
    <w:qFormat/>
    <w:uiPriority w:val="0"/>
    <w:pPr>
      <w:snapToGrid w:val="0"/>
      <w:spacing w:line="360" w:lineRule="auto"/>
    </w:pPr>
  </w:style>
  <w:style w:type="paragraph" w:customStyle="1" w:styleId="374">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6">
    <w:name w:val="标书标题2"/>
    <w:basedOn w:val="5"/>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7">
    <w:name w:val="Char Char"/>
    <w:basedOn w:val="1"/>
    <w:qFormat/>
    <w:uiPriority w:val="0"/>
    <w:pPr>
      <w:spacing w:line="360" w:lineRule="auto"/>
    </w:pPr>
    <w:rPr>
      <w:rFonts w:ascii="Tahoma" w:hAnsi="Tahoma"/>
      <w:sz w:val="24"/>
      <w:szCs w:val="20"/>
    </w:rPr>
  </w:style>
  <w:style w:type="paragraph" w:customStyle="1" w:styleId="37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9">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0">
    <w:name w:val="彩色列表 - 强调文字颜色 12"/>
    <w:basedOn w:val="1"/>
    <w:qFormat/>
    <w:uiPriority w:val="0"/>
    <w:pPr>
      <w:adjustRightInd/>
      <w:ind w:firstLine="420" w:firstLineChars="200"/>
    </w:pPr>
    <w:rPr>
      <w:rFonts w:ascii="Calibri" w:hAnsi="Calibri"/>
      <w:szCs w:val="22"/>
    </w:rPr>
  </w:style>
  <w:style w:type="paragraph" w:customStyle="1" w:styleId="38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2">
    <w:name w:val="Char19"/>
    <w:basedOn w:val="1"/>
    <w:qFormat/>
    <w:uiPriority w:val="0"/>
    <w:pPr>
      <w:adjustRightInd/>
    </w:pPr>
    <w:rPr>
      <w:szCs w:val="20"/>
    </w:rPr>
  </w:style>
  <w:style w:type="paragraph" w:customStyle="1" w:styleId="383">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384">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6">
    <w:name w:val="表格（小）"/>
    <w:basedOn w:val="1"/>
    <w:qFormat/>
    <w:uiPriority w:val="0"/>
    <w:pPr>
      <w:adjustRightInd/>
      <w:snapToGrid w:val="0"/>
      <w:spacing w:line="300" w:lineRule="auto"/>
    </w:pPr>
    <w:rPr>
      <w:rFonts w:eastAsia="仿宋"/>
      <w:szCs w:val="21"/>
    </w:rPr>
  </w:style>
  <w:style w:type="paragraph" w:customStyle="1" w:styleId="3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1">
    <w:name w:val="Char Char Char Char2"/>
    <w:basedOn w:val="1"/>
    <w:qFormat/>
    <w:uiPriority w:val="0"/>
    <w:rPr>
      <w:rFonts w:ascii="Tahoma" w:hAnsi="Tahoma"/>
      <w:sz w:val="24"/>
      <w:szCs w:val="20"/>
    </w:rPr>
  </w:style>
  <w:style w:type="paragraph" w:customStyle="1" w:styleId="392">
    <w:name w:val="p0"/>
    <w:basedOn w:val="1"/>
    <w:qFormat/>
    <w:uiPriority w:val="0"/>
    <w:pPr>
      <w:widowControl/>
      <w:adjustRightInd/>
    </w:pPr>
    <w:rPr>
      <w:kern w:val="0"/>
      <w:szCs w:val="21"/>
    </w:rPr>
  </w:style>
  <w:style w:type="paragraph" w:customStyle="1" w:styleId="39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5">
    <w:name w:val="默认段落样式"/>
    <w:basedOn w:val="396"/>
    <w:qFormat/>
    <w:uiPriority w:val="0"/>
    <w:pPr>
      <w:spacing w:before="0"/>
      <w:ind w:firstLine="480"/>
      <w:outlineLvl w:val="2"/>
    </w:pPr>
    <w:rPr>
      <w:rFonts w:ascii="仿宋_GB2312" w:hAnsi="宋体" w:eastAsia="仿宋_GB2312"/>
      <w:color w:val="000000"/>
      <w:szCs w:val="24"/>
    </w:rPr>
  </w:style>
  <w:style w:type="paragraph" w:customStyle="1" w:styleId="396">
    <w:name w:val="正文2"/>
    <w:basedOn w:val="1"/>
    <w:link w:val="449"/>
    <w:qFormat/>
    <w:uiPriority w:val="0"/>
    <w:pPr>
      <w:spacing w:before="156" w:line="360" w:lineRule="auto"/>
      <w:ind w:firstLine="510" w:firstLineChars="200"/>
    </w:pPr>
    <w:rPr>
      <w:sz w:val="24"/>
      <w:szCs w:val="20"/>
    </w:rPr>
  </w:style>
  <w:style w:type="paragraph" w:customStyle="1" w:styleId="3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0">
    <w:name w:val="bullet"/>
    <w:basedOn w:val="1"/>
    <w:qFormat/>
    <w:uiPriority w:val="0"/>
    <w:pPr>
      <w:tabs>
        <w:tab w:val="left" w:pos="840"/>
      </w:tabs>
      <w:adjustRightInd/>
      <w:ind w:left="840" w:hanging="420"/>
    </w:pPr>
  </w:style>
  <w:style w:type="paragraph" w:customStyle="1" w:styleId="401">
    <w:name w:val="五级条标题"/>
    <w:basedOn w:val="175"/>
    <w:next w:val="142"/>
    <w:qFormat/>
    <w:uiPriority w:val="0"/>
    <w:pPr>
      <w:numPr>
        <w:ilvl w:val="6"/>
      </w:numPr>
      <w:tabs>
        <w:tab w:val="clear" w:pos="2940"/>
      </w:tabs>
      <w:outlineLvl w:val="6"/>
    </w:pPr>
  </w:style>
  <w:style w:type="paragraph" w:customStyle="1" w:styleId="402">
    <w:name w:val="Char Char Char Char Char Char Char Char"/>
    <w:basedOn w:val="1"/>
    <w:qFormat/>
    <w:uiPriority w:val="0"/>
    <w:pPr>
      <w:tabs>
        <w:tab w:val="left" w:pos="360"/>
      </w:tabs>
    </w:pPr>
    <w:rPr>
      <w:sz w:val="24"/>
      <w:szCs w:val="20"/>
    </w:rPr>
  </w:style>
  <w:style w:type="paragraph" w:customStyle="1" w:styleId="4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数字标题5"/>
    <w:basedOn w:val="8"/>
    <w:next w:val="1"/>
    <w:qFormat/>
    <w:uiPriority w:val="0"/>
    <w:pPr>
      <w:numPr>
        <w:numId w:val="5"/>
      </w:numPr>
      <w:tabs>
        <w:tab w:val="left" w:pos="480"/>
        <w:tab w:val="left" w:pos="1080"/>
        <w:tab w:val="clear" w:pos="1008"/>
      </w:tabs>
    </w:pPr>
  </w:style>
  <w:style w:type="paragraph" w:customStyle="1" w:styleId="4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8">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9">
    <w:name w:val="0"/>
    <w:basedOn w:val="1"/>
    <w:qFormat/>
    <w:uiPriority w:val="0"/>
    <w:pPr>
      <w:widowControl/>
    </w:pPr>
    <w:rPr>
      <w:kern w:val="0"/>
      <w:sz w:val="24"/>
      <w:szCs w:val="20"/>
    </w:rPr>
  </w:style>
  <w:style w:type="paragraph" w:customStyle="1" w:styleId="410">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1">
    <w:name w:val="b11_01b"/>
    <w:basedOn w:val="1"/>
    <w:next w:val="1"/>
    <w:link w:val="55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2">
    <w:name w:val="MM Topic 5"/>
    <w:basedOn w:val="8"/>
    <w:qFormat/>
    <w:uiPriority w:val="0"/>
    <w:pPr>
      <w:numPr>
        <w:numId w:val="4"/>
      </w:numPr>
      <w:tabs>
        <w:tab w:val="left" w:pos="840"/>
        <w:tab w:val="left" w:pos="2520"/>
        <w:tab w:val="clear" w:pos="1008"/>
      </w:tabs>
      <w:adjustRightInd/>
    </w:pPr>
  </w:style>
  <w:style w:type="paragraph" w:customStyle="1" w:styleId="413">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5">
    <w:name w:val="数字标题1"/>
    <w:basedOn w:val="4"/>
    <w:next w:val="1"/>
    <w:qFormat/>
    <w:uiPriority w:val="0"/>
    <w:pPr>
      <w:numPr>
        <w:numId w:val="5"/>
      </w:numPr>
      <w:tabs>
        <w:tab w:val="left" w:pos="480"/>
        <w:tab w:val="clear" w:pos="432"/>
      </w:tabs>
    </w:pPr>
  </w:style>
  <w:style w:type="paragraph" w:customStyle="1" w:styleId="416">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7">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3">
    <w:name w:val="MM Topic 1"/>
    <w:basedOn w:val="4"/>
    <w:qFormat/>
    <w:uiPriority w:val="0"/>
    <w:pPr>
      <w:numPr>
        <w:numId w:val="0"/>
      </w:numPr>
      <w:tabs>
        <w:tab w:val="left" w:pos="840"/>
        <w:tab w:val="clear" w:pos="432"/>
      </w:tabs>
      <w:adjustRightInd/>
      <w:ind w:left="840" w:hanging="420"/>
    </w:pPr>
  </w:style>
  <w:style w:type="paragraph" w:customStyle="1" w:styleId="424">
    <w:name w:val="Char Char Char Char Char Char Char Char1"/>
    <w:basedOn w:val="1"/>
    <w:qFormat/>
    <w:uiPriority w:val="0"/>
    <w:pPr>
      <w:tabs>
        <w:tab w:val="left" w:pos="360"/>
      </w:tabs>
    </w:pPr>
    <w:rPr>
      <w:sz w:val="24"/>
      <w:szCs w:val="20"/>
    </w:rPr>
  </w:style>
  <w:style w:type="paragraph" w:customStyle="1" w:styleId="42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6">
    <w:name w:val="Char3 Char Char Char1"/>
    <w:basedOn w:val="1"/>
    <w:qFormat/>
    <w:uiPriority w:val="0"/>
    <w:pPr>
      <w:widowControl/>
      <w:adjustRightInd/>
      <w:spacing w:after="160" w:line="240" w:lineRule="exact"/>
      <w:jc w:val="left"/>
    </w:pPr>
    <w:rPr>
      <w:szCs w:val="20"/>
    </w:rPr>
  </w:style>
  <w:style w:type="paragraph" w:customStyle="1" w:styleId="427">
    <w:name w:val="Char Char12"/>
    <w:basedOn w:val="1"/>
    <w:qFormat/>
    <w:uiPriority w:val="0"/>
    <w:pPr>
      <w:widowControl/>
      <w:spacing w:after="160" w:line="240" w:lineRule="exact"/>
      <w:jc w:val="left"/>
    </w:pPr>
    <w:rPr>
      <w:rFonts w:eastAsia="仿宋_GB2312"/>
      <w:sz w:val="28"/>
    </w:rPr>
  </w:style>
  <w:style w:type="paragraph" w:customStyle="1" w:styleId="42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1">
    <w:name w:val="单元格左对齐"/>
    <w:basedOn w:val="1"/>
    <w:qFormat/>
    <w:uiPriority w:val="0"/>
    <w:pPr>
      <w:adjustRightInd/>
      <w:spacing w:line="360" w:lineRule="auto"/>
    </w:pPr>
    <w:rPr>
      <w:sz w:val="24"/>
    </w:rPr>
  </w:style>
  <w:style w:type="paragraph" w:customStyle="1" w:styleId="432">
    <w:name w:val="Char11"/>
    <w:basedOn w:val="1"/>
    <w:qFormat/>
    <w:uiPriority w:val="0"/>
    <w:pPr>
      <w:tabs>
        <w:tab w:val="left" w:pos="432"/>
      </w:tabs>
      <w:adjustRightInd/>
      <w:spacing w:beforeLines="50" w:afterLines="50"/>
      <w:ind w:left="432" w:hanging="432" w:firstLineChars="200"/>
    </w:pPr>
    <w:rPr>
      <w:sz w:val="24"/>
    </w:rPr>
  </w:style>
  <w:style w:type="paragraph" w:customStyle="1" w:styleId="4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4">
    <w:name w:val="正文文本 Char"/>
    <w:qFormat/>
    <w:uiPriority w:val="0"/>
    <w:rPr>
      <w:rFonts w:eastAsia="宋体"/>
      <w:kern w:val="2"/>
      <w:sz w:val="24"/>
      <w:szCs w:val="24"/>
      <w:lang w:val="en-US" w:eastAsia="zh-CN" w:bidi="ar-SA"/>
    </w:rPr>
  </w:style>
  <w:style w:type="character" w:customStyle="1" w:styleId="435">
    <w:name w:val="myp1111"/>
    <w:qFormat/>
    <w:uiPriority w:val="0"/>
    <w:rPr>
      <w:rFonts w:hint="default" w:ascii="ˎ̥" w:hAnsi="ˎ̥"/>
      <w:color w:val="000000"/>
      <w:sz w:val="20"/>
      <w:szCs w:val="20"/>
      <w:u w:val="none"/>
    </w:rPr>
  </w:style>
  <w:style w:type="character" w:customStyle="1" w:styleId="436">
    <w:name w:val="mdeck"/>
    <w:qFormat/>
    <w:uiPriority w:val="0"/>
    <w:rPr>
      <w:rFonts w:ascii="仿宋_GB2312" w:eastAsia="微软雅黑"/>
      <w:b/>
      <w:kern w:val="2"/>
      <w:sz w:val="32"/>
      <w:szCs w:val="32"/>
      <w:lang w:val="en-US" w:eastAsia="zh-CN" w:bidi="ar-SA"/>
    </w:rPr>
  </w:style>
  <w:style w:type="character" w:customStyle="1" w:styleId="437">
    <w:name w:val="签名 Char"/>
    <w:link w:val="43"/>
    <w:qFormat/>
    <w:uiPriority w:val="0"/>
    <w:rPr>
      <w:rFonts w:eastAsia="仿宋_GB2312"/>
      <w:sz w:val="24"/>
    </w:rPr>
  </w:style>
  <w:style w:type="character" w:customStyle="1" w:styleId="438">
    <w:name w:val="tw4winMark"/>
    <w:qFormat/>
    <w:uiPriority w:val="0"/>
    <w:rPr>
      <w:rFonts w:ascii="Courier New" w:hAnsi="Courier New" w:cs="Courier New"/>
      <w:vanish/>
      <w:color w:val="800080"/>
      <w:sz w:val="24"/>
      <w:szCs w:val="24"/>
      <w:vertAlign w:val="subscript"/>
    </w:rPr>
  </w:style>
  <w:style w:type="character" w:customStyle="1" w:styleId="43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0">
    <w:name w:val="Balloon Text Char"/>
    <w:semiHidden/>
    <w:qFormat/>
    <w:locked/>
    <w:uiPriority w:val="0"/>
    <w:rPr>
      <w:rFonts w:eastAsia="宋体"/>
      <w:kern w:val="2"/>
      <w:sz w:val="18"/>
      <w:szCs w:val="18"/>
      <w:lang w:val="en-US" w:eastAsia="zh-CN" w:bidi="ar-SA"/>
    </w:rPr>
  </w:style>
  <w:style w:type="character" w:customStyle="1" w:styleId="441">
    <w:name w:val="正文非缩进 Char"/>
    <w:qFormat/>
    <w:uiPriority w:val="0"/>
    <w:rPr>
      <w:rFonts w:ascii="宋体" w:eastAsia="宋体"/>
      <w:snapToGrid w:val="0"/>
      <w:color w:val="000000"/>
      <w:kern w:val="28"/>
      <w:sz w:val="28"/>
      <w:lang w:val="en-US" w:eastAsia="zh-CN" w:bidi="ar-SA"/>
    </w:rPr>
  </w:style>
  <w:style w:type="character" w:customStyle="1" w:styleId="442">
    <w:name w:val="此正文 Char"/>
    <w:link w:val="357"/>
    <w:qFormat/>
    <w:uiPriority w:val="0"/>
    <w:rPr>
      <w:kern w:val="2"/>
      <w:sz w:val="24"/>
      <w:szCs w:val="24"/>
    </w:rPr>
  </w:style>
  <w:style w:type="character" w:customStyle="1" w:styleId="443">
    <w:name w:val="Ò³Ã¼ Char Char"/>
    <w:qFormat/>
    <w:uiPriority w:val="0"/>
    <w:rPr>
      <w:rFonts w:eastAsia="宋体"/>
      <w:kern w:val="2"/>
      <w:sz w:val="18"/>
      <w:lang w:val="en-US" w:eastAsia="zh-CN" w:bidi="ar-SA"/>
    </w:rPr>
  </w:style>
  <w:style w:type="character" w:customStyle="1" w:styleId="444">
    <w:name w:val="style91"/>
    <w:qFormat/>
    <w:uiPriority w:val="0"/>
    <w:rPr>
      <w:color w:val="333333"/>
    </w:rPr>
  </w:style>
  <w:style w:type="character" w:customStyle="1" w:styleId="445">
    <w:name w:val="标书1 Char"/>
    <w:qFormat/>
    <w:uiPriority w:val="0"/>
    <w:rPr>
      <w:rFonts w:eastAsia="宋体"/>
      <w:b/>
      <w:bCs/>
      <w:kern w:val="44"/>
      <w:sz w:val="44"/>
      <w:szCs w:val="44"/>
      <w:lang w:val="en-US" w:eastAsia="zh-CN" w:bidi="ar-SA"/>
    </w:rPr>
  </w:style>
  <w:style w:type="character" w:customStyle="1" w:styleId="446">
    <w:name w:val="ca-131"/>
    <w:qFormat/>
    <w:uiPriority w:val="0"/>
    <w:rPr>
      <w:rFonts w:hint="eastAsia" w:ascii="仿宋_GB2312" w:eastAsia="仿宋_GB2312"/>
      <w:b/>
      <w:bCs/>
      <w:color w:val="000000"/>
      <w:spacing w:val="-20"/>
      <w:sz w:val="24"/>
      <w:szCs w:val="24"/>
    </w:rPr>
  </w:style>
  <w:style w:type="character" w:customStyle="1" w:styleId="447">
    <w:name w:val="标书正文格式 Char"/>
    <w:qFormat/>
    <w:uiPriority w:val="0"/>
    <w:rPr>
      <w:rFonts w:eastAsia="楷体_GB2312"/>
      <w:kern w:val="2"/>
      <w:sz w:val="24"/>
      <w:szCs w:val="24"/>
      <w:lang w:bidi="ar-SA"/>
    </w:rPr>
  </w:style>
  <w:style w:type="character" w:customStyle="1" w:styleId="448">
    <w:name w:val="Char Char6"/>
    <w:qFormat/>
    <w:uiPriority w:val="0"/>
    <w:rPr>
      <w:rFonts w:eastAsia="宋体"/>
      <w:kern w:val="2"/>
      <w:sz w:val="21"/>
      <w:szCs w:val="24"/>
      <w:lang w:val="en-US" w:eastAsia="zh-CN" w:bidi="ar-SA"/>
    </w:rPr>
  </w:style>
  <w:style w:type="character" w:customStyle="1" w:styleId="449">
    <w:name w:val="正文2 Char Char"/>
    <w:link w:val="396"/>
    <w:qFormat/>
    <w:uiPriority w:val="0"/>
    <w:rPr>
      <w:rFonts w:eastAsia="宋体"/>
      <w:kern w:val="2"/>
      <w:sz w:val="24"/>
      <w:lang w:val="en-US" w:eastAsia="zh-CN" w:bidi="ar-SA"/>
    </w:rPr>
  </w:style>
  <w:style w:type="character" w:customStyle="1" w:styleId="450">
    <w:name w:val="content"/>
    <w:qFormat/>
    <w:uiPriority w:val="0"/>
  </w:style>
  <w:style w:type="character" w:customStyle="1" w:styleId="451">
    <w:name w:val="正文文本 2 Char"/>
    <w:qFormat/>
    <w:uiPriority w:val="0"/>
    <w:rPr>
      <w:rFonts w:eastAsia="宋体"/>
      <w:kern w:val="2"/>
      <w:sz w:val="21"/>
      <w:szCs w:val="24"/>
      <w:lang w:val="en-US" w:eastAsia="zh-CN" w:bidi="ar-SA"/>
    </w:rPr>
  </w:style>
  <w:style w:type="character" w:customStyle="1" w:styleId="452">
    <w:name w:val="Heading 2 Hidden Char"/>
    <w:qFormat/>
    <w:uiPriority w:val="0"/>
    <w:rPr>
      <w:rFonts w:ascii="仿宋_GB2312" w:eastAsia="仿宋_GB2312"/>
      <w:b/>
      <w:bCs/>
      <w:kern w:val="2"/>
      <w:sz w:val="24"/>
      <w:szCs w:val="24"/>
      <w:lang w:val="zh-CN" w:eastAsia="zh-CN" w:bidi="ar-SA"/>
    </w:rPr>
  </w:style>
  <w:style w:type="character" w:customStyle="1" w:styleId="453">
    <w:name w:val="首行缩进 Char"/>
    <w:qFormat/>
    <w:uiPriority w:val="0"/>
    <w:rPr>
      <w:rFonts w:ascii="宋体" w:eastAsia="宋体"/>
      <w:kern w:val="2"/>
      <w:sz w:val="24"/>
      <w:lang w:val="en-US" w:eastAsia="zh-CN" w:bidi="ar-SA"/>
    </w:rPr>
  </w:style>
  <w:style w:type="character" w:customStyle="1" w:styleId="45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5">
    <w:name w:val="普通文字 Char Char1"/>
    <w:qFormat/>
    <w:uiPriority w:val="0"/>
    <w:rPr>
      <w:rFonts w:ascii="宋体" w:hAnsi="Courier New"/>
      <w:kern w:val="2"/>
      <w:sz w:val="21"/>
    </w:rPr>
  </w:style>
  <w:style w:type="character" w:customStyle="1" w:styleId="456">
    <w:name w:val="Footer-Even Char"/>
    <w:qFormat/>
    <w:uiPriority w:val="0"/>
    <w:rPr>
      <w:rFonts w:eastAsia="宋体"/>
      <w:kern w:val="2"/>
      <w:sz w:val="18"/>
      <w:lang w:val="en-US" w:eastAsia="zh-CN" w:bidi="ar-SA"/>
    </w:rPr>
  </w:style>
  <w:style w:type="character" w:customStyle="1" w:styleId="457">
    <w:name w:val="dandyren_title1"/>
    <w:qFormat/>
    <w:uiPriority w:val="0"/>
    <w:rPr>
      <w:b/>
      <w:bCs/>
      <w:color w:val="FF6633"/>
      <w:sz w:val="18"/>
      <w:szCs w:val="18"/>
    </w:rPr>
  </w:style>
  <w:style w:type="character" w:customStyle="1" w:styleId="458">
    <w:name w:val="标题 3 Char2"/>
    <w:qFormat/>
    <w:uiPriority w:val="0"/>
    <w:rPr>
      <w:rFonts w:eastAsia="宋体"/>
      <w:b/>
      <w:bCs/>
      <w:kern w:val="2"/>
      <w:sz w:val="32"/>
      <w:szCs w:val="32"/>
      <w:lang w:val="en-US" w:eastAsia="zh-CN" w:bidi="ar-SA"/>
    </w:rPr>
  </w:style>
  <w:style w:type="character" w:customStyle="1" w:styleId="459">
    <w:name w:val="gray6"/>
    <w:basedOn w:val="64"/>
    <w:qFormat/>
    <w:uiPriority w:val="0"/>
  </w:style>
  <w:style w:type="character" w:customStyle="1" w:styleId="460">
    <w:name w:val="标准正文格式 Char"/>
    <w:qFormat/>
    <w:uiPriority w:val="0"/>
    <w:rPr>
      <w:rFonts w:ascii="宋体" w:eastAsia="仿宋_GB2312" w:cs="宋体"/>
      <w:color w:val="000000"/>
      <w:sz w:val="24"/>
      <w:lang w:val="en-US" w:eastAsia="zh-CN" w:bidi="ar-SA"/>
    </w:rPr>
  </w:style>
  <w:style w:type="character" w:customStyle="1" w:styleId="461">
    <w:name w:val="Char Char3"/>
    <w:qFormat/>
    <w:uiPriority w:val="0"/>
    <w:rPr>
      <w:rFonts w:eastAsia="宋体"/>
      <w:kern w:val="2"/>
      <w:sz w:val="21"/>
      <w:szCs w:val="24"/>
      <w:lang w:val="en-US" w:eastAsia="zh-CN" w:bidi="ar-SA"/>
    </w:rPr>
  </w:style>
  <w:style w:type="character" w:customStyle="1" w:styleId="462">
    <w:name w:val="px14"/>
    <w:qFormat/>
    <w:uiPriority w:val="0"/>
    <w:rPr>
      <w:rFonts w:ascii="仿宋_GB2312" w:eastAsia="微软雅黑" w:cs="Times New Roman"/>
      <w:b/>
      <w:kern w:val="2"/>
      <w:sz w:val="32"/>
      <w:szCs w:val="32"/>
      <w:lang w:val="en-US" w:eastAsia="zh-CN" w:bidi="ar-SA"/>
    </w:rPr>
  </w:style>
  <w:style w:type="character" w:customStyle="1" w:styleId="463">
    <w:name w:val="txt"/>
    <w:qFormat/>
    <w:uiPriority w:val="0"/>
    <w:rPr>
      <w:rFonts w:ascii="仿宋_GB2312" w:eastAsia="微软雅黑"/>
      <w:b/>
      <w:kern w:val="2"/>
      <w:sz w:val="32"/>
      <w:szCs w:val="32"/>
      <w:lang w:val="en-US" w:eastAsia="zh-CN" w:bidi="ar-SA"/>
    </w:rPr>
  </w:style>
  <w:style w:type="character" w:customStyle="1" w:styleId="464">
    <w:name w:val="仿宋正文 Char"/>
    <w:link w:val="341"/>
    <w:qFormat/>
    <w:uiPriority w:val="0"/>
    <w:rPr>
      <w:rFonts w:ascii="仿宋_GB2312" w:eastAsia="仿宋_GB2312"/>
      <w:kern w:val="2"/>
      <w:sz w:val="24"/>
      <w:lang w:val="en-US" w:eastAsia="zh-CN" w:bidi="ar-SA"/>
    </w:rPr>
  </w:style>
  <w:style w:type="character" w:customStyle="1" w:styleId="465">
    <w:name w:val="Comment Text Char"/>
    <w:semiHidden/>
    <w:qFormat/>
    <w:locked/>
    <w:uiPriority w:val="0"/>
    <w:rPr>
      <w:rFonts w:ascii="宋体" w:hAnsi="宋体" w:eastAsia="宋体"/>
      <w:kern w:val="2"/>
      <w:sz w:val="24"/>
      <w:lang w:val="en-US" w:eastAsia="zh-CN" w:bidi="ar-SA"/>
    </w:rPr>
  </w:style>
  <w:style w:type="character" w:customStyle="1" w:styleId="466">
    <w:name w:val="tw4winExternal"/>
    <w:qFormat/>
    <w:uiPriority w:val="0"/>
    <w:rPr>
      <w:rFonts w:ascii="Courier New" w:hAnsi="Courier New" w:cs="Courier New"/>
      <w:color w:val="808080"/>
    </w:rPr>
  </w:style>
  <w:style w:type="character" w:customStyle="1" w:styleId="467">
    <w:name w:val="Char Char10"/>
    <w:semiHidden/>
    <w:qFormat/>
    <w:uiPriority w:val="0"/>
    <w:rPr>
      <w:rFonts w:ascii="宋体" w:hAnsi="宋体"/>
      <w:kern w:val="2"/>
      <w:sz w:val="21"/>
      <w:szCs w:val="24"/>
    </w:rPr>
  </w:style>
  <w:style w:type="character" w:customStyle="1" w:styleId="468">
    <w:name w:val="Bold"/>
    <w:qFormat/>
    <w:uiPriority w:val="0"/>
    <w:rPr>
      <w:rFonts w:ascii="Arial" w:hAnsi="Arial" w:eastAsia="黑体" w:cs="Times New Roman"/>
      <w:b/>
      <w:kern w:val="2"/>
      <w:sz w:val="32"/>
      <w:szCs w:val="32"/>
      <w:lang w:val="en-US" w:eastAsia="zh-CN" w:bidi="ar-SA"/>
    </w:rPr>
  </w:style>
  <w:style w:type="character" w:customStyle="1" w:styleId="469">
    <w:name w:val="Font Style82"/>
    <w:qFormat/>
    <w:uiPriority w:val="99"/>
    <w:rPr>
      <w:rFonts w:ascii="宋体" w:eastAsia="宋体" w:cs="宋体"/>
      <w:color w:val="000000"/>
      <w:sz w:val="14"/>
      <w:szCs w:val="14"/>
    </w:rPr>
  </w:style>
  <w:style w:type="character" w:customStyle="1" w:styleId="470">
    <w:name w:val="标题 2 Char"/>
    <w:qFormat/>
    <w:uiPriority w:val="0"/>
    <w:rPr>
      <w:rFonts w:ascii="Arial" w:hAnsi="Arial" w:eastAsia="黑体"/>
      <w:b/>
      <w:kern w:val="2"/>
      <w:sz w:val="32"/>
      <w:lang w:val="en-US" w:eastAsia="zh-CN"/>
    </w:rPr>
  </w:style>
  <w:style w:type="character" w:customStyle="1" w:styleId="471">
    <w:name w:val="h3 Char"/>
    <w:qFormat/>
    <w:uiPriority w:val="0"/>
    <w:rPr>
      <w:rFonts w:eastAsia="宋体"/>
      <w:b/>
      <w:kern w:val="2"/>
      <w:sz w:val="32"/>
      <w:lang w:val="en-US" w:eastAsia="zh-CN" w:bidi="ar-SA"/>
    </w:rPr>
  </w:style>
  <w:style w:type="character" w:customStyle="1" w:styleId="472">
    <w:name w:val="页眉 Char1"/>
    <w:qFormat/>
    <w:uiPriority w:val="0"/>
    <w:rPr>
      <w:rFonts w:eastAsia="宋体"/>
      <w:kern w:val="2"/>
      <w:sz w:val="18"/>
      <w:szCs w:val="18"/>
      <w:lang w:val="en-US" w:eastAsia="zh-CN" w:bidi="ar-SA"/>
    </w:rPr>
  </w:style>
  <w:style w:type="character" w:customStyle="1" w:styleId="473">
    <w:name w:val="标题 8 Char"/>
    <w:link w:val="11"/>
    <w:qFormat/>
    <w:uiPriority w:val="0"/>
    <w:rPr>
      <w:rFonts w:ascii="Arial" w:hAnsi="Arial" w:eastAsia="黑体"/>
      <w:kern w:val="2"/>
      <w:sz w:val="24"/>
      <w:szCs w:val="24"/>
    </w:rPr>
  </w:style>
  <w:style w:type="character" w:customStyle="1" w:styleId="474">
    <w:name w:val="冯广丽 Char"/>
    <w:link w:val="238"/>
    <w:qFormat/>
    <w:uiPriority w:val="0"/>
    <w:rPr>
      <w:rFonts w:ascii="宋体" w:hAnsi="宋体"/>
      <w:kern w:val="2"/>
      <w:sz w:val="24"/>
      <w:szCs w:val="22"/>
    </w:rPr>
  </w:style>
  <w:style w:type="character" w:customStyle="1" w:styleId="475">
    <w:name w:val="脚注文本 Char"/>
    <w:link w:val="51"/>
    <w:qFormat/>
    <w:uiPriority w:val="0"/>
    <w:rPr>
      <w:color w:val="0000FF"/>
      <w:sz w:val="21"/>
    </w:rPr>
  </w:style>
  <w:style w:type="character" w:customStyle="1" w:styleId="476">
    <w:name w:val="font12gray1"/>
    <w:qFormat/>
    <w:uiPriority w:val="0"/>
    <w:rPr>
      <w:rFonts w:ascii="仿宋_GB2312" w:eastAsia="微软雅黑"/>
      <w:b/>
      <w:spacing w:val="300"/>
      <w:kern w:val="2"/>
      <w:sz w:val="18"/>
      <w:szCs w:val="18"/>
      <w:lang w:val="en-US" w:eastAsia="zh-CN" w:bidi="ar-SA"/>
    </w:rPr>
  </w:style>
  <w:style w:type="character" w:customStyle="1" w:styleId="477">
    <w:name w:val="正文文本缩进 Char1"/>
    <w:link w:val="27"/>
    <w:qFormat/>
    <w:uiPriority w:val="0"/>
    <w:rPr>
      <w:rFonts w:ascii="宋体" w:hAnsi="宋体"/>
      <w:kern w:val="2"/>
      <w:sz w:val="24"/>
      <w:szCs w:val="24"/>
    </w:rPr>
  </w:style>
  <w:style w:type="character" w:customStyle="1" w:styleId="478">
    <w:name w:val="方案正文 Char"/>
    <w:qFormat/>
    <w:uiPriority w:val="0"/>
    <w:rPr>
      <w:rFonts w:ascii="仿宋_GB2312" w:eastAsia="仿宋_GB2312"/>
      <w:b/>
      <w:color w:val="000000"/>
      <w:kern w:val="2"/>
      <w:sz w:val="24"/>
      <w:lang w:val="en-US" w:eastAsia="zh-CN" w:bidi="ar-SA"/>
    </w:rPr>
  </w:style>
  <w:style w:type="character" w:customStyle="1" w:styleId="479">
    <w:name w:val="Item List Char"/>
    <w:link w:val="265"/>
    <w:qFormat/>
    <w:uiPriority w:val="0"/>
    <w:rPr>
      <w:rFonts w:ascii="Arial"/>
      <w:bCs/>
      <w:sz w:val="21"/>
      <w:szCs w:val="21"/>
      <w:lang w:val="en-US" w:eastAsia="zh-CN" w:bidi="ar-SA"/>
    </w:rPr>
  </w:style>
  <w:style w:type="character" w:customStyle="1" w:styleId="480">
    <w:name w:val="Normal Indent Char Char"/>
    <w:qFormat/>
    <w:uiPriority w:val="0"/>
    <w:rPr>
      <w:rFonts w:eastAsia="宋体"/>
      <w:kern w:val="2"/>
      <w:sz w:val="21"/>
      <w:lang w:val="en-US" w:eastAsia="zh-CN" w:bidi="ar-SA"/>
    </w:rPr>
  </w:style>
  <w:style w:type="character" w:customStyle="1" w:styleId="481">
    <w:name w:val="t21"/>
    <w:qFormat/>
    <w:uiPriority w:val="0"/>
    <w:rPr>
      <w:rFonts w:ascii="仿宋_GB2312" w:eastAsia="微软雅黑"/>
      <w:b/>
      <w:kern w:val="2"/>
      <w:sz w:val="23"/>
      <w:szCs w:val="23"/>
      <w:lang w:val="en-US" w:eastAsia="zh-CN" w:bidi="ar-SA"/>
    </w:rPr>
  </w:style>
  <w:style w:type="character" w:customStyle="1" w:styleId="482">
    <w:name w:val="Char Char121"/>
    <w:qFormat/>
    <w:uiPriority w:val="0"/>
    <w:rPr>
      <w:rFonts w:ascii="仿宋_GB2312" w:eastAsia="仿宋_GB2312"/>
      <w:b/>
      <w:bCs/>
      <w:kern w:val="2"/>
      <w:sz w:val="24"/>
      <w:szCs w:val="24"/>
      <w:lang w:val="zh-CN" w:eastAsia="zh-CN" w:bidi="ar-SA"/>
    </w:rPr>
  </w:style>
  <w:style w:type="character" w:customStyle="1" w:styleId="483">
    <w:name w:val="标题 7 Char"/>
    <w:link w:val="10"/>
    <w:qFormat/>
    <w:uiPriority w:val="0"/>
    <w:rPr>
      <w:b/>
      <w:bCs/>
      <w:kern w:val="2"/>
      <w:sz w:val="24"/>
      <w:szCs w:val="24"/>
    </w:rPr>
  </w:style>
  <w:style w:type="character" w:customStyle="1" w:styleId="484">
    <w:name w:val="称呼 Char"/>
    <w:link w:val="23"/>
    <w:qFormat/>
    <w:uiPriority w:val="0"/>
    <w:rPr>
      <w:rFonts w:ascii="仿宋_GB2312" w:eastAsia="仿宋_GB2312"/>
      <w:kern w:val="2"/>
      <w:sz w:val="28"/>
    </w:rPr>
  </w:style>
  <w:style w:type="character" w:customStyle="1" w:styleId="485">
    <w:name w:val="正文 项目 Char"/>
    <w:qFormat/>
    <w:uiPriority w:val="0"/>
    <w:rPr>
      <w:rFonts w:ascii="仿宋_GB2312" w:hAnsi="仿宋_GB2312" w:eastAsia="仿宋_GB2312"/>
      <w:kern w:val="2"/>
      <w:sz w:val="24"/>
      <w:lang w:bidi="ar-SA"/>
    </w:rPr>
  </w:style>
  <w:style w:type="character" w:customStyle="1" w:styleId="486">
    <w:name w:val="普通文字 Char1"/>
    <w:qFormat/>
    <w:uiPriority w:val="0"/>
    <w:rPr>
      <w:rFonts w:ascii="宋体" w:hAnsi="Courier New" w:eastAsia="宋体"/>
      <w:kern w:val="2"/>
      <w:sz w:val="21"/>
      <w:lang w:val="en-US" w:eastAsia="zh-CN"/>
    </w:rPr>
  </w:style>
  <w:style w:type="character" w:customStyle="1" w:styleId="487">
    <w:name w:val="正文1 Char1"/>
    <w:qFormat/>
    <w:uiPriority w:val="0"/>
    <w:rPr>
      <w:rFonts w:ascii="仿宋_GB2312" w:hAnsi="Courier New" w:eastAsia="仿宋_GB2312"/>
      <w:kern w:val="28"/>
      <w:sz w:val="24"/>
      <w:szCs w:val="24"/>
    </w:rPr>
  </w:style>
  <w:style w:type="character" w:customStyle="1" w:styleId="488">
    <w:name w:val="hei16b1"/>
    <w:qFormat/>
    <w:uiPriority w:val="0"/>
    <w:rPr>
      <w:rFonts w:hint="default" w:ascii="Arial" w:hAnsi="Arial" w:cs="Arial"/>
      <w:b/>
      <w:bCs/>
      <w:color w:val="000000"/>
      <w:sz w:val="24"/>
      <w:szCs w:val="24"/>
    </w:rPr>
  </w:style>
  <w:style w:type="character" w:customStyle="1" w:styleId="489">
    <w:name w:val="c7 style3"/>
    <w:qFormat/>
    <w:uiPriority w:val="0"/>
  </w:style>
  <w:style w:type="character" w:customStyle="1" w:styleId="490">
    <w:name w:val="副标题 Char"/>
    <w:link w:val="48"/>
    <w:qFormat/>
    <w:uiPriority w:val="0"/>
    <w:rPr>
      <w:rFonts w:ascii="Arial" w:hAnsi="Arial" w:eastAsia="隶书"/>
      <w:b/>
      <w:bCs/>
      <w:kern w:val="28"/>
      <w:sz w:val="44"/>
      <w:szCs w:val="32"/>
      <w:lang w:val="en-US" w:eastAsia="zh-CN" w:bidi="ar-SA"/>
    </w:rPr>
  </w:style>
  <w:style w:type="character" w:customStyle="1" w:styleId="491">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492">
    <w:name w:val="表正文 Char1"/>
    <w:qFormat/>
    <w:uiPriority w:val="0"/>
    <w:rPr>
      <w:rFonts w:ascii="宋体" w:eastAsia="宋体"/>
      <w:snapToGrid w:val="0"/>
      <w:color w:val="000000"/>
      <w:kern w:val="28"/>
      <w:sz w:val="28"/>
    </w:rPr>
  </w:style>
  <w:style w:type="character" w:customStyle="1" w:styleId="493">
    <w:name w:val="Char Char5"/>
    <w:qFormat/>
    <w:uiPriority w:val="0"/>
    <w:rPr>
      <w:rFonts w:ascii="宋体" w:hAnsi="Courier New" w:eastAsia="宋体"/>
      <w:kern w:val="2"/>
      <w:sz w:val="21"/>
      <w:lang w:val="en-US" w:eastAsia="zh-CN"/>
    </w:rPr>
  </w:style>
  <w:style w:type="character" w:customStyle="1" w:styleId="494">
    <w:name w:val="标题 1 Char Char"/>
    <w:qFormat/>
    <w:uiPriority w:val="0"/>
    <w:rPr>
      <w:rFonts w:hint="eastAsia" w:ascii="宋体" w:hAnsi="宋体" w:eastAsia="宋体"/>
      <w:b/>
      <w:spacing w:val="-2"/>
      <w:sz w:val="24"/>
      <w:lang w:val="en-US" w:eastAsia="zh-CN" w:bidi="ar-SA"/>
    </w:rPr>
  </w:style>
  <w:style w:type="character" w:customStyle="1" w:styleId="495">
    <w:name w:val="Char Char4"/>
    <w:qFormat/>
    <w:uiPriority w:val="0"/>
    <w:rPr>
      <w:rFonts w:eastAsia="宋体"/>
      <w:b/>
      <w:sz w:val="24"/>
      <w:lang w:val="en-GB" w:eastAsia="zh-CN" w:bidi="ar-SA"/>
    </w:rPr>
  </w:style>
  <w:style w:type="character" w:customStyle="1" w:styleId="496">
    <w:name w:val="zbggmain style9"/>
    <w:qFormat/>
    <w:uiPriority w:val="0"/>
  </w:style>
  <w:style w:type="character" w:customStyle="1" w:styleId="497">
    <w:name w:val="Header Char"/>
    <w:semiHidden/>
    <w:qFormat/>
    <w:locked/>
    <w:uiPriority w:val="0"/>
    <w:rPr>
      <w:rFonts w:eastAsia="宋体"/>
      <w:kern w:val="2"/>
      <w:sz w:val="18"/>
      <w:szCs w:val="18"/>
      <w:lang w:val="en-US" w:eastAsia="zh-CN" w:bidi="ar-SA"/>
    </w:rPr>
  </w:style>
  <w:style w:type="character" w:customStyle="1" w:styleId="498">
    <w:name w:val="样式 宋体"/>
    <w:qFormat/>
    <w:uiPriority w:val="0"/>
    <w:rPr>
      <w:rFonts w:ascii="宋体" w:hAnsi="宋体"/>
      <w:sz w:val="24"/>
    </w:rPr>
  </w:style>
  <w:style w:type="character" w:customStyle="1" w:styleId="499">
    <w:name w:val="哈哈正文 Char"/>
    <w:link w:val="316"/>
    <w:qFormat/>
    <w:uiPriority w:val="0"/>
    <w:rPr>
      <w:rFonts w:ascii="宋体" w:hAnsi="宋体" w:eastAsia="宋体"/>
      <w:kern w:val="2"/>
      <w:sz w:val="24"/>
      <w:lang w:bidi="ar-SA"/>
    </w:rPr>
  </w:style>
  <w:style w:type="character" w:customStyle="1" w:styleId="500">
    <w:name w:val="标题 Char"/>
    <w:qFormat/>
    <w:uiPriority w:val="0"/>
    <w:rPr>
      <w:rFonts w:eastAsia="宋体"/>
      <w:b/>
      <w:sz w:val="24"/>
      <w:lang w:val="en-GB" w:eastAsia="zh-CN" w:bidi="ar-SA"/>
    </w:rPr>
  </w:style>
  <w:style w:type="character" w:customStyle="1" w:styleId="501">
    <w:name w:val="纯文本 Char Char Char"/>
    <w:qFormat/>
    <w:uiPriority w:val="0"/>
    <w:rPr>
      <w:rFonts w:ascii="宋体" w:hAnsi="Courier New" w:eastAsia="宋体"/>
      <w:kern w:val="2"/>
      <w:sz w:val="21"/>
      <w:lang w:val="en-US" w:eastAsia="zh-CN" w:bidi="ar-SA"/>
    </w:rPr>
  </w:style>
  <w:style w:type="character" w:customStyle="1" w:styleId="502">
    <w:name w:val="正文 编号 Char"/>
    <w:qFormat/>
    <w:uiPriority w:val="0"/>
    <w:rPr>
      <w:rFonts w:ascii="仿宋_GB2312" w:hAnsi="仿宋_GB2312" w:eastAsia="仿宋_GB2312"/>
      <w:kern w:val="2"/>
      <w:sz w:val="24"/>
      <w:lang w:bidi="ar-SA"/>
    </w:rPr>
  </w:style>
  <w:style w:type="character" w:customStyle="1" w:styleId="503">
    <w:name w:val="插图说明 Char"/>
    <w:qFormat/>
    <w:uiPriority w:val="0"/>
    <w:rPr>
      <w:rFonts w:eastAsia="黑体"/>
      <w:sz w:val="24"/>
      <w:lang w:val="en-US" w:eastAsia="zh-CN"/>
    </w:rPr>
  </w:style>
  <w:style w:type="character" w:customStyle="1" w:styleId="504">
    <w:name w:val="正文首行缩进 2 Char"/>
    <w:link w:val="3"/>
    <w:qFormat/>
    <w:uiPriority w:val="0"/>
    <w:rPr>
      <w:rFonts w:ascii="宋体" w:hAnsi="宋体"/>
      <w:kern w:val="2"/>
      <w:sz w:val="21"/>
      <w:szCs w:val="24"/>
    </w:rPr>
  </w:style>
  <w:style w:type="character" w:customStyle="1" w:styleId="505">
    <w:name w:val="正文文本缩进 2 Char"/>
    <w:link w:val="2"/>
    <w:qFormat/>
    <w:uiPriority w:val="0"/>
    <w:rPr>
      <w:rFonts w:ascii="宋体"/>
      <w:sz w:val="28"/>
    </w:rPr>
  </w:style>
  <w:style w:type="character" w:customStyle="1" w:styleId="506">
    <w:name w:val="公文正文 Char"/>
    <w:qFormat/>
    <w:uiPriority w:val="0"/>
    <w:rPr>
      <w:rFonts w:ascii="仿宋_GB2312" w:eastAsia="仿宋_GB2312"/>
      <w:kern w:val="2"/>
      <w:sz w:val="24"/>
      <w:szCs w:val="24"/>
      <w:lang w:val="en-US" w:eastAsia="zh-CN" w:bidi="ar-SA"/>
    </w:rPr>
  </w:style>
  <w:style w:type="character" w:customStyle="1" w:styleId="507">
    <w:name w:val="Char Char41"/>
    <w:qFormat/>
    <w:uiPriority w:val="0"/>
    <w:rPr>
      <w:rFonts w:eastAsia="宋体"/>
      <w:b/>
      <w:sz w:val="24"/>
      <w:lang w:val="en-GB" w:eastAsia="zh-CN" w:bidi="ar-SA"/>
    </w:rPr>
  </w:style>
  <w:style w:type="character" w:customStyle="1" w:styleId="508">
    <w:name w:val="unnamed31"/>
    <w:qFormat/>
    <w:uiPriority w:val="0"/>
    <w:rPr>
      <w:rFonts w:ascii="Tahoma" w:hAnsi="Tahoma" w:eastAsia="宋体"/>
      <w:b/>
      <w:kern w:val="2"/>
      <w:sz w:val="24"/>
      <w:szCs w:val="32"/>
      <w:u w:val="none"/>
      <w:lang w:val="en-US" w:eastAsia="zh-CN" w:bidi="ar-SA"/>
    </w:rPr>
  </w:style>
  <w:style w:type="character" w:customStyle="1" w:styleId="509">
    <w:name w:val="Char Char91"/>
    <w:qFormat/>
    <w:uiPriority w:val="0"/>
    <w:rPr>
      <w:rFonts w:eastAsia="宋体"/>
      <w:kern w:val="2"/>
      <w:sz w:val="18"/>
      <w:szCs w:val="18"/>
      <w:lang w:val="en-US" w:eastAsia="zh-CN" w:bidi="ar-SA"/>
    </w:rPr>
  </w:style>
  <w:style w:type="character" w:customStyle="1" w:styleId="510">
    <w:name w:val="Footer-Even Char1"/>
    <w:qFormat/>
    <w:uiPriority w:val="0"/>
    <w:rPr>
      <w:rFonts w:eastAsia="宋体"/>
      <w:kern w:val="2"/>
      <w:sz w:val="18"/>
      <w:szCs w:val="18"/>
      <w:lang w:val="en-US" w:eastAsia="zh-CN" w:bidi="ar-SA"/>
    </w:rPr>
  </w:style>
  <w:style w:type="character" w:customStyle="1" w:styleId="511">
    <w:name w:val="gf正文1 Char"/>
    <w:qFormat/>
    <w:uiPriority w:val="0"/>
    <w:rPr>
      <w:rFonts w:ascii="宋体" w:hAnsi="宋体" w:eastAsia="宋体" w:cs="宋体"/>
      <w:kern w:val="2"/>
      <w:sz w:val="24"/>
      <w:szCs w:val="24"/>
      <w:lang w:val="en-US" w:eastAsia="zh-CN" w:bidi="ar-SA"/>
    </w:rPr>
  </w:style>
  <w:style w:type="character" w:customStyle="1" w:styleId="512">
    <w:name w:val="javascript"/>
    <w:qFormat/>
    <w:uiPriority w:val="0"/>
  </w:style>
  <w:style w:type="character" w:customStyle="1" w:styleId="513">
    <w:name w:val="列出段落 Char"/>
    <w:qFormat/>
    <w:uiPriority w:val="34"/>
    <w:rPr>
      <w:rFonts w:eastAsia="楷体_GB2312" w:cs="Lucida Sans"/>
      <w:kern w:val="2"/>
      <w:sz w:val="24"/>
      <w:szCs w:val="24"/>
      <w:lang w:val="en-US" w:eastAsia="zh-CN" w:bidi="ar-SA"/>
    </w:rPr>
  </w:style>
  <w:style w:type="character" w:customStyle="1" w:styleId="514">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515">
    <w:name w:val="标书表格字体格式 Char"/>
    <w:qFormat/>
    <w:uiPriority w:val="0"/>
    <w:rPr>
      <w:kern w:val="2"/>
      <w:sz w:val="21"/>
      <w:szCs w:val="24"/>
      <w:lang w:bidi="ar-SA"/>
    </w:rPr>
  </w:style>
  <w:style w:type="character" w:customStyle="1" w:styleId="516">
    <w:name w:val="普通文字 Char3"/>
    <w:qFormat/>
    <w:uiPriority w:val="0"/>
    <w:rPr>
      <w:rFonts w:ascii="宋体" w:hAnsi="Courier New" w:eastAsia="宋体"/>
      <w:kern w:val="2"/>
      <w:sz w:val="21"/>
      <w:lang w:val="en-US" w:eastAsia="zh-CN" w:bidi="ar-SA"/>
    </w:rPr>
  </w:style>
  <w:style w:type="character" w:customStyle="1" w:styleId="517">
    <w:name w:val="h Char Char1"/>
    <w:qFormat/>
    <w:uiPriority w:val="0"/>
    <w:rPr>
      <w:rFonts w:eastAsia="宋体"/>
      <w:kern w:val="2"/>
      <w:sz w:val="18"/>
      <w:szCs w:val="18"/>
      <w:lang w:val="en-US" w:eastAsia="zh-CN" w:bidi="ar-SA"/>
    </w:rPr>
  </w:style>
  <w:style w:type="character" w:customStyle="1" w:styleId="518">
    <w:name w:val="冯 Char"/>
    <w:link w:val="77"/>
    <w:qFormat/>
    <w:uiPriority w:val="0"/>
    <w:rPr>
      <w:rFonts w:ascii="宋体" w:hAnsi="宋体"/>
      <w:color w:val="000000"/>
      <w:sz w:val="24"/>
      <w:szCs w:val="24"/>
    </w:rPr>
  </w:style>
  <w:style w:type="character" w:customStyle="1" w:styleId="519">
    <w:name w:val="highlight1"/>
    <w:qFormat/>
    <w:uiPriority w:val="0"/>
    <w:rPr>
      <w:rFonts w:ascii="仿宋_GB2312" w:eastAsia="微软雅黑"/>
      <w:b/>
      <w:kern w:val="2"/>
      <w:sz w:val="23"/>
      <w:szCs w:val="23"/>
      <w:lang w:val="en-US" w:eastAsia="zh-CN" w:bidi="ar-SA"/>
    </w:rPr>
  </w:style>
  <w:style w:type="character" w:customStyle="1" w:styleId="520">
    <w:name w:val="样式6 Char"/>
    <w:qFormat/>
    <w:uiPriority w:val="0"/>
    <w:rPr>
      <w:rFonts w:ascii="仿宋_GB2312" w:hAnsi="宋体" w:eastAsia="仿宋_GB2312"/>
      <w:b/>
      <w:bCs/>
      <w:kern w:val="2"/>
      <w:sz w:val="24"/>
      <w:szCs w:val="24"/>
      <w:lang w:val="en-US" w:eastAsia="zh-CN" w:bidi="ar-SA"/>
    </w:rPr>
  </w:style>
  <w:style w:type="character" w:customStyle="1" w:styleId="521">
    <w:name w:val="标题 9 Char"/>
    <w:link w:val="12"/>
    <w:qFormat/>
    <w:uiPriority w:val="0"/>
    <w:rPr>
      <w:rFonts w:ascii="Arial" w:hAnsi="Arial" w:eastAsia="黑体"/>
      <w:kern w:val="2"/>
      <w:sz w:val="21"/>
      <w:szCs w:val="21"/>
    </w:rPr>
  </w:style>
  <w:style w:type="character" w:customStyle="1" w:styleId="522">
    <w:name w:val="md"/>
    <w:basedOn w:val="64"/>
    <w:qFormat/>
    <w:uiPriority w:val="0"/>
  </w:style>
  <w:style w:type="character" w:customStyle="1" w:styleId="523">
    <w:name w:val="myp11"/>
    <w:qFormat/>
    <w:uiPriority w:val="0"/>
    <w:rPr>
      <w:rFonts w:ascii="仿宋_GB2312" w:eastAsia="微软雅黑"/>
      <w:b/>
      <w:kern w:val="2"/>
      <w:sz w:val="32"/>
      <w:szCs w:val="32"/>
      <w:lang w:val="en-US" w:eastAsia="zh-CN" w:bidi="ar-SA"/>
    </w:rPr>
  </w:style>
  <w:style w:type="character" w:customStyle="1" w:styleId="524">
    <w:name w:val="Ò³Ã¼ Char Char1"/>
    <w:qFormat/>
    <w:uiPriority w:val="0"/>
    <w:rPr>
      <w:rFonts w:eastAsia="宋体"/>
      <w:kern w:val="2"/>
      <w:sz w:val="18"/>
      <w:szCs w:val="18"/>
      <w:lang w:val="en-US" w:eastAsia="zh-CN" w:bidi="ar-SA"/>
    </w:rPr>
  </w:style>
  <w:style w:type="character" w:customStyle="1" w:styleId="525">
    <w:name w:val="tw4winTerm"/>
    <w:qFormat/>
    <w:uiPriority w:val="0"/>
    <w:rPr>
      <w:color w:val="0000FF"/>
    </w:rPr>
  </w:style>
  <w:style w:type="character" w:customStyle="1" w:styleId="526">
    <w:name w:val="表格 Char Char"/>
    <w:qFormat/>
    <w:uiPriority w:val="0"/>
    <w:rPr>
      <w:rFonts w:ascii="宋体" w:hAnsi="宋体" w:eastAsia="宋体"/>
      <w:lang w:bidi="ar-SA"/>
    </w:rPr>
  </w:style>
  <w:style w:type="character" w:customStyle="1" w:styleId="527">
    <w:name w:val="样式8 Char"/>
    <w:qFormat/>
    <w:uiPriority w:val="0"/>
    <w:rPr>
      <w:rFonts w:ascii="仿宋_GB2312" w:hAnsi="宋体" w:eastAsia="仿宋_GB2312"/>
      <w:b/>
      <w:bCs/>
      <w:kern w:val="2"/>
      <w:sz w:val="24"/>
      <w:szCs w:val="24"/>
    </w:rPr>
  </w:style>
  <w:style w:type="character" w:customStyle="1" w:styleId="528">
    <w:name w:val="样式5 Char"/>
    <w:qFormat/>
    <w:uiPriority w:val="0"/>
    <w:rPr>
      <w:rFonts w:ascii="仿宋_GB2312" w:hAnsi="仿宋" w:eastAsia="仿宋_GB2312"/>
      <w:kern w:val="2"/>
      <w:sz w:val="24"/>
      <w:szCs w:val="24"/>
    </w:rPr>
  </w:style>
  <w:style w:type="character" w:customStyle="1" w:styleId="529">
    <w:name w:val="页脚 Char1"/>
    <w:qFormat/>
    <w:uiPriority w:val="0"/>
    <w:rPr>
      <w:rFonts w:eastAsia="宋体"/>
      <w:kern w:val="2"/>
      <w:sz w:val="18"/>
      <w:szCs w:val="18"/>
      <w:lang w:val="en-US" w:eastAsia="zh-CN" w:bidi="ar-SA"/>
    </w:rPr>
  </w:style>
  <w:style w:type="character" w:customStyle="1" w:styleId="530">
    <w:name w:val="tw4winJump"/>
    <w:qFormat/>
    <w:uiPriority w:val="0"/>
    <w:rPr>
      <w:rFonts w:ascii="Courier New" w:hAnsi="Courier New" w:cs="Courier New"/>
      <w:color w:val="008080"/>
    </w:rPr>
  </w:style>
  <w:style w:type="character" w:customStyle="1" w:styleId="531">
    <w:name w:val="批注文字 Char"/>
    <w:qFormat/>
    <w:uiPriority w:val="99"/>
    <w:rPr>
      <w:kern w:val="2"/>
      <w:sz w:val="21"/>
      <w:szCs w:val="24"/>
    </w:rPr>
  </w:style>
  <w:style w:type="character" w:customStyle="1" w:styleId="532">
    <w:name w:val="Char Char122"/>
    <w:qFormat/>
    <w:uiPriority w:val="0"/>
    <w:rPr>
      <w:rFonts w:ascii="仿宋_GB2312" w:eastAsia="仿宋_GB2312"/>
      <w:b/>
      <w:bCs/>
      <w:kern w:val="2"/>
      <w:sz w:val="24"/>
      <w:szCs w:val="24"/>
      <w:lang w:val="zh-CN" w:eastAsia="zh-CN" w:bidi="ar-SA"/>
    </w:rPr>
  </w:style>
  <w:style w:type="character" w:customStyle="1" w:styleId="533">
    <w:name w:val="No Spacing Char"/>
    <w:link w:val="172"/>
    <w:qFormat/>
    <w:uiPriority w:val="1"/>
    <w:rPr>
      <w:rFonts w:ascii="Calibri" w:hAnsi="Calibri"/>
      <w:sz w:val="22"/>
      <w:szCs w:val="22"/>
      <w:lang w:val="en-US" w:eastAsia="zh-CN" w:bidi="ar-SA"/>
    </w:rPr>
  </w:style>
  <w:style w:type="character" w:customStyle="1" w:styleId="534">
    <w:name w:val="Char Char21"/>
    <w:qFormat/>
    <w:uiPriority w:val="0"/>
    <w:rPr>
      <w:rFonts w:ascii="宋体" w:hAnsi="Courier New" w:eastAsia="宋体"/>
      <w:kern w:val="2"/>
      <w:sz w:val="21"/>
      <w:lang w:val="en-US" w:eastAsia="zh-CN" w:bidi="ar-SA"/>
    </w:rPr>
  </w:style>
  <w:style w:type="character" w:customStyle="1" w:styleId="535">
    <w:name w:val="Char Char8"/>
    <w:qFormat/>
    <w:uiPriority w:val="0"/>
    <w:rPr>
      <w:rFonts w:eastAsia="宋体"/>
      <w:b/>
      <w:sz w:val="24"/>
      <w:lang w:val="en-GB" w:eastAsia="zh-CN"/>
    </w:rPr>
  </w:style>
  <w:style w:type="character" w:customStyle="1" w:styleId="536">
    <w:name w:val="font21"/>
    <w:qFormat/>
    <w:uiPriority w:val="0"/>
    <w:rPr>
      <w:rFonts w:hint="eastAsia" w:ascii="宋体" w:hAnsi="宋体" w:eastAsia="宋体"/>
      <w:kern w:val="2"/>
      <w:sz w:val="28"/>
      <w:szCs w:val="28"/>
      <w:lang w:val="en-US" w:eastAsia="zh-CN" w:bidi="ar-SA"/>
    </w:rPr>
  </w:style>
  <w:style w:type="character" w:customStyle="1" w:styleId="537">
    <w:name w:val="正文2 Char"/>
    <w:qFormat/>
    <w:uiPriority w:val="0"/>
    <w:rPr>
      <w:rFonts w:eastAsia="宋体"/>
      <w:kern w:val="2"/>
      <w:sz w:val="24"/>
      <w:lang w:val="en-US" w:eastAsia="zh-CN" w:bidi="ar-SA"/>
    </w:rPr>
  </w:style>
  <w:style w:type="character" w:customStyle="1" w:styleId="538">
    <w:name w:val="big1"/>
    <w:qFormat/>
    <w:uiPriority w:val="0"/>
    <w:rPr>
      <w:rFonts w:hint="eastAsia" w:ascii="宋体" w:hAnsi="宋体" w:eastAsia="宋体"/>
      <w:color w:val="333333"/>
      <w:sz w:val="22"/>
      <w:szCs w:val="22"/>
    </w:rPr>
  </w:style>
  <w:style w:type="character" w:customStyle="1" w:styleId="539">
    <w:name w:val="Body Text(ch) Char Char"/>
    <w:qFormat/>
    <w:uiPriority w:val="0"/>
    <w:rPr>
      <w:rFonts w:ascii="宋体"/>
      <w:kern w:val="2"/>
      <w:sz w:val="24"/>
      <w:szCs w:val="21"/>
      <w:lang w:val="zh-CN"/>
    </w:rPr>
  </w:style>
  <w:style w:type="character" w:customStyle="1" w:styleId="540">
    <w:name w:val="blue1"/>
    <w:basedOn w:val="64"/>
    <w:qFormat/>
    <w:uiPriority w:val="0"/>
  </w:style>
  <w:style w:type="character" w:customStyle="1" w:styleId="541">
    <w:name w:val="正文 项目2 Char"/>
    <w:basedOn w:val="485"/>
    <w:qFormat/>
    <w:uiPriority w:val="0"/>
    <w:rPr>
      <w:rFonts w:ascii="仿宋_GB2312" w:hAnsi="仿宋_GB2312" w:eastAsia="仿宋_GB2312"/>
      <w:kern w:val="2"/>
      <w:sz w:val="24"/>
      <w:lang w:bidi="ar-SA"/>
    </w:rPr>
  </w:style>
  <w:style w:type="character" w:customStyle="1" w:styleId="542">
    <w:name w:val="solutionfonts"/>
    <w:qFormat/>
    <w:uiPriority w:val="0"/>
  </w:style>
  <w:style w:type="character" w:customStyle="1" w:styleId="543">
    <w:name w:val="Char Char81"/>
    <w:qFormat/>
    <w:uiPriority w:val="0"/>
    <w:rPr>
      <w:rFonts w:eastAsia="宋体"/>
      <w:b/>
      <w:sz w:val="24"/>
      <w:lang w:val="en-GB" w:eastAsia="zh-CN"/>
    </w:rPr>
  </w:style>
  <w:style w:type="character" w:customStyle="1" w:styleId="544">
    <w:name w:val="Char Char2"/>
    <w:qFormat/>
    <w:uiPriority w:val="0"/>
    <w:rPr>
      <w:rFonts w:eastAsia="宋体"/>
      <w:b/>
      <w:bCs/>
      <w:kern w:val="2"/>
      <w:sz w:val="21"/>
      <w:szCs w:val="24"/>
      <w:lang w:val="en-US" w:eastAsia="zh-CN" w:bidi="ar-SA"/>
    </w:rPr>
  </w:style>
  <w:style w:type="character" w:customStyle="1" w:styleId="545">
    <w:name w:val="HTML 预设格式 Char"/>
    <w:link w:val="58"/>
    <w:qFormat/>
    <w:uiPriority w:val="0"/>
    <w:rPr>
      <w:rFonts w:ascii="黑体" w:hAnsi="Courier New" w:eastAsia="黑体"/>
    </w:rPr>
  </w:style>
  <w:style w:type="character" w:customStyle="1" w:styleId="546">
    <w:name w:val="Heading 7 Char"/>
    <w:qFormat/>
    <w:locked/>
    <w:uiPriority w:val="0"/>
    <w:rPr>
      <w:rFonts w:ascii="宋体" w:hAnsi="宋体" w:eastAsia="宋体"/>
      <w:b/>
      <w:bCs/>
      <w:kern w:val="2"/>
      <w:sz w:val="24"/>
      <w:szCs w:val="24"/>
      <w:lang w:val="en-US" w:eastAsia="zh-CN" w:bidi="ar-SA"/>
    </w:rPr>
  </w:style>
  <w:style w:type="character" w:customStyle="1" w:styleId="547">
    <w:name w:val="正文首行缩进 Char"/>
    <w:link w:val="26"/>
    <w:qFormat/>
    <w:uiPriority w:val="0"/>
    <w:rPr>
      <w:rFonts w:ascii="宋体"/>
      <w:kern w:val="2"/>
      <w:sz w:val="24"/>
      <w:lang w:val="zh-CN"/>
    </w:rPr>
  </w:style>
  <w:style w:type="character" w:customStyle="1" w:styleId="548">
    <w:name w:val="标题 2 Char Char"/>
    <w:qFormat/>
    <w:uiPriority w:val="0"/>
    <w:rPr>
      <w:rFonts w:ascii="楷体_GB2312" w:hAnsi="Arial" w:eastAsia="楷体_GB2312"/>
      <w:b/>
      <w:bCs/>
      <w:kern w:val="2"/>
      <w:sz w:val="24"/>
      <w:szCs w:val="32"/>
      <w:lang w:val="en-US" w:eastAsia="zh-CN" w:bidi="ar-SA"/>
    </w:rPr>
  </w:style>
  <w:style w:type="character" w:customStyle="1" w:styleId="549">
    <w:name w:val="pt141"/>
    <w:qFormat/>
    <w:uiPriority w:val="0"/>
    <w:rPr>
      <w:color w:val="330066"/>
      <w:sz w:val="22"/>
      <w:szCs w:val="22"/>
    </w:rPr>
  </w:style>
  <w:style w:type="character" w:customStyle="1" w:styleId="550">
    <w:name w:val="h Char Char"/>
    <w:qFormat/>
    <w:uiPriority w:val="0"/>
    <w:rPr>
      <w:rFonts w:eastAsia="宋体"/>
      <w:kern w:val="2"/>
      <w:sz w:val="18"/>
      <w:lang w:val="en-US" w:eastAsia="zh-CN" w:bidi="ar-SA"/>
    </w:rPr>
  </w:style>
  <w:style w:type="character" w:customStyle="1" w:styleId="551">
    <w:name w:val="标题 1 Char"/>
    <w:link w:val="4"/>
    <w:qFormat/>
    <w:uiPriority w:val="0"/>
    <w:rPr>
      <w:b/>
      <w:bCs/>
      <w:kern w:val="44"/>
      <w:sz w:val="44"/>
      <w:szCs w:val="44"/>
    </w:rPr>
  </w:style>
  <w:style w:type="character" w:customStyle="1" w:styleId="552">
    <w:name w:val="页眉 Char"/>
    <w:qFormat/>
    <w:uiPriority w:val="0"/>
    <w:rPr>
      <w:rFonts w:eastAsia="仿宋_GB2312"/>
      <w:kern w:val="2"/>
      <w:sz w:val="18"/>
      <w:lang w:val="en-US" w:eastAsia="zh-CN"/>
    </w:rPr>
  </w:style>
  <w:style w:type="character" w:customStyle="1" w:styleId="553">
    <w:name w:val="b11_01b Char"/>
    <w:link w:val="411"/>
    <w:qFormat/>
    <w:uiPriority w:val="0"/>
    <w:rPr>
      <w:rFonts w:ascii="Verdana" w:hAnsi="Verdana"/>
      <w:b/>
      <w:bCs/>
      <w:color w:val="4A82CA"/>
      <w:sz w:val="17"/>
      <w:szCs w:val="17"/>
    </w:rPr>
  </w:style>
  <w:style w:type="character" w:customStyle="1" w:styleId="554">
    <w:name w:val="标题4-dyf Char"/>
    <w:link w:val="349"/>
    <w:qFormat/>
    <w:uiPriority w:val="0"/>
    <w:rPr>
      <w:rFonts w:ascii="Cambria" w:hAnsi="Cambria"/>
      <w:b/>
      <w:bCs/>
      <w:color w:val="000000"/>
      <w:kern w:val="2"/>
      <w:sz w:val="21"/>
      <w:szCs w:val="21"/>
    </w:rPr>
  </w:style>
  <w:style w:type="character" w:customStyle="1" w:styleId="555">
    <w:name w:val="批注主题 Char"/>
    <w:qFormat/>
    <w:uiPriority w:val="0"/>
    <w:rPr>
      <w:rFonts w:eastAsia="宋体"/>
      <w:b/>
      <w:bCs/>
      <w:kern w:val="2"/>
      <w:sz w:val="21"/>
      <w:szCs w:val="24"/>
      <w:lang w:val="en-US" w:eastAsia="zh-CN" w:bidi="ar-SA"/>
    </w:rPr>
  </w:style>
  <w:style w:type="character" w:customStyle="1" w:styleId="55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7">
    <w:name w:val="正文首行缩进两字 Char"/>
    <w:qFormat/>
    <w:uiPriority w:val="0"/>
    <w:rPr>
      <w:sz w:val="24"/>
      <w:szCs w:val="24"/>
      <w:lang w:val="en-US" w:eastAsia="zh-CN" w:bidi="ar-SA"/>
    </w:rPr>
  </w:style>
  <w:style w:type="character" w:customStyle="1" w:styleId="558">
    <w:name w:val="Char Char51"/>
    <w:qFormat/>
    <w:uiPriority w:val="0"/>
    <w:rPr>
      <w:rFonts w:ascii="宋体" w:hAnsi="Courier New" w:eastAsia="宋体"/>
      <w:kern w:val="2"/>
      <w:sz w:val="21"/>
      <w:lang w:val="en-US" w:eastAsia="zh-CN"/>
    </w:rPr>
  </w:style>
  <w:style w:type="character" w:customStyle="1" w:styleId="559">
    <w:name w:val="带编号样式 Char"/>
    <w:qFormat/>
    <w:uiPriority w:val="0"/>
    <w:rPr>
      <w:rFonts w:ascii="仿宋_GB2312" w:eastAsia="仿宋_GB2312"/>
      <w:color w:val="000000"/>
      <w:sz w:val="24"/>
      <w:lang w:bidi="ar-SA"/>
    </w:rPr>
  </w:style>
  <w:style w:type="character" w:customStyle="1" w:styleId="560">
    <w:name w:val="样式4 Char"/>
    <w:qFormat/>
    <w:uiPriority w:val="0"/>
    <w:rPr>
      <w:rFonts w:ascii="仿宋_GB2312" w:hAnsi="仿宋" w:eastAsia="仿宋_GB2312"/>
      <w:b/>
      <w:kern w:val="2"/>
      <w:sz w:val="32"/>
      <w:szCs w:val="32"/>
      <w:lang w:bidi="ar-SA"/>
    </w:rPr>
  </w:style>
  <w:style w:type="character" w:customStyle="1" w:styleId="561">
    <w:name w:val="样式 标题 4h4H4Fab-4T5Ref Heading 1rh1Heading sqlsect 1.2.3.... Char"/>
    <w:link w:val="174"/>
    <w:qFormat/>
    <w:uiPriority w:val="0"/>
    <w:rPr>
      <w:rFonts w:ascii="微软雅黑" w:hAnsi="微软雅黑" w:eastAsia="微软雅黑"/>
      <w:b/>
      <w:bCs/>
      <w:kern w:val="2"/>
      <w:sz w:val="24"/>
      <w:szCs w:val="28"/>
    </w:rPr>
  </w:style>
  <w:style w:type="character" w:customStyle="1" w:styleId="562">
    <w:name w:val="PI Char"/>
    <w:qFormat/>
    <w:uiPriority w:val="0"/>
    <w:rPr>
      <w:rFonts w:ascii="宋体" w:hAnsi="宋体" w:eastAsia="宋体"/>
      <w:kern w:val="2"/>
      <w:sz w:val="24"/>
      <w:szCs w:val="24"/>
      <w:lang w:val="en-US" w:eastAsia="zh-CN" w:bidi="ar-SA"/>
    </w:rPr>
  </w:style>
  <w:style w:type="character" w:customStyle="1" w:styleId="563">
    <w:name w:val="Char Char111"/>
    <w:qFormat/>
    <w:locked/>
    <w:uiPriority w:val="0"/>
    <w:rPr>
      <w:rFonts w:ascii="宋体" w:hAnsi="宋体" w:eastAsia="宋体"/>
      <w:b/>
      <w:kern w:val="2"/>
      <w:sz w:val="24"/>
      <w:szCs w:val="24"/>
      <w:lang w:val="en-US" w:eastAsia="zh-CN" w:bidi="ar-SA"/>
    </w:rPr>
  </w:style>
  <w:style w:type="character" w:customStyle="1" w:styleId="564">
    <w:name w:val="Document Map Char"/>
    <w:semiHidden/>
    <w:qFormat/>
    <w:locked/>
    <w:uiPriority w:val="0"/>
    <w:rPr>
      <w:rFonts w:eastAsia="宋体"/>
      <w:kern w:val="2"/>
      <w:sz w:val="21"/>
      <w:szCs w:val="24"/>
      <w:lang w:val="en-US" w:eastAsia="zh-CN" w:bidi="ar-SA"/>
    </w:rPr>
  </w:style>
  <w:style w:type="character" w:customStyle="1" w:styleId="565">
    <w:name w:val="正文文本缩进 Char"/>
    <w:qFormat/>
    <w:uiPriority w:val="0"/>
    <w:rPr>
      <w:rFonts w:ascii="宋体" w:hAnsi="宋体"/>
      <w:kern w:val="2"/>
      <w:sz w:val="24"/>
      <w:szCs w:val="24"/>
    </w:rPr>
  </w:style>
  <w:style w:type="character" w:customStyle="1" w:styleId="566">
    <w:name w:val="文本正文 Char Char"/>
    <w:qFormat/>
    <w:locked/>
    <w:uiPriority w:val="0"/>
    <w:rPr>
      <w:sz w:val="24"/>
      <w:lang w:bidi="ar-SA"/>
    </w:rPr>
  </w:style>
  <w:style w:type="character" w:customStyle="1" w:styleId="567">
    <w:name w:val="样式7 Char"/>
    <w:qFormat/>
    <w:uiPriority w:val="0"/>
    <w:rPr>
      <w:rFonts w:ascii="仿宋_GB2312" w:hAnsi="仿宋" w:eastAsia="仿宋_GB2312"/>
      <w:b/>
      <w:kern w:val="2"/>
      <w:sz w:val="24"/>
      <w:szCs w:val="24"/>
    </w:rPr>
  </w:style>
  <w:style w:type="character" w:customStyle="1" w:styleId="568">
    <w:name w:val="样式3 Char"/>
    <w:basedOn w:val="569"/>
    <w:qFormat/>
    <w:uiPriority w:val="0"/>
    <w:rPr>
      <w:rFonts w:ascii="仿宋_GB2312" w:hAnsi="仿宋" w:eastAsia="仿宋_GB2312" w:cs="仿宋_GB2312"/>
      <w:sz w:val="32"/>
      <w:szCs w:val="30"/>
      <w:lang w:val="zh-CN"/>
    </w:rPr>
  </w:style>
  <w:style w:type="character" w:customStyle="1" w:styleId="569">
    <w:name w:val="样式2 Char"/>
    <w:qFormat/>
    <w:uiPriority w:val="0"/>
    <w:rPr>
      <w:rFonts w:ascii="仿宋_GB2312" w:hAnsi="仿宋" w:eastAsia="仿宋_GB2312" w:cs="仿宋_GB2312"/>
      <w:b/>
      <w:bCs/>
      <w:sz w:val="32"/>
      <w:szCs w:val="30"/>
      <w:lang w:val="zh-CN"/>
    </w:rPr>
  </w:style>
  <w:style w:type="character" w:customStyle="1" w:styleId="570">
    <w:name w:val="二级标题 Char Char"/>
    <w:qFormat/>
    <w:uiPriority w:val="0"/>
    <w:rPr>
      <w:rFonts w:ascii="宋体" w:hAnsi="宋体" w:eastAsia="宋体"/>
      <w:b/>
      <w:snapToGrid w:val="0"/>
      <w:kern w:val="2"/>
      <w:sz w:val="24"/>
      <w:szCs w:val="24"/>
      <w:lang w:val="en-US" w:eastAsia="zh-CN" w:bidi="ar-SA"/>
    </w:rPr>
  </w:style>
  <w:style w:type="character" w:customStyle="1" w:styleId="571">
    <w:name w:val="Table Text Char1"/>
    <w:qFormat/>
    <w:uiPriority w:val="0"/>
    <w:rPr>
      <w:rFonts w:eastAsia="宋体"/>
      <w:sz w:val="24"/>
      <w:szCs w:val="24"/>
      <w:lang w:val="en-US" w:eastAsia="zh-CN" w:bidi="ar-SA"/>
    </w:rPr>
  </w:style>
  <w:style w:type="character" w:customStyle="1" w:styleId="572">
    <w:name w:val="shadow11"/>
    <w:qFormat/>
    <w:uiPriority w:val="0"/>
    <w:rPr>
      <w:color w:val="000000"/>
      <w:sz w:val="21"/>
    </w:rPr>
  </w:style>
  <w:style w:type="character" w:customStyle="1" w:styleId="573">
    <w:name w:val="HTML 地址 Char"/>
    <w:link w:val="32"/>
    <w:qFormat/>
    <w:uiPriority w:val="0"/>
    <w:rPr>
      <w:rFonts w:ascii="宋体" w:hAnsi="宋体"/>
      <w:i/>
      <w:iCs/>
      <w:sz w:val="24"/>
      <w:szCs w:val="24"/>
    </w:rPr>
  </w:style>
  <w:style w:type="character" w:customStyle="1" w:styleId="574">
    <w:name w:val="Char Char22"/>
    <w:qFormat/>
    <w:uiPriority w:val="0"/>
    <w:rPr>
      <w:rFonts w:eastAsia="宋体"/>
      <w:b/>
      <w:bCs/>
      <w:kern w:val="2"/>
      <w:sz w:val="21"/>
      <w:szCs w:val="24"/>
      <w:lang w:val="en-US" w:eastAsia="zh-CN" w:bidi="ar-SA"/>
    </w:rPr>
  </w:style>
  <w:style w:type="character" w:customStyle="1" w:styleId="575">
    <w:name w:val="标题 5 Char"/>
    <w:link w:val="8"/>
    <w:qFormat/>
    <w:uiPriority w:val="0"/>
    <w:rPr>
      <w:b/>
      <w:bCs/>
      <w:kern w:val="2"/>
      <w:sz w:val="28"/>
      <w:szCs w:val="28"/>
    </w:rPr>
  </w:style>
  <w:style w:type="character" w:customStyle="1" w:styleId="576">
    <w:name w:val="h3 Char1"/>
    <w:qFormat/>
    <w:uiPriority w:val="0"/>
    <w:rPr>
      <w:rFonts w:eastAsia="宋体"/>
      <w:b/>
      <w:bCs/>
      <w:kern w:val="2"/>
      <w:sz w:val="32"/>
      <w:szCs w:val="32"/>
      <w:lang w:bidi="ar-SA"/>
    </w:rPr>
  </w:style>
  <w:style w:type="character" w:customStyle="1" w:styleId="577">
    <w:name w:val="FA正文 Char Char"/>
    <w:qFormat/>
    <w:uiPriority w:val="0"/>
    <w:rPr>
      <w:rFonts w:hAnsi="宋体"/>
      <w:kern w:val="2"/>
      <w:sz w:val="24"/>
      <w:lang w:bidi="ar-SA"/>
    </w:rPr>
  </w:style>
  <w:style w:type="character" w:customStyle="1" w:styleId="578">
    <w:name w:val="Char Char7"/>
    <w:semiHidden/>
    <w:qFormat/>
    <w:uiPriority w:val="0"/>
    <w:rPr>
      <w:rFonts w:eastAsia="宋体"/>
      <w:kern w:val="2"/>
      <w:sz w:val="21"/>
      <w:szCs w:val="24"/>
      <w:lang w:val="en-US" w:eastAsia="zh-CN" w:bidi="ar-SA"/>
    </w:rPr>
  </w:style>
  <w:style w:type="character" w:customStyle="1" w:styleId="579">
    <w:name w:val="hui"/>
    <w:basedOn w:val="64"/>
    <w:qFormat/>
    <w:uiPriority w:val="0"/>
  </w:style>
  <w:style w:type="character" w:customStyle="1" w:styleId="580">
    <w:name w:val="正文缩进 Char"/>
    <w:qFormat/>
    <w:uiPriority w:val="0"/>
    <w:rPr>
      <w:rFonts w:eastAsia="宋体"/>
      <w:kern w:val="2"/>
      <w:sz w:val="21"/>
      <w:lang w:val="en-US" w:eastAsia="zh-CN"/>
    </w:rPr>
  </w:style>
  <w:style w:type="character" w:customStyle="1" w:styleId="581">
    <w:name w:val="正文1 Char"/>
    <w:qFormat/>
    <w:uiPriority w:val="0"/>
    <w:rPr>
      <w:rFonts w:ascii="宋体" w:eastAsia="宋体"/>
      <w:snapToGrid w:val="0"/>
      <w:color w:val="000000"/>
      <w:kern w:val="28"/>
      <w:sz w:val="28"/>
      <w:lang w:val="en-US" w:eastAsia="zh-CN" w:bidi="ar-SA"/>
    </w:rPr>
  </w:style>
  <w:style w:type="character" w:customStyle="1" w:styleId="582">
    <w:name w:val="Char Char61"/>
    <w:qFormat/>
    <w:uiPriority w:val="0"/>
    <w:rPr>
      <w:rFonts w:eastAsia="宋体"/>
      <w:kern w:val="2"/>
      <w:sz w:val="21"/>
      <w:szCs w:val="24"/>
      <w:lang w:val="en-US" w:eastAsia="zh-CN" w:bidi="ar-SA"/>
    </w:rPr>
  </w:style>
  <w:style w:type="character" w:customStyle="1" w:styleId="583">
    <w:name w:val="正文文本 3 Char"/>
    <w:link w:val="24"/>
    <w:qFormat/>
    <w:uiPriority w:val="0"/>
    <w:rPr>
      <w:kern w:val="2"/>
      <w:sz w:val="21"/>
    </w:rPr>
  </w:style>
  <w:style w:type="character" w:customStyle="1" w:styleId="584">
    <w:name w:val="message1"/>
    <w:qFormat/>
    <w:uiPriority w:val="0"/>
    <w:rPr>
      <w:rFonts w:hint="default" w:ascii="Tahoma" w:hAnsi="Tahoma" w:cs="Tahoma"/>
      <w:sz w:val="18"/>
      <w:szCs w:val="18"/>
    </w:rPr>
  </w:style>
  <w:style w:type="character" w:customStyle="1" w:styleId="585">
    <w:name w:val="DO_NOT_TRANSLATE"/>
    <w:qFormat/>
    <w:uiPriority w:val="0"/>
    <w:rPr>
      <w:rFonts w:ascii="Courier New" w:hAnsi="Courier New" w:cs="Courier New"/>
      <w:color w:val="800000"/>
    </w:rPr>
  </w:style>
  <w:style w:type="character" w:customStyle="1" w:styleId="586">
    <w:name w:val="unnamed11"/>
    <w:qFormat/>
    <w:uiPriority w:val="0"/>
    <w:rPr>
      <w:sz w:val="20"/>
      <w:szCs w:val="20"/>
    </w:rPr>
  </w:style>
  <w:style w:type="character" w:customStyle="1" w:styleId="587">
    <w:name w:val="tw4winInternal"/>
    <w:qFormat/>
    <w:uiPriority w:val="0"/>
    <w:rPr>
      <w:rFonts w:ascii="Courier New" w:hAnsi="Courier New" w:cs="Courier New"/>
      <w:color w:val="FF0000"/>
    </w:rPr>
  </w:style>
  <w:style w:type="character" w:customStyle="1" w:styleId="588">
    <w:name w:val="正文（缩进2汉字） Char"/>
    <w:link w:val="328"/>
    <w:qFormat/>
    <w:uiPriority w:val="0"/>
    <w:rPr>
      <w:rFonts w:ascii="宋体"/>
    </w:rPr>
  </w:style>
  <w:style w:type="character" w:customStyle="1" w:styleId="589">
    <w:name w:val="页脚 Char"/>
    <w:qFormat/>
    <w:uiPriority w:val="0"/>
    <w:rPr>
      <w:rFonts w:eastAsia="仿宋_GB2312"/>
      <w:kern w:val="2"/>
      <w:sz w:val="18"/>
      <w:lang w:val="en-US" w:eastAsia="zh-CN"/>
    </w:rPr>
  </w:style>
  <w:style w:type="character" w:customStyle="1" w:styleId="590">
    <w:name w:val="正文文本缩进 3 Char"/>
    <w:link w:val="54"/>
    <w:qFormat/>
    <w:uiPriority w:val="0"/>
    <w:rPr>
      <w:kern w:val="2"/>
      <w:sz w:val="24"/>
    </w:rPr>
  </w:style>
  <w:style w:type="character" w:customStyle="1" w:styleId="591">
    <w:name w:val="正文缩进 Char1"/>
    <w:qFormat/>
    <w:uiPriority w:val="0"/>
    <w:rPr>
      <w:rFonts w:ascii="宋体" w:eastAsia="宋体"/>
      <w:snapToGrid w:val="0"/>
      <w:color w:val="000000"/>
      <w:kern w:val="28"/>
      <w:sz w:val="28"/>
      <w:lang w:val="en-US" w:eastAsia="zh-CN" w:bidi="ar-SA"/>
    </w:rPr>
  </w:style>
  <w:style w:type="character" w:customStyle="1" w:styleId="592">
    <w:name w:val="style36"/>
    <w:basedOn w:val="64"/>
    <w:qFormat/>
    <w:uiPriority w:val="0"/>
  </w:style>
  <w:style w:type="character" w:customStyle="1" w:styleId="593">
    <w:name w:val="hui3"/>
    <w:qFormat/>
    <w:uiPriority w:val="0"/>
    <w:rPr>
      <w:color w:val="333333"/>
    </w:rPr>
  </w:style>
  <w:style w:type="character" w:customStyle="1" w:styleId="594">
    <w:name w:val="apple-converted-space"/>
    <w:qFormat/>
    <w:uiPriority w:val="0"/>
  </w:style>
  <w:style w:type="character" w:customStyle="1" w:styleId="595">
    <w:name w:val="文档结构图 Char"/>
    <w:qFormat/>
    <w:uiPriority w:val="0"/>
    <w:rPr>
      <w:rFonts w:eastAsia="宋体"/>
      <w:kern w:val="2"/>
      <w:sz w:val="21"/>
      <w:szCs w:val="24"/>
      <w:lang w:val="en-US" w:eastAsia="zh-CN" w:bidi="ar-SA"/>
    </w:rPr>
  </w:style>
  <w:style w:type="character" w:customStyle="1" w:styleId="596">
    <w:name w:val="正文非缩进 Char3"/>
    <w:qFormat/>
    <w:uiPriority w:val="0"/>
    <w:rPr>
      <w:rFonts w:ascii="宋体" w:eastAsia="宋体"/>
      <w:snapToGrid w:val="0"/>
      <w:color w:val="000000"/>
      <w:kern w:val="28"/>
      <w:sz w:val="28"/>
      <w:lang w:val="en-US" w:eastAsia="zh-CN" w:bidi="ar-SA"/>
    </w:rPr>
  </w:style>
  <w:style w:type="character" w:customStyle="1" w:styleId="597">
    <w:name w:val="dectext1"/>
    <w:qFormat/>
    <w:uiPriority w:val="0"/>
    <w:rPr>
      <w:rFonts w:ascii="宋体" w:hAnsi="宋体" w:eastAsia="宋体"/>
      <w:color w:val="333333"/>
      <w:sz w:val="21"/>
      <w:szCs w:val="21"/>
      <w:u w:val="none"/>
    </w:rPr>
  </w:style>
  <w:style w:type="character" w:customStyle="1" w:styleId="598">
    <w:name w:val="副标题 Char1"/>
    <w:qFormat/>
    <w:uiPriority w:val="0"/>
    <w:rPr>
      <w:rFonts w:ascii="Cambria" w:hAnsi="Cambria" w:eastAsia="宋体" w:cs="Times New Roman"/>
      <w:b/>
      <w:bCs/>
      <w:snapToGrid w:val="0"/>
      <w:kern w:val="28"/>
      <w:sz w:val="32"/>
      <w:szCs w:val="32"/>
    </w:rPr>
  </w:style>
  <w:style w:type="character" w:customStyle="1" w:styleId="599">
    <w:name w:val="f141"/>
    <w:qFormat/>
    <w:uiPriority w:val="0"/>
    <w:rPr>
      <w:rFonts w:ascii="Tahoma" w:hAnsi="Tahoma" w:eastAsia="宋体"/>
      <w:b/>
      <w:kern w:val="2"/>
      <w:sz w:val="21"/>
      <w:szCs w:val="21"/>
      <w:lang w:val="en-US" w:eastAsia="zh-CN" w:bidi="ar-SA"/>
    </w:rPr>
  </w:style>
  <w:style w:type="character" w:customStyle="1" w:styleId="600">
    <w:name w:val="日期 Char"/>
    <w:link w:val="38"/>
    <w:qFormat/>
    <w:uiPriority w:val="0"/>
    <w:rPr>
      <w:rFonts w:ascii="宋体"/>
      <w:kern w:val="2"/>
      <w:sz w:val="24"/>
      <w:szCs w:val="21"/>
      <w:lang w:val="zh-CN"/>
    </w:rPr>
  </w:style>
  <w:style w:type="character" w:customStyle="1" w:styleId="601">
    <w:name w:val="标题 4 Char"/>
    <w:link w:val="7"/>
    <w:qFormat/>
    <w:uiPriority w:val="0"/>
    <w:rPr>
      <w:rFonts w:ascii="Arial" w:hAnsi="Arial" w:eastAsia="黑体"/>
      <w:b/>
      <w:bCs/>
      <w:kern w:val="2"/>
      <w:sz w:val="28"/>
      <w:szCs w:val="28"/>
      <w:lang w:val="zh-CN"/>
    </w:rPr>
  </w:style>
  <w:style w:type="character" w:customStyle="1" w:styleId="602">
    <w:name w:val="链接"/>
    <w:qFormat/>
    <w:uiPriority w:val="0"/>
    <w:rPr>
      <w:color w:val="0000FF"/>
      <w:sz w:val="21"/>
      <w:szCs w:val="21"/>
      <w:u w:val="single"/>
    </w:rPr>
  </w:style>
  <w:style w:type="character" w:customStyle="1" w:styleId="603">
    <w:name w:val="正文首行缩进 Char Char Char Char Char Char"/>
    <w:qFormat/>
    <w:uiPriority w:val="0"/>
    <w:rPr>
      <w:rFonts w:ascii="宋体" w:eastAsia="宋体"/>
      <w:kern w:val="2"/>
      <w:sz w:val="24"/>
      <w:lang w:val="zh-CN" w:bidi="ar-SA"/>
    </w:rPr>
  </w:style>
  <w:style w:type="character" w:customStyle="1" w:styleId="604">
    <w:name w:val="tw4winError"/>
    <w:qFormat/>
    <w:uiPriority w:val="0"/>
    <w:rPr>
      <w:rFonts w:ascii="Courier New" w:hAnsi="Courier New" w:cs="Courier New"/>
      <w:color w:val="00FF00"/>
      <w:sz w:val="40"/>
      <w:szCs w:val="40"/>
    </w:rPr>
  </w:style>
  <w:style w:type="character" w:customStyle="1" w:styleId="605">
    <w:name w:val="Used by Word for text of Help footnotes Char Char"/>
    <w:semiHidden/>
    <w:qFormat/>
    <w:uiPriority w:val="0"/>
    <w:rPr>
      <w:rFonts w:ascii="Times New Roman" w:hAnsi="Times New Roman" w:eastAsia="宋体" w:cs="Times New Roman"/>
      <w:sz w:val="20"/>
      <w:szCs w:val="20"/>
    </w:rPr>
  </w:style>
  <w:style w:type="character" w:customStyle="1" w:styleId="606">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7">
    <w:name w:val="表正文 Char"/>
    <w:qFormat/>
    <w:uiPriority w:val="0"/>
    <w:rPr>
      <w:rFonts w:ascii="宋体" w:eastAsia="宋体"/>
      <w:snapToGrid w:val="0"/>
      <w:color w:val="000000"/>
      <w:kern w:val="28"/>
      <w:sz w:val="28"/>
      <w:lang w:val="en-US" w:eastAsia="zh-CN" w:bidi="ar-SA"/>
    </w:rPr>
  </w:style>
  <w:style w:type="character" w:customStyle="1" w:styleId="608">
    <w:name w:val="普通文字 Char1 Char"/>
    <w:qFormat/>
    <w:uiPriority w:val="0"/>
    <w:rPr>
      <w:rFonts w:ascii="宋体" w:hAnsi="Courier New" w:eastAsia="宋体"/>
      <w:kern w:val="2"/>
      <w:sz w:val="21"/>
      <w:szCs w:val="24"/>
      <w:lang w:val="en-US" w:eastAsia="zh-CN" w:bidi="ar-SA"/>
    </w:rPr>
  </w:style>
  <w:style w:type="character" w:customStyle="1" w:styleId="609">
    <w:name w:val="pt9"/>
    <w:qFormat/>
    <w:uiPriority w:val="0"/>
    <w:rPr>
      <w:rFonts w:ascii="仿宋_GB2312" w:eastAsia="微软雅黑"/>
      <w:b/>
      <w:kern w:val="2"/>
      <w:sz w:val="32"/>
      <w:szCs w:val="32"/>
      <w:lang w:val="en-US" w:eastAsia="zh-CN" w:bidi="ar-SA"/>
    </w:rPr>
  </w:style>
  <w:style w:type="character" w:customStyle="1" w:styleId="610">
    <w:name w:val="large1"/>
    <w:qFormat/>
    <w:uiPriority w:val="0"/>
    <w:rPr>
      <w:rFonts w:hint="eastAsia" w:ascii="宋体" w:hAnsi="宋体" w:eastAsia="宋体"/>
      <w:sz w:val="21"/>
      <w:szCs w:val="21"/>
    </w:rPr>
  </w:style>
  <w:style w:type="character" w:customStyle="1" w:styleId="611">
    <w:name w:val="样式 样式 标题 4h4H4Fab-4T5Ref Heading 1rh1Heading sqlsect 1.2.3.... +... Char"/>
    <w:link w:val="173"/>
    <w:qFormat/>
    <w:uiPriority w:val="0"/>
    <w:rPr>
      <w:rFonts w:ascii="微软雅黑" w:hAnsi="微软雅黑" w:eastAsia="微软雅黑"/>
      <w:b/>
      <w:bCs/>
      <w:kern w:val="2"/>
      <w:sz w:val="24"/>
      <w:szCs w:val="28"/>
    </w:rPr>
  </w:style>
  <w:style w:type="character" w:customStyle="1" w:styleId="612">
    <w:name w:val="标题 4 Char1"/>
    <w:semiHidden/>
    <w:qFormat/>
    <w:uiPriority w:val="9"/>
    <w:rPr>
      <w:rFonts w:ascii="Cambria" w:hAnsi="Cambria" w:eastAsia="宋体" w:cs="Times New Roman"/>
      <w:b/>
      <w:bCs/>
      <w:kern w:val="2"/>
      <w:sz w:val="28"/>
      <w:szCs w:val="28"/>
    </w:rPr>
  </w:style>
  <w:style w:type="character" w:customStyle="1" w:styleId="613">
    <w:name w:val="tw4winPopup"/>
    <w:qFormat/>
    <w:uiPriority w:val="0"/>
    <w:rPr>
      <w:rFonts w:ascii="Courier New" w:hAnsi="Courier New" w:cs="Courier New"/>
      <w:color w:val="008000"/>
    </w:rPr>
  </w:style>
  <w:style w:type="character" w:customStyle="1" w:styleId="614">
    <w:name w:val="标题 6 Char"/>
    <w:link w:val="9"/>
    <w:qFormat/>
    <w:uiPriority w:val="0"/>
    <w:rPr>
      <w:rFonts w:ascii="Arial" w:hAnsi="Arial" w:eastAsia="黑体"/>
      <w:b/>
      <w:bCs/>
      <w:kern w:val="2"/>
      <w:sz w:val="24"/>
      <w:szCs w:val="24"/>
    </w:rPr>
  </w:style>
  <w:style w:type="character" w:customStyle="1" w:styleId="615">
    <w:name w:val="正文缩进 Char2"/>
    <w:link w:val="17"/>
    <w:qFormat/>
    <w:uiPriority w:val="0"/>
    <w:rPr>
      <w:rFonts w:ascii="宋体" w:eastAsia="宋体"/>
      <w:snapToGrid w:val="0"/>
      <w:color w:val="000000"/>
      <w:kern w:val="28"/>
      <w:sz w:val="28"/>
      <w:lang w:val="en-US" w:eastAsia="zh-CN" w:bidi="ar-SA"/>
    </w:rPr>
  </w:style>
  <w:style w:type="character" w:customStyle="1" w:styleId="616">
    <w:name w:val="批注文字 Char1"/>
    <w:link w:val="22"/>
    <w:qFormat/>
    <w:uiPriority w:val="99"/>
    <w:rPr>
      <w:kern w:val="2"/>
      <w:sz w:val="21"/>
      <w:szCs w:val="24"/>
    </w:rPr>
  </w:style>
  <w:style w:type="character" w:customStyle="1" w:styleId="617">
    <w:name w:val="批注框文本 Char"/>
    <w:link w:val="39"/>
    <w:semiHidden/>
    <w:qFormat/>
    <w:uiPriority w:val="0"/>
    <w:rPr>
      <w:kern w:val="2"/>
      <w:sz w:val="18"/>
      <w:szCs w:val="18"/>
    </w:rPr>
  </w:style>
  <w:style w:type="character" w:customStyle="1" w:styleId="618">
    <w:name w:val="Footer Char"/>
    <w:qFormat/>
    <w:locked/>
    <w:uiPriority w:val="0"/>
    <w:rPr>
      <w:rFonts w:eastAsia="宋体"/>
      <w:kern w:val="2"/>
      <w:sz w:val="18"/>
      <w:lang w:val="en-US" w:eastAsia="zh-CN" w:bidi="ar-SA"/>
    </w:rPr>
  </w:style>
  <w:style w:type="paragraph" w:customStyle="1" w:styleId="6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索引 11"/>
    <w:basedOn w:val="1"/>
    <w:next w:val="1"/>
    <w:qFormat/>
    <w:uiPriority w:val="0"/>
    <w:pPr>
      <w:adjustRightInd/>
      <w:spacing w:line="360" w:lineRule="auto"/>
    </w:pPr>
    <w:rPr>
      <w:rFonts w:ascii="仿宋_GB2312" w:eastAsia="仿宋_GB2312"/>
      <w:sz w:val="24"/>
      <w:szCs w:val="20"/>
    </w:rPr>
  </w:style>
  <w:style w:type="paragraph" w:customStyle="1" w:styleId="621">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2">
    <w:name w:val="纯文本_0_0"/>
    <w:basedOn w:val="1"/>
    <w:link w:val="623"/>
    <w:qFormat/>
    <w:uiPriority w:val="0"/>
    <w:pPr>
      <w:adjustRightInd/>
    </w:pPr>
    <w:rPr>
      <w:rFonts w:ascii="宋体" w:hAnsi="Courier New"/>
      <w:szCs w:val="21"/>
    </w:rPr>
  </w:style>
  <w:style w:type="character" w:customStyle="1" w:styleId="623">
    <w:name w:val="纯文本 Char_0"/>
    <w:link w:val="622"/>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1"/>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103"/>
    <w:qFormat/>
    <w:uiPriority w:val="0"/>
    <w:rPr>
      <w:rFonts w:ascii="仿宋_GB2312" w:eastAsia="仿宋_GB2312" w:cs="仿宋_GB2312"/>
      <w:color w:val="000000"/>
      <w:sz w:val="24"/>
      <w:szCs w:val="24"/>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_Style 3"/>
    <w:basedOn w:val="1"/>
    <w:qFormat/>
    <w:uiPriority w:val="0"/>
    <w:pPr>
      <w:adjustRightInd/>
      <w:ind w:firstLine="420" w:firstLineChars="200"/>
    </w:pPr>
    <w:rPr>
      <w:rFonts w:eastAsia="仿宋_GB2312"/>
      <w:sz w:val="28"/>
    </w:rPr>
  </w:style>
  <w:style w:type="character" w:customStyle="1" w:styleId="635">
    <w:name w:val="font41"/>
    <w:basedOn w:val="64"/>
    <w:qFormat/>
    <w:uiPriority w:val="0"/>
    <w:rPr>
      <w:rFonts w:hint="eastAsia" w:ascii="仿宋_GB2312" w:eastAsia="仿宋_GB2312" w:cs="仿宋_GB2312"/>
      <w:color w:val="000000"/>
      <w:sz w:val="24"/>
      <w:szCs w:val="24"/>
      <w:u w:val="none"/>
    </w:rPr>
  </w:style>
  <w:style w:type="paragraph" w:customStyle="1" w:styleId="636">
    <w:name w:val="中等深浅网格 21"/>
    <w:qFormat/>
    <w:uiPriority w:val="1"/>
    <w:pPr>
      <w:widowControl w:val="0"/>
      <w:spacing w:line="276" w:lineRule="auto"/>
      <w:ind w:left="240" w:leftChars="100" w:right="240" w:rightChars="100" w:firstLine="480" w:firstLineChars="200"/>
      <w:jc w:val="both"/>
    </w:pPr>
    <w:rPr>
      <w:rFonts w:ascii="Calibri" w:hAnsi="Calibri" w:eastAsia="宋体" w:cs="Times New Roman"/>
      <w:kern w:val="2"/>
      <w:sz w:val="24"/>
      <w:szCs w:val="24"/>
      <w:lang w:val="en-US" w:eastAsia="zh-CN" w:bidi="ar-SA"/>
    </w:rPr>
  </w:style>
  <w:style w:type="character" w:customStyle="1" w:styleId="637">
    <w:name w:val="NormalCharacter"/>
    <w:qFormat/>
    <w:uiPriority w:val="0"/>
  </w:style>
  <w:style w:type="paragraph" w:customStyle="1" w:styleId="638">
    <w:name w:val="一级标题"/>
    <w:basedOn w:val="1"/>
    <w:next w:val="25"/>
    <w:qFormat/>
    <w:uiPriority w:val="0"/>
    <w:pPr>
      <w:outlineLvl w:val="0"/>
    </w:pPr>
    <w:rPr>
      <w:bCs/>
      <w:sz w:val="32"/>
    </w:rPr>
  </w:style>
  <w:style w:type="paragraph" w:customStyle="1" w:styleId="639">
    <w:name w:val="Table Paragraph"/>
    <w:basedOn w:val="1"/>
    <w:qFormat/>
    <w:uiPriority w:val="0"/>
    <w:pPr>
      <w:keepNext w:val="0"/>
      <w:keepLines w:val="0"/>
      <w:widowControl w:val="0"/>
      <w:suppressLineNumbers w:val="0"/>
      <w:spacing w:before="0" w:beforeAutospacing="0" w:after="0" w:afterAutospacing="0" w:line="240" w:lineRule="auto"/>
      <w:ind w:left="0" w:firstLine="0"/>
      <w:jc w:val="left"/>
    </w:pPr>
    <w:rPr>
      <w:rFonts w:ascii="Calibri" w:hAnsi="Calibri" w:eastAsia="宋体" w:cs="Calibri"/>
      <w:kern w:val="0"/>
      <w:sz w:val="22"/>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46</Pages>
  <Words>29206</Words>
  <Characters>31083</Characters>
  <Lines>282</Lines>
  <Paragraphs>79</Paragraphs>
  <TotalTime>2</TotalTime>
  <ScaleCrop>false</ScaleCrop>
  <LinksUpToDate>false</LinksUpToDate>
  <CharactersWithSpaces>32634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2015-04-27T17:52:00Z</dcterms:created>
  <dc:creator>玥</dc:creator>
  <cp:lastModifiedBy>admin</cp:lastModifiedBy>
  <cp:lastPrinted>2024-06-03T09:57:00Z</cp:lastPrinted>
  <dcterms:modified xsi:type="dcterms:W3CDTF">2025-07-08T06:41:56Z</dcterms:modified>
  <dc:title>杭州市市民卡扩大发卡工程</dc:title>
  <cp:revision>457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878BB5F357504AD991B4C34BAC21F04A_13</vt:lpwstr>
  </property>
  <property fmtid="{D5CDD505-2E9C-101B-9397-08002B2CF9AE}" pid="4" name="KSOTemplateDocerSaveRecord">
    <vt:lpwstr>eyJoZGlkIjoiMzE2ZGU2MzQ0NTU5ZDU5ODEyMWY3ZDI2NjVjNDBhMDgiLCJ1c2VySWQiOiIxMzI1NjM4NjQzIn0=</vt:lpwstr>
  </property>
</Properties>
</file>